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CF" w:rsidRDefault="008A27CF" w:rsidP="008A27CF">
      <w:pPr>
        <w:tabs>
          <w:tab w:val="clear" w:pos="720"/>
        </w:tabs>
        <w:autoSpaceDE/>
        <w:autoSpaceDN/>
        <w:adjustRightInd/>
        <w:spacing w:line="240" w:lineRule="auto"/>
        <w:ind w:firstLine="0"/>
        <w:jc w:val="center"/>
        <w:rPr>
          <w:b/>
          <w:sz w:val="56"/>
          <w:szCs w:val="56"/>
          <w:lang w:eastAsia="zh-CN"/>
        </w:rPr>
      </w:pPr>
      <w:bookmarkStart w:id="0" w:name="_GoBack"/>
      <w:bookmarkEnd w:id="0"/>
      <w:r>
        <w:rPr>
          <w:b/>
          <w:sz w:val="56"/>
          <w:szCs w:val="56"/>
          <w:lang w:eastAsia="zh-CN"/>
        </w:rPr>
        <w:t>ATTACHMENT B</w:t>
      </w:r>
    </w:p>
    <w:p w:rsidR="008A27CF" w:rsidRDefault="008A27CF">
      <w:pPr>
        <w:tabs>
          <w:tab w:val="clear" w:pos="720"/>
        </w:tabs>
        <w:autoSpaceDE/>
        <w:autoSpaceDN/>
        <w:adjustRightInd/>
        <w:spacing w:line="240" w:lineRule="auto"/>
        <w:ind w:firstLine="0"/>
        <w:rPr>
          <w:b/>
          <w:sz w:val="56"/>
          <w:szCs w:val="56"/>
          <w:lang w:eastAsia="zh-CN"/>
        </w:rPr>
      </w:pPr>
      <w:r>
        <w:rPr>
          <w:b/>
          <w:sz w:val="56"/>
          <w:szCs w:val="56"/>
          <w:lang w:eastAsia="zh-CN"/>
        </w:rPr>
        <w:br w:type="page"/>
      </w:r>
    </w:p>
    <w:p w:rsidR="008A27CF" w:rsidRDefault="008A27CF">
      <w:pPr>
        <w:tabs>
          <w:tab w:val="clear" w:pos="720"/>
        </w:tabs>
        <w:autoSpaceDE/>
        <w:autoSpaceDN/>
        <w:adjustRightInd/>
        <w:spacing w:line="240" w:lineRule="auto"/>
        <w:ind w:firstLine="0"/>
        <w:rPr>
          <w:b/>
          <w:sz w:val="56"/>
          <w:szCs w:val="56"/>
          <w:lang w:eastAsia="zh-CN"/>
        </w:rPr>
      </w:pPr>
    </w:p>
    <w:p w:rsidR="008A27CF" w:rsidRPr="008A27CF" w:rsidRDefault="008A27CF" w:rsidP="008A27CF">
      <w:pPr>
        <w:tabs>
          <w:tab w:val="clear" w:pos="720"/>
        </w:tabs>
        <w:autoSpaceDE/>
        <w:autoSpaceDN/>
        <w:adjustRightInd/>
        <w:spacing w:line="240" w:lineRule="auto"/>
        <w:ind w:firstLine="0"/>
        <w:jc w:val="center"/>
        <w:rPr>
          <w:b/>
          <w:sz w:val="56"/>
          <w:szCs w:val="56"/>
          <w:lang w:eastAsia="zh-CN"/>
        </w:rPr>
      </w:pPr>
    </w:p>
    <w:p w:rsidR="00A51E78" w:rsidRDefault="00A51E78" w:rsidP="00335595">
      <w:pPr>
        <w:pStyle w:val="center"/>
        <w:spacing w:before="240" w:after="60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1" w:name="lblCaseNumberH"/>
            <w:r>
              <w:rPr>
                <w:b/>
              </w:rPr>
              <w:t xml:space="preserve">Docket No. </w:t>
            </w:r>
            <w:r w:rsidR="00226802">
              <w:rPr>
                <w:b/>
              </w:rPr>
              <w:t>UG</w:t>
            </w:r>
            <w:r w:rsidRPr="003646B7">
              <w:rPr>
                <w:b/>
              </w:rPr>
              <w:t>-</w:t>
            </w:r>
            <w:bookmarkEnd w:id="1"/>
            <w:r w:rsidR="00226802">
              <w:rPr>
                <w:b/>
                <w:sz w:val="25"/>
                <w:szCs w:val="25"/>
              </w:rPr>
              <w:t>151663</w:t>
            </w:r>
          </w:p>
        </w:tc>
      </w:tr>
    </w:tbl>
    <w:p w:rsidR="00A51E78" w:rsidRDefault="00227650" w:rsidP="00285646">
      <w:pPr>
        <w:pStyle w:val="center"/>
        <w:spacing w:before="2040" w:after="2040"/>
      </w:pPr>
      <w:r>
        <w:rPr>
          <w:noProof/>
          <w:lang w:eastAsia="en-US"/>
        </w:rPr>
        <mc:AlternateContent>
          <mc:Choice Requires="wpg">
            <w:drawing>
              <wp:anchor distT="0" distB="0" distL="114300" distR="114300" simplePos="0" relativeHeight="251661824" behindDoc="0" locked="0" layoutInCell="1" allowOverlap="1" wp14:anchorId="399CDE0C" wp14:editId="51FF36FE">
                <wp:simplePos x="0" y="0"/>
                <wp:positionH relativeFrom="column">
                  <wp:posOffset>2013585</wp:posOffset>
                </wp:positionH>
                <wp:positionV relativeFrom="paragraph">
                  <wp:posOffset>2374265</wp:posOffset>
                </wp:positionV>
                <wp:extent cx="2171700" cy="683260"/>
                <wp:effectExtent l="0" t="0" r="0" b="2540"/>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2"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650" w:rsidRDefault="00227650" w:rsidP="00227650">
                              <w:r>
                                <w:rPr>
                                  <w:snapToGrid w:val="0"/>
                                </w:rPr>
                                <w:t>Confidential per WAC 48</w:t>
                              </w:r>
                            </w:p>
                          </w:txbxContent>
                        </wps:txbx>
                        <wps:bodyPr rot="0" vert="horz" wrap="square" lIns="91440" tIns="91440" rIns="91440" bIns="91440" anchor="t" anchorCtr="0" upright="1">
                          <a:noAutofit/>
                        </wps:bodyPr>
                      </wps:wsp>
                      <wps:wsp>
                        <wps:cNvPr id="33"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227650" w:rsidRPr="00EC3DC8" w:rsidRDefault="00227650" w:rsidP="0022765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58.55pt;margin-top:186.95pt;width:171pt;height:53.8pt;z-index:251661824"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">
                <v:shapetype id="_x0000_t202" coordsize="21600,21600" o:spt="202" path="m,l,21600r21600,l21600,xe">
                  <v:stroke joinstyle="miter"/>
                  <v:path gradientshapeok="t" o:connecttype="rect"/>
                </v:shapetype>
                <v:shape id="Text Box 4" o:spid="_x0000_s102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ibcQA&#10;AADbAAAADwAAAGRycy9kb3ducmV2LnhtbESPQWvCQBSE74X+h+UVems2pkVC6ipFKNRbq2J7fGRf&#10;NsHs25DdxNRf7wqCx2FmvmEWq8m2YqTeN44VzJIUBHHpdMNGwX73+ZKD8AFZY+uYFPyTh9Xy8WGB&#10;hXYn/qFxG4yIEPYFKqhD6AopfVmTRZ+4jjh6lesthih7I3WPpwi3rczSdC4tNhwXauxoXVN53A5W&#10;wa+Zb9rv/Kirt7/zYWaGcVxvKqWen6aPdxCBpnAP39pfWsFrB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Ym3EAAAA2wAAAA8AAAAAAAAAAAAAAAAAmAIAAGRycy9k&#10;b3ducmV2LnhtbFBLBQYAAAAABAAEAPUAAACJAwAAAAA=&#10;" fillcolor="gray" stroked="f">
                  <v:textbox inset=",7.2pt,,7.2pt">
                    <w:txbxContent>
                      <w:p w:rsidR="00227650" w:rsidRDefault="00227650" w:rsidP="00227650">
                        <w:r>
                          <w:rPr>
                            <w:snapToGrid w:val="0"/>
                          </w:rPr>
                          <w:t>Confidential per WAC 48</w:t>
                        </w:r>
                      </w:p>
                    </w:txbxContent>
                  </v:textbox>
                </v:shape>
                <v:shape id="Text Box 5" o:spid="_x0000_s102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OtMEA&#10;AADbAAAADwAAAGRycy9kb3ducmV2LnhtbERPTYvCMBS8L/gfwhP2smiqRZFqFCksiBexu/T8aJ5t&#10;sXmpTdZ2/70RBG8zzBez2Q2mEXfqXG1ZwWwagSAurK65VPD78z1ZgXAeWWNjmRT8k4PddvSxwUTb&#10;ns90z3wpQgm7BBVU3reJlK6oyKCb2pY4aBfbGfSBdqXUHfah3DRyHkVLabDmsFBhS2lFxTX7MwrS&#10;Yx7g+XbK87hZLI9Zn36lpVKf42G/BuFp8G/zK33QCuIYnl/C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DrTBAAAA2wAAAA8AAAAAAAAAAAAAAAAAmAIAAGRycy9kb3du&#10;cmV2LnhtbFBLBQYAAAAABAAEAPUAAACGAwAAAAA=&#10;" strokeweight="1.5pt">
                  <v:textbox inset=",7.2pt,,7.2pt">
                    <w:txbxContent>
                      <w:p w:rsidR="00227650" w:rsidRPr="00EC3DC8" w:rsidRDefault="00227650" w:rsidP="0022765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335595">
        <w:rPr>
          <w:noProof/>
          <w:lang w:eastAsia="en-US"/>
        </w:rPr>
        <mc:AlternateContent>
          <mc:Choice Requires="wps">
            <w:drawing>
              <wp:anchor distT="0" distB="0" distL="114300" distR="114300" simplePos="0" relativeHeight="251658752" behindDoc="0" locked="0" layoutInCell="0" allowOverlap="1" wp14:anchorId="26B2E656" wp14:editId="383B37AD">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BB2" w:rsidRDefault="00751BB2"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" o:allowincell="f" fillcolor="gray" stroked="f">
                <v:textbox inset=",7.2pt,,7.2pt">
                  <w:txbxContent>
                    <w:p w:rsidR="00751BB2" w:rsidRDefault="00751BB2" w:rsidP="00A51E78">
                      <w:r>
                        <w:rPr>
                          <w:snapToGrid w:val="0"/>
                        </w:rPr>
                        <w:t>Confidential per WAC 480-07-160</w:t>
                      </w:r>
                    </w:p>
                  </w:txbxContent>
                </v:textbox>
              </v:shape>
            </w:pict>
          </mc:Fallback>
        </mc:AlternateContent>
      </w:r>
      <w:r w:rsidR="00335595">
        <w:rPr>
          <w:noProof/>
          <w:lang w:eastAsia="en-US"/>
        </w:rPr>
        <mc:AlternateContent>
          <mc:Choice Requires="wps">
            <w:drawing>
              <wp:anchor distT="0" distB="0" distL="114300" distR="114300" simplePos="0" relativeHeight="251659776" behindDoc="0" locked="0" layoutInCell="0" allowOverlap="1" wp14:anchorId="52D3B7CC" wp14:editId="1F3EDFAF">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sidR="00335595">
        <w:rPr>
          <w:noProof/>
          <w:lang w:eastAsia="en-US"/>
        </w:rPr>
        <mc:AlternateContent>
          <mc:Choice Requires="wps">
            <w:drawing>
              <wp:anchor distT="0" distB="0" distL="114300" distR="114300" simplePos="0" relativeHeight="251657728" behindDoc="0" locked="0" layoutInCell="0" allowOverlap="1" wp14:anchorId="4A17F67E" wp14:editId="14582947">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BmLgJQnAgAAWQQAAA4AAAAAAAAAAAAAAAAALgIAAGRycy9l&#10;Mm9Eb2MueG1sUEsBAi0AFAAGAAgAAAAhAIFktlPhAAAADQEAAA8AAAAAAAAAAAAAAAAAgQQAAGRy&#10;cy9kb3ducmV2LnhtbFBLBQYAAAAABAAEAPMAAACPBQ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sidR="00335595">
        <w:rPr>
          <w:noProof/>
          <w:lang w:eastAsia="en-US"/>
        </w:rPr>
        <mc:AlternateContent>
          <mc:Choice Requires="wps">
            <w:drawing>
              <wp:anchor distT="0" distB="0" distL="114300" distR="114300" simplePos="0" relativeHeight="251656704" behindDoc="0" locked="0" layoutInCell="0" allowOverlap="1" wp14:anchorId="153432AE" wp14:editId="0E89054C">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vznGSkCAABZBAAADgAAAAAAAAAAAAAAAAAuAgAAZHJz&#10;L2Uyb0RvYy54bWxQSwECLQAUAAYACAAAACEAgWS2U+EAAAANAQAADwAAAAAAAAAAAAAAAACDBAAA&#10;ZHJzL2Rvd25yZXYueG1sUEsFBgAAAAAEAAQA8wAAAJEFA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sidR="009E5C6F">
        <w:t>REPLY BRIEF OF</w:t>
      </w:r>
      <w:r w:rsidR="00A51E78">
        <w:br/>
        <w:t>PUGET SOUND ENERGY</w:t>
      </w:r>
    </w:p>
    <w:p w:rsidR="00227650" w:rsidRDefault="00227650" w:rsidP="00285646">
      <w:pPr>
        <w:pStyle w:val="center"/>
        <w:spacing w:before="2040" w:after="2040"/>
      </w:pPr>
    </w:p>
    <w:p w:rsidR="00A51E78" w:rsidRDefault="00335595" w:rsidP="006D1F1E">
      <w:pPr>
        <w:pStyle w:val="center"/>
      </w:pPr>
      <w:r>
        <w:rPr>
          <w:noProof/>
          <w:lang w:eastAsia="en-US"/>
        </w:rPr>
        <w:lastRenderedPageBreak/>
        <mc:AlternateContent>
          <mc:Choice Requires="wps">
            <w:drawing>
              <wp:anchor distT="0" distB="0" distL="114300" distR="114300" simplePos="0" relativeHeight="251654656" behindDoc="0" locked="0" layoutInCell="0" allowOverlap="1" wp14:anchorId="5DFC10E4" wp14:editId="2A20EE4B">
                <wp:simplePos x="0" y="0"/>
                <wp:positionH relativeFrom="column">
                  <wp:posOffset>2796540</wp:posOffset>
                </wp:positionH>
                <wp:positionV relativeFrom="paragraph">
                  <wp:posOffset>7770495</wp:posOffset>
                </wp:positionV>
                <wp:extent cx="2646045" cy="40005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BB2" w:rsidRDefault="00751BB2"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220.2pt;margin-top:611.85pt;width:208.3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" o:allowincell="f" fillcolor="gray" stroked="f">
                <v:textbox inset=",7.2pt,,7.2pt">
                  <w:txbxContent>
                    <w:p w:rsidR="00751BB2" w:rsidRDefault="00751BB2"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5680" behindDoc="0" locked="0" layoutInCell="0" allowOverlap="1" wp14:anchorId="4C628990" wp14:editId="7B443CBD">
                <wp:simplePos x="0" y="0"/>
                <wp:positionH relativeFrom="column">
                  <wp:posOffset>2699385</wp:posOffset>
                </wp:positionH>
                <wp:positionV relativeFrom="paragraph">
                  <wp:posOffset>7680325</wp:posOffset>
                </wp:positionV>
                <wp:extent cx="2646045" cy="40005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212.55pt;margin-top:604.75pt;width:208.3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3632" behindDoc="0" locked="0" layoutInCell="0" allowOverlap="1" wp14:anchorId="03DB204A" wp14:editId="08727381">
                <wp:simplePos x="0" y="0"/>
                <wp:positionH relativeFrom="column">
                  <wp:posOffset>2739390</wp:posOffset>
                </wp:positionH>
                <wp:positionV relativeFrom="paragraph">
                  <wp:posOffset>7680325</wp:posOffset>
                </wp:positionV>
                <wp:extent cx="2646045" cy="4000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215.7pt;margin-top:604.75pt;width:208.3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cfj71SYCAABZBAAADgAAAAAAAAAAAAAAAAAuAgAAZHJzL2Uy&#10;b0RvYy54bWxQSwECLQAUAAYACAAAACEAgWS2U+EAAAANAQAADwAAAAAAAAAAAAAAAACABAAAZHJz&#10;L2Rvd25yZXYueG1sUEsFBgAAAAAEAAQA8wAAAI4FA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2608" behindDoc="0" locked="0" layoutInCell="0" allowOverlap="1" wp14:anchorId="29C5CD51" wp14:editId="246271C5">
                <wp:simplePos x="0" y="0"/>
                <wp:positionH relativeFrom="column">
                  <wp:posOffset>2739390</wp:posOffset>
                </wp:positionH>
                <wp:positionV relativeFrom="paragraph">
                  <wp:posOffset>7680325</wp:posOffset>
                </wp:positionV>
                <wp:extent cx="2646045" cy="40005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215.7pt;margin-top:604.75pt;width:208.3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MxLjOgnAgAAWQQAAA4AAAAAAAAAAAAAAAAALgIAAGRycy9l&#10;Mm9Eb2MueG1sUEsBAi0AFAAGAAgAAAAhAIFktlPhAAAADQEAAA8AAAAAAAAAAAAAAAAAgQQAAGRy&#10;cy9kb3ducmV2LnhtbFBLBQYAAAAABAAEAPMAAACPBQ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sidR="009E5C6F">
        <w:t>DEC</w:t>
      </w:r>
      <w:r w:rsidR="005B3818">
        <w:t xml:space="preserve">EMBER </w:t>
      </w:r>
      <w:r w:rsidR="000F1CCC">
        <w:t>2</w:t>
      </w:r>
      <w:r w:rsidR="00A51E78">
        <w:t>, 201</w:t>
      </w:r>
      <w:r w:rsidR="00B764F7">
        <w:t>5</w:t>
      </w:r>
    </w:p>
    <w:p w:rsidR="00A51E78" w:rsidRDefault="00A51E78" w:rsidP="006D1F1E">
      <w:pPr>
        <w:pStyle w:val="center"/>
        <w:rPr>
          <w:b w:val="0"/>
        </w:rPr>
        <w:sectPr w:rsidR="00A51E78">
          <w:headerReference w:type="even" r:id="rId14"/>
          <w:footerReference w:type="even" r:id="rId15"/>
          <w:footerReference w:type="default" r:id="rId16"/>
          <w:footerReference w:type="first" r:id="rId17"/>
          <w:pgSz w:w="12240" w:h="15840" w:code="1"/>
          <w:pgMar w:top="1440" w:right="1440" w:bottom="1800" w:left="1440" w:header="720" w:footer="720" w:gutter="0"/>
          <w:pgNumType w:start="1"/>
          <w:cols w:space="720"/>
          <w:vAlign w:val="center"/>
        </w:sectPr>
      </w:pPr>
    </w:p>
    <w:p w:rsidR="00A51E78" w:rsidRDefault="00A51E78" w:rsidP="006D1F1E">
      <w:pPr>
        <w:pStyle w:val="center"/>
        <w:spacing w:line="480" w:lineRule="auto"/>
      </w:pPr>
      <w:r>
        <w:lastRenderedPageBreak/>
        <w:t>PUGET SOUND ENERGY</w:t>
      </w:r>
    </w:p>
    <w:p w:rsidR="00A51E78" w:rsidRDefault="00A51E78" w:rsidP="006D1F1E">
      <w:pPr>
        <w:pStyle w:val="center"/>
        <w:spacing w:line="480" w:lineRule="auto"/>
        <w:rPr>
          <w:color w:val="000000"/>
        </w:rPr>
      </w:pPr>
      <w:r>
        <w:rPr>
          <w:color w:val="000000"/>
        </w:rPr>
        <w:t>TABLE OF CONTENTS</w:t>
      </w:r>
    </w:p>
    <w:p w:rsidR="002B591F" w:rsidRDefault="002B591F" w:rsidP="002B591F"/>
    <w:sdt>
      <w:sdtPr>
        <w:rPr>
          <w:caps w:val="0"/>
          <w:szCs w:val="24"/>
        </w:rPr>
        <w:id w:val="-290207521"/>
        <w:docPartObj>
          <w:docPartGallery w:val="Table of Contents"/>
          <w:docPartUnique/>
        </w:docPartObj>
      </w:sdtPr>
      <w:sdtEndPr>
        <w:rPr>
          <w:b/>
          <w:bCs/>
          <w:noProof/>
        </w:rPr>
      </w:sdtEndPr>
      <w:sdtContent>
        <w:p w:rsidR="00086B70" w:rsidRDefault="00EE67C2">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36822518" w:history="1">
            <w:r w:rsidR="00086B70" w:rsidRPr="006E3392">
              <w:rPr>
                <w:rStyle w:val="Hyperlink"/>
              </w:rPr>
              <w:t>I.</w:t>
            </w:r>
            <w:r w:rsidR="00086B70">
              <w:rPr>
                <w:rFonts w:asciiTheme="minorHAnsi" w:eastAsiaTheme="minorEastAsia" w:hAnsiTheme="minorHAnsi" w:cstheme="minorBidi"/>
                <w:caps w:val="0"/>
                <w:noProof/>
                <w:sz w:val="22"/>
                <w:szCs w:val="22"/>
              </w:rPr>
              <w:tab/>
            </w:r>
            <w:r w:rsidR="00086B70" w:rsidRPr="006E3392">
              <w:rPr>
                <w:rStyle w:val="Hyperlink"/>
              </w:rPr>
              <w:t>INTRODUCTION</w:t>
            </w:r>
            <w:r w:rsidR="00086B70">
              <w:rPr>
                <w:noProof/>
                <w:webHidden/>
              </w:rPr>
              <w:tab/>
            </w:r>
            <w:r w:rsidR="00086B70">
              <w:rPr>
                <w:noProof/>
                <w:webHidden/>
              </w:rPr>
              <w:fldChar w:fldCharType="begin"/>
            </w:r>
            <w:r w:rsidR="00086B70">
              <w:rPr>
                <w:noProof/>
                <w:webHidden/>
              </w:rPr>
              <w:instrText xml:space="preserve"> PAGEREF _Toc436822518 \h </w:instrText>
            </w:r>
            <w:r w:rsidR="00086B70">
              <w:rPr>
                <w:noProof/>
                <w:webHidden/>
              </w:rPr>
            </w:r>
            <w:r w:rsidR="00086B70">
              <w:rPr>
                <w:noProof/>
                <w:webHidden/>
              </w:rPr>
              <w:fldChar w:fldCharType="separate"/>
            </w:r>
            <w:r w:rsidR="00086B70">
              <w:rPr>
                <w:noProof/>
                <w:webHidden/>
              </w:rPr>
              <w:t>1</w:t>
            </w:r>
            <w:r w:rsidR="00086B70">
              <w:rPr>
                <w:noProof/>
                <w:webHidden/>
              </w:rPr>
              <w:fldChar w:fldCharType="end"/>
            </w:r>
          </w:hyperlink>
        </w:p>
        <w:p w:rsidR="00086B70" w:rsidRDefault="00417F61">
          <w:pPr>
            <w:pStyle w:val="TOC1"/>
            <w:rPr>
              <w:rFonts w:asciiTheme="minorHAnsi" w:eastAsiaTheme="minorEastAsia" w:hAnsiTheme="minorHAnsi" w:cstheme="minorBidi"/>
              <w:caps w:val="0"/>
              <w:noProof/>
              <w:sz w:val="22"/>
              <w:szCs w:val="22"/>
            </w:rPr>
          </w:pPr>
          <w:hyperlink w:anchor="_Toc436822519" w:history="1">
            <w:r w:rsidR="00086B70" w:rsidRPr="006E3392">
              <w:rPr>
                <w:rStyle w:val="Hyperlink"/>
              </w:rPr>
              <w:t>II.</w:t>
            </w:r>
            <w:r w:rsidR="00086B70">
              <w:rPr>
                <w:rFonts w:asciiTheme="minorHAnsi" w:eastAsiaTheme="minorEastAsia" w:hAnsiTheme="minorHAnsi" w:cstheme="minorBidi"/>
                <w:caps w:val="0"/>
                <w:noProof/>
                <w:sz w:val="22"/>
                <w:szCs w:val="22"/>
              </w:rPr>
              <w:tab/>
            </w:r>
            <w:r w:rsidR="00086B70" w:rsidRPr="006E3392">
              <w:rPr>
                <w:rStyle w:val="Hyperlink"/>
              </w:rPr>
              <w:t>ARGUMENT</w:t>
            </w:r>
            <w:r w:rsidR="00086B70">
              <w:rPr>
                <w:noProof/>
                <w:webHidden/>
              </w:rPr>
              <w:tab/>
            </w:r>
            <w:r w:rsidR="00086B70">
              <w:rPr>
                <w:noProof/>
                <w:webHidden/>
              </w:rPr>
              <w:fldChar w:fldCharType="begin"/>
            </w:r>
            <w:r w:rsidR="00086B70">
              <w:rPr>
                <w:noProof/>
                <w:webHidden/>
              </w:rPr>
              <w:instrText xml:space="preserve"> PAGEREF _Toc436822519 \h </w:instrText>
            </w:r>
            <w:r w:rsidR="00086B70">
              <w:rPr>
                <w:noProof/>
                <w:webHidden/>
              </w:rPr>
            </w:r>
            <w:r w:rsidR="00086B70">
              <w:rPr>
                <w:noProof/>
                <w:webHidden/>
              </w:rPr>
              <w:fldChar w:fldCharType="separate"/>
            </w:r>
            <w:r w:rsidR="00086B70">
              <w:rPr>
                <w:noProof/>
                <w:webHidden/>
              </w:rPr>
              <w:t>2</w:t>
            </w:r>
            <w:r w:rsidR="00086B70">
              <w:rPr>
                <w:noProof/>
                <w:webHidden/>
              </w:rPr>
              <w:fldChar w:fldCharType="end"/>
            </w:r>
          </w:hyperlink>
        </w:p>
        <w:p w:rsidR="00086B70" w:rsidRDefault="00417F61">
          <w:pPr>
            <w:pStyle w:val="TOC2"/>
            <w:tabs>
              <w:tab w:val="left" w:pos="1440"/>
            </w:tabs>
            <w:rPr>
              <w:rFonts w:asciiTheme="minorHAnsi" w:eastAsiaTheme="minorEastAsia" w:hAnsiTheme="minorHAnsi" w:cstheme="minorBidi"/>
              <w:noProof/>
              <w:sz w:val="22"/>
              <w:szCs w:val="22"/>
            </w:rPr>
          </w:pPr>
          <w:hyperlink w:anchor="_Toc436822520" w:history="1">
            <w:r w:rsidR="00086B70" w:rsidRPr="006E3392">
              <w:rPr>
                <w:rStyle w:val="Hyperlink"/>
              </w:rPr>
              <w:t>A.</w:t>
            </w:r>
            <w:r w:rsidR="00086B70">
              <w:rPr>
                <w:rFonts w:asciiTheme="minorHAnsi" w:eastAsiaTheme="minorEastAsia" w:hAnsiTheme="minorHAnsi" w:cstheme="minorBidi"/>
                <w:noProof/>
                <w:sz w:val="22"/>
                <w:szCs w:val="22"/>
              </w:rPr>
              <w:tab/>
            </w:r>
            <w:r w:rsidR="00086B70" w:rsidRPr="006E3392">
              <w:rPr>
                <w:rStyle w:val="Hyperlink"/>
              </w:rPr>
              <w:t>Portions of the Staff Brief Are Outside the Limited Scope of the Issues Contemplated by Order 03</w:t>
            </w:r>
            <w:r w:rsidR="00086B70">
              <w:rPr>
                <w:noProof/>
                <w:webHidden/>
              </w:rPr>
              <w:tab/>
            </w:r>
            <w:r w:rsidR="00086B70">
              <w:rPr>
                <w:noProof/>
                <w:webHidden/>
              </w:rPr>
              <w:fldChar w:fldCharType="begin"/>
            </w:r>
            <w:r w:rsidR="00086B70">
              <w:rPr>
                <w:noProof/>
                <w:webHidden/>
              </w:rPr>
              <w:instrText xml:space="preserve"> PAGEREF _Toc436822520 \h </w:instrText>
            </w:r>
            <w:r w:rsidR="00086B70">
              <w:rPr>
                <w:noProof/>
                <w:webHidden/>
              </w:rPr>
            </w:r>
            <w:r w:rsidR="00086B70">
              <w:rPr>
                <w:noProof/>
                <w:webHidden/>
              </w:rPr>
              <w:fldChar w:fldCharType="separate"/>
            </w:r>
            <w:r w:rsidR="00086B70">
              <w:rPr>
                <w:noProof/>
                <w:webHidden/>
              </w:rPr>
              <w:t>2</w:t>
            </w:r>
            <w:r w:rsidR="00086B70">
              <w:rPr>
                <w:noProof/>
                <w:webHidden/>
              </w:rPr>
              <w:fldChar w:fldCharType="end"/>
            </w:r>
          </w:hyperlink>
        </w:p>
        <w:p w:rsidR="00086B70" w:rsidRDefault="00417F61">
          <w:pPr>
            <w:pStyle w:val="TOC2"/>
            <w:tabs>
              <w:tab w:val="left" w:pos="1440"/>
            </w:tabs>
            <w:rPr>
              <w:rFonts w:asciiTheme="minorHAnsi" w:eastAsiaTheme="minorEastAsia" w:hAnsiTheme="minorHAnsi" w:cstheme="minorBidi"/>
              <w:noProof/>
              <w:sz w:val="22"/>
              <w:szCs w:val="22"/>
            </w:rPr>
          </w:pPr>
          <w:hyperlink w:anchor="_Toc436822521" w:history="1">
            <w:r w:rsidR="00086B70" w:rsidRPr="006E3392">
              <w:rPr>
                <w:rStyle w:val="Hyperlink"/>
              </w:rPr>
              <w:t>B.</w:t>
            </w:r>
            <w:r w:rsidR="00086B70">
              <w:rPr>
                <w:rFonts w:asciiTheme="minorHAnsi" w:eastAsiaTheme="minorEastAsia" w:hAnsiTheme="minorHAnsi" w:cstheme="minorBidi"/>
                <w:noProof/>
                <w:sz w:val="22"/>
                <w:szCs w:val="22"/>
              </w:rPr>
              <w:tab/>
            </w:r>
            <w:r w:rsidR="00086B70" w:rsidRPr="006E3392">
              <w:rPr>
                <w:rStyle w:val="Hyperlink"/>
              </w:rPr>
              <w:t>Portions of the Staff Brief Are Not Supported by Evidence</w:t>
            </w:r>
            <w:r w:rsidR="00086B70">
              <w:rPr>
                <w:noProof/>
                <w:webHidden/>
              </w:rPr>
              <w:tab/>
            </w:r>
            <w:r w:rsidR="00086B70">
              <w:rPr>
                <w:noProof/>
                <w:webHidden/>
              </w:rPr>
              <w:fldChar w:fldCharType="begin"/>
            </w:r>
            <w:r w:rsidR="00086B70">
              <w:rPr>
                <w:noProof/>
                <w:webHidden/>
              </w:rPr>
              <w:instrText xml:space="preserve"> PAGEREF _Toc436822521 \h </w:instrText>
            </w:r>
            <w:r w:rsidR="00086B70">
              <w:rPr>
                <w:noProof/>
                <w:webHidden/>
              </w:rPr>
            </w:r>
            <w:r w:rsidR="00086B70">
              <w:rPr>
                <w:noProof/>
                <w:webHidden/>
              </w:rPr>
              <w:fldChar w:fldCharType="separate"/>
            </w:r>
            <w:r w:rsidR="00086B70">
              <w:rPr>
                <w:noProof/>
                <w:webHidden/>
              </w:rPr>
              <w:t>5</w:t>
            </w:r>
            <w:r w:rsidR="00086B70">
              <w:rPr>
                <w:noProof/>
                <w:webHidden/>
              </w:rPr>
              <w:fldChar w:fldCharType="end"/>
            </w:r>
          </w:hyperlink>
        </w:p>
        <w:p w:rsidR="00086B70" w:rsidRDefault="00417F61">
          <w:pPr>
            <w:pStyle w:val="TOC2"/>
            <w:tabs>
              <w:tab w:val="left" w:pos="1440"/>
            </w:tabs>
            <w:rPr>
              <w:rFonts w:asciiTheme="minorHAnsi" w:eastAsiaTheme="minorEastAsia" w:hAnsiTheme="minorHAnsi" w:cstheme="minorBidi"/>
              <w:noProof/>
              <w:sz w:val="22"/>
              <w:szCs w:val="22"/>
            </w:rPr>
          </w:pPr>
          <w:hyperlink w:anchor="_Toc436822522" w:history="1">
            <w:r w:rsidR="00086B70" w:rsidRPr="006E3392">
              <w:rPr>
                <w:rStyle w:val="Hyperlink"/>
              </w:rPr>
              <w:t>C.</w:t>
            </w:r>
            <w:r w:rsidR="00086B70">
              <w:rPr>
                <w:rFonts w:asciiTheme="minorHAnsi" w:eastAsiaTheme="minorEastAsia" w:hAnsiTheme="minorHAnsi" w:cstheme="minorBidi"/>
                <w:noProof/>
                <w:sz w:val="22"/>
                <w:szCs w:val="22"/>
              </w:rPr>
              <w:tab/>
            </w:r>
            <w:r w:rsidR="00086B70" w:rsidRPr="006E3392">
              <w:rPr>
                <w:rStyle w:val="Hyperlink"/>
              </w:rPr>
              <w:t>Portions of the Staff Brief Involve Asserted Facts that PSE Would Contest in the Proceeding</w:t>
            </w:r>
            <w:r w:rsidR="00086B70">
              <w:rPr>
                <w:noProof/>
                <w:webHidden/>
              </w:rPr>
              <w:tab/>
            </w:r>
            <w:r w:rsidR="00086B70">
              <w:rPr>
                <w:noProof/>
                <w:webHidden/>
              </w:rPr>
              <w:fldChar w:fldCharType="begin"/>
            </w:r>
            <w:r w:rsidR="00086B70">
              <w:rPr>
                <w:noProof/>
                <w:webHidden/>
              </w:rPr>
              <w:instrText xml:space="preserve"> PAGEREF _Toc436822522 \h </w:instrText>
            </w:r>
            <w:r w:rsidR="00086B70">
              <w:rPr>
                <w:noProof/>
                <w:webHidden/>
              </w:rPr>
            </w:r>
            <w:r w:rsidR="00086B70">
              <w:rPr>
                <w:noProof/>
                <w:webHidden/>
              </w:rPr>
              <w:fldChar w:fldCharType="separate"/>
            </w:r>
            <w:r w:rsidR="00086B70">
              <w:rPr>
                <w:noProof/>
                <w:webHidden/>
              </w:rPr>
              <w:t>7</w:t>
            </w:r>
            <w:r w:rsidR="00086B70">
              <w:rPr>
                <w:noProof/>
                <w:webHidden/>
              </w:rPr>
              <w:fldChar w:fldCharType="end"/>
            </w:r>
          </w:hyperlink>
        </w:p>
        <w:p w:rsidR="00086B70" w:rsidRDefault="00417F61">
          <w:pPr>
            <w:pStyle w:val="TOC3"/>
            <w:tabs>
              <w:tab w:val="left" w:pos="2160"/>
            </w:tabs>
            <w:rPr>
              <w:rFonts w:asciiTheme="minorHAnsi" w:eastAsiaTheme="minorEastAsia" w:hAnsiTheme="minorHAnsi" w:cstheme="minorBidi"/>
              <w:noProof/>
              <w:sz w:val="22"/>
              <w:szCs w:val="22"/>
            </w:rPr>
          </w:pPr>
          <w:hyperlink w:anchor="_Toc436822523" w:history="1">
            <w:r w:rsidR="00086B70" w:rsidRPr="006E3392">
              <w:rPr>
                <w:rStyle w:val="Hyperlink"/>
              </w:rPr>
              <w:t>1.</w:t>
            </w:r>
            <w:r w:rsidR="00086B70">
              <w:rPr>
                <w:rFonts w:asciiTheme="minorHAnsi" w:eastAsiaTheme="minorEastAsia" w:hAnsiTheme="minorHAnsi" w:cstheme="minorBidi"/>
                <w:noProof/>
                <w:sz w:val="22"/>
                <w:szCs w:val="22"/>
              </w:rPr>
              <w:tab/>
            </w:r>
            <w:r w:rsidR="00086B70" w:rsidRPr="006E3392">
              <w:rPr>
                <w:rStyle w:val="Hyperlink"/>
              </w:rPr>
              <w:t>PSE Would Contest the Characterizations Made in the Staff Brief Regarding the Commodity to be Provided Pursuant to the TOTE Special Contract</w:t>
            </w:r>
            <w:r w:rsidR="00086B70">
              <w:rPr>
                <w:noProof/>
                <w:webHidden/>
              </w:rPr>
              <w:tab/>
            </w:r>
            <w:r w:rsidR="00086B70">
              <w:rPr>
                <w:noProof/>
                <w:webHidden/>
              </w:rPr>
              <w:fldChar w:fldCharType="begin"/>
            </w:r>
            <w:r w:rsidR="00086B70">
              <w:rPr>
                <w:noProof/>
                <w:webHidden/>
              </w:rPr>
              <w:instrText xml:space="preserve"> PAGEREF _Toc436822523 \h </w:instrText>
            </w:r>
            <w:r w:rsidR="00086B70">
              <w:rPr>
                <w:noProof/>
                <w:webHidden/>
              </w:rPr>
            </w:r>
            <w:r w:rsidR="00086B70">
              <w:rPr>
                <w:noProof/>
                <w:webHidden/>
              </w:rPr>
              <w:fldChar w:fldCharType="separate"/>
            </w:r>
            <w:r w:rsidR="00086B70">
              <w:rPr>
                <w:noProof/>
                <w:webHidden/>
              </w:rPr>
              <w:t>7</w:t>
            </w:r>
            <w:r w:rsidR="00086B70">
              <w:rPr>
                <w:noProof/>
                <w:webHidden/>
              </w:rPr>
              <w:fldChar w:fldCharType="end"/>
            </w:r>
          </w:hyperlink>
        </w:p>
        <w:p w:rsidR="00086B70" w:rsidRDefault="00417F61">
          <w:pPr>
            <w:pStyle w:val="TOC3"/>
            <w:tabs>
              <w:tab w:val="left" w:pos="2160"/>
            </w:tabs>
            <w:rPr>
              <w:rFonts w:asciiTheme="minorHAnsi" w:eastAsiaTheme="minorEastAsia" w:hAnsiTheme="minorHAnsi" w:cstheme="minorBidi"/>
              <w:noProof/>
              <w:sz w:val="22"/>
              <w:szCs w:val="22"/>
            </w:rPr>
          </w:pPr>
          <w:hyperlink w:anchor="_Toc436822524" w:history="1">
            <w:r w:rsidR="00086B70" w:rsidRPr="006E3392">
              <w:rPr>
                <w:rStyle w:val="Hyperlink"/>
              </w:rPr>
              <w:t>2.</w:t>
            </w:r>
            <w:r w:rsidR="00086B70">
              <w:rPr>
                <w:rFonts w:asciiTheme="minorHAnsi" w:eastAsiaTheme="minorEastAsia" w:hAnsiTheme="minorHAnsi" w:cstheme="minorBidi"/>
                <w:noProof/>
                <w:sz w:val="22"/>
                <w:szCs w:val="22"/>
              </w:rPr>
              <w:tab/>
            </w:r>
            <w:r w:rsidR="00086B70" w:rsidRPr="006E3392">
              <w:rPr>
                <w:rStyle w:val="Hyperlink"/>
              </w:rPr>
              <w:t>PSE Would Contest the Characterization Made in the Staff Brief that Service Pursuant to the TOTE Special Contract Would be a “Behind-the-Meter” Service</w:t>
            </w:r>
            <w:r w:rsidR="00086B70">
              <w:rPr>
                <w:noProof/>
                <w:webHidden/>
              </w:rPr>
              <w:tab/>
            </w:r>
            <w:r w:rsidR="00086B70">
              <w:rPr>
                <w:noProof/>
                <w:webHidden/>
              </w:rPr>
              <w:fldChar w:fldCharType="begin"/>
            </w:r>
            <w:r w:rsidR="00086B70">
              <w:rPr>
                <w:noProof/>
                <w:webHidden/>
              </w:rPr>
              <w:instrText xml:space="preserve"> PAGEREF _Toc436822524 \h </w:instrText>
            </w:r>
            <w:r w:rsidR="00086B70">
              <w:rPr>
                <w:noProof/>
                <w:webHidden/>
              </w:rPr>
            </w:r>
            <w:r w:rsidR="00086B70">
              <w:rPr>
                <w:noProof/>
                <w:webHidden/>
              </w:rPr>
              <w:fldChar w:fldCharType="separate"/>
            </w:r>
            <w:r w:rsidR="00086B70">
              <w:rPr>
                <w:noProof/>
                <w:webHidden/>
              </w:rPr>
              <w:t>10</w:t>
            </w:r>
            <w:r w:rsidR="00086B70">
              <w:rPr>
                <w:noProof/>
                <w:webHidden/>
              </w:rPr>
              <w:fldChar w:fldCharType="end"/>
            </w:r>
          </w:hyperlink>
        </w:p>
        <w:p w:rsidR="00086B70" w:rsidRDefault="00417F61">
          <w:pPr>
            <w:pStyle w:val="TOC3"/>
            <w:tabs>
              <w:tab w:val="left" w:pos="2160"/>
            </w:tabs>
            <w:rPr>
              <w:rFonts w:asciiTheme="minorHAnsi" w:eastAsiaTheme="minorEastAsia" w:hAnsiTheme="minorHAnsi" w:cstheme="minorBidi"/>
              <w:noProof/>
              <w:sz w:val="22"/>
              <w:szCs w:val="22"/>
            </w:rPr>
          </w:pPr>
          <w:hyperlink w:anchor="_Toc436822525" w:history="1">
            <w:r w:rsidR="00086B70" w:rsidRPr="006E3392">
              <w:rPr>
                <w:rStyle w:val="Hyperlink"/>
              </w:rPr>
              <w:t>3.</w:t>
            </w:r>
            <w:r w:rsidR="00086B70">
              <w:rPr>
                <w:rFonts w:asciiTheme="minorHAnsi" w:eastAsiaTheme="minorEastAsia" w:hAnsiTheme="minorHAnsi" w:cstheme="minorBidi"/>
                <w:noProof/>
                <w:sz w:val="22"/>
                <w:szCs w:val="22"/>
              </w:rPr>
              <w:tab/>
            </w:r>
            <w:r w:rsidR="00086B70" w:rsidRPr="006E3392">
              <w:rPr>
                <w:rStyle w:val="Hyperlink"/>
              </w:rPr>
              <w:t>PSE Would Contest the Characterization Made in the Staff Brief that It is Improper for PSE to Take Title to Natural Gas it Distributes</w:t>
            </w:r>
            <w:r w:rsidR="00086B70">
              <w:rPr>
                <w:noProof/>
                <w:webHidden/>
              </w:rPr>
              <w:tab/>
            </w:r>
            <w:r w:rsidR="00086B70">
              <w:rPr>
                <w:noProof/>
                <w:webHidden/>
              </w:rPr>
              <w:fldChar w:fldCharType="begin"/>
            </w:r>
            <w:r w:rsidR="00086B70">
              <w:rPr>
                <w:noProof/>
                <w:webHidden/>
              </w:rPr>
              <w:instrText xml:space="preserve"> PAGEREF _Toc436822525 \h </w:instrText>
            </w:r>
            <w:r w:rsidR="00086B70">
              <w:rPr>
                <w:noProof/>
                <w:webHidden/>
              </w:rPr>
            </w:r>
            <w:r w:rsidR="00086B70">
              <w:rPr>
                <w:noProof/>
                <w:webHidden/>
              </w:rPr>
              <w:fldChar w:fldCharType="separate"/>
            </w:r>
            <w:r w:rsidR="00086B70">
              <w:rPr>
                <w:noProof/>
                <w:webHidden/>
              </w:rPr>
              <w:t>10</w:t>
            </w:r>
            <w:r w:rsidR="00086B70">
              <w:rPr>
                <w:noProof/>
                <w:webHidden/>
              </w:rPr>
              <w:fldChar w:fldCharType="end"/>
            </w:r>
          </w:hyperlink>
        </w:p>
        <w:p w:rsidR="00086B70" w:rsidRDefault="00417F61">
          <w:pPr>
            <w:pStyle w:val="TOC3"/>
            <w:tabs>
              <w:tab w:val="left" w:pos="2160"/>
            </w:tabs>
            <w:rPr>
              <w:rFonts w:asciiTheme="minorHAnsi" w:eastAsiaTheme="minorEastAsia" w:hAnsiTheme="minorHAnsi" w:cstheme="minorBidi"/>
              <w:noProof/>
              <w:sz w:val="22"/>
              <w:szCs w:val="22"/>
            </w:rPr>
          </w:pPr>
          <w:hyperlink w:anchor="_Toc436822526" w:history="1">
            <w:r w:rsidR="00086B70" w:rsidRPr="006E3392">
              <w:rPr>
                <w:rStyle w:val="Hyperlink"/>
              </w:rPr>
              <w:t>4.</w:t>
            </w:r>
            <w:r w:rsidR="00086B70">
              <w:rPr>
                <w:rFonts w:asciiTheme="minorHAnsi" w:eastAsiaTheme="minorEastAsia" w:hAnsiTheme="minorHAnsi" w:cstheme="minorBidi"/>
                <w:noProof/>
                <w:sz w:val="22"/>
                <w:szCs w:val="22"/>
              </w:rPr>
              <w:tab/>
            </w:r>
            <w:r w:rsidR="00086B70" w:rsidRPr="006E3392">
              <w:rPr>
                <w:rStyle w:val="Hyperlink"/>
              </w:rPr>
              <w:t>PSE Would Contest the Characterizations Made in the Staff Brief Suggesting that It is Somehow Inappropriate for a Gas Company to Include a Specified Term of a Number of Years in a Special Contract</w:t>
            </w:r>
            <w:r w:rsidR="00086B70">
              <w:rPr>
                <w:noProof/>
                <w:webHidden/>
              </w:rPr>
              <w:tab/>
            </w:r>
            <w:r w:rsidR="00086B70">
              <w:rPr>
                <w:noProof/>
                <w:webHidden/>
              </w:rPr>
              <w:fldChar w:fldCharType="begin"/>
            </w:r>
            <w:r w:rsidR="00086B70">
              <w:rPr>
                <w:noProof/>
                <w:webHidden/>
              </w:rPr>
              <w:instrText xml:space="preserve"> PAGEREF _Toc436822526 \h </w:instrText>
            </w:r>
            <w:r w:rsidR="00086B70">
              <w:rPr>
                <w:noProof/>
                <w:webHidden/>
              </w:rPr>
            </w:r>
            <w:r w:rsidR="00086B70">
              <w:rPr>
                <w:noProof/>
                <w:webHidden/>
              </w:rPr>
              <w:fldChar w:fldCharType="separate"/>
            </w:r>
            <w:r w:rsidR="00086B70">
              <w:rPr>
                <w:noProof/>
                <w:webHidden/>
              </w:rPr>
              <w:t>11</w:t>
            </w:r>
            <w:r w:rsidR="00086B70">
              <w:rPr>
                <w:noProof/>
                <w:webHidden/>
              </w:rPr>
              <w:fldChar w:fldCharType="end"/>
            </w:r>
          </w:hyperlink>
        </w:p>
        <w:p w:rsidR="00086B70" w:rsidRDefault="00417F61">
          <w:pPr>
            <w:pStyle w:val="TOC3"/>
            <w:tabs>
              <w:tab w:val="left" w:pos="2160"/>
            </w:tabs>
            <w:rPr>
              <w:rFonts w:asciiTheme="minorHAnsi" w:eastAsiaTheme="minorEastAsia" w:hAnsiTheme="minorHAnsi" w:cstheme="minorBidi"/>
              <w:noProof/>
              <w:sz w:val="22"/>
              <w:szCs w:val="22"/>
            </w:rPr>
          </w:pPr>
          <w:hyperlink w:anchor="_Toc436822527" w:history="1">
            <w:r w:rsidR="00086B70" w:rsidRPr="006E3392">
              <w:rPr>
                <w:rStyle w:val="Hyperlink"/>
              </w:rPr>
              <w:t>5.</w:t>
            </w:r>
            <w:r w:rsidR="00086B70">
              <w:rPr>
                <w:rFonts w:asciiTheme="minorHAnsi" w:eastAsiaTheme="minorEastAsia" w:hAnsiTheme="minorHAnsi" w:cstheme="minorBidi"/>
                <w:noProof/>
                <w:sz w:val="22"/>
                <w:szCs w:val="22"/>
              </w:rPr>
              <w:tab/>
            </w:r>
            <w:r w:rsidR="00086B70" w:rsidRPr="006E3392">
              <w:rPr>
                <w:rStyle w:val="Hyperlink"/>
              </w:rPr>
              <w:t>PSE Would Contest the Characterizations Made in the Staff Brief Suggesting that Regulation of LNG Sales by PSE Would Somehow Inhibit the Development of the Market for LNG</w:t>
            </w:r>
            <w:r w:rsidR="00086B70">
              <w:rPr>
                <w:noProof/>
                <w:webHidden/>
              </w:rPr>
              <w:tab/>
            </w:r>
            <w:r w:rsidR="00086B70">
              <w:rPr>
                <w:noProof/>
                <w:webHidden/>
              </w:rPr>
              <w:fldChar w:fldCharType="begin"/>
            </w:r>
            <w:r w:rsidR="00086B70">
              <w:rPr>
                <w:noProof/>
                <w:webHidden/>
              </w:rPr>
              <w:instrText xml:space="preserve"> PAGEREF _Toc436822527 \h </w:instrText>
            </w:r>
            <w:r w:rsidR="00086B70">
              <w:rPr>
                <w:noProof/>
                <w:webHidden/>
              </w:rPr>
            </w:r>
            <w:r w:rsidR="00086B70">
              <w:rPr>
                <w:noProof/>
                <w:webHidden/>
              </w:rPr>
              <w:fldChar w:fldCharType="separate"/>
            </w:r>
            <w:r w:rsidR="00086B70">
              <w:rPr>
                <w:noProof/>
                <w:webHidden/>
              </w:rPr>
              <w:t>12</w:t>
            </w:r>
            <w:r w:rsidR="00086B70">
              <w:rPr>
                <w:noProof/>
                <w:webHidden/>
              </w:rPr>
              <w:fldChar w:fldCharType="end"/>
            </w:r>
          </w:hyperlink>
        </w:p>
        <w:p w:rsidR="00086B70" w:rsidRDefault="00417F61">
          <w:pPr>
            <w:pStyle w:val="TOC3"/>
            <w:tabs>
              <w:tab w:val="left" w:pos="2160"/>
            </w:tabs>
            <w:rPr>
              <w:rFonts w:asciiTheme="minorHAnsi" w:eastAsiaTheme="minorEastAsia" w:hAnsiTheme="minorHAnsi" w:cstheme="minorBidi"/>
              <w:noProof/>
              <w:sz w:val="22"/>
              <w:szCs w:val="22"/>
            </w:rPr>
          </w:pPr>
          <w:hyperlink w:anchor="_Toc436822528" w:history="1">
            <w:r w:rsidR="00086B70" w:rsidRPr="006E3392">
              <w:rPr>
                <w:rStyle w:val="Hyperlink"/>
              </w:rPr>
              <w:t>6.</w:t>
            </w:r>
            <w:r w:rsidR="00086B70">
              <w:rPr>
                <w:rFonts w:asciiTheme="minorHAnsi" w:eastAsiaTheme="minorEastAsia" w:hAnsiTheme="minorHAnsi" w:cstheme="minorBidi"/>
                <w:noProof/>
                <w:sz w:val="22"/>
                <w:szCs w:val="22"/>
              </w:rPr>
              <w:tab/>
            </w:r>
            <w:r w:rsidR="00086B70" w:rsidRPr="006E3392">
              <w:rPr>
                <w:rStyle w:val="Hyperlink"/>
              </w:rPr>
              <w:t>PSE Would Contest the Characterizations Made in the Staff Brief Suggesting that Section 2.3.1(c) of the TOTE Special Contract Somehow Caps the Contract Price</w:t>
            </w:r>
            <w:r w:rsidR="00086B70">
              <w:rPr>
                <w:noProof/>
                <w:webHidden/>
              </w:rPr>
              <w:tab/>
            </w:r>
            <w:r w:rsidR="00086B70">
              <w:rPr>
                <w:noProof/>
                <w:webHidden/>
              </w:rPr>
              <w:fldChar w:fldCharType="begin"/>
            </w:r>
            <w:r w:rsidR="00086B70">
              <w:rPr>
                <w:noProof/>
                <w:webHidden/>
              </w:rPr>
              <w:instrText xml:space="preserve"> PAGEREF _Toc436822528 \h </w:instrText>
            </w:r>
            <w:r w:rsidR="00086B70">
              <w:rPr>
                <w:noProof/>
                <w:webHidden/>
              </w:rPr>
            </w:r>
            <w:r w:rsidR="00086B70">
              <w:rPr>
                <w:noProof/>
                <w:webHidden/>
              </w:rPr>
              <w:fldChar w:fldCharType="separate"/>
            </w:r>
            <w:r w:rsidR="00086B70">
              <w:rPr>
                <w:noProof/>
                <w:webHidden/>
              </w:rPr>
              <w:t>12</w:t>
            </w:r>
            <w:r w:rsidR="00086B70">
              <w:rPr>
                <w:noProof/>
                <w:webHidden/>
              </w:rPr>
              <w:fldChar w:fldCharType="end"/>
            </w:r>
          </w:hyperlink>
        </w:p>
        <w:p w:rsidR="00086B70" w:rsidRDefault="00417F61">
          <w:pPr>
            <w:pStyle w:val="TOC1"/>
            <w:rPr>
              <w:rFonts w:asciiTheme="minorHAnsi" w:eastAsiaTheme="minorEastAsia" w:hAnsiTheme="minorHAnsi" w:cstheme="minorBidi"/>
              <w:caps w:val="0"/>
              <w:noProof/>
              <w:sz w:val="22"/>
              <w:szCs w:val="22"/>
            </w:rPr>
          </w:pPr>
          <w:hyperlink w:anchor="_Toc436822529" w:history="1">
            <w:r w:rsidR="00086B70" w:rsidRPr="006E3392">
              <w:rPr>
                <w:rStyle w:val="Hyperlink"/>
              </w:rPr>
              <w:t>III.</w:t>
            </w:r>
            <w:r w:rsidR="00086B70">
              <w:rPr>
                <w:rFonts w:asciiTheme="minorHAnsi" w:eastAsiaTheme="minorEastAsia" w:hAnsiTheme="minorHAnsi" w:cstheme="minorBidi"/>
                <w:caps w:val="0"/>
                <w:noProof/>
                <w:sz w:val="22"/>
                <w:szCs w:val="22"/>
              </w:rPr>
              <w:tab/>
            </w:r>
            <w:r w:rsidR="00086B70" w:rsidRPr="006E3392">
              <w:rPr>
                <w:rStyle w:val="Hyperlink"/>
              </w:rPr>
              <w:t>CONCLUSION</w:t>
            </w:r>
            <w:r w:rsidR="00086B70">
              <w:rPr>
                <w:noProof/>
                <w:webHidden/>
              </w:rPr>
              <w:tab/>
            </w:r>
            <w:r w:rsidR="00086B70">
              <w:rPr>
                <w:noProof/>
                <w:webHidden/>
              </w:rPr>
              <w:fldChar w:fldCharType="begin"/>
            </w:r>
            <w:r w:rsidR="00086B70">
              <w:rPr>
                <w:noProof/>
                <w:webHidden/>
              </w:rPr>
              <w:instrText xml:space="preserve"> PAGEREF _Toc436822529 \h </w:instrText>
            </w:r>
            <w:r w:rsidR="00086B70">
              <w:rPr>
                <w:noProof/>
                <w:webHidden/>
              </w:rPr>
            </w:r>
            <w:r w:rsidR="00086B70">
              <w:rPr>
                <w:noProof/>
                <w:webHidden/>
              </w:rPr>
              <w:fldChar w:fldCharType="separate"/>
            </w:r>
            <w:r w:rsidR="00086B70">
              <w:rPr>
                <w:noProof/>
                <w:webHidden/>
              </w:rPr>
              <w:t>14</w:t>
            </w:r>
            <w:r w:rsidR="00086B70">
              <w:rPr>
                <w:noProof/>
                <w:webHidden/>
              </w:rPr>
              <w:fldChar w:fldCharType="end"/>
            </w:r>
          </w:hyperlink>
        </w:p>
        <w:p w:rsidR="00EE67C2" w:rsidRDefault="00EE67C2">
          <w:r>
            <w:rPr>
              <w:b/>
              <w:bCs/>
              <w:noProof/>
            </w:rPr>
            <w:fldChar w:fldCharType="end"/>
          </w:r>
        </w:p>
      </w:sdtContent>
    </w:sdt>
    <w:p w:rsidR="00A51E78" w:rsidRDefault="00A51E78" w:rsidP="006D1F1E">
      <w:pPr>
        <w:pStyle w:val="center"/>
        <w:spacing w:line="480" w:lineRule="auto"/>
      </w:pPr>
      <w:r>
        <w:br w:type="page"/>
      </w:r>
      <w:r>
        <w:lastRenderedPageBreak/>
        <w:t>PUGET SOUND ENERGY</w:t>
      </w:r>
    </w:p>
    <w:p w:rsidR="00A51E78" w:rsidRDefault="00A51E78" w:rsidP="006D1F1E">
      <w:pPr>
        <w:pStyle w:val="center"/>
        <w:spacing w:line="480" w:lineRule="auto"/>
      </w:pPr>
      <w:r w:rsidRPr="002E7BED">
        <w:t>TABLE OF AUTHORITIES</w:t>
      </w:r>
    </w:p>
    <w:p w:rsidR="005B180C" w:rsidRDefault="005B180C">
      <w:pPr>
        <w:pStyle w:val="TOAHeading"/>
        <w:tabs>
          <w:tab w:val="right" w:leader="dot" w:pos="9350"/>
        </w:tabs>
        <w:rPr>
          <w:rFonts w:asciiTheme="minorHAnsi" w:eastAsiaTheme="minorEastAsia" w:hAnsiTheme="minorHAnsi" w:cstheme="minorBidi"/>
          <w:b w:val="0"/>
          <w:bCs w:val="0"/>
          <w:sz w:val="22"/>
          <w:szCs w:val="22"/>
        </w:rPr>
      </w:pPr>
      <w:r>
        <w:fldChar w:fldCharType="begin"/>
      </w:r>
      <w:r>
        <w:instrText xml:space="preserve"> TOA \h \c "3" \p </w:instrText>
      </w:r>
      <w:r>
        <w:fldChar w:fldCharType="separate"/>
      </w:r>
      <w:r>
        <w:t>Other Authorities</w:t>
      </w:r>
    </w:p>
    <w:p w:rsidR="005B180C" w:rsidRDefault="005B180C">
      <w:pPr>
        <w:pStyle w:val="TableofAuthorities"/>
        <w:tabs>
          <w:tab w:val="right" w:leader="dot" w:pos="9350"/>
        </w:tabs>
      </w:pPr>
      <w:r w:rsidRPr="00B70587">
        <w:rPr>
          <w:color w:val="FF33CC"/>
        </w:rPr>
        <w:t>Pub. L. 102–486, title IV, § 404(b)</w:t>
      </w:r>
      <w:r>
        <w:tab/>
        <w:t>12</w:t>
      </w:r>
    </w:p>
    <w:p w:rsidR="005B180C" w:rsidRDefault="005B180C">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"6" \p </w:instrText>
      </w:r>
      <w:r>
        <w:fldChar w:fldCharType="separate"/>
      </w:r>
      <w:r>
        <w:t>Regulations</w:t>
      </w:r>
    </w:p>
    <w:p w:rsidR="005B180C" w:rsidRDefault="005B180C">
      <w:pPr>
        <w:pStyle w:val="TableofAuthorities"/>
        <w:tabs>
          <w:tab w:val="right" w:leader="dot" w:pos="9350"/>
        </w:tabs>
      </w:pPr>
      <w:r w:rsidRPr="00CC6A2A">
        <w:rPr>
          <w:color w:val="FF00FF"/>
        </w:rPr>
        <w:t>WAC 480-80-143</w:t>
      </w:r>
      <w:r>
        <w:tab/>
        <w:t>5</w:t>
      </w:r>
    </w:p>
    <w:p w:rsidR="005B180C" w:rsidRDefault="005B180C">
      <w:pPr>
        <w:pStyle w:val="TableofAuthorities"/>
        <w:tabs>
          <w:tab w:val="right" w:leader="dot" w:pos="9350"/>
        </w:tabs>
      </w:pPr>
      <w:r w:rsidRPr="00CC6A2A">
        <w:rPr>
          <w:color w:val="FF00FF"/>
        </w:rPr>
        <w:t>WAC 480-80-153</w:t>
      </w:r>
      <w:r>
        <w:tab/>
        <w:t>6</w:t>
      </w:r>
    </w:p>
    <w:p w:rsidR="005B180C" w:rsidRDefault="005B180C">
      <w:pPr>
        <w:pStyle w:val="TableofAuthorities"/>
        <w:tabs>
          <w:tab w:val="right" w:leader="dot" w:pos="9350"/>
        </w:tabs>
      </w:pPr>
      <w:r w:rsidRPr="00CC6A2A">
        <w:rPr>
          <w:color w:val="FF00FF"/>
        </w:rPr>
        <w:t>WAC 480-90-023</w:t>
      </w:r>
      <w:r>
        <w:tab/>
        <w:t>8</w:t>
      </w:r>
    </w:p>
    <w:p w:rsidR="005B180C" w:rsidRDefault="005B180C">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"8" \p </w:instrText>
      </w:r>
      <w:r>
        <w:fldChar w:fldCharType="separate"/>
      </w:r>
      <w:r>
        <w:t>Commission Decisions</w:t>
      </w:r>
    </w:p>
    <w:p w:rsidR="005B180C" w:rsidRDefault="005B180C">
      <w:pPr>
        <w:pStyle w:val="TableofAuthorities"/>
        <w:tabs>
          <w:tab w:val="right" w:leader="dot" w:pos="9350"/>
        </w:tabs>
      </w:pPr>
      <w:r w:rsidRPr="004A037D">
        <w:rPr>
          <w:color w:val="FF3399"/>
        </w:rPr>
        <w:t>In the Matter of the Application of Cascade Natural Gas Corporation, Inc., for Authority to Implement a Special Contract for Gas with E-Next Generation LLC, Docket UG-010957, (Aug. 8, 2001)</w:t>
      </w:r>
      <w:r>
        <w:tab/>
        <w:t>11</w:t>
      </w:r>
    </w:p>
    <w:p w:rsidR="005B180C" w:rsidRDefault="005B180C">
      <w:pPr>
        <w:pStyle w:val="TableofAuthorities"/>
        <w:tabs>
          <w:tab w:val="right" w:leader="dot" w:pos="9350"/>
        </w:tabs>
      </w:pPr>
      <w:r w:rsidRPr="004A037D">
        <w:rPr>
          <w:color w:val="FF3399"/>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 Docket UG-151663, Order 03 (Oct. 15, 2015)</w:t>
      </w:r>
      <w:r>
        <w:tab/>
        <w:t>passim</w:t>
      </w:r>
    </w:p>
    <w:p w:rsidR="005B180C" w:rsidRDefault="005B180C">
      <w:pPr>
        <w:pStyle w:val="TableofAuthorities"/>
        <w:tabs>
          <w:tab w:val="right" w:leader="dot" w:pos="9350"/>
        </w:tabs>
      </w:pPr>
      <w:r w:rsidRPr="004A037D">
        <w:rPr>
          <w:color w:val="FF3399"/>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 Docket UG-151663, Order 01 (Sept. 8, 2015)</w:t>
      </w:r>
      <w:r>
        <w:tab/>
        <w:t>1</w:t>
      </w:r>
    </w:p>
    <w:p w:rsidR="005B180C" w:rsidRDefault="005B180C">
      <w:pPr>
        <w:pStyle w:val="TableofAuthorities"/>
        <w:tabs>
          <w:tab w:val="right" w:leader="dot" w:pos="9350"/>
        </w:tabs>
      </w:pPr>
      <w:r w:rsidRPr="004A037D">
        <w:rPr>
          <w:color w:val="FF3399"/>
        </w:rPr>
        <w:t>WUTC v. Cascade Natural Gas Corp., Docket UG-921047, Order 01 (Mar. 27, 2008)</w:t>
      </w:r>
      <w:r>
        <w:tab/>
        <w:t>11</w:t>
      </w:r>
    </w:p>
    <w:p w:rsidR="005B180C" w:rsidRDefault="005B180C">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"9" \p </w:instrText>
      </w:r>
      <w:r>
        <w:fldChar w:fldCharType="separate"/>
      </w:r>
      <w:r>
        <w:t>Secondary Sources</w:t>
      </w:r>
    </w:p>
    <w:p w:rsidR="005B180C" w:rsidRDefault="005B180C">
      <w:pPr>
        <w:pStyle w:val="TableofAuthorities"/>
        <w:tabs>
          <w:tab w:val="right" w:leader="dot" w:pos="9350"/>
        </w:tabs>
      </w:pPr>
      <w:r w:rsidRPr="007F2684">
        <w:rPr>
          <w:color w:val="FF3399"/>
        </w:rPr>
        <w:t>Northwest Pipeline LLC, Daily Gas Quality Values, available at http://www.northwest.williams.com/NWP_Portal/gasQualityValues.action (last accessed Dec. 1, 2015)</w:t>
      </w:r>
      <w:r>
        <w:tab/>
        <w:t>8</w:t>
      </w:r>
    </w:p>
    <w:p w:rsidR="005B180C" w:rsidRDefault="005B180C">
      <w:pPr>
        <w:pStyle w:val="TableofAuthorities"/>
        <w:tabs>
          <w:tab w:val="right" w:leader="dot" w:pos="9350"/>
        </w:tabs>
      </w:pPr>
      <w:r w:rsidRPr="007F2684">
        <w:rPr>
          <w:color w:val="FF3399"/>
        </w:rPr>
        <w:t xml:space="preserve">Northwest Pipeline LLC, FERC Gas Tariff, Fifth Revised Volume No. 1, at Fifth Revised Sheet No. 204 through Third Revised Sheet No. 205-B, available at </w:t>
      </w:r>
      <w:r w:rsidRPr="007F2684">
        <w:rPr>
          <w:color w:val="FF3399"/>
        </w:rPr>
        <w:lastRenderedPageBreak/>
        <w:t>http://www.northwest.williams.com/Files/Northwest/tariff/tariff_GTC.pdf (last accessed Dec. 1, 2015)</w:t>
      </w:r>
      <w:r>
        <w:tab/>
        <w:t>8</w:t>
      </w:r>
    </w:p>
    <w:p w:rsidR="005B180C" w:rsidRDefault="005B180C">
      <w:pPr>
        <w:pStyle w:val="TableofAuthorities"/>
        <w:tabs>
          <w:tab w:val="right" w:leader="dot" w:pos="9350"/>
        </w:tabs>
      </w:pPr>
      <w:r w:rsidRPr="007F2684">
        <w:rPr>
          <w:color w:val="FF3399"/>
        </w:rPr>
        <w:t>Puget Sound Energy, Inc., Rules and Regulations Rule No. 15: Discontinuance of Service, available at https://pse.com/aboutpse/Rates/Documents/gas_rule_15.pdf (last accessed Dec. 1, 2015)</w:t>
      </w:r>
      <w:r>
        <w:tab/>
        <w:t>11</w:t>
      </w:r>
    </w:p>
    <w:p w:rsidR="00012BF1" w:rsidRPr="002E7BED" w:rsidRDefault="005B180C" w:rsidP="00012BF1">
      <w:pPr>
        <w:pStyle w:val="center"/>
        <w:spacing w:line="480" w:lineRule="auto"/>
        <w:jc w:val="left"/>
      </w:pPr>
      <w:r>
        <w:fldChar w:fldCharType="end"/>
      </w:r>
    </w:p>
    <w:p w:rsidR="00513B03" w:rsidRDefault="00513B03" w:rsidP="006D1F1E">
      <w:pPr>
        <w:ind w:firstLine="0"/>
        <w:jc w:val="center"/>
        <w:sectPr w:rsidR="00513B03" w:rsidSect="00B80B7E">
          <w:headerReference w:type="default" r:id="rId18"/>
          <w:footerReference w:type="default" r:id="rId19"/>
          <w:headerReference w:type="first" r:id="rId20"/>
          <w:footerReference w:type="first" r:id="rId21"/>
          <w:pgSz w:w="12240" w:h="15840" w:code="1"/>
          <w:pgMar w:top="1440" w:right="1440" w:bottom="1800" w:left="1440" w:header="720" w:footer="720" w:gutter="0"/>
          <w:pgNumType w:fmt="lowerRoman" w:start="1"/>
          <w:cols w:space="720"/>
        </w:sectPr>
      </w:pPr>
    </w:p>
    <w:p w:rsidR="00AC34FC" w:rsidRPr="00EE67C2" w:rsidRDefault="00D33F1E" w:rsidP="00EE67C2">
      <w:pPr>
        <w:pStyle w:val="Heading1"/>
        <w:widowControl/>
      </w:pPr>
      <w:bookmarkStart w:id="2" w:name="_Toc436822518"/>
      <w:r w:rsidRPr="00EE67C2">
        <w:lastRenderedPageBreak/>
        <w:t>I.</w:t>
      </w:r>
      <w:r w:rsidRPr="00EE67C2">
        <w:tab/>
        <w:t>INTRODUCTION</w:t>
      </w:r>
      <w:bookmarkEnd w:id="2"/>
    </w:p>
    <w:p w:rsidR="005F7513" w:rsidRDefault="003B3B07" w:rsidP="00274155">
      <w:pPr>
        <w:spacing w:line="480" w:lineRule="auto"/>
      </w:pPr>
      <w:r>
        <w:rPr>
          <w:i/>
        </w:rPr>
        <w:fldChar w:fldCharType="begin"/>
      </w:r>
      <w:r>
        <w:rPr>
          <w:i/>
        </w:rPr>
        <w:instrText xml:space="preserve"> AUTONUM </w:instrText>
      </w:r>
      <w:r>
        <w:rPr>
          <w:i/>
        </w:rPr>
        <w:fldChar w:fldCharType="end"/>
      </w:r>
      <w:r>
        <w:tab/>
      </w:r>
      <w:r w:rsidR="00D432B8">
        <w:tab/>
      </w:r>
      <w:r w:rsidR="00B115B4">
        <w:t xml:space="preserve">On August 11, 2015, </w:t>
      </w:r>
      <w:r w:rsidR="00B707DE">
        <w:t>Puget Sound Energy (“</w:t>
      </w:r>
      <w:r w:rsidR="00B115B4">
        <w:t>PSE</w:t>
      </w:r>
      <w:r w:rsidR="00B707DE">
        <w:t>”)</w:t>
      </w:r>
      <w:r w:rsidR="00B115B4">
        <w:t xml:space="preserve"> filed with the </w:t>
      </w:r>
      <w:r w:rsidR="00B707DE">
        <w:t xml:space="preserve">Washington Utilities and Transportation </w:t>
      </w:r>
      <w:r w:rsidR="00B115B4">
        <w:t xml:space="preserve">Commission </w:t>
      </w:r>
      <w:r w:rsidR="00B707DE">
        <w:t xml:space="preserve">(“Commission”) </w:t>
      </w:r>
      <w:r w:rsidR="00B115B4">
        <w:t>a petition for approval of</w:t>
      </w:r>
      <w:r w:rsidR="00513B03">
        <w:t xml:space="preserve">, among other things, </w:t>
      </w:r>
      <w:r w:rsidR="00B115B4">
        <w:t xml:space="preserve">the </w:t>
      </w:r>
      <w:r w:rsidR="00B707DE">
        <w:t>LNG Fuel Supply Agreement, dated October 27, 2014</w:t>
      </w:r>
      <w:r w:rsidR="005F0702">
        <w:t xml:space="preserve"> (the “TOTE Special Contract”)</w:t>
      </w:r>
      <w:r w:rsidR="00B707DE">
        <w:t xml:space="preserve">, between PSE and </w:t>
      </w:r>
      <w:r w:rsidR="005F0702">
        <w:t>Totem Ocean Trailer Express, Inc. (“</w:t>
      </w:r>
      <w:r w:rsidR="00B707DE">
        <w:t>TOTE</w:t>
      </w:r>
      <w:r w:rsidR="005F0702">
        <w:t>”)</w:t>
      </w:r>
      <w:r w:rsidR="00B115B4">
        <w:t>.</w:t>
      </w:r>
      <w:r w:rsidR="00CA4A15">
        <w:rPr>
          <w:rStyle w:val="FootnoteReference"/>
        </w:rPr>
        <w:footnoteReference w:id="2"/>
      </w:r>
      <w:r w:rsidR="00274155">
        <w:t xml:space="preserve"> On September 8, 2015, the Commission adopted a preliminary procedural schedule including technical conferences on September 18 and 21, and October 8, 2015.</w:t>
      </w:r>
      <w:r w:rsidR="00CA4A15">
        <w:rPr>
          <w:rStyle w:val="FootnoteReference"/>
        </w:rPr>
        <w:footnoteReference w:id="3"/>
      </w:r>
      <w:r w:rsidR="00274155">
        <w:t xml:space="preserve"> The parties agreed to reconvene in prehearing to discuss their progress on the afternoon of October 13, 2015.</w:t>
      </w:r>
      <w:r w:rsidR="00CA4A15">
        <w:rPr>
          <w:rStyle w:val="FootnoteReference"/>
        </w:rPr>
        <w:footnoteReference w:id="4"/>
      </w:r>
    </w:p>
    <w:p w:rsidR="00C845FE" w:rsidRPr="00AC34FC" w:rsidRDefault="00274155" w:rsidP="004B07F3">
      <w:pPr>
        <w:spacing w:line="480" w:lineRule="auto"/>
      </w:pPr>
      <w:r>
        <w:rPr>
          <w:i/>
        </w:rPr>
        <w:fldChar w:fldCharType="begin"/>
      </w:r>
      <w:r>
        <w:rPr>
          <w:i/>
        </w:rPr>
        <w:instrText xml:space="preserve"> AUTONUM </w:instrText>
      </w:r>
      <w:r>
        <w:rPr>
          <w:i/>
        </w:rPr>
        <w:fldChar w:fldCharType="end"/>
      </w:r>
      <w:r>
        <w:tab/>
      </w:r>
      <w:r w:rsidR="006349BE">
        <w:tab/>
      </w:r>
      <w:r>
        <w:t>At the prehearing conference o</w:t>
      </w:r>
      <w:r w:rsidR="000326A9">
        <w:t>n</w:t>
      </w:r>
      <w:r>
        <w:t xml:space="preserve"> October 13, 2015, the parties agreed to continue seeking common ground</w:t>
      </w:r>
      <w:r w:rsidR="00F80F2F">
        <w:t xml:space="preserve"> on certain legal and policy matters</w:t>
      </w:r>
      <w:r>
        <w:t xml:space="preserve"> and to either report success in this regard, or to file simultaneous briefs on November 20, 2015, stating their respective positions on the</w:t>
      </w:r>
      <w:r w:rsidR="00C240B3">
        <w:t xml:space="preserve"> threshold jurisdictional </w:t>
      </w:r>
      <w:r w:rsidR="00F80F2F">
        <w:t>issues</w:t>
      </w:r>
      <w:r>
        <w:t xml:space="preserve"> that do not involve contested facts. On October 15, 2015, the Commission issued Order 03</w:t>
      </w:r>
      <w:r w:rsidR="00176DDC" w:rsidRPr="00012BF1">
        <w:rPr>
          <w:color w:val="FF3399"/>
        </w:rPr>
        <w:fldChar w:fldCharType="begin"/>
      </w:r>
      <w:r w:rsidR="00176DDC" w:rsidRPr="005B180C">
        <w:rPr>
          <w:color w:val="FF00FF"/>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w:instrText>
      </w:r>
      <w:r w:rsidR="00176DDC" w:rsidRPr="00012BF1">
        <w:rPr>
          <w:color w:val="FF3399"/>
        </w:rPr>
        <w:fldChar w:fldCharType="end"/>
      </w:r>
      <w:r>
        <w:t xml:space="preserve"> in this proceeding that reflected this agreement among the parties.</w:t>
      </w:r>
      <w:r w:rsidR="007C7CAE">
        <w:rPr>
          <w:rStyle w:val="FootnoteReference"/>
        </w:rPr>
        <w:footnoteReference w:id="5"/>
      </w:r>
    </w:p>
    <w:p w:rsidR="00EA416A" w:rsidRDefault="00EA416A" w:rsidP="00EA416A">
      <w:pPr>
        <w:spacing w:line="480" w:lineRule="auto"/>
      </w:pPr>
      <w:r w:rsidRPr="00AC34FC">
        <w:rPr>
          <w:i/>
        </w:rPr>
        <w:fldChar w:fldCharType="begin"/>
      </w:r>
      <w:r w:rsidRPr="00AC34FC">
        <w:rPr>
          <w:i/>
        </w:rPr>
        <w:instrText xml:space="preserve"> AUTONUM </w:instrText>
      </w:r>
      <w:r w:rsidRPr="00AC34FC">
        <w:rPr>
          <w:i/>
        </w:rPr>
        <w:fldChar w:fldCharType="end"/>
      </w:r>
      <w:r w:rsidRPr="00AC34FC">
        <w:tab/>
      </w:r>
      <w:r>
        <w:tab/>
        <w:t>On November 24, PSE, Public Counsel and Staff filed briefs. Each of PSE’s and Public Counsel’s Brief focused on the threshold jurisdictional question contemplated by Order 03</w:t>
      </w:r>
      <w:r w:rsidR="00176DDC" w:rsidRPr="00012BF1">
        <w:rPr>
          <w:color w:val="FF3399"/>
        </w:rPr>
        <w:fldChar w:fldCharType="begin"/>
      </w:r>
      <w:r w:rsidR="00176DDC" w:rsidRPr="005B180C">
        <w:rPr>
          <w:color w:val="FF00FF"/>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w:instrText>
      </w:r>
      <w:r w:rsidR="00176DDC" w:rsidRPr="00012BF1">
        <w:rPr>
          <w:color w:val="FF3399"/>
        </w:rPr>
        <w:fldChar w:fldCharType="end"/>
      </w:r>
      <w:r>
        <w:t xml:space="preserve">—whether the Commission can exercise jurisdiction, pursuant to Title 80 RCW, over sales of liquefied natural gas (“liquefied natural gas” or “LNG”) by PSE to TOTE pursuant to the TOTE Special Contract. Portions of the </w:t>
      </w:r>
      <w:r w:rsidR="00AB34A0" w:rsidRPr="00AB34A0">
        <w:t>Staff Brief on Issues of Law and Fact</w:t>
      </w:r>
      <w:r w:rsidR="00AB34A0">
        <w:t xml:space="preserve"> (“Staff Brief”) are </w:t>
      </w:r>
      <w:r w:rsidRPr="004B07F3">
        <w:lastRenderedPageBreak/>
        <w:t>(i)</w:t>
      </w:r>
      <w:r>
        <w:t> </w:t>
      </w:r>
      <w:r w:rsidRPr="004B07F3">
        <w:t xml:space="preserve">outside the limited scope of the issues </w:t>
      </w:r>
      <w:r>
        <w:t xml:space="preserve">contemplated by Order 03, </w:t>
      </w:r>
      <w:r w:rsidRPr="004B07F3">
        <w:t>(ii)</w:t>
      </w:r>
      <w:r>
        <w:t> </w:t>
      </w:r>
      <w:r w:rsidRPr="004B07F3">
        <w:t>not supported by evidence, or (iii)</w:t>
      </w:r>
      <w:r>
        <w:t> involve asserted facts that PSE would contest in the proceeding. PSE is therefore filing this Reply Brief to address claims made in the Staff Brief that are outside the scope of the issues the parties were requested to brief, clarify the record, and correct errors.</w:t>
      </w:r>
    </w:p>
    <w:p w:rsidR="00F80F2F" w:rsidRPr="00EE67C2" w:rsidRDefault="00E1075D" w:rsidP="00EE67C2">
      <w:pPr>
        <w:pStyle w:val="Heading1"/>
        <w:widowControl/>
      </w:pPr>
      <w:bookmarkStart w:id="3" w:name="_Toc436822519"/>
      <w:r w:rsidRPr="00EE67C2">
        <w:t>II.</w:t>
      </w:r>
      <w:r w:rsidRPr="00EE67C2">
        <w:tab/>
      </w:r>
      <w:r w:rsidR="00F80F2F" w:rsidRPr="00EE67C2">
        <w:t>ARGUMENT</w:t>
      </w:r>
      <w:bookmarkEnd w:id="3"/>
    </w:p>
    <w:p w:rsidR="00EA416A" w:rsidRDefault="00E1075D" w:rsidP="005F0702">
      <w:pPr>
        <w:pStyle w:val="Heading2"/>
      </w:pPr>
      <w:bookmarkStart w:id="4" w:name="_Toc436822520"/>
      <w:bookmarkStart w:id="5" w:name="_Toc436114825"/>
      <w:bookmarkStart w:id="6" w:name="_Toc435799487"/>
      <w:r>
        <w:t>A</w:t>
      </w:r>
      <w:r w:rsidR="00964C60" w:rsidRPr="00AC34FC">
        <w:t>.</w:t>
      </w:r>
      <w:r w:rsidR="00964C60" w:rsidRPr="00AC34FC">
        <w:tab/>
      </w:r>
      <w:r w:rsidR="00AB34A0">
        <w:t xml:space="preserve">Portions of the </w:t>
      </w:r>
      <w:r w:rsidR="00EA416A">
        <w:t xml:space="preserve">Staff Brief </w:t>
      </w:r>
      <w:r w:rsidR="00AB34A0">
        <w:t xml:space="preserve">Are </w:t>
      </w:r>
      <w:r w:rsidR="00EA416A" w:rsidRPr="004B07F3">
        <w:t xml:space="preserve">Outside the Limited Scope of the </w:t>
      </w:r>
      <w:r w:rsidR="00EA416A">
        <w:t>I</w:t>
      </w:r>
      <w:r w:rsidR="00EA416A" w:rsidRPr="004B07F3">
        <w:t xml:space="preserve">ssues </w:t>
      </w:r>
      <w:r w:rsidR="00EA416A">
        <w:t>Contemplated by Order 03</w:t>
      </w:r>
      <w:bookmarkEnd w:id="4"/>
    </w:p>
    <w:p w:rsidR="006C304B" w:rsidRDefault="00EA416A" w:rsidP="006C304B">
      <w:pPr>
        <w:spacing w:line="480" w:lineRule="auto"/>
      </w:pPr>
      <w:r w:rsidRPr="00AC34FC">
        <w:rPr>
          <w:i/>
        </w:rPr>
        <w:fldChar w:fldCharType="begin"/>
      </w:r>
      <w:r w:rsidRPr="00AC34FC">
        <w:rPr>
          <w:i/>
        </w:rPr>
        <w:instrText xml:space="preserve"> AUTONUM </w:instrText>
      </w:r>
      <w:r w:rsidRPr="00AC34FC">
        <w:rPr>
          <w:i/>
        </w:rPr>
        <w:fldChar w:fldCharType="end"/>
      </w:r>
      <w:r w:rsidRPr="00AC34FC">
        <w:tab/>
      </w:r>
      <w:r>
        <w:tab/>
      </w:r>
      <w:r w:rsidR="006C304B">
        <w:t>Order 03 in this proceeding directed parties to file simultaneous briefs on November 20, 2015, stating their respective positions on these issues that do not involve contested facts:</w:t>
      </w:r>
    </w:p>
    <w:p w:rsidR="006C304B" w:rsidRDefault="00B46FFF" w:rsidP="00B46FFF">
      <w:pPr>
        <w:tabs>
          <w:tab w:val="clear" w:pos="720"/>
        </w:tabs>
        <w:spacing w:after="280" w:line="240" w:lineRule="auto"/>
        <w:ind w:left="1440" w:right="720" w:firstLine="0"/>
        <w:jc w:val="both"/>
      </w:pPr>
      <w:r>
        <w:t xml:space="preserve">The parties have identified and are working to resolve issues of law and policy that raise threshold questions, the resolution of which could be determinative. </w:t>
      </w:r>
      <w:r w:rsidR="006C304B">
        <w:t>The parties agreed to continue seeking common ground and to either report success in this regard, or to file simultaneous briefs on November 20, 2015, stating their respective positions on these issues that do not involve contested facts. The Commission will endeavor to act on these threshold matters, whether in response to a common proposal from the parties or by deciding any contested points of law or policy, by mid-December.</w:t>
      </w:r>
      <w:r w:rsidR="006C304B">
        <w:rPr>
          <w:rStyle w:val="FootnoteReference"/>
        </w:rPr>
        <w:footnoteReference w:id="6"/>
      </w:r>
    </w:p>
    <w:p w:rsidR="002436AC" w:rsidRDefault="006C304B" w:rsidP="00B46FFF">
      <w:pPr>
        <w:spacing w:line="480" w:lineRule="auto"/>
        <w:ind w:firstLine="0"/>
      </w:pPr>
      <w:r>
        <w:t xml:space="preserve">During the prehearing conference, these threshold issues were introduced by </w:t>
      </w:r>
      <w:r w:rsidR="00B46FFF">
        <w:t>c</w:t>
      </w:r>
      <w:r>
        <w:t xml:space="preserve">ounsel for Staff as </w:t>
      </w:r>
      <w:r w:rsidR="002436AC">
        <w:t>whether the service provided by PSE to TOTE pursuant to the TOTE Special Contract can be subject to the jurisdiction of the Commission:</w:t>
      </w:r>
    </w:p>
    <w:p w:rsidR="002436AC" w:rsidRDefault="002436AC" w:rsidP="002436AC">
      <w:pPr>
        <w:tabs>
          <w:tab w:val="clear" w:pos="720"/>
        </w:tabs>
        <w:spacing w:after="280" w:line="240" w:lineRule="auto"/>
        <w:ind w:left="1440" w:right="720" w:firstLine="0"/>
        <w:jc w:val="both"/>
      </w:pPr>
      <w:r>
        <w:t>I addressed with the -- with [PSE] and others that were on the line the question of whether the service proposed for TOTE is jurisdictional to the Commission. Is this really another -- a different kind of service?</w:t>
      </w:r>
      <w:r>
        <w:rPr>
          <w:rStyle w:val="FootnoteReference"/>
        </w:rPr>
        <w:footnoteReference w:id="7"/>
      </w:r>
    </w:p>
    <w:p w:rsidR="006C304B" w:rsidRDefault="006C304B" w:rsidP="00B46FFF">
      <w:pPr>
        <w:spacing w:line="480" w:lineRule="auto"/>
        <w:ind w:firstLine="0"/>
      </w:pPr>
      <w:r>
        <w:t>With regard to the character of the service PSE proposes to provide to TOTE, Counsel for Staff stated again that the question is whether the parties could come to an agreement an</w:t>
      </w:r>
      <w:r w:rsidR="002436AC">
        <w:t>d</w:t>
      </w:r>
      <w:r>
        <w:t xml:space="preserve"> avoid filing </w:t>
      </w:r>
      <w:r>
        <w:lastRenderedPageBreak/>
        <w:t>“…a motion to dismiss based on some concerns we may have about the Commission</w:t>
      </w:r>
      <w:r w:rsidR="00287DEF">
        <w:t>’s jurisdiction in this area.”</w:t>
      </w:r>
      <w:r w:rsidR="00287DEF">
        <w:rPr>
          <w:rStyle w:val="FootnoteReference"/>
        </w:rPr>
        <w:footnoteReference w:id="8"/>
      </w:r>
    </w:p>
    <w:p w:rsidR="006C304B" w:rsidRDefault="00C45CB8" w:rsidP="006C304B">
      <w:pPr>
        <w:spacing w:line="480" w:lineRule="auto"/>
      </w:pPr>
      <w:r w:rsidRPr="00AC34FC">
        <w:rPr>
          <w:i/>
        </w:rPr>
        <w:fldChar w:fldCharType="begin"/>
      </w:r>
      <w:r w:rsidRPr="00AC34FC">
        <w:rPr>
          <w:i/>
        </w:rPr>
        <w:instrText xml:space="preserve"> AUTONUM </w:instrText>
      </w:r>
      <w:r w:rsidRPr="00AC34FC">
        <w:rPr>
          <w:i/>
        </w:rPr>
        <w:fldChar w:fldCharType="end"/>
      </w:r>
      <w:r w:rsidRPr="00AC34FC">
        <w:tab/>
      </w:r>
      <w:r w:rsidR="006C304B">
        <w:tab/>
        <w:t>Counsel for Public Counsel stated that Public Counsel sees the same issues as Staff and identified, among other things, the issue of whether the service PSE proposes to provide to</w:t>
      </w:r>
      <w:r w:rsidR="00287DEF">
        <w:t xml:space="preserve"> TOTE is a regulated service.</w:t>
      </w:r>
      <w:r w:rsidR="00287DEF">
        <w:rPr>
          <w:rStyle w:val="FootnoteReference"/>
        </w:rPr>
        <w:footnoteReference w:id="9"/>
      </w:r>
      <w:r w:rsidR="00287DEF">
        <w:t xml:space="preserve"> </w:t>
      </w:r>
      <w:r w:rsidR="006C304B">
        <w:t>Counsel for PSE concurred that although PSE has filed for a regulated service, parties had raised policy issues regarding that request and if it becomes an issue of whether the Commission has jurisdiction, that legal issue with a policy basis could be addressed through filing a statement of facts and law wit</w:t>
      </w:r>
      <w:r w:rsidR="000B4CB9">
        <w:t>h briefing on the issue.</w:t>
      </w:r>
      <w:r w:rsidR="000B4CB9">
        <w:rPr>
          <w:rStyle w:val="FootnoteReference"/>
        </w:rPr>
        <w:footnoteReference w:id="10"/>
      </w:r>
    </w:p>
    <w:p w:rsidR="006C304B" w:rsidRDefault="00C45CB8" w:rsidP="006C304B">
      <w:pPr>
        <w:spacing w:line="480" w:lineRule="auto"/>
      </w:pPr>
      <w:r w:rsidRPr="00AC34FC">
        <w:rPr>
          <w:i/>
        </w:rPr>
        <w:fldChar w:fldCharType="begin"/>
      </w:r>
      <w:r w:rsidRPr="00AC34FC">
        <w:rPr>
          <w:i/>
        </w:rPr>
        <w:instrText xml:space="preserve"> AUTONUM </w:instrText>
      </w:r>
      <w:r w:rsidRPr="00AC34FC">
        <w:rPr>
          <w:i/>
        </w:rPr>
        <w:fldChar w:fldCharType="end"/>
      </w:r>
      <w:r w:rsidR="006C304B">
        <w:tab/>
      </w:r>
      <w:r w:rsidR="006C304B">
        <w:tab/>
        <w:t>The Administrative Law Judge opined that it sounded like at this stage, the issues are policy and legal issues and not factual issues.</w:t>
      </w:r>
      <w:r w:rsidR="000B4CB9">
        <w:rPr>
          <w:rStyle w:val="FootnoteReference"/>
        </w:rPr>
        <w:footnoteReference w:id="11"/>
      </w:r>
      <w:r w:rsidR="006C304B">
        <w:t xml:space="preserve"> He pointed to the 2000/2001 time frame and early telecommunications cases in which “threshold jurisdictional issues” were taken up first and he sugges</w:t>
      </w:r>
      <w:r w:rsidR="000B4CB9">
        <w:t>ted using that approach here.</w:t>
      </w:r>
      <w:r w:rsidR="000B4CB9">
        <w:rPr>
          <w:rStyle w:val="FootnoteReference"/>
        </w:rPr>
        <w:footnoteReference w:id="12"/>
      </w:r>
      <w:r w:rsidR="000B4CB9">
        <w:t xml:space="preserve"> </w:t>
      </w:r>
      <w:r w:rsidR="006C304B">
        <w:t>This resulted in the parties agreeing to see if they could develop a common position on the threshold jurisdictional issues or instead, have one round of briefing o</w:t>
      </w:r>
      <w:r w:rsidR="000B4CB9">
        <w:t xml:space="preserve">n their respective positions. </w:t>
      </w:r>
      <w:r w:rsidR="006C304B">
        <w:t>These understandings were described in Order 03 as “issues of law and policy that raise threshold questions” that would either be resolved by the parties or the su</w:t>
      </w:r>
      <w:r w:rsidR="000B4CB9">
        <w:t>bject of simultaneous briefs.</w:t>
      </w:r>
      <w:r w:rsidR="007035BB">
        <w:rPr>
          <w:rStyle w:val="FootnoteReference"/>
        </w:rPr>
        <w:footnoteReference w:id="13"/>
      </w:r>
    </w:p>
    <w:p w:rsidR="006C304B" w:rsidRDefault="00C45CB8" w:rsidP="006C304B">
      <w:pPr>
        <w:spacing w:line="480" w:lineRule="auto"/>
      </w:pPr>
      <w:r w:rsidRPr="00AC34FC">
        <w:rPr>
          <w:i/>
        </w:rPr>
        <w:fldChar w:fldCharType="begin"/>
      </w:r>
      <w:r w:rsidRPr="00AC34FC">
        <w:rPr>
          <w:i/>
        </w:rPr>
        <w:instrText xml:space="preserve"> AUTONUM </w:instrText>
      </w:r>
      <w:r w:rsidRPr="00AC34FC">
        <w:rPr>
          <w:i/>
        </w:rPr>
        <w:fldChar w:fldCharType="end"/>
      </w:r>
      <w:r w:rsidR="006C304B">
        <w:tab/>
      </w:r>
      <w:r w:rsidR="006C304B">
        <w:tab/>
        <w:t xml:space="preserve">Consistent with the agreement made at the </w:t>
      </w:r>
      <w:r w:rsidR="007035BB">
        <w:t xml:space="preserve">prehearing </w:t>
      </w:r>
      <w:r w:rsidR="006C304B">
        <w:t xml:space="preserve">conference </w:t>
      </w:r>
      <w:r w:rsidR="007035BB">
        <w:t>o</w:t>
      </w:r>
      <w:r w:rsidR="000326A9">
        <w:t>n</w:t>
      </w:r>
      <w:r w:rsidR="007035BB">
        <w:t xml:space="preserve"> October 13, 2015, </w:t>
      </w:r>
      <w:r w:rsidR="006C304B">
        <w:t>and Order</w:t>
      </w:r>
      <w:r w:rsidR="007035BB">
        <w:t> 03</w:t>
      </w:r>
      <w:r w:rsidR="006C304B">
        <w:t>, PSE identified the threshold issue in the PSE Brief as the following:</w:t>
      </w:r>
    </w:p>
    <w:p w:rsidR="006C304B" w:rsidRDefault="006C304B" w:rsidP="007035BB">
      <w:pPr>
        <w:tabs>
          <w:tab w:val="clear" w:pos="720"/>
        </w:tabs>
        <w:spacing w:after="280" w:line="240" w:lineRule="auto"/>
        <w:ind w:left="1440" w:right="720" w:firstLine="0"/>
        <w:jc w:val="both"/>
      </w:pPr>
      <w:r>
        <w:lastRenderedPageBreak/>
        <w:t xml:space="preserve">Can the Commission exercise jurisdiction, pursuant to Title 80 RCW, over sales of liquefied natural gas by PSE to TOTE pursuant to the TOTE Special </w:t>
      </w:r>
      <w:r w:rsidR="007035BB">
        <w:t>Contract?</w:t>
      </w:r>
      <w:r w:rsidR="007035BB">
        <w:rPr>
          <w:rStyle w:val="FootnoteReference"/>
        </w:rPr>
        <w:footnoteReference w:id="14"/>
      </w:r>
    </w:p>
    <w:p w:rsidR="006C304B" w:rsidRDefault="007035BB" w:rsidP="007035BB">
      <w:pPr>
        <w:tabs>
          <w:tab w:val="clear" w:pos="720"/>
        </w:tabs>
        <w:spacing w:line="480" w:lineRule="auto"/>
        <w:ind w:firstLine="0"/>
      </w:pPr>
      <w:r>
        <w:t>Also c</w:t>
      </w:r>
      <w:r w:rsidR="006C304B">
        <w:t xml:space="preserve">onsistent with the agreement </w:t>
      </w:r>
      <w:r>
        <w:t>made at the prehearing conference o</w:t>
      </w:r>
      <w:r w:rsidR="000326A9">
        <w:t>n</w:t>
      </w:r>
      <w:r>
        <w:t xml:space="preserve"> October 13, 2015, and Order 03, </w:t>
      </w:r>
      <w:r w:rsidR="006C304B">
        <w:t>Public Counsel identified the following threshold issue in the Public Counsel Memorandum</w:t>
      </w:r>
      <w:r w:rsidR="00AF2013">
        <w:t xml:space="preserve"> of Law Regarding Jurisdiction (“Public Counsel Brief”):</w:t>
      </w:r>
    </w:p>
    <w:p w:rsidR="007035BB" w:rsidRDefault="007035BB" w:rsidP="007035BB">
      <w:pPr>
        <w:tabs>
          <w:tab w:val="clear" w:pos="720"/>
        </w:tabs>
        <w:spacing w:after="280" w:line="240" w:lineRule="auto"/>
        <w:ind w:left="1440" w:right="720" w:firstLine="0"/>
        <w:jc w:val="both"/>
      </w:pPr>
      <w:r>
        <w:t>Is the Commission granted jurisdiction to regulate sales of liquefied natural gas by gas companies for use as transportation fuel, in particular the sales of LNG to TOTE for use as marine fuel under the TOTE Special Contract.</w:t>
      </w:r>
      <w:r>
        <w:rPr>
          <w:rStyle w:val="FootnoteReference"/>
        </w:rPr>
        <w:footnoteReference w:id="15"/>
      </w:r>
    </w:p>
    <w:p w:rsidR="006C304B" w:rsidRDefault="00E00F6D" w:rsidP="007035BB">
      <w:pPr>
        <w:tabs>
          <w:tab w:val="clear" w:pos="720"/>
        </w:tabs>
        <w:spacing w:line="480" w:lineRule="auto"/>
        <w:ind w:firstLine="0"/>
      </w:pPr>
      <w:r>
        <w:t xml:space="preserve">Both PSE and </w:t>
      </w:r>
      <w:r w:rsidR="006C304B">
        <w:t xml:space="preserve">Public Counsel </w:t>
      </w:r>
      <w:r>
        <w:t xml:space="preserve">limited their briefs to the threshold question of whether the Commission </w:t>
      </w:r>
      <w:r w:rsidRPr="00E00F6D">
        <w:rPr>
          <w:i/>
        </w:rPr>
        <w:t>can</w:t>
      </w:r>
      <w:r>
        <w:t xml:space="preserve"> exercise jurisdiction over sales of LNG by PSE to TOTE pursuant to the TOTE Special Contract.</w:t>
      </w:r>
    </w:p>
    <w:p w:rsidR="006C304B" w:rsidRDefault="00C45CB8" w:rsidP="006C304B">
      <w:pPr>
        <w:spacing w:line="480" w:lineRule="auto"/>
      </w:pPr>
      <w:r w:rsidRPr="00AC34FC">
        <w:rPr>
          <w:i/>
        </w:rPr>
        <w:fldChar w:fldCharType="begin"/>
      </w:r>
      <w:r w:rsidRPr="00AC34FC">
        <w:rPr>
          <w:i/>
        </w:rPr>
        <w:instrText xml:space="preserve"> AUTONUM </w:instrText>
      </w:r>
      <w:r w:rsidRPr="00AC34FC">
        <w:rPr>
          <w:i/>
        </w:rPr>
        <w:fldChar w:fldCharType="end"/>
      </w:r>
      <w:r w:rsidR="006C304B">
        <w:tab/>
      </w:r>
      <w:r w:rsidR="006C304B">
        <w:tab/>
        <w:t xml:space="preserve">Rather than defining the </w:t>
      </w:r>
      <w:r w:rsidR="00E00F6D">
        <w:t xml:space="preserve">threshold </w:t>
      </w:r>
      <w:r w:rsidR="006C304B">
        <w:t xml:space="preserve">issue </w:t>
      </w:r>
      <w:r w:rsidR="00E00F6D">
        <w:t xml:space="preserve">identified at the prehearing conference of October 13, 2015, and Order 03, the </w:t>
      </w:r>
      <w:r w:rsidR="00E00F6D" w:rsidRPr="00E00F6D">
        <w:t xml:space="preserve">Staff Brief </w:t>
      </w:r>
      <w:r w:rsidR="006C304B">
        <w:t>present</w:t>
      </w:r>
      <w:r w:rsidR="00AF2013">
        <w:t>s</w:t>
      </w:r>
      <w:r w:rsidR="006C304B">
        <w:t xml:space="preserve"> the following “Relief Requ</w:t>
      </w:r>
      <w:r w:rsidR="00E00F6D">
        <w:t>ested by Staff” that addresses a secondary question</w:t>
      </w:r>
      <w:r w:rsidR="00E00F6D">
        <w:rPr>
          <w:rStyle w:val="FootnoteReference"/>
        </w:rPr>
        <w:footnoteReference w:id="16"/>
      </w:r>
      <w:r w:rsidR="00E00F6D">
        <w:t xml:space="preserve"> as to whether the Commission </w:t>
      </w:r>
      <w:r w:rsidR="00E00F6D" w:rsidRPr="00E00F6D">
        <w:rPr>
          <w:i/>
        </w:rPr>
        <w:t>should</w:t>
      </w:r>
      <w:r w:rsidR="00E00F6D">
        <w:t xml:space="preserve"> exercise jurisdiction over sales of LNG by PSE to TOTE pursuant to the TOTE Special Contract:</w:t>
      </w:r>
    </w:p>
    <w:p w:rsidR="006C304B" w:rsidRDefault="006C304B" w:rsidP="00937EDE">
      <w:pPr>
        <w:tabs>
          <w:tab w:val="clear" w:pos="720"/>
        </w:tabs>
        <w:spacing w:after="280" w:line="240" w:lineRule="auto"/>
        <w:ind w:left="1440" w:right="720" w:firstLine="0"/>
        <w:jc w:val="both"/>
      </w:pPr>
      <w:r>
        <w:t>A Commission determination that it declines to exercise jurisdiction over PSE’s contract with TOTE, and allows PSE to form a subsidiary consistent with the applicable merger requirements in order to promote the development of LN</w:t>
      </w:r>
      <w:r w:rsidR="00937EDE">
        <w:t xml:space="preserve">G </w:t>
      </w:r>
      <w:r>
        <w:t>without creating unnecessary regulatory bar</w:t>
      </w:r>
      <w:r w:rsidR="00937EDE">
        <w:t>riers to non-regulated parties.</w:t>
      </w:r>
      <w:r w:rsidR="00937EDE">
        <w:rPr>
          <w:rStyle w:val="FootnoteReference"/>
        </w:rPr>
        <w:footnoteReference w:id="17"/>
      </w:r>
    </w:p>
    <w:p w:rsidR="00937EDE" w:rsidRDefault="006C304B" w:rsidP="00937EDE">
      <w:pPr>
        <w:tabs>
          <w:tab w:val="clear" w:pos="720"/>
        </w:tabs>
        <w:spacing w:line="480" w:lineRule="auto"/>
        <w:ind w:firstLine="0"/>
      </w:pPr>
      <w:r>
        <w:t xml:space="preserve">The </w:t>
      </w:r>
      <w:r w:rsidR="00937EDE" w:rsidRPr="00937EDE">
        <w:t xml:space="preserve">Staff Brief </w:t>
      </w:r>
      <w:r w:rsidR="00937EDE">
        <w:t xml:space="preserve">exceeds the scope of the </w:t>
      </w:r>
      <w:r>
        <w:t xml:space="preserve">type of policy, legal and threshold jurisdictional issues discussed </w:t>
      </w:r>
      <w:r w:rsidR="00937EDE">
        <w:t>at the prehearing conference o</w:t>
      </w:r>
      <w:r w:rsidR="000326A9">
        <w:t>n</w:t>
      </w:r>
      <w:r w:rsidR="00937EDE">
        <w:t xml:space="preserve"> </w:t>
      </w:r>
      <w:r>
        <w:t>October</w:t>
      </w:r>
      <w:r w:rsidR="00937EDE">
        <w:t> </w:t>
      </w:r>
      <w:r>
        <w:t>1</w:t>
      </w:r>
      <w:r w:rsidR="00937EDE">
        <w:t xml:space="preserve">3, 2015, </w:t>
      </w:r>
      <w:r>
        <w:t>and contemplated by Order</w:t>
      </w:r>
      <w:r w:rsidR="00937EDE">
        <w:t> 03.</w:t>
      </w:r>
    </w:p>
    <w:p w:rsidR="00C45CB8" w:rsidRDefault="00C45CB8" w:rsidP="00937EDE">
      <w:pPr>
        <w:spacing w:line="480" w:lineRule="auto"/>
      </w:pPr>
      <w:r w:rsidRPr="00AC34FC">
        <w:rPr>
          <w:i/>
        </w:rPr>
        <w:lastRenderedPageBreak/>
        <w:fldChar w:fldCharType="begin"/>
      </w:r>
      <w:r w:rsidRPr="00AC34FC">
        <w:rPr>
          <w:i/>
        </w:rPr>
        <w:instrText xml:space="preserve"> AUTONUM </w:instrText>
      </w:r>
      <w:r w:rsidRPr="00AC34FC">
        <w:rPr>
          <w:i/>
        </w:rPr>
        <w:fldChar w:fldCharType="end"/>
      </w:r>
      <w:r w:rsidR="00937EDE">
        <w:tab/>
      </w:r>
      <w:r w:rsidR="00937EDE">
        <w:tab/>
      </w:r>
      <w:r>
        <w:t>Moreover</w:t>
      </w:r>
      <w:r w:rsidR="00937EDE">
        <w:t xml:space="preserve">, the </w:t>
      </w:r>
      <w:r w:rsidR="00937EDE" w:rsidRPr="00937EDE">
        <w:t xml:space="preserve">Staff Brief </w:t>
      </w:r>
      <w:r w:rsidR="00937EDE">
        <w:t xml:space="preserve">exceeds the scope of </w:t>
      </w:r>
      <w:r w:rsidR="006C304B">
        <w:t xml:space="preserve">the two issues presented </w:t>
      </w:r>
      <w:r w:rsidR="00937EDE">
        <w:t xml:space="preserve">by PSE </w:t>
      </w:r>
      <w:r w:rsidR="006C304B">
        <w:t xml:space="preserve">in its Petition. </w:t>
      </w:r>
      <w:r w:rsidR="00937EDE">
        <w:t>The Petition re</w:t>
      </w:r>
      <w:r w:rsidR="00751BB2">
        <w:t>quests that the Commission (i) approve the TOTE Special Contract as a special contract pursuant to WAC </w:t>
      </w:r>
      <w:r w:rsidR="00751BB2" w:rsidRPr="00751BB2">
        <w:t>480-80-143</w:t>
      </w:r>
      <w:r w:rsidR="00176DDC">
        <w:fldChar w:fldCharType="begin"/>
      </w:r>
      <w:r w:rsidR="00176DDC" w:rsidRPr="005B180C">
        <w:rPr>
          <w:color w:val="FF00FF"/>
        </w:rPr>
        <w:instrText xml:space="preserve"> TA \l "WAC 480-80-143" \s "WAC 480-80-143" \c 6 </w:instrText>
      </w:r>
      <w:r w:rsidR="00176DDC">
        <w:fldChar w:fldCharType="end"/>
      </w:r>
      <w:r w:rsidR="00751BB2">
        <w:t xml:space="preserve"> and (ii) issue </w:t>
      </w:r>
      <w:r w:rsidR="00751BB2" w:rsidRPr="00751BB2">
        <w:t>a declaratory order approving the methodology for allocating costs between regulated and non-regulated liquefied natural gas services</w:t>
      </w:r>
      <w:r w:rsidR="00751BB2">
        <w:t>.</w:t>
      </w:r>
      <w:r>
        <w:t xml:space="preserve"> Although the Commission has the authority to decide these two issues, the Commission lacks the authority to address the relief requested by Commission Staff. </w:t>
      </w:r>
      <w:r w:rsidR="000326A9">
        <w:t>T</w:t>
      </w:r>
      <w:r>
        <w:t xml:space="preserve">he Commission could disclaim jurisdiction over the TOTE Special Contract, </w:t>
      </w:r>
      <w:r w:rsidR="000326A9">
        <w:t>but it</w:t>
      </w:r>
      <w:r>
        <w:t xml:space="preserve"> lacks the authority to require PSE to establish a special subsidiary to make sales of LNG. </w:t>
      </w:r>
    </w:p>
    <w:p w:rsidR="00751BB2" w:rsidRDefault="00C45CB8" w:rsidP="00937EDE">
      <w:pPr>
        <w:spacing w:line="480" w:lineRule="auto"/>
      </w:pPr>
      <w:r w:rsidRPr="00AC34FC">
        <w:rPr>
          <w:i/>
        </w:rPr>
        <w:fldChar w:fldCharType="begin"/>
      </w:r>
      <w:r w:rsidRPr="00AC34FC">
        <w:rPr>
          <w:i/>
        </w:rPr>
        <w:instrText xml:space="preserve"> AUTONUM </w:instrText>
      </w:r>
      <w:r w:rsidRPr="00AC34FC">
        <w:rPr>
          <w:i/>
        </w:rPr>
        <w:fldChar w:fldCharType="end"/>
      </w:r>
      <w:r>
        <w:tab/>
      </w:r>
      <w:r>
        <w:tab/>
      </w:r>
      <w:r w:rsidR="00751BB2">
        <w:t>As discussed above, Order 03 required parties to file briefs as to the threshold question over whether the Commission has jurisdiction to consider the first request of PSE (i.e., that the Commission approve the TOTE Special Contract as a special contract pursuant to WAC </w:t>
      </w:r>
      <w:r w:rsidR="00751BB2" w:rsidRPr="00751BB2">
        <w:t>480-80-143</w:t>
      </w:r>
      <w:r w:rsidR="00176DDC">
        <w:fldChar w:fldCharType="begin"/>
      </w:r>
      <w:r w:rsidR="00176DDC" w:rsidRPr="005B180C">
        <w:rPr>
          <w:color w:val="FF00FF"/>
        </w:rPr>
        <w:instrText xml:space="preserve"> TA \s "WAC 480-80-143" </w:instrText>
      </w:r>
      <w:r w:rsidR="00176DDC">
        <w:fldChar w:fldCharType="end"/>
      </w:r>
      <w:r w:rsidR="00751BB2">
        <w:t>). The Commission has the jurisdiction to consider and decide th</w:t>
      </w:r>
      <w:r w:rsidR="000326A9">
        <w:t>e</w:t>
      </w:r>
      <w:r w:rsidR="00751BB2">
        <w:t xml:space="preserve"> threshold question of whether the Commission </w:t>
      </w:r>
      <w:r w:rsidR="00751BB2" w:rsidRPr="00751BB2">
        <w:rPr>
          <w:i/>
        </w:rPr>
        <w:t>can</w:t>
      </w:r>
      <w:r w:rsidR="00751BB2">
        <w:t xml:space="preserve"> exercise jurisdiction over the TOTE Special Contract and the secondary question of whether the Commission </w:t>
      </w:r>
      <w:r w:rsidR="00751BB2" w:rsidRPr="00751BB2">
        <w:rPr>
          <w:i/>
        </w:rPr>
        <w:t>should</w:t>
      </w:r>
      <w:r w:rsidR="00751BB2">
        <w:t xml:space="preserve"> exercise jurisdiction over the TOTE Special Contract. Only the first question is at issue in </w:t>
      </w:r>
      <w:r>
        <w:t>the briefing contemplated by Order 03.</w:t>
      </w:r>
    </w:p>
    <w:p w:rsidR="00AF2013" w:rsidRDefault="00AF2013" w:rsidP="00AF2013">
      <w:pPr>
        <w:pStyle w:val="Heading2"/>
      </w:pPr>
      <w:bookmarkStart w:id="7" w:name="_Toc436822521"/>
      <w:r>
        <w:t>B</w:t>
      </w:r>
      <w:r w:rsidR="00AB34A0" w:rsidRPr="00AC34FC">
        <w:t>.</w:t>
      </w:r>
      <w:r w:rsidR="00AB34A0" w:rsidRPr="00AC34FC">
        <w:tab/>
      </w:r>
      <w:r w:rsidR="00AB34A0">
        <w:t xml:space="preserve">Portions of the Staff Brief Are </w:t>
      </w:r>
      <w:r>
        <w:t>N</w:t>
      </w:r>
      <w:r w:rsidRPr="004B07F3">
        <w:t xml:space="preserve">ot </w:t>
      </w:r>
      <w:r>
        <w:t>S</w:t>
      </w:r>
      <w:r w:rsidRPr="004B07F3">
        <w:t xml:space="preserve">upported by </w:t>
      </w:r>
      <w:r>
        <w:t>E</w:t>
      </w:r>
      <w:r w:rsidRPr="004B07F3">
        <w:t>vidence</w:t>
      </w:r>
      <w:bookmarkEnd w:id="7"/>
    </w:p>
    <w:p w:rsidR="002500A8" w:rsidRDefault="00AF2013" w:rsidP="008E495C">
      <w:pPr>
        <w:spacing w:line="480" w:lineRule="auto"/>
      </w:pPr>
      <w:r>
        <w:rPr>
          <w:i/>
        </w:rPr>
        <w:fldChar w:fldCharType="begin"/>
      </w:r>
      <w:r>
        <w:rPr>
          <w:i/>
        </w:rPr>
        <w:instrText xml:space="preserve"> AUTONUM </w:instrText>
      </w:r>
      <w:r>
        <w:rPr>
          <w:i/>
        </w:rPr>
        <w:fldChar w:fldCharType="end"/>
      </w:r>
      <w:r>
        <w:tab/>
      </w:r>
      <w:r>
        <w:tab/>
        <w:t xml:space="preserve">Considerable portions of the Staff Brief are dedicated to the proposition that the distribution of </w:t>
      </w:r>
      <w:r w:rsidRPr="00AF2013">
        <w:t>LNG as a transportation fuel is a competitive enterprise</w:t>
      </w:r>
      <w:r>
        <w:t>.</w:t>
      </w:r>
      <w:r>
        <w:rPr>
          <w:rStyle w:val="FootnoteReference"/>
        </w:rPr>
        <w:footnoteReference w:id="18"/>
      </w:r>
      <w:r w:rsidR="008E495C">
        <w:t xml:space="preserve"> These portions of the Staff Brief could be fairly summarized as suggesting that (a) </w:t>
      </w:r>
      <w:r w:rsidR="008E495C" w:rsidRPr="008E495C">
        <w:t xml:space="preserve">the Commission </w:t>
      </w:r>
      <w:r w:rsidR="008E495C">
        <w:t xml:space="preserve">only has jurisdiction over </w:t>
      </w:r>
      <w:r w:rsidR="008E495C" w:rsidRPr="008E495C">
        <w:t>monopoly services offered by utilities</w:t>
      </w:r>
      <w:r w:rsidR="008E495C">
        <w:t xml:space="preserve">; (b) competitive services and monopoly services cannot coexist; and (c) if there are no monopoly services or there are services between </w:t>
      </w:r>
      <w:r w:rsidR="00E4023C">
        <w:t xml:space="preserve">a </w:t>
      </w:r>
      <w:r w:rsidR="00E4023C">
        <w:lastRenderedPageBreak/>
        <w:t xml:space="preserve">utility and </w:t>
      </w:r>
      <w:r w:rsidR="00E4023C" w:rsidRPr="00E4023C">
        <w:t xml:space="preserve">two sophisticated corporate entities </w:t>
      </w:r>
      <w:r w:rsidR="00E4023C">
        <w:t xml:space="preserve">that may </w:t>
      </w:r>
      <w:r w:rsidR="00E4023C" w:rsidRPr="00E4023C">
        <w:t>engage in arms-length bargaining</w:t>
      </w:r>
      <w:r w:rsidR="008E495C">
        <w:t>, then regulation is unnecessary</w:t>
      </w:r>
      <w:r w:rsidR="00E4023C">
        <w:t>.</w:t>
      </w:r>
      <w:r w:rsidR="00E4023C">
        <w:rPr>
          <w:rStyle w:val="FootnoteReference"/>
        </w:rPr>
        <w:footnoteReference w:id="19"/>
      </w:r>
      <w:r w:rsidR="00E4023C">
        <w:t xml:space="preserve"> </w:t>
      </w:r>
    </w:p>
    <w:p w:rsidR="00A9611A" w:rsidRDefault="006F0928" w:rsidP="008E495C">
      <w:pPr>
        <w:spacing w:line="480" w:lineRule="auto"/>
      </w:pPr>
      <w:r>
        <w:rPr>
          <w:i/>
        </w:rPr>
        <w:fldChar w:fldCharType="begin"/>
      </w:r>
      <w:r>
        <w:rPr>
          <w:i/>
        </w:rPr>
        <w:instrText xml:space="preserve"> AUTONUM </w:instrText>
      </w:r>
      <w:r>
        <w:rPr>
          <w:i/>
        </w:rPr>
        <w:fldChar w:fldCharType="end"/>
      </w:r>
      <w:r>
        <w:tab/>
      </w:r>
      <w:r>
        <w:tab/>
      </w:r>
      <w:r w:rsidR="002500A8">
        <w:t xml:space="preserve">Certain portions of the Staff Brief address interim gas supply contemplated by the TOTE Special Contract.  The Staff Brief incorrectly states that PSE is </w:t>
      </w:r>
      <w:r w:rsidR="00CB19AE">
        <w:t xml:space="preserve">required to deliver LNG to TOTE prior to construction of the Tacoma LNG Facility and that PSE is obligated </w:t>
      </w:r>
      <w:r w:rsidR="00A9611A">
        <w:t xml:space="preserve">under certain conditions </w:t>
      </w:r>
      <w:r w:rsidR="00CB19AE">
        <w:t xml:space="preserve">to provide alternative LNG fuel after deliveries to TOTE begin.  Staff’s Brief </w:t>
      </w:r>
      <w:r w:rsidR="00A9611A">
        <w:t xml:space="preserve">relies on its misunderstanding of the interim gas supply provisions to </w:t>
      </w:r>
      <w:r w:rsidR="00417255">
        <w:t xml:space="preserve">conclude that LNG is available in an unregulated market and </w:t>
      </w:r>
      <w:r w:rsidR="00A9611A">
        <w:t xml:space="preserve">therefore </w:t>
      </w:r>
      <w:r w:rsidR="00417255">
        <w:t>regulation is not needed to ensure LNG fuel supplies.</w:t>
      </w:r>
      <w:r w:rsidR="00417255">
        <w:rPr>
          <w:rStyle w:val="FootnoteReference"/>
        </w:rPr>
        <w:footnoteReference w:id="20"/>
      </w:r>
      <w:r w:rsidR="00417255">
        <w:t xml:space="preserve">  </w:t>
      </w:r>
      <w:r w:rsidR="00A9611A">
        <w:t xml:space="preserve"> </w:t>
      </w:r>
    </w:p>
    <w:p w:rsidR="002500A8" w:rsidRDefault="006F0928" w:rsidP="008E495C">
      <w:pPr>
        <w:spacing w:line="480" w:lineRule="auto"/>
      </w:pPr>
      <w:r>
        <w:rPr>
          <w:i/>
        </w:rPr>
        <w:fldChar w:fldCharType="begin"/>
      </w:r>
      <w:r>
        <w:rPr>
          <w:i/>
        </w:rPr>
        <w:instrText xml:space="preserve"> AUTONUM </w:instrText>
      </w:r>
      <w:r>
        <w:rPr>
          <w:i/>
        </w:rPr>
        <w:fldChar w:fldCharType="end"/>
      </w:r>
      <w:r>
        <w:tab/>
      </w:r>
      <w:r>
        <w:tab/>
      </w:r>
      <w:r w:rsidR="00D2174B">
        <w:t xml:space="preserve">The Staff Brief purports to analyze the TOTE Special Contract under the Commission’s legal framework for evaluating special contracts. </w:t>
      </w:r>
      <w:r w:rsidR="00CB19AE">
        <w:t xml:space="preserve"> </w:t>
      </w:r>
      <w:r w:rsidR="00D2174B">
        <w:t xml:space="preserve">Staff’s Brief states that PSE is not facing any form of traditional bypass threat due to the nature of the LNG fuel service and its mechanics, which </w:t>
      </w:r>
      <w:r w:rsidR="00D43C41">
        <w:t xml:space="preserve">allegedly </w:t>
      </w:r>
      <w:r w:rsidR="00D2174B">
        <w:t xml:space="preserve">make it nearly impossible to bypass PSE’s distribution system.  </w:t>
      </w:r>
      <w:r w:rsidR="00D10332">
        <w:t xml:space="preserve">There is nothing in the record, however, to support this claim.  </w:t>
      </w:r>
      <w:r w:rsidR="00D2174B">
        <w:t xml:space="preserve">The Staff </w:t>
      </w:r>
      <w:r w:rsidR="00D43C41">
        <w:t xml:space="preserve">Brief </w:t>
      </w:r>
      <w:r w:rsidR="00D10332">
        <w:t xml:space="preserve">then </w:t>
      </w:r>
      <w:r w:rsidR="004C062A">
        <w:t xml:space="preserve">opines </w:t>
      </w:r>
      <w:r w:rsidR="00D43C41">
        <w:t xml:space="preserve">that </w:t>
      </w:r>
      <w:r w:rsidR="004C062A">
        <w:t xml:space="preserve">because it was negotiated </w:t>
      </w:r>
      <w:r w:rsidR="00D43C41">
        <w:t>a</w:t>
      </w:r>
      <w:r w:rsidR="004C062A">
        <w:t>t</w:t>
      </w:r>
      <w:r w:rsidR="00D43C41">
        <w:t xml:space="preserve"> arms-length</w:t>
      </w:r>
      <w:r w:rsidR="003A1288">
        <w:t>, the TOTE Special Contract is</w:t>
      </w:r>
      <w:r w:rsidR="00D43C41">
        <w:t xml:space="preserve"> a commercial agreement</w:t>
      </w:r>
      <w:r w:rsidR="003A1288">
        <w:t xml:space="preserve">.  Staff’s Brief jumps to the conclusion </w:t>
      </w:r>
      <w:r w:rsidR="00A6423A">
        <w:t xml:space="preserve">that </w:t>
      </w:r>
      <w:r w:rsidR="004C062A">
        <w:t xml:space="preserve">when two sophisticated parties are involved in a contract </w:t>
      </w:r>
      <w:r w:rsidR="0059063A">
        <w:t xml:space="preserve">for </w:t>
      </w:r>
      <w:r w:rsidR="004C062A">
        <w:t>service</w:t>
      </w:r>
      <w:r w:rsidR="00D43C41">
        <w:t xml:space="preserve"> there is no role for the Commission because its regulation is inextricably tied to the economic protection of users of a regulated service.</w:t>
      </w:r>
      <w:r w:rsidR="00A6423A">
        <w:rPr>
          <w:rStyle w:val="FootnoteReference"/>
        </w:rPr>
        <w:footnoteReference w:id="21"/>
      </w:r>
      <w:r w:rsidR="00D43C41">
        <w:t xml:space="preserve">  </w:t>
      </w:r>
      <w:r w:rsidR="00A6423A">
        <w:t>This conclusion is belied by the very existence of the Commission’s rule governing special contracts</w:t>
      </w:r>
      <w:r w:rsidR="00D10332">
        <w:t xml:space="preserve">.  </w:t>
      </w:r>
      <w:r w:rsidR="00D10332">
        <w:rPr>
          <w:i/>
        </w:rPr>
        <w:t>S</w:t>
      </w:r>
      <w:r w:rsidR="00A6423A">
        <w:rPr>
          <w:i/>
        </w:rPr>
        <w:t>ee</w:t>
      </w:r>
      <w:r w:rsidR="00A6423A">
        <w:t xml:space="preserve"> WAC 480-80-153</w:t>
      </w:r>
      <w:r w:rsidR="00176DDC">
        <w:fldChar w:fldCharType="begin"/>
      </w:r>
      <w:r w:rsidR="00176DDC" w:rsidRPr="005B180C">
        <w:rPr>
          <w:color w:val="FF00FF"/>
        </w:rPr>
        <w:instrText xml:space="preserve"> TA \l "WAC 480-80-153" \s "WAC 480-80-153" \c 6 </w:instrText>
      </w:r>
      <w:r w:rsidR="00176DDC">
        <w:fldChar w:fldCharType="end"/>
      </w:r>
      <w:r w:rsidR="00176DDC">
        <w:t>.</w:t>
      </w:r>
    </w:p>
    <w:p w:rsidR="008E495C" w:rsidRDefault="006F0928" w:rsidP="008E495C">
      <w:pPr>
        <w:spacing w:line="480" w:lineRule="auto"/>
      </w:pPr>
      <w:r>
        <w:rPr>
          <w:i/>
        </w:rPr>
        <w:fldChar w:fldCharType="begin"/>
      </w:r>
      <w:r>
        <w:rPr>
          <w:i/>
        </w:rPr>
        <w:instrText xml:space="preserve"> AUTONUM </w:instrText>
      </w:r>
      <w:r>
        <w:rPr>
          <w:i/>
        </w:rPr>
        <w:fldChar w:fldCharType="end"/>
      </w:r>
      <w:r>
        <w:tab/>
      </w:r>
      <w:r>
        <w:tab/>
      </w:r>
      <w:r w:rsidR="00E4023C">
        <w:t>PSE disagrees with Staff Brief’s largely philosophical view of the nature of the authority of the Commission</w:t>
      </w:r>
      <w:r w:rsidR="0059063A">
        <w:t xml:space="preserve"> which</w:t>
      </w:r>
      <w:r w:rsidR="00E4023C">
        <w:t xml:space="preserve"> rests on assertions not supported by evidence in the record. No party to this proceeding has provided evidence of any kind indicating that </w:t>
      </w:r>
      <w:r w:rsidR="000737F5">
        <w:t xml:space="preserve">the distribution of </w:t>
      </w:r>
      <w:r w:rsidR="000737F5" w:rsidRPr="00AF2013">
        <w:t xml:space="preserve">LNG as a </w:t>
      </w:r>
      <w:r w:rsidR="000737F5" w:rsidRPr="00AF2013">
        <w:lastRenderedPageBreak/>
        <w:t>transportation fuel is a competitive enterprise</w:t>
      </w:r>
      <w:r w:rsidR="000737F5">
        <w:t xml:space="preserve"> or would constitute a </w:t>
      </w:r>
      <w:r w:rsidR="00E4023C">
        <w:t>monopoly service</w:t>
      </w:r>
      <w:r w:rsidR="000737F5">
        <w:t>. Staff Brief cannot assert its viewpoint, which is not demonstrated by evidence in this proceeding, as fact and have the Commission make a determination premised on this unsupported viewpoint.</w:t>
      </w:r>
    </w:p>
    <w:p w:rsidR="00AF2013" w:rsidRPr="00AF2013" w:rsidRDefault="00AF2013" w:rsidP="00AF2013">
      <w:pPr>
        <w:pStyle w:val="Heading2"/>
      </w:pPr>
      <w:bookmarkStart w:id="8" w:name="_Toc436822522"/>
      <w:r>
        <w:t>C</w:t>
      </w:r>
      <w:r w:rsidRPr="00AC34FC">
        <w:t>.</w:t>
      </w:r>
      <w:r w:rsidRPr="00AC34FC">
        <w:tab/>
      </w:r>
      <w:r>
        <w:t>Portions of the Staff Brief Involve Asserted Facts that PSE Would Contest in the Proceeding</w:t>
      </w:r>
      <w:bookmarkEnd w:id="8"/>
    </w:p>
    <w:p w:rsidR="000737F5" w:rsidRDefault="000737F5" w:rsidP="000737F5">
      <w:pPr>
        <w:pStyle w:val="Heading3"/>
      </w:pPr>
      <w:bookmarkStart w:id="9" w:name="_Toc436822523"/>
      <w:bookmarkStart w:id="10" w:name="_Toc436114827"/>
      <w:bookmarkStart w:id="11" w:name="_Toc435799489"/>
      <w:bookmarkEnd w:id="5"/>
      <w:bookmarkEnd w:id="6"/>
      <w:r>
        <w:t>1.</w:t>
      </w:r>
      <w:r>
        <w:tab/>
        <w:t xml:space="preserve">PSE Would </w:t>
      </w:r>
      <w:r w:rsidR="00295B9B">
        <w:t xml:space="preserve">Contest </w:t>
      </w:r>
      <w:r>
        <w:t xml:space="preserve">the </w:t>
      </w:r>
      <w:r w:rsidR="00BB5C1C">
        <w:t>Characterizations Made in the Staff Brief Regarding the Commodity to be Provided Pursuant to the TOTE Special Contract</w:t>
      </w:r>
      <w:bookmarkEnd w:id="9"/>
      <w:r w:rsidRPr="0048352C">
        <w:t xml:space="preserve"> </w:t>
      </w:r>
      <w:bookmarkEnd w:id="10"/>
      <w:bookmarkEnd w:id="11"/>
    </w:p>
    <w:p w:rsidR="00BB5C1C" w:rsidRDefault="00156B6F" w:rsidP="00156B6F">
      <w:pPr>
        <w:spacing w:line="480" w:lineRule="auto"/>
      </w:pPr>
      <w:r>
        <w:rPr>
          <w:i/>
        </w:rPr>
        <w:fldChar w:fldCharType="begin"/>
      </w:r>
      <w:r>
        <w:rPr>
          <w:i/>
        </w:rPr>
        <w:instrText xml:space="preserve"> AUTONUM </w:instrText>
      </w:r>
      <w:r>
        <w:rPr>
          <w:i/>
        </w:rPr>
        <w:fldChar w:fldCharType="end"/>
      </w:r>
      <w:r>
        <w:tab/>
      </w:r>
      <w:r>
        <w:tab/>
        <w:t>The Staff Brief incorrectly suggests that PSE will be providing a “</w:t>
      </w:r>
      <w:r w:rsidRPr="00156B6F">
        <w:t>highly refined product requiring significant refining and pre-treatment to produce the nearly pure methane required by TOTE</w:t>
      </w:r>
      <w:r w:rsidR="00BB5C1C" w:rsidRPr="00BB5C1C">
        <w:t>, as demonstrated by the approximately $300-$350 million dollar cost of PSE’s proposed refining and storage facility.</w:t>
      </w:r>
      <w:r>
        <w:t>”</w:t>
      </w:r>
      <w:r w:rsidRPr="00156B6F">
        <w:rPr>
          <w:rStyle w:val="FootnoteReference"/>
        </w:rPr>
        <w:t xml:space="preserve"> </w:t>
      </w:r>
      <w:r>
        <w:rPr>
          <w:rStyle w:val="FootnoteReference"/>
        </w:rPr>
        <w:footnoteReference w:id="22"/>
      </w:r>
      <w:r>
        <w:t xml:space="preserve"> There are numerous incorrect factual assertions in this statement that PSE must contest.</w:t>
      </w:r>
    </w:p>
    <w:p w:rsidR="00BB5C1C" w:rsidRDefault="00BB5C1C" w:rsidP="00BB5C1C">
      <w:pPr>
        <w:pStyle w:val="Heading4"/>
      </w:pPr>
      <w:r>
        <w:t>a.</w:t>
      </w:r>
      <w:r>
        <w:tab/>
        <w:t>PSE Is Not “Refining” Natural Gas</w:t>
      </w:r>
      <w:r w:rsidRPr="0048352C">
        <w:t xml:space="preserve"> </w:t>
      </w:r>
    </w:p>
    <w:p w:rsidR="00156B6F" w:rsidRDefault="00BB5C1C" w:rsidP="00156B6F">
      <w:pPr>
        <w:spacing w:line="480" w:lineRule="auto"/>
      </w:pPr>
      <w:r>
        <w:rPr>
          <w:i/>
        </w:rPr>
        <w:fldChar w:fldCharType="begin"/>
      </w:r>
      <w:r>
        <w:rPr>
          <w:i/>
        </w:rPr>
        <w:instrText xml:space="preserve"> AUTONUM </w:instrText>
      </w:r>
      <w:r>
        <w:rPr>
          <w:i/>
        </w:rPr>
        <w:fldChar w:fldCharType="end"/>
      </w:r>
      <w:r>
        <w:tab/>
      </w:r>
      <w:r>
        <w:tab/>
      </w:r>
      <w:r w:rsidR="00156B6F">
        <w:t>PSE is not “refining” natural gas</w:t>
      </w:r>
      <w:r w:rsidR="00E468E1">
        <w:t>. As recognized in the Commission’s regulations, natural gas is not a homogenous product, and the chemical composition of natural gas can vary</w:t>
      </w:r>
      <w:r w:rsidR="00E468E1" w:rsidRPr="00E468E1">
        <w:t xml:space="preserve"> </w:t>
      </w:r>
      <w:r w:rsidR="00E468E1">
        <w:t xml:space="preserve">widely. </w:t>
      </w:r>
      <w:r>
        <w:t xml:space="preserve">PSE is merely </w:t>
      </w:r>
      <w:r w:rsidR="00E468E1">
        <w:t xml:space="preserve">removing those </w:t>
      </w:r>
      <w:r>
        <w:t>components of the natural gas that have a higher freezing point (e.g., carbon dioxide, water) than the -260 degrees Fahrenheit to convert natural gas into a liquid state. If PSE were not to remove these components, then they would freeze prior to the conversion of natural gas into its liquid state, and the resulting dry ice (in the case of carbon dioxide) and ice (in the case of water) would cause problems with respect to the heat exchange process and equipment.</w:t>
      </w:r>
      <w:r w:rsidR="00C60023">
        <w:t xml:space="preserve"> The sole purpose of the pretreatment process is to protect PSE’s liquefaction equipment, not to satisfy any specific chemical composition desired by TOTE.</w:t>
      </w:r>
    </w:p>
    <w:p w:rsidR="00BB5C1C" w:rsidRDefault="00BB5C1C" w:rsidP="00C60023">
      <w:pPr>
        <w:pStyle w:val="Heading4"/>
        <w:ind w:right="720"/>
      </w:pPr>
      <w:r>
        <w:lastRenderedPageBreak/>
        <w:t>b.</w:t>
      </w:r>
      <w:r>
        <w:tab/>
        <w:t xml:space="preserve">PSE Is Not </w:t>
      </w:r>
      <w:r w:rsidR="00C60023">
        <w:t xml:space="preserve">Providing </w:t>
      </w:r>
      <w:r>
        <w:t>“</w:t>
      </w:r>
      <w:r w:rsidR="00C60023">
        <w:t>Nearly Pure Methane</w:t>
      </w:r>
      <w:r>
        <w:t>”</w:t>
      </w:r>
      <w:r w:rsidR="00C60023">
        <w:t xml:space="preserve"> Distinguishable from Natural Gas Generally</w:t>
      </w:r>
    </w:p>
    <w:p w:rsidR="00944D19" w:rsidRDefault="00C60023" w:rsidP="00C60023">
      <w:pPr>
        <w:spacing w:line="480" w:lineRule="auto"/>
      </w:pPr>
      <w:r>
        <w:rPr>
          <w:i/>
        </w:rPr>
        <w:fldChar w:fldCharType="begin"/>
      </w:r>
      <w:r>
        <w:rPr>
          <w:i/>
        </w:rPr>
        <w:instrText xml:space="preserve"> AUTONUM </w:instrText>
      </w:r>
      <w:r>
        <w:rPr>
          <w:i/>
        </w:rPr>
        <w:fldChar w:fldCharType="end"/>
      </w:r>
      <w:r>
        <w:tab/>
      </w:r>
      <w:r>
        <w:tab/>
        <w:t xml:space="preserve">The Staff Brief is correct that PSE is providing “nearly pure methane” but only in the sense that almost all natural gas provided by PSE is “nearly pure methane.” The Northwest Pipeline tariff contains </w:t>
      </w:r>
      <w:r w:rsidR="00944D19">
        <w:t xml:space="preserve">multiple quality standards that natural gas must meet </w:t>
      </w:r>
      <w:r w:rsidR="0059063A">
        <w:t xml:space="preserve">to be </w:t>
      </w:r>
      <w:r w:rsidR="00944D19">
        <w:t>transport</w:t>
      </w:r>
      <w:r w:rsidR="0059063A">
        <w:t>ed</w:t>
      </w:r>
      <w:r w:rsidR="00944D19">
        <w:t xml:space="preserve"> on the Northwest Pipeline system.</w:t>
      </w:r>
      <w:r w:rsidR="00944D19">
        <w:rPr>
          <w:rStyle w:val="FootnoteReference"/>
        </w:rPr>
        <w:footnoteReference w:id="23"/>
      </w:r>
      <w:r w:rsidR="00944D19">
        <w:t xml:space="preserve"> The Northwest Pipeline natural gas </w:t>
      </w:r>
      <w:r w:rsidR="00287722">
        <w:t xml:space="preserve">has historically fluctuated by more than four percent methane content (92 percent to 96 percent) while still meeting all </w:t>
      </w:r>
      <w:r w:rsidR="00944D19">
        <w:t xml:space="preserve">quality standards </w:t>
      </w:r>
      <w:r w:rsidR="00287722">
        <w:t>and tariff requirements</w:t>
      </w:r>
      <w:r w:rsidR="00984369">
        <w:t>.</w:t>
      </w:r>
      <w:r w:rsidR="00984369">
        <w:rPr>
          <w:rStyle w:val="FootnoteReference"/>
        </w:rPr>
        <w:footnoteReference w:id="24"/>
      </w:r>
      <w:r w:rsidR="00984369">
        <w:t xml:space="preserve"> The pretreatment process necessary to protect the liquefaction equipment results in natural gas with a higher concentration of methane than that received from Northwest Pipeline, but that difference is negligible. Indeed, the </w:t>
      </w:r>
      <w:r w:rsidR="006D66ED">
        <w:t xml:space="preserve">usual variations </w:t>
      </w:r>
      <w:r w:rsidR="00984369">
        <w:t xml:space="preserve">in the chemical composition of the natural gas </w:t>
      </w:r>
      <w:r w:rsidR="006D66ED">
        <w:t xml:space="preserve">received from </w:t>
      </w:r>
      <w:r w:rsidR="00984369">
        <w:t xml:space="preserve">Northwest Pipeline </w:t>
      </w:r>
      <w:r w:rsidR="006D66ED">
        <w:t xml:space="preserve">is greater than variations in the chemical composition of the natural gas </w:t>
      </w:r>
      <w:r w:rsidR="0059063A">
        <w:t xml:space="preserve">that will be </w:t>
      </w:r>
      <w:r w:rsidR="006D66ED">
        <w:t>at that the Tacoma LNG Facility due to the pretreatment processes necessary to protect the liquefaction equipment. All are “natural gas,” as defined by WAC 480-90-023</w:t>
      </w:r>
      <w:r w:rsidR="00176DDC">
        <w:fldChar w:fldCharType="begin"/>
      </w:r>
      <w:r w:rsidR="00176DDC" w:rsidRPr="005B180C">
        <w:rPr>
          <w:color w:val="FF00FF"/>
        </w:rPr>
        <w:instrText xml:space="preserve"> TA \l "WAC 480-90-023" \s "WAC 480-90-023" \c 6 </w:instrText>
      </w:r>
      <w:r w:rsidR="00176DDC">
        <w:fldChar w:fldCharType="end"/>
      </w:r>
      <w:r w:rsidR="006D66ED">
        <w:t xml:space="preserve"> (i.e., </w:t>
      </w:r>
      <w:r w:rsidR="006D66ED" w:rsidRPr="006D66ED">
        <w:t>“a mixture of gaseous hydrocarbons (chiefly methane) and nonhydrocarbons that occur naturally in the earth.”</w:t>
      </w:r>
      <w:r w:rsidR="006D66ED">
        <w:t>)</w:t>
      </w:r>
    </w:p>
    <w:p w:rsidR="007F2E37" w:rsidRDefault="007F2E37" w:rsidP="007F2E37">
      <w:pPr>
        <w:pStyle w:val="Heading4"/>
        <w:ind w:right="720"/>
      </w:pPr>
      <w:r>
        <w:t>c.</w:t>
      </w:r>
      <w:r>
        <w:tab/>
        <w:t>TOTE Does Not Require “N</w:t>
      </w:r>
      <w:r w:rsidRPr="00156B6F">
        <w:t xml:space="preserve">early </w:t>
      </w:r>
      <w:r>
        <w:t>P</w:t>
      </w:r>
      <w:r w:rsidRPr="00156B6F">
        <w:t xml:space="preserve">ure </w:t>
      </w:r>
      <w:r>
        <w:t>M</w:t>
      </w:r>
      <w:r w:rsidRPr="00156B6F">
        <w:t>ethane</w:t>
      </w:r>
      <w:r>
        <w:t>”</w:t>
      </w:r>
    </w:p>
    <w:p w:rsidR="00661ADB" w:rsidRDefault="006D66ED" w:rsidP="006D66ED">
      <w:pPr>
        <w:spacing w:line="480" w:lineRule="auto"/>
      </w:pPr>
      <w:r>
        <w:rPr>
          <w:i/>
        </w:rPr>
        <w:fldChar w:fldCharType="begin"/>
      </w:r>
      <w:r>
        <w:rPr>
          <w:i/>
        </w:rPr>
        <w:instrText xml:space="preserve"> AUTONUM </w:instrText>
      </w:r>
      <w:r>
        <w:rPr>
          <w:i/>
        </w:rPr>
        <w:fldChar w:fldCharType="end"/>
      </w:r>
      <w:r>
        <w:tab/>
      </w:r>
      <w:r>
        <w:tab/>
      </w:r>
      <w:r w:rsidR="007F2E37">
        <w:t xml:space="preserve">As discussed previously, the natural gas pretreatment process is necessary to protect the liquefaction equipment against </w:t>
      </w:r>
      <w:r w:rsidR="00661ADB">
        <w:t xml:space="preserve">natural gas components with freezing points higher than –260 degrees Fahrenheit. The pretreatment processes are not performed to meet some methane concentration desired by TOTE. Indeed, TOTE will use the LNG supplied by PSE pursuant to the TOTE Special Contract in a manner no different than residential customers </w:t>
      </w:r>
      <w:r w:rsidR="0059063A">
        <w:t xml:space="preserve">use natural gas in </w:t>
      </w:r>
      <w:r w:rsidR="00661ADB">
        <w:lastRenderedPageBreak/>
        <w:t xml:space="preserve">their homes. For residential customers, PSE will vaporize the LNG into a gaseous state on the customer’s behalf. TOTE, however, prefers to store the natural gas in its liquid state on its vessel because liquefied natural gas is 1/600th of the volume of gaseous natural gas. </w:t>
      </w:r>
      <w:r w:rsidR="006134CA">
        <w:t xml:space="preserve">TOTE will then vaporize the LNG on the vessel </w:t>
      </w:r>
      <w:r w:rsidR="0059063A">
        <w:t>and</w:t>
      </w:r>
      <w:r w:rsidR="006134CA">
        <w:t xml:space="preserve"> use the natural gas in its gaseous state in the marine engine. Thus, the sole difference between TOTE and residential customers is that PSE will provide the vaporization service for residential customers, and TOTE will self-provide the vaporization on the vessel. The natural gas used by residential customers and TOTE will be essentially the same in composition.</w:t>
      </w:r>
    </w:p>
    <w:p w:rsidR="006134CA" w:rsidRDefault="006134CA" w:rsidP="006134CA">
      <w:pPr>
        <w:pStyle w:val="Heading4"/>
        <w:ind w:right="720"/>
      </w:pPr>
      <w:r>
        <w:t>d.</w:t>
      </w:r>
      <w:r>
        <w:tab/>
        <w:t xml:space="preserve">The Pretreatment Process is Not </w:t>
      </w:r>
      <w:r w:rsidR="00841CC5">
        <w:t>“Refining</w:t>
      </w:r>
      <w:r>
        <w:t>”</w:t>
      </w:r>
    </w:p>
    <w:p w:rsidR="00B31A55" w:rsidRDefault="006134CA" w:rsidP="006134CA">
      <w:pPr>
        <w:spacing w:line="480" w:lineRule="auto"/>
      </w:pPr>
      <w:r>
        <w:rPr>
          <w:i/>
        </w:rPr>
        <w:fldChar w:fldCharType="begin"/>
      </w:r>
      <w:r>
        <w:rPr>
          <w:i/>
        </w:rPr>
        <w:instrText xml:space="preserve"> AUTONUM </w:instrText>
      </w:r>
      <w:r>
        <w:rPr>
          <w:i/>
        </w:rPr>
        <w:fldChar w:fldCharType="end"/>
      </w:r>
      <w:r>
        <w:tab/>
      </w:r>
      <w:r>
        <w:tab/>
        <w:t>The Staff Brief suggests, in error, that the “</w:t>
      </w:r>
      <w:r w:rsidRPr="00156B6F">
        <w:t>significant refining and pre-treatment to produce the nearly pure methane required by TOTE</w:t>
      </w:r>
      <w:r w:rsidR="00B31A55">
        <w:t>” is the predomina</w:t>
      </w:r>
      <w:r w:rsidR="0059063A">
        <w:t>n</w:t>
      </w:r>
      <w:r w:rsidR="00B31A55">
        <w:t xml:space="preserve">t factor in the </w:t>
      </w:r>
      <w:r w:rsidRPr="00BB5C1C">
        <w:t xml:space="preserve">approximately $300-$350 million cost of </w:t>
      </w:r>
      <w:r w:rsidR="00B31A55">
        <w:t xml:space="preserve">the Tacoma LNG Project.  The vast majority of the capital costs necessary to construct the Tacoma LNG Project would exist, </w:t>
      </w:r>
      <w:r w:rsidR="00B11563">
        <w:t xml:space="preserve">however, </w:t>
      </w:r>
      <w:r w:rsidR="00B31A55">
        <w:t xml:space="preserve">even if PSE were to size the project to meet its peaking needs alone. </w:t>
      </w:r>
      <w:r w:rsidR="00B31A55" w:rsidRPr="00B31A55">
        <w:t xml:space="preserve">PSE is offering sales of LNG to TOTE for use as a marine fuel as a regulated service to achieve the economies of scale </w:t>
      </w:r>
      <w:r w:rsidR="00800765">
        <w:t xml:space="preserve">and scope </w:t>
      </w:r>
      <w:r w:rsidR="00B31A55" w:rsidRPr="00B31A55">
        <w:t>to ensure that PSE can provide its gas customers with a least-cost resource to meet peaking needs.</w:t>
      </w:r>
      <w:r w:rsidR="00800765">
        <w:t xml:space="preserve"> In other words, PSE can spend slightly more to increase </w:t>
      </w:r>
      <w:r w:rsidR="00B6057B">
        <w:t xml:space="preserve">the plant </w:t>
      </w:r>
      <w:r w:rsidR="00800765">
        <w:t xml:space="preserve">capacity to meet the needs </w:t>
      </w:r>
      <w:r w:rsidR="00B6057B">
        <w:t>of a market complementary to PSE’s peaking needs in a manner that lowers the costs to PSE’s core customers and TOTE.</w:t>
      </w:r>
    </w:p>
    <w:p w:rsidR="00B6057B" w:rsidRDefault="00B6057B" w:rsidP="00B6057B">
      <w:pPr>
        <w:pStyle w:val="Heading3"/>
      </w:pPr>
      <w:bookmarkStart w:id="12" w:name="_Toc436822524"/>
      <w:r>
        <w:lastRenderedPageBreak/>
        <w:t>2.</w:t>
      </w:r>
      <w:r>
        <w:tab/>
        <w:t xml:space="preserve">PSE Would </w:t>
      </w:r>
      <w:r w:rsidR="00295B9B">
        <w:t xml:space="preserve">Contest </w:t>
      </w:r>
      <w:r>
        <w:t>the Characterization Made in the Staff Brief that Service Pursuant to the TOTE Special Contract Would be a “Behind-the-Meter” Service</w:t>
      </w:r>
      <w:bookmarkEnd w:id="12"/>
    </w:p>
    <w:p w:rsidR="00295B9B" w:rsidRDefault="000737F5" w:rsidP="000737F5">
      <w:pPr>
        <w:spacing w:line="480" w:lineRule="auto"/>
      </w:pPr>
      <w:r>
        <w:rPr>
          <w:i/>
        </w:rPr>
        <w:fldChar w:fldCharType="begin"/>
      </w:r>
      <w:r>
        <w:rPr>
          <w:i/>
        </w:rPr>
        <w:instrText xml:space="preserve"> AUTONUM </w:instrText>
      </w:r>
      <w:r>
        <w:rPr>
          <w:i/>
        </w:rPr>
        <w:fldChar w:fldCharType="end"/>
      </w:r>
      <w:r>
        <w:tab/>
      </w:r>
      <w:r>
        <w:tab/>
        <w:t xml:space="preserve">The Staff Brief </w:t>
      </w:r>
      <w:r w:rsidR="0075298C">
        <w:t xml:space="preserve">erroneously asserts that “PSE has </w:t>
      </w:r>
      <w:r w:rsidR="0075298C" w:rsidRPr="0075298C">
        <w:t xml:space="preserve">manufactured a behind-the-meter business opportunity with </w:t>
      </w:r>
      <w:r w:rsidR="0075298C">
        <w:t xml:space="preserve">[the </w:t>
      </w:r>
      <w:r w:rsidR="0075298C" w:rsidRPr="0075298C">
        <w:t xml:space="preserve">TOTE </w:t>
      </w:r>
      <w:r w:rsidR="0075298C">
        <w:t>Special Contract].”</w:t>
      </w:r>
      <w:r w:rsidR="0075298C">
        <w:rPr>
          <w:rStyle w:val="FootnoteReference"/>
        </w:rPr>
        <w:footnoteReference w:id="25"/>
      </w:r>
      <w:r w:rsidR="0075298C">
        <w:t xml:space="preserve"> </w:t>
      </w:r>
      <w:r w:rsidR="00B6057B">
        <w:t xml:space="preserve">PSE addressed aspects of this line of argument in </w:t>
      </w:r>
      <w:r w:rsidR="00295B9B">
        <w:t xml:space="preserve">the portion of the </w:t>
      </w:r>
      <w:r w:rsidR="00B6057B">
        <w:t xml:space="preserve">PSE Brief </w:t>
      </w:r>
      <w:r w:rsidR="00295B9B">
        <w:t xml:space="preserve">that demonstrates that the TOTE Special Contract requires PSE to meter and transfer </w:t>
      </w:r>
      <w:r w:rsidR="00295B9B" w:rsidRPr="004C7E6B">
        <w:t xml:space="preserve">title to the natural </w:t>
      </w:r>
      <w:r w:rsidR="00057D56">
        <w:t xml:space="preserve">gas </w:t>
      </w:r>
      <w:r w:rsidR="00295B9B" w:rsidRPr="004C7E6B">
        <w:t xml:space="preserve">to TOTE as the LNG is loaded into </w:t>
      </w:r>
      <w:r w:rsidR="00295B9B">
        <w:t>the manifold of the TOTE vessel,</w:t>
      </w:r>
      <w:r w:rsidR="00B11563">
        <w:rPr>
          <w:rStyle w:val="FootnoteReference"/>
        </w:rPr>
        <w:footnoteReference w:id="26"/>
      </w:r>
      <w:r w:rsidR="00295B9B">
        <w:t xml:space="preserve"> and PSE does not address these issues again in this Reply Brief. </w:t>
      </w:r>
    </w:p>
    <w:p w:rsidR="00295B9B" w:rsidRDefault="00295B9B" w:rsidP="000737F5">
      <w:pPr>
        <w:pStyle w:val="Heading3"/>
      </w:pPr>
      <w:bookmarkStart w:id="13" w:name="_Toc436822525"/>
      <w:r>
        <w:t>3</w:t>
      </w:r>
      <w:r w:rsidR="000737F5">
        <w:t>.</w:t>
      </w:r>
      <w:r w:rsidR="000737F5">
        <w:tab/>
        <w:t xml:space="preserve">PSE Would </w:t>
      </w:r>
      <w:r>
        <w:t xml:space="preserve">Contest the Characterization Made in the Staff Brief that It is Improper for </w:t>
      </w:r>
      <w:r w:rsidR="002D6B5E">
        <w:t xml:space="preserve">PSE to Take Title to </w:t>
      </w:r>
      <w:r w:rsidR="00841CC5">
        <w:t>Natural Gas it Distributes</w:t>
      </w:r>
      <w:bookmarkEnd w:id="13"/>
    </w:p>
    <w:p w:rsidR="00C845FE" w:rsidRDefault="00AC34FC" w:rsidP="006D1F1E">
      <w:pPr>
        <w:spacing w:line="480" w:lineRule="auto"/>
      </w:pPr>
      <w:r>
        <w:rPr>
          <w:i/>
        </w:rPr>
        <w:fldChar w:fldCharType="begin"/>
      </w:r>
      <w:r>
        <w:rPr>
          <w:i/>
        </w:rPr>
        <w:instrText xml:space="preserve"> AUTONUM </w:instrText>
      </w:r>
      <w:r>
        <w:rPr>
          <w:i/>
        </w:rPr>
        <w:fldChar w:fldCharType="end"/>
      </w:r>
      <w:r>
        <w:tab/>
      </w:r>
      <w:r w:rsidR="006349BE">
        <w:tab/>
      </w:r>
      <w:r w:rsidR="000B3224">
        <w:t xml:space="preserve">The Staff Brief claims that </w:t>
      </w:r>
      <w:r w:rsidR="002D6B5E">
        <w:t>the TOTE Special Contract somehow is inappropriate because it “</w:t>
      </w:r>
      <w:r w:rsidR="002D6B5E" w:rsidRPr="002D6B5E">
        <w:t>obligates PSE to take ownership of the TOTE-destined gas, thus shielding TOTE from PSE’s tariffed transportation retail prices.</w:t>
      </w:r>
      <w:r w:rsidR="002D6B5E">
        <w:t>”</w:t>
      </w:r>
      <w:r w:rsidR="002D6B5E">
        <w:rPr>
          <w:rStyle w:val="FootnoteReference"/>
        </w:rPr>
        <w:footnoteReference w:id="27"/>
      </w:r>
      <w:r w:rsidR="002D6B5E">
        <w:t xml:space="preserve"> I</w:t>
      </w:r>
      <w:r w:rsidR="00EE0B88">
        <w:t xml:space="preserve">t is unremarkable that </w:t>
      </w:r>
      <w:r w:rsidR="00415935">
        <w:t xml:space="preserve">PSE </w:t>
      </w:r>
      <w:r w:rsidR="00EE0B88">
        <w:t xml:space="preserve">owns and does not transfer title to the natural gas until the LNG is </w:t>
      </w:r>
      <w:r w:rsidR="0002365E">
        <w:t xml:space="preserve">metered and </w:t>
      </w:r>
      <w:r w:rsidR="00EE0B88">
        <w:t xml:space="preserve">dispensed into the TOTE vessel. Indeed, PSE owns and does not transfer title to natural gas provided to </w:t>
      </w:r>
      <w:r w:rsidR="00415935">
        <w:t>its core customers</w:t>
      </w:r>
      <w:r w:rsidR="00EE0B88">
        <w:t xml:space="preserve"> until the </w:t>
      </w:r>
      <w:r w:rsidR="0002365E">
        <w:t>natural gas is metered and used by core customers. T</w:t>
      </w:r>
      <w:r w:rsidR="00415935">
        <w:t xml:space="preserve">he </w:t>
      </w:r>
      <w:r w:rsidR="00B11563">
        <w:t>Staff</w:t>
      </w:r>
      <w:r w:rsidR="0002365E">
        <w:t xml:space="preserve"> Brief appears to analogize TOTE to </w:t>
      </w:r>
      <w:r w:rsidR="00415935">
        <w:t xml:space="preserve">transport-only </w:t>
      </w:r>
      <w:r w:rsidR="0002365E">
        <w:t xml:space="preserve">customers for whom PSE transports but never has title to the natural gas. </w:t>
      </w:r>
      <w:r w:rsidR="00B0326A">
        <w:t>TOTE</w:t>
      </w:r>
      <w:r w:rsidR="0002365E">
        <w:t xml:space="preserve">, by contrast, </w:t>
      </w:r>
      <w:r w:rsidR="00B0326A">
        <w:t>will not be</w:t>
      </w:r>
      <w:r w:rsidR="00B82774">
        <w:t xml:space="preserve"> a</w:t>
      </w:r>
      <w:r w:rsidR="00B0326A">
        <w:t xml:space="preserve"> transport-only customer</w:t>
      </w:r>
      <w:r w:rsidR="0002365E">
        <w:t xml:space="preserve"> and will be purchasing LNG as an end</w:t>
      </w:r>
      <w:r w:rsidR="000326A9">
        <w:t>-use</w:t>
      </w:r>
      <w:r w:rsidR="0002365E">
        <w:t xml:space="preserve"> product at the TOTE berthing station. I</w:t>
      </w:r>
      <w:r w:rsidR="00B0326A">
        <w:t xml:space="preserve">t </w:t>
      </w:r>
      <w:r w:rsidR="0002365E">
        <w:t xml:space="preserve">is </w:t>
      </w:r>
      <w:r w:rsidR="000326A9">
        <w:t>incorrect</w:t>
      </w:r>
      <w:r w:rsidR="00B0326A">
        <w:t xml:space="preserve"> </w:t>
      </w:r>
      <w:r w:rsidR="0002365E">
        <w:t xml:space="preserve">to consider </w:t>
      </w:r>
      <w:r w:rsidR="00B0326A">
        <w:t xml:space="preserve">TOTE to be </w:t>
      </w:r>
      <w:r w:rsidR="0002365E">
        <w:t xml:space="preserve">a transportation customer. </w:t>
      </w:r>
      <w:r w:rsidR="00B0326A">
        <w:t xml:space="preserve">TOTE will buy </w:t>
      </w:r>
      <w:r w:rsidR="0002365E">
        <w:t xml:space="preserve">LNG </w:t>
      </w:r>
      <w:r w:rsidR="00B0326A">
        <w:t xml:space="preserve">from PSE </w:t>
      </w:r>
      <w:r w:rsidR="0002365E">
        <w:t xml:space="preserve">at a bundled rate that recovers (i) PSE’s </w:t>
      </w:r>
      <w:r w:rsidR="00B0326A">
        <w:t xml:space="preserve">cost of the natural gas commodity, </w:t>
      </w:r>
      <w:r w:rsidR="0002365E">
        <w:t>(ii) </w:t>
      </w:r>
      <w:r w:rsidR="00B0326A">
        <w:t>PSE</w:t>
      </w:r>
      <w:r w:rsidR="0002365E">
        <w:t>’s</w:t>
      </w:r>
      <w:r w:rsidR="00B0326A">
        <w:t xml:space="preserve"> </w:t>
      </w:r>
      <w:r w:rsidR="0002365E">
        <w:t xml:space="preserve">cost </w:t>
      </w:r>
      <w:r w:rsidR="00B0326A">
        <w:t xml:space="preserve">to transport that </w:t>
      </w:r>
      <w:r w:rsidR="000326A9">
        <w:t xml:space="preserve">natural </w:t>
      </w:r>
      <w:r w:rsidR="00B0326A">
        <w:t xml:space="preserve">gas to its distribution system, </w:t>
      </w:r>
      <w:r w:rsidR="0002365E">
        <w:t xml:space="preserve">(ii) PSE’s cost </w:t>
      </w:r>
      <w:r w:rsidR="00B0326A">
        <w:t>to move the natural gas on its distribution system</w:t>
      </w:r>
      <w:r w:rsidR="0002365E">
        <w:t>,</w:t>
      </w:r>
      <w:r w:rsidR="00B0326A">
        <w:t xml:space="preserve"> and </w:t>
      </w:r>
      <w:r w:rsidR="0002365E">
        <w:t xml:space="preserve">(ii) PSE’s </w:t>
      </w:r>
      <w:r w:rsidR="00B0326A">
        <w:t xml:space="preserve">cost to liquefy </w:t>
      </w:r>
      <w:r w:rsidR="006C5850">
        <w:t xml:space="preserve">and store </w:t>
      </w:r>
      <w:r w:rsidR="00B0326A">
        <w:t>the natural gas</w:t>
      </w:r>
      <w:r w:rsidR="00D15BDF">
        <w:t>.</w:t>
      </w:r>
    </w:p>
    <w:p w:rsidR="00295B9B" w:rsidRDefault="002D6B5E" w:rsidP="00295B9B">
      <w:pPr>
        <w:pStyle w:val="Heading3"/>
      </w:pPr>
      <w:bookmarkStart w:id="14" w:name="_Toc436822526"/>
      <w:r>
        <w:lastRenderedPageBreak/>
        <w:t>4</w:t>
      </w:r>
      <w:r w:rsidR="00295B9B">
        <w:t>.</w:t>
      </w:r>
      <w:r w:rsidR="00295B9B">
        <w:tab/>
        <w:t xml:space="preserve">PSE Would Contest the Characterizations Made in the Staff Brief </w:t>
      </w:r>
      <w:r>
        <w:t>Suggesting that It is Somehow Inappropriate for a Gas Company to Include a Specified Term of a Number of Years in a Special Contract</w:t>
      </w:r>
      <w:bookmarkEnd w:id="14"/>
    </w:p>
    <w:p w:rsidR="00285646" w:rsidRDefault="00AA3E14" w:rsidP="006D1F1E">
      <w:pPr>
        <w:spacing w:line="480" w:lineRule="auto"/>
      </w:pPr>
      <w:r>
        <w:rPr>
          <w:i/>
        </w:rPr>
        <w:fldChar w:fldCharType="begin"/>
      </w:r>
      <w:r>
        <w:rPr>
          <w:i/>
        </w:rPr>
        <w:instrText xml:space="preserve"> AUTONUM </w:instrText>
      </w:r>
      <w:r>
        <w:rPr>
          <w:i/>
        </w:rPr>
        <w:fldChar w:fldCharType="end"/>
      </w:r>
      <w:r>
        <w:tab/>
      </w:r>
      <w:r w:rsidR="006349BE">
        <w:tab/>
      </w:r>
      <w:r w:rsidR="00B82774">
        <w:t>The Staff Brief</w:t>
      </w:r>
      <w:r w:rsidR="009028D5">
        <w:t xml:space="preserve"> </w:t>
      </w:r>
      <w:r w:rsidR="00D15BDF">
        <w:t xml:space="preserve">further </w:t>
      </w:r>
      <w:r w:rsidR="009028D5">
        <w:t xml:space="preserve">points to the fact </w:t>
      </w:r>
      <w:r w:rsidR="00B82774">
        <w:t xml:space="preserve">that the TOTE Special Contract </w:t>
      </w:r>
      <w:r w:rsidR="009028D5">
        <w:t xml:space="preserve">has a specified </w:t>
      </w:r>
      <w:r w:rsidR="00D15BDF">
        <w:t xml:space="preserve">term of </w:t>
      </w:r>
      <w:r w:rsidR="009028D5">
        <w:t>ten</w:t>
      </w:r>
      <w:r w:rsidR="00D15BDF">
        <w:t xml:space="preserve"> </w:t>
      </w:r>
      <w:r w:rsidR="009028D5">
        <w:t>year</w:t>
      </w:r>
      <w:r w:rsidR="00D15BDF">
        <w:t>s</w:t>
      </w:r>
      <w:r w:rsidR="009028D5">
        <w:t xml:space="preserve"> to </w:t>
      </w:r>
      <w:r w:rsidR="00D15BDF">
        <w:t xml:space="preserve">suggest that service under the contract </w:t>
      </w:r>
      <w:r w:rsidR="009028D5">
        <w:t>is not a utility service.</w:t>
      </w:r>
      <w:r w:rsidR="006616EC">
        <w:rPr>
          <w:rStyle w:val="FootnoteReference"/>
        </w:rPr>
        <w:footnoteReference w:id="28"/>
      </w:r>
      <w:r w:rsidR="009028D5">
        <w:t xml:space="preserve"> </w:t>
      </w:r>
      <w:r w:rsidR="00224DE1" w:rsidRPr="00224DE1">
        <w:t>It is erroneous to claim that gas utilities do not require certain customers to commit to take s</w:t>
      </w:r>
      <w:r w:rsidR="00D15BDF">
        <w:t xml:space="preserve">ervice for an extended period. </w:t>
      </w:r>
      <w:r w:rsidR="00224DE1" w:rsidRPr="00224DE1">
        <w:t xml:space="preserve">In fact, the Commission has approved </w:t>
      </w:r>
      <w:r w:rsidR="00D15BDF">
        <w:t xml:space="preserve">special contracts of gas utilities for specific terms. For example, the Commission has approved special contracts of </w:t>
      </w:r>
      <w:r w:rsidR="00224DE1" w:rsidRPr="00224DE1">
        <w:t xml:space="preserve">Cascade Natural Gas </w:t>
      </w:r>
      <w:r w:rsidR="00D15BDF">
        <w:t xml:space="preserve">Company </w:t>
      </w:r>
      <w:r w:rsidR="00224DE1" w:rsidRPr="00224DE1">
        <w:t>for contracts with terms of 30</w:t>
      </w:r>
      <w:r w:rsidR="00D15BDF">
        <w:t> </w:t>
      </w:r>
      <w:r w:rsidR="00224DE1" w:rsidRPr="00224DE1">
        <w:t>years and 15</w:t>
      </w:r>
      <w:r w:rsidR="00D15BDF">
        <w:t> </w:t>
      </w:r>
      <w:r w:rsidR="00224DE1" w:rsidRPr="00224DE1">
        <w:t>years.</w:t>
      </w:r>
      <w:r w:rsidR="00224DE1" w:rsidRPr="00224DE1">
        <w:rPr>
          <w:vertAlign w:val="superscript"/>
        </w:rPr>
        <w:footnoteReference w:id="29"/>
      </w:r>
      <w:r w:rsidR="002D6B5E">
        <w:t xml:space="preserve"> Moreover, Section 1 of PSE’s Gas Rule 15 specifically </w:t>
      </w:r>
      <w:r w:rsidR="00B75A22">
        <w:t>contemplates and allows contracts between PSE and its customers for specified terms of service:</w:t>
      </w:r>
    </w:p>
    <w:p w:rsidR="00B75A22" w:rsidRDefault="00B75A22" w:rsidP="00B75A22">
      <w:pPr>
        <w:tabs>
          <w:tab w:val="clear" w:pos="720"/>
        </w:tabs>
        <w:spacing w:after="280" w:line="240" w:lineRule="auto"/>
        <w:ind w:left="1440" w:right="720" w:firstLine="0"/>
        <w:jc w:val="both"/>
      </w:pPr>
      <w:r>
        <w:t>An agreement between the customer and the company is created by the company’s acceptance of the customer’s application or request for service, or by the customer’s use of gas prior to such application or request. Where no contract for a facilities extension or term of service is involved, the agreement will continue in full force and effect until terminated by the customer giving at least one day’s notice to a company business office relative to the intent to discontinue service</w:t>
      </w:r>
      <w:r w:rsidRPr="00224DE1">
        <w:t>.</w:t>
      </w:r>
      <w:r w:rsidRPr="00224DE1">
        <w:rPr>
          <w:vertAlign w:val="superscript"/>
        </w:rPr>
        <w:footnoteReference w:id="30"/>
      </w:r>
    </w:p>
    <w:p w:rsidR="00821345" w:rsidRDefault="00821345" w:rsidP="00821345">
      <w:pPr>
        <w:tabs>
          <w:tab w:val="clear" w:pos="720"/>
        </w:tabs>
        <w:spacing w:line="480" w:lineRule="auto"/>
        <w:ind w:firstLine="0"/>
      </w:pPr>
      <w:r>
        <w:t xml:space="preserve">Thus, the Staff Brief </w:t>
      </w:r>
      <w:r w:rsidR="00B11563">
        <w:t>may be</w:t>
      </w:r>
      <w:r>
        <w:t xml:space="preserve"> correct in that the default position is that there is </w:t>
      </w:r>
      <w:r w:rsidR="00B11563">
        <w:t>often</w:t>
      </w:r>
      <w:r w:rsidRPr="00821345">
        <w:t xml:space="preserve"> no requirement that </w:t>
      </w:r>
      <w:r w:rsidR="00B11563">
        <w:t xml:space="preserve">a </w:t>
      </w:r>
      <w:r w:rsidRPr="00821345">
        <w:t>customer agree to remain a customer for a time certain</w:t>
      </w:r>
      <w:r>
        <w:t xml:space="preserve"> and</w:t>
      </w:r>
      <w:r w:rsidR="00B11563">
        <w:t xml:space="preserve"> that customers</w:t>
      </w:r>
      <w:r>
        <w:t xml:space="preserve"> are </w:t>
      </w:r>
      <w:r w:rsidRPr="00821345">
        <w:t>free to leave the system or to decline to take utility service of any kind</w:t>
      </w:r>
      <w:r>
        <w:t>, but that default position can and, at least with respect to special contract</w:t>
      </w:r>
      <w:r w:rsidR="006C5850">
        <w:t>s</w:t>
      </w:r>
      <w:r>
        <w:t xml:space="preserve">, is modified by </w:t>
      </w:r>
      <w:r w:rsidR="00B11563">
        <w:t xml:space="preserve">a </w:t>
      </w:r>
      <w:r>
        <w:t xml:space="preserve">contract agreed </w:t>
      </w:r>
      <w:r w:rsidR="00B11563">
        <w:t xml:space="preserve">to </w:t>
      </w:r>
      <w:r>
        <w:t>between the utility and its customer.</w:t>
      </w:r>
    </w:p>
    <w:p w:rsidR="00403CF5" w:rsidRDefault="00403CF5" w:rsidP="00403CF5">
      <w:pPr>
        <w:pStyle w:val="Heading3"/>
      </w:pPr>
      <w:bookmarkStart w:id="15" w:name="_Toc436822527"/>
      <w:r>
        <w:lastRenderedPageBreak/>
        <w:t>5.</w:t>
      </w:r>
      <w:r>
        <w:tab/>
        <w:t>PSE Would Contest the Characterizations Made in the Staff Brief Suggesting that Regulation of LNG Sales by PSE Would Somehow Inhibit the Development of the Market for LNG</w:t>
      </w:r>
      <w:bookmarkEnd w:id="15"/>
    </w:p>
    <w:p w:rsidR="00403CF5" w:rsidRDefault="00403CF5" w:rsidP="00403CF5">
      <w:pPr>
        <w:spacing w:line="480" w:lineRule="auto"/>
      </w:pPr>
      <w:r>
        <w:rPr>
          <w:i/>
        </w:rPr>
        <w:fldChar w:fldCharType="begin"/>
      </w:r>
      <w:r>
        <w:rPr>
          <w:i/>
        </w:rPr>
        <w:instrText xml:space="preserve"> AUTONUM </w:instrText>
      </w:r>
      <w:r>
        <w:rPr>
          <w:i/>
        </w:rPr>
        <w:fldChar w:fldCharType="end"/>
      </w:r>
      <w:r>
        <w:tab/>
      </w:r>
      <w:r>
        <w:tab/>
        <w:t>The Staff Brief suggests that “</w:t>
      </w:r>
      <w:r w:rsidRPr="00403CF5">
        <w:t>the competitive market will advance the market development for LNG much faster than treating it as a regulated service.</w:t>
      </w:r>
      <w:r>
        <w:t>”</w:t>
      </w:r>
      <w:r w:rsidRPr="00224DE1">
        <w:rPr>
          <w:vertAlign w:val="superscript"/>
        </w:rPr>
        <w:footnoteReference w:id="31"/>
      </w:r>
      <w:r>
        <w:t xml:space="preserve"> </w:t>
      </w:r>
      <w:r w:rsidR="009848BF">
        <w:t>Similarly, the Staff Brief incorrectly states that “</w:t>
      </w:r>
      <w:r w:rsidR="009848BF" w:rsidRPr="009848BF">
        <w:t>if the Commission determines LNG to be a regulated service, then any other LNG providers doing business in Washington now and in the future would be included under the Commission’s regulatory umbrella.</w:t>
      </w:r>
      <w:r w:rsidR="009848BF">
        <w:t>”</w:t>
      </w:r>
      <w:r w:rsidR="009848BF" w:rsidRPr="00224DE1">
        <w:rPr>
          <w:vertAlign w:val="superscript"/>
        </w:rPr>
        <w:footnoteReference w:id="32"/>
      </w:r>
      <w:r w:rsidR="009848BF">
        <w:t xml:space="preserve"> </w:t>
      </w:r>
      <w:r w:rsidR="006F2D59">
        <w:t>As discussed in the PSE Brief,</w:t>
      </w:r>
      <w:r w:rsidR="00B11563">
        <w:rPr>
          <w:rStyle w:val="FootnoteReference"/>
        </w:rPr>
        <w:footnoteReference w:id="33"/>
      </w:r>
      <w:r w:rsidR="006F2D59">
        <w:t xml:space="preserve"> section 404(b) of the Energy Policy Act of 1992</w:t>
      </w:r>
      <w:r w:rsidR="006F2D59" w:rsidRPr="00224DE1">
        <w:rPr>
          <w:vertAlign w:val="superscript"/>
        </w:rPr>
        <w:footnoteReference w:id="34"/>
      </w:r>
      <w:r w:rsidR="006F2D59">
        <w:t xml:space="preserve"> preempts state regulation of sales of vehicular natural gas by entities other than public utilities. Therefore, the Commission’s jurisdiction over PSE’s sales of LNG to TOTE would not subject non-utility companies in the business of selling vehicular natural gas to the Commission’s jurisdiction</w:t>
      </w:r>
      <w:r w:rsidR="007D6ADF">
        <w:t xml:space="preserve"> and would not inhibit the development of a competitive marketplace for vehicular gas within the state</w:t>
      </w:r>
      <w:r w:rsidR="006F2D59">
        <w:t>.</w:t>
      </w:r>
    </w:p>
    <w:p w:rsidR="00A373F8" w:rsidRDefault="00A373F8" w:rsidP="00A373F8">
      <w:pPr>
        <w:pStyle w:val="Heading3"/>
      </w:pPr>
      <w:bookmarkStart w:id="16" w:name="_Toc436822528"/>
      <w:r>
        <w:t>6.</w:t>
      </w:r>
      <w:r>
        <w:tab/>
        <w:t>PSE Would Contest the Characterizations Made in the Staff Brief Suggesting that Section 2.3.1(c) of the TOTE Special Contract Somehow Caps the Contract Price</w:t>
      </w:r>
      <w:bookmarkEnd w:id="16"/>
    </w:p>
    <w:p w:rsidR="00DF08F8" w:rsidRDefault="00A373F8" w:rsidP="00403CF5">
      <w:pPr>
        <w:spacing w:line="480" w:lineRule="auto"/>
      </w:pPr>
      <w:r>
        <w:rPr>
          <w:i/>
        </w:rPr>
        <w:fldChar w:fldCharType="begin"/>
      </w:r>
      <w:r>
        <w:rPr>
          <w:i/>
        </w:rPr>
        <w:instrText xml:space="preserve"> AUTONUM </w:instrText>
      </w:r>
      <w:r>
        <w:rPr>
          <w:i/>
        </w:rPr>
        <w:fldChar w:fldCharType="end"/>
      </w:r>
      <w:r>
        <w:tab/>
      </w:r>
      <w:r>
        <w:tab/>
        <w:t xml:space="preserve">The Staff Brief incorrectly suggests that section 2.3.1(c) of the TOTE Special Contract somehow </w:t>
      </w:r>
      <w:r w:rsidR="00DF08F8">
        <w:t>caps the price paid by TOTE for LNG supplied pursuant to that agreement:</w:t>
      </w:r>
    </w:p>
    <w:p w:rsidR="00A373F8" w:rsidRDefault="00A373F8" w:rsidP="007D6730">
      <w:pPr>
        <w:tabs>
          <w:tab w:val="clear" w:pos="720"/>
        </w:tabs>
        <w:spacing w:after="280" w:line="240" w:lineRule="auto"/>
        <w:ind w:left="1440" w:right="720" w:firstLine="0"/>
        <w:jc w:val="both"/>
      </w:pPr>
      <w:r w:rsidRPr="00A373F8">
        <w:t xml:space="preserve">The amount of plant assigned to TOTE and used by PSE to calculate the contract price is described in Section 2.3.1(c) of the TOTE agreement.  Here, it is set at an amount </w:t>
      </w:r>
      <w:r w:rsidRPr="00057D56">
        <w:rPr>
          <w:highlight w:val="lightGray"/>
        </w:rPr>
        <w:t>no greater than 110 percent of the estimate arrived at by PSE</w:t>
      </w:r>
      <w:r w:rsidRPr="00A373F8">
        <w:t xml:space="preserve"> by way of its engineering and design stud</w:t>
      </w:r>
      <w:r w:rsidR="007D6730">
        <w:t>y completed in August of 2013.</w:t>
      </w:r>
      <w:r w:rsidR="007D6730" w:rsidRPr="00224DE1">
        <w:rPr>
          <w:vertAlign w:val="superscript"/>
        </w:rPr>
        <w:footnoteReference w:id="35"/>
      </w:r>
    </w:p>
    <w:p w:rsidR="008A27CF" w:rsidRDefault="00BA05A8" w:rsidP="007D6730">
      <w:pPr>
        <w:tabs>
          <w:tab w:val="clear" w:pos="720"/>
        </w:tabs>
        <w:spacing w:after="280" w:line="240" w:lineRule="auto"/>
        <w:ind w:left="1440" w:right="720" w:firstLine="0"/>
        <w:jc w:val="both"/>
      </w:pPr>
      <w:r>
        <w:rPr>
          <w:noProof/>
        </w:rPr>
        <mc:AlternateContent>
          <mc:Choice Requires="wpg">
            <w:drawing>
              <wp:anchor distT="0" distB="0" distL="114300" distR="114300" simplePos="0" relativeHeight="251665920" behindDoc="0" locked="0" layoutInCell="1" allowOverlap="1" wp14:anchorId="4AAA8CAC" wp14:editId="0BE37403">
                <wp:simplePos x="0" y="0"/>
                <wp:positionH relativeFrom="column">
                  <wp:posOffset>3086100</wp:posOffset>
                </wp:positionH>
                <wp:positionV relativeFrom="paragraph">
                  <wp:posOffset>353060</wp:posOffset>
                </wp:positionV>
                <wp:extent cx="2171700" cy="764540"/>
                <wp:effectExtent l="0" t="0" r="0" b="16510"/>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171700" cy="764540"/>
                          <a:chOff x="4608" y="12384"/>
                          <a:chExt cx="4320" cy="780"/>
                        </a:xfrm>
                      </wpg:grpSpPr>
                      <wps:wsp>
                        <wps:cNvPr id="18"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5A8" w:rsidRDefault="00BA05A8" w:rsidP="00BA05A8">
                              <w:r>
                                <w:rPr>
                                  <w:snapToGrid w:val="0"/>
                                </w:rPr>
                                <w:t>Confidential per WAC 48</w:t>
                              </w:r>
                            </w:p>
                          </w:txbxContent>
                        </wps:txbx>
                        <wps:bodyPr rot="0" vert="horz" wrap="square" lIns="91440" tIns="91440" rIns="91440" bIns="91440" anchor="t" anchorCtr="0" upright="1">
                          <a:noAutofit/>
                        </wps:bodyPr>
                      </wps:wsp>
                      <wps:wsp>
                        <wps:cNvPr id="19"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BA05A8" w:rsidRPr="00EC3DC8" w:rsidRDefault="00BA05A8" w:rsidP="00BA05A8">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left:0;text-align:left;margin-left:243pt;margin-top:27.8pt;width:171pt;height:60.2pt;flip:y;z-index:251665920"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">
                <v:shape id="Text Box 4" o:spid="_x0000_s1038"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J58QA&#10;AADbAAAADwAAAGRycy9kb3ducmV2LnhtbESPQWvCQBCF7wX/wzKCt7qxiEjqKkUo1FurYnscspNN&#10;MDsbsmuM/vrOQfA2w3vz3jerzeAb1VMX68AGZtMMFHERbM3OwPHw+boEFROyxSYwGbhRhM169LLC&#10;3IYr/1C/T05JCMccDVQptbnWsajIY5yGlli0MnQek6yd07bDq4T7Rr9l2UJ7rFkaKmxpW1Fx3l+8&#10;gV+32DXfy7Mt53/308xd+n67K42ZjIePd1CJhvQ0P66/rOALrP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CefEAAAA2wAAAA8AAAAAAAAAAAAAAAAAmAIAAGRycy9k&#10;b3ducmV2LnhtbFBLBQYAAAAABAAEAPUAAACJAwAAAAA=&#10;" fillcolor="gray" stroked="f">
                  <v:textbox inset=",7.2pt,,7.2pt">
                    <w:txbxContent>
                      <w:p w:rsidR="00BA05A8" w:rsidRDefault="00BA05A8" w:rsidP="00BA05A8">
                        <w:r>
                          <w:rPr>
                            <w:snapToGrid w:val="0"/>
                          </w:rPr>
                          <w:t>Confidential per WAC 48</w:t>
                        </w:r>
                      </w:p>
                    </w:txbxContent>
                  </v:textbox>
                </v:shape>
                <v:shape id="Text Box 5" o:spid="_x0000_s1039"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lPsMA&#10;AADbAAAADwAAAGRycy9kb3ducmV2LnhtbESPQYvCMBCF7wv+hzCCl0VTlRWtRpGCIF4Wu0vPQzO2&#10;xWZSm2jrvzfCwt6+Yd6892az600tHtS6yrKC6SQCQZxbXXGh4PfnMF6CcB5ZY22ZFDzJwW47+Nhg&#10;rG3HZ3qkvhDBhF2MCkrvm1hKl5dk0E1sQxx2F9sa9GFsC6lb7IK5qeUsihbSYMUhocSGkpLya3o3&#10;CpJTFvB8+86yef21OKVd8pkUSo2G/X4NwlPv/8V/10cd6q/g/UsA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5lPsMAAADbAAAADwAAAAAAAAAAAAAAAACYAgAAZHJzL2Rv&#10;d25yZXYueG1sUEsFBgAAAAAEAAQA9QAAAIgDAAAAAA==&#10;" strokeweight="1.5pt">
                  <v:textbox inset=",7.2pt,,7.2pt">
                    <w:txbxContent>
                      <w:p w:rsidR="00BA05A8" w:rsidRPr="00EC3DC8" w:rsidRDefault="00BA05A8" w:rsidP="00BA05A8">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p>
    <w:p w:rsidR="00676F56" w:rsidRDefault="007D6730" w:rsidP="007D6730">
      <w:pPr>
        <w:spacing w:line="480" w:lineRule="auto"/>
        <w:ind w:firstLine="0"/>
      </w:pPr>
      <w:bookmarkStart w:id="17" w:name="_Toc317587422"/>
      <w:bookmarkStart w:id="18" w:name="_Toc319675734"/>
      <w:bookmarkStart w:id="19" w:name="_Toc436114830"/>
      <w:bookmarkStart w:id="20" w:name="_Toc435799492"/>
      <w:r>
        <w:lastRenderedPageBreak/>
        <w:t xml:space="preserve">Section 2.3.1(c) of the TOTE Special Contract is a condition precedent that allows PSE to terminate the agreement if </w:t>
      </w:r>
      <w:r w:rsidR="003E1D29">
        <w:t xml:space="preserve">PSE cannot enter into an engineering, procurement, and construction contract (an “EPC contract”) for the construction of the Tacoma LNG Facility on </w:t>
      </w:r>
      <w:r>
        <w:t xml:space="preserve">a lump-sum turnkey basis </w:t>
      </w:r>
      <w:r w:rsidRPr="00AD4E55">
        <w:rPr>
          <w:highlight w:val="lightGray"/>
        </w:rPr>
        <w:t>for a price not in</w:t>
      </w:r>
      <w:r w:rsidR="003E1D29" w:rsidRPr="00AD4E55">
        <w:rPr>
          <w:highlight w:val="lightGray"/>
        </w:rPr>
        <w:t xml:space="preserve"> </w:t>
      </w:r>
      <w:r w:rsidRPr="00AD4E55">
        <w:rPr>
          <w:highlight w:val="lightGray"/>
        </w:rPr>
        <w:t>excess of one hundred and ten percent (110%) of the aggregate</w:t>
      </w:r>
      <w:r w:rsidR="003E1D29" w:rsidRPr="00AD4E55">
        <w:rPr>
          <w:highlight w:val="lightGray"/>
        </w:rPr>
        <w:t xml:space="preserve"> </w:t>
      </w:r>
      <w:r w:rsidRPr="00AD4E55">
        <w:rPr>
          <w:highlight w:val="lightGray"/>
        </w:rPr>
        <w:t>pricing estimate included in the front end</w:t>
      </w:r>
      <w:r>
        <w:t xml:space="preserve"> engineering and design</w:t>
      </w:r>
      <w:r w:rsidR="003E1D29">
        <w:t xml:space="preserve"> </w:t>
      </w:r>
      <w:r>
        <w:t>study completed in August of 2013 by Chicago Bridge and Iron</w:t>
      </w:r>
      <w:r w:rsidR="003E1D29">
        <w:t>.</w:t>
      </w:r>
      <w:r w:rsidR="003E1D29" w:rsidRPr="00224DE1">
        <w:rPr>
          <w:vertAlign w:val="superscript"/>
        </w:rPr>
        <w:footnoteReference w:id="36"/>
      </w:r>
      <w:r w:rsidR="003E1D29">
        <w:t xml:space="preserve"> This provision limits PSE’s cost-exposure by allowing PSE </w:t>
      </w:r>
      <w:r w:rsidR="003E1D29" w:rsidRPr="00AD4E55">
        <w:rPr>
          <w:highlight w:val="lightGray"/>
        </w:rPr>
        <w:t>to terminate the agreement if the firm, fixed price contract of the EPC contract is 10 percent greater</w:t>
      </w:r>
      <w:r w:rsidR="003E1D29">
        <w:t xml:space="preserve"> than the August 2013 design study</w:t>
      </w:r>
      <w:r w:rsidR="00676F56">
        <w:t xml:space="preserve">. </w:t>
      </w:r>
    </w:p>
    <w:p w:rsidR="006B58C7" w:rsidRDefault="00227650" w:rsidP="006B58C7">
      <w:pPr>
        <w:spacing w:line="480" w:lineRule="auto"/>
      </w:pPr>
      <w:r>
        <w:rPr>
          <w:noProof/>
        </w:rPr>
        <mc:AlternateContent>
          <mc:Choice Requires="wpg">
            <w:drawing>
              <wp:anchor distT="0" distB="0" distL="114300" distR="114300" simplePos="0" relativeHeight="251663872" behindDoc="0" locked="0" layoutInCell="1" allowOverlap="1" wp14:anchorId="2CDD69B3" wp14:editId="452CCEB8">
                <wp:simplePos x="0" y="0"/>
                <wp:positionH relativeFrom="column">
                  <wp:posOffset>2933700</wp:posOffset>
                </wp:positionH>
                <wp:positionV relativeFrom="paragraph">
                  <wp:posOffset>4063365</wp:posOffset>
                </wp:positionV>
                <wp:extent cx="2171700" cy="764540"/>
                <wp:effectExtent l="0" t="0" r="0" b="1651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171700" cy="764540"/>
                          <a:chOff x="4608" y="12384"/>
                          <a:chExt cx="4320" cy="780"/>
                        </a:xfrm>
                      </wpg:grpSpPr>
                      <wps:wsp>
                        <wps:cNvPr id="10"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650" w:rsidRDefault="00227650" w:rsidP="00227650">
                              <w:r>
                                <w:rPr>
                                  <w:snapToGrid w:val="0"/>
                                </w:rPr>
                                <w:t>Confidential per WAC 48</w:t>
                              </w:r>
                            </w:p>
                          </w:txbxContent>
                        </wps:txbx>
                        <wps:bodyPr rot="0" vert="horz" wrap="square" lIns="91440" tIns="91440" rIns="91440" bIns="91440" anchor="t" anchorCtr="0" upright="1">
                          <a:noAutofit/>
                        </wps:bodyPr>
                      </wps:wsp>
                      <wps:wsp>
                        <wps:cNvPr id="11"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227650" w:rsidRPr="00EC3DC8" w:rsidRDefault="00227650" w:rsidP="0022765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margin-left:231pt;margin-top:319.95pt;width:171pt;height:60.2pt;flip:y;z-index:251663872"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">
                <v:shape id="Text Box 4" o:spid="_x0000_s1041"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F4cQA&#10;AADbAAAADwAAAGRycy9kb3ducmV2LnhtbESPQWvCQBCF7wX/wzKCt7qxiEjqKkUo1FurYnscspNN&#10;MDsbsmuM/vrOQfA2w3vz3jerzeAb1VMX68AGZtMMFHERbM3OwPHw+boEFROyxSYwGbhRhM169LLC&#10;3IYr/1C/T05JCMccDVQptbnWsajIY5yGlli0MnQek6yd07bDq4T7Rr9l2UJ7rFkaKmxpW1Fx3l+8&#10;gV+32DXfy7Mt53/308xd+n67K42ZjIePd1CJhvQ0P66/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BeHEAAAA2wAAAA8AAAAAAAAAAAAAAAAAmAIAAGRycy9k&#10;b3ducmV2LnhtbFBLBQYAAAAABAAEAPUAAACJAwAAAAA=&#10;" fillcolor="gray" stroked="f">
                  <v:textbox inset=",7.2pt,,7.2pt">
                    <w:txbxContent>
                      <w:p w:rsidR="00227650" w:rsidRDefault="00227650" w:rsidP="00227650">
                        <w:r>
                          <w:rPr>
                            <w:snapToGrid w:val="0"/>
                          </w:rPr>
                          <w:t>Confidential per WAC 48</w:t>
                        </w:r>
                      </w:p>
                    </w:txbxContent>
                  </v:textbox>
                </v:shape>
                <v:shape id="Text Box 5" o:spid="_x0000_s1042"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pOMIA&#10;AADbAAAADwAAAGRycy9kb3ducmV2LnhtbESPQYvCMBCF7wv+hzCCl0VTXbZINcpSEMTLYpWeh2Zs&#10;i82kNllb/70RhL19w7x57816O5hG3KlztWUF81kEgriwuuZSwfm0my5BOI+ssbFMCh7kYLsZfawx&#10;0bbnI90zX4pgwi5BBZX3bSKlKyoy6Ga2JQ67i+0M+jB2pdQd9sHcNHIRRbE0WHNIqLCltKLimv0Z&#10;BekhD3i8/eb5V/MdH7I+/UxLpSbj4WcFwtPg/8Xv670O9efw+iUA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Gk4wgAAANsAAAAPAAAAAAAAAAAAAAAAAJgCAABkcnMvZG93&#10;bnJldi54bWxQSwUGAAAAAAQABAD1AAAAhwMAAAAA&#10;" strokeweight="1.5pt">
                  <v:textbox inset=",7.2pt,,7.2pt">
                    <w:txbxContent>
                      <w:p w:rsidR="00227650" w:rsidRPr="00EC3DC8" w:rsidRDefault="00227650" w:rsidP="0022765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676F56">
        <w:rPr>
          <w:i/>
        </w:rPr>
        <w:fldChar w:fldCharType="begin"/>
      </w:r>
      <w:r w:rsidR="00676F56">
        <w:rPr>
          <w:i/>
        </w:rPr>
        <w:instrText xml:space="preserve"> AUTONUM </w:instrText>
      </w:r>
      <w:r w:rsidR="00676F56">
        <w:rPr>
          <w:i/>
        </w:rPr>
        <w:fldChar w:fldCharType="end"/>
      </w:r>
      <w:r w:rsidR="00676F56">
        <w:tab/>
      </w:r>
      <w:r w:rsidR="00676F56">
        <w:tab/>
        <w:t>Similarly, the Staff Brief misunderstands the manner in which PSE is constructing the Tacoma LNG Facility in suggesting that “</w:t>
      </w:r>
      <w:r w:rsidR="00676F56" w:rsidRPr="00676F56">
        <w:t>the actual construction costs are largely unknown and subject to change.</w:t>
      </w:r>
      <w:r w:rsidR="00676F56">
        <w:t>”</w:t>
      </w:r>
      <w:r w:rsidR="00676F56" w:rsidRPr="00224DE1">
        <w:rPr>
          <w:vertAlign w:val="superscript"/>
        </w:rPr>
        <w:footnoteReference w:id="37"/>
      </w:r>
      <w:r w:rsidR="00676F56">
        <w:t xml:space="preserve"> As discussed in PSE’s initial filing, PSE determined that an EPC contracting methodology would be the preferred method for contracting portion of the Tacoma LNG Facility.</w:t>
      </w:r>
      <w:r w:rsidR="00676F56" w:rsidRPr="00224DE1">
        <w:rPr>
          <w:vertAlign w:val="superscript"/>
        </w:rPr>
        <w:footnoteReference w:id="38"/>
      </w:r>
      <w:r w:rsidR="006B58C7">
        <w:t xml:space="preserve"> </w:t>
      </w:r>
      <w:r w:rsidR="00676F56">
        <w:t>An EPC contract is a firm, fixed price contract with performance guarantees and liquidated damages. In exchange for control of all elements of the project (engineering, procurement, and construction), the EPC contractor retains cost and schedule risks during project delivery.</w:t>
      </w:r>
      <w:r w:rsidR="006B58C7" w:rsidRPr="00224DE1">
        <w:rPr>
          <w:vertAlign w:val="superscript"/>
        </w:rPr>
        <w:footnoteReference w:id="39"/>
      </w:r>
      <w:r w:rsidR="006B58C7">
        <w:t xml:space="preserve"> Thus, </w:t>
      </w:r>
      <w:r w:rsidR="006C5850">
        <w:t>PSE controls the decision to move forward based on</w:t>
      </w:r>
      <w:r w:rsidR="006B58C7">
        <w:t xml:space="preserve"> </w:t>
      </w:r>
      <w:r w:rsidR="00676F56">
        <w:t xml:space="preserve">the </w:t>
      </w:r>
      <w:r w:rsidR="00676F56" w:rsidRPr="003E1D29">
        <w:t xml:space="preserve">firm, fixed price </w:t>
      </w:r>
      <w:r w:rsidR="00676F56">
        <w:t>of the EPC contract</w:t>
      </w:r>
      <w:r w:rsidR="006C5850">
        <w:t>; if it</w:t>
      </w:r>
      <w:r w:rsidR="00676F56">
        <w:t xml:space="preserve"> is </w:t>
      </w:r>
      <w:r w:rsidR="006C5850">
        <w:t xml:space="preserve">within </w:t>
      </w:r>
      <w:r w:rsidR="00676F56">
        <w:t xml:space="preserve">10 percent </w:t>
      </w:r>
      <w:r w:rsidR="006B58C7">
        <w:t xml:space="preserve">of the cost projection in the August 2013 </w:t>
      </w:r>
      <w:r w:rsidR="00676F56">
        <w:t xml:space="preserve">design study, then </w:t>
      </w:r>
      <w:r w:rsidR="006C5850">
        <w:t>the project proceeds and the costs are relatively known</w:t>
      </w:r>
      <w:r w:rsidR="003E1D29" w:rsidRPr="003E1D29">
        <w:t>.</w:t>
      </w:r>
      <w:r w:rsidR="00676F56">
        <w:t xml:space="preserve"> </w:t>
      </w:r>
      <w:r w:rsidR="006B58C7">
        <w:t xml:space="preserve">If, however, the </w:t>
      </w:r>
      <w:r w:rsidR="006B58C7" w:rsidRPr="003E1D29">
        <w:t xml:space="preserve">firm, fixed price </w:t>
      </w:r>
      <w:r w:rsidR="006B58C7">
        <w:t xml:space="preserve">of the EPC contract is greater than 10 percent of the cost projection in </w:t>
      </w:r>
      <w:r w:rsidR="006C5850">
        <w:t xml:space="preserve">the </w:t>
      </w:r>
      <w:r w:rsidR="006B58C7">
        <w:t>August 2013 design study, then PSE has the right</w:t>
      </w:r>
      <w:r w:rsidR="006C5850">
        <w:t>, but not the obligation,</w:t>
      </w:r>
      <w:r w:rsidR="006B58C7">
        <w:t xml:space="preserve"> to terminate the TOTE Special Contract </w:t>
      </w:r>
      <w:r w:rsidR="006B58C7">
        <w:lastRenderedPageBreak/>
        <w:t>pursuant to section 2.3.1(c) of the TOTE Special Contract. In short, PSE has adequately limited PSE’s cost exposure for the development of the Tacoma LNG Facility.</w:t>
      </w:r>
    </w:p>
    <w:p w:rsidR="00A51E78" w:rsidRPr="00016C52" w:rsidRDefault="00E1075D" w:rsidP="006D1F1E">
      <w:pPr>
        <w:pStyle w:val="Heading1"/>
        <w:widowControl/>
      </w:pPr>
      <w:bookmarkStart w:id="21" w:name="_Toc436822529"/>
      <w:r>
        <w:t>III</w:t>
      </w:r>
      <w:r w:rsidR="00A51E78" w:rsidRPr="00016C52">
        <w:t>.</w:t>
      </w:r>
      <w:r w:rsidR="00F10920">
        <w:tab/>
      </w:r>
      <w:r w:rsidR="00A51E78" w:rsidRPr="00016C52">
        <w:t>CONCLUSION</w:t>
      </w:r>
      <w:bookmarkEnd w:id="17"/>
      <w:bookmarkEnd w:id="18"/>
      <w:bookmarkEnd w:id="19"/>
      <w:bookmarkEnd w:id="20"/>
      <w:bookmarkEnd w:id="21"/>
    </w:p>
    <w:p w:rsidR="009848BF" w:rsidRDefault="00A51E78" w:rsidP="00F96ECE">
      <w:r>
        <w:rPr>
          <w:i/>
        </w:rPr>
        <w:fldChar w:fldCharType="begin"/>
      </w:r>
      <w:r>
        <w:rPr>
          <w:i/>
        </w:rPr>
        <w:instrText xml:space="preserve"> AUTONUM </w:instrText>
      </w:r>
      <w:r>
        <w:rPr>
          <w:i/>
        </w:rPr>
        <w:fldChar w:fldCharType="end"/>
      </w:r>
      <w:r>
        <w:tab/>
      </w:r>
      <w:r w:rsidR="00CF094E">
        <w:tab/>
      </w:r>
      <w:r w:rsidR="009848BF">
        <w:t xml:space="preserve">For the reasons set forth above, PSE respectfully requests that the Commission disregard those portions of the Staff Brief that address issues other than the threshold question that was the subject of briefing pursuant to Order 03. At this point in the proceeding, the Commission is deciding whether it </w:t>
      </w:r>
      <w:r w:rsidR="009848BF" w:rsidRPr="00751BB2">
        <w:rPr>
          <w:i/>
        </w:rPr>
        <w:t>can</w:t>
      </w:r>
      <w:r w:rsidR="009848BF">
        <w:t xml:space="preserve"> exercise jurisdiction over the TOTE Special Contract and not issues based upon contested facts or assertions unsupported by the record.</w:t>
      </w:r>
    </w:p>
    <w:p w:rsidR="00A51E78" w:rsidRDefault="00A51E78" w:rsidP="006D1F1E">
      <w:pPr>
        <w:pStyle w:val="normalblock"/>
        <w:keepNext/>
        <w:keepLines/>
        <w:spacing w:line="480" w:lineRule="exact"/>
        <w:ind w:firstLine="720"/>
      </w:pPr>
      <w:r>
        <w:t xml:space="preserve">DATED this </w:t>
      </w:r>
      <w:r w:rsidR="00BC0665">
        <w:t>2nd</w:t>
      </w:r>
      <w:r w:rsidR="001134A3">
        <w:t xml:space="preserve"> </w:t>
      </w:r>
      <w:r>
        <w:t xml:space="preserve">day of </w:t>
      </w:r>
      <w:r w:rsidR="001134A3">
        <w:t>December</w:t>
      </w:r>
      <w:r>
        <w:t>, 201</w:t>
      </w:r>
      <w:r w:rsidR="001134A3">
        <w:t>5</w:t>
      </w:r>
      <w:r>
        <w:t>.</w:t>
      </w:r>
    </w:p>
    <w:p w:rsidR="003F4A44" w:rsidRDefault="00A51E78" w:rsidP="008A7BED">
      <w:pPr>
        <w:pStyle w:val="righthalf"/>
        <w:keepNext/>
        <w:tabs>
          <w:tab w:val="right" w:pos="8820"/>
        </w:tabs>
        <w:spacing w:before="240"/>
        <w:ind w:right="14"/>
      </w:pPr>
      <w:r>
        <w:rPr>
          <w:b/>
        </w:rPr>
        <w:t>Respectfully submitted</w:t>
      </w:r>
      <w:r>
        <w:rPr>
          <w:b/>
        </w:rPr>
        <w:br/>
      </w:r>
      <w:r>
        <w:rPr>
          <w:b/>
        </w:rPr>
        <w:br/>
        <w:t>PERKINS COIE LLP</w:t>
      </w:r>
      <w:r>
        <w:rPr>
          <w:b/>
        </w:rPr>
        <w:br/>
      </w:r>
      <w:r w:rsidR="00004A59">
        <w:rPr>
          <w:b/>
        </w:rPr>
        <w:br/>
      </w:r>
      <w:r>
        <w:br/>
        <w:t xml:space="preserve">By </w:t>
      </w:r>
      <w:r w:rsidRPr="00127AF3">
        <w:tab/>
      </w:r>
      <w:r>
        <w:rPr>
          <w:u w:val="single"/>
        </w:rPr>
        <w:tab/>
      </w:r>
      <w:r>
        <w:tab/>
        <w:t>Jason Kuzma, WSBA #31830</w:t>
      </w:r>
      <w:r>
        <w:br/>
      </w:r>
      <w:r>
        <w:tab/>
      </w:r>
      <w:r w:rsidR="00F10920">
        <w:t>Pamela Anderson</w:t>
      </w:r>
      <w:r w:rsidRPr="00205573">
        <w:t xml:space="preserve">, WSBA </w:t>
      </w:r>
      <w:r>
        <w:t>#</w:t>
      </w:r>
      <w:r w:rsidR="00F10920" w:rsidRPr="00F10920">
        <w:t>37272</w:t>
      </w:r>
      <w:r>
        <w:br/>
      </w:r>
      <w:r w:rsidR="001134A3">
        <w:t xml:space="preserve">         </w:t>
      </w:r>
      <w:r>
        <w:t>Attorneys for Puget Sound Energy, Inc.</w:t>
      </w:r>
    </w:p>
    <w:p w:rsidR="00EA6846" w:rsidRDefault="00EA6846" w:rsidP="008A7BED">
      <w:pPr>
        <w:pStyle w:val="righthalf"/>
        <w:keepNext/>
        <w:tabs>
          <w:tab w:val="right" w:pos="8820"/>
        </w:tabs>
        <w:spacing w:before="240"/>
        <w:ind w:right="14"/>
      </w:pPr>
    </w:p>
    <w:p w:rsidR="00B15635" w:rsidRDefault="00B15635" w:rsidP="004A7F19">
      <w:pPr>
        <w:tabs>
          <w:tab w:val="clear" w:pos="720"/>
        </w:tabs>
        <w:autoSpaceDE/>
        <w:autoSpaceDN/>
        <w:adjustRightInd/>
        <w:spacing w:line="240" w:lineRule="auto"/>
        <w:ind w:firstLine="0"/>
      </w:pPr>
    </w:p>
    <w:sectPr w:rsidR="00B15635" w:rsidSect="00060CA3">
      <w:headerReference w:type="even" r:id="rId22"/>
      <w:headerReference w:type="default" r:id="rId2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B2" w:rsidRDefault="00751BB2">
      <w:r>
        <w:separator/>
      </w:r>
    </w:p>
    <w:p w:rsidR="00751BB2" w:rsidRDefault="00751BB2"/>
  </w:endnote>
  <w:endnote w:type="continuationSeparator" w:id="0">
    <w:p w:rsidR="00751BB2" w:rsidRDefault="00751BB2">
      <w:r>
        <w:continuationSeparator/>
      </w:r>
    </w:p>
    <w:p w:rsidR="00751BB2" w:rsidRDefault="00751BB2"/>
  </w:endnote>
  <w:endnote w:type="continuationNotice" w:id="1">
    <w:p w:rsidR="00751BB2" w:rsidRDefault="00751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1BB2" w:rsidRDefault="00751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12" w:rsidRDefault="00671B12" w:rsidP="00057D56">
    <w:pPr>
      <w:pStyle w:val="Footer"/>
      <w:spacing w:line="200" w:lineRule="exact"/>
    </w:pPr>
    <w:r w:rsidRPr="00057D56">
      <w:rPr>
        <w:rStyle w:val="zzmpTrailerItem"/>
      </w:rPr>
      <w:t>07771-0232/128811634.1</w:t>
    </w:r>
    <w:r w:rsidRPr="00057D56">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751BB2" w:rsidRDefault="00751BB2">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rsidP="00B764F7">
    <w:pPr>
      <w:pStyle w:val="Footer"/>
      <w:tabs>
        <w:tab w:val="clear" w:pos="4507"/>
        <w:tab w:val="clear" w:pos="9180"/>
        <w:tab w:val="right" w:pos="9360"/>
      </w:tabs>
    </w:pPr>
    <w:r>
      <w:rPr>
        <w:rFonts w:ascii="Times New Roman" w:hAnsi="Times New Roman"/>
        <w:sz w:val="20"/>
      </w:rPr>
      <w:t xml:space="preserve">Reply </w:t>
    </w:r>
    <w:r w:rsidRPr="00127AF3">
      <w:rPr>
        <w:rFonts w:ascii="Times New Roman" w:hAnsi="Times New Roman"/>
        <w:sz w:val="20"/>
      </w:rPr>
      <w:t>Brief of Puget Sound Energy</w:t>
    </w:r>
    <w:r w:rsidRPr="00127AF3">
      <w:rPr>
        <w:rFonts w:ascii="Times New Roman" w:hAnsi="Times New Roman"/>
        <w:sz w:val="20"/>
      </w:rPr>
      <w:tab/>
      <w:t xml:space="preserve">Page </w:t>
    </w:r>
    <w:r w:rsidRPr="00127AF3">
      <w:rPr>
        <w:rStyle w:val="PageNumber"/>
        <w:rFonts w:ascii="Times New Roman" w:hAnsi="Times New Roman"/>
        <w:sz w:val="20"/>
      </w:rPr>
      <w:fldChar w:fldCharType="begin"/>
    </w:r>
    <w:r w:rsidRPr="00127AF3">
      <w:rPr>
        <w:rStyle w:val="PageNumber"/>
        <w:rFonts w:ascii="Times New Roman" w:hAnsi="Times New Roman"/>
        <w:sz w:val="20"/>
      </w:rPr>
      <w:instrText xml:space="preserve"> PAGE </w:instrText>
    </w:r>
    <w:r w:rsidRPr="00127AF3">
      <w:rPr>
        <w:rStyle w:val="PageNumber"/>
        <w:rFonts w:ascii="Times New Roman" w:hAnsi="Times New Roman"/>
        <w:sz w:val="20"/>
      </w:rPr>
      <w:fldChar w:fldCharType="separate"/>
    </w:r>
    <w:r w:rsidR="00417F61">
      <w:rPr>
        <w:rStyle w:val="PageNumber"/>
        <w:rFonts w:ascii="Times New Roman" w:hAnsi="Times New Roman"/>
        <w:noProof/>
        <w:sz w:val="20"/>
      </w:rPr>
      <w:t>13</w:t>
    </w:r>
    <w:r w:rsidRPr="00127AF3">
      <w:rPr>
        <w:rStyle w:val="PageNumber"/>
        <w:rFonts w:ascii="Times New Roman" w:hAnsi="Times New Roman"/>
        <w:sz w:val="20"/>
      </w:rPr>
      <w:fldChar w:fldCharType="end"/>
    </w:r>
    <w:r w:rsidRPr="00127AF3">
      <w:rPr>
        <w:rStyle w:val="PageNumber"/>
        <w:rFonts w:ascii="Times New Roman" w:hAnsi="Times New Roman"/>
        <w:sz w:val="20"/>
      </w:rPr>
      <w:t xml:space="preserve"> </w:t>
    </w:r>
    <w:r w:rsidRPr="004749BB">
      <w:t xml:space="preserve"> </w:t>
    </w:r>
  </w:p>
  <w:p w:rsidR="00671B12" w:rsidRPr="0057202C" w:rsidRDefault="00671B12" w:rsidP="00057D56">
    <w:pPr>
      <w:pStyle w:val="Footer"/>
      <w:tabs>
        <w:tab w:val="clear" w:pos="4507"/>
        <w:tab w:val="clear" w:pos="9180"/>
        <w:tab w:val="right" w:pos="9360"/>
      </w:tabs>
      <w:spacing w:line="200" w:lineRule="exact"/>
      <w:rPr>
        <w:rStyle w:val="PageNumber"/>
        <w:rFonts w:ascii="Times New Roman" w:hAnsi="Times New Roman"/>
        <w:sz w:val="20"/>
      </w:rPr>
    </w:pPr>
    <w:r w:rsidRPr="00057D56">
      <w:rPr>
        <w:rStyle w:val="zzmpTrailerItem"/>
      </w:rPr>
      <w:t>07771-0232/128811634.1</w:t>
    </w:r>
    <w:r w:rsidRPr="00057D56">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751BB2" w:rsidRDefault="00751BB2">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B2" w:rsidRDefault="00751BB2" w:rsidP="00304EA7">
      <w:pPr>
        <w:widowControl w:val="0"/>
        <w:spacing w:line="240" w:lineRule="auto"/>
        <w:ind w:left="720"/>
      </w:pPr>
      <w:r>
        <w:separator/>
      </w:r>
    </w:p>
  </w:footnote>
  <w:footnote w:type="continuationSeparator" w:id="0">
    <w:p w:rsidR="00751BB2" w:rsidRDefault="00751BB2" w:rsidP="00304EA7">
      <w:pPr>
        <w:spacing w:line="240" w:lineRule="auto"/>
        <w:ind w:left="720"/>
      </w:pPr>
      <w:r>
        <w:separator/>
      </w:r>
    </w:p>
  </w:footnote>
  <w:footnote w:type="continuationNotice" w:id="1">
    <w:p w:rsidR="00751BB2" w:rsidRPr="00304EA7" w:rsidRDefault="00751BB2" w:rsidP="00304EA7">
      <w:pPr>
        <w:spacing w:line="240" w:lineRule="auto"/>
        <w:ind w:left="720"/>
      </w:pPr>
      <w:r>
        <w:separator/>
      </w:r>
    </w:p>
  </w:footnote>
  <w:footnote w:id="2">
    <w:p w:rsidR="00751BB2" w:rsidRPr="00365C42" w:rsidRDefault="00751BB2" w:rsidP="004A6896">
      <w:pPr>
        <w:pStyle w:val="FootnoteText"/>
        <w:tabs>
          <w:tab w:val="left" w:pos="720"/>
        </w:tabs>
        <w:ind w:firstLine="360"/>
      </w:pPr>
      <w:r>
        <w:rPr>
          <w:rStyle w:val="FootnoteReference"/>
        </w:rPr>
        <w:footnoteRef/>
      </w:r>
      <w:r>
        <w:tab/>
      </w:r>
      <w:r w:rsidRPr="00CA4A15">
        <w:rPr>
          <w:i/>
        </w:rPr>
        <w:t>See</w:t>
      </w:r>
      <w:r>
        <w:t xml:space="preserve">, </w:t>
      </w:r>
      <w:r w:rsidRPr="00CA4A15">
        <w:rPr>
          <w:i/>
        </w:rPr>
        <w:t>e.g.</w:t>
      </w:r>
      <w:r>
        <w:t>, PSE Petition.</w:t>
      </w:r>
    </w:p>
  </w:footnote>
  <w:footnote w:id="3">
    <w:p w:rsidR="00751BB2" w:rsidRPr="00365C42" w:rsidRDefault="00751BB2" w:rsidP="004A6896">
      <w:pPr>
        <w:pStyle w:val="FootnoteText"/>
        <w:tabs>
          <w:tab w:val="left" w:pos="720"/>
        </w:tabs>
        <w:ind w:firstLine="360"/>
      </w:pPr>
      <w:r>
        <w:rPr>
          <w:rStyle w:val="FootnoteReference"/>
        </w:rPr>
        <w:footnoteRef/>
      </w:r>
      <w:r>
        <w:tab/>
      </w:r>
      <w:r w:rsidRPr="00CA4A15">
        <w:rPr>
          <w:i/>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xml:space="preserve">, Docket UG-151663, </w:t>
      </w:r>
      <w:r w:rsidRPr="00CA4A15">
        <w:t xml:space="preserve">Order 01 </w:t>
      </w:r>
      <w:r>
        <w:t>(</w:t>
      </w:r>
      <w:r w:rsidRPr="00CA4A15">
        <w:t>Prehearing Conference Order; Notice of Prehearing Conference</w:t>
      </w:r>
      <w:r>
        <w:t>) (Sept. 8, 2015)</w:t>
      </w:r>
      <w:r w:rsidR="00691B33" w:rsidRPr="00691B33">
        <w:rPr>
          <w:color w:val="FF3399"/>
        </w:rPr>
        <w:fldChar w:fldCharType="begin"/>
      </w:r>
      <w:r w:rsidR="00691B33" w:rsidRPr="00691B33">
        <w:rPr>
          <w:color w:val="FF3399"/>
        </w:rPr>
        <w:instrText xml:space="preserve"> TA \l "</w:instrText>
      </w:r>
      <w:r w:rsidR="00691B33" w:rsidRPr="00691B33">
        <w:rPr>
          <w:i/>
          <w:color w:val="FF3399"/>
        </w:rPr>
        <w:instrTex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instrText>
      </w:r>
      <w:r w:rsidR="00691B33" w:rsidRPr="00691B33">
        <w:rPr>
          <w:color w:val="FF3399"/>
        </w:rPr>
        <w:instrText xml:space="preserve">, Docket UG-151663, Order 01 (Sept. 8, 2015)" \s "In the Matter of the Petition of Puget Sound Energy, Inc. for (i) Approval of a Special Contract for Liquefied Natural Gas Fuel Service with Totem Ocean Trailer Express, Inc. and (ii) a Declaratory Order Approving the Methodology for Allocating Costs Betw" \c 8 </w:instrText>
      </w:r>
      <w:r w:rsidR="00691B33" w:rsidRPr="00691B33">
        <w:rPr>
          <w:color w:val="FF3399"/>
        </w:rPr>
        <w:fldChar w:fldCharType="end"/>
      </w:r>
      <w:r>
        <w:t>.</w:t>
      </w:r>
    </w:p>
  </w:footnote>
  <w:footnote w:id="4">
    <w:p w:rsidR="00751BB2" w:rsidRPr="00365C42" w:rsidRDefault="00751BB2" w:rsidP="004A6896">
      <w:pPr>
        <w:pStyle w:val="FootnoteText"/>
        <w:tabs>
          <w:tab w:val="left" w:pos="720"/>
        </w:tabs>
        <w:ind w:firstLine="360"/>
      </w:pPr>
      <w:r>
        <w:rPr>
          <w:rStyle w:val="FootnoteReference"/>
        </w:rPr>
        <w:footnoteRef/>
      </w:r>
      <w:r>
        <w:tab/>
      </w:r>
      <w:r>
        <w:rPr>
          <w:i/>
        </w:rPr>
        <w:t>Id.</w:t>
      </w:r>
      <w:r w:rsidR="00691B33" w:rsidRPr="00691B33">
        <w:rPr>
          <w:i/>
          <w:color w:val="FF3399"/>
        </w:rPr>
        <w:fldChar w:fldCharType="begin"/>
      </w:r>
      <w:r w:rsidR="00691B33" w:rsidRPr="00691B33">
        <w:rPr>
          <w:color w:val="FF3399"/>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Betw" </w:instrText>
      </w:r>
      <w:r w:rsidR="00691B33" w:rsidRPr="00691B33">
        <w:rPr>
          <w:i/>
          <w:color w:val="FF3399"/>
        </w:rPr>
        <w:fldChar w:fldCharType="end"/>
      </w:r>
    </w:p>
  </w:footnote>
  <w:footnote w:id="5">
    <w:p w:rsidR="00751BB2" w:rsidRPr="00365C42" w:rsidRDefault="00751BB2" w:rsidP="004A6896">
      <w:pPr>
        <w:pStyle w:val="FootnoteText"/>
        <w:tabs>
          <w:tab w:val="left" w:pos="720"/>
        </w:tabs>
        <w:ind w:firstLine="360"/>
      </w:pPr>
      <w:r>
        <w:rPr>
          <w:rStyle w:val="FootnoteReference"/>
        </w:rPr>
        <w:footnoteRef/>
      </w:r>
      <w:r>
        <w:tab/>
      </w:r>
      <w:r w:rsidR="00086B70">
        <w:t xml:space="preserve"> </w:t>
      </w:r>
      <w:r w:rsidR="00012BF1">
        <w:rPr>
          <w:i/>
        </w:rPr>
        <w:t xml:space="preserve">In the </w:t>
      </w:r>
      <w:r w:rsidRPr="00CA4A15">
        <w:rPr>
          <w:i/>
        </w:rPr>
        <w:t>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xml:space="preserve">, Docket UG-151663, </w:t>
      </w:r>
      <w:r w:rsidRPr="00CA4A15">
        <w:t>Order 0</w:t>
      </w:r>
      <w:r>
        <w:t>3</w:t>
      </w:r>
      <w:r w:rsidRPr="00CA4A15">
        <w:t xml:space="preserve"> </w:t>
      </w:r>
      <w:r>
        <w:t>(</w:t>
      </w:r>
      <w:r w:rsidRPr="007C7CAE">
        <w:t>Prehearing Conference Order, Notice of Hearing</w:t>
      </w:r>
      <w:r>
        <w:t>) (Oct. 15, 2015) (“Order 03”)</w:t>
      </w:r>
      <w:r w:rsidR="00012BF1" w:rsidRPr="00012BF1">
        <w:rPr>
          <w:color w:val="FF3399"/>
        </w:rPr>
        <w:fldChar w:fldCharType="begin"/>
      </w:r>
      <w:r w:rsidR="00012BF1" w:rsidRPr="00012BF1">
        <w:rPr>
          <w:color w:val="FF3399"/>
        </w:rPr>
        <w:instrText xml:space="preserve"> TA \l "</w:instrText>
      </w:r>
      <w:r w:rsidR="00086B70">
        <w:rPr>
          <w:color w:val="FF3399"/>
        </w:rPr>
        <w:instrText xml:space="preserve"> </w:instrText>
      </w:r>
      <w:r w:rsidR="00012BF1" w:rsidRPr="00012BF1">
        <w:rPr>
          <w:i/>
          <w:color w:val="FF3399"/>
        </w:rPr>
        <w:instrTex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instrText>
      </w:r>
      <w:r w:rsidR="00012BF1" w:rsidRPr="00012BF1">
        <w:rPr>
          <w:color w:val="FF3399"/>
        </w:rPr>
        <w:instrText xml:space="preserve">, Docket UG-151663, Order 03 (Oct. 15, 2015)" \s "In </w:instrText>
      </w:r>
      <w:r w:rsidR="00086B70">
        <w:rPr>
          <w:color w:val="FF3399"/>
        </w:rPr>
        <w:instrText xml:space="preserve">the </w:instrText>
      </w:r>
      <w:r w:rsidR="00012BF1" w:rsidRPr="00012BF1">
        <w:rPr>
          <w:color w:val="FF3399"/>
        </w:rPr>
        <w:instrText xml:space="preserve">Matter of the Petition of Puget Sound Energy, Inc. for (i) Approval of a Special Contract for Liquefied Natural Gas Fuel Service with Totem Ocean Trailer Express, Inc. and (ii) a Declaratory Order Approving the Methodology for Allocating Costs" \c 8 </w:instrText>
      </w:r>
      <w:r w:rsidR="00012BF1" w:rsidRPr="00012BF1">
        <w:rPr>
          <w:color w:val="FF3399"/>
        </w:rPr>
        <w:fldChar w:fldCharType="end"/>
      </w:r>
      <w:r>
        <w:t>.</w:t>
      </w:r>
    </w:p>
  </w:footnote>
  <w:footnote w:id="6">
    <w:p w:rsidR="00751BB2" w:rsidRPr="00365C42" w:rsidRDefault="00751BB2" w:rsidP="006C304B">
      <w:pPr>
        <w:pStyle w:val="FootnoteText"/>
        <w:tabs>
          <w:tab w:val="left" w:pos="720"/>
        </w:tabs>
        <w:ind w:firstLine="360"/>
      </w:pPr>
      <w:r>
        <w:rPr>
          <w:rStyle w:val="FootnoteReference"/>
        </w:rPr>
        <w:footnoteRef/>
      </w:r>
      <w:r>
        <w:tab/>
        <w:t>Order 03 at ¶ 3</w:t>
      </w:r>
      <w:r w:rsidR="00012BF1" w:rsidRPr="00012BF1">
        <w:rPr>
          <w:color w:val="FF3399"/>
        </w:rPr>
        <w:fldChar w:fldCharType="begin"/>
      </w:r>
      <w:r w:rsidR="00012BF1" w:rsidRPr="00012BF1">
        <w:rPr>
          <w:color w:val="FF3399"/>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w:instrText>
      </w:r>
      <w:r w:rsidR="00012BF1" w:rsidRPr="00012BF1">
        <w:rPr>
          <w:color w:val="FF3399"/>
        </w:rPr>
        <w:fldChar w:fldCharType="end"/>
      </w:r>
      <w:r>
        <w:t>.</w:t>
      </w:r>
    </w:p>
  </w:footnote>
  <w:footnote w:id="7">
    <w:p w:rsidR="00751BB2" w:rsidRPr="00365C42" w:rsidRDefault="00751BB2" w:rsidP="002436AC">
      <w:pPr>
        <w:pStyle w:val="FootnoteText"/>
        <w:tabs>
          <w:tab w:val="left" w:pos="720"/>
        </w:tabs>
        <w:ind w:firstLine="360"/>
      </w:pPr>
      <w:r>
        <w:rPr>
          <w:rStyle w:val="FootnoteReference"/>
        </w:rPr>
        <w:footnoteRef/>
      </w:r>
      <w:r>
        <w:tab/>
      </w:r>
      <w:r w:rsidR="00975243">
        <w:t>Oshie, TR. </w:t>
      </w:r>
      <w:r>
        <w:t>45</w:t>
      </w:r>
      <w:r w:rsidR="00975243">
        <w:t>:</w:t>
      </w:r>
      <w:r>
        <w:t>19-23.</w:t>
      </w:r>
    </w:p>
  </w:footnote>
  <w:footnote w:id="8">
    <w:p w:rsidR="00751BB2" w:rsidRPr="00365C42" w:rsidRDefault="00751BB2" w:rsidP="00287DEF">
      <w:pPr>
        <w:pStyle w:val="FootnoteText"/>
        <w:tabs>
          <w:tab w:val="left" w:pos="720"/>
        </w:tabs>
        <w:ind w:firstLine="360"/>
      </w:pPr>
      <w:r>
        <w:rPr>
          <w:rStyle w:val="FootnoteReference"/>
        </w:rPr>
        <w:footnoteRef/>
      </w:r>
      <w:r>
        <w:tab/>
      </w:r>
      <w:r w:rsidR="00975243">
        <w:t>Oshie, TR. </w:t>
      </w:r>
      <w:r>
        <w:t>47</w:t>
      </w:r>
      <w:r w:rsidR="00975243">
        <w:t>:</w:t>
      </w:r>
      <w:r>
        <w:t>9-11.</w:t>
      </w:r>
    </w:p>
  </w:footnote>
  <w:footnote w:id="9">
    <w:p w:rsidR="00751BB2" w:rsidRPr="00365C42" w:rsidRDefault="00751BB2" w:rsidP="00287DEF">
      <w:pPr>
        <w:pStyle w:val="FootnoteText"/>
        <w:tabs>
          <w:tab w:val="left" w:pos="720"/>
        </w:tabs>
        <w:ind w:firstLine="360"/>
      </w:pPr>
      <w:r>
        <w:rPr>
          <w:rStyle w:val="FootnoteReference"/>
        </w:rPr>
        <w:footnoteRef/>
      </w:r>
      <w:r>
        <w:tab/>
      </w:r>
      <w:r w:rsidR="00975243">
        <w:t>ffitch, TR </w:t>
      </w:r>
      <w:r w:rsidRPr="000B4CB9">
        <w:t>48</w:t>
      </w:r>
      <w:r w:rsidR="00975243">
        <w:t>:</w:t>
      </w:r>
      <w:r w:rsidRPr="000B4CB9">
        <w:t>22</w:t>
      </w:r>
      <w:r w:rsidR="00975243">
        <w:t>-</w:t>
      </w:r>
      <w:r w:rsidRPr="000B4CB9">
        <w:t>49</w:t>
      </w:r>
      <w:r w:rsidR="00975243">
        <w:t>:</w:t>
      </w:r>
      <w:r w:rsidRPr="000B4CB9">
        <w:t>2.</w:t>
      </w:r>
    </w:p>
  </w:footnote>
  <w:footnote w:id="10">
    <w:p w:rsidR="00751BB2" w:rsidRPr="00365C42" w:rsidRDefault="00751BB2" w:rsidP="000B4CB9">
      <w:pPr>
        <w:pStyle w:val="FootnoteText"/>
        <w:tabs>
          <w:tab w:val="left" w:pos="720"/>
        </w:tabs>
        <w:ind w:firstLine="360"/>
      </w:pPr>
      <w:r>
        <w:rPr>
          <w:rStyle w:val="FootnoteReference"/>
        </w:rPr>
        <w:footnoteRef/>
      </w:r>
      <w:r>
        <w:tab/>
      </w:r>
      <w:r w:rsidR="00975243">
        <w:t>Kuzma, TR.</w:t>
      </w:r>
      <w:r>
        <w:t> </w:t>
      </w:r>
      <w:r w:rsidRPr="000B4CB9">
        <w:t>59</w:t>
      </w:r>
      <w:r w:rsidR="00975243">
        <w:t>:</w:t>
      </w:r>
      <w:r w:rsidRPr="000B4CB9">
        <w:t>11-25.</w:t>
      </w:r>
    </w:p>
  </w:footnote>
  <w:footnote w:id="11">
    <w:p w:rsidR="00751BB2" w:rsidRPr="00365C42" w:rsidRDefault="00751BB2" w:rsidP="000B4CB9">
      <w:pPr>
        <w:pStyle w:val="FootnoteText"/>
        <w:tabs>
          <w:tab w:val="left" w:pos="720"/>
        </w:tabs>
        <w:ind w:firstLine="360"/>
      </w:pPr>
      <w:r>
        <w:rPr>
          <w:rStyle w:val="FootnoteReference"/>
        </w:rPr>
        <w:footnoteRef/>
      </w:r>
      <w:r>
        <w:tab/>
      </w:r>
      <w:r w:rsidR="00975243">
        <w:t>Moss, TR. </w:t>
      </w:r>
      <w:r w:rsidRPr="000B4CB9">
        <w:t>60</w:t>
      </w:r>
      <w:r w:rsidR="00975243">
        <w:t>:</w:t>
      </w:r>
      <w:r w:rsidRPr="000B4CB9">
        <w:t>13</w:t>
      </w:r>
      <w:r w:rsidR="00975243">
        <w:t>-</w:t>
      </w:r>
      <w:r>
        <w:t>61</w:t>
      </w:r>
      <w:r w:rsidR="00975243">
        <w:t>:</w:t>
      </w:r>
      <w:r w:rsidRPr="000B4CB9">
        <w:t>15.</w:t>
      </w:r>
    </w:p>
  </w:footnote>
  <w:footnote w:id="12">
    <w:p w:rsidR="00751BB2" w:rsidRPr="00365C42" w:rsidRDefault="00751BB2" w:rsidP="000B4CB9">
      <w:pPr>
        <w:pStyle w:val="FootnoteText"/>
        <w:tabs>
          <w:tab w:val="left" w:pos="720"/>
        </w:tabs>
        <w:ind w:firstLine="360"/>
      </w:pPr>
      <w:r>
        <w:rPr>
          <w:rStyle w:val="FootnoteReference"/>
        </w:rPr>
        <w:footnoteRef/>
      </w:r>
      <w:r>
        <w:tab/>
      </w:r>
      <w:r w:rsidR="00975243">
        <w:t>Oshie, Moss, ffitch, Kuzma, TR.</w:t>
      </w:r>
      <w:r>
        <w:t> </w:t>
      </w:r>
      <w:r w:rsidRPr="000B4CB9">
        <w:t>64</w:t>
      </w:r>
      <w:r w:rsidR="00975243">
        <w:t>:</w:t>
      </w:r>
      <w:r w:rsidRPr="000B4CB9">
        <w:t>17-25, and 65</w:t>
      </w:r>
      <w:r w:rsidR="00975243">
        <w:t>:</w:t>
      </w:r>
      <w:r w:rsidRPr="000B4CB9">
        <w:t>6-8.</w:t>
      </w:r>
    </w:p>
  </w:footnote>
  <w:footnote w:id="13">
    <w:p w:rsidR="00751BB2" w:rsidRPr="00365C42" w:rsidRDefault="00751BB2" w:rsidP="007035BB">
      <w:pPr>
        <w:pStyle w:val="FootnoteText"/>
        <w:tabs>
          <w:tab w:val="left" w:pos="720"/>
        </w:tabs>
        <w:ind w:firstLine="360"/>
      </w:pPr>
      <w:r>
        <w:rPr>
          <w:rStyle w:val="FootnoteReference"/>
        </w:rPr>
        <w:footnoteRef/>
      </w:r>
      <w:r>
        <w:tab/>
        <w:t>Order 03 at ¶ 3</w:t>
      </w:r>
      <w:r w:rsidR="00012BF1" w:rsidRPr="00012BF1">
        <w:rPr>
          <w:color w:val="FF3399"/>
        </w:rPr>
        <w:fldChar w:fldCharType="begin"/>
      </w:r>
      <w:r w:rsidR="00012BF1" w:rsidRPr="00012BF1">
        <w:rPr>
          <w:color w:val="FF3399"/>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w:instrText>
      </w:r>
      <w:r w:rsidR="00012BF1" w:rsidRPr="00012BF1">
        <w:rPr>
          <w:color w:val="FF3399"/>
        </w:rPr>
        <w:fldChar w:fldCharType="end"/>
      </w:r>
      <w:r>
        <w:t>.</w:t>
      </w:r>
    </w:p>
  </w:footnote>
  <w:footnote w:id="14">
    <w:p w:rsidR="00751BB2" w:rsidRDefault="00751BB2" w:rsidP="007035BB">
      <w:pPr>
        <w:pStyle w:val="FootnoteText"/>
        <w:ind w:firstLine="360"/>
      </w:pPr>
      <w:r>
        <w:rPr>
          <w:rStyle w:val="FootnoteReference"/>
        </w:rPr>
        <w:footnoteRef/>
      </w:r>
      <w:r>
        <w:tab/>
      </w:r>
      <w:r w:rsidRPr="007035BB">
        <w:t>PSE Brief at ¶</w:t>
      </w:r>
      <w:r>
        <w:t> </w:t>
      </w:r>
      <w:r w:rsidRPr="007035BB">
        <w:t>2.</w:t>
      </w:r>
    </w:p>
  </w:footnote>
  <w:footnote w:id="15">
    <w:p w:rsidR="00751BB2" w:rsidRDefault="00751BB2" w:rsidP="007035BB">
      <w:pPr>
        <w:pStyle w:val="FootnoteText"/>
        <w:ind w:firstLine="360"/>
      </w:pPr>
      <w:r>
        <w:rPr>
          <w:rStyle w:val="FootnoteReference"/>
        </w:rPr>
        <w:footnoteRef/>
      </w:r>
      <w:r>
        <w:tab/>
      </w:r>
      <w:r w:rsidRPr="007035BB">
        <w:t xml:space="preserve">Public Counsel </w:t>
      </w:r>
      <w:r w:rsidR="00AF2013">
        <w:t xml:space="preserve">Brief </w:t>
      </w:r>
      <w:r w:rsidRPr="007035BB">
        <w:t>at ¶</w:t>
      </w:r>
      <w:r>
        <w:t> </w:t>
      </w:r>
      <w:r w:rsidRPr="007035BB">
        <w:t>16.</w:t>
      </w:r>
    </w:p>
  </w:footnote>
  <w:footnote w:id="16">
    <w:p w:rsidR="00751BB2" w:rsidRDefault="00751BB2" w:rsidP="00E00F6D">
      <w:pPr>
        <w:pStyle w:val="FootnoteText"/>
        <w:ind w:firstLine="360"/>
      </w:pPr>
      <w:r>
        <w:rPr>
          <w:rStyle w:val="FootnoteReference"/>
        </w:rPr>
        <w:footnoteRef/>
      </w:r>
      <w:r>
        <w:tab/>
        <w:t xml:space="preserve">The </w:t>
      </w:r>
      <w:r w:rsidRPr="007035BB">
        <w:t xml:space="preserve">Public Counsel </w:t>
      </w:r>
      <w:r w:rsidR="00AF2013">
        <w:t xml:space="preserve">Brief suggests that Public Counsel </w:t>
      </w:r>
      <w:r>
        <w:t xml:space="preserve">agrees that the threshold question in the proceeding is whether the Commission </w:t>
      </w:r>
      <w:r w:rsidRPr="00E00F6D">
        <w:rPr>
          <w:i/>
        </w:rPr>
        <w:t>can</w:t>
      </w:r>
      <w:r>
        <w:t xml:space="preserve"> </w:t>
      </w:r>
      <w:r w:rsidRPr="00E00F6D">
        <w:t>exercise jurisdiction over sales of LNG by PSE to TOTE pursuant to the TOTE Special Contract</w:t>
      </w:r>
      <w:r>
        <w:t xml:space="preserve"> and that the question of whether the Commission </w:t>
      </w:r>
      <w:r w:rsidRPr="00E00F6D">
        <w:rPr>
          <w:i/>
        </w:rPr>
        <w:t>should</w:t>
      </w:r>
      <w:r>
        <w:t xml:space="preserve"> </w:t>
      </w:r>
      <w:r w:rsidRPr="00E00F6D">
        <w:t xml:space="preserve">exercise jurisdiction over </w:t>
      </w:r>
      <w:r>
        <w:t xml:space="preserve">such </w:t>
      </w:r>
      <w:r w:rsidRPr="00E00F6D">
        <w:t xml:space="preserve">sales </w:t>
      </w:r>
      <w:r>
        <w:t>is a secondary question: “</w:t>
      </w:r>
      <w:r w:rsidRPr="00937EDE">
        <w:t>If the Commission finds that it does not have jurisdiction, it need not reach the question of contract approval as requested by PSE.</w:t>
      </w:r>
      <w:r>
        <w:t xml:space="preserve">” </w:t>
      </w:r>
      <w:r w:rsidRPr="007035BB">
        <w:t xml:space="preserve">Public Counsel </w:t>
      </w:r>
      <w:r w:rsidR="00AF2013">
        <w:t xml:space="preserve">Brief </w:t>
      </w:r>
      <w:r w:rsidRPr="007035BB">
        <w:t>at ¶</w:t>
      </w:r>
      <w:r>
        <w:t> </w:t>
      </w:r>
      <w:r w:rsidRPr="007035BB">
        <w:t>1</w:t>
      </w:r>
      <w:r>
        <w:t>7</w:t>
      </w:r>
      <w:r w:rsidRPr="007035BB">
        <w:t>.</w:t>
      </w:r>
    </w:p>
  </w:footnote>
  <w:footnote w:id="17">
    <w:p w:rsidR="00751BB2" w:rsidRDefault="00751BB2" w:rsidP="00937EDE">
      <w:pPr>
        <w:pStyle w:val="FootnoteText"/>
        <w:ind w:firstLine="360"/>
      </w:pPr>
      <w:r>
        <w:rPr>
          <w:rStyle w:val="FootnoteReference"/>
        </w:rPr>
        <w:footnoteRef/>
      </w:r>
      <w:r>
        <w:tab/>
      </w:r>
      <w:r w:rsidRPr="00937EDE">
        <w:t xml:space="preserve">Staff Brief </w:t>
      </w:r>
      <w:r w:rsidRPr="007035BB">
        <w:t>at ¶</w:t>
      </w:r>
      <w:r>
        <w:t> 3</w:t>
      </w:r>
      <w:r w:rsidRPr="007035BB">
        <w:t>.</w:t>
      </w:r>
    </w:p>
  </w:footnote>
  <w:footnote w:id="18">
    <w:p w:rsidR="00AF2013" w:rsidRDefault="00AF2013" w:rsidP="00AF2013">
      <w:pPr>
        <w:pStyle w:val="FootnoteText"/>
        <w:tabs>
          <w:tab w:val="left" w:pos="720"/>
        </w:tabs>
        <w:ind w:firstLine="360"/>
      </w:pPr>
      <w:r>
        <w:rPr>
          <w:rStyle w:val="FootnoteReference"/>
        </w:rPr>
        <w:footnoteRef/>
      </w:r>
      <w:r>
        <w:tab/>
      </w:r>
      <w:r w:rsidRPr="00AF2013">
        <w:rPr>
          <w:i/>
        </w:rPr>
        <w:t>See</w:t>
      </w:r>
      <w:r>
        <w:t xml:space="preserve"> Staff Brief at ¶¶ 35-49.</w:t>
      </w:r>
    </w:p>
  </w:footnote>
  <w:footnote w:id="19">
    <w:p w:rsidR="00E4023C" w:rsidRDefault="00E4023C" w:rsidP="00E4023C">
      <w:pPr>
        <w:pStyle w:val="FootnoteText"/>
        <w:tabs>
          <w:tab w:val="left" w:pos="720"/>
        </w:tabs>
        <w:ind w:firstLine="360"/>
      </w:pPr>
      <w:r>
        <w:rPr>
          <w:rStyle w:val="FootnoteReference"/>
        </w:rPr>
        <w:footnoteRef/>
      </w:r>
      <w:r>
        <w:tab/>
      </w:r>
      <w:r w:rsidRPr="00AF2013">
        <w:rPr>
          <w:i/>
        </w:rPr>
        <w:t>See</w:t>
      </w:r>
      <w:r>
        <w:t xml:space="preserve"> Staff Brief at ¶¶ 37-40.</w:t>
      </w:r>
    </w:p>
  </w:footnote>
  <w:footnote w:id="20">
    <w:p w:rsidR="00417255" w:rsidRPr="00417255" w:rsidRDefault="00417255" w:rsidP="00D9280D">
      <w:pPr>
        <w:pStyle w:val="FootnoteText"/>
        <w:ind w:firstLine="360"/>
      </w:pPr>
      <w:r>
        <w:rPr>
          <w:rStyle w:val="FootnoteReference"/>
        </w:rPr>
        <w:footnoteRef/>
      </w:r>
      <w:r w:rsidR="00841F40">
        <w:t xml:space="preserve">  </w:t>
      </w:r>
      <w:r>
        <w:rPr>
          <w:i/>
        </w:rPr>
        <w:t>See</w:t>
      </w:r>
      <w:r>
        <w:t xml:space="preserve"> Staff Brief at ¶¶ 22-25.</w:t>
      </w:r>
    </w:p>
  </w:footnote>
  <w:footnote w:id="21">
    <w:p w:rsidR="00A6423A" w:rsidRPr="00A6423A" w:rsidRDefault="00A6423A" w:rsidP="00D9280D">
      <w:pPr>
        <w:pStyle w:val="FootnoteText"/>
        <w:ind w:firstLine="360"/>
      </w:pPr>
      <w:r>
        <w:rPr>
          <w:rStyle w:val="FootnoteReference"/>
        </w:rPr>
        <w:footnoteRef/>
      </w:r>
      <w:r>
        <w:t xml:space="preserve">  </w:t>
      </w:r>
      <w:r>
        <w:rPr>
          <w:i/>
        </w:rPr>
        <w:t>See</w:t>
      </w:r>
      <w:r>
        <w:t xml:space="preserve"> Staff Brief at ¶¶ 73-75.</w:t>
      </w:r>
    </w:p>
  </w:footnote>
  <w:footnote w:id="22">
    <w:p w:rsidR="00156B6F" w:rsidRDefault="00156B6F" w:rsidP="00156B6F">
      <w:pPr>
        <w:pStyle w:val="FootnoteText"/>
        <w:tabs>
          <w:tab w:val="left" w:pos="720"/>
        </w:tabs>
        <w:ind w:firstLine="360"/>
      </w:pPr>
      <w:r>
        <w:rPr>
          <w:rStyle w:val="FootnoteReference"/>
        </w:rPr>
        <w:footnoteRef/>
      </w:r>
      <w:r>
        <w:tab/>
        <w:t>Staff Brief at ¶ 56.</w:t>
      </w:r>
    </w:p>
  </w:footnote>
  <w:footnote w:id="23">
    <w:p w:rsidR="00944D19" w:rsidRDefault="00944D19" w:rsidP="00944D19">
      <w:pPr>
        <w:pStyle w:val="FootnoteText"/>
        <w:tabs>
          <w:tab w:val="left" w:pos="720"/>
        </w:tabs>
        <w:ind w:firstLine="360"/>
      </w:pPr>
      <w:r>
        <w:rPr>
          <w:rStyle w:val="FootnoteReference"/>
        </w:rPr>
        <w:footnoteRef/>
      </w:r>
      <w:r>
        <w:tab/>
      </w:r>
      <w:r w:rsidRPr="00944D19">
        <w:rPr>
          <w:i/>
        </w:rPr>
        <w:t>See, e.g.,</w:t>
      </w:r>
      <w:r>
        <w:t xml:space="preserve"> </w:t>
      </w:r>
      <w:r w:rsidRPr="00944D19">
        <w:t xml:space="preserve">Northwest Pipeline LLC, FERC Gas Tariff, Fifth Revised Volume No. 1, at </w:t>
      </w:r>
      <w:r>
        <w:t xml:space="preserve">Fifth </w:t>
      </w:r>
      <w:r w:rsidRPr="00944D19">
        <w:t>Revised Sheet No.</w:t>
      </w:r>
      <w:r>
        <w:t> </w:t>
      </w:r>
      <w:r w:rsidRPr="00944D19">
        <w:t>20</w:t>
      </w:r>
      <w:r>
        <w:t xml:space="preserve">4 through </w:t>
      </w:r>
      <w:r w:rsidRPr="00944D19">
        <w:t>Third Revised Sheet No.</w:t>
      </w:r>
      <w:r>
        <w:t> 205-B</w:t>
      </w:r>
      <w:r w:rsidRPr="00944D19">
        <w:t xml:space="preserve">, available at </w:t>
      </w:r>
      <w:hyperlink r:id="rId1" w:history="1">
        <w:r w:rsidRPr="00D10AF0">
          <w:rPr>
            <w:rStyle w:val="Hyperlink"/>
            <w:noProof w:val="0"/>
          </w:rPr>
          <w:t>http://www.northwest.williams.com/Files/Northwest/tariff/tariff_GTC.pdf</w:t>
        </w:r>
      </w:hyperlink>
      <w:r w:rsidRPr="00944D19">
        <w:t xml:space="preserve"> (last accessed </w:t>
      </w:r>
      <w:r>
        <w:t>Dec</w:t>
      </w:r>
      <w:r w:rsidRPr="00944D19">
        <w:t xml:space="preserve">. </w:t>
      </w:r>
      <w:r>
        <w:t>1</w:t>
      </w:r>
      <w:r w:rsidRPr="00944D19">
        <w:t>, 2015)</w:t>
      </w:r>
      <w:r w:rsidR="00086B70" w:rsidRPr="00086B70">
        <w:rPr>
          <w:color w:val="FF3399"/>
        </w:rPr>
        <w:fldChar w:fldCharType="begin"/>
      </w:r>
      <w:r w:rsidR="00086B70" w:rsidRPr="00086B70">
        <w:rPr>
          <w:color w:val="FF3399"/>
        </w:rPr>
        <w:instrText xml:space="preserve"> TA \l "Northwest Pipeline LLC, FERC Gas Tariff, Fifth Revised Volume No. 1, at Fifth Revised Sheet No. 204 through Third Revised Sheet No. 205-B, available at http://www.northwest.williams.com/Files/Northwest/tariff/tariff_GTC.pdf (last accessed Dec. 1, 2015)" \s "Northwest Pipeline LLC, FERC Gas Tariff, Fifth Revised Volume No. 1, at Fifth Revised Sheet No. 204 through Third Revised Sheet No. 205-B, available at http://www.northwest.williams.com/Files/Northwest/tariff/tariff_GTC.pdf (last accessed Dec. 1, 2015)" \c 9 </w:instrText>
      </w:r>
      <w:r w:rsidR="00086B70" w:rsidRPr="00086B70">
        <w:rPr>
          <w:color w:val="FF3399"/>
        </w:rPr>
        <w:fldChar w:fldCharType="end"/>
      </w:r>
      <w:r w:rsidRPr="00086B70">
        <w:rPr>
          <w:color w:val="FF3399"/>
        </w:rPr>
        <w:t>.</w:t>
      </w:r>
    </w:p>
  </w:footnote>
  <w:footnote w:id="24">
    <w:p w:rsidR="00984369" w:rsidRDefault="00984369" w:rsidP="00984369">
      <w:pPr>
        <w:pStyle w:val="FootnoteText"/>
        <w:tabs>
          <w:tab w:val="left" w:pos="720"/>
        </w:tabs>
        <w:ind w:firstLine="360"/>
      </w:pPr>
      <w:r>
        <w:rPr>
          <w:rStyle w:val="FootnoteReference"/>
        </w:rPr>
        <w:footnoteRef/>
      </w:r>
      <w:r>
        <w:tab/>
      </w:r>
      <w:r w:rsidRPr="00944D19">
        <w:rPr>
          <w:i/>
        </w:rPr>
        <w:t>See, e.g.,</w:t>
      </w:r>
      <w:r>
        <w:t xml:space="preserve"> </w:t>
      </w:r>
      <w:r w:rsidRPr="00944D19">
        <w:t xml:space="preserve">Northwest Pipeline LLC, </w:t>
      </w:r>
      <w:r w:rsidRPr="00984369">
        <w:rPr>
          <w:i/>
        </w:rPr>
        <w:t>Daily Gas Quality Values</w:t>
      </w:r>
      <w:r w:rsidRPr="00944D19">
        <w:t xml:space="preserve">, available at </w:t>
      </w:r>
      <w:hyperlink r:id="rId2" w:history="1">
        <w:r w:rsidRPr="00D10AF0">
          <w:rPr>
            <w:rStyle w:val="Hyperlink"/>
            <w:noProof w:val="0"/>
          </w:rPr>
          <w:t>http://www.northwest.williams.com/NWP_Portal/gasQualityValues.action</w:t>
        </w:r>
      </w:hyperlink>
      <w:r>
        <w:t xml:space="preserve"> </w:t>
      </w:r>
      <w:r w:rsidRPr="00944D19">
        <w:t xml:space="preserve">(last accessed </w:t>
      </w:r>
      <w:r>
        <w:t>Dec</w:t>
      </w:r>
      <w:r w:rsidRPr="00944D19">
        <w:t xml:space="preserve">. </w:t>
      </w:r>
      <w:r>
        <w:t>1</w:t>
      </w:r>
      <w:r w:rsidRPr="00944D19">
        <w:t>, 2015)</w:t>
      </w:r>
      <w:r w:rsidR="00086B70" w:rsidRPr="00086B70">
        <w:rPr>
          <w:color w:val="FF3399"/>
        </w:rPr>
        <w:fldChar w:fldCharType="begin"/>
      </w:r>
      <w:r w:rsidR="00086B70" w:rsidRPr="00086B70">
        <w:rPr>
          <w:color w:val="FF3399"/>
        </w:rPr>
        <w:instrText xml:space="preserve"> TA \l "Northwest Pipeline LLC, </w:instrText>
      </w:r>
      <w:r w:rsidR="00086B70" w:rsidRPr="00086B70">
        <w:rPr>
          <w:i/>
          <w:color w:val="FF3399"/>
        </w:rPr>
        <w:instrText>Daily Gas Quality Values</w:instrText>
      </w:r>
      <w:r w:rsidR="00086B70" w:rsidRPr="00086B70">
        <w:rPr>
          <w:color w:val="FF3399"/>
        </w:rPr>
        <w:instrText xml:space="preserve">, available at http://www.northwest.williams.com/NWP_Portal/gasQualityValues.action (last accessed Dec. 1, 2015)" \s "Northwest Pipeline LLC, Daily Gas Quality Values, available at http://www.northwest.williams.com/NWP_Portal/gasQualityValues.action (last accessed Dec. 1, 2015)" \c 9 </w:instrText>
      </w:r>
      <w:r w:rsidR="00086B70" w:rsidRPr="00086B70">
        <w:rPr>
          <w:color w:val="FF3399"/>
        </w:rPr>
        <w:fldChar w:fldCharType="end"/>
      </w:r>
      <w:r w:rsidRPr="00944D19">
        <w:t>.</w:t>
      </w:r>
    </w:p>
  </w:footnote>
  <w:footnote w:id="25">
    <w:p w:rsidR="0075298C" w:rsidRDefault="0075298C" w:rsidP="0075298C">
      <w:pPr>
        <w:pStyle w:val="FootnoteText"/>
        <w:tabs>
          <w:tab w:val="left" w:pos="720"/>
        </w:tabs>
        <w:ind w:firstLine="360"/>
      </w:pPr>
      <w:r>
        <w:rPr>
          <w:rStyle w:val="FootnoteReference"/>
        </w:rPr>
        <w:footnoteRef/>
      </w:r>
      <w:r w:rsidR="00841F40">
        <w:t xml:space="preserve">  </w:t>
      </w:r>
      <w:r w:rsidRPr="00AF2013">
        <w:rPr>
          <w:i/>
        </w:rPr>
        <w:t>See</w:t>
      </w:r>
      <w:r>
        <w:t xml:space="preserve"> Staff Brief at ¶ 37.</w:t>
      </w:r>
    </w:p>
  </w:footnote>
  <w:footnote w:id="26">
    <w:p w:rsidR="00B11563" w:rsidRDefault="00B11563" w:rsidP="00B11563">
      <w:pPr>
        <w:pStyle w:val="FootnoteText"/>
        <w:ind w:firstLine="360"/>
      </w:pPr>
      <w:r>
        <w:rPr>
          <w:rStyle w:val="FootnoteReference"/>
        </w:rPr>
        <w:footnoteRef/>
      </w:r>
      <w:r>
        <w:t xml:space="preserve">  PSE Brief at ¶¶ 41-43.</w:t>
      </w:r>
    </w:p>
  </w:footnote>
  <w:footnote w:id="27">
    <w:p w:rsidR="002D6B5E" w:rsidRDefault="002D6B5E" w:rsidP="002D6B5E">
      <w:pPr>
        <w:pStyle w:val="FootnoteText"/>
        <w:tabs>
          <w:tab w:val="left" w:pos="720"/>
        </w:tabs>
        <w:ind w:firstLine="360"/>
      </w:pPr>
      <w:r>
        <w:rPr>
          <w:rStyle w:val="FootnoteReference"/>
        </w:rPr>
        <w:footnoteRef/>
      </w:r>
      <w:r w:rsidR="00841F40">
        <w:t xml:space="preserve">  </w:t>
      </w:r>
      <w:r>
        <w:t>Staff Brief at ¶ 10.</w:t>
      </w:r>
    </w:p>
  </w:footnote>
  <w:footnote w:id="28">
    <w:p w:rsidR="00751BB2" w:rsidRDefault="00751BB2" w:rsidP="004A6896">
      <w:pPr>
        <w:pStyle w:val="FootnoteText"/>
        <w:tabs>
          <w:tab w:val="left" w:pos="720"/>
        </w:tabs>
        <w:ind w:firstLine="360"/>
      </w:pPr>
      <w:r>
        <w:rPr>
          <w:rStyle w:val="FootnoteReference"/>
        </w:rPr>
        <w:footnoteRef/>
      </w:r>
      <w:r w:rsidR="00841F40">
        <w:t xml:space="preserve">  </w:t>
      </w:r>
      <w:r>
        <w:t>Staff Brief at ¶¶ 15-18.</w:t>
      </w:r>
    </w:p>
  </w:footnote>
  <w:footnote w:id="29">
    <w:p w:rsidR="00751BB2" w:rsidRPr="00D10908" w:rsidRDefault="00751BB2" w:rsidP="004A6896">
      <w:pPr>
        <w:pStyle w:val="FootnoteText"/>
        <w:tabs>
          <w:tab w:val="left" w:pos="720"/>
        </w:tabs>
        <w:ind w:firstLine="360"/>
      </w:pPr>
      <w:r>
        <w:rPr>
          <w:rStyle w:val="FootnoteReference"/>
        </w:rPr>
        <w:footnoteRef/>
      </w:r>
      <w:r w:rsidR="00841F40">
        <w:t xml:space="preserve">  </w:t>
      </w:r>
      <w:r w:rsidRPr="00D15BDF">
        <w:rPr>
          <w:i/>
        </w:rPr>
        <w:t>See</w:t>
      </w:r>
      <w:r>
        <w:t xml:space="preserve"> </w:t>
      </w:r>
      <w:r>
        <w:rPr>
          <w:i/>
        </w:rPr>
        <w:t>In the Matter of the Application of Cascade Natural Gas Corporation, Inc., for Authority to Implement a Special Contract for Gas with E-Next Generation LLC</w:t>
      </w:r>
      <w:r>
        <w:t xml:space="preserve">, Docket UG-010957, </w:t>
      </w:r>
      <w:r w:rsidRPr="00D15BDF">
        <w:t xml:space="preserve">Order Dismissing Complaint </w:t>
      </w:r>
      <w:r>
        <w:t>a</w:t>
      </w:r>
      <w:r w:rsidRPr="00D15BDF">
        <w:t>nd Order Suspending Contract; Granting Contract Approval</w:t>
      </w:r>
      <w:r>
        <w:t xml:space="preserve">  (Aug. 8, 2001) (approving a special contract with a 30-year term)</w:t>
      </w:r>
      <w:r w:rsidR="00012BF1" w:rsidRPr="00012BF1">
        <w:rPr>
          <w:color w:val="FF3399"/>
        </w:rPr>
        <w:fldChar w:fldCharType="begin"/>
      </w:r>
      <w:r w:rsidR="00012BF1" w:rsidRPr="00012BF1">
        <w:rPr>
          <w:color w:val="FF3399"/>
        </w:rPr>
        <w:instrText xml:space="preserve"> TA \l "</w:instrText>
      </w:r>
      <w:r w:rsidR="00012BF1" w:rsidRPr="00012BF1">
        <w:rPr>
          <w:i/>
          <w:color w:val="FF3399"/>
        </w:rPr>
        <w:instrText>In the Matter of the Application of Cascade Natural Gas Corporation, Inc., for Authority to Implement a Special Contract for Gas with E-Next Generation LLC</w:instrText>
      </w:r>
      <w:r w:rsidR="00012BF1" w:rsidRPr="00012BF1">
        <w:rPr>
          <w:color w:val="FF3399"/>
        </w:rPr>
        <w:instrText xml:space="preserve">, Docket UG-010957, (Aug. 8, 2001)" \s "In the Matter of the Application of Cascade Natural Gas Corporation, Inc., for Authority to Implement a Special Contract for Gas with E-Next Generation LLC, Docket UG-010957, Order Dismissing Complaint and Order Suspending Contract; Granting Contract Appr" \c 8 </w:instrText>
      </w:r>
      <w:r w:rsidR="00012BF1" w:rsidRPr="00012BF1">
        <w:rPr>
          <w:color w:val="FF3399"/>
        </w:rPr>
        <w:fldChar w:fldCharType="end"/>
      </w:r>
      <w:r>
        <w:t xml:space="preserve">; </w:t>
      </w:r>
      <w:r>
        <w:rPr>
          <w:i/>
        </w:rPr>
        <w:t>WUTC v. Cascade Natural Gas Corp.</w:t>
      </w:r>
      <w:r>
        <w:t>, Docket UG-921047, Order 01 (Mar. 27, 2008)</w:t>
      </w:r>
      <w:r w:rsidR="00012BF1" w:rsidRPr="00012BF1">
        <w:rPr>
          <w:color w:val="FF3399"/>
        </w:rPr>
        <w:fldChar w:fldCharType="begin"/>
      </w:r>
      <w:r w:rsidR="00012BF1" w:rsidRPr="00012BF1">
        <w:rPr>
          <w:color w:val="FF3399"/>
        </w:rPr>
        <w:instrText xml:space="preserve"> TA \l "</w:instrText>
      </w:r>
      <w:r w:rsidR="00012BF1" w:rsidRPr="00012BF1">
        <w:rPr>
          <w:i/>
          <w:color w:val="FF3399"/>
        </w:rPr>
        <w:instrText>WUTC v. Cascade Natural Gas Corp.</w:instrText>
      </w:r>
      <w:r w:rsidR="00012BF1" w:rsidRPr="00012BF1">
        <w:rPr>
          <w:color w:val="FF3399"/>
        </w:rPr>
        <w:instrText xml:space="preserve">, Docket UG-921047, Order 01 (Mar. 27, 2008)" \s "WUTC v. Cascade Natural Gas Corp., Docket UG-921047, Order 01 (Mar. 27, 2008)" \c 8 </w:instrText>
      </w:r>
      <w:r w:rsidR="00012BF1" w:rsidRPr="00012BF1">
        <w:rPr>
          <w:color w:val="FF3399"/>
        </w:rPr>
        <w:fldChar w:fldCharType="end"/>
      </w:r>
      <w:r>
        <w:t xml:space="preserve"> (approving a four-year extension of a special contract with a primary term of 15 years).</w:t>
      </w:r>
    </w:p>
  </w:footnote>
  <w:footnote w:id="30">
    <w:p w:rsidR="00B75A22" w:rsidRPr="00B75A22" w:rsidRDefault="00B75A22" w:rsidP="00B75A22">
      <w:pPr>
        <w:pStyle w:val="FootnoteText"/>
        <w:tabs>
          <w:tab w:val="left" w:pos="720"/>
        </w:tabs>
        <w:ind w:firstLine="360"/>
      </w:pPr>
      <w:r>
        <w:rPr>
          <w:rStyle w:val="FootnoteReference"/>
        </w:rPr>
        <w:footnoteRef/>
      </w:r>
      <w:r w:rsidR="00841F40">
        <w:t xml:space="preserve">  </w:t>
      </w:r>
      <w:r>
        <w:t xml:space="preserve">Puget Sound Energy, </w:t>
      </w:r>
      <w:r w:rsidRPr="00B75A22">
        <w:rPr>
          <w:i/>
        </w:rPr>
        <w:t>Rules and Regulations Rule No. 15: Discontinuance of Service</w:t>
      </w:r>
      <w:r w:rsidRPr="00B75A22">
        <w:t xml:space="preserve">, available at </w:t>
      </w:r>
      <w:hyperlink r:id="rId3" w:history="1">
        <w:r w:rsidRPr="00B75A22">
          <w:rPr>
            <w:rStyle w:val="Hyperlink"/>
            <w:noProof w:val="0"/>
          </w:rPr>
          <w:t>https://pse.com/aboutpse/Rates/Documents/gas_rule_15.pdf</w:t>
        </w:r>
      </w:hyperlink>
      <w:r w:rsidRPr="00B75A22">
        <w:t xml:space="preserve"> (last accessed Dec. 1, 2015)</w:t>
      </w:r>
      <w:r w:rsidR="00086B70" w:rsidRPr="00086B70">
        <w:rPr>
          <w:color w:val="FF3399"/>
        </w:rPr>
        <w:fldChar w:fldCharType="begin"/>
      </w:r>
      <w:r w:rsidR="00086B70" w:rsidRPr="00086B70">
        <w:rPr>
          <w:color w:val="FF3399"/>
        </w:rPr>
        <w:instrText xml:space="preserve"> TA \l "Puget Sound Energy, Inc., </w:instrText>
      </w:r>
      <w:r w:rsidR="00086B70" w:rsidRPr="00086B70">
        <w:rPr>
          <w:i/>
          <w:color w:val="FF3399"/>
        </w:rPr>
        <w:instrText>Rules and Regulations Rule No. 15: Discontinuance of Service</w:instrText>
      </w:r>
      <w:r w:rsidR="00086B70" w:rsidRPr="00086B70">
        <w:rPr>
          <w:color w:val="FF3399"/>
        </w:rPr>
        <w:instrText xml:space="preserve">, available at https://pse.com/aboutpse/Rates/Documents/gas_rule_15.pdf (last accessed Dec. 1, 2015)" \s "Puget Sound Energy, Inc., Rules and Regulations Rule No. 15: Discontinuance of Service, available at https://pse.com/aboutpse/Rates/Documents/gas_rule_15.pdf (last accessed Dec. 1, 2015)" \c 9 </w:instrText>
      </w:r>
      <w:r w:rsidR="00086B70" w:rsidRPr="00086B70">
        <w:rPr>
          <w:color w:val="FF3399"/>
        </w:rPr>
        <w:fldChar w:fldCharType="end"/>
      </w:r>
      <w:r w:rsidRPr="00B75A22">
        <w:t>.</w:t>
      </w:r>
    </w:p>
  </w:footnote>
  <w:footnote w:id="31">
    <w:p w:rsidR="00403CF5" w:rsidRPr="00B75A22" w:rsidRDefault="00403CF5" w:rsidP="00403CF5">
      <w:pPr>
        <w:pStyle w:val="FootnoteText"/>
        <w:tabs>
          <w:tab w:val="left" w:pos="720"/>
        </w:tabs>
        <w:ind w:firstLine="360"/>
      </w:pPr>
      <w:r>
        <w:rPr>
          <w:rStyle w:val="FootnoteReference"/>
        </w:rPr>
        <w:footnoteRef/>
      </w:r>
      <w:r w:rsidR="00841F40">
        <w:t xml:space="preserve">  </w:t>
      </w:r>
      <w:r>
        <w:t>Staff Brief at ¶ 41.</w:t>
      </w:r>
    </w:p>
  </w:footnote>
  <w:footnote w:id="32">
    <w:p w:rsidR="009848BF" w:rsidRPr="00B75A22" w:rsidRDefault="009848BF" w:rsidP="009848BF">
      <w:pPr>
        <w:pStyle w:val="FootnoteText"/>
        <w:tabs>
          <w:tab w:val="left" w:pos="720"/>
        </w:tabs>
        <w:ind w:firstLine="360"/>
      </w:pPr>
      <w:r>
        <w:rPr>
          <w:rStyle w:val="FootnoteReference"/>
        </w:rPr>
        <w:footnoteRef/>
      </w:r>
      <w:r w:rsidR="00841F40">
        <w:t xml:space="preserve">  </w:t>
      </w:r>
      <w:r>
        <w:t>Staff Brief at ¶ 88.</w:t>
      </w:r>
    </w:p>
  </w:footnote>
  <w:footnote w:id="33">
    <w:p w:rsidR="00B11563" w:rsidRDefault="00B11563" w:rsidP="00B11563">
      <w:pPr>
        <w:pStyle w:val="FootnoteText"/>
        <w:ind w:firstLine="360"/>
      </w:pPr>
      <w:r>
        <w:rPr>
          <w:rStyle w:val="FootnoteReference"/>
        </w:rPr>
        <w:footnoteRef/>
      </w:r>
      <w:r>
        <w:t xml:space="preserve">  PSE Brief at </w:t>
      </w:r>
      <w:r w:rsidRPr="00B11563">
        <w:t>¶</w:t>
      </w:r>
      <w:r>
        <w:t xml:space="preserve"> 47.</w:t>
      </w:r>
    </w:p>
  </w:footnote>
  <w:footnote w:id="34">
    <w:p w:rsidR="006F2D59" w:rsidRPr="00B75A22" w:rsidRDefault="006F2D59" w:rsidP="006F2D59">
      <w:pPr>
        <w:pStyle w:val="FootnoteText"/>
        <w:tabs>
          <w:tab w:val="left" w:pos="720"/>
        </w:tabs>
        <w:ind w:firstLine="360"/>
      </w:pPr>
      <w:r>
        <w:rPr>
          <w:rStyle w:val="FootnoteReference"/>
        </w:rPr>
        <w:footnoteRef/>
      </w:r>
      <w:r w:rsidR="00841F40">
        <w:t xml:space="preserve">  </w:t>
      </w:r>
      <w:r w:rsidRPr="006F2D59">
        <w:t>Pub. L. 102–486, title IV, § 404(b)</w:t>
      </w:r>
      <w:r w:rsidR="005B180C" w:rsidRPr="005B180C">
        <w:rPr>
          <w:color w:val="FF33CC"/>
        </w:rPr>
        <w:fldChar w:fldCharType="begin"/>
      </w:r>
      <w:r w:rsidR="005B180C" w:rsidRPr="005B180C">
        <w:rPr>
          <w:color w:val="FF33CC"/>
        </w:rPr>
        <w:instrText xml:space="preserve"> TA \l "Pub. L. 102–486, title IV, § 404(b)" \s "Pub. L. 102–486, title IV, § 404(b)" \c 3 </w:instrText>
      </w:r>
      <w:r w:rsidR="005B180C" w:rsidRPr="005B180C">
        <w:rPr>
          <w:color w:val="FF33CC"/>
        </w:rPr>
        <w:fldChar w:fldCharType="end"/>
      </w:r>
      <w:r>
        <w:t>.</w:t>
      </w:r>
    </w:p>
  </w:footnote>
  <w:footnote w:id="35">
    <w:p w:rsidR="007D6730" w:rsidRPr="00B75A22" w:rsidRDefault="007D6730" w:rsidP="007D6730">
      <w:pPr>
        <w:pStyle w:val="FootnoteText"/>
        <w:tabs>
          <w:tab w:val="left" w:pos="720"/>
        </w:tabs>
        <w:ind w:firstLine="360"/>
      </w:pPr>
      <w:r>
        <w:rPr>
          <w:rStyle w:val="FootnoteReference"/>
        </w:rPr>
        <w:footnoteRef/>
      </w:r>
      <w:r w:rsidR="00841F40">
        <w:t xml:space="preserve">  </w:t>
      </w:r>
      <w:r>
        <w:t>Staff Brief at ¶ 28.</w:t>
      </w:r>
    </w:p>
  </w:footnote>
  <w:footnote w:id="36">
    <w:p w:rsidR="003E1D29" w:rsidRPr="00B75A22" w:rsidRDefault="003E1D29" w:rsidP="003E1D29">
      <w:pPr>
        <w:pStyle w:val="FootnoteText"/>
        <w:tabs>
          <w:tab w:val="left" w:pos="720"/>
        </w:tabs>
        <w:ind w:firstLine="360"/>
      </w:pPr>
      <w:r>
        <w:rPr>
          <w:rStyle w:val="FootnoteReference"/>
        </w:rPr>
        <w:footnoteRef/>
      </w:r>
      <w:r w:rsidR="00841F40">
        <w:t xml:space="preserve">  Riding, Exh. No. ___</w:t>
      </w:r>
      <w:r>
        <w:t>(CR-4C) at 23.</w:t>
      </w:r>
    </w:p>
  </w:footnote>
  <w:footnote w:id="37">
    <w:p w:rsidR="00676F56" w:rsidRPr="00B75A22" w:rsidRDefault="00676F56" w:rsidP="00676F56">
      <w:pPr>
        <w:pStyle w:val="FootnoteText"/>
        <w:tabs>
          <w:tab w:val="left" w:pos="720"/>
        </w:tabs>
        <w:ind w:firstLine="360"/>
      </w:pPr>
      <w:r>
        <w:rPr>
          <w:rStyle w:val="FootnoteReference"/>
        </w:rPr>
        <w:footnoteRef/>
      </w:r>
      <w:r w:rsidR="00841F40">
        <w:t xml:space="preserve">  </w:t>
      </w:r>
      <w:r>
        <w:t>Staff Brief at ¶ 28.</w:t>
      </w:r>
    </w:p>
  </w:footnote>
  <w:footnote w:id="38">
    <w:p w:rsidR="00676F56" w:rsidRPr="00B75A22" w:rsidRDefault="00676F56" w:rsidP="00676F56">
      <w:pPr>
        <w:pStyle w:val="FootnoteText"/>
        <w:tabs>
          <w:tab w:val="left" w:pos="720"/>
        </w:tabs>
        <w:ind w:firstLine="360"/>
      </w:pPr>
      <w:r>
        <w:rPr>
          <w:rStyle w:val="FootnoteReference"/>
        </w:rPr>
        <w:footnoteRef/>
      </w:r>
      <w:r w:rsidR="00841F40">
        <w:t xml:space="preserve">  </w:t>
      </w:r>
      <w:r>
        <w:t>Hogan, Exh. No. ___(JPH-1T) at 11</w:t>
      </w:r>
      <w:r w:rsidR="00841F40">
        <w:t>:</w:t>
      </w:r>
      <w:r>
        <w:t>9-11.</w:t>
      </w:r>
    </w:p>
  </w:footnote>
  <w:footnote w:id="39">
    <w:p w:rsidR="006B58C7" w:rsidRPr="00B75A22" w:rsidRDefault="006B58C7" w:rsidP="006B58C7">
      <w:pPr>
        <w:pStyle w:val="FootnoteText"/>
        <w:tabs>
          <w:tab w:val="left" w:pos="720"/>
        </w:tabs>
        <w:ind w:firstLine="360"/>
      </w:pPr>
      <w:r>
        <w:rPr>
          <w:rStyle w:val="FootnoteReference"/>
        </w:rPr>
        <w:footnoteRef/>
      </w:r>
      <w:r w:rsidR="00841F40">
        <w:t xml:space="preserve">  </w:t>
      </w:r>
      <w:r>
        <w:t>Hogan, Exh. No. ___(JPH-1T) at 11</w:t>
      </w:r>
      <w:r w:rsidR="00841F40">
        <w:t>:</w:t>
      </w:r>
      <w:r>
        <w:t>12-15.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Header"/>
    </w:pPr>
    <w:r>
      <w:rPr>
        <w:rStyle w:val="PageNumber"/>
        <w:noProof/>
      </w:rPr>
      <w:t>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Pr="00457B6A" w:rsidRDefault="00751BB2" w:rsidP="00457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DA867A"/>
    <w:lvl w:ilvl="0">
      <w:start w:val="1"/>
      <w:numFmt w:val="decimal"/>
      <w:lvlText w:val="%1."/>
      <w:lvlJc w:val="left"/>
      <w:pPr>
        <w:tabs>
          <w:tab w:val="num" w:pos="1800"/>
        </w:tabs>
        <w:ind w:left="1800" w:hanging="360"/>
      </w:pPr>
    </w:lvl>
  </w:abstractNum>
  <w:abstractNum w:abstractNumId="1">
    <w:nsid w:val="FFFFFF7D"/>
    <w:multiLevelType w:val="singleLevel"/>
    <w:tmpl w:val="5686C882"/>
    <w:lvl w:ilvl="0">
      <w:start w:val="1"/>
      <w:numFmt w:val="decimal"/>
      <w:lvlText w:val="%1."/>
      <w:lvlJc w:val="left"/>
      <w:pPr>
        <w:tabs>
          <w:tab w:val="num" w:pos="1440"/>
        </w:tabs>
        <w:ind w:left="1440" w:hanging="360"/>
      </w:pPr>
    </w:lvl>
  </w:abstractNum>
  <w:abstractNum w:abstractNumId="2">
    <w:nsid w:val="FFFFFF7E"/>
    <w:multiLevelType w:val="singleLevel"/>
    <w:tmpl w:val="4994225A"/>
    <w:lvl w:ilvl="0">
      <w:start w:val="1"/>
      <w:numFmt w:val="decimal"/>
      <w:lvlText w:val="%1."/>
      <w:lvlJc w:val="left"/>
      <w:pPr>
        <w:tabs>
          <w:tab w:val="num" w:pos="1080"/>
        </w:tabs>
        <w:ind w:left="1080" w:hanging="360"/>
      </w:pPr>
    </w:lvl>
  </w:abstractNum>
  <w:abstractNum w:abstractNumId="3">
    <w:nsid w:val="FFFFFF7F"/>
    <w:multiLevelType w:val="singleLevel"/>
    <w:tmpl w:val="B1E6633C"/>
    <w:lvl w:ilvl="0">
      <w:start w:val="1"/>
      <w:numFmt w:val="decimal"/>
      <w:lvlText w:val="%1."/>
      <w:lvlJc w:val="left"/>
      <w:pPr>
        <w:tabs>
          <w:tab w:val="num" w:pos="720"/>
        </w:tabs>
        <w:ind w:left="720" w:hanging="360"/>
      </w:pPr>
    </w:lvl>
  </w:abstractNum>
  <w:abstractNum w:abstractNumId="4">
    <w:nsid w:val="FFFFFF80"/>
    <w:multiLevelType w:val="singleLevel"/>
    <w:tmpl w:val="819E24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3A49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DEBA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A6E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CE7400"/>
    <w:lvl w:ilvl="0">
      <w:start w:val="1"/>
      <w:numFmt w:val="decimal"/>
      <w:lvlText w:val="%1."/>
      <w:lvlJc w:val="left"/>
      <w:pPr>
        <w:tabs>
          <w:tab w:val="num" w:pos="360"/>
        </w:tabs>
        <w:ind w:left="360" w:hanging="360"/>
      </w:pPr>
    </w:lvl>
  </w:abstractNum>
  <w:abstractNum w:abstractNumId="9">
    <w:nsid w:val="FFFFFF89"/>
    <w:multiLevelType w:val="singleLevel"/>
    <w:tmpl w:val="BAB06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72CDC9E"/>
    <w:lvl w:ilvl="0">
      <w:numFmt w:val="bullet"/>
      <w:lvlText w:val="*"/>
      <w:lvlJc w:val="left"/>
    </w:lvl>
  </w:abstractNum>
  <w:abstractNum w:abstractNumId="1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E56DAD"/>
    <w:multiLevelType w:val="multilevel"/>
    <w:tmpl w:val="D9286C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589783A"/>
    <w:multiLevelType w:val="hybridMultilevel"/>
    <w:tmpl w:val="191EE670"/>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nsid w:val="0B501D80"/>
    <w:multiLevelType w:val="singleLevel"/>
    <w:tmpl w:val="E2CE964E"/>
    <w:lvl w:ilvl="0">
      <w:start w:val="17"/>
      <w:numFmt w:val="upperLetter"/>
      <w:lvlText w:val="%1."/>
      <w:lvlJc w:val="left"/>
      <w:pPr>
        <w:tabs>
          <w:tab w:val="num" w:pos="720"/>
        </w:tabs>
        <w:ind w:left="720" w:hanging="720"/>
      </w:pPr>
      <w:rPr>
        <w:rFonts w:hint="default"/>
      </w:rPr>
    </w:lvl>
  </w:abstractNum>
  <w:abstractNum w:abstractNumId="15">
    <w:nsid w:val="0EE47694"/>
    <w:multiLevelType w:val="hybridMultilevel"/>
    <w:tmpl w:val="D45C804E"/>
    <w:lvl w:ilvl="0" w:tplc="8E840018">
      <w:start w:val="1"/>
      <w:numFmt w:val="lowerRoman"/>
      <w:lvlText w:val="(%1)"/>
      <w:lvlJc w:val="left"/>
      <w:pPr>
        <w:tabs>
          <w:tab w:val="num" w:pos="2160"/>
        </w:tabs>
        <w:ind w:left="2160" w:hanging="720"/>
      </w:pPr>
      <w:rPr>
        <w:rFonts w:hint="default"/>
      </w:rPr>
    </w:lvl>
    <w:lvl w:ilvl="1" w:tplc="FC285498" w:tentative="1">
      <w:start w:val="1"/>
      <w:numFmt w:val="lowerLetter"/>
      <w:lvlText w:val="%2."/>
      <w:lvlJc w:val="left"/>
      <w:pPr>
        <w:tabs>
          <w:tab w:val="num" w:pos="2520"/>
        </w:tabs>
        <w:ind w:left="2520" w:hanging="360"/>
      </w:pPr>
    </w:lvl>
    <w:lvl w:ilvl="2" w:tplc="AE16FDDA" w:tentative="1">
      <w:start w:val="1"/>
      <w:numFmt w:val="lowerRoman"/>
      <w:lvlText w:val="%3."/>
      <w:lvlJc w:val="right"/>
      <w:pPr>
        <w:tabs>
          <w:tab w:val="num" w:pos="3240"/>
        </w:tabs>
        <w:ind w:left="3240" w:hanging="180"/>
      </w:pPr>
    </w:lvl>
    <w:lvl w:ilvl="3" w:tplc="1DF24B6E" w:tentative="1">
      <w:start w:val="1"/>
      <w:numFmt w:val="decimal"/>
      <w:lvlText w:val="%4."/>
      <w:lvlJc w:val="left"/>
      <w:pPr>
        <w:tabs>
          <w:tab w:val="num" w:pos="3960"/>
        </w:tabs>
        <w:ind w:left="3960" w:hanging="360"/>
      </w:pPr>
    </w:lvl>
    <w:lvl w:ilvl="4" w:tplc="17989182" w:tentative="1">
      <w:start w:val="1"/>
      <w:numFmt w:val="lowerLetter"/>
      <w:lvlText w:val="%5."/>
      <w:lvlJc w:val="left"/>
      <w:pPr>
        <w:tabs>
          <w:tab w:val="num" w:pos="4680"/>
        </w:tabs>
        <w:ind w:left="4680" w:hanging="360"/>
      </w:pPr>
    </w:lvl>
    <w:lvl w:ilvl="5" w:tplc="8BC6C520" w:tentative="1">
      <w:start w:val="1"/>
      <w:numFmt w:val="lowerRoman"/>
      <w:lvlText w:val="%6."/>
      <w:lvlJc w:val="right"/>
      <w:pPr>
        <w:tabs>
          <w:tab w:val="num" w:pos="5400"/>
        </w:tabs>
        <w:ind w:left="5400" w:hanging="180"/>
      </w:pPr>
    </w:lvl>
    <w:lvl w:ilvl="6" w:tplc="D592E416" w:tentative="1">
      <w:start w:val="1"/>
      <w:numFmt w:val="decimal"/>
      <w:lvlText w:val="%7."/>
      <w:lvlJc w:val="left"/>
      <w:pPr>
        <w:tabs>
          <w:tab w:val="num" w:pos="6120"/>
        </w:tabs>
        <w:ind w:left="6120" w:hanging="360"/>
      </w:pPr>
    </w:lvl>
    <w:lvl w:ilvl="7" w:tplc="9E7A5066" w:tentative="1">
      <w:start w:val="1"/>
      <w:numFmt w:val="lowerLetter"/>
      <w:lvlText w:val="%8."/>
      <w:lvlJc w:val="left"/>
      <w:pPr>
        <w:tabs>
          <w:tab w:val="num" w:pos="6840"/>
        </w:tabs>
        <w:ind w:left="6840" w:hanging="360"/>
      </w:pPr>
    </w:lvl>
    <w:lvl w:ilvl="8" w:tplc="CF663386" w:tentative="1">
      <w:start w:val="1"/>
      <w:numFmt w:val="lowerRoman"/>
      <w:lvlText w:val="%9."/>
      <w:lvlJc w:val="right"/>
      <w:pPr>
        <w:tabs>
          <w:tab w:val="num" w:pos="7560"/>
        </w:tabs>
        <w:ind w:left="7560" w:hanging="180"/>
      </w:pPr>
    </w:lvl>
  </w:abstractNum>
  <w:abstractNum w:abstractNumId="16">
    <w:nsid w:val="277F7D0E"/>
    <w:multiLevelType w:val="hybridMultilevel"/>
    <w:tmpl w:val="3A88EF06"/>
    <w:lvl w:ilvl="0" w:tplc="2BA6CE56">
      <w:start w:val="2"/>
      <w:numFmt w:val="upperLetter"/>
      <w:lvlText w:val="%1."/>
      <w:lvlJc w:val="left"/>
      <w:pPr>
        <w:tabs>
          <w:tab w:val="num" w:pos="720"/>
        </w:tabs>
        <w:ind w:left="720" w:hanging="360"/>
      </w:pPr>
      <w:rPr>
        <w:rFonts w:hint="default"/>
      </w:rPr>
    </w:lvl>
    <w:lvl w:ilvl="1" w:tplc="6BDC52E4" w:tentative="1">
      <w:start w:val="1"/>
      <w:numFmt w:val="lowerLetter"/>
      <w:lvlText w:val="%2."/>
      <w:lvlJc w:val="left"/>
      <w:pPr>
        <w:tabs>
          <w:tab w:val="num" w:pos="1440"/>
        </w:tabs>
        <w:ind w:left="1440" w:hanging="360"/>
      </w:pPr>
    </w:lvl>
    <w:lvl w:ilvl="2" w:tplc="518004EE" w:tentative="1">
      <w:start w:val="1"/>
      <w:numFmt w:val="lowerRoman"/>
      <w:lvlText w:val="%3."/>
      <w:lvlJc w:val="right"/>
      <w:pPr>
        <w:tabs>
          <w:tab w:val="num" w:pos="2160"/>
        </w:tabs>
        <w:ind w:left="2160" w:hanging="180"/>
      </w:pPr>
    </w:lvl>
    <w:lvl w:ilvl="3" w:tplc="6EFAC7B2" w:tentative="1">
      <w:start w:val="1"/>
      <w:numFmt w:val="decimal"/>
      <w:lvlText w:val="%4."/>
      <w:lvlJc w:val="left"/>
      <w:pPr>
        <w:tabs>
          <w:tab w:val="num" w:pos="2880"/>
        </w:tabs>
        <w:ind w:left="2880" w:hanging="360"/>
      </w:pPr>
    </w:lvl>
    <w:lvl w:ilvl="4" w:tplc="7FE264E2" w:tentative="1">
      <w:start w:val="1"/>
      <w:numFmt w:val="lowerLetter"/>
      <w:lvlText w:val="%5."/>
      <w:lvlJc w:val="left"/>
      <w:pPr>
        <w:tabs>
          <w:tab w:val="num" w:pos="3600"/>
        </w:tabs>
        <w:ind w:left="3600" w:hanging="360"/>
      </w:pPr>
    </w:lvl>
    <w:lvl w:ilvl="5" w:tplc="AD202AB8" w:tentative="1">
      <w:start w:val="1"/>
      <w:numFmt w:val="lowerRoman"/>
      <w:lvlText w:val="%6."/>
      <w:lvlJc w:val="right"/>
      <w:pPr>
        <w:tabs>
          <w:tab w:val="num" w:pos="4320"/>
        </w:tabs>
        <w:ind w:left="4320" w:hanging="180"/>
      </w:pPr>
    </w:lvl>
    <w:lvl w:ilvl="6" w:tplc="5E00A168" w:tentative="1">
      <w:start w:val="1"/>
      <w:numFmt w:val="decimal"/>
      <w:lvlText w:val="%7."/>
      <w:lvlJc w:val="left"/>
      <w:pPr>
        <w:tabs>
          <w:tab w:val="num" w:pos="5040"/>
        </w:tabs>
        <w:ind w:left="5040" w:hanging="360"/>
      </w:pPr>
    </w:lvl>
    <w:lvl w:ilvl="7" w:tplc="823A8C10" w:tentative="1">
      <w:start w:val="1"/>
      <w:numFmt w:val="lowerLetter"/>
      <w:lvlText w:val="%8."/>
      <w:lvlJc w:val="left"/>
      <w:pPr>
        <w:tabs>
          <w:tab w:val="num" w:pos="5760"/>
        </w:tabs>
        <w:ind w:left="5760" w:hanging="360"/>
      </w:pPr>
    </w:lvl>
    <w:lvl w:ilvl="8" w:tplc="BD2832F6" w:tentative="1">
      <w:start w:val="1"/>
      <w:numFmt w:val="lowerRoman"/>
      <w:lvlText w:val="%9."/>
      <w:lvlJc w:val="right"/>
      <w:pPr>
        <w:tabs>
          <w:tab w:val="num" w:pos="6480"/>
        </w:tabs>
        <w:ind w:left="6480" w:hanging="180"/>
      </w:pPr>
    </w:lvl>
  </w:abstractNum>
  <w:abstractNum w:abstractNumId="17">
    <w:nsid w:val="2A8447BB"/>
    <w:multiLevelType w:val="multilevel"/>
    <w:tmpl w:val="C89CAC5E"/>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18">
    <w:nsid w:val="2B326130"/>
    <w:multiLevelType w:val="hybridMultilevel"/>
    <w:tmpl w:val="98BE1512"/>
    <w:lvl w:ilvl="0" w:tplc="D5745AE4">
      <w:start w:val="1"/>
      <w:numFmt w:val="decimal"/>
      <w:lvlText w:val="%1"/>
      <w:lvlJc w:val="left"/>
      <w:pPr>
        <w:tabs>
          <w:tab w:val="num" w:pos="1440"/>
        </w:tabs>
        <w:ind w:left="1440" w:hanging="720"/>
      </w:pPr>
      <w:rPr>
        <w:rFonts w:hint="default"/>
      </w:rPr>
    </w:lvl>
    <w:lvl w:ilvl="1" w:tplc="3ECEC400" w:tentative="1">
      <w:start w:val="1"/>
      <w:numFmt w:val="lowerLetter"/>
      <w:lvlText w:val="%2."/>
      <w:lvlJc w:val="left"/>
      <w:pPr>
        <w:tabs>
          <w:tab w:val="num" w:pos="1800"/>
        </w:tabs>
        <w:ind w:left="1800" w:hanging="360"/>
      </w:pPr>
    </w:lvl>
    <w:lvl w:ilvl="2" w:tplc="F04C4758" w:tentative="1">
      <w:start w:val="1"/>
      <w:numFmt w:val="lowerRoman"/>
      <w:lvlText w:val="%3."/>
      <w:lvlJc w:val="right"/>
      <w:pPr>
        <w:tabs>
          <w:tab w:val="num" w:pos="2520"/>
        </w:tabs>
        <w:ind w:left="2520" w:hanging="180"/>
      </w:pPr>
    </w:lvl>
    <w:lvl w:ilvl="3" w:tplc="4D1471B2" w:tentative="1">
      <w:start w:val="1"/>
      <w:numFmt w:val="decimal"/>
      <w:lvlText w:val="%4."/>
      <w:lvlJc w:val="left"/>
      <w:pPr>
        <w:tabs>
          <w:tab w:val="num" w:pos="3240"/>
        </w:tabs>
        <w:ind w:left="3240" w:hanging="360"/>
      </w:pPr>
    </w:lvl>
    <w:lvl w:ilvl="4" w:tplc="35321F54" w:tentative="1">
      <w:start w:val="1"/>
      <w:numFmt w:val="lowerLetter"/>
      <w:lvlText w:val="%5."/>
      <w:lvlJc w:val="left"/>
      <w:pPr>
        <w:tabs>
          <w:tab w:val="num" w:pos="3960"/>
        </w:tabs>
        <w:ind w:left="3960" w:hanging="360"/>
      </w:pPr>
    </w:lvl>
    <w:lvl w:ilvl="5" w:tplc="5C0A6F34" w:tentative="1">
      <w:start w:val="1"/>
      <w:numFmt w:val="lowerRoman"/>
      <w:lvlText w:val="%6."/>
      <w:lvlJc w:val="right"/>
      <w:pPr>
        <w:tabs>
          <w:tab w:val="num" w:pos="4680"/>
        </w:tabs>
        <w:ind w:left="4680" w:hanging="180"/>
      </w:pPr>
    </w:lvl>
    <w:lvl w:ilvl="6" w:tplc="AED0F5A6" w:tentative="1">
      <w:start w:val="1"/>
      <w:numFmt w:val="decimal"/>
      <w:lvlText w:val="%7."/>
      <w:lvlJc w:val="left"/>
      <w:pPr>
        <w:tabs>
          <w:tab w:val="num" w:pos="5400"/>
        </w:tabs>
        <w:ind w:left="5400" w:hanging="360"/>
      </w:pPr>
    </w:lvl>
    <w:lvl w:ilvl="7" w:tplc="8E8CF3C2" w:tentative="1">
      <w:start w:val="1"/>
      <w:numFmt w:val="lowerLetter"/>
      <w:lvlText w:val="%8."/>
      <w:lvlJc w:val="left"/>
      <w:pPr>
        <w:tabs>
          <w:tab w:val="num" w:pos="6120"/>
        </w:tabs>
        <w:ind w:left="6120" w:hanging="360"/>
      </w:pPr>
    </w:lvl>
    <w:lvl w:ilvl="8" w:tplc="10365FD8" w:tentative="1">
      <w:start w:val="1"/>
      <w:numFmt w:val="lowerRoman"/>
      <w:lvlText w:val="%9."/>
      <w:lvlJc w:val="right"/>
      <w:pPr>
        <w:tabs>
          <w:tab w:val="num" w:pos="6840"/>
        </w:tabs>
        <w:ind w:left="6840" w:hanging="180"/>
      </w:pPr>
    </w:lvl>
  </w:abstractNum>
  <w:abstractNum w:abstractNumId="19">
    <w:nsid w:val="2D3A4233"/>
    <w:multiLevelType w:val="hybridMultilevel"/>
    <w:tmpl w:val="3F7E26D0"/>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7483A"/>
    <w:multiLevelType w:val="hybridMultilevel"/>
    <w:tmpl w:val="F97CD36C"/>
    <w:lvl w:ilvl="0" w:tplc="B7E45B66">
      <w:start w:val="1"/>
      <w:numFmt w:val="decimal"/>
      <w:lvlText w:val="%1."/>
      <w:lvlJc w:val="left"/>
      <w:pPr>
        <w:tabs>
          <w:tab w:val="num" w:pos="1440"/>
        </w:tabs>
        <w:ind w:left="1440" w:hanging="720"/>
      </w:pPr>
      <w:rPr>
        <w:rFonts w:hint="default"/>
      </w:rPr>
    </w:lvl>
    <w:lvl w:ilvl="1" w:tplc="CEFE5AE0" w:tentative="1">
      <w:start w:val="1"/>
      <w:numFmt w:val="lowerLetter"/>
      <w:lvlText w:val="%2."/>
      <w:lvlJc w:val="left"/>
      <w:pPr>
        <w:tabs>
          <w:tab w:val="num" w:pos="1800"/>
        </w:tabs>
        <w:ind w:left="1800" w:hanging="360"/>
      </w:pPr>
    </w:lvl>
    <w:lvl w:ilvl="2" w:tplc="B69869FC" w:tentative="1">
      <w:start w:val="1"/>
      <w:numFmt w:val="lowerRoman"/>
      <w:lvlText w:val="%3."/>
      <w:lvlJc w:val="right"/>
      <w:pPr>
        <w:tabs>
          <w:tab w:val="num" w:pos="2520"/>
        </w:tabs>
        <w:ind w:left="2520" w:hanging="180"/>
      </w:pPr>
    </w:lvl>
    <w:lvl w:ilvl="3" w:tplc="58B6AE82" w:tentative="1">
      <w:start w:val="1"/>
      <w:numFmt w:val="decimal"/>
      <w:lvlText w:val="%4."/>
      <w:lvlJc w:val="left"/>
      <w:pPr>
        <w:tabs>
          <w:tab w:val="num" w:pos="3240"/>
        </w:tabs>
        <w:ind w:left="3240" w:hanging="360"/>
      </w:pPr>
    </w:lvl>
    <w:lvl w:ilvl="4" w:tplc="26F4D09C" w:tentative="1">
      <w:start w:val="1"/>
      <w:numFmt w:val="lowerLetter"/>
      <w:lvlText w:val="%5."/>
      <w:lvlJc w:val="left"/>
      <w:pPr>
        <w:tabs>
          <w:tab w:val="num" w:pos="3960"/>
        </w:tabs>
        <w:ind w:left="3960" w:hanging="360"/>
      </w:pPr>
    </w:lvl>
    <w:lvl w:ilvl="5" w:tplc="A43653F0" w:tentative="1">
      <w:start w:val="1"/>
      <w:numFmt w:val="lowerRoman"/>
      <w:lvlText w:val="%6."/>
      <w:lvlJc w:val="right"/>
      <w:pPr>
        <w:tabs>
          <w:tab w:val="num" w:pos="4680"/>
        </w:tabs>
        <w:ind w:left="4680" w:hanging="180"/>
      </w:pPr>
    </w:lvl>
    <w:lvl w:ilvl="6" w:tplc="A7B8E1FC" w:tentative="1">
      <w:start w:val="1"/>
      <w:numFmt w:val="decimal"/>
      <w:lvlText w:val="%7."/>
      <w:lvlJc w:val="left"/>
      <w:pPr>
        <w:tabs>
          <w:tab w:val="num" w:pos="5400"/>
        </w:tabs>
        <w:ind w:left="5400" w:hanging="360"/>
      </w:pPr>
    </w:lvl>
    <w:lvl w:ilvl="7" w:tplc="320A14E8" w:tentative="1">
      <w:start w:val="1"/>
      <w:numFmt w:val="lowerLetter"/>
      <w:lvlText w:val="%8."/>
      <w:lvlJc w:val="left"/>
      <w:pPr>
        <w:tabs>
          <w:tab w:val="num" w:pos="6120"/>
        </w:tabs>
        <w:ind w:left="6120" w:hanging="360"/>
      </w:pPr>
    </w:lvl>
    <w:lvl w:ilvl="8" w:tplc="4B9897B8" w:tentative="1">
      <w:start w:val="1"/>
      <w:numFmt w:val="lowerRoman"/>
      <w:lvlText w:val="%9."/>
      <w:lvlJc w:val="right"/>
      <w:pPr>
        <w:tabs>
          <w:tab w:val="num" w:pos="6840"/>
        </w:tabs>
        <w:ind w:left="6840" w:hanging="180"/>
      </w:pPr>
    </w:lvl>
  </w:abstractNum>
  <w:abstractNum w:abstractNumId="21">
    <w:nsid w:val="36966A04"/>
    <w:multiLevelType w:val="hybridMultilevel"/>
    <w:tmpl w:val="2E085BD2"/>
    <w:lvl w:ilvl="0" w:tplc="DCF8AB30">
      <w:start w:val="1"/>
      <w:numFmt w:val="bullet"/>
      <w:lvlText w:val=""/>
      <w:lvlJc w:val="left"/>
      <w:pPr>
        <w:tabs>
          <w:tab w:val="num" w:pos="720"/>
        </w:tabs>
        <w:ind w:left="720" w:hanging="360"/>
      </w:pPr>
      <w:rPr>
        <w:rFonts w:ascii="Symbol" w:hAnsi="Symbol" w:hint="default"/>
      </w:rPr>
    </w:lvl>
    <w:lvl w:ilvl="1" w:tplc="FC7E3076" w:tentative="1">
      <w:start w:val="1"/>
      <w:numFmt w:val="bullet"/>
      <w:lvlText w:val="o"/>
      <w:lvlJc w:val="left"/>
      <w:pPr>
        <w:tabs>
          <w:tab w:val="num" w:pos="1440"/>
        </w:tabs>
        <w:ind w:left="1440" w:hanging="360"/>
      </w:pPr>
      <w:rPr>
        <w:rFonts w:ascii="Courier New" w:hAnsi="Courier New" w:cs="Wingdings" w:hint="default"/>
      </w:rPr>
    </w:lvl>
    <w:lvl w:ilvl="2" w:tplc="AB1E0EA0" w:tentative="1">
      <w:start w:val="1"/>
      <w:numFmt w:val="bullet"/>
      <w:lvlText w:val=""/>
      <w:lvlJc w:val="left"/>
      <w:pPr>
        <w:tabs>
          <w:tab w:val="num" w:pos="2160"/>
        </w:tabs>
        <w:ind w:left="2160" w:hanging="360"/>
      </w:pPr>
      <w:rPr>
        <w:rFonts w:ascii="Wingdings" w:hAnsi="Wingdings" w:hint="default"/>
      </w:rPr>
    </w:lvl>
    <w:lvl w:ilvl="3" w:tplc="58ECAE3C" w:tentative="1">
      <w:start w:val="1"/>
      <w:numFmt w:val="bullet"/>
      <w:lvlText w:val=""/>
      <w:lvlJc w:val="left"/>
      <w:pPr>
        <w:tabs>
          <w:tab w:val="num" w:pos="2880"/>
        </w:tabs>
        <w:ind w:left="2880" w:hanging="360"/>
      </w:pPr>
      <w:rPr>
        <w:rFonts w:ascii="Symbol" w:hAnsi="Symbol" w:hint="default"/>
      </w:rPr>
    </w:lvl>
    <w:lvl w:ilvl="4" w:tplc="A5E617EC" w:tentative="1">
      <w:start w:val="1"/>
      <w:numFmt w:val="bullet"/>
      <w:lvlText w:val="o"/>
      <w:lvlJc w:val="left"/>
      <w:pPr>
        <w:tabs>
          <w:tab w:val="num" w:pos="3600"/>
        </w:tabs>
        <w:ind w:left="3600" w:hanging="360"/>
      </w:pPr>
      <w:rPr>
        <w:rFonts w:ascii="Courier New" w:hAnsi="Courier New" w:cs="Wingdings" w:hint="default"/>
      </w:rPr>
    </w:lvl>
    <w:lvl w:ilvl="5" w:tplc="0150D6F4" w:tentative="1">
      <w:start w:val="1"/>
      <w:numFmt w:val="bullet"/>
      <w:lvlText w:val=""/>
      <w:lvlJc w:val="left"/>
      <w:pPr>
        <w:tabs>
          <w:tab w:val="num" w:pos="4320"/>
        </w:tabs>
        <w:ind w:left="4320" w:hanging="360"/>
      </w:pPr>
      <w:rPr>
        <w:rFonts w:ascii="Wingdings" w:hAnsi="Wingdings" w:hint="default"/>
      </w:rPr>
    </w:lvl>
    <w:lvl w:ilvl="6" w:tplc="0E2C1628" w:tentative="1">
      <w:start w:val="1"/>
      <w:numFmt w:val="bullet"/>
      <w:lvlText w:val=""/>
      <w:lvlJc w:val="left"/>
      <w:pPr>
        <w:tabs>
          <w:tab w:val="num" w:pos="5040"/>
        </w:tabs>
        <w:ind w:left="5040" w:hanging="360"/>
      </w:pPr>
      <w:rPr>
        <w:rFonts w:ascii="Symbol" w:hAnsi="Symbol" w:hint="default"/>
      </w:rPr>
    </w:lvl>
    <w:lvl w:ilvl="7" w:tplc="830CCB50" w:tentative="1">
      <w:start w:val="1"/>
      <w:numFmt w:val="bullet"/>
      <w:lvlText w:val="o"/>
      <w:lvlJc w:val="left"/>
      <w:pPr>
        <w:tabs>
          <w:tab w:val="num" w:pos="5760"/>
        </w:tabs>
        <w:ind w:left="5760" w:hanging="360"/>
      </w:pPr>
      <w:rPr>
        <w:rFonts w:ascii="Courier New" w:hAnsi="Courier New" w:cs="Wingdings" w:hint="default"/>
      </w:rPr>
    </w:lvl>
    <w:lvl w:ilvl="8" w:tplc="4DF630A8" w:tentative="1">
      <w:start w:val="1"/>
      <w:numFmt w:val="bullet"/>
      <w:lvlText w:val=""/>
      <w:lvlJc w:val="left"/>
      <w:pPr>
        <w:tabs>
          <w:tab w:val="num" w:pos="6480"/>
        </w:tabs>
        <w:ind w:left="6480" w:hanging="360"/>
      </w:pPr>
      <w:rPr>
        <w:rFonts w:ascii="Wingdings" w:hAnsi="Wingdings" w:hint="default"/>
      </w:rPr>
    </w:lvl>
  </w:abstractNum>
  <w:abstractNum w:abstractNumId="22">
    <w:nsid w:val="395248E4"/>
    <w:multiLevelType w:val="hybridMultilevel"/>
    <w:tmpl w:val="C584F0C8"/>
    <w:lvl w:ilvl="0" w:tplc="0A6AD70A">
      <w:start w:val="1"/>
      <w:numFmt w:val="bullet"/>
      <w:lvlText w:val=""/>
      <w:lvlJc w:val="left"/>
      <w:pPr>
        <w:tabs>
          <w:tab w:val="num" w:pos="720"/>
        </w:tabs>
        <w:ind w:left="720" w:hanging="360"/>
      </w:pPr>
      <w:rPr>
        <w:rFonts w:ascii="Symbol" w:hAnsi="Symbol" w:hint="default"/>
      </w:rPr>
    </w:lvl>
    <w:lvl w:ilvl="1" w:tplc="3E5808DA" w:tentative="1">
      <w:start w:val="1"/>
      <w:numFmt w:val="bullet"/>
      <w:lvlText w:val="o"/>
      <w:lvlJc w:val="left"/>
      <w:pPr>
        <w:tabs>
          <w:tab w:val="num" w:pos="1440"/>
        </w:tabs>
        <w:ind w:left="1440" w:hanging="360"/>
      </w:pPr>
      <w:rPr>
        <w:rFonts w:ascii="Courier New" w:hAnsi="Courier New" w:cs="Wingdings" w:hint="default"/>
      </w:rPr>
    </w:lvl>
    <w:lvl w:ilvl="2" w:tplc="EFC062FC" w:tentative="1">
      <w:start w:val="1"/>
      <w:numFmt w:val="bullet"/>
      <w:lvlText w:val=""/>
      <w:lvlJc w:val="left"/>
      <w:pPr>
        <w:tabs>
          <w:tab w:val="num" w:pos="2160"/>
        </w:tabs>
        <w:ind w:left="2160" w:hanging="360"/>
      </w:pPr>
      <w:rPr>
        <w:rFonts w:ascii="Wingdings" w:hAnsi="Wingdings" w:hint="default"/>
      </w:rPr>
    </w:lvl>
    <w:lvl w:ilvl="3" w:tplc="F7E0E33A" w:tentative="1">
      <w:start w:val="1"/>
      <w:numFmt w:val="bullet"/>
      <w:lvlText w:val=""/>
      <w:lvlJc w:val="left"/>
      <w:pPr>
        <w:tabs>
          <w:tab w:val="num" w:pos="2880"/>
        </w:tabs>
        <w:ind w:left="2880" w:hanging="360"/>
      </w:pPr>
      <w:rPr>
        <w:rFonts w:ascii="Symbol" w:hAnsi="Symbol" w:hint="default"/>
      </w:rPr>
    </w:lvl>
    <w:lvl w:ilvl="4" w:tplc="DC2AEE18" w:tentative="1">
      <w:start w:val="1"/>
      <w:numFmt w:val="bullet"/>
      <w:lvlText w:val="o"/>
      <w:lvlJc w:val="left"/>
      <w:pPr>
        <w:tabs>
          <w:tab w:val="num" w:pos="3600"/>
        </w:tabs>
        <w:ind w:left="3600" w:hanging="360"/>
      </w:pPr>
      <w:rPr>
        <w:rFonts w:ascii="Courier New" w:hAnsi="Courier New" w:cs="Wingdings" w:hint="default"/>
      </w:rPr>
    </w:lvl>
    <w:lvl w:ilvl="5" w:tplc="987E8BB6" w:tentative="1">
      <w:start w:val="1"/>
      <w:numFmt w:val="bullet"/>
      <w:lvlText w:val=""/>
      <w:lvlJc w:val="left"/>
      <w:pPr>
        <w:tabs>
          <w:tab w:val="num" w:pos="4320"/>
        </w:tabs>
        <w:ind w:left="4320" w:hanging="360"/>
      </w:pPr>
      <w:rPr>
        <w:rFonts w:ascii="Wingdings" w:hAnsi="Wingdings" w:hint="default"/>
      </w:rPr>
    </w:lvl>
    <w:lvl w:ilvl="6" w:tplc="63565348" w:tentative="1">
      <w:start w:val="1"/>
      <w:numFmt w:val="bullet"/>
      <w:lvlText w:val=""/>
      <w:lvlJc w:val="left"/>
      <w:pPr>
        <w:tabs>
          <w:tab w:val="num" w:pos="5040"/>
        </w:tabs>
        <w:ind w:left="5040" w:hanging="360"/>
      </w:pPr>
      <w:rPr>
        <w:rFonts w:ascii="Symbol" w:hAnsi="Symbol" w:hint="default"/>
      </w:rPr>
    </w:lvl>
    <w:lvl w:ilvl="7" w:tplc="455E78AE" w:tentative="1">
      <w:start w:val="1"/>
      <w:numFmt w:val="bullet"/>
      <w:lvlText w:val="o"/>
      <w:lvlJc w:val="left"/>
      <w:pPr>
        <w:tabs>
          <w:tab w:val="num" w:pos="5760"/>
        </w:tabs>
        <w:ind w:left="5760" w:hanging="360"/>
      </w:pPr>
      <w:rPr>
        <w:rFonts w:ascii="Courier New" w:hAnsi="Courier New" w:cs="Wingdings" w:hint="default"/>
      </w:rPr>
    </w:lvl>
    <w:lvl w:ilvl="8" w:tplc="4B8CA9C2" w:tentative="1">
      <w:start w:val="1"/>
      <w:numFmt w:val="bullet"/>
      <w:lvlText w:val=""/>
      <w:lvlJc w:val="left"/>
      <w:pPr>
        <w:tabs>
          <w:tab w:val="num" w:pos="6480"/>
        </w:tabs>
        <w:ind w:left="6480" w:hanging="360"/>
      </w:pPr>
      <w:rPr>
        <w:rFonts w:ascii="Wingdings" w:hAnsi="Wingdings" w:hint="default"/>
      </w:rPr>
    </w:lvl>
  </w:abstractNum>
  <w:abstractNum w:abstractNumId="23">
    <w:nsid w:val="3BE04860"/>
    <w:multiLevelType w:val="singleLevel"/>
    <w:tmpl w:val="8466D7DA"/>
    <w:lvl w:ilvl="0">
      <w:start w:val="1"/>
      <w:numFmt w:val="upperRoman"/>
      <w:lvlText w:val="%1."/>
      <w:lvlJc w:val="left"/>
      <w:pPr>
        <w:tabs>
          <w:tab w:val="num" w:pos="1440"/>
        </w:tabs>
        <w:ind w:left="1440" w:hanging="720"/>
      </w:pPr>
      <w:rPr>
        <w:rFonts w:hint="default"/>
      </w:rPr>
    </w:lvl>
  </w:abstractNum>
  <w:abstractNum w:abstractNumId="24">
    <w:nsid w:val="430C5CE6"/>
    <w:multiLevelType w:val="hybridMultilevel"/>
    <w:tmpl w:val="3B36D59E"/>
    <w:lvl w:ilvl="0" w:tplc="1908CB52">
      <w:start w:val="1"/>
      <w:numFmt w:val="bullet"/>
      <w:lvlText w:val=""/>
      <w:lvlJc w:val="left"/>
      <w:pPr>
        <w:tabs>
          <w:tab w:val="num" w:pos="1500"/>
        </w:tabs>
        <w:ind w:left="1500" w:hanging="360"/>
      </w:pPr>
      <w:rPr>
        <w:rFonts w:ascii="Symbol" w:hAnsi="Symbol" w:hint="default"/>
      </w:rPr>
    </w:lvl>
    <w:lvl w:ilvl="1" w:tplc="813C611E" w:tentative="1">
      <w:start w:val="1"/>
      <w:numFmt w:val="bullet"/>
      <w:lvlText w:val="o"/>
      <w:lvlJc w:val="left"/>
      <w:pPr>
        <w:tabs>
          <w:tab w:val="num" w:pos="2220"/>
        </w:tabs>
        <w:ind w:left="2220" w:hanging="360"/>
      </w:pPr>
      <w:rPr>
        <w:rFonts w:ascii="Courier New" w:hAnsi="Courier New" w:cs="Wingdings" w:hint="default"/>
      </w:rPr>
    </w:lvl>
    <w:lvl w:ilvl="2" w:tplc="4AAE8922" w:tentative="1">
      <w:start w:val="1"/>
      <w:numFmt w:val="bullet"/>
      <w:lvlText w:val=""/>
      <w:lvlJc w:val="left"/>
      <w:pPr>
        <w:tabs>
          <w:tab w:val="num" w:pos="2940"/>
        </w:tabs>
        <w:ind w:left="2940" w:hanging="360"/>
      </w:pPr>
      <w:rPr>
        <w:rFonts w:ascii="Wingdings" w:hAnsi="Wingdings" w:hint="default"/>
      </w:rPr>
    </w:lvl>
    <w:lvl w:ilvl="3" w:tplc="5E963BDA" w:tentative="1">
      <w:start w:val="1"/>
      <w:numFmt w:val="bullet"/>
      <w:lvlText w:val=""/>
      <w:lvlJc w:val="left"/>
      <w:pPr>
        <w:tabs>
          <w:tab w:val="num" w:pos="3660"/>
        </w:tabs>
        <w:ind w:left="3660" w:hanging="360"/>
      </w:pPr>
      <w:rPr>
        <w:rFonts w:ascii="Symbol" w:hAnsi="Symbol" w:hint="default"/>
      </w:rPr>
    </w:lvl>
    <w:lvl w:ilvl="4" w:tplc="71E6FC5E" w:tentative="1">
      <w:start w:val="1"/>
      <w:numFmt w:val="bullet"/>
      <w:lvlText w:val="o"/>
      <w:lvlJc w:val="left"/>
      <w:pPr>
        <w:tabs>
          <w:tab w:val="num" w:pos="4380"/>
        </w:tabs>
        <w:ind w:left="4380" w:hanging="360"/>
      </w:pPr>
      <w:rPr>
        <w:rFonts w:ascii="Courier New" w:hAnsi="Courier New" w:cs="Wingdings" w:hint="default"/>
      </w:rPr>
    </w:lvl>
    <w:lvl w:ilvl="5" w:tplc="42062A5E" w:tentative="1">
      <w:start w:val="1"/>
      <w:numFmt w:val="bullet"/>
      <w:lvlText w:val=""/>
      <w:lvlJc w:val="left"/>
      <w:pPr>
        <w:tabs>
          <w:tab w:val="num" w:pos="5100"/>
        </w:tabs>
        <w:ind w:left="5100" w:hanging="360"/>
      </w:pPr>
      <w:rPr>
        <w:rFonts w:ascii="Wingdings" w:hAnsi="Wingdings" w:hint="default"/>
      </w:rPr>
    </w:lvl>
    <w:lvl w:ilvl="6" w:tplc="ADC03DF8" w:tentative="1">
      <w:start w:val="1"/>
      <w:numFmt w:val="bullet"/>
      <w:lvlText w:val=""/>
      <w:lvlJc w:val="left"/>
      <w:pPr>
        <w:tabs>
          <w:tab w:val="num" w:pos="5820"/>
        </w:tabs>
        <w:ind w:left="5820" w:hanging="360"/>
      </w:pPr>
      <w:rPr>
        <w:rFonts w:ascii="Symbol" w:hAnsi="Symbol" w:hint="default"/>
      </w:rPr>
    </w:lvl>
    <w:lvl w:ilvl="7" w:tplc="BBD43384" w:tentative="1">
      <w:start w:val="1"/>
      <w:numFmt w:val="bullet"/>
      <w:lvlText w:val="o"/>
      <w:lvlJc w:val="left"/>
      <w:pPr>
        <w:tabs>
          <w:tab w:val="num" w:pos="6540"/>
        </w:tabs>
        <w:ind w:left="6540" w:hanging="360"/>
      </w:pPr>
      <w:rPr>
        <w:rFonts w:ascii="Courier New" w:hAnsi="Courier New" w:cs="Wingdings" w:hint="default"/>
      </w:rPr>
    </w:lvl>
    <w:lvl w:ilvl="8" w:tplc="DE1EC51E" w:tentative="1">
      <w:start w:val="1"/>
      <w:numFmt w:val="bullet"/>
      <w:lvlText w:val=""/>
      <w:lvlJc w:val="left"/>
      <w:pPr>
        <w:tabs>
          <w:tab w:val="num" w:pos="7260"/>
        </w:tabs>
        <w:ind w:left="7260" w:hanging="360"/>
      </w:pPr>
      <w:rPr>
        <w:rFonts w:ascii="Wingdings" w:hAnsi="Wingdings" w:hint="default"/>
      </w:rPr>
    </w:lvl>
  </w:abstractNum>
  <w:abstractNum w:abstractNumId="25">
    <w:nsid w:val="4A40318D"/>
    <w:multiLevelType w:val="singleLevel"/>
    <w:tmpl w:val="5D3C60FE"/>
    <w:lvl w:ilvl="0">
      <w:start w:val="1"/>
      <w:numFmt w:val="upperLetter"/>
      <w:lvlText w:val="%1."/>
      <w:lvlJc w:val="left"/>
      <w:pPr>
        <w:tabs>
          <w:tab w:val="num" w:pos="720"/>
        </w:tabs>
        <w:ind w:left="720" w:hanging="720"/>
      </w:pPr>
      <w:rPr>
        <w:rFonts w:hint="default"/>
      </w:rPr>
    </w:lvl>
  </w:abstractNum>
  <w:abstractNum w:abstractNumId="26">
    <w:nsid w:val="50EB0389"/>
    <w:multiLevelType w:val="hybridMultilevel"/>
    <w:tmpl w:val="86F6EAF6"/>
    <w:lvl w:ilvl="0" w:tplc="6E7C1C9C">
      <w:start w:val="1"/>
      <w:numFmt w:val="bullet"/>
      <w:lvlText w:val=""/>
      <w:lvlJc w:val="left"/>
      <w:pPr>
        <w:tabs>
          <w:tab w:val="num" w:pos="720"/>
        </w:tabs>
        <w:ind w:left="720" w:hanging="360"/>
      </w:pPr>
      <w:rPr>
        <w:rFonts w:ascii="Symbol" w:hAnsi="Symbol" w:hint="default"/>
      </w:rPr>
    </w:lvl>
    <w:lvl w:ilvl="1" w:tplc="CB8E8E3E" w:tentative="1">
      <w:start w:val="1"/>
      <w:numFmt w:val="bullet"/>
      <w:lvlText w:val="o"/>
      <w:lvlJc w:val="left"/>
      <w:pPr>
        <w:tabs>
          <w:tab w:val="num" w:pos="1440"/>
        </w:tabs>
        <w:ind w:left="1440" w:hanging="360"/>
      </w:pPr>
      <w:rPr>
        <w:rFonts w:ascii="Courier New" w:hAnsi="Courier New" w:cs="Wingdings" w:hint="default"/>
      </w:rPr>
    </w:lvl>
    <w:lvl w:ilvl="2" w:tplc="50E28506" w:tentative="1">
      <w:start w:val="1"/>
      <w:numFmt w:val="bullet"/>
      <w:lvlText w:val=""/>
      <w:lvlJc w:val="left"/>
      <w:pPr>
        <w:tabs>
          <w:tab w:val="num" w:pos="2160"/>
        </w:tabs>
        <w:ind w:left="2160" w:hanging="360"/>
      </w:pPr>
      <w:rPr>
        <w:rFonts w:ascii="Wingdings" w:hAnsi="Wingdings" w:hint="default"/>
      </w:rPr>
    </w:lvl>
    <w:lvl w:ilvl="3" w:tplc="DB9205CC" w:tentative="1">
      <w:start w:val="1"/>
      <w:numFmt w:val="bullet"/>
      <w:lvlText w:val=""/>
      <w:lvlJc w:val="left"/>
      <w:pPr>
        <w:tabs>
          <w:tab w:val="num" w:pos="2880"/>
        </w:tabs>
        <w:ind w:left="2880" w:hanging="360"/>
      </w:pPr>
      <w:rPr>
        <w:rFonts w:ascii="Symbol" w:hAnsi="Symbol" w:hint="default"/>
      </w:rPr>
    </w:lvl>
    <w:lvl w:ilvl="4" w:tplc="9FBC98DA" w:tentative="1">
      <w:start w:val="1"/>
      <w:numFmt w:val="bullet"/>
      <w:lvlText w:val="o"/>
      <w:lvlJc w:val="left"/>
      <w:pPr>
        <w:tabs>
          <w:tab w:val="num" w:pos="3600"/>
        </w:tabs>
        <w:ind w:left="3600" w:hanging="360"/>
      </w:pPr>
      <w:rPr>
        <w:rFonts w:ascii="Courier New" w:hAnsi="Courier New" w:cs="Wingdings" w:hint="default"/>
      </w:rPr>
    </w:lvl>
    <w:lvl w:ilvl="5" w:tplc="5766740E" w:tentative="1">
      <w:start w:val="1"/>
      <w:numFmt w:val="bullet"/>
      <w:lvlText w:val=""/>
      <w:lvlJc w:val="left"/>
      <w:pPr>
        <w:tabs>
          <w:tab w:val="num" w:pos="4320"/>
        </w:tabs>
        <w:ind w:left="4320" w:hanging="360"/>
      </w:pPr>
      <w:rPr>
        <w:rFonts w:ascii="Wingdings" w:hAnsi="Wingdings" w:hint="default"/>
      </w:rPr>
    </w:lvl>
    <w:lvl w:ilvl="6" w:tplc="C21AFA00" w:tentative="1">
      <w:start w:val="1"/>
      <w:numFmt w:val="bullet"/>
      <w:lvlText w:val=""/>
      <w:lvlJc w:val="left"/>
      <w:pPr>
        <w:tabs>
          <w:tab w:val="num" w:pos="5040"/>
        </w:tabs>
        <w:ind w:left="5040" w:hanging="360"/>
      </w:pPr>
      <w:rPr>
        <w:rFonts w:ascii="Symbol" w:hAnsi="Symbol" w:hint="default"/>
      </w:rPr>
    </w:lvl>
    <w:lvl w:ilvl="7" w:tplc="641C04CA" w:tentative="1">
      <w:start w:val="1"/>
      <w:numFmt w:val="bullet"/>
      <w:lvlText w:val="o"/>
      <w:lvlJc w:val="left"/>
      <w:pPr>
        <w:tabs>
          <w:tab w:val="num" w:pos="5760"/>
        </w:tabs>
        <w:ind w:left="5760" w:hanging="360"/>
      </w:pPr>
      <w:rPr>
        <w:rFonts w:ascii="Courier New" w:hAnsi="Courier New" w:cs="Wingdings" w:hint="default"/>
      </w:rPr>
    </w:lvl>
    <w:lvl w:ilvl="8" w:tplc="2D9ACB78" w:tentative="1">
      <w:start w:val="1"/>
      <w:numFmt w:val="bullet"/>
      <w:lvlText w:val=""/>
      <w:lvlJc w:val="left"/>
      <w:pPr>
        <w:tabs>
          <w:tab w:val="num" w:pos="6480"/>
        </w:tabs>
        <w:ind w:left="6480" w:hanging="360"/>
      </w:pPr>
      <w:rPr>
        <w:rFonts w:ascii="Wingdings" w:hAnsi="Wingdings" w:hint="default"/>
      </w:rPr>
    </w:lvl>
  </w:abstractNum>
  <w:abstractNum w:abstractNumId="27">
    <w:nsid w:val="54A57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F68E2"/>
    <w:multiLevelType w:val="hybridMultilevel"/>
    <w:tmpl w:val="0FF8E28A"/>
    <w:lvl w:ilvl="0" w:tplc="10AACA3C">
      <w:start w:val="4"/>
      <w:numFmt w:val="lowerRoman"/>
      <w:lvlText w:val="(%1)"/>
      <w:lvlJc w:val="left"/>
      <w:pPr>
        <w:tabs>
          <w:tab w:val="num" w:pos="2160"/>
        </w:tabs>
        <w:ind w:left="2160" w:hanging="720"/>
      </w:pPr>
      <w:rPr>
        <w:rFonts w:hint="default"/>
      </w:rPr>
    </w:lvl>
    <w:lvl w:ilvl="1" w:tplc="E79E3228" w:tentative="1">
      <w:start w:val="1"/>
      <w:numFmt w:val="lowerLetter"/>
      <w:lvlText w:val="%2."/>
      <w:lvlJc w:val="left"/>
      <w:pPr>
        <w:tabs>
          <w:tab w:val="num" w:pos="2520"/>
        </w:tabs>
        <w:ind w:left="2520" w:hanging="360"/>
      </w:pPr>
    </w:lvl>
    <w:lvl w:ilvl="2" w:tplc="B1DCFD04" w:tentative="1">
      <w:start w:val="1"/>
      <w:numFmt w:val="lowerRoman"/>
      <w:lvlText w:val="%3."/>
      <w:lvlJc w:val="right"/>
      <w:pPr>
        <w:tabs>
          <w:tab w:val="num" w:pos="3240"/>
        </w:tabs>
        <w:ind w:left="3240" w:hanging="180"/>
      </w:pPr>
    </w:lvl>
    <w:lvl w:ilvl="3" w:tplc="4B1E0F38" w:tentative="1">
      <w:start w:val="1"/>
      <w:numFmt w:val="decimal"/>
      <w:lvlText w:val="%4."/>
      <w:lvlJc w:val="left"/>
      <w:pPr>
        <w:tabs>
          <w:tab w:val="num" w:pos="3960"/>
        </w:tabs>
        <w:ind w:left="3960" w:hanging="360"/>
      </w:pPr>
    </w:lvl>
    <w:lvl w:ilvl="4" w:tplc="26AA8B80" w:tentative="1">
      <w:start w:val="1"/>
      <w:numFmt w:val="lowerLetter"/>
      <w:lvlText w:val="%5."/>
      <w:lvlJc w:val="left"/>
      <w:pPr>
        <w:tabs>
          <w:tab w:val="num" w:pos="4680"/>
        </w:tabs>
        <w:ind w:left="4680" w:hanging="360"/>
      </w:pPr>
    </w:lvl>
    <w:lvl w:ilvl="5" w:tplc="2A08DFFC" w:tentative="1">
      <w:start w:val="1"/>
      <w:numFmt w:val="lowerRoman"/>
      <w:lvlText w:val="%6."/>
      <w:lvlJc w:val="right"/>
      <w:pPr>
        <w:tabs>
          <w:tab w:val="num" w:pos="5400"/>
        </w:tabs>
        <w:ind w:left="5400" w:hanging="180"/>
      </w:pPr>
    </w:lvl>
    <w:lvl w:ilvl="6" w:tplc="6BC03240" w:tentative="1">
      <w:start w:val="1"/>
      <w:numFmt w:val="decimal"/>
      <w:lvlText w:val="%7."/>
      <w:lvlJc w:val="left"/>
      <w:pPr>
        <w:tabs>
          <w:tab w:val="num" w:pos="6120"/>
        </w:tabs>
        <w:ind w:left="6120" w:hanging="360"/>
      </w:pPr>
    </w:lvl>
    <w:lvl w:ilvl="7" w:tplc="3BDA9272" w:tentative="1">
      <w:start w:val="1"/>
      <w:numFmt w:val="lowerLetter"/>
      <w:lvlText w:val="%8."/>
      <w:lvlJc w:val="left"/>
      <w:pPr>
        <w:tabs>
          <w:tab w:val="num" w:pos="6840"/>
        </w:tabs>
        <w:ind w:left="6840" w:hanging="360"/>
      </w:pPr>
    </w:lvl>
    <w:lvl w:ilvl="8" w:tplc="8CF86B38" w:tentative="1">
      <w:start w:val="1"/>
      <w:numFmt w:val="lowerRoman"/>
      <w:lvlText w:val="%9."/>
      <w:lvlJc w:val="right"/>
      <w:pPr>
        <w:tabs>
          <w:tab w:val="num" w:pos="7560"/>
        </w:tabs>
        <w:ind w:left="7560" w:hanging="180"/>
      </w:pPr>
    </w:lvl>
  </w:abstractNum>
  <w:abstractNum w:abstractNumId="29">
    <w:nsid w:val="577C7188"/>
    <w:multiLevelType w:val="singleLevel"/>
    <w:tmpl w:val="0409000F"/>
    <w:lvl w:ilvl="0">
      <w:start w:val="1"/>
      <w:numFmt w:val="decimal"/>
      <w:lvlText w:val="%1."/>
      <w:lvlJc w:val="left"/>
      <w:pPr>
        <w:tabs>
          <w:tab w:val="num" w:pos="360"/>
        </w:tabs>
        <w:ind w:left="360" w:hanging="360"/>
      </w:pPr>
    </w:lvl>
  </w:abstractNum>
  <w:abstractNum w:abstractNumId="30">
    <w:nsid w:val="58B96B1C"/>
    <w:multiLevelType w:val="hybridMultilevel"/>
    <w:tmpl w:val="C89CAC5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nsid w:val="5AAD5923"/>
    <w:multiLevelType w:val="hybridMultilevel"/>
    <w:tmpl w:val="98F68DEE"/>
    <w:lvl w:ilvl="0" w:tplc="4FA85382">
      <w:start w:val="1"/>
      <w:numFmt w:val="decimal"/>
      <w:lvlText w:val="%1."/>
      <w:lvlJc w:val="left"/>
      <w:pPr>
        <w:tabs>
          <w:tab w:val="num" w:pos="1800"/>
        </w:tabs>
        <w:ind w:left="1800" w:hanging="360"/>
      </w:pPr>
    </w:lvl>
    <w:lvl w:ilvl="1" w:tplc="33A481BC" w:tentative="1">
      <w:start w:val="1"/>
      <w:numFmt w:val="lowerLetter"/>
      <w:lvlText w:val="%2."/>
      <w:lvlJc w:val="left"/>
      <w:pPr>
        <w:tabs>
          <w:tab w:val="num" w:pos="2520"/>
        </w:tabs>
        <w:ind w:left="2520" w:hanging="360"/>
      </w:pPr>
    </w:lvl>
    <w:lvl w:ilvl="2" w:tplc="9B88479A" w:tentative="1">
      <w:start w:val="1"/>
      <w:numFmt w:val="lowerRoman"/>
      <w:lvlText w:val="%3."/>
      <w:lvlJc w:val="right"/>
      <w:pPr>
        <w:tabs>
          <w:tab w:val="num" w:pos="3240"/>
        </w:tabs>
        <w:ind w:left="3240" w:hanging="180"/>
      </w:pPr>
    </w:lvl>
    <w:lvl w:ilvl="3" w:tplc="4636FBEE" w:tentative="1">
      <w:start w:val="1"/>
      <w:numFmt w:val="decimal"/>
      <w:lvlText w:val="%4."/>
      <w:lvlJc w:val="left"/>
      <w:pPr>
        <w:tabs>
          <w:tab w:val="num" w:pos="3960"/>
        </w:tabs>
        <w:ind w:left="3960" w:hanging="360"/>
      </w:pPr>
    </w:lvl>
    <w:lvl w:ilvl="4" w:tplc="6452FA4A" w:tentative="1">
      <w:start w:val="1"/>
      <w:numFmt w:val="lowerLetter"/>
      <w:lvlText w:val="%5."/>
      <w:lvlJc w:val="left"/>
      <w:pPr>
        <w:tabs>
          <w:tab w:val="num" w:pos="4680"/>
        </w:tabs>
        <w:ind w:left="4680" w:hanging="360"/>
      </w:pPr>
    </w:lvl>
    <w:lvl w:ilvl="5" w:tplc="A922EC12" w:tentative="1">
      <w:start w:val="1"/>
      <w:numFmt w:val="lowerRoman"/>
      <w:lvlText w:val="%6."/>
      <w:lvlJc w:val="right"/>
      <w:pPr>
        <w:tabs>
          <w:tab w:val="num" w:pos="5400"/>
        </w:tabs>
        <w:ind w:left="5400" w:hanging="180"/>
      </w:pPr>
    </w:lvl>
    <w:lvl w:ilvl="6" w:tplc="26420774" w:tentative="1">
      <w:start w:val="1"/>
      <w:numFmt w:val="decimal"/>
      <w:lvlText w:val="%7."/>
      <w:lvlJc w:val="left"/>
      <w:pPr>
        <w:tabs>
          <w:tab w:val="num" w:pos="6120"/>
        </w:tabs>
        <w:ind w:left="6120" w:hanging="360"/>
      </w:pPr>
    </w:lvl>
    <w:lvl w:ilvl="7" w:tplc="4D005B4E" w:tentative="1">
      <w:start w:val="1"/>
      <w:numFmt w:val="lowerLetter"/>
      <w:lvlText w:val="%8."/>
      <w:lvlJc w:val="left"/>
      <w:pPr>
        <w:tabs>
          <w:tab w:val="num" w:pos="6840"/>
        </w:tabs>
        <w:ind w:left="6840" w:hanging="360"/>
      </w:pPr>
    </w:lvl>
    <w:lvl w:ilvl="8" w:tplc="590C9F9C" w:tentative="1">
      <w:start w:val="1"/>
      <w:numFmt w:val="lowerRoman"/>
      <w:lvlText w:val="%9."/>
      <w:lvlJc w:val="right"/>
      <w:pPr>
        <w:tabs>
          <w:tab w:val="num" w:pos="7560"/>
        </w:tabs>
        <w:ind w:left="7560" w:hanging="180"/>
      </w:pPr>
    </w:lvl>
  </w:abstractNum>
  <w:abstractNum w:abstractNumId="32">
    <w:nsid w:val="61135820"/>
    <w:multiLevelType w:val="hybridMultilevel"/>
    <w:tmpl w:val="EFA29DCA"/>
    <w:lvl w:ilvl="0" w:tplc="4B5451E8">
      <w:start w:val="1"/>
      <w:numFmt w:val="lowerRoman"/>
      <w:lvlText w:val="%1."/>
      <w:lvlJc w:val="left"/>
      <w:pPr>
        <w:tabs>
          <w:tab w:val="num" w:pos="1440"/>
        </w:tabs>
        <w:ind w:left="1440" w:hanging="720"/>
      </w:pPr>
      <w:rPr>
        <w:rFonts w:hint="default"/>
      </w:rPr>
    </w:lvl>
    <w:lvl w:ilvl="1" w:tplc="AA54CE0E" w:tentative="1">
      <w:start w:val="1"/>
      <w:numFmt w:val="lowerLetter"/>
      <w:lvlText w:val="%2."/>
      <w:lvlJc w:val="left"/>
      <w:pPr>
        <w:tabs>
          <w:tab w:val="num" w:pos="1800"/>
        </w:tabs>
        <w:ind w:left="1800" w:hanging="360"/>
      </w:pPr>
    </w:lvl>
    <w:lvl w:ilvl="2" w:tplc="859C16B6" w:tentative="1">
      <w:start w:val="1"/>
      <w:numFmt w:val="lowerRoman"/>
      <w:lvlText w:val="%3."/>
      <w:lvlJc w:val="right"/>
      <w:pPr>
        <w:tabs>
          <w:tab w:val="num" w:pos="2520"/>
        </w:tabs>
        <w:ind w:left="2520" w:hanging="180"/>
      </w:pPr>
    </w:lvl>
    <w:lvl w:ilvl="3" w:tplc="89621D26" w:tentative="1">
      <w:start w:val="1"/>
      <w:numFmt w:val="decimal"/>
      <w:lvlText w:val="%4."/>
      <w:lvlJc w:val="left"/>
      <w:pPr>
        <w:tabs>
          <w:tab w:val="num" w:pos="3240"/>
        </w:tabs>
        <w:ind w:left="3240" w:hanging="360"/>
      </w:pPr>
    </w:lvl>
    <w:lvl w:ilvl="4" w:tplc="97C040FE" w:tentative="1">
      <w:start w:val="1"/>
      <w:numFmt w:val="lowerLetter"/>
      <w:lvlText w:val="%5."/>
      <w:lvlJc w:val="left"/>
      <w:pPr>
        <w:tabs>
          <w:tab w:val="num" w:pos="3960"/>
        </w:tabs>
        <w:ind w:left="3960" w:hanging="360"/>
      </w:pPr>
    </w:lvl>
    <w:lvl w:ilvl="5" w:tplc="CF5C86CE" w:tentative="1">
      <w:start w:val="1"/>
      <w:numFmt w:val="lowerRoman"/>
      <w:lvlText w:val="%6."/>
      <w:lvlJc w:val="right"/>
      <w:pPr>
        <w:tabs>
          <w:tab w:val="num" w:pos="4680"/>
        </w:tabs>
        <w:ind w:left="4680" w:hanging="180"/>
      </w:pPr>
    </w:lvl>
    <w:lvl w:ilvl="6" w:tplc="F078EBDC" w:tentative="1">
      <w:start w:val="1"/>
      <w:numFmt w:val="decimal"/>
      <w:lvlText w:val="%7."/>
      <w:lvlJc w:val="left"/>
      <w:pPr>
        <w:tabs>
          <w:tab w:val="num" w:pos="5400"/>
        </w:tabs>
        <w:ind w:left="5400" w:hanging="360"/>
      </w:pPr>
    </w:lvl>
    <w:lvl w:ilvl="7" w:tplc="EF24C89A" w:tentative="1">
      <w:start w:val="1"/>
      <w:numFmt w:val="lowerLetter"/>
      <w:lvlText w:val="%8."/>
      <w:lvlJc w:val="left"/>
      <w:pPr>
        <w:tabs>
          <w:tab w:val="num" w:pos="6120"/>
        </w:tabs>
        <w:ind w:left="6120" w:hanging="360"/>
      </w:pPr>
    </w:lvl>
    <w:lvl w:ilvl="8" w:tplc="56125BD2" w:tentative="1">
      <w:start w:val="1"/>
      <w:numFmt w:val="lowerRoman"/>
      <w:lvlText w:val="%9."/>
      <w:lvlJc w:val="right"/>
      <w:pPr>
        <w:tabs>
          <w:tab w:val="num" w:pos="6840"/>
        </w:tabs>
        <w:ind w:left="6840" w:hanging="180"/>
      </w:pPr>
    </w:lvl>
  </w:abstractNum>
  <w:abstractNum w:abstractNumId="3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F1A75CF"/>
    <w:multiLevelType w:val="hybridMultilevel"/>
    <w:tmpl w:val="6A3E4DF0"/>
    <w:lvl w:ilvl="0" w:tplc="647C6656">
      <w:start w:val="1"/>
      <w:numFmt w:val="decimal"/>
      <w:lvlText w:val="%1)"/>
      <w:lvlJc w:val="left"/>
      <w:pPr>
        <w:tabs>
          <w:tab w:val="num" w:pos="1080"/>
        </w:tabs>
        <w:ind w:left="1080" w:hanging="360"/>
      </w:pPr>
      <w:rPr>
        <w:rFonts w:hint="default"/>
      </w:rPr>
    </w:lvl>
    <w:lvl w:ilvl="1" w:tplc="643A691E" w:tentative="1">
      <w:start w:val="1"/>
      <w:numFmt w:val="lowerLetter"/>
      <w:lvlText w:val="%2."/>
      <w:lvlJc w:val="left"/>
      <w:pPr>
        <w:tabs>
          <w:tab w:val="num" w:pos="1440"/>
        </w:tabs>
        <w:ind w:left="1440" w:hanging="360"/>
      </w:pPr>
    </w:lvl>
    <w:lvl w:ilvl="2" w:tplc="0BB2F81E" w:tentative="1">
      <w:start w:val="1"/>
      <w:numFmt w:val="lowerRoman"/>
      <w:lvlText w:val="%3."/>
      <w:lvlJc w:val="right"/>
      <w:pPr>
        <w:tabs>
          <w:tab w:val="num" w:pos="2160"/>
        </w:tabs>
        <w:ind w:left="2160" w:hanging="180"/>
      </w:pPr>
    </w:lvl>
    <w:lvl w:ilvl="3" w:tplc="4432B3BC" w:tentative="1">
      <w:start w:val="1"/>
      <w:numFmt w:val="decimal"/>
      <w:lvlText w:val="%4."/>
      <w:lvlJc w:val="left"/>
      <w:pPr>
        <w:tabs>
          <w:tab w:val="num" w:pos="2880"/>
        </w:tabs>
        <w:ind w:left="2880" w:hanging="360"/>
      </w:pPr>
    </w:lvl>
    <w:lvl w:ilvl="4" w:tplc="E85818E2" w:tentative="1">
      <w:start w:val="1"/>
      <w:numFmt w:val="lowerLetter"/>
      <w:lvlText w:val="%5."/>
      <w:lvlJc w:val="left"/>
      <w:pPr>
        <w:tabs>
          <w:tab w:val="num" w:pos="3600"/>
        </w:tabs>
        <w:ind w:left="3600" w:hanging="360"/>
      </w:pPr>
    </w:lvl>
    <w:lvl w:ilvl="5" w:tplc="10422578" w:tentative="1">
      <w:start w:val="1"/>
      <w:numFmt w:val="lowerRoman"/>
      <w:lvlText w:val="%6."/>
      <w:lvlJc w:val="right"/>
      <w:pPr>
        <w:tabs>
          <w:tab w:val="num" w:pos="4320"/>
        </w:tabs>
        <w:ind w:left="4320" w:hanging="180"/>
      </w:pPr>
    </w:lvl>
    <w:lvl w:ilvl="6" w:tplc="F9803AEE" w:tentative="1">
      <w:start w:val="1"/>
      <w:numFmt w:val="decimal"/>
      <w:lvlText w:val="%7."/>
      <w:lvlJc w:val="left"/>
      <w:pPr>
        <w:tabs>
          <w:tab w:val="num" w:pos="5040"/>
        </w:tabs>
        <w:ind w:left="5040" w:hanging="360"/>
      </w:pPr>
    </w:lvl>
    <w:lvl w:ilvl="7" w:tplc="239EBBD8" w:tentative="1">
      <w:start w:val="1"/>
      <w:numFmt w:val="lowerLetter"/>
      <w:lvlText w:val="%8."/>
      <w:lvlJc w:val="left"/>
      <w:pPr>
        <w:tabs>
          <w:tab w:val="num" w:pos="5760"/>
        </w:tabs>
        <w:ind w:left="5760" w:hanging="360"/>
      </w:pPr>
    </w:lvl>
    <w:lvl w:ilvl="8" w:tplc="C3DC8AC8" w:tentative="1">
      <w:start w:val="1"/>
      <w:numFmt w:val="lowerRoman"/>
      <w:lvlText w:val="%9."/>
      <w:lvlJc w:val="right"/>
      <w:pPr>
        <w:tabs>
          <w:tab w:val="num" w:pos="6480"/>
        </w:tabs>
        <w:ind w:left="6480" w:hanging="180"/>
      </w:pPr>
    </w:lvl>
  </w:abstractNum>
  <w:abstractNum w:abstractNumId="35">
    <w:nsid w:val="6FFE310E"/>
    <w:multiLevelType w:val="hybridMultilevel"/>
    <w:tmpl w:val="43988F38"/>
    <w:lvl w:ilvl="0" w:tplc="04F4720E">
      <w:start w:val="1"/>
      <w:numFmt w:val="bullet"/>
      <w:lvlText w:val=""/>
      <w:lvlJc w:val="left"/>
      <w:pPr>
        <w:tabs>
          <w:tab w:val="num" w:pos="720"/>
        </w:tabs>
        <w:ind w:left="720" w:hanging="360"/>
      </w:pPr>
      <w:rPr>
        <w:rFonts w:ascii="Symbol" w:hAnsi="Symbol" w:hint="default"/>
      </w:rPr>
    </w:lvl>
    <w:lvl w:ilvl="1" w:tplc="1F2AF5FC" w:tentative="1">
      <w:start w:val="1"/>
      <w:numFmt w:val="bullet"/>
      <w:lvlText w:val="o"/>
      <w:lvlJc w:val="left"/>
      <w:pPr>
        <w:tabs>
          <w:tab w:val="num" w:pos="1440"/>
        </w:tabs>
        <w:ind w:left="1440" w:hanging="360"/>
      </w:pPr>
      <w:rPr>
        <w:rFonts w:ascii="Courier New" w:hAnsi="Courier New" w:cs="Wingdings" w:hint="default"/>
      </w:rPr>
    </w:lvl>
    <w:lvl w:ilvl="2" w:tplc="7AB8648E" w:tentative="1">
      <w:start w:val="1"/>
      <w:numFmt w:val="bullet"/>
      <w:lvlText w:val=""/>
      <w:lvlJc w:val="left"/>
      <w:pPr>
        <w:tabs>
          <w:tab w:val="num" w:pos="2160"/>
        </w:tabs>
        <w:ind w:left="2160" w:hanging="360"/>
      </w:pPr>
      <w:rPr>
        <w:rFonts w:ascii="Wingdings" w:hAnsi="Wingdings" w:hint="default"/>
      </w:rPr>
    </w:lvl>
    <w:lvl w:ilvl="3" w:tplc="255CB5C6" w:tentative="1">
      <w:start w:val="1"/>
      <w:numFmt w:val="bullet"/>
      <w:lvlText w:val=""/>
      <w:lvlJc w:val="left"/>
      <w:pPr>
        <w:tabs>
          <w:tab w:val="num" w:pos="2880"/>
        </w:tabs>
        <w:ind w:left="2880" w:hanging="360"/>
      </w:pPr>
      <w:rPr>
        <w:rFonts w:ascii="Symbol" w:hAnsi="Symbol" w:hint="default"/>
      </w:rPr>
    </w:lvl>
    <w:lvl w:ilvl="4" w:tplc="DE1C72DE" w:tentative="1">
      <w:start w:val="1"/>
      <w:numFmt w:val="bullet"/>
      <w:lvlText w:val="o"/>
      <w:lvlJc w:val="left"/>
      <w:pPr>
        <w:tabs>
          <w:tab w:val="num" w:pos="3600"/>
        </w:tabs>
        <w:ind w:left="3600" w:hanging="360"/>
      </w:pPr>
      <w:rPr>
        <w:rFonts w:ascii="Courier New" w:hAnsi="Courier New" w:cs="Wingdings" w:hint="default"/>
      </w:rPr>
    </w:lvl>
    <w:lvl w:ilvl="5" w:tplc="4484DBB8" w:tentative="1">
      <w:start w:val="1"/>
      <w:numFmt w:val="bullet"/>
      <w:lvlText w:val=""/>
      <w:lvlJc w:val="left"/>
      <w:pPr>
        <w:tabs>
          <w:tab w:val="num" w:pos="4320"/>
        </w:tabs>
        <w:ind w:left="4320" w:hanging="360"/>
      </w:pPr>
      <w:rPr>
        <w:rFonts w:ascii="Wingdings" w:hAnsi="Wingdings" w:hint="default"/>
      </w:rPr>
    </w:lvl>
    <w:lvl w:ilvl="6" w:tplc="9EE67FB8" w:tentative="1">
      <w:start w:val="1"/>
      <w:numFmt w:val="bullet"/>
      <w:lvlText w:val=""/>
      <w:lvlJc w:val="left"/>
      <w:pPr>
        <w:tabs>
          <w:tab w:val="num" w:pos="5040"/>
        </w:tabs>
        <w:ind w:left="5040" w:hanging="360"/>
      </w:pPr>
      <w:rPr>
        <w:rFonts w:ascii="Symbol" w:hAnsi="Symbol" w:hint="default"/>
      </w:rPr>
    </w:lvl>
    <w:lvl w:ilvl="7" w:tplc="344485C6" w:tentative="1">
      <w:start w:val="1"/>
      <w:numFmt w:val="bullet"/>
      <w:lvlText w:val="o"/>
      <w:lvlJc w:val="left"/>
      <w:pPr>
        <w:tabs>
          <w:tab w:val="num" w:pos="5760"/>
        </w:tabs>
        <w:ind w:left="5760" w:hanging="360"/>
      </w:pPr>
      <w:rPr>
        <w:rFonts w:ascii="Courier New" w:hAnsi="Courier New" w:cs="Wingdings" w:hint="default"/>
      </w:rPr>
    </w:lvl>
    <w:lvl w:ilvl="8" w:tplc="89261576" w:tentative="1">
      <w:start w:val="1"/>
      <w:numFmt w:val="bullet"/>
      <w:lvlText w:val=""/>
      <w:lvlJc w:val="left"/>
      <w:pPr>
        <w:tabs>
          <w:tab w:val="num" w:pos="6480"/>
        </w:tabs>
        <w:ind w:left="6480" w:hanging="360"/>
      </w:pPr>
      <w:rPr>
        <w:rFonts w:ascii="Wingdings" w:hAnsi="Wingdings" w:hint="default"/>
      </w:rPr>
    </w:lvl>
  </w:abstractNum>
  <w:abstractNum w:abstractNumId="36">
    <w:nsid w:val="7001BF85"/>
    <w:multiLevelType w:val="hybridMultilevel"/>
    <w:tmpl w:val="DC64B3A0"/>
    <w:lvl w:ilvl="0" w:tplc="9A565884">
      <w:start w:val="1"/>
      <w:numFmt w:val="decimal"/>
      <w:lvlText w:val=""/>
      <w:lvlJc w:val="left"/>
    </w:lvl>
    <w:lvl w:ilvl="1" w:tplc="46F2411C">
      <w:numFmt w:val="decimal"/>
      <w:lvlText w:val=""/>
      <w:lvlJc w:val="left"/>
    </w:lvl>
    <w:lvl w:ilvl="2" w:tplc="542472A6">
      <w:numFmt w:val="decimal"/>
      <w:lvlText w:val=""/>
      <w:lvlJc w:val="left"/>
    </w:lvl>
    <w:lvl w:ilvl="3" w:tplc="C8505E72">
      <w:numFmt w:val="decimal"/>
      <w:lvlText w:val=""/>
      <w:lvlJc w:val="left"/>
    </w:lvl>
    <w:lvl w:ilvl="4" w:tplc="95DA5C10">
      <w:numFmt w:val="decimal"/>
      <w:lvlText w:val=""/>
      <w:lvlJc w:val="left"/>
    </w:lvl>
    <w:lvl w:ilvl="5" w:tplc="370AE006">
      <w:numFmt w:val="decimal"/>
      <w:lvlText w:val=""/>
      <w:lvlJc w:val="left"/>
    </w:lvl>
    <w:lvl w:ilvl="6" w:tplc="004002A2">
      <w:numFmt w:val="decimal"/>
      <w:lvlText w:val=""/>
      <w:lvlJc w:val="left"/>
    </w:lvl>
    <w:lvl w:ilvl="7" w:tplc="3906E69E">
      <w:numFmt w:val="decimal"/>
      <w:lvlText w:val=""/>
      <w:lvlJc w:val="left"/>
    </w:lvl>
    <w:lvl w:ilvl="8" w:tplc="DED424C4">
      <w:numFmt w:val="decimal"/>
      <w:lvlText w:val=""/>
      <w:lvlJc w:val="left"/>
    </w:lvl>
  </w:abstractNum>
  <w:abstractNum w:abstractNumId="37">
    <w:nsid w:val="731651FD"/>
    <w:multiLevelType w:val="hybridMultilevel"/>
    <w:tmpl w:val="1B828A2E"/>
    <w:lvl w:ilvl="0" w:tplc="DE4C84AC">
      <w:start w:val="1"/>
      <w:numFmt w:val="bullet"/>
      <w:lvlText w:val=""/>
      <w:lvlJc w:val="left"/>
      <w:pPr>
        <w:tabs>
          <w:tab w:val="num" w:pos="2160"/>
        </w:tabs>
        <w:ind w:left="2160" w:hanging="360"/>
      </w:pPr>
      <w:rPr>
        <w:rFonts w:ascii="Symbol" w:hAnsi="Symbol" w:hint="default"/>
      </w:rPr>
    </w:lvl>
    <w:lvl w:ilvl="1" w:tplc="1C289244" w:tentative="1">
      <w:start w:val="1"/>
      <w:numFmt w:val="bullet"/>
      <w:lvlText w:val="o"/>
      <w:lvlJc w:val="left"/>
      <w:pPr>
        <w:tabs>
          <w:tab w:val="num" w:pos="2880"/>
        </w:tabs>
        <w:ind w:left="2880" w:hanging="360"/>
      </w:pPr>
      <w:rPr>
        <w:rFonts w:ascii="Courier New" w:hAnsi="Courier New" w:cs="Wingdings" w:hint="default"/>
      </w:rPr>
    </w:lvl>
    <w:lvl w:ilvl="2" w:tplc="C6C0613C" w:tentative="1">
      <w:start w:val="1"/>
      <w:numFmt w:val="bullet"/>
      <w:lvlText w:val=""/>
      <w:lvlJc w:val="left"/>
      <w:pPr>
        <w:tabs>
          <w:tab w:val="num" w:pos="3600"/>
        </w:tabs>
        <w:ind w:left="3600" w:hanging="360"/>
      </w:pPr>
      <w:rPr>
        <w:rFonts w:ascii="Wingdings" w:hAnsi="Wingdings" w:hint="default"/>
      </w:rPr>
    </w:lvl>
    <w:lvl w:ilvl="3" w:tplc="9778414C" w:tentative="1">
      <w:start w:val="1"/>
      <w:numFmt w:val="bullet"/>
      <w:lvlText w:val=""/>
      <w:lvlJc w:val="left"/>
      <w:pPr>
        <w:tabs>
          <w:tab w:val="num" w:pos="4320"/>
        </w:tabs>
        <w:ind w:left="4320" w:hanging="360"/>
      </w:pPr>
      <w:rPr>
        <w:rFonts w:ascii="Symbol" w:hAnsi="Symbol" w:hint="default"/>
      </w:rPr>
    </w:lvl>
    <w:lvl w:ilvl="4" w:tplc="920C5D86" w:tentative="1">
      <w:start w:val="1"/>
      <w:numFmt w:val="bullet"/>
      <w:lvlText w:val="o"/>
      <w:lvlJc w:val="left"/>
      <w:pPr>
        <w:tabs>
          <w:tab w:val="num" w:pos="5040"/>
        </w:tabs>
        <w:ind w:left="5040" w:hanging="360"/>
      </w:pPr>
      <w:rPr>
        <w:rFonts w:ascii="Courier New" w:hAnsi="Courier New" w:cs="Wingdings" w:hint="default"/>
      </w:rPr>
    </w:lvl>
    <w:lvl w:ilvl="5" w:tplc="5AFA821E" w:tentative="1">
      <w:start w:val="1"/>
      <w:numFmt w:val="bullet"/>
      <w:lvlText w:val=""/>
      <w:lvlJc w:val="left"/>
      <w:pPr>
        <w:tabs>
          <w:tab w:val="num" w:pos="5760"/>
        </w:tabs>
        <w:ind w:left="5760" w:hanging="360"/>
      </w:pPr>
      <w:rPr>
        <w:rFonts w:ascii="Wingdings" w:hAnsi="Wingdings" w:hint="default"/>
      </w:rPr>
    </w:lvl>
    <w:lvl w:ilvl="6" w:tplc="54B4F402" w:tentative="1">
      <w:start w:val="1"/>
      <w:numFmt w:val="bullet"/>
      <w:lvlText w:val=""/>
      <w:lvlJc w:val="left"/>
      <w:pPr>
        <w:tabs>
          <w:tab w:val="num" w:pos="6480"/>
        </w:tabs>
        <w:ind w:left="6480" w:hanging="360"/>
      </w:pPr>
      <w:rPr>
        <w:rFonts w:ascii="Symbol" w:hAnsi="Symbol" w:hint="default"/>
      </w:rPr>
    </w:lvl>
    <w:lvl w:ilvl="7" w:tplc="92925E1C" w:tentative="1">
      <w:start w:val="1"/>
      <w:numFmt w:val="bullet"/>
      <w:lvlText w:val="o"/>
      <w:lvlJc w:val="left"/>
      <w:pPr>
        <w:tabs>
          <w:tab w:val="num" w:pos="7200"/>
        </w:tabs>
        <w:ind w:left="7200" w:hanging="360"/>
      </w:pPr>
      <w:rPr>
        <w:rFonts w:ascii="Courier New" w:hAnsi="Courier New" w:cs="Wingdings" w:hint="default"/>
      </w:rPr>
    </w:lvl>
    <w:lvl w:ilvl="8" w:tplc="DE10C086" w:tentative="1">
      <w:start w:val="1"/>
      <w:numFmt w:val="bullet"/>
      <w:lvlText w:val=""/>
      <w:lvlJc w:val="left"/>
      <w:pPr>
        <w:tabs>
          <w:tab w:val="num" w:pos="7920"/>
        </w:tabs>
        <w:ind w:left="7920" w:hanging="360"/>
      </w:pPr>
      <w:rPr>
        <w:rFonts w:ascii="Wingdings" w:hAnsi="Wingdings" w:hint="default"/>
      </w:rPr>
    </w:lvl>
  </w:abstractNum>
  <w:abstractNum w:abstractNumId="38">
    <w:nsid w:val="75D00D9C"/>
    <w:multiLevelType w:val="hybridMultilevel"/>
    <w:tmpl w:val="9C1A1366"/>
    <w:lvl w:ilvl="0" w:tplc="BFCEE0E2">
      <w:start w:val="1"/>
      <w:numFmt w:val="bullet"/>
      <w:lvlText w:val=""/>
      <w:lvlJc w:val="left"/>
      <w:pPr>
        <w:tabs>
          <w:tab w:val="num" w:pos="1080"/>
        </w:tabs>
        <w:ind w:left="1080" w:hanging="360"/>
      </w:pPr>
      <w:rPr>
        <w:rFonts w:ascii="Symbol" w:hAnsi="Symbol" w:hint="default"/>
      </w:rPr>
    </w:lvl>
    <w:lvl w:ilvl="1" w:tplc="BA7805D4" w:tentative="1">
      <w:start w:val="1"/>
      <w:numFmt w:val="bullet"/>
      <w:lvlText w:val="o"/>
      <w:lvlJc w:val="left"/>
      <w:pPr>
        <w:tabs>
          <w:tab w:val="num" w:pos="1800"/>
        </w:tabs>
        <w:ind w:left="1800" w:hanging="360"/>
      </w:pPr>
      <w:rPr>
        <w:rFonts w:ascii="Courier New" w:hAnsi="Courier New" w:cs="Wingdings" w:hint="default"/>
      </w:rPr>
    </w:lvl>
    <w:lvl w:ilvl="2" w:tplc="07769498" w:tentative="1">
      <w:start w:val="1"/>
      <w:numFmt w:val="bullet"/>
      <w:lvlText w:val=""/>
      <w:lvlJc w:val="left"/>
      <w:pPr>
        <w:tabs>
          <w:tab w:val="num" w:pos="2520"/>
        </w:tabs>
        <w:ind w:left="2520" w:hanging="360"/>
      </w:pPr>
      <w:rPr>
        <w:rFonts w:ascii="Wingdings" w:hAnsi="Wingdings" w:hint="default"/>
      </w:rPr>
    </w:lvl>
    <w:lvl w:ilvl="3" w:tplc="34A89EBE" w:tentative="1">
      <w:start w:val="1"/>
      <w:numFmt w:val="bullet"/>
      <w:lvlText w:val=""/>
      <w:lvlJc w:val="left"/>
      <w:pPr>
        <w:tabs>
          <w:tab w:val="num" w:pos="3240"/>
        </w:tabs>
        <w:ind w:left="3240" w:hanging="360"/>
      </w:pPr>
      <w:rPr>
        <w:rFonts w:ascii="Symbol" w:hAnsi="Symbol" w:hint="default"/>
      </w:rPr>
    </w:lvl>
    <w:lvl w:ilvl="4" w:tplc="6E64820C" w:tentative="1">
      <w:start w:val="1"/>
      <w:numFmt w:val="bullet"/>
      <w:lvlText w:val="o"/>
      <w:lvlJc w:val="left"/>
      <w:pPr>
        <w:tabs>
          <w:tab w:val="num" w:pos="3960"/>
        </w:tabs>
        <w:ind w:left="3960" w:hanging="360"/>
      </w:pPr>
      <w:rPr>
        <w:rFonts w:ascii="Courier New" w:hAnsi="Courier New" w:cs="Wingdings" w:hint="default"/>
      </w:rPr>
    </w:lvl>
    <w:lvl w:ilvl="5" w:tplc="A5E49CA2" w:tentative="1">
      <w:start w:val="1"/>
      <w:numFmt w:val="bullet"/>
      <w:lvlText w:val=""/>
      <w:lvlJc w:val="left"/>
      <w:pPr>
        <w:tabs>
          <w:tab w:val="num" w:pos="4680"/>
        </w:tabs>
        <w:ind w:left="4680" w:hanging="360"/>
      </w:pPr>
      <w:rPr>
        <w:rFonts w:ascii="Wingdings" w:hAnsi="Wingdings" w:hint="default"/>
      </w:rPr>
    </w:lvl>
    <w:lvl w:ilvl="6" w:tplc="927ABA0A" w:tentative="1">
      <w:start w:val="1"/>
      <w:numFmt w:val="bullet"/>
      <w:lvlText w:val=""/>
      <w:lvlJc w:val="left"/>
      <w:pPr>
        <w:tabs>
          <w:tab w:val="num" w:pos="5400"/>
        </w:tabs>
        <w:ind w:left="5400" w:hanging="360"/>
      </w:pPr>
      <w:rPr>
        <w:rFonts w:ascii="Symbol" w:hAnsi="Symbol" w:hint="default"/>
      </w:rPr>
    </w:lvl>
    <w:lvl w:ilvl="7" w:tplc="92C0660E" w:tentative="1">
      <w:start w:val="1"/>
      <w:numFmt w:val="bullet"/>
      <w:lvlText w:val="o"/>
      <w:lvlJc w:val="left"/>
      <w:pPr>
        <w:tabs>
          <w:tab w:val="num" w:pos="6120"/>
        </w:tabs>
        <w:ind w:left="6120" w:hanging="360"/>
      </w:pPr>
      <w:rPr>
        <w:rFonts w:ascii="Courier New" w:hAnsi="Courier New" w:cs="Wingdings" w:hint="default"/>
      </w:rPr>
    </w:lvl>
    <w:lvl w:ilvl="8" w:tplc="923EF51A" w:tentative="1">
      <w:start w:val="1"/>
      <w:numFmt w:val="bullet"/>
      <w:lvlText w:val=""/>
      <w:lvlJc w:val="left"/>
      <w:pPr>
        <w:tabs>
          <w:tab w:val="num" w:pos="6840"/>
        </w:tabs>
        <w:ind w:left="6840" w:hanging="360"/>
      </w:pPr>
      <w:rPr>
        <w:rFonts w:ascii="Wingdings" w:hAnsi="Wingdings" w:hint="default"/>
      </w:rPr>
    </w:lvl>
  </w:abstractNum>
  <w:abstractNum w:abstractNumId="39">
    <w:nsid w:val="75FE5FDF"/>
    <w:multiLevelType w:val="hybridMultilevel"/>
    <w:tmpl w:val="82707092"/>
    <w:lvl w:ilvl="0" w:tplc="64209420">
      <w:start w:val="1"/>
      <w:numFmt w:val="bullet"/>
      <w:lvlText w:val=""/>
      <w:lvlJc w:val="left"/>
      <w:pPr>
        <w:tabs>
          <w:tab w:val="num" w:pos="1800"/>
        </w:tabs>
        <w:ind w:left="1800" w:hanging="360"/>
      </w:pPr>
      <w:rPr>
        <w:rFonts w:ascii="Symbol" w:hAnsi="Symbol" w:hint="default"/>
      </w:rPr>
    </w:lvl>
    <w:lvl w:ilvl="1" w:tplc="0F3248AC" w:tentative="1">
      <w:start w:val="1"/>
      <w:numFmt w:val="bullet"/>
      <w:lvlText w:val="o"/>
      <w:lvlJc w:val="left"/>
      <w:pPr>
        <w:tabs>
          <w:tab w:val="num" w:pos="2520"/>
        </w:tabs>
        <w:ind w:left="2520" w:hanging="360"/>
      </w:pPr>
      <w:rPr>
        <w:rFonts w:ascii="Courier New" w:hAnsi="Courier New" w:cs="Wingdings" w:hint="default"/>
      </w:rPr>
    </w:lvl>
    <w:lvl w:ilvl="2" w:tplc="82AA2E2C" w:tentative="1">
      <w:start w:val="1"/>
      <w:numFmt w:val="bullet"/>
      <w:lvlText w:val=""/>
      <w:lvlJc w:val="left"/>
      <w:pPr>
        <w:tabs>
          <w:tab w:val="num" w:pos="3240"/>
        </w:tabs>
        <w:ind w:left="3240" w:hanging="360"/>
      </w:pPr>
      <w:rPr>
        <w:rFonts w:ascii="Wingdings" w:hAnsi="Wingdings" w:hint="default"/>
      </w:rPr>
    </w:lvl>
    <w:lvl w:ilvl="3" w:tplc="D1FC471C" w:tentative="1">
      <w:start w:val="1"/>
      <w:numFmt w:val="bullet"/>
      <w:lvlText w:val=""/>
      <w:lvlJc w:val="left"/>
      <w:pPr>
        <w:tabs>
          <w:tab w:val="num" w:pos="3960"/>
        </w:tabs>
        <w:ind w:left="3960" w:hanging="360"/>
      </w:pPr>
      <w:rPr>
        <w:rFonts w:ascii="Symbol" w:hAnsi="Symbol" w:hint="default"/>
      </w:rPr>
    </w:lvl>
    <w:lvl w:ilvl="4" w:tplc="6690193A" w:tentative="1">
      <w:start w:val="1"/>
      <w:numFmt w:val="bullet"/>
      <w:lvlText w:val="o"/>
      <w:lvlJc w:val="left"/>
      <w:pPr>
        <w:tabs>
          <w:tab w:val="num" w:pos="4680"/>
        </w:tabs>
        <w:ind w:left="4680" w:hanging="360"/>
      </w:pPr>
      <w:rPr>
        <w:rFonts w:ascii="Courier New" w:hAnsi="Courier New" w:cs="Wingdings" w:hint="default"/>
      </w:rPr>
    </w:lvl>
    <w:lvl w:ilvl="5" w:tplc="3EF6ACE4" w:tentative="1">
      <w:start w:val="1"/>
      <w:numFmt w:val="bullet"/>
      <w:lvlText w:val=""/>
      <w:lvlJc w:val="left"/>
      <w:pPr>
        <w:tabs>
          <w:tab w:val="num" w:pos="5400"/>
        </w:tabs>
        <w:ind w:left="5400" w:hanging="360"/>
      </w:pPr>
      <w:rPr>
        <w:rFonts w:ascii="Wingdings" w:hAnsi="Wingdings" w:hint="default"/>
      </w:rPr>
    </w:lvl>
    <w:lvl w:ilvl="6" w:tplc="3E20A2BA" w:tentative="1">
      <w:start w:val="1"/>
      <w:numFmt w:val="bullet"/>
      <w:lvlText w:val=""/>
      <w:lvlJc w:val="left"/>
      <w:pPr>
        <w:tabs>
          <w:tab w:val="num" w:pos="6120"/>
        </w:tabs>
        <w:ind w:left="6120" w:hanging="360"/>
      </w:pPr>
      <w:rPr>
        <w:rFonts w:ascii="Symbol" w:hAnsi="Symbol" w:hint="default"/>
      </w:rPr>
    </w:lvl>
    <w:lvl w:ilvl="7" w:tplc="514E96B0" w:tentative="1">
      <w:start w:val="1"/>
      <w:numFmt w:val="bullet"/>
      <w:lvlText w:val="o"/>
      <w:lvlJc w:val="left"/>
      <w:pPr>
        <w:tabs>
          <w:tab w:val="num" w:pos="6840"/>
        </w:tabs>
        <w:ind w:left="6840" w:hanging="360"/>
      </w:pPr>
      <w:rPr>
        <w:rFonts w:ascii="Courier New" w:hAnsi="Courier New" w:cs="Wingdings" w:hint="default"/>
      </w:rPr>
    </w:lvl>
    <w:lvl w:ilvl="8" w:tplc="84287346" w:tentative="1">
      <w:start w:val="1"/>
      <w:numFmt w:val="bullet"/>
      <w:lvlText w:val=""/>
      <w:lvlJc w:val="left"/>
      <w:pPr>
        <w:tabs>
          <w:tab w:val="num" w:pos="7560"/>
        </w:tabs>
        <w:ind w:left="7560" w:hanging="360"/>
      </w:pPr>
      <w:rPr>
        <w:rFonts w:ascii="Wingdings" w:hAnsi="Wingdings" w:hint="default"/>
      </w:rPr>
    </w:lvl>
  </w:abstractNum>
  <w:abstractNum w:abstractNumId="40">
    <w:nsid w:val="772D5871"/>
    <w:multiLevelType w:val="hybridMultilevel"/>
    <w:tmpl w:val="85824C7C"/>
    <w:lvl w:ilvl="0" w:tplc="9FA066AC">
      <w:start w:val="1"/>
      <w:numFmt w:val="bullet"/>
      <w:lvlText w:val=""/>
      <w:lvlJc w:val="left"/>
      <w:pPr>
        <w:tabs>
          <w:tab w:val="num" w:pos="3510"/>
        </w:tabs>
        <w:ind w:left="3510" w:hanging="63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C2150A9"/>
    <w:multiLevelType w:val="hybridMultilevel"/>
    <w:tmpl w:val="60A616C2"/>
    <w:lvl w:ilvl="0" w:tplc="5AD64BF2">
      <w:start w:val="1"/>
      <w:numFmt w:val="decimal"/>
      <w:lvlText w:val="%1."/>
      <w:lvlJc w:val="left"/>
      <w:pPr>
        <w:tabs>
          <w:tab w:val="num" w:pos="720"/>
        </w:tabs>
        <w:ind w:left="720" w:hanging="360"/>
      </w:pPr>
    </w:lvl>
    <w:lvl w:ilvl="1" w:tplc="F2B6CC42" w:tentative="1">
      <w:start w:val="1"/>
      <w:numFmt w:val="lowerLetter"/>
      <w:lvlText w:val="%2."/>
      <w:lvlJc w:val="left"/>
      <w:pPr>
        <w:tabs>
          <w:tab w:val="num" w:pos="1440"/>
        </w:tabs>
        <w:ind w:left="1440" w:hanging="360"/>
      </w:pPr>
    </w:lvl>
    <w:lvl w:ilvl="2" w:tplc="8042E474" w:tentative="1">
      <w:start w:val="1"/>
      <w:numFmt w:val="lowerRoman"/>
      <w:lvlText w:val="%3."/>
      <w:lvlJc w:val="right"/>
      <w:pPr>
        <w:tabs>
          <w:tab w:val="num" w:pos="2160"/>
        </w:tabs>
        <w:ind w:left="2160" w:hanging="180"/>
      </w:pPr>
    </w:lvl>
    <w:lvl w:ilvl="3" w:tplc="D4E4BDC8" w:tentative="1">
      <w:start w:val="1"/>
      <w:numFmt w:val="decimal"/>
      <w:lvlText w:val="%4."/>
      <w:lvlJc w:val="left"/>
      <w:pPr>
        <w:tabs>
          <w:tab w:val="num" w:pos="2880"/>
        </w:tabs>
        <w:ind w:left="2880" w:hanging="360"/>
      </w:pPr>
    </w:lvl>
    <w:lvl w:ilvl="4" w:tplc="43B4A83A" w:tentative="1">
      <w:start w:val="1"/>
      <w:numFmt w:val="lowerLetter"/>
      <w:lvlText w:val="%5."/>
      <w:lvlJc w:val="left"/>
      <w:pPr>
        <w:tabs>
          <w:tab w:val="num" w:pos="3600"/>
        </w:tabs>
        <w:ind w:left="3600" w:hanging="360"/>
      </w:pPr>
    </w:lvl>
    <w:lvl w:ilvl="5" w:tplc="5AB2E8DC" w:tentative="1">
      <w:start w:val="1"/>
      <w:numFmt w:val="lowerRoman"/>
      <w:lvlText w:val="%6."/>
      <w:lvlJc w:val="right"/>
      <w:pPr>
        <w:tabs>
          <w:tab w:val="num" w:pos="4320"/>
        </w:tabs>
        <w:ind w:left="4320" w:hanging="180"/>
      </w:pPr>
    </w:lvl>
    <w:lvl w:ilvl="6" w:tplc="D3CE268A" w:tentative="1">
      <w:start w:val="1"/>
      <w:numFmt w:val="decimal"/>
      <w:lvlText w:val="%7."/>
      <w:lvlJc w:val="left"/>
      <w:pPr>
        <w:tabs>
          <w:tab w:val="num" w:pos="5040"/>
        </w:tabs>
        <w:ind w:left="5040" w:hanging="360"/>
      </w:pPr>
    </w:lvl>
    <w:lvl w:ilvl="7" w:tplc="D804BEFA" w:tentative="1">
      <w:start w:val="1"/>
      <w:numFmt w:val="lowerLetter"/>
      <w:lvlText w:val="%8."/>
      <w:lvlJc w:val="left"/>
      <w:pPr>
        <w:tabs>
          <w:tab w:val="num" w:pos="5760"/>
        </w:tabs>
        <w:ind w:left="5760" w:hanging="360"/>
      </w:pPr>
    </w:lvl>
    <w:lvl w:ilvl="8" w:tplc="30941E70" w:tentative="1">
      <w:start w:val="1"/>
      <w:numFmt w:val="lowerRoman"/>
      <w:lvlText w:val="%9."/>
      <w:lvlJc w:val="right"/>
      <w:pPr>
        <w:tabs>
          <w:tab w:val="num" w:pos="6480"/>
        </w:tabs>
        <w:ind w:left="6480" w:hanging="180"/>
      </w:pPr>
    </w:lvl>
  </w:abstractNum>
  <w:abstractNum w:abstractNumId="42">
    <w:nsid w:val="7C2B4C69"/>
    <w:multiLevelType w:val="hybridMultilevel"/>
    <w:tmpl w:val="BF629AFE"/>
    <w:lvl w:ilvl="0" w:tplc="51F8F59C">
      <w:start w:val="8"/>
      <w:numFmt w:val="upperRoman"/>
      <w:lvlText w:val="%1."/>
      <w:lvlJc w:val="left"/>
      <w:pPr>
        <w:tabs>
          <w:tab w:val="num" w:pos="720"/>
        </w:tabs>
        <w:ind w:left="720" w:hanging="1440"/>
      </w:pPr>
      <w:rPr>
        <w:rFonts w:hint="default"/>
      </w:rPr>
    </w:lvl>
    <w:lvl w:ilvl="1" w:tplc="1CB80240" w:tentative="1">
      <w:start w:val="1"/>
      <w:numFmt w:val="lowerLetter"/>
      <w:lvlText w:val="%2."/>
      <w:lvlJc w:val="left"/>
      <w:pPr>
        <w:tabs>
          <w:tab w:val="num" w:pos="360"/>
        </w:tabs>
        <w:ind w:left="360" w:hanging="360"/>
      </w:pPr>
    </w:lvl>
    <w:lvl w:ilvl="2" w:tplc="9E7A5564" w:tentative="1">
      <w:start w:val="1"/>
      <w:numFmt w:val="lowerRoman"/>
      <w:lvlText w:val="%3."/>
      <w:lvlJc w:val="right"/>
      <w:pPr>
        <w:tabs>
          <w:tab w:val="num" w:pos="1080"/>
        </w:tabs>
        <w:ind w:left="1080" w:hanging="180"/>
      </w:pPr>
    </w:lvl>
    <w:lvl w:ilvl="3" w:tplc="39D28234" w:tentative="1">
      <w:start w:val="1"/>
      <w:numFmt w:val="decimal"/>
      <w:lvlText w:val="%4."/>
      <w:lvlJc w:val="left"/>
      <w:pPr>
        <w:tabs>
          <w:tab w:val="num" w:pos="1800"/>
        </w:tabs>
        <w:ind w:left="1800" w:hanging="360"/>
      </w:pPr>
    </w:lvl>
    <w:lvl w:ilvl="4" w:tplc="A4C00578" w:tentative="1">
      <w:start w:val="1"/>
      <w:numFmt w:val="lowerLetter"/>
      <w:lvlText w:val="%5."/>
      <w:lvlJc w:val="left"/>
      <w:pPr>
        <w:tabs>
          <w:tab w:val="num" w:pos="2520"/>
        </w:tabs>
        <w:ind w:left="2520" w:hanging="360"/>
      </w:pPr>
    </w:lvl>
    <w:lvl w:ilvl="5" w:tplc="49269698" w:tentative="1">
      <w:start w:val="1"/>
      <w:numFmt w:val="lowerRoman"/>
      <w:lvlText w:val="%6."/>
      <w:lvlJc w:val="right"/>
      <w:pPr>
        <w:tabs>
          <w:tab w:val="num" w:pos="3240"/>
        </w:tabs>
        <w:ind w:left="3240" w:hanging="180"/>
      </w:pPr>
    </w:lvl>
    <w:lvl w:ilvl="6" w:tplc="D37CB9C0" w:tentative="1">
      <w:start w:val="1"/>
      <w:numFmt w:val="decimal"/>
      <w:lvlText w:val="%7."/>
      <w:lvlJc w:val="left"/>
      <w:pPr>
        <w:tabs>
          <w:tab w:val="num" w:pos="3960"/>
        </w:tabs>
        <w:ind w:left="3960" w:hanging="360"/>
      </w:pPr>
    </w:lvl>
    <w:lvl w:ilvl="7" w:tplc="7F1846A4" w:tentative="1">
      <w:start w:val="1"/>
      <w:numFmt w:val="lowerLetter"/>
      <w:lvlText w:val="%8."/>
      <w:lvlJc w:val="left"/>
      <w:pPr>
        <w:tabs>
          <w:tab w:val="num" w:pos="4680"/>
        </w:tabs>
        <w:ind w:left="4680" w:hanging="360"/>
      </w:pPr>
    </w:lvl>
    <w:lvl w:ilvl="8" w:tplc="5D04B69C" w:tentative="1">
      <w:start w:val="1"/>
      <w:numFmt w:val="lowerRoman"/>
      <w:lvlText w:val="%9."/>
      <w:lvlJc w:val="right"/>
      <w:pPr>
        <w:tabs>
          <w:tab w:val="num" w:pos="5400"/>
        </w:tabs>
        <w:ind w:left="5400" w:hanging="180"/>
      </w:pPr>
    </w:lvl>
  </w:abstractNum>
  <w:abstractNum w:abstractNumId="43">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abstractNum w:abstractNumId="44">
    <w:nsid w:val="7E624308"/>
    <w:multiLevelType w:val="hybridMultilevel"/>
    <w:tmpl w:val="1AD24DEE"/>
    <w:lvl w:ilvl="0" w:tplc="833287E4">
      <w:start w:val="3"/>
      <w:numFmt w:val="upperLetter"/>
      <w:lvlText w:val="%1."/>
      <w:lvlJc w:val="left"/>
      <w:pPr>
        <w:tabs>
          <w:tab w:val="num" w:pos="1080"/>
        </w:tabs>
        <w:ind w:left="1080" w:hanging="720"/>
      </w:pPr>
      <w:rPr>
        <w:rFonts w:hint="default"/>
      </w:rPr>
    </w:lvl>
    <w:lvl w:ilvl="1" w:tplc="999A0DFA" w:tentative="1">
      <w:start w:val="1"/>
      <w:numFmt w:val="lowerLetter"/>
      <w:lvlText w:val="%2."/>
      <w:lvlJc w:val="left"/>
      <w:pPr>
        <w:tabs>
          <w:tab w:val="num" w:pos="1440"/>
        </w:tabs>
        <w:ind w:left="1440" w:hanging="360"/>
      </w:pPr>
    </w:lvl>
    <w:lvl w:ilvl="2" w:tplc="A07E70C0" w:tentative="1">
      <w:start w:val="1"/>
      <w:numFmt w:val="lowerRoman"/>
      <w:lvlText w:val="%3."/>
      <w:lvlJc w:val="right"/>
      <w:pPr>
        <w:tabs>
          <w:tab w:val="num" w:pos="2160"/>
        </w:tabs>
        <w:ind w:left="2160" w:hanging="180"/>
      </w:pPr>
    </w:lvl>
    <w:lvl w:ilvl="3" w:tplc="DF5C7264" w:tentative="1">
      <w:start w:val="1"/>
      <w:numFmt w:val="decimal"/>
      <w:lvlText w:val="%4."/>
      <w:lvlJc w:val="left"/>
      <w:pPr>
        <w:tabs>
          <w:tab w:val="num" w:pos="2880"/>
        </w:tabs>
        <w:ind w:left="2880" w:hanging="360"/>
      </w:pPr>
    </w:lvl>
    <w:lvl w:ilvl="4" w:tplc="C1929414" w:tentative="1">
      <w:start w:val="1"/>
      <w:numFmt w:val="lowerLetter"/>
      <w:lvlText w:val="%5."/>
      <w:lvlJc w:val="left"/>
      <w:pPr>
        <w:tabs>
          <w:tab w:val="num" w:pos="3600"/>
        </w:tabs>
        <w:ind w:left="3600" w:hanging="360"/>
      </w:pPr>
    </w:lvl>
    <w:lvl w:ilvl="5" w:tplc="72081074" w:tentative="1">
      <w:start w:val="1"/>
      <w:numFmt w:val="lowerRoman"/>
      <w:lvlText w:val="%6."/>
      <w:lvlJc w:val="right"/>
      <w:pPr>
        <w:tabs>
          <w:tab w:val="num" w:pos="4320"/>
        </w:tabs>
        <w:ind w:left="4320" w:hanging="180"/>
      </w:pPr>
    </w:lvl>
    <w:lvl w:ilvl="6" w:tplc="8D4ABBC6" w:tentative="1">
      <w:start w:val="1"/>
      <w:numFmt w:val="decimal"/>
      <w:lvlText w:val="%7."/>
      <w:lvlJc w:val="left"/>
      <w:pPr>
        <w:tabs>
          <w:tab w:val="num" w:pos="5040"/>
        </w:tabs>
        <w:ind w:left="5040" w:hanging="360"/>
      </w:pPr>
    </w:lvl>
    <w:lvl w:ilvl="7" w:tplc="55FAC8F0" w:tentative="1">
      <w:start w:val="1"/>
      <w:numFmt w:val="lowerLetter"/>
      <w:lvlText w:val="%8."/>
      <w:lvlJc w:val="left"/>
      <w:pPr>
        <w:tabs>
          <w:tab w:val="num" w:pos="5760"/>
        </w:tabs>
        <w:ind w:left="5760" w:hanging="360"/>
      </w:pPr>
    </w:lvl>
    <w:lvl w:ilvl="8" w:tplc="5D4C9CFC" w:tentative="1">
      <w:start w:val="1"/>
      <w:numFmt w:val="lowerRoman"/>
      <w:lvlText w:val="%9."/>
      <w:lvlJc w:val="right"/>
      <w:pPr>
        <w:tabs>
          <w:tab w:val="num" w:pos="6480"/>
        </w:tabs>
        <w:ind w:left="6480" w:hanging="180"/>
      </w:pPr>
    </w:lvl>
  </w:abstractNum>
  <w:num w:numId="1">
    <w:abstractNumId w:val="1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27"/>
  </w:num>
  <w:num w:numId="4">
    <w:abstractNumId w:val="14"/>
  </w:num>
  <w:num w:numId="5">
    <w:abstractNumId w:val="25"/>
  </w:num>
  <w:num w:numId="6">
    <w:abstractNumId w:val="23"/>
  </w:num>
  <w:num w:numId="7">
    <w:abstractNumId w:val="37"/>
  </w:num>
  <w:num w:numId="8">
    <w:abstractNumId w:val="32"/>
  </w:num>
  <w:num w:numId="9">
    <w:abstractNumId w:val="31"/>
  </w:num>
  <w:num w:numId="10">
    <w:abstractNumId w:val="18"/>
  </w:num>
  <w:num w:numId="11">
    <w:abstractNumId w:val="12"/>
  </w:num>
  <w:num w:numId="12">
    <w:abstractNumId w:val="29"/>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6"/>
  </w:num>
  <w:num w:numId="26">
    <w:abstractNumId w:val="35"/>
  </w:num>
  <w:num w:numId="27">
    <w:abstractNumId w:val="21"/>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42"/>
  </w:num>
  <w:num w:numId="30">
    <w:abstractNumId w:val="36"/>
  </w:num>
  <w:num w:numId="31">
    <w:abstractNumId w:val="39"/>
  </w:num>
  <w:num w:numId="32">
    <w:abstractNumId w:val="15"/>
  </w:num>
  <w:num w:numId="33">
    <w:abstractNumId w:val="11"/>
  </w:num>
  <w:num w:numId="34">
    <w:abstractNumId w:val="16"/>
  </w:num>
  <w:num w:numId="35">
    <w:abstractNumId w:val="44"/>
  </w:num>
  <w:num w:numId="36">
    <w:abstractNumId w:val="34"/>
  </w:num>
  <w:num w:numId="37">
    <w:abstractNumId w:val="28"/>
  </w:num>
  <w:num w:numId="38">
    <w:abstractNumId w:val="38"/>
  </w:num>
  <w:num w:numId="39">
    <w:abstractNumId w:val="41"/>
  </w:num>
  <w:num w:numId="40">
    <w:abstractNumId w:val="24"/>
  </w:num>
  <w:num w:numId="41">
    <w:abstractNumId w:val="10"/>
    <w:lvlOverride w:ilvl="0">
      <w:lvl w:ilvl="0">
        <w:numFmt w:val="bullet"/>
        <w:lvlText w:val=""/>
        <w:legacy w:legacy="1" w:legacySpace="0" w:legacyIndent="0"/>
        <w:lvlJc w:val="left"/>
        <w:rPr>
          <w:rFonts w:ascii="Symbol" w:hAnsi="Symbol" w:hint="default"/>
        </w:rPr>
      </w:lvl>
    </w:lvlOverride>
  </w:num>
  <w:num w:numId="42">
    <w:abstractNumId w:val="19"/>
  </w:num>
  <w:num w:numId="43">
    <w:abstractNumId w:val="30"/>
  </w:num>
  <w:num w:numId="44">
    <w:abstractNumId w:val="17"/>
  </w:num>
  <w:num w:numId="45">
    <w:abstractNumId w:val="13"/>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232/128811634.1"/>
    <w:docVar w:name="MPDocIDTemplate" w:val="%c-|%m/|%n|.%v"/>
    <w:docVar w:name="MPDocIDTemplateDefault" w:val="%c-|%m/|%n|.%v"/>
    <w:docVar w:name="NewDocStampType" w:val="1"/>
  </w:docVars>
  <w:rsids>
    <w:rsidRoot w:val="00FF4405"/>
    <w:rsid w:val="00000ED8"/>
    <w:rsid w:val="00001E78"/>
    <w:rsid w:val="00002BF8"/>
    <w:rsid w:val="00004A59"/>
    <w:rsid w:val="00012BF1"/>
    <w:rsid w:val="00014B29"/>
    <w:rsid w:val="00015B2B"/>
    <w:rsid w:val="00016C52"/>
    <w:rsid w:val="00017003"/>
    <w:rsid w:val="000178D4"/>
    <w:rsid w:val="00020852"/>
    <w:rsid w:val="0002190C"/>
    <w:rsid w:val="00021BDD"/>
    <w:rsid w:val="000224E8"/>
    <w:rsid w:val="0002365E"/>
    <w:rsid w:val="00024AB9"/>
    <w:rsid w:val="00024D27"/>
    <w:rsid w:val="0002673A"/>
    <w:rsid w:val="000301F1"/>
    <w:rsid w:val="00030C8C"/>
    <w:rsid w:val="00030DDB"/>
    <w:rsid w:val="000326A9"/>
    <w:rsid w:val="000344FB"/>
    <w:rsid w:val="00037190"/>
    <w:rsid w:val="00044177"/>
    <w:rsid w:val="0004500D"/>
    <w:rsid w:val="00045881"/>
    <w:rsid w:val="00047F8F"/>
    <w:rsid w:val="00050BDD"/>
    <w:rsid w:val="00051605"/>
    <w:rsid w:val="00055BDC"/>
    <w:rsid w:val="0005733F"/>
    <w:rsid w:val="00057D56"/>
    <w:rsid w:val="0006001C"/>
    <w:rsid w:val="00060038"/>
    <w:rsid w:val="00060993"/>
    <w:rsid w:val="00060CA3"/>
    <w:rsid w:val="00060E62"/>
    <w:rsid w:val="00062803"/>
    <w:rsid w:val="00064253"/>
    <w:rsid w:val="00064277"/>
    <w:rsid w:val="00065EC4"/>
    <w:rsid w:val="00066E72"/>
    <w:rsid w:val="00067052"/>
    <w:rsid w:val="00070842"/>
    <w:rsid w:val="00071CF9"/>
    <w:rsid w:val="00072697"/>
    <w:rsid w:val="000737F5"/>
    <w:rsid w:val="0007395B"/>
    <w:rsid w:val="000755D9"/>
    <w:rsid w:val="000758B9"/>
    <w:rsid w:val="00075A8B"/>
    <w:rsid w:val="00075F16"/>
    <w:rsid w:val="000765A7"/>
    <w:rsid w:val="0007784C"/>
    <w:rsid w:val="000801CC"/>
    <w:rsid w:val="00082086"/>
    <w:rsid w:val="000821F6"/>
    <w:rsid w:val="000831F7"/>
    <w:rsid w:val="0008499D"/>
    <w:rsid w:val="00086B70"/>
    <w:rsid w:val="0008796C"/>
    <w:rsid w:val="00087A0B"/>
    <w:rsid w:val="00087A5A"/>
    <w:rsid w:val="0009119C"/>
    <w:rsid w:val="0009123D"/>
    <w:rsid w:val="0009159C"/>
    <w:rsid w:val="00093350"/>
    <w:rsid w:val="00093AAF"/>
    <w:rsid w:val="000944A7"/>
    <w:rsid w:val="00094F32"/>
    <w:rsid w:val="00097FD8"/>
    <w:rsid w:val="000A38EA"/>
    <w:rsid w:val="000A47CE"/>
    <w:rsid w:val="000A48E6"/>
    <w:rsid w:val="000A4963"/>
    <w:rsid w:val="000A4F2B"/>
    <w:rsid w:val="000A6055"/>
    <w:rsid w:val="000A6621"/>
    <w:rsid w:val="000A7E75"/>
    <w:rsid w:val="000B00A8"/>
    <w:rsid w:val="000B07BE"/>
    <w:rsid w:val="000B0E3B"/>
    <w:rsid w:val="000B1C2B"/>
    <w:rsid w:val="000B3224"/>
    <w:rsid w:val="000B41C0"/>
    <w:rsid w:val="000B4CB9"/>
    <w:rsid w:val="000B5C43"/>
    <w:rsid w:val="000B6AB0"/>
    <w:rsid w:val="000B70E5"/>
    <w:rsid w:val="000C0944"/>
    <w:rsid w:val="000C18DC"/>
    <w:rsid w:val="000C20DC"/>
    <w:rsid w:val="000C247F"/>
    <w:rsid w:val="000C3239"/>
    <w:rsid w:val="000C403F"/>
    <w:rsid w:val="000C46F9"/>
    <w:rsid w:val="000C47F8"/>
    <w:rsid w:val="000C4881"/>
    <w:rsid w:val="000C4DFF"/>
    <w:rsid w:val="000D16C2"/>
    <w:rsid w:val="000D16D9"/>
    <w:rsid w:val="000D1969"/>
    <w:rsid w:val="000D2D85"/>
    <w:rsid w:val="000D44B4"/>
    <w:rsid w:val="000D4814"/>
    <w:rsid w:val="000D5851"/>
    <w:rsid w:val="000D6521"/>
    <w:rsid w:val="000D6806"/>
    <w:rsid w:val="000D68C5"/>
    <w:rsid w:val="000E2637"/>
    <w:rsid w:val="000E5C52"/>
    <w:rsid w:val="000E5E09"/>
    <w:rsid w:val="000E7BA8"/>
    <w:rsid w:val="000E7D85"/>
    <w:rsid w:val="000F076E"/>
    <w:rsid w:val="000F1CCC"/>
    <w:rsid w:val="000F337C"/>
    <w:rsid w:val="000F43C2"/>
    <w:rsid w:val="000F4A19"/>
    <w:rsid w:val="000F762B"/>
    <w:rsid w:val="0010229C"/>
    <w:rsid w:val="00102F82"/>
    <w:rsid w:val="001105C2"/>
    <w:rsid w:val="001113FF"/>
    <w:rsid w:val="00111757"/>
    <w:rsid w:val="001118F7"/>
    <w:rsid w:val="00111D42"/>
    <w:rsid w:val="00112494"/>
    <w:rsid w:val="001127E5"/>
    <w:rsid w:val="0011294A"/>
    <w:rsid w:val="001130E9"/>
    <w:rsid w:val="001134A3"/>
    <w:rsid w:val="001149F6"/>
    <w:rsid w:val="001156D5"/>
    <w:rsid w:val="00123456"/>
    <w:rsid w:val="0012378A"/>
    <w:rsid w:val="0012765C"/>
    <w:rsid w:val="00127AF3"/>
    <w:rsid w:val="00127E2C"/>
    <w:rsid w:val="0013000E"/>
    <w:rsid w:val="001334C9"/>
    <w:rsid w:val="0013445C"/>
    <w:rsid w:val="001344EC"/>
    <w:rsid w:val="001345BE"/>
    <w:rsid w:val="001371D9"/>
    <w:rsid w:val="001372D4"/>
    <w:rsid w:val="00142BC5"/>
    <w:rsid w:val="001442EA"/>
    <w:rsid w:val="00144BA0"/>
    <w:rsid w:val="00145775"/>
    <w:rsid w:val="00145923"/>
    <w:rsid w:val="00147162"/>
    <w:rsid w:val="00147E56"/>
    <w:rsid w:val="00150D7A"/>
    <w:rsid w:val="001519F0"/>
    <w:rsid w:val="0015235B"/>
    <w:rsid w:val="00152A45"/>
    <w:rsid w:val="001536DF"/>
    <w:rsid w:val="001539FD"/>
    <w:rsid w:val="00155000"/>
    <w:rsid w:val="00155201"/>
    <w:rsid w:val="00155C17"/>
    <w:rsid w:val="00156B6F"/>
    <w:rsid w:val="00157B8B"/>
    <w:rsid w:val="00161A8E"/>
    <w:rsid w:val="00165926"/>
    <w:rsid w:val="00167C44"/>
    <w:rsid w:val="00171456"/>
    <w:rsid w:val="00171B31"/>
    <w:rsid w:val="00172616"/>
    <w:rsid w:val="00176DDC"/>
    <w:rsid w:val="0018053D"/>
    <w:rsid w:val="001818F7"/>
    <w:rsid w:val="001827DE"/>
    <w:rsid w:val="001857D3"/>
    <w:rsid w:val="0018595B"/>
    <w:rsid w:val="00187994"/>
    <w:rsid w:val="0019213E"/>
    <w:rsid w:val="001932BD"/>
    <w:rsid w:val="001932F8"/>
    <w:rsid w:val="00195321"/>
    <w:rsid w:val="001A0F9F"/>
    <w:rsid w:val="001A187C"/>
    <w:rsid w:val="001A3279"/>
    <w:rsid w:val="001A4211"/>
    <w:rsid w:val="001A6A99"/>
    <w:rsid w:val="001A7751"/>
    <w:rsid w:val="001B0159"/>
    <w:rsid w:val="001B0FD1"/>
    <w:rsid w:val="001B1EA3"/>
    <w:rsid w:val="001B2051"/>
    <w:rsid w:val="001B3F11"/>
    <w:rsid w:val="001B46E9"/>
    <w:rsid w:val="001B52CC"/>
    <w:rsid w:val="001C103A"/>
    <w:rsid w:val="001C12BA"/>
    <w:rsid w:val="001C187E"/>
    <w:rsid w:val="001C34C3"/>
    <w:rsid w:val="001C4C2A"/>
    <w:rsid w:val="001C62AC"/>
    <w:rsid w:val="001C6359"/>
    <w:rsid w:val="001C7801"/>
    <w:rsid w:val="001C7C25"/>
    <w:rsid w:val="001D0207"/>
    <w:rsid w:val="001D0DFC"/>
    <w:rsid w:val="001D2719"/>
    <w:rsid w:val="001D3034"/>
    <w:rsid w:val="001D3462"/>
    <w:rsid w:val="001D3B1B"/>
    <w:rsid w:val="001D576A"/>
    <w:rsid w:val="001D5D2E"/>
    <w:rsid w:val="001D60F3"/>
    <w:rsid w:val="001E02EB"/>
    <w:rsid w:val="001E0B62"/>
    <w:rsid w:val="001F1D8F"/>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4DE1"/>
    <w:rsid w:val="002259C3"/>
    <w:rsid w:val="00226802"/>
    <w:rsid w:val="00227650"/>
    <w:rsid w:val="00227DC6"/>
    <w:rsid w:val="0023018C"/>
    <w:rsid w:val="00231F92"/>
    <w:rsid w:val="002328D7"/>
    <w:rsid w:val="002350E1"/>
    <w:rsid w:val="002375F4"/>
    <w:rsid w:val="00240A88"/>
    <w:rsid w:val="0024142B"/>
    <w:rsid w:val="00241BE8"/>
    <w:rsid w:val="00241DCA"/>
    <w:rsid w:val="00242082"/>
    <w:rsid w:val="002436AC"/>
    <w:rsid w:val="0024374D"/>
    <w:rsid w:val="00245652"/>
    <w:rsid w:val="00246105"/>
    <w:rsid w:val="00246277"/>
    <w:rsid w:val="002500A8"/>
    <w:rsid w:val="00250401"/>
    <w:rsid w:val="00253011"/>
    <w:rsid w:val="002539AE"/>
    <w:rsid w:val="00254CC8"/>
    <w:rsid w:val="002567E9"/>
    <w:rsid w:val="00256D68"/>
    <w:rsid w:val="0025739C"/>
    <w:rsid w:val="00257935"/>
    <w:rsid w:val="00257B6A"/>
    <w:rsid w:val="00257DC1"/>
    <w:rsid w:val="00260BF0"/>
    <w:rsid w:val="0026444E"/>
    <w:rsid w:val="00264960"/>
    <w:rsid w:val="00264CD5"/>
    <w:rsid w:val="00266609"/>
    <w:rsid w:val="00266DD7"/>
    <w:rsid w:val="00270391"/>
    <w:rsid w:val="00270CCF"/>
    <w:rsid w:val="00271278"/>
    <w:rsid w:val="002721CA"/>
    <w:rsid w:val="00272C26"/>
    <w:rsid w:val="00274155"/>
    <w:rsid w:val="002745AC"/>
    <w:rsid w:val="0027584C"/>
    <w:rsid w:val="00275E5A"/>
    <w:rsid w:val="00276D3D"/>
    <w:rsid w:val="002775EF"/>
    <w:rsid w:val="002804A3"/>
    <w:rsid w:val="00281220"/>
    <w:rsid w:val="002818B7"/>
    <w:rsid w:val="00281EF5"/>
    <w:rsid w:val="00282CBE"/>
    <w:rsid w:val="00284296"/>
    <w:rsid w:val="00285646"/>
    <w:rsid w:val="002857B4"/>
    <w:rsid w:val="002860C3"/>
    <w:rsid w:val="00287722"/>
    <w:rsid w:val="00287DEF"/>
    <w:rsid w:val="00290580"/>
    <w:rsid w:val="0029067B"/>
    <w:rsid w:val="00290E31"/>
    <w:rsid w:val="002928A6"/>
    <w:rsid w:val="002946B8"/>
    <w:rsid w:val="00294B2B"/>
    <w:rsid w:val="00295A73"/>
    <w:rsid w:val="00295B9B"/>
    <w:rsid w:val="00295EE9"/>
    <w:rsid w:val="002965AA"/>
    <w:rsid w:val="00296A04"/>
    <w:rsid w:val="00296DC1"/>
    <w:rsid w:val="002971C4"/>
    <w:rsid w:val="0029763A"/>
    <w:rsid w:val="002A10A6"/>
    <w:rsid w:val="002A5768"/>
    <w:rsid w:val="002A592F"/>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6B5E"/>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20757"/>
    <w:rsid w:val="003218CC"/>
    <w:rsid w:val="003248EC"/>
    <w:rsid w:val="003249CD"/>
    <w:rsid w:val="00326557"/>
    <w:rsid w:val="003313C4"/>
    <w:rsid w:val="00331FAB"/>
    <w:rsid w:val="003326C3"/>
    <w:rsid w:val="0033273A"/>
    <w:rsid w:val="0033308D"/>
    <w:rsid w:val="0033308E"/>
    <w:rsid w:val="003335B3"/>
    <w:rsid w:val="00333A0F"/>
    <w:rsid w:val="00333F81"/>
    <w:rsid w:val="003354E6"/>
    <w:rsid w:val="00335595"/>
    <w:rsid w:val="003357AC"/>
    <w:rsid w:val="003368A3"/>
    <w:rsid w:val="00340110"/>
    <w:rsid w:val="003403C3"/>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84C"/>
    <w:rsid w:val="003729A1"/>
    <w:rsid w:val="0037482D"/>
    <w:rsid w:val="0037520C"/>
    <w:rsid w:val="00376A06"/>
    <w:rsid w:val="00376E84"/>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288"/>
    <w:rsid w:val="003A1E10"/>
    <w:rsid w:val="003A3220"/>
    <w:rsid w:val="003A5B09"/>
    <w:rsid w:val="003A70D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71C4"/>
    <w:rsid w:val="003D73C3"/>
    <w:rsid w:val="003E1D29"/>
    <w:rsid w:val="003E3874"/>
    <w:rsid w:val="003E4CAE"/>
    <w:rsid w:val="003F0B74"/>
    <w:rsid w:val="003F0D0F"/>
    <w:rsid w:val="003F20DD"/>
    <w:rsid w:val="003F3106"/>
    <w:rsid w:val="003F3875"/>
    <w:rsid w:val="003F4A44"/>
    <w:rsid w:val="003F5670"/>
    <w:rsid w:val="003F6A4D"/>
    <w:rsid w:val="003F75B6"/>
    <w:rsid w:val="003F7F83"/>
    <w:rsid w:val="00400486"/>
    <w:rsid w:val="00400C60"/>
    <w:rsid w:val="00402165"/>
    <w:rsid w:val="00402FFA"/>
    <w:rsid w:val="00403CF5"/>
    <w:rsid w:val="004041B0"/>
    <w:rsid w:val="00404366"/>
    <w:rsid w:val="00410A7A"/>
    <w:rsid w:val="00411F75"/>
    <w:rsid w:val="0041243F"/>
    <w:rsid w:val="00412B84"/>
    <w:rsid w:val="00413642"/>
    <w:rsid w:val="004137DF"/>
    <w:rsid w:val="00415935"/>
    <w:rsid w:val="00415E40"/>
    <w:rsid w:val="00417255"/>
    <w:rsid w:val="00417F61"/>
    <w:rsid w:val="0042043E"/>
    <w:rsid w:val="00420F5E"/>
    <w:rsid w:val="0042128D"/>
    <w:rsid w:val="0042407E"/>
    <w:rsid w:val="00424BD2"/>
    <w:rsid w:val="00426F47"/>
    <w:rsid w:val="004277C9"/>
    <w:rsid w:val="00427E14"/>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1CBC"/>
    <w:rsid w:val="0047204E"/>
    <w:rsid w:val="004749BB"/>
    <w:rsid w:val="00474DC0"/>
    <w:rsid w:val="0047531E"/>
    <w:rsid w:val="00476130"/>
    <w:rsid w:val="0048214C"/>
    <w:rsid w:val="0048352C"/>
    <w:rsid w:val="00485E3D"/>
    <w:rsid w:val="004868D7"/>
    <w:rsid w:val="004905A3"/>
    <w:rsid w:val="00491389"/>
    <w:rsid w:val="00491823"/>
    <w:rsid w:val="004919E6"/>
    <w:rsid w:val="0049252F"/>
    <w:rsid w:val="00492A4D"/>
    <w:rsid w:val="00492E50"/>
    <w:rsid w:val="00493FF2"/>
    <w:rsid w:val="00494131"/>
    <w:rsid w:val="00496B6F"/>
    <w:rsid w:val="0049778D"/>
    <w:rsid w:val="004A0816"/>
    <w:rsid w:val="004A2EB0"/>
    <w:rsid w:val="004A493C"/>
    <w:rsid w:val="004A66D7"/>
    <w:rsid w:val="004A6896"/>
    <w:rsid w:val="004A7491"/>
    <w:rsid w:val="004A7F19"/>
    <w:rsid w:val="004A7F74"/>
    <w:rsid w:val="004A7F87"/>
    <w:rsid w:val="004B03D1"/>
    <w:rsid w:val="004B07F3"/>
    <w:rsid w:val="004B12A9"/>
    <w:rsid w:val="004B24C7"/>
    <w:rsid w:val="004B2FFC"/>
    <w:rsid w:val="004B4960"/>
    <w:rsid w:val="004B4D18"/>
    <w:rsid w:val="004B7E63"/>
    <w:rsid w:val="004C062A"/>
    <w:rsid w:val="004C12CD"/>
    <w:rsid w:val="004C14CC"/>
    <w:rsid w:val="004C16AE"/>
    <w:rsid w:val="004C20FA"/>
    <w:rsid w:val="004C4868"/>
    <w:rsid w:val="004C63F4"/>
    <w:rsid w:val="004C6F71"/>
    <w:rsid w:val="004C73B8"/>
    <w:rsid w:val="004C7BAE"/>
    <w:rsid w:val="004C7E6B"/>
    <w:rsid w:val="004D03BB"/>
    <w:rsid w:val="004D0CA8"/>
    <w:rsid w:val="004D16D4"/>
    <w:rsid w:val="004D1A71"/>
    <w:rsid w:val="004D4202"/>
    <w:rsid w:val="004D47C8"/>
    <w:rsid w:val="004D50A1"/>
    <w:rsid w:val="004D5FBD"/>
    <w:rsid w:val="004D625D"/>
    <w:rsid w:val="004D6313"/>
    <w:rsid w:val="004D63AE"/>
    <w:rsid w:val="004D652F"/>
    <w:rsid w:val="004D6558"/>
    <w:rsid w:val="004D7C2E"/>
    <w:rsid w:val="004E0BFF"/>
    <w:rsid w:val="004E0FA4"/>
    <w:rsid w:val="004E1E6D"/>
    <w:rsid w:val="004E2453"/>
    <w:rsid w:val="004E270D"/>
    <w:rsid w:val="004E4BD9"/>
    <w:rsid w:val="004E4CE8"/>
    <w:rsid w:val="004E56CD"/>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34D"/>
    <w:rsid w:val="00513B03"/>
    <w:rsid w:val="00523F4E"/>
    <w:rsid w:val="00524AE0"/>
    <w:rsid w:val="00525C16"/>
    <w:rsid w:val="00526CF6"/>
    <w:rsid w:val="00526EF9"/>
    <w:rsid w:val="00527AF9"/>
    <w:rsid w:val="00527E09"/>
    <w:rsid w:val="00530ED0"/>
    <w:rsid w:val="00534DD5"/>
    <w:rsid w:val="00534EE0"/>
    <w:rsid w:val="005372F2"/>
    <w:rsid w:val="00540266"/>
    <w:rsid w:val="0054055C"/>
    <w:rsid w:val="0054112B"/>
    <w:rsid w:val="00541E2F"/>
    <w:rsid w:val="00543239"/>
    <w:rsid w:val="00543BE1"/>
    <w:rsid w:val="00543C74"/>
    <w:rsid w:val="0054418F"/>
    <w:rsid w:val="005505A3"/>
    <w:rsid w:val="00551BDF"/>
    <w:rsid w:val="00552A05"/>
    <w:rsid w:val="00553B73"/>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63A"/>
    <w:rsid w:val="00590D19"/>
    <w:rsid w:val="0059244E"/>
    <w:rsid w:val="0059291E"/>
    <w:rsid w:val="00592D90"/>
    <w:rsid w:val="00592E07"/>
    <w:rsid w:val="0059634E"/>
    <w:rsid w:val="005A0168"/>
    <w:rsid w:val="005A17CB"/>
    <w:rsid w:val="005A2871"/>
    <w:rsid w:val="005A299A"/>
    <w:rsid w:val="005A2EF5"/>
    <w:rsid w:val="005A3C96"/>
    <w:rsid w:val="005A4921"/>
    <w:rsid w:val="005B021F"/>
    <w:rsid w:val="005B0569"/>
    <w:rsid w:val="005B09A3"/>
    <w:rsid w:val="005B180C"/>
    <w:rsid w:val="005B242D"/>
    <w:rsid w:val="005B3818"/>
    <w:rsid w:val="005B407C"/>
    <w:rsid w:val="005B4EF0"/>
    <w:rsid w:val="005B5D9B"/>
    <w:rsid w:val="005B68B3"/>
    <w:rsid w:val="005B7D1C"/>
    <w:rsid w:val="005C0A0F"/>
    <w:rsid w:val="005C1BA0"/>
    <w:rsid w:val="005C491D"/>
    <w:rsid w:val="005C49B7"/>
    <w:rsid w:val="005C76EB"/>
    <w:rsid w:val="005D49BF"/>
    <w:rsid w:val="005D6631"/>
    <w:rsid w:val="005D7EC3"/>
    <w:rsid w:val="005E0049"/>
    <w:rsid w:val="005E0299"/>
    <w:rsid w:val="005E0C2C"/>
    <w:rsid w:val="005E1D9C"/>
    <w:rsid w:val="005E33B8"/>
    <w:rsid w:val="005E423F"/>
    <w:rsid w:val="005E52FE"/>
    <w:rsid w:val="005E587A"/>
    <w:rsid w:val="005E73A4"/>
    <w:rsid w:val="005E76BF"/>
    <w:rsid w:val="005F0585"/>
    <w:rsid w:val="005F0702"/>
    <w:rsid w:val="005F109E"/>
    <w:rsid w:val="005F1619"/>
    <w:rsid w:val="005F1732"/>
    <w:rsid w:val="005F1D28"/>
    <w:rsid w:val="005F2A42"/>
    <w:rsid w:val="005F4A92"/>
    <w:rsid w:val="005F5154"/>
    <w:rsid w:val="005F687A"/>
    <w:rsid w:val="005F7103"/>
    <w:rsid w:val="005F7513"/>
    <w:rsid w:val="006032B2"/>
    <w:rsid w:val="00604661"/>
    <w:rsid w:val="00605896"/>
    <w:rsid w:val="00611632"/>
    <w:rsid w:val="006127BC"/>
    <w:rsid w:val="006133C2"/>
    <w:rsid w:val="006134CA"/>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4A51"/>
    <w:rsid w:val="00655028"/>
    <w:rsid w:val="006578DD"/>
    <w:rsid w:val="00657CC0"/>
    <w:rsid w:val="00657F38"/>
    <w:rsid w:val="00660ECB"/>
    <w:rsid w:val="006616EC"/>
    <w:rsid w:val="00661ADB"/>
    <w:rsid w:val="00661B58"/>
    <w:rsid w:val="006626B5"/>
    <w:rsid w:val="006626EB"/>
    <w:rsid w:val="0066689D"/>
    <w:rsid w:val="0067002D"/>
    <w:rsid w:val="0067056D"/>
    <w:rsid w:val="006711F1"/>
    <w:rsid w:val="006715C3"/>
    <w:rsid w:val="00671B12"/>
    <w:rsid w:val="0067560A"/>
    <w:rsid w:val="00676EE4"/>
    <w:rsid w:val="00676F56"/>
    <w:rsid w:val="00677568"/>
    <w:rsid w:val="00677B13"/>
    <w:rsid w:val="00677C6A"/>
    <w:rsid w:val="00677F3E"/>
    <w:rsid w:val="00677F6E"/>
    <w:rsid w:val="00680480"/>
    <w:rsid w:val="00680B83"/>
    <w:rsid w:val="0068133E"/>
    <w:rsid w:val="00681A03"/>
    <w:rsid w:val="00682D39"/>
    <w:rsid w:val="006830A8"/>
    <w:rsid w:val="00684D04"/>
    <w:rsid w:val="0068613D"/>
    <w:rsid w:val="00686948"/>
    <w:rsid w:val="00686DC4"/>
    <w:rsid w:val="00687411"/>
    <w:rsid w:val="00687EEE"/>
    <w:rsid w:val="00690488"/>
    <w:rsid w:val="00691B33"/>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236"/>
    <w:rsid w:val="006A6F40"/>
    <w:rsid w:val="006A78E8"/>
    <w:rsid w:val="006B05EF"/>
    <w:rsid w:val="006B1DA3"/>
    <w:rsid w:val="006B20B8"/>
    <w:rsid w:val="006B234D"/>
    <w:rsid w:val="006B3A1A"/>
    <w:rsid w:val="006B58C7"/>
    <w:rsid w:val="006B69E1"/>
    <w:rsid w:val="006C148F"/>
    <w:rsid w:val="006C1DCF"/>
    <w:rsid w:val="006C304B"/>
    <w:rsid w:val="006C5626"/>
    <w:rsid w:val="006C5850"/>
    <w:rsid w:val="006C5EF5"/>
    <w:rsid w:val="006C66F1"/>
    <w:rsid w:val="006C735A"/>
    <w:rsid w:val="006D0C1A"/>
    <w:rsid w:val="006D1F1E"/>
    <w:rsid w:val="006D2066"/>
    <w:rsid w:val="006D452B"/>
    <w:rsid w:val="006D489A"/>
    <w:rsid w:val="006D4C1D"/>
    <w:rsid w:val="006D61A1"/>
    <w:rsid w:val="006D66ED"/>
    <w:rsid w:val="006D79EB"/>
    <w:rsid w:val="006D7B0A"/>
    <w:rsid w:val="006D7B51"/>
    <w:rsid w:val="006D7D8C"/>
    <w:rsid w:val="006D7E3E"/>
    <w:rsid w:val="006D7F63"/>
    <w:rsid w:val="006E09AB"/>
    <w:rsid w:val="006E10ED"/>
    <w:rsid w:val="006E22BD"/>
    <w:rsid w:val="006E3B1B"/>
    <w:rsid w:val="006E3F79"/>
    <w:rsid w:val="006E522D"/>
    <w:rsid w:val="006E5320"/>
    <w:rsid w:val="006E5424"/>
    <w:rsid w:val="006E5988"/>
    <w:rsid w:val="006E6548"/>
    <w:rsid w:val="006E6C9D"/>
    <w:rsid w:val="006F0765"/>
    <w:rsid w:val="006F0928"/>
    <w:rsid w:val="006F1C1D"/>
    <w:rsid w:val="006F2D59"/>
    <w:rsid w:val="006F35B4"/>
    <w:rsid w:val="006F40DE"/>
    <w:rsid w:val="006F5189"/>
    <w:rsid w:val="006F7CF2"/>
    <w:rsid w:val="00700A6D"/>
    <w:rsid w:val="007035BB"/>
    <w:rsid w:val="00703EC1"/>
    <w:rsid w:val="00707B66"/>
    <w:rsid w:val="007119C8"/>
    <w:rsid w:val="00712923"/>
    <w:rsid w:val="007129A9"/>
    <w:rsid w:val="00712EFB"/>
    <w:rsid w:val="0071376B"/>
    <w:rsid w:val="007140BE"/>
    <w:rsid w:val="00714E00"/>
    <w:rsid w:val="00715FA3"/>
    <w:rsid w:val="007165B7"/>
    <w:rsid w:val="00716F5D"/>
    <w:rsid w:val="00722430"/>
    <w:rsid w:val="00723189"/>
    <w:rsid w:val="00723254"/>
    <w:rsid w:val="007242A7"/>
    <w:rsid w:val="00724BCD"/>
    <w:rsid w:val="00724DB7"/>
    <w:rsid w:val="00725261"/>
    <w:rsid w:val="0072529F"/>
    <w:rsid w:val="007271D9"/>
    <w:rsid w:val="007275A3"/>
    <w:rsid w:val="0073006C"/>
    <w:rsid w:val="007316A8"/>
    <w:rsid w:val="007323AF"/>
    <w:rsid w:val="00732923"/>
    <w:rsid w:val="00733868"/>
    <w:rsid w:val="0073414E"/>
    <w:rsid w:val="00736396"/>
    <w:rsid w:val="007364FC"/>
    <w:rsid w:val="00736A2B"/>
    <w:rsid w:val="00737714"/>
    <w:rsid w:val="007403CB"/>
    <w:rsid w:val="00742E5E"/>
    <w:rsid w:val="00747FF6"/>
    <w:rsid w:val="0075117E"/>
    <w:rsid w:val="00751BB2"/>
    <w:rsid w:val="0075210A"/>
    <w:rsid w:val="0075298C"/>
    <w:rsid w:val="00752E58"/>
    <w:rsid w:val="00752EC6"/>
    <w:rsid w:val="007545DF"/>
    <w:rsid w:val="007557D5"/>
    <w:rsid w:val="00756938"/>
    <w:rsid w:val="00760A66"/>
    <w:rsid w:val="007627ED"/>
    <w:rsid w:val="00762ACE"/>
    <w:rsid w:val="007634D9"/>
    <w:rsid w:val="00765374"/>
    <w:rsid w:val="00765C1E"/>
    <w:rsid w:val="00766B7C"/>
    <w:rsid w:val="00766E70"/>
    <w:rsid w:val="00767EFF"/>
    <w:rsid w:val="00772698"/>
    <w:rsid w:val="007752A5"/>
    <w:rsid w:val="007774F4"/>
    <w:rsid w:val="007776E9"/>
    <w:rsid w:val="007826DF"/>
    <w:rsid w:val="007839DE"/>
    <w:rsid w:val="00786A4D"/>
    <w:rsid w:val="00787221"/>
    <w:rsid w:val="00787932"/>
    <w:rsid w:val="00787F11"/>
    <w:rsid w:val="00790A81"/>
    <w:rsid w:val="0079137E"/>
    <w:rsid w:val="007952B1"/>
    <w:rsid w:val="00796DC7"/>
    <w:rsid w:val="00797A73"/>
    <w:rsid w:val="007A0238"/>
    <w:rsid w:val="007A106E"/>
    <w:rsid w:val="007A20B5"/>
    <w:rsid w:val="007A2F9D"/>
    <w:rsid w:val="007A393C"/>
    <w:rsid w:val="007A3E2B"/>
    <w:rsid w:val="007A4763"/>
    <w:rsid w:val="007A4956"/>
    <w:rsid w:val="007A4ACC"/>
    <w:rsid w:val="007A4DBD"/>
    <w:rsid w:val="007A535B"/>
    <w:rsid w:val="007A576F"/>
    <w:rsid w:val="007B1638"/>
    <w:rsid w:val="007B355E"/>
    <w:rsid w:val="007B3F94"/>
    <w:rsid w:val="007B68F2"/>
    <w:rsid w:val="007B6B9C"/>
    <w:rsid w:val="007C012C"/>
    <w:rsid w:val="007C20E8"/>
    <w:rsid w:val="007C3F68"/>
    <w:rsid w:val="007C4A60"/>
    <w:rsid w:val="007C6E75"/>
    <w:rsid w:val="007C7CAE"/>
    <w:rsid w:val="007D420D"/>
    <w:rsid w:val="007D4BD5"/>
    <w:rsid w:val="007D5071"/>
    <w:rsid w:val="007D573A"/>
    <w:rsid w:val="007D5F47"/>
    <w:rsid w:val="007D61CD"/>
    <w:rsid w:val="007D6730"/>
    <w:rsid w:val="007D6ADF"/>
    <w:rsid w:val="007D7E5C"/>
    <w:rsid w:val="007E06AA"/>
    <w:rsid w:val="007E08D3"/>
    <w:rsid w:val="007E5990"/>
    <w:rsid w:val="007E63DB"/>
    <w:rsid w:val="007E6F46"/>
    <w:rsid w:val="007F0E90"/>
    <w:rsid w:val="007F223C"/>
    <w:rsid w:val="007F2E37"/>
    <w:rsid w:val="007F3E06"/>
    <w:rsid w:val="007F52C8"/>
    <w:rsid w:val="007F57AF"/>
    <w:rsid w:val="007F687B"/>
    <w:rsid w:val="007F70DB"/>
    <w:rsid w:val="007F7F60"/>
    <w:rsid w:val="00800106"/>
    <w:rsid w:val="00800765"/>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345"/>
    <w:rsid w:val="00821964"/>
    <w:rsid w:val="00821FEA"/>
    <w:rsid w:val="00822706"/>
    <w:rsid w:val="00823050"/>
    <w:rsid w:val="0082373F"/>
    <w:rsid w:val="0082400B"/>
    <w:rsid w:val="00824891"/>
    <w:rsid w:val="00824CFA"/>
    <w:rsid w:val="00825E5D"/>
    <w:rsid w:val="008266EE"/>
    <w:rsid w:val="00827475"/>
    <w:rsid w:val="008301A2"/>
    <w:rsid w:val="00830A2E"/>
    <w:rsid w:val="00832FB8"/>
    <w:rsid w:val="0083363D"/>
    <w:rsid w:val="00840E67"/>
    <w:rsid w:val="00841325"/>
    <w:rsid w:val="00841CC5"/>
    <w:rsid w:val="00841F40"/>
    <w:rsid w:val="00842216"/>
    <w:rsid w:val="0084299C"/>
    <w:rsid w:val="008453E0"/>
    <w:rsid w:val="00845D69"/>
    <w:rsid w:val="00846CC1"/>
    <w:rsid w:val="00847967"/>
    <w:rsid w:val="00852F62"/>
    <w:rsid w:val="0085313A"/>
    <w:rsid w:val="00853419"/>
    <w:rsid w:val="00853EE1"/>
    <w:rsid w:val="00854B42"/>
    <w:rsid w:val="008552B1"/>
    <w:rsid w:val="008567D6"/>
    <w:rsid w:val="00856F6A"/>
    <w:rsid w:val="00860F47"/>
    <w:rsid w:val="00861ECF"/>
    <w:rsid w:val="00862CAD"/>
    <w:rsid w:val="00862ECD"/>
    <w:rsid w:val="008634A8"/>
    <w:rsid w:val="00865145"/>
    <w:rsid w:val="008663E6"/>
    <w:rsid w:val="0087278C"/>
    <w:rsid w:val="008728BD"/>
    <w:rsid w:val="008747D9"/>
    <w:rsid w:val="008766F4"/>
    <w:rsid w:val="00880AF0"/>
    <w:rsid w:val="00880EC6"/>
    <w:rsid w:val="00881DA8"/>
    <w:rsid w:val="00881F93"/>
    <w:rsid w:val="00882B6D"/>
    <w:rsid w:val="00884503"/>
    <w:rsid w:val="00884A2E"/>
    <w:rsid w:val="00887B5D"/>
    <w:rsid w:val="00887F65"/>
    <w:rsid w:val="008909AD"/>
    <w:rsid w:val="0089137F"/>
    <w:rsid w:val="00892F30"/>
    <w:rsid w:val="00894DF4"/>
    <w:rsid w:val="00897967"/>
    <w:rsid w:val="008A11D4"/>
    <w:rsid w:val="008A1B6D"/>
    <w:rsid w:val="008A27CF"/>
    <w:rsid w:val="008A28B9"/>
    <w:rsid w:val="008A69EB"/>
    <w:rsid w:val="008A6A87"/>
    <w:rsid w:val="008A6CA7"/>
    <w:rsid w:val="008A7823"/>
    <w:rsid w:val="008A7BED"/>
    <w:rsid w:val="008B0307"/>
    <w:rsid w:val="008B222E"/>
    <w:rsid w:val="008B3F16"/>
    <w:rsid w:val="008B4463"/>
    <w:rsid w:val="008B60E6"/>
    <w:rsid w:val="008B70BF"/>
    <w:rsid w:val="008B71CA"/>
    <w:rsid w:val="008C0576"/>
    <w:rsid w:val="008C0BAC"/>
    <w:rsid w:val="008C1928"/>
    <w:rsid w:val="008C2D3F"/>
    <w:rsid w:val="008C3C56"/>
    <w:rsid w:val="008C4063"/>
    <w:rsid w:val="008C50C2"/>
    <w:rsid w:val="008C5230"/>
    <w:rsid w:val="008C5464"/>
    <w:rsid w:val="008C72DB"/>
    <w:rsid w:val="008D1DDF"/>
    <w:rsid w:val="008D27A6"/>
    <w:rsid w:val="008D45A2"/>
    <w:rsid w:val="008D72A1"/>
    <w:rsid w:val="008E09DA"/>
    <w:rsid w:val="008E15A5"/>
    <w:rsid w:val="008E1B14"/>
    <w:rsid w:val="008E1FA5"/>
    <w:rsid w:val="008E495C"/>
    <w:rsid w:val="008E6681"/>
    <w:rsid w:val="008E6BCB"/>
    <w:rsid w:val="008E70D6"/>
    <w:rsid w:val="008F0620"/>
    <w:rsid w:val="008F067C"/>
    <w:rsid w:val="008F112F"/>
    <w:rsid w:val="008F1573"/>
    <w:rsid w:val="008F43CA"/>
    <w:rsid w:val="008F53BA"/>
    <w:rsid w:val="009010AF"/>
    <w:rsid w:val="009028D5"/>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AAB"/>
    <w:rsid w:val="00922E1E"/>
    <w:rsid w:val="009256F2"/>
    <w:rsid w:val="00927E9E"/>
    <w:rsid w:val="0093083A"/>
    <w:rsid w:val="00931E72"/>
    <w:rsid w:val="0093585F"/>
    <w:rsid w:val="00935F81"/>
    <w:rsid w:val="009364CD"/>
    <w:rsid w:val="00936B0A"/>
    <w:rsid w:val="00937EDE"/>
    <w:rsid w:val="009406BD"/>
    <w:rsid w:val="00941BAA"/>
    <w:rsid w:val="0094244B"/>
    <w:rsid w:val="00942673"/>
    <w:rsid w:val="00942D0B"/>
    <w:rsid w:val="00942E6B"/>
    <w:rsid w:val="00944869"/>
    <w:rsid w:val="00944D19"/>
    <w:rsid w:val="00945086"/>
    <w:rsid w:val="00945FA9"/>
    <w:rsid w:val="00946DA3"/>
    <w:rsid w:val="0094788C"/>
    <w:rsid w:val="009505B0"/>
    <w:rsid w:val="00950C89"/>
    <w:rsid w:val="00950F45"/>
    <w:rsid w:val="00950F96"/>
    <w:rsid w:val="00951E51"/>
    <w:rsid w:val="00952091"/>
    <w:rsid w:val="00954514"/>
    <w:rsid w:val="00955DCA"/>
    <w:rsid w:val="00955FB6"/>
    <w:rsid w:val="009560E3"/>
    <w:rsid w:val="0095611C"/>
    <w:rsid w:val="00960468"/>
    <w:rsid w:val="00961D77"/>
    <w:rsid w:val="00962730"/>
    <w:rsid w:val="00963925"/>
    <w:rsid w:val="00964BB4"/>
    <w:rsid w:val="00964C60"/>
    <w:rsid w:val="009668FA"/>
    <w:rsid w:val="0096757D"/>
    <w:rsid w:val="0097122B"/>
    <w:rsid w:val="00973803"/>
    <w:rsid w:val="00973951"/>
    <w:rsid w:val="00974894"/>
    <w:rsid w:val="00975243"/>
    <w:rsid w:val="0097629D"/>
    <w:rsid w:val="0097669D"/>
    <w:rsid w:val="009816B1"/>
    <w:rsid w:val="00983595"/>
    <w:rsid w:val="00983DDD"/>
    <w:rsid w:val="00984369"/>
    <w:rsid w:val="009848BF"/>
    <w:rsid w:val="00984BA2"/>
    <w:rsid w:val="00985429"/>
    <w:rsid w:val="009861AB"/>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A9"/>
    <w:rsid w:val="009B2F12"/>
    <w:rsid w:val="009B4079"/>
    <w:rsid w:val="009B4B70"/>
    <w:rsid w:val="009B4DAC"/>
    <w:rsid w:val="009B5081"/>
    <w:rsid w:val="009B5353"/>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5D34"/>
    <w:rsid w:val="009D68C4"/>
    <w:rsid w:val="009D7118"/>
    <w:rsid w:val="009E0EF1"/>
    <w:rsid w:val="009E38F1"/>
    <w:rsid w:val="009E3942"/>
    <w:rsid w:val="009E5A80"/>
    <w:rsid w:val="009E5C6F"/>
    <w:rsid w:val="009E6163"/>
    <w:rsid w:val="009E6E41"/>
    <w:rsid w:val="009E78EF"/>
    <w:rsid w:val="009F11E9"/>
    <w:rsid w:val="009F17B2"/>
    <w:rsid w:val="009F1CDE"/>
    <w:rsid w:val="009F4537"/>
    <w:rsid w:val="009F4910"/>
    <w:rsid w:val="00A018AF"/>
    <w:rsid w:val="00A01949"/>
    <w:rsid w:val="00A02945"/>
    <w:rsid w:val="00A02FCD"/>
    <w:rsid w:val="00A035BF"/>
    <w:rsid w:val="00A04267"/>
    <w:rsid w:val="00A05F2C"/>
    <w:rsid w:val="00A0648C"/>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0617"/>
    <w:rsid w:val="00A31F21"/>
    <w:rsid w:val="00A34B6F"/>
    <w:rsid w:val="00A35B23"/>
    <w:rsid w:val="00A35F5C"/>
    <w:rsid w:val="00A373F8"/>
    <w:rsid w:val="00A37674"/>
    <w:rsid w:val="00A402A2"/>
    <w:rsid w:val="00A4084E"/>
    <w:rsid w:val="00A4178D"/>
    <w:rsid w:val="00A41FB3"/>
    <w:rsid w:val="00A43197"/>
    <w:rsid w:val="00A431CD"/>
    <w:rsid w:val="00A43366"/>
    <w:rsid w:val="00A45386"/>
    <w:rsid w:val="00A50B9B"/>
    <w:rsid w:val="00A51450"/>
    <w:rsid w:val="00A51E78"/>
    <w:rsid w:val="00A5382A"/>
    <w:rsid w:val="00A53C07"/>
    <w:rsid w:val="00A53EC5"/>
    <w:rsid w:val="00A557CA"/>
    <w:rsid w:val="00A56244"/>
    <w:rsid w:val="00A56AB7"/>
    <w:rsid w:val="00A56DE1"/>
    <w:rsid w:val="00A57C7B"/>
    <w:rsid w:val="00A6147F"/>
    <w:rsid w:val="00A6176C"/>
    <w:rsid w:val="00A61BA6"/>
    <w:rsid w:val="00A6423A"/>
    <w:rsid w:val="00A643F7"/>
    <w:rsid w:val="00A6456E"/>
    <w:rsid w:val="00A64DBF"/>
    <w:rsid w:val="00A64E11"/>
    <w:rsid w:val="00A65260"/>
    <w:rsid w:val="00A67317"/>
    <w:rsid w:val="00A70012"/>
    <w:rsid w:val="00A70ACE"/>
    <w:rsid w:val="00A71CE7"/>
    <w:rsid w:val="00A729B0"/>
    <w:rsid w:val="00A73496"/>
    <w:rsid w:val="00A74801"/>
    <w:rsid w:val="00A778B6"/>
    <w:rsid w:val="00A81A55"/>
    <w:rsid w:val="00A81AB9"/>
    <w:rsid w:val="00A83903"/>
    <w:rsid w:val="00A8561D"/>
    <w:rsid w:val="00A85C74"/>
    <w:rsid w:val="00A87A76"/>
    <w:rsid w:val="00A9204D"/>
    <w:rsid w:val="00A93570"/>
    <w:rsid w:val="00A951C3"/>
    <w:rsid w:val="00A9611A"/>
    <w:rsid w:val="00A96712"/>
    <w:rsid w:val="00AA18AC"/>
    <w:rsid w:val="00AA3E14"/>
    <w:rsid w:val="00AA40F8"/>
    <w:rsid w:val="00AA4A5A"/>
    <w:rsid w:val="00AA5AAB"/>
    <w:rsid w:val="00AA5F57"/>
    <w:rsid w:val="00AA75A7"/>
    <w:rsid w:val="00AB27E0"/>
    <w:rsid w:val="00AB2F71"/>
    <w:rsid w:val="00AB34A0"/>
    <w:rsid w:val="00AB66E8"/>
    <w:rsid w:val="00AB6BE0"/>
    <w:rsid w:val="00AB771C"/>
    <w:rsid w:val="00AC1B03"/>
    <w:rsid w:val="00AC34FC"/>
    <w:rsid w:val="00AC5161"/>
    <w:rsid w:val="00AC673A"/>
    <w:rsid w:val="00AD06F1"/>
    <w:rsid w:val="00AD1268"/>
    <w:rsid w:val="00AD1FB0"/>
    <w:rsid w:val="00AD4E55"/>
    <w:rsid w:val="00AD4F46"/>
    <w:rsid w:val="00AD57FB"/>
    <w:rsid w:val="00AD5FC8"/>
    <w:rsid w:val="00AD7EED"/>
    <w:rsid w:val="00AE1738"/>
    <w:rsid w:val="00AE5125"/>
    <w:rsid w:val="00AE5B39"/>
    <w:rsid w:val="00AE5CB9"/>
    <w:rsid w:val="00AE7333"/>
    <w:rsid w:val="00AE7963"/>
    <w:rsid w:val="00AE7C01"/>
    <w:rsid w:val="00AF0AA7"/>
    <w:rsid w:val="00AF2013"/>
    <w:rsid w:val="00AF2191"/>
    <w:rsid w:val="00AF3636"/>
    <w:rsid w:val="00AF37FC"/>
    <w:rsid w:val="00AF3FAA"/>
    <w:rsid w:val="00AF4CA8"/>
    <w:rsid w:val="00AF6F72"/>
    <w:rsid w:val="00B01CA7"/>
    <w:rsid w:val="00B0222C"/>
    <w:rsid w:val="00B0229D"/>
    <w:rsid w:val="00B022F0"/>
    <w:rsid w:val="00B0326A"/>
    <w:rsid w:val="00B04ACE"/>
    <w:rsid w:val="00B04B37"/>
    <w:rsid w:val="00B05780"/>
    <w:rsid w:val="00B0597F"/>
    <w:rsid w:val="00B102EF"/>
    <w:rsid w:val="00B10DF3"/>
    <w:rsid w:val="00B11563"/>
    <w:rsid w:val="00B115B4"/>
    <w:rsid w:val="00B1174D"/>
    <w:rsid w:val="00B11E00"/>
    <w:rsid w:val="00B12887"/>
    <w:rsid w:val="00B15431"/>
    <w:rsid w:val="00B1548A"/>
    <w:rsid w:val="00B15635"/>
    <w:rsid w:val="00B15C50"/>
    <w:rsid w:val="00B16868"/>
    <w:rsid w:val="00B17CEA"/>
    <w:rsid w:val="00B2134D"/>
    <w:rsid w:val="00B21C33"/>
    <w:rsid w:val="00B22769"/>
    <w:rsid w:val="00B24BCB"/>
    <w:rsid w:val="00B264B5"/>
    <w:rsid w:val="00B274A2"/>
    <w:rsid w:val="00B277CF"/>
    <w:rsid w:val="00B27C31"/>
    <w:rsid w:val="00B30280"/>
    <w:rsid w:val="00B31A55"/>
    <w:rsid w:val="00B32C21"/>
    <w:rsid w:val="00B34C05"/>
    <w:rsid w:val="00B34E36"/>
    <w:rsid w:val="00B3748D"/>
    <w:rsid w:val="00B40DC8"/>
    <w:rsid w:val="00B42925"/>
    <w:rsid w:val="00B45644"/>
    <w:rsid w:val="00B46324"/>
    <w:rsid w:val="00B46FFF"/>
    <w:rsid w:val="00B47A0F"/>
    <w:rsid w:val="00B514BE"/>
    <w:rsid w:val="00B53C22"/>
    <w:rsid w:val="00B55912"/>
    <w:rsid w:val="00B55A67"/>
    <w:rsid w:val="00B56553"/>
    <w:rsid w:val="00B60460"/>
    <w:rsid w:val="00B6057B"/>
    <w:rsid w:val="00B61253"/>
    <w:rsid w:val="00B6196B"/>
    <w:rsid w:val="00B634AE"/>
    <w:rsid w:val="00B65276"/>
    <w:rsid w:val="00B66E31"/>
    <w:rsid w:val="00B67916"/>
    <w:rsid w:val="00B707DE"/>
    <w:rsid w:val="00B70E9A"/>
    <w:rsid w:val="00B70FEC"/>
    <w:rsid w:val="00B71D41"/>
    <w:rsid w:val="00B743AB"/>
    <w:rsid w:val="00B7566F"/>
    <w:rsid w:val="00B75A22"/>
    <w:rsid w:val="00B764F7"/>
    <w:rsid w:val="00B76BB0"/>
    <w:rsid w:val="00B76BD0"/>
    <w:rsid w:val="00B770C7"/>
    <w:rsid w:val="00B77393"/>
    <w:rsid w:val="00B80B7E"/>
    <w:rsid w:val="00B81D10"/>
    <w:rsid w:val="00B82774"/>
    <w:rsid w:val="00B82835"/>
    <w:rsid w:val="00B82C3E"/>
    <w:rsid w:val="00B833BD"/>
    <w:rsid w:val="00B84EB7"/>
    <w:rsid w:val="00B85BDF"/>
    <w:rsid w:val="00B85DDD"/>
    <w:rsid w:val="00B86746"/>
    <w:rsid w:val="00B905DE"/>
    <w:rsid w:val="00B911BA"/>
    <w:rsid w:val="00B93F1E"/>
    <w:rsid w:val="00BA0537"/>
    <w:rsid w:val="00BA05A8"/>
    <w:rsid w:val="00BA0854"/>
    <w:rsid w:val="00BA429E"/>
    <w:rsid w:val="00BA4515"/>
    <w:rsid w:val="00BA52AF"/>
    <w:rsid w:val="00BA71C5"/>
    <w:rsid w:val="00BA7724"/>
    <w:rsid w:val="00BA772E"/>
    <w:rsid w:val="00BB00A6"/>
    <w:rsid w:val="00BB03CD"/>
    <w:rsid w:val="00BB2388"/>
    <w:rsid w:val="00BB30B5"/>
    <w:rsid w:val="00BB4462"/>
    <w:rsid w:val="00BB5C1C"/>
    <w:rsid w:val="00BB6784"/>
    <w:rsid w:val="00BB6FB2"/>
    <w:rsid w:val="00BC00C0"/>
    <w:rsid w:val="00BC02C4"/>
    <w:rsid w:val="00BC046B"/>
    <w:rsid w:val="00BC0665"/>
    <w:rsid w:val="00BC0D8D"/>
    <w:rsid w:val="00BC4818"/>
    <w:rsid w:val="00BC7296"/>
    <w:rsid w:val="00BD091A"/>
    <w:rsid w:val="00BD0DAC"/>
    <w:rsid w:val="00BD0DD2"/>
    <w:rsid w:val="00BD3137"/>
    <w:rsid w:val="00BD4758"/>
    <w:rsid w:val="00BD48FB"/>
    <w:rsid w:val="00BD5729"/>
    <w:rsid w:val="00BD5E3B"/>
    <w:rsid w:val="00BD60E7"/>
    <w:rsid w:val="00BD61D5"/>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1513"/>
    <w:rsid w:val="00C025AD"/>
    <w:rsid w:val="00C06609"/>
    <w:rsid w:val="00C06755"/>
    <w:rsid w:val="00C06BAD"/>
    <w:rsid w:val="00C10AF0"/>
    <w:rsid w:val="00C118A8"/>
    <w:rsid w:val="00C11BCC"/>
    <w:rsid w:val="00C1231C"/>
    <w:rsid w:val="00C125FE"/>
    <w:rsid w:val="00C13249"/>
    <w:rsid w:val="00C151A2"/>
    <w:rsid w:val="00C15503"/>
    <w:rsid w:val="00C159F8"/>
    <w:rsid w:val="00C16F9A"/>
    <w:rsid w:val="00C17D07"/>
    <w:rsid w:val="00C17FD9"/>
    <w:rsid w:val="00C2021F"/>
    <w:rsid w:val="00C20C28"/>
    <w:rsid w:val="00C21338"/>
    <w:rsid w:val="00C21B29"/>
    <w:rsid w:val="00C23790"/>
    <w:rsid w:val="00C240B3"/>
    <w:rsid w:val="00C242A6"/>
    <w:rsid w:val="00C247DB"/>
    <w:rsid w:val="00C24FC9"/>
    <w:rsid w:val="00C25691"/>
    <w:rsid w:val="00C258D9"/>
    <w:rsid w:val="00C272D9"/>
    <w:rsid w:val="00C27862"/>
    <w:rsid w:val="00C315DC"/>
    <w:rsid w:val="00C317E6"/>
    <w:rsid w:val="00C31BD0"/>
    <w:rsid w:val="00C3214B"/>
    <w:rsid w:val="00C328F5"/>
    <w:rsid w:val="00C344BC"/>
    <w:rsid w:val="00C34CF3"/>
    <w:rsid w:val="00C3599C"/>
    <w:rsid w:val="00C41868"/>
    <w:rsid w:val="00C41DC5"/>
    <w:rsid w:val="00C43107"/>
    <w:rsid w:val="00C441FE"/>
    <w:rsid w:val="00C4555A"/>
    <w:rsid w:val="00C45CB8"/>
    <w:rsid w:val="00C4689C"/>
    <w:rsid w:val="00C4762A"/>
    <w:rsid w:val="00C5174C"/>
    <w:rsid w:val="00C51A88"/>
    <w:rsid w:val="00C5295B"/>
    <w:rsid w:val="00C563E7"/>
    <w:rsid w:val="00C57AE2"/>
    <w:rsid w:val="00C57FA1"/>
    <w:rsid w:val="00C60023"/>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4E5A"/>
    <w:rsid w:val="00C75163"/>
    <w:rsid w:val="00C779BD"/>
    <w:rsid w:val="00C80BDC"/>
    <w:rsid w:val="00C8293F"/>
    <w:rsid w:val="00C84045"/>
    <w:rsid w:val="00C845FE"/>
    <w:rsid w:val="00C855C6"/>
    <w:rsid w:val="00C85F2C"/>
    <w:rsid w:val="00C86E6C"/>
    <w:rsid w:val="00C86EA1"/>
    <w:rsid w:val="00C92AFD"/>
    <w:rsid w:val="00C92B10"/>
    <w:rsid w:val="00C93041"/>
    <w:rsid w:val="00C936B5"/>
    <w:rsid w:val="00C941BF"/>
    <w:rsid w:val="00C9579E"/>
    <w:rsid w:val="00C97097"/>
    <w:rsid w:val="00C97BED"/>
    <w:rsid w:val="00CA34D7"/>
    <w:rsid w:val="00CA393F"/>
    <w:rsid w:val="00CA405C"/>
    <w:rsid w:val="00CA4A15"/>
    <w:rsid w:val="00CA573F"/>
    <w:rsid w:val="00CA5F2D"/>
    <w:rsid w:val="00CA65EB"/>
    <w:rsid w:val="00CA7C19"/>
    <w:rsid w:val="00CA7E2F"/>
    <w:rsid w:val="00CB09BB"/>
    <w:rsid w:val="00CB0E12"/>
    <w:rsid w:val="00CB101E"/>
    <w:rsid w:val="00CB19AE"/>
    <w:rsid w:val="00CB1EC4"/>
    <w:rsid w:val="00CB209C"/>
    <w:rsid w:val="00CB43CB"/>
    <w:rsid w:val="00CB507B"/>
    <w:rsid w:val="00CC0DDD"/>
    <w:rsid w:val="00CC16D3"/>
    <w:rsid w:val="00CC4339"/>
    <w:rsid w:val="00CC5E4E"/>
    <w:rsid w:val="00CC5FE5"/>
    <w:rsid w:val="00CD1323"/>
    <w:rsid w:val="00CD18F9"/>
    <w:rsid w:val="00CD303B"/>
    <w:rsid w:val="00CD36BC"/>
    <w:rsid w:val="00CD3C97"/>
    <w:rsid w:val="00CD422E"/>
    <w:rsid w:val="00CD4BB7"/>
    <w:rsid w:val="00CD71F9"/>
    <w:rsid w:val="00CE2C88"/>
    <w:rsid w:val="00CE31C4"/>
    <w:rsid w:val="00CE49EC"/>
    <w:rsid w:val="00CE53D2"/>
    <w:rsid w:val="00CE63BF"/>
    <w:rsid w:val="00CE63ED"/>
    <w:rsid w:val="00CE7E19"/>
    <w:rsid w:val="00CF094E"/>
    <w:rsid w:val="00CF117D"/>
    <w:rsid w:val="00CF11F2"/>
    <w:rsid w:val="00CF1F76"/>
    <w:rsid w:val="00CF26E5"/>
    <w:rsid w:val="00CF2CBB"/>
    <w:rsid w:val="00CF3320"/>
    <w:rsid w:val="00CF37E1"/>
    <w:rsid w:val="00CF6A96"/>
    <w:rsid w:val="00CF7729"/>
    <w:rsid w:val="00D000C6"/>
    <w:rsid w:val="00D010F5"/>
    <w:rsid w:val="00D01824"/>
    <w:rsid w:val="00D02D65"/>
    <w:rsid w:val="00D043ED"/>
    <w:rsid w:val="00D04BE9"/>
    <w:rsid w:val="00D05EBE"/>
    <w:rsid w:val="00D10332"/>
    <w:rsid w:val="00D10908"/>
    <w:rsid w:val="00D1134F"/>
    <w:rsid w:val="00D134C5"/>
    <w:rsid w:val="00D14C51"/>
    <w:rsid w:val="00D15BDF"/>
    <w:rsid w:val="00D17892"/>
    <w:rsid w:val="00D17B02"/>
    <w:rsid w:val="00D20244"/>
    <w:rsid w:val="00D21304"/>
    <w:rsid w:val="00D2174B"/>
    <w:rsid w:val="00D2194D"/>
    <w:rsid w:val="00D21CB2"/>
    <w:rsid w:val="00D23456"/>
    <w:rsid w:val="00D25E21"/>
    <w:rsid w:val="00D273F4"/>
    <w:rsid w:val="00D306E7"/>
    <w:rsid w:val="00D309A9"/>
    <w:rsid w:val="00D30C6F"/>
    <w:rsid w:val="00D311E9"/>
    <w:rsid w:val="00D3133A"/>
    <w:rsid w:val="00D329C7"/>
    <w:rsid w:val="00D32A18"/>
    <w:rsid w:val="00D33F1E"/>
    <w:rsid w:val="00D352F3"/>
    <w:rsid w:val="00D35735"/>
    <w:rsid w:val="00D361A5"/>
    <w:rsid w:val="00D432B8"/>
    <w:rsid w:val="00D43C41"/>
    <w:rsid w:val="00D44EB4"/>
    <w:rsid w:val="00D45BCC"/>
    <w:rsid w:val="00D46035"/>
    <w:rsid w:val="00D46B38"/>
    <w:rsid w:val="00D502D2"/>
    <w:rsid w:val="00D51225"/>
    <w:rsid w:val="00D51D71"/>
    <w:rsid w:val="00D52D2F"/>
    <w:rsid w:val="00D53EC5"/>
    <w:rsid w:val="00D56E80"/>
    <w:rsid w:val="00D6155B"/>
    <w:rsid w:val="00D62AC7"/>
    <w:rsid w:val="00D62E8D"/>
    <w:rsid w:val="00D65A11"/>
    <w:rsid w:val="00D65F41"/>
    <w:rsid w:val="00D65FC3"/>
    <w:rsid w:val="00D672EA"/>
    <w:rsid w:val="00D70CEF"/>
    <w:rsid w:val="00D70DF3"/>
    <w:rsid w:val="00D74620"/>
    <w:rsid w:val="00D74CB7"/>
    <w:rsid w:val="00D75864"/>
    <w:rsid w:val="00D77345"/>
    <w:rsid w:val="00D80DC1"/>
    <w:rsid w:val="00D8140A"/>
    <w:rsid w:val="00D82EE5"/>
    <w:rsid w:val="00D83B75"/>
    <w:rsid w:val="00D84386"/>
    <w:rsid w:val="00D8483F"/>
    <w:rsid w:val="00D84C9F"/>
    <w:rsid w:val="00D85E0A"/>
    <w:rsid w:val="00D91060"/>
    <w:rsid w:val="00D9195D"/>
    <w:rsid w:val="00D9280D"/>
    <w:rsid w:val="00D93906"/>
    <w:rsid w:val="00D93EA2"/>
    <w:rsid w:val="00D957C0"/>
    <w:rsid w:val="00DA03A5"/>
    <w:rsid w:val="00DA2532"/>
    <w:rsid w:val="00DA2BF5"/>
    <w:rsid w:val="00DA4A62"/>
    <w:rsid w:val="00DA6311"/>
    <w:rsid w:val="00DB19BA"/>
    <w:rsid w:val="00DB1FBA"/>
    <w:rsid w:val="00DB5BC3"/>
    <w:rsid w:val="00DC1EE5"/>
    <w:rsid w:val="00DC35D4"/>
    <w:rsid w:val="00DC610E"/>
    <w:rsid w:val="00DC7EBA"/>
    <w:rsid w:val="00DD09AF"/>
    <w:rsid w:val="00DD0B96"/>
    <w:rsid w:val="00DD2437"/>
    <w:rsid w:val="00DD2CAA"/>
    <w:rsid w:val="00DD50CA"/>
    <w:rsid w:val="00DD681E"/>
    <w:rsid w:val="00DD7A30"/>
    <w:rsid w:val="00DE10C2"/>
    <w:rsid w:val="00DE308F"/>
    <w:rsid w:val="00DE36E8"/>
    <w:rsid w:val="00DE67E1"/>
    <w:rsid w:val="00DE76AF"/>
    <w:rsid w:val="00DF08F8"/>
    <w:rsid w:val="00DF1036"/>
    <w:rsid w:val="00DF1040"/>
    <w:rsid w:val="00DF37F7"/>
    <w:rsid w:val="00DF48A9"/>
    <w:rsid w:val="00DF4D2E"/>
    <w:rsid w:val="00DF59B6"/>
    <w:rsid w:val="00DF618C"/>
    <w:rsid w:val="00DF665E"/>
    <w:rsid w:val="00DF6C45"/>
    <w:rsid w:val="00DF796A"/>
    <w:rsid w:val="00E00F6D"/>
    <w:rsid w:val="00E017FA"/>
    <w:rsid w:val="00E01F88"/>
    <w:rsid w:val="00E03AC0"/>
    <w:rsid w:val="00E03E46"/>
    <w:rsid w:val="00E04BBF"/>
    <w:rsid w:val="00E05AAB"/>
    <w:rsid w:val="00E06FDB"/>
    <w:rsid w:val="00E07A3A"/>
    <w:rsid w:val="00E101CB"/>
    <w:rsid w:val="00E1075D"/>
    <w:rsid w:val="00E139FA"/>
    <w:rsid w:val="00E154AE"/>
    <w:rsid w:val="00E16F26"/>
    <w:rsid w:val="00E22227"/>
    <w:rsid w:val="00E22D66"/>
    <w:rsid w:val="00E2374F"/>
    <w:rsid w:val="00E24555"/>
    <w:rsid w:val="00E27AD8"/>
    <w:rsid w:val="00E30378"/>
    <w:rsid w:val="00E334C3"/>
    <w:rsid w:val="00E338A6"/>
    <w:rsid w:val="00E33CC9"/>
    <w:rsid w:val="00E33F92"/>
    <w:rsid w:val="00E35DEA"/>
    <w:rsid w:val="00E36796"/>
    <w:rsid w:val="00E36EEC"/>
    <w:rsid w:val="00E37233"/>
    <w:rsid w:val="00E3771F"/>
    <w:rsid w:val="00E4023C"/>
    <w:rsid w:val="00E410BB"/>
    <w:rsid w:val="00E44332"/>
    <w:rsid w:val="00E44AC2"/>
    <w:rsid w:val="00E468E1"/>
    <w:rsid w:val="00E4744C"/>
    <w:rsid w:val="00E4795B"/>
    <w:rsid w:val="00E47AFB"/>
    <w:rsid w:val="00E53A9D"/>
    <w:rsid w:val="00E544CE"/>
    <w:rsid w:val="00E55C7A"/>
    <w:rsid w:val="00E56286"/>
    <w:rsid w:val="00E56F27"/>
    <w:rsid w:val="00E60BCD"/>
    <w:rsid w:val="00E60DE0"/>
    <w:rsid w:val="00E60F40"/>
    <w:rsid w:val="00E615F8"/>
    <w:rsid w:val="00E63BD2"/>
    <w:rsid w:val="00E65829"/>
    <w:rsid w:val="00E662BB"/>
    <w:rsid w:val="00E733B4"/>
    <w:rsid w:val="00E7367E"/>
    <w:rsid w:val="00E74F39"/>
    <w:rsid w:val="00E754A0"/>
    <w:rsid w:val="00E757C8"/>
    <w:rsid w:val="00E75C09"/>
    <w:rsid w:val="00E766E8"/>
    <w:rsid w:val="00E832FF"/>
    <w:rsid w:val="00E8504E"/>
    <w:rsid w:val="00E86947"/>
    <w:rsid w:val="00E90085"/>
    <w:rsid w:val="00E90C44"/>
    <w:rsid w:val="00E93426"/>
    <w:rsid w:val="00E947AD"/>
    <w:rsid w:val="00E94915"/>
    <w:rsid w:val="00E9569E"/>
    <w:rsid w:val="00E956A6"/>
    <w:rsid w:val="00E968BD"/>
    <w:rsid w:val="00E97246"/>
    <w:rsid w:val="00EA040D"/>
    <w:rsid w:val="00EA0A2A"/>
    <w:rsid w:val="00EA162B"/>
    <w:rsid w:val="00EA416A"/>
    <w:rsid w:val="00EA4CFD"/>
    <w:rsid w:val="00EA577B"/>
    <w:rsid w:val="00EA6846"/>
    <w:rsid w:val="00EA73D2"/>
    <w:rsid w:val="00EA7BFD"/>
    <w:rsid w:val="00EB2688"/>
    <w:rsid w:val="00EB5B36"/>
    <w:rsid w:val="00EB67FF"/>
    <w:rsid w:val="00EB696D"/>
    <w:rsid w:val="00EB7474"/>
    <w:rsid w:val="00EB7EE1"/>
    <w:rsid w:val="00EC3684"/>
    <w:rsid w:val="00EC3D7F"/>
    <w:rsid w:val="00EC49CC"/>
    <w:rsid w:val="00EC5084"/>
    <w:rsid w:val="00EC5821"/>
    <w:rsid w:val="00EC6279"/>
    <w:rsid w:val="00EC63C2"/>
    <w:rsid w:val="00EC6952"/>
    <w:rsid w:val="00ED03B1"/>
    <w:rsid w:val="00ED173A"/>
    <w:rsid w:val="00ED352F"/>
    <w:rsid w:val="00ED74AD"/>
    <w:rsid w:val="00ED7BB9"/>
    <w:rsid w:val="00EE0B88"/>
    <w:rsid w:val="00EE1317"/>
    <w:rsid w:val="00EE1AF4"/>
    <w:rsid w:val="00EE26D5"/>
    <w:rsid w:val="00EE4A2C"/>
    <w:rsid w:val="00EE4D4E"/>
    <w:rsid w:val="00EE5BD4"/>
    <w:rsid w:val="00EE60D6"/>
    <w:rsid w:val="00EE6219"/>
    <w:rsid w:val="00EE6502"/>
    <w:rsid w:val="00EE67C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C8"/>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7005"/>
    <w:rsid w:val="00F4058F"/>
    <w:rsid w:val="00F4301A"/>
    <w:rsid w:val="00F43D59"/>
    <w:rsid w:val="00F44CE8"/>
    <w:rsid w:val="00F4763F"/>
    <w:rsid w:val="00F50A5F"/>
    <w:rsid w:val="00F525D7"/>
    <w:rsid w:val="00F5336E"/>
    <w:rsid w:val="00F535F3"/>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F8D"/>
    <w:rsid w:val="00F723D1"/>
    <w:rsid w:val="00F72750"/>
    <w:rsid w:val="00F73F14"/>
    <w:rsid w:val="00F753D2"/>
    <w:rsid w:val="00F762CD"/>
    <w:rsid w:val="00F76779"/>
    <w:rsid w:val="00F77A55"/>
    <w:rsid w:val="00F80F2F"/>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40"/>
    <w:rsid w:val="00FA67D4"/>
    <w:rsid w:val="00FB06EC"/>
    <w:rsid w:val="00FB2129"/>
    <w:rsid w:val="00FB390C"/>
    <w:rsid w:val="00FB3E02"/>
    <w:rsid w:val="00FB5299"/>
    <w:rsid w:val="00FC119A"/>
    <w:rsid w:val="00FC2ACB"/>
    <w:rsid w:val="00FC30C6"/>
    <w:rsid w:val="00FC52CE"/>
    <w:rsid w:val="00FC5B56"/>
    <w:rsid w:val="00FC5F75"/>
    <w:rsid w:val="00FC6F26"/>
    <w:rsid w:val="00FC78E2"/>
    <w:rsid w:val="00FC7C86"/>
    <w:rsid w:val="00FD0396"/>
    <w:rsid w:val="00FD1022"/>
    <w:rsid w:val="00FD3DB4"/>
    <w:rsid w:val="00FD6A1C"/>
    <w:rsid w:val="00FD71FC"/>
    <w:rsid w:val="00FE4082"/>
    <w:rsid w:val="00FE42BD"/>
    <w:rsid w:val="00FE4B38"/>
    <w:rsid w:val="00FE4E49"/>
    <w:rsid w:val="00FE7373"/>
    <w:rsid w:val="00FF0447"/>
    <w:rsid w:val="00FF4405"/>
    <w:rsid w:val="00FF55E1"/>
    <w:rsid w:val="00FF608F"/>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link w:val="plainChar"/>
    <w:uiPriority w:val="99"/>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671B12"/>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character" w:customStyle="1" w:styleId="plainChar">
    <w:name w:val="plain Char"/>
    <w:basedOn w:val="DefaultParagraphFont"/>
    <w:link w:val="plain"/>
    <w:uiPriority w:val="99"/>
    <w:locked/>
    <w:rsid w:val="00227650"/>
    <w:rPr>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link w:val="plainChar"/>
    <w:uiPriority w:val="99"/>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671B12"/>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character" w:customStyle="1" w:styleId="plainChar">
    <w:name w:val="plain Char"/>
    <w:basedOn w:val="DefaultParagraphFont"/>
    <w:link w:val="plain"/>
    <w:uiPriority w:val="99"/>
    <w:locked/>
    <w:rsid w:val="00227650"/>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04">
      <w:bodyDiv w:val="1"/>
      <w:marLeft w:val="0"/>
      <w:marRight w:val="0"/>
      <w:marTop w:val="0"/>
      <w:marBottom w:val="0"/>
      <w:divBdr>
        <w:top w:val="none" w:sz="0" w:space="0" w:color="auto"/>
        <w:left w:val="none" w:sz="0" w:space="0" w:color="auto"/>
        <w:bottom w:val="none" w:sz="0" w:space="0" w:color="auto"/>
        <w:right w:val="none" w:sz="0" w:space="0" w:color="auto"/>
      </w:divBdr>
      <w:divsChild>
        <w:div w:id="503277882">
          <w:marLeft w:val="-225"/>
          <w:marRight w:val="-225"/>
          <w:marTop w:val="0"/>
          <w:marBottom w:val="0"/>
          <w:divBdr>
            <w:top w:val="none" w:sz="0" w:space="0" w:color="auto"/>
            <w:left w:val="none" w:sz="0" w:space="0" w:color="auto"/>
            <w:bottom w:val="none" w:sz="0" w:space="0" w:color="auto"/>
            <w:right w:val="none" w:sz="0" w:space="0" w:color="auto"/>
          </w:divBdr>
          <w:divsChild>
            <w:div w:id="15461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19902669">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580870797">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22826471">
      <w:bodyDiv w:val="1"/>
      <w:marLeft w:val="0"/>
      <w:marRight w:val="0"/>
      <w:marTop w:val="0"/>
      <w:marBottom w:val="0"/>
      <w:divBdr>
        <w:top w:val="none" w:sz="0" w:space="0" w:color="auto"/>
        <w:left w:val="none" w:sz="0" w:space="0" w:color="auto"/>
        <w:bottom w:val="none" w:sz="0" w:space="0" w:color="auto"/>
        <w:right w:val="none" w:sz="0" w:space="0" w:color="auto"/>
      </w:divBdr>
      <w:divsChild>
        <w:div w:id="468212174">
          <w:marLeft w:val="-225"/>
          <w:marRight w:val="-225"/>
          <w:marTop w:val="0"/>
          <w:marBottom w:val="0"/>
          <w:divBdr>
            <w:top w:val="none" w:sz="0" w:space="0" w:color="auto"/>
            <w:left w:val="none" w:sz="0" w:space="0" w:color="auto"/>
            <w:bottom w:val="none" w:sz="0" w:space="0" w:color="auto"/>
            <w:right w:val="none" w:sz="0" w:space="0" w:color="auto"/>
          </w:divBdr>
          <w:divsChild>
            <w:div w:id="10898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02845084">
      <w:bodyDiv w:val="1"/>
      <w:marLeft w:val="0"/>
      <w:marRight w:val="0"/>
      <w:marTop w:val="0"/>
      <w:marBottom w:val="0"/>
      <w:divBdr>
        <w:top w:val="none" w:sz="0" w:space="0" w:color="auto"/>
        <w:left w:val="none" w:sz="0" w:space="0" w:color="auto"/>
        <w:bottom w:val="none" w:sz="0" w:space="0" w:color="auto"/>
        <w:right w:val="none" w:sz="0" w:space="0" w:color="auto"/>
      </w:divBdr>
      <w:divsChild>
        <w:div w:id="1798252749">
          <w:marLeft w:val="0"/>
          <w:marRight w:val="0"/>
          <w:marTop w:val="0"/>
          <w:marBottom w:val="0"/>
          <w:divBdr>
            <w:top w:val="none" w:sz="0" w:space="0" w:color="auto"/>
            <w:left w:val="none" w:sz="0" w:space="0" w:color="auto"/>
            <w:bottom w:val="none" w:sz="0" w:space="0" w:color="auto"/>
            <w:right w:val="none" w:sz="0" w:space="0" w:color="auto"/>
          </w:divBdr>
        </w:div>
      </w:divsChild>
    </w:div>
    <w:div w:id="1120606263">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399473927">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0150846">
      <w:bodyDiv w:val="1"/>
      <w:marLeft w:val="0"/>
      <w:marRight w:val="0"/>
      <w:marTop w:val="0"/>
      <w:marBottom w:val="0"/>
      <w:divBdr>
        <w:top w:val="none" w:sz="0" w:space="0" w:color="auto"/>
        <w:left w:val="none" w:sz="0" w:space="0" w:color="auto"/>
        <w:bottom w:val="none" w:sz="0" w:space="0" w:color="auto"/>
        <w:right w:val="none" w:sz="0" w:space="0" w:color="auto"/>
      </w:divBdr>
      <w:divsChild>
        <w:div w:id="1444613294">
          <w:marLeft w:val="-225"/>
          <w:marRight w:val="-225"/>
          <w:marTop w:val="0"/>
          <w:marBottom w:val="0"/>
          <w:divBdr>
            <w:top w:val="none" w:sz="0" w:space="0" w:color="auto"/>
            <w:left w:val="none" w:sz="0" w:space="0" w:color="auto"/>
            <w:bottom w:val="none" w:sz="0" w:space="0" w:color="auto"/>
            <w:right w:val="none" w:sz="0" w:space="0" w:color="auto"/>
          </w:divBdr>
          <w:divsChild>
            <w:div w:id="175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pse.com/aboutpse/Rates/Documents/gas_rule_15.pdf" TargetMode="External"/><Relationship Id="rId2" Type="http://schemas.openxmlformats.org/officeDocument/2006/relationships/hyperlink" Target="http://www.northwest.williams.com/NWP_Portal/gasQualityValues.action" TargetMode="External"/><Relationship Id="rId1" Type="http://schemas.openxmlformats.org/officeDocument/2006/relationships/hyperlink" Target="http://www.northwest.williams.com/Files/Northwest/tariff/tariff_GT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2015-12-03T08:00:00+00:00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E10E-A550-4CE3-9092-CAD8E2D0A502}"/>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46BAF134-B891-4D88-A469-28B96C25742D}"/>
</file>

<file path=customXml/itemProps4.xml><?xml version="1.0" encoding="utf-8"?>
<ds:datastoreItem xmlns:ds="http://schemas.openxmlformats.org/officeDocument/2006/customXml" ds:itemID="{DEA48A03-6DC3-4BA2-AFAC-26A2644E2033}"/>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8ABBE563-D7B5-427B-A75D-629D8193AD86}"/>
</file>

<file path=docProps/app.xml><?xml version="1.0" encoding="utf-8"?>
<Properties xmlns="http://schemas.openxmlformats.org/officeDocument/2006/extended-properties" xmlns:vt="http://schemas.openxmlformats.org/officeDocument/2006/docPropsVTypes">
  <Template>Normal.dotm</Template>
  <TotalTime>160</TotalTime>
  <Pages>20</Pages>
  <Words>4353</Words>
  <Characters>24816</Characters>
  <Application>Microsoft Office Word</Application>
  <DocSecurity>0</DocSecurity>
  <PresentationFormat/>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29111</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(Perkins Coie)</dc:creator>
  <cp:lastModifiedBy>No Name</cp:lastModifiedBy>
  <cp:revision>10</cp:revision>
  <cp:lastPrinted>2015-11-29T05:35:00Z</cp:lastPrinted>
  <dcterms:created xsi:type="dcterms:W3CDTF">2015-12-02T18:51:00Z</dcterms:created>
  <dcterms:modified xsi:type="dcterms:W3CDTF">2015-12-03T01:26:00Z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UFAAkxpNJwTxbICwPEsYHehwIRzGYgtIiQFzNXqihRGmgV+0wFNEjMu5Sc4W4lnLwqG/usvAuTFa8lHZ
zgY/YNiI7Hb/8cw6+p87oaU5WOgI+QKHAK1GdWczQGD4USybz0wJ+PUb4gQvAUKsemwjqNP/GaW4
XWZj0hE5eX5yobobc2NcKKpMOTYj90ns8SqgdrbHTrOr0igS1f8uOF1+kCw2xeAjKEyQn1glHnlA
TP6UwUp951bs9KlYF</vt:lpwstr>
  </property>
  <property fmtid="{D5CDD505-2E9C-101B-9397-08002B2CF9AE}" pid="3" name="MAIL_MSG_ID2">
    <vt:lpwstr>9OaK6a9lzkEH61VlvLZMsOoRwaCP1JIHft0sgHi0ZJ++6vgvaeEKoNm0ui+
ZmlE525+RnZpyAa3PwZTfVgh9X0=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