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507DF" w14:textId="77777777" w:rsidR="00F27132" w:rsidRPr="001246D3" w:rsidRDefault="00F27132">
      <w:pPr>
        <w:pStyle w:val="Title"/>
        <w:rPr>
          <w:rFonts w:ascii="Times New Roman" w:hAnsi="Times New Roman"/>
          <w:sz w:val="25"/>
          <w:szCs w:val="25"/>
        </w:rPr>
      </w:pPr>
      <w:r w:rsidRPr="001246D3">
        <w:rPr>
          <w:rFonts w:ascii="Times New Roman" w:hAnsi="Times New Roman"/>
          <w:sz w:val="25"/>
          <w:szCs w:val="25"/>
        </w:rPr>
        <w:t>BEFORE THE WASHINGTON</w:t>
      </w:r>
    </w:p>
    <w:p w14:paraId="53EBA763" w14:textId="77777777" w:rsidR="00F27132" w:rsidRPr="001246D3" w:rsidRDefault="00F27132">
      <w:pPr>
        <w:jc w:val="center"/>
        <w:rPr>
          <w:b/>
          <w:sz w:val="25"/>
          <w:szCs w:val="25"/>
        </w:rPr>
      </w:pPr>
      <w:r w:rsidRPr="001246D3">
        <w:rPr>
          <w:b/>
          <w:sz w:val="25"/>
          <w:szCs w:val="25"/>
        </w:rPr>
        <w:t>UTILITIES AND TRANSPORTATION COMMISSION</w:t>
      </w:r>
    </w:p>
    <w:p w14:paraId="128175B5" w14:textId="77777777" w:rsidR="00F27132" w:rsidRPr="001246D3" w:rsidRDefault="00F27132">
      <w:pPr>
        <w:jc w:val="center"/>
        <w:rPr>
          <w:sz w:val="25"/>
          <w:szCs w:val="25"/>
        </w:rPr>
      </w:pPr>
    </w:p>
    <w:p w14:paraId="0B8D5415" w14:textId="77777777" w:rsidR="0028219C" w:rsidRPr="001246D3" w:rsidRDefault="0028219C">
      <w:pPr>
        <w:jc w:val="center"/>
        <w:rPr>
          <w:sz w:val="25"/>
          <w:szCs w:val="25"/>
        </w:rPr>
      </w:pPr>
    </w:p>
    <w:tbl>
      <w:tblPr>
        <w:tblW w:w="8497" w:type="dxa"/>
        <w:tblLayout w:type="fixed"/>
        <w:tblLook w:val="01E0" w:firstRow="1" w:lastRow="1" w:firstColumn="1" w:lastColumn="1" w:noHBand="0" w:noVBand="0"/>
      </w:tblPr>
      <w:tblGrid>
        <w:gridCol w:w="4260"/>
        <w:gridCol w:w="240"/>
        <w:gridCol w:w="3997"/>
      </w:tblGrid>
      <w:tr w:rsidR="00DE0D92" w:rsidRPr="001246D3" w14:paraId="4E169BE3" w14:textId="77777777" w:rsidTr="00000B79">
        <w:trPr>
          <w:trHeight w:val="3840"/>
        </w:trPr>
        <w:tc>
          <w:tcPr>
            <w:tcW w:w="4260" w:type="dxa"/>
          </w:tcPr>
          <w:p w14:paraId="47DF6D5D" w14:textId="77777777" w:rsidR="00DE0D92" w:rsidRPr="001246D3" w:rsidRDefault="00470D0C" w:rsidP="0028219C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WASHINGTON UTILITIES AND TRANSPORTATION COMMISSION,</w:t>
            </w:r>
          </w:p>
          <w:p w14:paraId="61736A6A" w14:textId="77777777" w:rsidR="00470D0C" w:rsidRPr="001246D3" w:rsidRDefault="00470D0C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23C65859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ab/>
              <w:t>Complainant,</w:t>
            </w:r>
          </w:p>
          <w:p w14:paraId="0B382122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14:paraId="035BBDD1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v.</w:t>
            </w:r>
          </w:p>
          <w:p w14:paraId="718DB1B2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14:paraId="63E6F166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PACIFIC POWER &amp; LIGHT COMPANY,</w:t>
            </w:r>
          </w:p>
          <w:p w14:paraId="2DC7BA16" w14:textId="77777777" w:rsidR="00470D0C" w:rsidRPr="001246D3" w:rsidRDefault="00470D0C" w:rsidP="00470D0C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</w:p>
          <w:p w14:paraId="623AA446" w14:textId="77777777" w:rsidR="00000B79" w:rsidRDefault="00470D0C" w:rsidP="00000B79">
            <w:pPr>
              <w:tabs>
                <w:tab w:val="left" w:pos="2145"/>
              </w:tabs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ab/>
              <w:t>Respondent.</w:t>
            </w:r>
            <w:r w:rsidR="009D0E94">
              <w:rPr>
                <w:sz w:val="25"/>
                <w:szCs w:val="25"/>
              </w:rPr>
              <w:t xml:space="preserve">     </w:t>
            </w:r>
            <w:r w:rsidR="00F27132" w:rsidRPr="001246D3">
              <w:rPr>
                <w:sz w:val="25"/>
                <w:szCs w:val="25"/>
              </w:rPr>
              <w:t xml:space="preserve"> </w:t>
            </w:r>
          </w:p>
          <w:p w14:paraId="7EBCF9CD" w14:textId="77777777" w:rsidR="00F27132" w:rsidRPr="001246D3" w:rsidRDefault="00F27132" w:rsidP="00000B79">
            <w:pPr>
              <w:tabs>
                <w:tab w:val="left" w:pos="2145"/>
              </w:tabs>
              <w:spacing w:line="264" w:lineRule="auto"/>
              <w:ind w:right="-258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 xml:space="preserve">. . . . . . . . . . . . . . . . . . . . . . </w:t>
            </w:r>
            <w:r w:rsidR="00000B79">
              <w:rPr>
                <w:sz w:val="25"/>
                <w:szCs w:val="25"/>
              </w:rPr>
              <w:t xml:space="preserve">. . . . . . . . . . . </w:t>
            </w:r>
          </w:p>
        </w:tc>
        <w:tc>
          <w:tcPr>
            <w:tcW w:w="240" w:type="dxa"/>
          </w:tcPr>
          <w:p w14:paraId="32C82EA6" w14:textId="77777777" w:rsidR="00F27132" w:rsidRPr="001246D3" w:rsidRDefault="00F27132" w:rsidP="0028219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1246D3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44B275D7" w14:textId="77777777" w:rsidR="009D0E94" w:rsidRDefault="00470D0C" w:rsidP="00000B79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1246D3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D5F834A" w14:textId="77777777" w:rsidR="00000B79" w:rsidRPr="001246D3" w:rsidRDefault="00000B79" w:rsidP="009D0E94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3997" w:type="dxa"/>
          </w:tcPr>
          <w:p w14:paraId="3A6D23BC" w14:textId="1CAC5EBA" w:rsidR="00F27132" w:rsidRDefault="003F2878" w:rsidP="0028219C">
            <w:pPr>
              <w:spacing w:line="264" w:lineRule="auto"/>
              <w:rPr>
                <w:sz w:val="25"/>
                <w:szCs w:val="25"/>
              </w:rPr>
            </w:pPr>
            <w:r w:rsidRPr="001246D3">
              <w:rPr>
                <w:sz w:val="25"/>
                <w:szCs w:val="25"/>
              </w:rPr>
              <w:t>DOCKET</w:t>
            </w:r>
            <w:r w:rsidR="0061551C">
              <w:rPr>
                <w:sz w:val="25"/>
                <w:szCs w:val="25"/>
              </w:rPr>
              <w:t>S</w:t>
            </w:r>
            <w:r w:rsidR="00F27132" w:rsidRPr="001246D3">
              <w:rPr>
                <w:sz w:val="25"/>
                <w:szCs w:val="25"/>
              </w:rPr>
              <w:t xml:space="preserve"> </w:t>
            </w:r>
            <w:r w:rsidR="00DE0D92" w:rsidRPr="001246D3">
              <w:rPr>
                <w:sz w:val="25"/>
                <w:szCs w:val="25"/>
              </w:rPr>
              <w:t>UE-</w:t>
            </w:r>
            <w:r w:rsidR="003D6FD9">
              <w:rPr>
                <w:sz w:val="25"/>
                <w:szCs w:val="25"/>
              </w:rPr>
              <w:t>1</w:t>
            </w:r>
            <w:r w:rsidR="00C83234">
              <w:rPr>
                <w:sz w:val="25"/>
                <w:szCs w:val="25"/>
              </w:rPr>
              <w:t>40762</w:t>
            </w:r>
            <w:r w:rsidR="000B111C">
              <w:rPr>
                <w:sz w:val="25"/>
                <w:szCs w:val="25"/>
              </w:rPr>
              <w:t>,</w:t>
            </w:r>
            <w:r w:rsidR="008A0E7F">
              <w:rPr>
                <w:sz w:val="25"/>
                <w:szCs w:val="25"/>
              </w:rPr>
              <w:t>UE-140617</w:t>
            </w:r>
            <w:r w:rsidR="000B111C">
              <w:rPr>
                <w:sz w:val="25"/>
                <w:szCs w:val="25"/>
              </w:rPr>
              <w:t>, UE-131384, and UE-140094</w:t>
            </w:r>
            <w:r w:rsidR="0061551C">
              <w:rPr>
                <w:sz w:val="25"/>
                <w:szCs w:val="25"/>
              </w:rPr>
              <w:t xml:space="preserve"> (consolidated)</w:t>
            </w:r>
          </w:p>
          <w:p w14:paraId="0800AFF4" w14:textId="77777777" w:rsidR="008A0E7F" w:rsidRDefault="008A0E7F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25C01799" w14:textId="77777777" w:rsidR="0061551C" w:rsidRDefault="0061551C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55562199" w14:textId="7648B0CD" w:rsidR="008A0E7F" w:rsidRDefault="008A0E7F" w:rsidP="0028219C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ORDER 0</w:t>
            </w:r>
            <w:r w:rsidR="000B111C">
              <w:rPr>
                <w:sz w:val="25"/>
                <w:szCs w:val="25"/>
              </w:rPr>
              <w:t>6</w:t>
            </w:r>
          </w:p>
          <w:p w14:paraId="6453BC54" w14:textId="77777777" w:rsidR="008A0E7F" w:rsidRPr="001246D3" w:rsidRDefault="008A0E7F" w:rsidP="0028219C">
            <w:pPr>
              <w:spacing w:line="264" w:lineRule="auto"/>
              <w:rPr>
                <w:sz w:val="25"/>
                <w:szCs w:val="25"/>
              </w:rPr>
            </w:pPr>
          </w:p>
          <w:p w14:paraId="7B6CC2DF" w14:textId="77777777" w:rsidR="0061551C" w:rsidRDefault="0061551C" w:rsidP="008B18B3">
            <w:pPr>
              <w:spacing w:line="264" w:lineRule="auto"/>
              <w:rPr>
                <w:sz w:val="25"/>
                <w:szCs w:val="25"/>
              </w:rPr>
            </w:pPr>
          </w:p>
          <w:p w14:paraId="167CD57B" w14:textId="77777777" w:rsidR="00F27132" w:rsidRPr="001246D3" w:rsidRDefault="009D0E94" w:rsidP="008B18B3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GRANTING</w:t>
            </w:r>
            <w:r w:rsidR="0061551C">
              <w:rPr>
                <w:sz w:val="25"/>
                <w:szCs w:val="25"/>
              </w:rPr>
              <w:t xml:space="preserve"> PUBLIC COUNSEL’S</w:t>
            </w:r>
            <w:r>
              <w:rPr>
                <w:sz w:val="25"/>
                <w:szCs w:val="25"/>
              </w:rPr>
              <w:t xml:space="preserve"> MOTION FOR LEAVE TO REVISE DIRECT TESTIMONY</w:t>
            </w:r>
          </w:p>
        </w:tc>
      </w:tr>
    </w:tbl>
    <w:p w14:paraId="546722E3" w14:textId="77777777" w:rsidR="007E60F8" w:rsidRPr="001246D3" w:rsidRDefault="007E60F8">
      <w:pPr>
        <w:jc w:val="center"/>
        <w:rPr>
          <w:sz w:val="25"/>
          <w:szCs w:val="25"/>
        </w:rPr>
      </w:pPr>
    </w:p>
    <w:p w14:paraId="13B24CFD" w14:textId="77777777" w:rsidR="00F27132" w:rsidRPr="001246D3" w:rsidRDefault="009D0E94" w:rsidP="00855C53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MEMORANDUM</w:t>
      </w:r>
    </w:p>
    <w:p w14:paraId="3A403651" w14:textId="77777777" w:rsidR="00F27132" w:rsidRDefault="00F27132" w:rsidP="00855C53">
      <w:pPr>
        <w:spacing w:line="264" w:lineRule="auto"/>
        <w:jc w:val="center"/>
        <w:rPr>
          <w:sz w:val="25"/>
          <w:szCs w:val="25"/>
        </w:rPr>
      </w:pPr>
    </w:p>
    <w:p w14:paraId="4C7081F0" w14:textId="31179751" w:rsidR="009D0E94" w:rsidRDefault="009D0E94" w:rsidP="009D0E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October 20, 2014, Public Counsel filed its Motion for Leave to Revise Direct Testimony of Donna Ramas, along with the revised testimony.  Public Counsel’s motion represent</w:t>
      </w:r>
      <w:r w:rsidR="0061551C">
        <w:rPr>
          <w:sz w:val="25"/>
          <w:szCs w:val="25"/>
        </w:rPr>
        <w:t>s</w:t>
      </w:r>
      <w:r>
        <w:rPr>
          <w:sz w:val="25"/>
          <w:szCs w:val="25"/>
        </w:rPr>
        <w:t xml:space="preserve"> that Pacifi</w:t>
      </w:r>
      <w:r w:rsidR="000A13DC">
        <w:rPr>
          <w:sz w:val="25"/>
          <w:szCs w:val="25"/>
        </w:rPr>
        <w:t>c Power and Light Company (Pacific Power)</w:t>
      </w:r>
      <w:r>
        <w:rPr>
          <w:sz w:val="25"/>
          <w:szCs w:val="25"/>
        </w:rPr>
        <w:t xml:space="preserve"> does not object.  No party filed a response to Public Counsel’s motion.</w:t>
      </w:r>
    </w:p>
    <w:p w14:paraId="1335BD17" w14:textId="77777777" w:rsidR="009D0E94" w:rsidRDefault="009D0E94" w:rsidP="009D0E94">
      <w:pPr>
        <w:spacing w:line="264" w:lineRule="auto"/>
        <w:rPr>
          <w:sz w:val="25"/>
          <w:szCs w:val="25"/>
        </w:rPr>
      </w:pPr>
    </w:p>
    <w:p w14:paraId="0FA3DA39" w14:textId="34E33559" w:rsidR="009D0E94" w:rsidRDefault="009D0E94" w:rsidP="009D0E94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finds it is in the public interest to grant Public Counsel’s motion to revise Ms. Ramas’s testimony to update Pacifi</w:t>
      </w:r>
      <w:r w:rsidR="000A13DC">
        <w:rPr>
          <w:sz w:val="25"/>
          <w:szCs w:val="25"/>
        </w:rPr>
        <w:t>c Power</w:t>
      </w:r>
      <w:r>
        <w:rPr>
          <w:sz w:val="25"/>
          <w:szCs w:val="25"/>
        </w:rPr>
        <w:t>’s actual plant addition data based on responses to data requests received too late to be reflected in the original filing.</w:t>
      </w:r>
    </w:p>
    <w:p w14:paraId="1BF77F65" w14:textId="77777777" w:rsidR="009D0E94" w:rsidRDefault="009D0E94" w:rsidP="004457DB">
      <w:pPr>
        <w:jc w:val="center"/>
        <w:rPr>
          <w:b/>
          <w:sz w:val="25"/>
          <w:szCs w:val="25"/>
        </w:rPr>
      </w:pPr>
    </w:p>
    <w:p w14:paraId="00DF127F" w14:textId="77777777" w:rsidR="00F27132" w:rsidRDefault="009D0E94" w:rsidP="004457D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ORDER</w:t>
      </w:r>
    </w:p>
    <w:p w14:paraId="08D54C96" w14:textId="77777777" w:rsidR="009D0E94" w:rsidRPr="009D0E94" w:rsidRDefault="009D0E94" w:rsidP="004457DB">
      <w:pPr>
        <w:jc w:val="center"/>
        <w:rPr>
          <w:b/>
          <w:sz w:val="25"/>
          <w:szCs w:val="25"/>
        </w:rPr>
      </w:pPr>
    </w:p>
    <w:p w14:paraId="79E7BDAD" w14:textId="77777777" w:rsidR="00F27132" w:rsidRDefault="00F27132" w:rsidP="009D0E94">
      <w:pPr>
        <w:numPr>
          <w:ilvl w:val="0"/>
          <w:numId w:val="1"/>
        </w:numPr>
        <w:spacing w:line="264" w:lineRule="auto"/>
        <w:rPr>
          <w:bCs/>
          <w:sz w:val="25"/>
          <w:szCs w:val="25"/>
        </w:rPr>
      </w:pPr>
      <w:r w:rsidRPr="001246D3">
        <w:rPr>
          <w:bCs/>
          <w:sz w:val="25"/>
          <w:szCs w:val="25"/>
        </w:rPr>
        <w:t>THE COMMISSION ORDERS</w:t>
      </w:r>
      <w:r w:rsidR="009D0E94">
        <w:rPr>
          <w:bCs/>
          <w:sz w:val="25"/>
          <w:szCs w:val="25"/>
        </w:rPr>
        <w:t xml:space="preserve"> that Public Counsel’s</w:t>
      </w:r>
      <w:r w:rsidR="009D0E94" w:rsidRPr="009D0E94">
        <w:rPr>
          <w:sz w:val="25"/>
          <w:szCs w:val="25"/>
        </w:rPr>
        <w:t xml:space="preserve"> </w:t>
      </w:r>
      <w:r w:rsidR="009D0E94" w:rsidRPr="009D0E94">
        <w:rPr>
          <w:bCs/>
          <w:sz w:val="25"/>
          <w:szCs w:val="25"/>
        </w:rPr>
        <w:t>Motion for Leave to Revise Direct Testimony of Donna Ramas</w:t>
      </w:r>
      <w:r w:rsidR="009D0E94">
        <w:rPr>
          <w:bCs/>
          <w:sz w:val="25"/>
          <w:szCs w:val="25"/>
        </w:rPr>
        <w:t xml:space="preserve"> is GRANTED.</w:t>
      </w:r>
    </w:p>
    <w:p w14:paraId="4A64A17A" w14:textId="77777777" w:rsidR="009D0E94" w:rsidRPr="001246D3" w:rsidRDefault="009D0E94" w:rsidP="004457DB">
      <w:pPr>
        <w:rPr>
          <w:bCs/>
          <w:sz w:val="25"/>
          <w:szCs w:val="25"/>
        </w:rPr>
      </w:pPr>
    </w:p>
    <w:p w14:paraId="11939EB7" w14:textId="77777777" w:rsidR="00F27132" w:rsidRPr="001246D3" w:rsidRDefault="00F27132" w:rsidP="004457DB">
      <w:pPr>
        <w:rPr>
          <w:b/>
          <w:sz w:val="25"/>
          <w:szCs w:val="25"/>
        </w:rPr>
      </w:pPr>
      <w:r w:rsidRPr="001246D3">
        <w:rPr>
          <w:sz w:val="25"/>
          <w:szCs w:val="25"/>
        </w:rPr>
        <w:t xml:space="preserve">DATED at Olympia, Washington, and effective </w:t>
      </w:r>
      <w:r w:rsidR="00000B79">
        <w:rPr>
          <w:sz w:val="25"/>
          <w:szCs w:val="25"/>
        </w:rPr>
        <w:t>November 14</w:t>
      </w:r>
      <w:r w:rsidR="00C83234">
        <w:rPr>
          <w:sz w:val="25"/>
          <w:szCs w:val="25"/>
        </w:rPr>
        <w:t>, 2014</w:t>
      </w:r>
      <w:r w:rsidRPr="001246D3">
        <w:rPr>
          <w:sz w:val="25"/>
          <w:szCs w:val="25"/>
        </w:rPr>
        <w:t>.</w:t>
      </w:r>
    </w:p>
    <w:p w14:paraId="673C7A57" w14:textId="77777777" w:rsidR="00F27132" w:rsidRPr="001246D3" w:rsidRDefault="00F27132" w:rsidP="00D533EA">
      <w:pPr>
        <w:rPr>
          <w:b/>
          <w:sz w:val="25"/>
          <w:szCs w:val="25"/>
        </w:rPr>
      </w:pPr>
    </w:p>
    <w:p w14:paraId="162E4DB9" w14:textId="77777777" w:rsidR="00F27132" w:rsidRPr="001246D3" w:rsidRDefault="00F27132" w:rsidP="00D533EA">
      <w:pPr>
        <w:jc w:val="center"/>
        <w:rPr>
          <w:sz w:val="25"/>
          <w:szCs w:val="25"/>
        </w:rPr>
      </w:pPr>
      <w:r w:rsidRPr="001246D3">
        <w:rPr>
          <w:sz w:val="25"/>
          <w:szCs w:val="25"/>
        </w:rPr>
        <w:t>WASHINGTON UTILITIES AND TRANSPORTATION COMMISSION</w:t>
      </w:r>
    </w:p>
    <w:p w14:paraId="09687E30" w14:textId="77777777" w:rsidR="00F27132" w:rsidRPr="001246D3" w:rsidRDefault="00F27132" w:rsidP="00855C53">
      <w:pPr>
        <w:spacing w:line="264" w:lineRule="auto"/>
        <w:rPr>
          <w:sz w:val="25"/>
          <w:szCs w:val="25"/>
        </w:rPr>
      </w:pPr>
    </w:p>
    <w:p w14:paraId="08BDB1F6" w14:textId="77777777" w:rsidR="007E60F8" w:rsidRDefault="007E60F8" w:rsidP="00855C53">
      <w:pPr>
        <w:spacing w:line="264" w:lineRule="auto"/>
        <w:rPr>
          <w:sz w:val="25"/>
          <w:szCs w:val="25"/>
        </w:rPr>
      </w:pPr>
    </w:p>
    <w:p w14:paraId="4E5F6252" w14:textId="77777777" w:rsidR="00C83234" w:rsidRDefault="000D4ECA" w:rsidP="009D0E9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61551C">
        <w:rPr>
          <w:sz w:val="25"/>
          <w:szCs w:val="25"/>
        </w:rPr>
        <w:tab/>
      </w:r>
      <w:r w:rsidR="009D0E94">
        <w:rPr>
          <w:sz w:val="25"/>
          <w:szCs w:val="25"/>
        </w:rPr>
        <w:t>DENNIS J. MOSS</w:t>
      </w:r>
    </w:p>
    <w:p w14:paraId="3C4BD54E" w14:textId="77777777" w:rsidR="008A0E7F" w:rsidRPr="001246D3" w:rsidRDefault="009D0E94" w:rsidP="00855C53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61551C">
        <w:rPr>
          <w:sz w:val="25"/>
          <w:szCs w:val="25"/>
        </w:rPr>
        <w:tab/>
      </w:r>
      <w:r>
        <w:rPr>
          <w:sz w:val="25"/>
          <w:szCs w:val="25"/>
        </w:rPr>
        <w:t>Senior Review Judge</w:t>
      </w:r>
    </w:p>
    <w:sectPr w:rsidR="008A0E7F" w:rsidRPr="001246D3" w:rsidSect="00000B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8A7B6" w14:textId="77777777" w:rsidR="00593703" w:rsidRDefault="00593703">
      <w:r>
        <w:separator/>
      </w:r>
    </w:p>
  </w:endnote>
  <w:endnote w:type="continuationSeparator" w:id="0">
    <w:p w14:paraId="6EFA1314" w14:textId="77777777" w:rsidR="00593703" w:rsidRDefault="0059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C696" w14:textId="77777777" w:rsidR="000B111C" w:rsidRDefault="000B11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AEC6" w14:textId="77777777" w:rsidR="000B111C" w:rsidRDefault="000B11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6DF7F" w14:textId="77777777" w:rsidR="000B111C" w:rsidRDefault="000B1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4C39B" w14:textId="77777777" w:rsidR="00593703" w:rsidRDefault="00593703">
      <w:r>
        <w:separator/>
      </w:r>
    </w:p>
  </w:footnote>
  <w:footnote w:type="continuationSeparator" w:id="0">
    <w:p w14:paraId="3D59B2B7" w14:textId="77777777" w:rsidR="00593703" w:rsidRDefault="0059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AA7D2" w14:textId="77777777" w:rsidR="000B111C" w:rsidRDefault="000B11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01D27" w14:textId="77777777" w:rsidR="00E305B4" w:rsidRPr="003F2878" w:rsidRDefault="00E305B4" w:rsidP="00DF5368">
    <w:pPr>
      <w:pStyle w:val="Header"/>
      <w:tabs>
        <w:tab w:val="clear" w:pos="8640"/>
        <w:tab w:val="right" w:pos="8460"/>
      </w:tabs>
      <w:rPr>
        <w:rStyle w:val="PageNumber"/>
        <w:b/>
        <w:sz w:val="20"/>
        <w:szCs w:val="20"/>
      </w:rPr>
    </w:pPr>
    <w:r>
      <w:rPr>
        <w:b/>
        <w:sz w:val="20"/>
        <w:szCs w:val="20"/>
      </w:rPr>
      <w:t>DOCKET</w:t>
    </w:r>
    <w:r w:rsidRPr="003F2878">
      <w:rPr>
        <w:b/>
        <w:sz w:val="20"/>
        <w:szCs w:val="20"/>
      </w:rPr>
      <w:t xml:space="preserve"> </w:t>
    </w:r>
    <w:r>
      <w:rPr>
        <w:b/>
        <w:sz w:val="20"/>
        <w:szCs w:val="20"/>
      </w:rPr>
      <w:t>UE-140762 ORDER 03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3F2878">
      <w:rPr>
        <w:b/>
        <w:sz w:val="20"/>
        <w:szCs w:val="20"/>
      </w:rPr>
      <w:t xml:space="preserve"> PAGE </w:t>
    </w:r>
    <w:r w:rsidRPr="003F2878">
      <w:rPr>
        <w:rStyle w:val="PageNumber"/>
        <w:b/>
        <w:sz w:val="20"/>
        <w:szCs w:val="20"/>
      </w:rPr>
      <w:fldChar w:fldCharType="begin"/>
    </w:r>
    <w:r w:rsidRPr="003F2878">
      <w:rPr>
        <w:rStyle w:val="PageNumber"/>
        <w:b/>
        <w:sz w:val="20"/>
        <w:szCs w:val="20"/>
      </w:rPr>
      <w:instrText xml:space="preserve"> PAGE </w:instrText>
    </w:r>
    <w:r w:rsidRPr="003F2878">
      <w:rPr>
        <w:rStyle w:val="PageNumber"/>
        <w:b/>
        <w:sz w:val="20"/>
        <w:szCs w:val="20"/>
      </w:rPr>
      <w:fldChar w:fldCharType="separate"/>
    </w:r>
    <w:r w:rsidR="000A13DC">
      <w:rPr>
        <w:rStyle w:val="PageNumber"/>
        <w:b/>
        <w:noProof/>
        <w:sz w:val="20"/>
        <w:szCs w:val="20"/>
      </w:rPr>
      <w:t>2</w:t>
    </w:r>
    <w:r w:rsidRPr="003F2878">
      <w:rPr>
        <w:rStyle w:val="PageNumber"/>
        <w:b/>
        <w:sz w:val="20"/>
        <w:szCs w:val="20"/>
      </w:rPr>
      <w:fldChar w:fldCharType="end"/>
    </w:r>
  </w:p>
  <w:p w14:paraId="026B2E80" w14:textId="77777777" w:rsidR="00E305B4" w:rsidRPr="003F2878" w:rsidRDefault="00E305B4">
    <w:pPr>
      <w:pStyle w:val="Header"/>
      <w:rPr>
        <w:rStyle w:val="PageNumber"/>
        <w:b/>
        <w:bCs/>
        <w:sz w:val="20"/>
        <w:szCs w:val="20"/>
      </w:rPr>
    </w:pPr>
    <w:r>
      <w:rPr>
        <w:rStyle w:val="PageNumber"/>
        <w:b/>
        <w:sz w:val="20"/>
        <w:szCs w:val="20"/>
      </w:rPr>
      <w:t>DOCKET UE-140617 ORDER</w:t>
    </w:r>
    <w:r w:rsidRPr="003F2878">
      <w:rPr>
        <w:rStyle w:val="PageNumber"/>
        <w:b/>
        <w:sz w:val="20"/>
        <w:szCs w:val="20"/>
      </w:rPr>
      <w:t xml:space="preserve"> </w:t>
    </w:r>
    <w:r>
      <w:rPr>
        <w:rStyle w:val="PageNumber"/>
        <w:b/>
        <w:sz w:val="20"/>
        <w:szCs w:val="20"/>
      </w:rPr>
      <w:t>01</w:t>
    </w:r>
  </w:p>
  <w:p w14:paraId="64E382FE" w14:textId="77777777" w:rsidR="00E305B4" w:rsidRPr="00F94149" w:rsidRDefault="00E305B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2D128" w14:textId="6BF9388C" w:rsidR="000B111C" w:rsidRPr="000B111C" w:rsidRDefault="000B111C" w:rsidP="000B111C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November 14,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551D0"/>
    <w:multiLevelType w:val="hybridMultilevel"/>
    <w:tmpl w:val="45484C2A"/>
    <w:lvl w:ilvl="0" w:tplc="F23A4AF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32"/>
    <w:rsid w:val="00000B79"/>
    <w:rsid w:val="00006D4B"/>
    <w:rsid w:val="000158DD"/>
    <w:rsid w:val="00022311"/>
    <w:rsid w:val="000273BF"/>
    <w:rsid w:val="00061856"/>
    <w:rsid w:val="000A13DC"/>
    <w:rsid w:val="000A703B"/>
    <w:rsid w:val="000B111C"/>
    <w:rsid w:val="000C5148"/>
    <w:rsid w:val="000D4ECA"/>
    <w:rsid w:val="000F49BF"/>
    <w:rsid w:val="000F6582"/>
    <w:rsid w:val="001005FC"/>
    <w:rsid w:val="001164E1"/>
    <w:rsid w:val="001246D3"/>
    <w:rsid w:val="001A0A3A"/>
    <w:rsid w:val="001A1937"/>
    <w:rsid w:val="001B20AF"/>
    <w:rsid w:val="001B5423"/>
    <w:rsid w:val="001C36F7"/>
    <w:rsid w:val="001D010D"/>
    <w:rsid w:val="001D1CAF"/>
    <w:rsid w:val="001D6C20"/>
    <w:rsid w:val="001D7CF6"/>
    <w:rsid w:val="002137F5"/>
    <w:rsid w:val="00223963"/>
    <w:rsid w:val="00232955"/>
    <w:rsid w:val="002364D2"/>
    <w:rsid w:val="00265631"/>
    <w:rsid w:val="0028219C"/>
    <w:rsid w:val="002A71A2"/>
    <w:rsid w:val="002C23D2"/>
    <w:rsid w:val="002E6526"/>
    <w:rsid w:val="002E6C2F"/>
    <w:rsid w:val="002E71BB"/>
    <w:rsid w:val="002F58B8"/>
    <w:rsid w:val="002F7BBB"/>
    <w:rsid w:val="003220C1"/>
    <w:rsid w:val="00341AD2"/>
    <w:rsid w:val="003C0A78"/>
    <w:rsid w:val="003D6FD9"/>
    <w:rsid w:val="003E1819"/>
    <w:rsid w:val="003E2169"/>
    <w:rsid w:val="003F2878"/>
    <w:rsid w:val="0041784F"/>
    <w:rsid w:val="004457DB"/>
    <w:rsid w:val="00470D0C"/>
    <w:rsid w:val="004A5CA3"/>
    <w:rsid w:val="004C1FC3"/>
    <w:rsid w:val="004D3D23"/>
    <w:rsid w:val="004E2499"/>
    <w:rsid w:val="00520B3C"/>
    <w:rsid w:val="00535DBD"/>
    <w:rsid w:val="0053672C"/>
    <w:rsid w:val="00556BBD"/>
    <w:rsid w:val="0057652A"/>
    <w:rsid w:val="00593703"/>
    <w:rsid w:val="00595E20"/>
    <w:rsid w:val="005B2946"/>
    <w:rsid w:val="005B7D2B"/>
    <w:rsid w:val="005D74DC"/>
    <w:rsid w:val="00600D62"/>
    <w:rsid w:val="00604EFD"/>
    <w:rsid w:val="0061551C"/>
    <w:rsid w:val="0063358F"/>
    <w:rsid w:val="00666703"/>
    <w:rsid w:val="00666B4C"/>
    <w:rsid w:val="00692C1A"/>
    <w:rsid w:val="006F233F"/>
    <w:rsid w:val="00702121"/>
    <w:rsid w:val="007063CA"/>
    <w:rsid w:val="00743553"/>
    <w:rsid w:val="0076353B"/>
    <w:rsid w:val="00776974"/>
    <w:rsid w:val="007901A9"/>
    <w:rsid w:val="007944F0"/>
    <w:rsid w:val="007A087F"/>
    <w:rsid w:val="007C5039"/>
    <w:rsid w:val="007E408F"/>
    <w:rsid w:val="007E60F8"/>
    <w:rsid w:val="00816F3F"/>
    <w:rsid w:val="0082437C"/>
    <w:rsid w:val="00830744"/>
    <w:rsid w:val="0084450B"/>
    <w:rsid w:val="00845D54"/>
    <w:rsid w:val="00855C53"/>
    <w:rsid w:val="00857E65"/>
    <w:rsid w:val="00860D3D"/>
    <w:rsid w:val="00866C32"/>
    <w:rsid w:val="00877533"/>
    <w:rsid w:val="00880F14"/>
    <w:rsid w:val="008A0E7F"/>
    <w:rsid w:val="008A46AD"/>
    <w:rsid w:val="008B18B3"/>
    <w:rsid w:val="008B3C50"/>
    <w:rsid w:val="008B4B41"/>
    <w:rsid w:val="008C6880"/>
    <w:rsid w:val="008E4F5A"/>
    <w:rsid w:val="008E7CB3"/>
    <w:rsid w:val="009048E8"/>
    <w:rsid w:val="00944120"/>
    <w:rsid w:val="00952D83"/>
    <w:rsid w:val="009D0A5E"/>
    <w:rsid w:val="009D0E94"/>
    <w:rsid w:val="009D1F17"/>
    <w:rsid w:val="009D6E5E"/>
    <w:rsid w:val="00A109E4"/>
    <w:rsid w:val="00A54154"/>
    <w:rsid w:val="00AB7618"/>
    <w:rsid w:val="00AC0FDB"/>
    <w:rsid w:val="00AF4A83"/>
    <w:rsid w:val="00B23995"/>
    <w:rsid w:val="00B4618E"/>
    <w:rsid w:val="00B80388"/>
    <w:rsid w:val="00B95415"/>
    <w:rsid w:val="00BA0550"/>
    <w:rsid w:val="00BA3734"/>
    <w:rsid w:val="00BC1669"/>
    <w:rsid w:val="00BD50C1"/>
    <w:rsid w:val="00BE2784"/>
    <w:rsid w:val="00BF56D3"/>
    <w:rsid w:val="00C0491B"/>
    <w:rsid w:val="00C23C1C"/>
    <w:rsid w:val="00C419B4"/>
    <w:rsid w:val="00C50290"/>
    <w:rsid w:val="00C76F65"/>
    <w:rsid w:val="00C83234"/>
    <w:rsid w:val="00CE5D25"/>
    <w:rsid w:val="00CF6CB5"/>
    <w:rsid w:val="00D06A4A"/>
    <w:rsid w:val="00D2288C"/>
    <w:rsid w:val="00D35212"/>
    <w:rsid w:val="00D365CE"/>
    <w:rsid w:val="00D40BCF"/>
    <w:rsid w:val="00D474E4"/>
    <w:rsid w:val="00D533EA"/>
    <w:rsid w:val="00D80D5B"/>
    <w:rsid w:val="00DA36AC"/>
    <w:rsid w:val="00DD670C"/>
    <w:rsid w:val="00DE0D92"/>
    <w:rsid w:val="00DE655F"/>
    <w:rsid w:val="00DE7B94"/>
    <w:rsid w:val="00DF5368"/>
    <w:rsid w:val="00E1070E"/>
    <w:rsid w:val="00E305B4"/>
    <w:rsid w:val="00E348DC"/>
    <w:rsid w:val="00E52159"/>
    <w:rsid w:val="00E62BE4"/>
    <w:rsid w:val="00E85938"/>
    <w:rsid w:val="00EB0FCF"/>
    <w:rsid w:val="00EC5422"/>
    <w:rsid w:val="00EE6E48"/>
    <w:rsid w:val="00EF0894"/>
    <w:rsid w:val="00EF68AE"/>
    <w:rsid w:val="00EF7BD6"/>
    <w:rsid w:val="00F062B8"/>
    <w:rsid w:val="00F27132"/>
    <w:rsid w:val="00F6769D"/>
    <w:rsid w:val="00F81484"/>
    <w:rsid w:val="00F94149"/>
    <w:rsid w:val="00FC3592"/>
    <w:rsid w:val="00FD3DA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638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048E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D365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22311"/>
    <w:rPr>
      <w:sz w:val="20"/>
      <w:szCs w:val="20"/>
    </w:rPr>
  </w:style>
  <w:style w:type="character" w:styleId="FootnoteReference">
    <w:name w:val="footnote reference"/>
    <w:rsid w:val="00022311"/>
    <w:rPr>
      <w:vertAlign w:val="superscript"/>
    </w:rPr>
  </w:style>
  <w:style w:type="paragraph" w:customStyle="1" w:styleId="plain">
    <w:name w:val="plain"/>
    <w:basedOn w:val="Normal"/>
    <w:rsid w:val="009048E8"/>
    <w:pPr>
      <w:spacing w:line="240" w:lineRule="atLeast"/>
    </w:pPr>
    <w:rPr>
      <w:sz w:val="26"/>
      <w:szCs w:val="20"/>
    </w:rPr>
  </w:style>
  <w:style w:type="paragraph" w:customStyle="1" w:styleId="FindingsConclusions">
    <w:name w:val="Findings &amp; Conclusions"/>
    <w:basedOn w:val="Normal"/>
    <w:rsid w:val="00776974"/>
    <w:pPr>
      <w:numPr>
        <w:numId w:val="4"/>
      </w:numPr>
      <w:ind w:left="720" w:hanging="1800"/>
    </w:pPr>
  </w:style>
  <w:style w:type="paragraph" w:styleId="ListParagraph">
    <w:name w:val="List Paragraph"/>
    <w:basedOn w:val="Normal"/>
    <w:uiPriority w:val="34"/>
    <w:qFormat/>
    <w:rsid w:val="008B4B41"/>
    <w:pPr>
      <w:ind w:left="720"/>
    </w:pPr>
  </w:style>
  <w:style w:type="character" w:customStyle="1" w:styleId="FootnoteTextChar">
    <w:name w:val="Footnote Text Char"/>
    <w:basedOn w:val="DefaultParagraphFont"/>
    <w:link w:val="FootnoteText"/>
    <w:rsid w:val="006F233F"/>
  </w:style>
  <w:style w:type="character" w:styleId="CommentReference">
    <w:name w:val="annotation reference"/>
    <w:basedOn w:val="DefaultParagraphFont"/>
    <w:semiHidden/>
    <w:unhideWhenUsed/>
    <w:rsid w:val="00BA37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7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E2D3C-26F8-4EEA-A7C8-21359119CB15}"/>
</file>

<file path=customXml/itemProps2.xml><?xml version="1.0" encoding="utf-8"?>
<ds:datastoreItem xmlns:ds="http://schemas.openxmlformats.org/officeDocument/2006/customXml" ds:itemID="{38A24098-F651-4C12-B65F-F47DD1F23A65}"/>
</file>

<file path=customXml/itemProps3.xml><?xml version="1.0" encoding="utf-8"?>
<ds:datastoreItem xmlns:ds="http://schemas.openxmlformats.org/officeDocument/2006/customXml" ds:itemID="{CB6A90ED-4F1D-41BF-8B5D-35207D951CA2}"/>
</file>

<file path=customXml/itemProps4.xml><?xml version="1.0" encoding="utf-8"?>
<ds:datastoreItem xmlns:ds="http://schemas.openxmlformats.org/officeDocument/2006/customXml" ds:itemID="{DF322DA6-841F-4370-9172-DD584C475425}"/>
</file>

<file path=customXml/itemProps5.xml><?xml version="1.0" encoding="utf-8"?>
<ds:datastoreItem xmlns:ds="http://schemas.openxmlformats.org/officeDocument/2006/customXml" ds:itemID="{0A3E8FB8-0A25-4800-B7BC-C3E5569DF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2014-11-14T20:17:00Z</dcterms:created>
  <dcterms:modified xsi:type="dcterms:W3CDTF">2014-11-14T20:17:00Z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