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31A1" w:rsidRPr="000531A1" w:rsidRDefault="000531A1" w:rsidP="000531A1">
      <w:pPr>
        <w:widowControl w:val="0"/>
        <w:spacing w:before="240" w:line="240" w:lineRule="atLeast"/>
        <w:ind w:left="3600"/>
        <w:rPr>
          <w:szCs w:val="20"/>
          <w:lang w:eastAsia="zh-CN"/>
        </w:rPr>
      </w:pPr>
      <w:bookmarkStart w:id="0" w:name="_Toc161487050"/>
      <w:bookmarkStart w:id="1" w:name="_Toc162007393"/>
      <w:bookmarkStart w:id="2" w:name="_Toc181442358"/>
      <w:bookmarkStart w:id="3" w:name="_Toc179284150"/>
      <w:bookmarkStart w:id="4" w:name="_Toc182774604"/>
      <w:bookmarkStart w:id="5" w:name="_GoBack"/>
      <w:bookmarkEnd w:id="5"/>
      <w:r w:rsidRPr="000531A1">
        <w:rPr>
          <w:b/>
          <w:szCs w:val="20"/>
          <w:lang w:eastAsia="zh-CN"/>
        </w:rPr>
        <w:t>EXHIBIT NO. ___(JPE-</w:t>
      </w:r>
      <w:r>
        <w:rPr>
          <w:b/>
          <w:szCs w:val="20"/>
          <w:lang w:eastAsia="zh-CN"/>
        </w:rPr>
        <w:t>1T</w:t>
      </w:r>
      <w:r w:rsidRPr="000531A1">
        <w:rPr>
          <w:b/>
          <w:szCs w:val="20"/>
          <w:lang w:eastAsia="zh-CN"/>
        </w:rPr>
        <w:t>)</w:t>
      </w:r>
      <w:r w:rsidRPr="000531A1">
        <w:rPr>
          <w:b/>
          <w:szCs w:val="20"/>
          <w:lang w:eastAsia="zh-CN"/>
        </w:rPr>
        <w:br/>
        <w:t>DOCKET NOS. UE-121697/UG-121705</w:t>
      </w:r>
      <w:r w:rsidRPr="000531A1">
        <w:rPr>
          <w:b/>
          <w:szCs w:val="20"/>
          <w:lang w:eastAsia="zh-CN"/>
        </w:rPr>
        <w:br/>
        <w:t>WITNESSES:  JON A. PILIARIS</w:t>
      </w:r>
      <w:r w:rsidRPr="000531A1">
        <w:rPr>
          <w:b/>
          <w:szCs w:val="20"/>
          <w:lang w:eastAsia="zh-CN"/>
        </w:rPr>
        <w:br/>
      </w:r>
      <w:r w:rsidRPr="000531A1">
        <w:rPr>
          <w:b/>
          <w:szCs w:val="20"/>
          <w:lang w:eastAsia="zh-CN"/>
        </w:rPr>
        <w:tab/>
      </w:r>
      <w:r w:rsidRPr="000531A1">
        <w:rPr>
          <w:b/>
          <w:szCs w:val="20"/>
          <w:lang w:eastAsia="zh-CN"/>
        </w:rPr>
        <w:tab/>
        <w:t xml:space="preserve">  KEVIN C. HIGGINS</w:t>
      </w:r>
      <w:r w:rsidRPr="000531A1">
        <w:rPr>
          <w:b/>
          <w:szCs w:val="20"/>
          <w:lang w:eastAsia="zh-CN"/>
        </w:rPr>
        <w:br/>
      </w:r>
      <w:r w:rsidRPr="000531A1">
        <w:rPr>
          <w:b/>
          <w:szCs w:val="20"/>
          <w:lang w:eastAsia="zh-CN"/>
        </w:rPr>
        <w:tab/>
      </w:r>
      <w:r w:rsidRPr="000531A1">
        <w:rPr>
          <w:b/>
          <w:szCs w:val="20"/>
          <w:lang w:eastAsia="zh-CN"/>
        </w:rPr>
        <w:tab/>
        <w:t xml:space="preserve">  THOMAS E. SCHOOLEY</w:t>
      </w:r>
      <w:r w:rsidRPr="000531A1">
        <w:rPr>
          <w:b/>
          <w:szCs w:val="20"/>
          <w:lang w:eastAsia="zh-CN"/>
        </w:rPr>
        <w:br/>
      </w:r>
      <w:r w:rsidRPr="000531A1">
        <w:rPr>
          <w:b/>
          <w:szCs w:val="20"/>
          <w:lang w:eastAsia="zh-CN"/>
        </w:rPr>
        <w:tab/>
      </w:r>
      <w:r w:rsidRPr="000531A1">
        <w:rPr>
          <w:b/>
          <w:szCs w:val="20"/>
          <w:lang w:eastAsia="zh-CN"/>
        </w:rPr>
        <w:tab/>
        <w:t xml:space="preserve">  NANCY HIRSH</w:t>
      </w: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r w:rsidRPr="000531A1">
        <w:rPr>
          <w:b/>
          <w:szCs w:val="20"/>
          <w:lang w:eastAsia="zh-CN"/>
        </w:rPr>
        <w:t>BEFORE THE</w:t>
      </w:r>
    </w:p>
    <w:p w:rsidR="000531A1" w:rsidRPr="000531A1" w:rsidRDefault="000531A1" w:rsidP="000531A1">
      <w:pPr>
        <w:widowControl w:val="0"/>
        <w:jc w:val="center"/>
        <w:rPr>
          <w:b/>
          <w:szCs w:val="20"/>
          <w:lang w:eastAsia="zh-CN"/>
        </w:rPr>
      </w:pPr>
      <w:smartTag w:uri="urn:schemas-microsoft-com:office:smarttags" w:element="State">
        <w:smartTag w:uri="urn:schemas-microsoft-com:office:smarttags" w:element="place">
          <w:r w:rsidRPr="000531A1">
            <w:rPr>
              <w:b/>
              <w:szCs w:val="20"/>
              <w:lang w:eastAsia="zh-CN"/>
            </w:rPr>
            <w:t>WASHINGTON</w:t>
          </w:r>
        </w:smartTag>
      </w:smartTag>
      <w:r w:rsidRPr="000531A1">
        <w:rPr>
          <w:b/>
          <w:szCs w:val="20"/>
          <w:lang w:eastAsia="zh-CN"/>
        </w:rPr>
        <w:t xml:space="preserve"> UTILITIES AND TRANSPORTATION COMMISSION</w:t>
      </w: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tabs>
          <w:tab w:val="left" w:pos="5040"/>
        </w:tabs>
        <w:jc w:val="center"/>
        <w:rPr>
          <w:b/>
          <w:szCs w:val="20"/>
          <w:lang w:eastAsia="zh-CN"/>
        </w:rPr>
      </w:pPr>
    </w:p>
    <w:tbl>
      <w:tblPr>
        <w:tblW w:w="9655" w:type="dxa"/>
        <w:tblInd w:w="-8" w:type="dxa"/>
        <w:tblLayout w:type="fixed"/>
        <w:tblCellMar>
          <w:left w:w="0" w:type="dxa"/>
          <w:right w:w="0" w:type="dxa"/>
        </w:tblCellMar>
        <w:tblLook w:val="0000" w:firstRow="0" w:lastRow="0" w:firstColumn="0" w:lastColumn="0" w:noHBand="0" w:noVBand="0"/>
      </w:tblPr>
      <w:tblGrid>
        <w:gridCol w:w="5102"/>
        <w:gridCol w:w="130"/>
        <w:gridCol w:w="4423"/>
      </w:tblGrid>
      <w:tr w:rsidR="000531A1" w:rsidRPr="000531A1" w:rsidTr="002B1F2E">
        <w:trPr>
          <w:cantSplit/>
        </w:trPr>
        <w:tc>
          <w:tcPr>
            <w:tcW w:w="5102" w:type="dxa"/>
            <w:tcBorders>
              <w:bottom w:val="single" w:sz="4" w:space="0" w:color="auto"/>
              <w:right w:val="single" w:sz="4" w:space="0" w:color="auto"/>
            </w:tcBorders>
          </w:tcPr>
          <w:p w:rsidR="000531A1" w:rsidRPr="000531A1" w:rsidRDefault="000531A1" w:rsidP="000531A1">
            <w:pPr>
              <w:widowControl w:val="0"/>
              <w:rPr>
                <w:b/>
                <w:szCs w:val="20"/>
                <w:lang w:eastAsia="zh-CN"/>
              </w:rPr>
            </w:pPr>
            <w:r w:rsidRPr="000531A1">
              <w:rPr>
                <w:b/>
                <w:szCs w:val="20"/>
                <w:lang w:eastAsia="zh-CN"/>
              </w:rPr>
              <w:t>In the Matter of the Petition of</w:t>
            </w:r>
          </w:p>
          <w:p w:rsidR="000531A1" w:rsidRPr="000531A1" w:rsidRDefault="000531A1" w:rsidP="000531A1">
            <w:pPr>
              <w:widowControl w:val="0"/>
              <w:rPr>
                <w:b/>
                <w:szCs w:val="20"/>
                <w:lang w:eastAsia="zh-CN"/>
              </w:rPr>
            </w:pPr>
          </w:p>
          <w:p w:rsidR="000531A1" w:rsidRPr="000531A1" w:rsidRDefault="000531A1" w:rsidP="000531A1">
            <w:pPr>
              <w:widowControl w:val="0"/>
              <w:rPr>
                <w:b/>
                <w:szCs w:val="20"/>
                <w:lang w:eastAsia="zh-CN"/>
              </w:rPr>
            </w:pPr>
            <w:r w:rsidRPr="000531A1">
              <w:rPr>
                <w:b/>
                <w:szCs w:val="20"/>
                <w:lang w:eastAsia="zh-CN"/>
              </w:rPr>
              <w:t>PUGET SOUND ENERGY, INC.</w:t>
            </w:r>
          </w:p>
          <w:p w:rsidR="000531A1" w:rsidRPr="000531A1" w:rsidRDefault="000531A1" w:rsidP="000531A1">
            <w:pPr>
              <w:widowControl w:val="0"/>
              <w:rPr>
                <w:b/>
                <w:szCs w:val="20"/>
                <w:lang w:eastAsia="zh-CN"/>
              </w:rPr>
            </w:pPr>
            <w:r w:rsidRPr="000531A1">
              <w:rPr>
                <w:b/>
                <w:szCs w:val="20"/>
                <w:lang w:eastAsia="zh-CN"/>
              </w:rPr>
              <w:t>and NW ENERGY COALITION</w:t>
            </w:r>
          </w:p>
          <w:p w:rsidR="000531A1" w:rsidRPr="000531A1" w:rsidRDefault="000531A1" w:rsidP="000531A1">
            <w:pPr>
              <w:widowControl w:val="0"/>
              <w:rPr>
                <w:b/>
                <w:szCs w:val="20"/>
                <w:lang w:eastAsia="zh-CN"/>
              </w:rPr>
            </w:pPr>
          </w:p>
          <w:p w:rsidR="000531A1" w:rsidRPr="000531A1" w:rsidRDefault="000531A1" w:rsidP="000531A1">
            <w:pPr>
              <w:widowControl w:val="0"/>
              <w:tabs>
                <w:tab w:val="left" w:pos="2168"/>
              </w:tabs>
              <w:ind w:right="360"/>
              <w:rPr>
                <w:b/>
                <w:szCs w:val="20"/>
                <w:lang w:eastAsia="zh-CN"/>
              </w:rPr>
            </w:pPr>
            <w:r w:rsidRPr="000531A1">
              <w:rPr>
                <w:b/>
                <w:szCs w:val="20"/>
                <w:lang w:eastAsia="zh-CN"/>
              </w:rPr>
              <w:t>For an Order Authorizing PSE To Implement Electric and Natural Gas Decoupling Mechanisms and To Record Accounting Entries Associated With the Mechanisms</w:t>
            </w:r>
          </w:p>
          <w:p w:rsidR="000531A1" w:rsidRPr="000531A1" w:rsidRDefault="000531A1" w:rsidP="000531A1">
            <w:pPr>
              <w:widowControl w:val="0"/>
              <w:tabs>
                <w:tab w:val="left" w:pos="1440"/>
              </w:tabs>
              <w:rPr>
                <w:b/>
                <w:szCs w:val="20"/>
                <w:lang w:eastAsia="zh-CN"/>
              </w:rPr>
            </w:pPr>
          </w:p>
        </w:tc>
        <w:tc>
          <w:tcPr>
            <w:tcW w:w="130" w:type="dxa"/>
            <w:tcBorders>
              <w:left w:val="single" w:sz="4" w:space="0" w:color="auto"/>
            </w:tcBorders>
          </w:tcPr>
          <w:p w:rsidR="000531A1" w:rsidRPr="000531A1" w:rsidRDefault="000531A1" w:rsidP="000531A1">
            <w:pPr>
              <w:widowControl w:val="0"/>
              <w:ind w:firstLine="720"/>
              <w:rPr>
                <w:b/>
                <w:szCs w:val="20"/>
                <w:lang w:eastAsia="zh-CN"/>
              </w:rPr>
            </w:pPr>
          </w:p>
        </w:tc>
        <w:tc>
          <w:tcPr>
            <w:tcW w:w="4423" w:type="dxa"/>
            <w:vAlign w:val="center"/>
          </w:tcPr>
          <w:p w:rsidR="000531A1" w:rsidRPr="000531A1" w:rsidRDefault="000531A1" w:rsidP="000531A1">
            <w:pPr>
              <w:widowControl w:val="0"/>
              <w:ind w:left="198"/>
              <w:rPr>
                <w:b/>
                <w:szCs w:val="20"/>
                <w:lang w:eastAsia="zh-CN"/>
              </w:rPr>
            </w:pPr>
            <w:r w:rsidRPr="000531A1">
              <w:rPr>
                <w:b/>
                <w:szCs w:val="20"/>
                <w:lang w:eastAsia="zh-CN"/>
              </w:rPr>
              <w:t>Docket No. UE-121697</w:t>
            </w:r>
          </w:p>
          <w:p w:rsidR="000531A1" w:rsidRPr="000531A1" w:rsidRDefault="000531A1" w:rsidP="000531A1">
            <w:pPr>
              <w:widowControl w:val="0"/>
              <w:ind w:left="198"/>
              <w:rPr>
                <w:b/>
                <w:szCs w:val="20"/>
                <w:lang w:eastAsia="zh-CN"/>
              </w:rPr>
            </w:pPr>
            <w:r w:rsidRPr="000531A1">
              <w:rPr>
                <w:b/>
                <w:szCs w:val="20"/>
                <w:lang w:eastAsia="zh-CN"/>
              </w:rPr>
              <w:t>Docket No. UG-121705</w:t>
            </w:r>
          </w:p>
          <w:p w:rsidR="000531A1" w:rsidRPr="000531A1" w:rsidRDefault="000531A1" w:rsidP="000531A1">
            <w:pPr>
              <w:widowControl w:val="0"/>
              <w:ind w:left="198"/>
              <w:rPr>
                <w:b/>
                <w:szCs w:val="20"/>
                <w:lang w:eastAsia="zh-CN"/>
              </w:rPr>
            </w:pPr>
            <w:r w:rsidRPr="000531A1">
              <w:rPr>
                <w:b/>
                <w:szCs w:val="20"/>
                <w:lang w:eastAsia="zh-CN"/>
              </w:rPr>
              <w:t>(Consolidated)</w:t>
            </w:r>
          </w:p>
        </w:tc>
      </w:tr>
    </w:tbl>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456FD5" w:rsidRDefault="000531A1" w:rsidP="000531A1">
      <w:pPr>
        <w:widowControl w:val="0"/>
        <w:jc w:val="center"/>
        <w:rPr>
          <w:b/>
          <w:szCs w:val="20"/>
          <w:lang w:eastAsia="zh-CN"/>
        </w:rPr>
      </w:pPr>
      <w:r w:rsidRPr="000531A1">
        <w:rPr>
          <w:b/>
          <w:szCs w:val="20"/>
          <w:lang w:eastAsia="zh-CN"/>
        </w:rPr>
        <w:t xml:space="preserve">JOINT TESTIMONY IN SUPPORT OF THE </w:t>
      </w:r>
    </w:p>
    <w:p w:rsidR="00456FD5" w:rsidRDefault="000531A1" w:rsidP="000531A1">
      <w:pPr>
        <w:widowControl w:val="0"/>
        <w:jc w:val="center"/>
        <w:rPr>
          <w:b/>
          <w:szCs w:val="20"/>
          <w:lang w:eastAsia="zh-CN"/>
        </w:rPr>
      </w:pPr>
      <w:r w:rsidRPr="000531A1">
        <w:rPr>
          <w:b/>
          <w:szCs w:val="20"/>
          <w:lang w:eastAsia="zh-CN"/>
        </w:rPr>
        <w:t xml:space="preserve">JOINT RESPONSE TO PETITION FOR RECONSIDERATION </w:t>
      </w:r>
    </w:p>
    <w:p w:rsidR="000531A1" w:rsidRPr="000531A1" w:rsidRDefault="000531A1" w:rsidP="000531A1">
      <w:pPr>
        <w:widowControl w:val="0"/>
        <w:jc w:val="center"/>
        <w:rPr>
          <w:b/>
          <w:szCs w:val="20"/>
          <w:lang w:eastAsia="zh-CN"/>
        </w:rPr>
      </w:pPr>
      <w:r w:rsidRPr="000531A1">
        <w:rPr>
          <w:b/>
          <w:szCs w:val="20"/>
          <w:lang w:eastAsia="zh-CN"/>
        </w:rPr>
        <w:t>FILED BY THE KROGER COMPANY</w:t>
      </w: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p>
    <w:p w:rsidR="000531A1" w:rsidRPr="000531A1" w:rsidRDefault="000531A1" w:rsidP="000531A1">
      <w:pPr>
        <w:widowControl w:val="0"/>
        <w:jc w:val="center"/>
        <w:rPr>
          <w:b/>
          <w:szCs w:val="20"/>
          <w:lang w:eastAsia="zh-CN"/>
        </w:rPr>
      </w:pPr>
      <w:r w:rsidRPr="000531A1">
        <w:rPr>
          <w:b/>
          <w:szCs w:val="20"/>
          <w:lang w:eastAsia="zh-CN"/>
        </w:rPr>
        <w:t>NOVEMBER 1, 2013</w:t>
      </w:r>
    </w:p>
    <w:p w:rsidR="000531A1" w:rsidRDefault="000531A1" w:rsidP="00495F6C">
      <w:pPr>
        <w:pStyle w:val="center"/>
        <w:keepNext/>
        <w:spacing w:after="240" w:line="240" w:lineRule="auto"/>
        <w:rPr>
          <w:b/>
        </w:rPr>
        <w:sectPr w:rsidR="000531A1" w:rsidSect="000531A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864" w:footer="576" w:gutter="0"/>
          <w:pgNumType w:start="1"/>
          <w:cols w:space="720"/>
          <w:titlePg/>
        </w:sectPr>
      </w:pPr>
    </w:p>
    <w:p w:rsidR="00FE4FBF" w:rsidRDefault="00FE4FBF" w:rsidP="00495F6C">
      <w:pPr>
        <w:pStyle w:val="center"/>
        <w:keepNext/>
        <w:spacing w:after="240" w:line="240" w:lineRule="auto"/>
        <w:rPr>
          <w:b/>
        </w:rPr>
      </w:pPr>
    </w:p>
    <w:p w:rsidR="00495F6C" w:rsidRPr="00495F6C" w:rsidRDefault="00495F6C" w:rsidP="00495F6C">
      <w:pPr>
        <w:pStyle w:val="center"/>
        <w:keepNext/>
        <w:spacing w:after="240" w:line="240" w:lineRule="auto"/>
        <w:rPr>
          <w:b/>
        </w:rPr>
      </w:pPr>
      <w:r>
        <w:rPr>
          <w:b/>
        </w:rPr>
        <w:t>J</w:t>
      </w:r>
      <w:r w:rsidRPr="00495F6C">
        <w:rPr>
          <w:b/>
        </w:rPr>
        <w:t xml:space="preserve">OINT TESTIMONY OF </w:t>
      </w:r>
      <w:r>
        <w:rPr>
          <w:b/>
        </w:rPr>
        <w:br/>
      </w:r>
      <w:r w:rsidR="00875666">
        <w:rPr>
          <w:b/>
        </w:rPr>
        <w:t>JON A. PILIARIS</w:t>
      </w:r>
      <w:r w:rsidR="00062A7E">
        <w:rPr>
          <w:b/>
        </w:rPr>
        <w:t xml:space="preserve">, </w:t>
      </w:r>
      <w:r w:rsidR="00FE4FBF" w:rsidRPr="00495F6C">
        <w:rPr>
          <w:b/>
        </w:rPr>
        <w:t xml:space="preserve">KEVIN C. HIGGINS, </w:t>
      </w:r>
      <w:r w:rsidR="005755A3">
        <w:rPr>
          <w:b/>
        </w:rPr>
        <w:t>THOMAS E. SCHOOLEY</w:t>
      </w:r>
      <w:r w:rsidR="00DE639F">
        <w:rPr>
          <w:b/>
        </w:rPr>
        <w:t xml:space="preserve">, </w:t>
      </w:r>
      <w:r w:rsidR="00CC6702">
        <w:rPr>
          <w:b/>
        </w:rPr>
        <w:t xml:space="preserve">AND </w:t>
      </w:r>
      <w:r w:rsidR="00E2634E">
        <w:rPr>
          <w:b/>
        </w:rPr>
        <w:t xml:space="preserve">NANCY HIRSH </w:t>
      </w:r>
      <w:r>
        <w:rPr>
          <w:b/>
        </w:rPr>
        <w:br/>
      </w:r>
    </w:p>
    <w:p w:rsidR="00495F6C" w:rsidRPr="00062A7E" w:rsidRDefault="00FE4FBF" w:rsidP="00495F6C">
      <w:pPr>
        <w:pStyle w:val="center"/>
        <w:keepNext/>
        <w:spacing w:after="240" w:line="240" w:lineRule="auto"/>
        <w:rPr>
          <w:b/>
        </w:rPr>
      </w:pPr>
      <w:r>
        <w:rPr>
          <w:b/>
        </w:rPr>
        <w:t xml:space="preserve">DECOUPLING TREATMENT OF </w:t>
      </w:r>
      <w:r w:rsidR="00495F6C">
        <w:rPr>
          <w:b/>
        </w:rPr>
        <w:t xml:space="preserve">ELECTRIC </w:t>
      </w:r>
      <w:r w:rsidR="00495F6C" w:rsidRPr="00495F6C">
        <w:rPr>
          <w:b/>
        </w:rPr>
        <w:t xml:space="preserve">RATE </w:t>
      </w:r>
      <w:r w:rsidR="00062A7E">
        <w:rPr>
          <w:b/>
        </w:rPr>
        <w:t xml:space="preserve">SCHEDULES 26 </w:t>
      </w:r>
      <w:r w:rsidR="007C40CA">
        <w:rPr>
          <w:b/>
        </w:rPr>
        <w:t>AND</w:t>
      </w:r>
      <w:r w:rsidR="00062A7E">
        <w:rPr>
          <w:b/>
        </w:rPr>
        <w:t xml:space="preserve"> 31</w:t>
      </w:r>
    </w:p>
    <w:p w:rsidR="008F21F5" w:rsidRPr="00334C34" w:rsidRDefault="008F21F5" w:rsidP="008F21F5">
      <w:pPr>
        <w:pStyle w:val="Heading1"/>
        <w:keepLines w:val="0"/>
        <w:rPr>
          <w:rFonts w:eastAsia="SimSun"/>
        </w:rPr>
      </w:pPr>
      <w:bookmarkStart w:id="6" w:name="_Toc313949505"/>
      <w:r w:rsidRPr="00334C34">
        <w:rPr>
          <w:rFonts w:eastAsia="SimSun"/>
        </w:rPr>
        <w:t>I.</w:t>
      </w:r>
      <w:r w:rsidRPr="00334C34">
        <w:rPr>
          <w:rFonts w:eastAsia="SimSun"/>
        </w:rPr>
        <w:tab/>
        <w:t>INTRODUCTION</w:t>
      </w:r>
      <w:bookmarkEnd w:id="0"/>
      <w:bookmarkEnd w:id="1"/>
      <w:bookmarkEnd w:id="2"/>
      <w:bookmarkEnd w:id="3"/>
      <w:bookmarkEnd w:id="4"/>
      <w:bookmarkEnd w:id="6"/>
    </w:p>
    <w:p w:rsidR="0061060C" w:rsidRPr="00495F6C" w:rsidRDefault="00FE4FBF" w:rsidP="0061060C">
      <w:pPr>
        <w:pStyle w:val="Heading2"/>
        <w:rPr>
          <w:rFonts w:ascii="Times New Roman" w:hAnsi="Times New Roman"/>
        </w:rPr>
      </w:pPr>
      <w:bookmarkStart w:id="7" w:name="_Toc313949507"/>
      <w:bookmarkStart w:id="8" w:name="_Toc126768441"/>
      <w:bookmarkStart w:id="9" w:name="_Toc143679892"/>
      <w:bookmarkStart w:id="10" w:name="_Toc122321327"/>
      <w:bookmarkStart w:id="11" w:name="_Toc125995676"/>
      <w:bookmarkStart w:id="12" w:name="_Toc125996905"/>
      <w:bookmarkStart w:id="13" w:name="_Toc126571662"/>
      <w:bookmarkStart w:id="14" w:name="_Toc143601346"/>
      <w:r>
        <w:rPr>
          <w:rFonts w:ascii="Times New Roman" w:hAnsi="Times New Roman"/>
          <w:u w:val="none"/>
        </w:rPr>
        <w:t>A</w:t>
      </w:r>
      <w:r w:rsidR="0061060C" w:rsidRPr="00495F6C">
        <w:rPr>
          <w:rFonts w:ascii="Times New Roman" w:hAnsi="Times New Roman"/>
          <w:u w:val="none"/>
        </w:rPr>
        <w:t>.</w:t>
      </w:r>
      <w:r w:rsidR="0061060C" w:rsidRPr="00495F6C">
        <w:rPr>
          <w:rFonts w:ascii="Times New Roman" w:hAnsi="Times New Roman"/>
          <w:u w:val="none"/>
        </w:rPr>
        <w:tab/>
      </w:r>
      <w:r w:rsidR="0061060C" w:rsidRPr="00495F6C">
        <w:rPr>
          <w:rFonts w:ascii="Times New Roman" w:hAnsi="Times New Roman"/>
        </w:rPr>
        <w:t xml:space="preserve">Qualifications of </w:t>
      </w:r>
      <w:r w:rsidR="00875666">
        <w:rPr>
          <w:rFonts w:ascii="Times New Roman" w:hAnsi="Times New Roman"/>
        </w:rPr>
        <w:t>Jon A. Piliaris</w:t>
      </w:r>
      <w:bookmarkEnd w:id="7"/>
    </w:p>
    <w:p w:rsidR="0061060C" w:rsidRPr="00495F6C" w:rsidRDefault="0061060C" w:rsidP="0061060C">
      <w:pPr>
        <w:pStyle w:val="question"/>
        <w:widowControl w:val="0"/>
        <w:spacing w:before="120"/>
      </w:pPr>
      <w:r w:rsidRPr="00495F6C">
        <w:t>Q.</w:t>
      </w:r>
      <w:r w:rsidRPr="00495F6C">
        <w:tab/>
        <w:t>Please state your name and the party for whom you are appearing.</w:t>
      </w:r>
    </w:p>
    <w:p w:rsidR="0061060C" w:rsidRDefault="0061060C" w:rsidP="0061060C">
      <w:pPr>
        <w:pStyle w:val="answer"/>
        <w:widowControl w:val="0"/>
      </w:pPr>
      <w:r w:rsidRPr="00495F6C">
        <w:t>A.</w:t>
      </w:r>
      <w:r w:rsidRPr="00495F6C">
        <w:tab/>
        <w:t xml:space="preserve">My name is </w:t>
      </w:r>
      <w:r w:rsidR="00875666">
        <w:t>Jon A. Piliaris</w:t>
      </w:r>
      <w:r>
        <w:t>,</w:t>
      </w:r>
      <w:r w:rsidRPr="00495F6C">
        <w:t xml:space="preserve"> and I am appearing on behalf of Puget Sound Energy, Inc. (“</w:t>
      </w:r>
      <w:r w:rsidRPr="008836CE">
        <w:t>PSE</w:t>
      </w:r>
      <w:r w:rsidRPr="00495F6C">
        <w:t>”).  My qualifications are presented in Exhibit No.</w:t>
      </w:r>
      <w:r>
        <w:t> </w:t>
      </w:r>
      <w:r w:rsidR="00D23556" w:rsidRPr="00DF0B93">
        <w:t xml:space="preserve"> </w:t>
      </w:r>
      <w:r w:rsidRPr="00DF0B93">
        <w:t>J</w:t>
      </w:r>
      <w:r w:rsidR="00875666" w:rsidRPr="00DF0B93">
        <w:t>AP</w:t>
      </w:r>
      <w:r w:rsidRPr="00DF0B93">
        <w:t>-</w:t>
      </w:r>
      <w:r w:rsidR="005755A3">
        <w:t>2T in Dockets</w:t>
      </w:r>
      <w:r w:rsidR="007773F6">
        <w:t xml:space="preserve"> UE-121697 and UG-121705</w:t>
      </w:r>
      <w:r w:rsidRPr="00DF0B93">
        <w:t>.</w:t>
      </w:r>
    </w:p>
    <w:p w:rsidR="00FE4FBF" w:rsidRPr="00495F6C" w:rsidRDefault="00FE4FBF" w:rsidP="00FE4FBF">
      <w:pPr>
        <w:pStyle w:val="Heading2"/>
        <w:rPr>
          <w:rFonts w:ascii="Times New Roman" w:hAnsi="Times New Roman"/>
        </w:rPr>
      </w:pPr>
      <w:bookmarkStart w:id="15" w:name="_Toc313949506"/>
      <w:r>
        <w:rPr>
          <w:rFonts w:ascii="Times New Roman" w:hAnsi="Times New Roman"/>
          <w:u w:val="none"/>
        </w:rPr>
        <w:t>B</w:t>
      </w:r>
      <w:r w:rsidRPr="00495F6C">
        <w:rPr>
          <w:rFonts w:ascii="Times New Roman" w:hAnsi="Times New Roman"/>
          <w:u w:val="none"/>
        </w:rPr>
        <w:t>.</w:t>
      </w:r>
      <w:r w:rsidRPr="00495F6C">
        <w:rPr>
          <w:rFonts w:ascii="Times New Roman" w:hAnsi="Times New Roman"/>
          <w:u w:val="none"/>
        </w:rPr>
        <w:tab/>
      </w:r>
      <w:r w:rsidRPr="00495F6C">
        <w:rPr>
          <w:rFonts w:ascii="Times New Roman" w:hAnsi="Times New Roman"/>
          <w:bCs/>
        </w:rPr>
        <w:t>Qualifications of Kevin C. Higgins</w:t>
      </w:r>
      <w:bookmarkEnd w:id="15"/>
    </w:p>
    <w:p w:rsidR="00FE4FBF" w:rsidRPr="00495F6C" w:rsidRDefault="00FE4FBF" w:rsidP="00FE4FBF">
      <w:pPr>
        <w:pStyle w:val="question"/>
        <w:widowControl w:val="0"/>
        <w:spacing w:before="120"/>
      </w:pPr>
      <w:r w:rsidRPr="00495F6C">
        <w:t>Q.</w:t>
      </w:r>
      <w:r w:rsidRPr="00495F6C">
        <w:tab/>
        <w:t>Please state your name and the party for whom you are appearing.</w:t>
      </w:r>
    </w:p>
    <w:p w:rsidR="00D23556" w:rsidRPr="00D23556" w:rsidRDefault="00FE4FBF" w:rsidP="00D23556">
      <w:pPr>
        <w:pStyle w:val="answer"/>
        <w:widowControl w:val="0"/>
      </w:pPr>
      <w:r w:rsidRPr="00495F6C">
        <w:t>A.</w:t>
      </w:r>
      <w:r w:rsidRPr="00495F6C">
        <w:tab/>
        <w:t>My name is Kevin C. Higgins</w:t>
      </w:r>
      <w:r>
        <w:t>,</w:t>
      </w:r>
      <w:r w:rsidRPr="00495F6C">
        <w:t xml:space="preserve"> and I am appearing on behalf of The Kroger Co. (“</w:t>
      </w:r>
      <w:r w:rsidRPr="008836CE">
        <w:t>Kroger</w:t>
      </w:r>
      <w:r w:rsidRPr="00495F6C">
        <w:t>”).  My qualifications are presented in Exhibit No.</w:t>
      </w:r>
      <w:r>
        <w:t> </w:t>
      </w:r>
      <w:r w:rsidR="00D23556">
        <w:t>KCH-1T</w:t>
      </w:r>
      <w:r w:rsidR="00D23556" w:rsidRPr="00D23556">
        <w:t xml:space="preserve"> in Dockets UE-121697 and UG-121705.</w:t>
      </w:r>
    </w:p>
    <w:p w:rsidR="00DE639F" w:rsidRPr="005755A3" w:rsidRDefault="00FE4FBF" w:rsidP="0061060C">
      <w:pPr>
        <w:pStyle w:val="answer"/>
        <w:widowControl w:val="0"/>
        <w:rPr>
          <w:rFonts w:ascii="Times New Roman" w:hAnsi="Times New Roman"/>
          <w:b/>
          <w:bCs/>
        </w:rPr>
      </w:pPr>
      <w:r w:rsidRPr="005755A3">
        <w:rPr>
          <w:b/>
        </w:rPr>
        <w:t>C.</w:t>
      </w:r>
      <w:r w:rsidRPr="005755A3">
        <w:rPr>
          <w:b/>
        </w:rPr>
        <w:tab/>
      </w:r>
      <w:r w:rsidR="00DE639F" w:rsidRPr="00F03938">
        <w:rPr>
          <w:rFonts w:ascii="Times New Roman" w:hAnsi="Times New Roman"/>
          <w:b/>
          <w:bCs/>
          <w:u w:val="single"/>
        </w:rPr>
        <w:t>Qualifications of Thomas E. Schooley</w:t>
      </w:r>
    </w:p>
    <w:p w:rsidR="00DE639F" w:rsidRPr="00495F6C" w:rsidRDefault="00DE639F" w:rsidP="00DE639F">
      <w:pPr>
        <w:pStyle w:val="question"/>
        <w:widowControl w:val="0"/>
        <w:spacing w:before="120"/>
      </w:pPr>
      <w:r w:rsidRPr="00495F6C">
        <w:t>Q.</w:t>
      </w:r>
      <w:r w:rsidRPr="00495F6C">
        <w:tab/>
        <w:t>Please state your name and the party for whom you are appearing.</w:t>
      </w:r>
    </w:p>
    <w:p w:rsidR="00DE639F" w:rsidRPr="00495F6C" w:rsidRDefault="00DE639F" w:rsidP="000531A1">
      <w:pPr>
        <w:pStyle w:val="answer"/>
        <w:widowControl w:val="0"/>
        <w:spacing w:before="480" w:after="240"/>
      </w:pPr>
      <w:r w:rsidRPr="00495F6C">
        <w:t>A.</w:t>
      </w:r>
      <w:r w:rsidRPr="00495F6C">
        <w:tab/>
        <w:t xml:space="preserve">My name is </w:t>
      </w:r>
      <w:r>
        <w:t>Thomas E. Schooley,</w:t>
      </w:r>
      <w:r w:rsidRPr="00495F6C">
        <w:t xml:space="preserve"> and I am appearing on behalf of </w:t>
      </w:r>
      <w:r>
        <w:t>Commission Staff</w:t>
      </w:r>
      <w:r w:rsidRPr="00495F6C">
        <w:t xml:space="preserve"> (“</w:t>
      </w:r>
      <w:r>
        <w:t>Staff</w:t>
      </w:r>
      <w:r w:rsidRPr="00495F6C">
        <w:t>”).  My qualifications are presented in Exhibit No.</w:t>
      </w:r>
      <w:r>
        <w:t> TES</w:t>
      </w:r>
      <w:r w:rsidRPr="00FE4FBF">
        <w:t>-1T</w:t>
      </w:r>
      <w:r>
        <w:t xml:space="preserve"> in Dockets UE-</w:t>
      </w:r>
      <w:r w:rsidR="00CC6702">
        <w:t xml:space="preserve">121697 </w:t>
      </w:r>
      <w:r>
        <w:t>and UG-</w:t>
      </w:r>
      <w:r w:rsidR="00CC6702">
        <w:t>121705</w:t>
      </w:r>
      <w:r w:rsidRPr="00FE4FBF">
        <w:t>.</w:t>
      </w:r>
    </w:p>
    <w:p w:rsidR="00FE4FBF" w:rsidRDefault="00DE639F" w:rsidP="0061060C">
      <w:pPr>
        <w:pStyle w:val="answer"/>
        <w:widowControl w:val="0"/>
        <w:rPr>
          <w:b/>
          <w:u w:val="single"/>
        </w:rPr>
      </w:pPr>
      <w:r w:rsidRPr="00F03938">
        <w:lastRenderedPageBreak/>
        <w:t>D.</w:t>
      </w:r>
      <w:r w:rsidRPr="00F03938">
        <w:tab/>
      </w:r>
      <w:r w:rsidR="00FE4FBF" w:rsidRPr="00F03938">
        <w:rPr>
          <w:b/>
          <w:u w:val="single"/>
        </w:rPr>
        <w:t>Qualifications</w:t>
      </w:r>
      <w:r w:rsidR="00D23E9C" w:rsidRPr="00F03938">
        <w:rPr>
          <w:b/>
          <w:u w:val="single"/>
        </w:rPr>
        <w:t xml:space="preserve"> of </w:t>
      </w:r>
      <w:r w:rsidR="00CC6702" w:rsidRPr="00F03938">
        <w:rPr>
          <w:b/>
          <w:u w:val="single"/>
        </w:rPr>
        <w:t>Nancy Hirsh</w:t>
      </w:r>
    </w:p>
    <w:p w:rsidR="00CC6702" w:rsidRPr="00CC6702" w:rsidRDefault="00CC6702" w:rsidP="00CC6702">
      <w:pPr>
        <w:pStyle w:val="answer"/>
        <w:rPr>
          <w:b/>
          <w:bCs/>
        </w:rPr>
      </w:pPr>
      <w:r w:rsidRPr="00CC6702">
        <w:rPr>
          <w:b/>
          <w:bCs/>
        </w:rPr>
        <w:t>Q.</w:t>
      </w:r>
      <w:r w:rsidRPr="00CC6702">
        <w:rPr>
          <w:b/>
          <w:bCs/>
        </w:rPr>
        <w:tab/>
        <w:t>Please state your name and the party for whom you are appearing.</w:t>
      </w:r>
    </w:p>
    <w:p w:rsidR="00CC6702" w:rsidRPr="00CC6702" w:rsidRDefault="00CC6702" w:rsidP="00CC6702">
      <w:pPr>
        <w:pStyle w:val="answer"/>
      </w:pPr>
      <w:r w:rsidRPr="00CC6702">
        <w:t>A.</w:t>
      </w:r>
      <w:r w:rsidRPr="00CC6702">
        <w:tab/>
        <w:t xml:space="preserve">My name is </w:t>
      </w:r>
      <w:r>
        <w:t>Nancy Hirsh</w:t>
      </w:r>
      <w:r w:rsidRPr="00CC6702">
        <w:t xml:space="preserve">, and I am appearing on behalf of </w:t>
      </w:r>
      <w:r>
        <w:t xml:space="preserve">NW Energy Coalition.  </w:t>
      </w:r>
      <w:r w:rsidRPr="00CC6702">
        <w:t xml:space="preserve"> My qualifications </w:t>
      </w:r>
      <w:r w:rsidR="00D23556">
        <w:t>are presented in Exhibit No. </w:t>
      </w:r>
      <w:r>
        <w:t>NH-1T</w:t>
      </w:r>
      <w:r w:rsidRPr="00CC6702">
        <w:t xml:space="preserve"> in Dockets UE-</w:t>
      </w:r>
      <w:r>
        <w:t>121697</w:t>
      </w:r>
      <w:r w:rsidRPr="00CC6702">
        <w:t xml:space="preserve"> and UG-1</w:t>
      </w:r>
      <w:r>
        <w:t>21705</w:t>
      </w:r>
      <w:r w:rsidRPr="00CC6702">
        <w:t>.</w:t>
      </w:r>
    </w:p>
    <w:p w:rsidR="00495F6C" w:rsidRPr="00EB38DC" w:rsidRDefault="00D23E9C" w:rsidP="00495F6C">
      <w:pPr>
        <w:pStyle w:val="Heading2"/>
      </w:pPr>
      <w:bookmarkStart w:id="16" w:name="_Toc313949511"/>
      <w:r w:rsidRPr="00F03938">
        <w:rPr>
          <w:u w:val="none"/>
        </w:rPr>
        <w:t>E</w:t>
      </w:r>
      <w:r w:rsidR="00495F6C" w:rsidRPr="00F03938">
        <w:rPr>
          <w:u w:val="none"/>
        </w:rPr>
        <w:t>.</w:t>
      </w:r>
      <w:r w:rsidR="00495F6C" w:rsidRPr="00495F6C">
        <w:rPr>
          <w:u w:val="none"/>
        </w:rPr>
        <w:tab/>
      </w:r>
      <w:r w:rsidR="00495F6C">
        <w:rPr>
          <w:bCs/>
        </w:rPr>
        <w:t>Purpose of Joint Testimony</w:t>
      </w:r>
      <w:bookmarkEnd w:id="16"/>
    </w:p>
    <w:p w:rsidR="00495F6C" w:rsidRDefault="00495F6C" w:rsidP="00495F6C">
      <w:pPr>
        <w:pStyle w:val="question"/>
        <w:widowControl w:val="0"/>
        <w:spacing w:before="120"/>
      </w:pPr>
      <w:r w:rsidRPr="0003457D">
        <w:t>Q.</w:t>
      </w:r>
      <w:r w:rsidRPr="0003457D">
        <w:tab/>
        <w:t>What is the purpose of this joint testimony?</w:t>
      </w:r>
    </w:p>
    <w:p w:rsidR="00495F6C" w:rsidRDefault="00495F6C" w:rsidP="00495F6C">
      <w:pPr>
        <w:pStyle w:val="answer"/>
        <w:widowControl w:val="0"/>
      </w:pPr>
      <w:r w:rsidRPr="00495F6C">
        <w:t>A.</w:t>
      </w:r>
      <w:r w:rsidRPr="00495F6C">
        <w:tab/>
        <w:t>The purpose of this Joint Testimony is to present the common recommendation of PSE, Staff, Kroger</w:t>
      </w:r>
      <w:r w:rsidR="00D101F4">
        <w:t xml:space="preserve">, </w:t>
      </w:r>
      <w:r w:rsidR="00D23556">
        <w:t xml:space="preserve">and </w:t>
      </w:r>
      <w:r w:rsidR="006B7D8A">
        <w:t>NW Energy Coalition</w:t>
      </w:r>
      <w:r w:rsidR="00DE639F">
        <w:t xml:space="preserve"> </w:t>
      </w:r>
      <w:r w:rsidRPr="00495F6C">
        <w:t>(hereinafter collectively referred to as “</w:t>
      </w:r>
      <w:r w:rsidR="00D840F8">
        <w:t>Joint</w:t>
      </w:r>
      <w:r w:rsidR="00D840F8" w:rsidRPr="004E4439">
        <w:t xml:space="preserve"> </w:t>
      </w:r>
      <w:r w:rsidRPr="004E4439">
        <w:t>Parties</w:t>
      </w:r>
      <w:r w:rsidRPr="00495F6C">
        <w:t xml:space="preserve">”) </w:t>
      </w:r>
      <w:r w:rsidR="007A5DCE">
        <w:t xml:space="preserve">regarding the treatment of </w:t>
      </w:r>
      <w:r w:rsidRPr="00495F6C">
        <w:t>electric rate</w:t>
      </w:r>
      <w:r w:rsidR="007A5DCE">
        <w:t xml:space="preserve"> </w:t>
      </w:r>
      <w:r w:rsidR="00DE639F">
        <w:t>S</w:t>
      </w:r>
      <w:r w:rsidR="007A5DCE">
        <w:t xml:space="preserve">chedules 26 and 31 </w:t>
      </w:r>
      <w:r w:rsidR="00C55574">
        <w:t xml:space="preserve">in </w:t>
      </w:r>
      <w:r w:rsidR="007A5DCE">
        <w:t>PSE’s decoupling mechanism approved by the Commission</w:t>
      </w:r>
      <w:r w:rsidR="00D85256">
        <w:t xml:space="preserve"> in Order 07 in these dockets</w:t>
      </w:r>
      <w:r w:rsidR="00DE639F">
        <w:t>.</w:t>
      </w:r>
      <w:r w:rsidR="00674FFA">
        <w:t xml:space="preserve">  These recommendations are</w:t>
      </w:r>
      <w:r w:rsidRPr="00495F6C">
        <w:t xml:space="preserve"> all contained in the </w:t>
      </w:r>
      <w:r w:rsidR="00DE639F">
        <w:t xml:space="preserve">Joint Response to </w:t>
      </w:r>
      <w:r w:rsidR="00D23556">
        <w:t>Petition</w:t>
      </w:r>
      <w:r w:rsidR="00DE639F">
        <w:t xml:space="preserve"> for Reconsideration</w:t>
      </w:r>
      <w:r w:rsidRPr="00495F6C">
        <w:t xml:space="preserve"> </w:t>
      </w:r>
      <w:r w:rsidR="00D23556">
        <w:t>F</w:t>
      </w:r>
      <w:r w:rsidRPr="00495F6C">
        <w:t xml:space="preserve">iled </w:t>
      </w:r>
      <w:r w:rsidR="00D23556">
        <w:t xml:space="preserve">By </w:t>
      </w:r>
      <w:r w:rsidR="00456FD5">
        <w:t xml:space="preserve">The </w:t>
      </w:r>
      <w:r w:rsidR="00D23556">
        <w:t>Kroger</w:t>
      </w:r>
      <w:r w:rsidR="00456FD5">
        <w:t xml:space="preserve"> Company</w:t>
      </w:r>
      <w:r w:rsidR="00D23556">
        <w:t xml:space="preserve"> (the “Joint Response”).  The Joint Response if being filed </w:t>
      </w:r>
      <w:r w:rsidRPr="00495F6C">
        <w:t xml:space="preserve">with the Commission on </w:t>
      </w:r>
      <w:r w:rsidR="00A97B34" w:rsidRPr="00F03938">
        <w:t>Novem</w:t>
      </w:r>
      <w:r w:rsidR="007A5DCE" w:rsidRPr="00F03938">
        <w:t xml:space="preserve">ber </w:t>
      </w:r>
      <w:r w:rsidR="001008AE" w:rsidRPr="00F03938">
        <w:t>1</w:t>
      </w:r>
      <w:r w:rsidR="005D2F99" w:rsidRPr="00F03938">
        <w:t xml:space="preserve">, </w:t>
      </w:r>
      <w:r w:rsidRPr="00F03938">
        <w:t>20</w:t>
      </w:r>
      <w:r w:rsidR="00677369" w:rsidRPr="00F03938">
        <w:t>1</w:t>
      </w:r>
      <w:r w:rsidR="007A5DCE" w:rsidRPr="00F03938">
        <w:t>3</w:t>
      </w:r>
      <w:r w:rsidR="00D23556">
        <w:t>.</w:t>
      </w:r>
      <w:r w:rsidR="00E52881">
        <w:t xml:space="preserve"> </w:t>
      </w:r>
    </w:p>
    <w:p w:rsidR="00495F6C" w:rsidRPr="00495F6C" w:rsidRDefault="00495F6C" w:rsidP="00495F6C">
      <w:pPr>
        <w:pStyle w:val="Heading1"/>
        <w:keepLines w:val="0"/>
        <w:rPr>
          <w:rFonts w:eastAsia="SimSun"/>
        </w:rPr>
      </w:pPr>
      <w:bookmarkStart w:id="17" w:name="_Toc313949512"/>
      <w:r w:rsidRPr="00EB38DC">
        <w:t>II.</w:t>
      </w:r>
      <w:r w:rsidRPr="00EB38DC">
        <w:tab/>
        <w:t xml:space="preserve">JOINT TESTIMONY </w:t>
      </w:r>
      <w:r w:rsidR="00C55574">
        <w:t>REGARDING TREATMENT OF</w:t>
      </w:r>
      <w:r w:rsidRPr="00EB38DC">
        <w:t xml:space="preserve"> </w:t>
      </w:r>
      <w:r>
        <w:t>ELECTRIC</w:t>
      </w:r>
      <w:r w:rsidRPr="00EB38DC">
        <w:t xml:space="preserve"> RATE </w:t>
      </w:r>
      <w:bookmarkEnd w:id="17"/>
      <w:r w:rsidR="007A5DCE">
        <w:t>SCHEDULES 26 AND 31</w:t>
      </w:r>
    </w:p>
    <w:p w:rsidR="00495F6C" w:rsidRDefault="00495F6C" w:rsidP="007A5DCE">
      <w:pPr>
        <w:pStyle w:val="question"/>
        <w:keepNext/>
        <w:spacing w:before="120"/>
      </w:pPr>
      <w:r w:rsidRPr="00F65D26">
        <w:t>Q.</w:t>
      </w:r>
      <w:r w:rsidRPr="00F65D26">
        <w:tab/>
        <w:t xml:space="preserve">Please describe </w:t>
      </w:r>
      <w:r w:rsidR="00C55574">
        <w:t xml:space="preserve">how the </w:t>
      </w:r>
      <w:r w:rsidR="00D51ADF">
        <w:t xml:space="preserve">Joint Response </w:t>
      </w:r>
      <w:r w:rsidR="00C55574">
        <w:t>proposes to treat Schedules 26 and 31 in the context of PSE’s decoupling mechanism.</w:t>
      </w:r>
    </w:p>
    <w:p w:rsidR="00C55574" w:rsidRDefault="00C55574" w:rsidP="00C55574">
      <w:pPr>
        <w:pStyle w:val="answer"/>
      </w:pPr>
      <w:r>
        <w:t>A.</w:t>
      </w:r>
      <w:r>
        <w:tab/>
        <w:t xml:space="preserve">The </w:t>
      </w:r>
      <w:r w:rsidR="00D840F8">
        <w:t xml:space="preserve">Joint </w:t>
      </w:r>
      <w:r>
        <w:t xml:space="preserve">Parties have reached a compromise regarding the going-forward treatment of Schedules 26 and 31 in the context of PSE’s decoupling mechanism.  The </w:t>
      </w:r>
      <w:r w:rsidR="00FE4FBF">
        <w:t>essence</w:t>
      </w:r>
      <w:r>
        <w:t xml:space="preserve"> of the compromise </w:t>
      </w:r>
      <w:r w:rsidR="00D26960">
        <w:t>requires two basic changes rel</w:t>
      </w:r>
      <w:r w:rsidR="00FE4FBF">
        <w:t>a</w:t>
      </w:r>
      <w:r w:rsidR="00D26960">
        <w:t xml:space="preserve">tive to the status quo.  The first change requires </w:t>
      </w:r>
      <w:r>
        <w:t xml:space="preserve">the </w:t>
      </w:r>
      <w:r w:rsidR="00D26960">
        <w:t xml:space="preserve">rate design for these two rate schedules to be modified to ensure that all costs </w:t>
      </w:r>
      <w:r w:rsidR="00C713A5">
        <w:t xml:space="preserve">for delivery service </w:t>
      </w:r>
      <w:r w:rsidR="00D26960">
        <w:t xml:space="preserve">that are not otherwise recovered in the </w:t>
      </w:r>
      <w:r w:rsidR="0053668C">
        <w:t xml:space="preserve">basic charge </w:t>
      </w:r>
      <w:r w:rsidR="00D26960">
        <w:t>are recovered through the respective rate schedule’s demand charge.  The second change requires the decoupling mechanism for these two rate schedules to be applied through their respective demand charges rather than through the</w:t>
      </w:r>
      <w:r w:rsidR="00C713A5">
        <w:t>ir</w:t>
      </w:r>
      <w:r w:rsidR="00D26960">
        <w:t xml:space="preserve"> energy charges. </w:t>
      </w:r>
    </w:p>
    <w:p w:rsidR="00D26960" w:rsidRPr="0021588E" w:rsidRDefault="0021588E" w:rsidP="00C55574">
      <w:pPr>
        <w:pStyle w:val="answer"/>
        <w:rPr>
          <w:b/>
        </w:rPr>
      </w:pPr>
      <w:r w:rsidRPr="0021588E">
        <w:rPr>
          <w:b/>
        </w:rPr>
        <w:t>Q.</w:t>
      </w:r>
      <w:r w:rsidRPr="0021588E">
        <w:rPr>
          <w:b/>
        </w:rPr>
        <w:tab/>
        <w:t xml:space="preserve">Please explain the basis for these </w:t>
      </w:r>
      <w:r>
        <w:rPr>
          <w:b/>
        </w:rPr>
        <w:t xml:space="preserve">two basic </w:t>
      </w:r>
      <w:r w:rsidRPr="0021588E">
        <w:rPr>
          <w:b/>
        </w:rPr>
        <w:t>changes.</w:t>
      </w:r>
    </w:p>
    <w:p w:rsidR="0021588E" w:rsidRDefault="0021588E" w:rsidP="00C55574">
      <w:pPr>
        <w:pStyle w:val="answer"/>
      </w:pPr>
      <w:r>
        <w:t>A.</w:t>
      </w:r>
      <w:r>
        <w:tab/>
        <w:t>The two basic changes are interrelated.  To explain the basis for these changes, it is useful to provide some background.</w:t>
      </w:r>
    </w:p>
    <w:p w:rsidR="0021588E" w:rsidRDefault="0021588E" w:rsidP="00C55574">
      <w:pPr>
        <w:pStyle w:val="answer"/>
      </w:pPr>
      <w:r>
        <w:tab/>
        <w:t xml:space="preserve">The currently-approved decoupling mechanism </w:t>
      </w:r>
      <w:r w:rsidR="005A58A8">
        <w:t>target</w:t>
      </w:r>
      <w:r>
        <w:t>s an allowed revenue</w:t>
      </w:r>
      <w:r w:rsidR="00FB6EB4">
        <w:t>-</w:t>
      </w:r>
      <w:r>
        <w:t>per</w:t>
      </w:r>
      <w:r w:rsidR="00FB6EB4">
        <w:t>-</w:t>
      </w:r>
      <w:r>
        <w:t>customer</w:t>
      </w:r>
      <w:r w:rsidR="005A58A8">
        <w:t xml:space="preserve"> that is to be recovered by PSE for delivery service.  For non-residential customers, the current mechanism is implemented by examining changes in </w:t>
      </w:r>
      <w:r w:rsidR="005A58A8" w:rsidRPr="005A58A8">
        <w:rPr>
          <w:i/>
        </w:rPr>
        <w:t>kilowatt-hour</w:t>
      </w:r>
      <w:r w:rsidR="005A58A8">
        <w:t xml:space="preserve"> usage per customer.  </w:t>
      </w:r>
      <w:r w:rsidR="00FB6EB4" w:rsidRPr="00FB6EB4">
        <w:t>If kilowatt-hour</w:t>
      </w:r>
      <w:r w:rsidR="00FB6EB4">
        <w:t xml:space="preserve"> usage per non-residential customer decreases, delivery service revenues are deemed to have decreased, and an upward rate adjustment is made to compensate. Conversely, if </w:t>
      </w:r>
      <w:r w:rsidR="00FB6EB4" w:rsidRPr="00FB6EB4">
        <w:t>kilowatt-hour</w:t>
      </w:r>
      <w:r w:rsidR="00FB6EB4">
        <w:t xml:space="preserve"> usage per non-residential customer </w:t>
      </w:r>
      <w:r w:rsidR="00FB6EB4" w:rsidRPr="00FB6EB4">
        <w:rPr>
          <w:i/>
        </w:rPr>
        <w:t>increases</w:t>
      </w:r>
      <w:r w:rsidR="00FB6EB4">
        <w:t xml:space="preserve">, delivery service revenues are deemed to have increased, and a </w:t>
      </w:r>
      <w:r w:rsidR="00C713A5">
        <w:t>down</w:t>
      </w:r>
      <w:r w:rsidR="00FB6EB4">
        <w:t>ward rate adjustment is made to compensate.</w:t>
      </w:r>
    </w:p>
    <w:p w:rsidR="00682471" w:rsidRDefault="00246690" w:rsidP="00B94038">
      <w:pPr>
        <w:pStyle w:val="answer"/>
        <w:ind w:firstLine="0"/>
      </w:pPr>
      <w:r w:rsidRPr="00927D52">
        <w:t xml:space="preserve">The </w:t>
      </w:r>
      <w:r w:rsidR="00090E74">
        <w:t>proposal contained in the Joint Response</w:t>
      </w:r>
      <w:r w:rsidR="00C713A5" w:rsidRPr="00927D52">
        <w:t xml:space="preserve"> </w:t>
      </w:r>
      <w:r w:rsidR="00A60D20">
        <w:t xml:space="preserve">modifies the </w:t>
      </w:r>
      <w:r w:rsidR="00682471">
        <w:t>decoupling mechanism for Schedule</w:t>
      </w:r>
      <w:r w:rsidR="000D3654">
        <w:t>s</w:t>
      </w:r>
      <w:r w:rsidR="00682471">
        <w:t xml:space="preserve"> 26 and 31 </w:t>
      </w:r>
      <w:r w:rsidR="00A60D20">
        <w:t xml:space="preserve">such that </w:t>
      </w:r>
      <w:r w:rsidR="00C713A5">
        <w:t xml:space="preserve">the </w:t>
      </w:r>
      <w:r w:rsidR="00A60D20">
        <w:t xml:space="preserve">decoupling adjustment would be derived from observed changes in </w:t>
      </w:r>
      <w:r w:rsidR="00A60D20" w:rsidRPr="00C61522">
        <w:rPr>
          <w:i/>
        </w:rPr>
        <w:t>bill</w:t>
      </w:r>
      <w:r w:rsidR="001A7664">
        <w:rPr>
          <w:i/>
        </w:rPr>
        <w:t>ing</w:t>
      </w:r>
      <w:r w:rsidR="00A60D20">
        <w:t xml:space="preserve"> </w:t>
      </w:r>
      <w:r w:rsidR="00A60D20" w:rsidRPr="00A60D20">
        <w:rPr>
          <w:i/>
        </w:rPr>
        <w:t>demand</w:t>
      </w:r>
      <w:r w:rsidR="00A60D20">
        <w:t xml:space="preserve"> </w:t>
      </w:r>
      <w:r w:rsidR="00C713A5">
        <w:t xml:space="preserve">per customer </w:t>
      </w:r>
      <w:r w:rsidR="00A60D20">
        <w:t>for</w:t>
      </w:r>
      <w:r w:rsidR="00682471">
        <w:t xml:space="preserve"> </w:t>
      </w:r>
      <w:r w:rsidR="00A60D20">
        <w:t xml:space="preserve">Schedule 26 and 31 customers rather than changes in </w:t>
      </w:r>
      <w:r w:rsidR="00A60D20" w:rsidRPr="00A60D20">
        <w:rPr>
          <w:i/>
        </w:rPr>
        <w:t>kilowatt-hour</w:t>
      </w:r>
      <w:r w:rsidR="00A60D20">
        <w:t xml:space="preserve"> usage</w:t>
      </w:r>
      <w:r w:rsidR="00C713A5">
        <w:t xml:space="preserve"> per customer</w:t>
      </w:r>
      <w:r w:rsidR="00A60D20">
        <w:t xml:space="preserve">.  Certain of the </w:t>
      </w:r>
      <w:r w:rsidR="00D840F8">
        <w:t xml:space="preserve">Joint </w:t>
      </w:r>
      <w:r w:rsidR="00A60D20">
        <w:t xml:space="preserve">Parties </w:t>
      </w:r>
      <w:r w:rsidR="00C713A5">
        <w:t xml:space="preserve">(e.g., Kroger) </w:t>
      </w:r>
      <w:r w:rsidR="00A60D20">
        <w:t xml:space="preserve">believe that if a decoupling mechanism is to be adopted, it is preferable for the decoupling adjustment to be derived using changes in demand usage rather than energy usage because the former is less variable than the latter.  Consequently, a decoupling adjustment </w:t>
      </w:r>
      <w:r w:rsidR="00696B6E">
        <w:t xml:space="preserve">that is </w:t>
      </w:r>
      <w:r w:rsidR="00A60D20">
        <w:t>calculated based on observed changes in bill</w:t>
      </w:r>
      <w:r w:rsidR="001A7664">
        <w:t>ing</w:t>
      </w:r>
      <w:r w:rsidR="00A60D20">
        <w:t xml:space="preserve"> demand per customer </w:t>
      </w:r>
      <w:r w:rsidR="00C713A5">
        <w:t>is likely to</w:t>
      </w:r>
      <w:r w:rsidR="00A60D20">
        <w:t xml:space="preserve"> be less v</w:t>
      </w:r>
      <w:r w:rsidR="00696B6E">
        <w:t>ariabl</w:t>
      </w:r>
      <w:r w:rsidR="00A60D20">
        <w:t>e than a</w:t>
      </w:r>
      <w:r w:rsidR="00696B6E">
        <w:t xml:space="preserve"> decoupling adjustment calculated based on observed changes in kilowatt usage per customer.</w:t>
      </w:r>
      <w:r w:rsidR="006A78C0">
        <w:t xml:space="preserve"> </w:t>
      </w:r>
    </w:p>
    <w:p w:rsidR="00FB1897" w:rsidRDefault="00FB1897" w:rsidP="00B94038">
      <w:pPr>
        <w:pStyle w:val="answer"/>
        <w:ind w:firstLine="0"/>
      </w:pPr>
      <w:r>
        <w:t>To enable a decoupling mechanism that is structured around demand charges rather than energy charges,</w:t>
      </w:r>
      <w:r w:rsidR="006B236D">
        <w:t xml:space="preserve"> the </w:t>
      </w:r>
      <w:r w:rsidR="00D840F8">
        <w:t>Joint Response</w:t>
      </w:r>
      <w:r w:rsidR="006B236D">
        <w:t xml:space="preserve"> also includes changes to the rate design for these two schedules. </w:t>
      </w:r>
      <w:r>
        <w:t xml:space="preserve"> Schedule 26 and 31 demand charges are increased, while their respective energy charges are reduced in a manner that is revenue-neutral both to PSE and to each of the two rate schedules.  This change would allow PSE to fully recover its delivery service costs for Schedules 26 and 31 through the </w:t>
      </w:r>
      <w:r w:rsidR="0053668C">
        <w:t xml:space="preserve">basic charge </w:t>
      </w:r>
      <w:r>
        <w:t>and demand charges</w:t>
      </w:r>
      <w:r w:rsidR="006B236D">
        <w:t xml:space="preserve"> (with decoupling adjustments)</w:t>
      </w:r>
      <w:r>
        <w:t>.</w:t>
      </w:r>
    </w:p>
    <w:p w:rsidR="00A2446B" w:rsidRPr="002F00C3" w:rsidRDefault="00A2446B" w:rsidP="00A2446B">
      <w:pPr>
        <w:pStyle w:val="answer"/>
        <w:rPr>
          <w:b/>
        </w:rPr>
      </w:pPr>
      <w:r w:rsidRPr="002F00C3">
        <w:rPr>
          <w:b/>
        </w:rPr>
        <w:t>Q.</w:t>
      </w:r>
      <w:r w:rsidRPr="002F00C3">
        <w:rPr>
          <w:b/>
        </w:rPr>
        <w:tab/>
      </w:r>
      <w:r>
        <w:rPr>
          <w:b/>
        </w:rPr>
        <w:t>Has an exhibit been prepared to illustrate the operation of the proposed changes to the electric decoupling mechanism as it relates to customers served under Schedules 26 and 31?</w:t>
      </w:r>
    </w:p>
    <w:p w:rsidR="00A2446B" w:rsidRPr="004111E6" w:rsidRDefault="00A2446B" w:rsidP="00A2446B">
      <w:pPr>
        <w:pStyle w:val="question"/>
        <w:keepNext/>
        <w:spacing w:before="120"/>
        <w:rPr>
          <w:b w:val="0"/>
        </w:rPr>
      </w:pPr>
      <w:r w:rsidRPr="004111E6">
        <w:rPr>
          <w:b w:val="0"/>
        </w:rPr>
        <w:t>A.</w:t>
      </w:r>
      <w:r w:rsidRPr="004111E6">
        <w:rPr>
          <w:b w:val="0"/>
        </w:rPr>
        <w:tab/>
        <w:t xml:space="preserve">Yes.  The analysis supporting the proposed </w:t>
      </w:r>
      <w:r>
        <w:rPr>
          <w:b w:val="0"/>
        </w:rPr>
        <w:t xml:space="preserve">changes to the electric decoupling mechanism </w:t>
      </w:r>
      <w:r w:rsidRPr="004111E6">
        <w:rPr>
          <w:b w:val="0"/>
        </w:rPr>
        <w:t xml:space="preserve">for </w:t>
      </w:r>
      <w:r>
        <w:rPr>
          <w:b w:val="0"/>
        </w:rPr>
        <w:t xml:space="preserve">customers served under </w:t>
      </w:r>
      <w:r w:rsidRPr="004111E6">
        <w:rPr>
          <w:b w:val="0"/>
        </w:rPr>
        <w:t xml:space="preserve">Schedules 26 and 31 is presented in Exhibit No.___(JPE-2).  </w:t>
      </w:r>
      <w:r>
        <w:rPr>
          <w:b w:val="0"/>
        </w:rPr>
        <w:t>These exhibits are modeled after those supporting the approved electric decoupling mechanism with two key differences: the decoupling deferrals and associated true-ups are (1) based on demand charges rather than energy charges and (2) calculated independently for each rate schedule (i.e., rather than being comingled as a common decoupling rate group).  The operation of the proposed decoupling mechanism for Schedules 26 and 31 follow directly from the proposed rate design changes for these schedules.</w:t>
      </w:r>
    </w:p>
    <w:p w:rsidR="002F00C3" w:rsidRPr="002F00C3" w:rsidRDefault="002F00C3" w:rsidP="002F00C3">
      <w:pPr>
        <w:pStyle w:val="answer"/>
        <w:rPr>
          <w:b/>
        </w:rPr>
      </w:pPr>
      <w:r w:rsidRPr="002F00C3">
        <w:rPr>
          <w:b/>
        </w:rPr>
        <w:t>Q.</w:t>
      </w:r>
      <w:r w:rsidRPr="002F00C3">
        <w:rPr>
          <w:b/>
        </w:rPr>
        <w:tab/>
      </w:r>
      <w:r w:rsidR="000B39C3">
        <w:rPr>
          <w:b/>
        </w:rPr>
        <w:t>Describe</w:t>
      </w:r>
      <w:r w:rsidR="000B39C3" w:rsidRPr="002F00C3">
        <w:rPr>
          <w:b/>
        </w:rPr>
        <w:t xml:space="preserve"> </w:t>
      </w:r>
      <w:r w:rsidRPr="002F00C3">
        <w:rPr>
          <w:b/>
        </w:rPr>
        <w:t>the proposed change in rate design for Schedules 26 and 31</w:t>
      </w:r>
      <w:r w:rsidR="000B39C3">
        <w:rPr>
          <w:b/>
        </w:rPr>
        <w:t>.</w:t>
      </w:r>
    </w:p>
    <w:p w:rsidR="00DC4370" w:rsidRDefault="002F00C3" w:rsidP="00DC4370">
      <w:pPr>
        <w:pStyle w:val="question"/>
        <w:keepNext/>
        <w:spacing w:before="120"/>
        <w:rPr>
          <w:b w:val="0"/>
        </w:rPr>
      </w:pPr>
      <w:r w:rsidRPr="002F00C3">
        <w:rPr>
          <w:b w:val="0"/>
        </w:rPr>
        <w:t>A.</w:t>
      </w:r>
      <w:r w:rsidRPr="002F00C3">
        <w:rPr>
          <w:b w:val="0"/>
        </w:rPr>
        <w:tab/>
      </w:r>
      <w:r w:rsidR="000B39C3">
        <w:rPr>
          <w:b w:val="0"/>
        </w:rPr>
        <w:t>T</w:t>
      </w:r>
      <w:r w:rsidRPr="002F00C3">
        <w:rPr>
          <w:b w:val="0"/>
        </w:rPr>
        <w:t xml:space="preserve">he proposed change </w:t>
      </w:r>
      <w:r w:rsidR="00DC4370">
        <w:rPr>
          <w:b w:val="0"/>
        </w:rPr>
        <w:t xml:space="preserve">in rate design </w:t>
      </w:r>
      <w:r w:rsidR="006B236D">
        <w:rPr>
          <w:b w:val="0"/>
        </w:rPr>
        <w:t xml:space="preserve">moves the recovery of some </w:t>
      </w:r>
      <w:r w:rsidR="0053668C">
        <w:rPr>
          <w:b w:val="0"/>
        </w:rPr>
        <w:t>fixed</w:t>
      </w:r>
      <w:r w:rsidR="006B236D">
        <w:rPr>
          <w:b w:val="0"/>
        </w:rPr>
        <w:t xml:space="preserve"> costs that are currently recovered through energy charges</w:t>
      </w:r>
      <w:r w:rsidR="00B94038">
        <w:rPr>
          <w:b w:val="0"/>
        </w:rPr>
        <w:t xml:space="preserve"> </w:t>
      </w:r>
      <w:r w:rsidR="006B236D">
        <w:rPr>
          <w:b w:val="0"/>
        </w:rPr>
        <w:t>to demand charges</w:t>
      </w:r>
      <w:r w:rsidR="000B39C3">
        <w:rPr>
          <w:b w:val="0"/>
        </w:rPr>
        <w:t>.</w:t>
      </w:r>
      <w:r w:rsidRPr="002F00C3">
        <w:rPr>
          <w:b w:val="0"/>
        </w:rPr>
        <w:t xml:space="preserve"> </w:t>
      </w:r>
      <w:r w:rsidR="000B39C3">
        <w:rPr>
          <w:b w:val="0"/>
        </w:rPr>
        <w:t xml:space="preserve"> I</w:t>
      </w:r>
      <w:r w:rsidR="00B933C4">
        <w:rPr>
          <w:b w:val="0"/>
        </w:rPr>
        <w:t xml:space="preserve">n the view of at least some of the </w:t>
      </w:r>
      <w:r w:rsidR="00D840F8">
        <w:rPr>
          <w:b w:val="0"/>
        </w:rPr>
        <w:t xml:space="preserve">Joint </w:t>
      </w:r>
      <w:r w:rsidR="00B933C4">
        <w:rPr>
          <w:b w:val="0"/>
        </w:rPr>
        <w:t xml:space="preserve">Parties, </w:t>
      </w:r>
      <w:r w:rsidR="006B236D">
        <w:rPr>
          <w:b w:val="0"/>
        </w:rPr>
        <w:t xml:space="preserve">some of the </w:t>
      </w:r>
      <w:r w:rsidR="0053668C">
        <w:rPr>
          <w:b w:val="0"/>
        </w:rPr>
        <w:t>fixed costs</w:t>
      </w:r>
      <w:r w:rsidR="006B236D">
        <w:rPr>
          <w:b w:val="0"/>
        </w:rPr>
        <w:t xml:space="preserve"> that are currently recovered through energy charges will continue to be recovered through energy charges</w:t>
      </w:r>
      <w:r w:rsidRPr="002F00C3">
        <w:rPr>
          <w:b w:val="0"/>
        </w:rPr>
        <w:t xml:space="preserve">. </w:t>
      </w:r>
      <w:r w:rsidR="00B933C4">
        <w:rPr>
          <w:b w:val="0"/>
        </w:rPr>
        <w:t xml:space="preserve"> </w:t>
      </w:r>
    </w:p>
    <w:p w:rsidR="00603100" w:rsidRPr="00F86E24" w:rsidRDefault="00934F24" w:rsidP="00603100">
      <w:pPr>
        <w:pStyle w:val="answer"/>
        <w:rPr>
          <w:rFonts w:ascii="Times New Roman" w:hAnsi="Times New Roman"/>
          <w:b/>
        </w:rPr>
      </w:pPr>
      <w:r w:rsidRPr="001A55A4">
        <w:rPr>
          <w:b/>
        </w:rPr>
        <w:t>Q.</w:t>
      </w:r>
      <w:r w:rsidRPr="001A55A4">
        <w:rPr>
          <w:b/>
        </w:rPr>
        <w:tab/>
      </w:r>
      <w:r>
        <w:rPr>
          <w:b/>
        </w:rPr>
        <w:t>What will be the impact o</w:t>
      </w:r>
      <w:r w:rsidR="00603100">
        <w:rPr>
          <w:b/>
        </w:rPr>
        <w:t>f this proposed change in rate design</w:t>
      </w:r>
      <w:r w:rsidRPr="00F86E24">
        <w:rPr>
          <w:rFonts w:ascii="Times New Roman" w:hAnsi="Times New Roman"/>
          <w:b/>
        </w:rPr>
        <w:t>?</w:t>
      </w:r>
    </w:p>
    <w:p w:rsidR="00934F24" w:rsidRPr="00603100" w:rsidRDefault="00934F24" w:rsidP="00294F11">
      <w:pPr>
        <w:pStyle w:val="answer"/>
      </w:pPr>
      <w:r w:rsidRPr="00F86E24">
        <w:rPr>
          <w:rFonts w:ascii="Times New Roman" w:hAnsi="Times New Roman"/>
        </w:rPr>
        <w:t xml:space="preserve">A. </w:t>
      </w:r>
      <w:r>
        <w:rPr>
          <w:rFonts w:ascii="Times New Roman" w:hAnsi="Times New Roman"/>
        </w:rPr>
        <w:tab/>
      </w:r>
      <w:r w:rsidR="00603100">
        <w:rPr>
          <w:rFonts w:ascii="Times New Roman" w:hAnsi="Times New Roman"/>
        </w:rPr>
        <w:t>Under the proposed change in rate design, customers in schedules 26 and 31 will see a</w:t>
      </w:r>
      <w:r w:rsidR="000B39C3">
        <w:rPr>
          <w:rFonts w:ascii="Times New Roman" w:hAnsi="Times New Roman"/>
        </w:rPr>
        <w:t>n</w:t>
      </w:r>
      <w:r w:rsidR="00603100">
        <w:rPr>
          <w:rFonts w:ascii="Times New Roman" w:hAnsi="Times New Roman"/>
        </w:rPr>
        <w:t xml:space="preserve"> increase in their demand charges and a decrease in their energy charges relative to the current rate design for these schedules.  </w:t>
      </w:r>
      <w:r w:rsidR="0053668C">
        <w:rPr>
          <w:rFonts w:ascii="Times New Roman" w:hAnsi="Times New Roman"/>
        </w:rPr>
        <w:t>As a result, customers served under these schedules with higher load factors will experience modes</w:t>
      </w:r>
      <w:r w:rsidR="00173BBA">
        <w:rPr>
          <w:rFonts w:ascii="Times New Roman" w:hAnsi="Times New Roman"/>
        </w:rPr>
        <w:t>t</w:t>
      </w:r>
      <w:r w:rsidR="0053668C">
        <w:rPr>
          <w:rFonts w:ascii="Times New Roman" w:hAnsi="Times New Roman"/>
        </w:rPr>
        <w:t xml:space="preserve"> bill reductions, while those with lower load factors will see modes</w:t>
      </w:r>
      <w:r w:rsidR="00173BBA">
        <w:rPr>
          <w:rFonts w:ascii="Times New Roman" w:hAnsi="Times New Roman"/>
        </w:rPr>
        <w:t>t</w:t>
      </w:r>
      <w:r w:rsidR="0053668C">
        <w:rPr>
          <w:rFonts w:ascii="Times New Roman" w:hAnsi="Times New Roman"/>
        </w:rPr>
        <w:t xml:space="preserve"> increases.  </w:t>
      </w:r>
      <w:r w:rsidR="00D8321F">
        <w:t>T</w:t>
      </w:r>
      <w:r w:rsidR="00603100" w:rsidRPr="00603100">
        <w:t xml:space="preserve">here are various interests that need to be addressed in rate design, and there are tradeoffs among these interests.  The proposed rate design is a compromise that is the product of give and take among the </w:t>
      </w:r>
      <w:r w:rsidR="00D840F8">
        <w:t>Joint</w:t>
      </w:r>
      <w:r w:rsidR="00D840F8" w:rsidRPr="00603100">
        <w:t xml:space="preserve"> </w:t>
      </w:r>
      <w:r w:rsidR="00603100" w:rsidRPr="00603100">
        <w:t>Parties.</w:t>
      </w:r>
      <w:r w:rsidR="00603100">
        <w:rPr>
          <w:rFonts w:ascii="Times New Roman" w:hAnsi="Times New Roman"/>
        </w:rPr>
        <w:t xml:space="preserve"> </w:t>
      </w:r>
    </w:p>
    <w:p w:rsidR="00A2446B" w:rsidRPr="002F00C3" w:rsidRDefault="00A2446B" w:rsidP="00A2446B">
      <w:pPr>
        <w:pStyle w:val="answer"/>
        <w:rPr>
          <w:b/>
        </w:rPr>
      </w:pPr>
      <w:r w:rsidRPr="002F00C3">
        <w:rPr>
          <w:b/>
        </w:rPr>
        <w:t>Q.</w:t>
      </w:r>
      <w:r w:rsidRPr="002F00C3">
        <w:rPr>
          <w:b/>
        </w:rPr>
        <w:tab/>
      </w:r>
      <w:r>
        <w:rPr>
          <w:b/>
        </w:rPr>
        <w:t>Have exhibits been prepared to illustrate the calculation of the proposed rates for Schedules 26 and 31?</w:t>
      </w:r>
    </w:p>
    <w:p w:rsidR="00A2446B" w:rsidRDefault="00A2446B" w:rsidP="00A2446B">
      <w:pPr>
        <w:pStyle w:val="question"/>
        <w:keepNext/>
        <w:spacing w:before="120"/>
        <w:rPr>
          <w:b w:val="0"/>
        </w:rPr>
      </w:pPr>
      <w:r w:rsidRPr="004111E6">
        <w:rPr>
          <w:b w:val="0"/>
        </w:rPr>
        <w:t>A.</w:t>
      </w:r>
      <w:r w:rsidRPr="004111E6">
        <w:rPr>
          <w:b w:val="0"/>
        </w:rPr>
        <w:tab/>
        <w:t>Yes.  The analysis supporting the proposed energy and demand charges for Schedules 26 and 31 is p</w:t>
      </w:r>
      <w:r>
        <w:rPr>
          <w:b w:val="0"/>
        </w:rPr>
        <w:t>resented in Exhibit No.</w:t>
      </w:r>
      <w:r w:rsidR="00697FD9">
        <w:rPr>
          <w:b w:val="0"/>
        </w:rPr>
        <w:t> </w:t>
      </w:r>
      <w:r>
        <w:rPr>
          <w:b w:val="0"/>
        </w:rPr>
        <w:t>___(JPE-3</w:t>
      </w:r>
      <w:r w:rsidRPr="004111E6">
        <w:rPr>
          <w:b w:val="0"/>
        </w:rPr>
        <w:t xml:space="preserve">).  This analysis </w:t>
      </w:r>
      <w:r>
        <w:rPr>
          <w:b w:val="0"/>
        </w:rPr>
        <w:t xml:space="preserve">starts from </w:t>
      </w:r>
      <w:r w:rsidRPr="004111E6">
        <w:rPr>
          <w:b w:val="0"/>
        </w:rPr>
        <w:t xml:space="preserve">the compliance rate design sheets filed in support of rate changes approved in </w:t>
      </w:r>
      <w:r>
        <w:rPr>
          <w:b w:val="0"/>
        </w:rPr>
        <w:t xml:space="preserve">PSE’s expedited rate filing (“ERF”), </w:t>
      </w:r>
      <w:r w:rsidRPr="004111E6">
        <w:rPr>
          <w:b w:val="0"/>
        </w:rPr>
        <w:t xml:space="preserve">Docket No. UE-130137.  Energy charges are </w:t>
      </w:r>
      <w:r w:rsidR="0053668C">
        <w:rPr>
          <w:b w:val="0"/>
        </w:rPr>
        <w:t xml:space="preserve">first </w:t>
      </w:r>
      <w:r w:rsidRPr="004111E6">
        <w:rPr>
          <w:b w:val="0"/>
        </w:rPr>
        <w:t xml:space="preserve">reduced from current levels to produce </w:t>
      </w:r>
      <w:r>
        <w:rPr>
          <w:b w:val="0"/>
        </w:rPr>
        <w:t xml:space="preserve">test year </w:t>
      </w:r>
      <w:r w:rsidR="0053668C">
        <w:rPr>
          <w:b w:val="0"/>
        </w:rPr>
        <w:t xml:space="preserve">energy </w:t>
      </w:r>
      <w:r w:rsidRPr="004111E6">
        <w:rPr>
          <w:b w:val="0"/>
        </w:rPr>
        <w:t xml:space="preserve">revenues half way between what would </w:t>
      </w:r>
      <w:r>
        <w:rPr>
          <w:b w:val="0"/>
        </w:rPr>
        <w:t xml:space="preserve">have </w:t>
      </w:r>
      <w:r w:rsidRPr="004111E6">
        <w:rPr>
          <w:b w:val="0"/>
        </w:rPr>
        <w:t>be</w:t>
      </w:r>
      <w:r>
        <w:rPr>
          <w:b w:val="0"/>
        </w:rPr>
        <w:t>en</w:t>
      </w:r>
      <w:r w:rsidRPr="004111E6">
        <w:rPr>
          <w:b w:val="0"/>
        </w:rPr>
        <w:t xml:space="preserve"> recovered at </w:t>
      </w:r>
      <w:r>
        <w:rPr>
          <w:b w:val="0"/>
        </w:rPr>
        <w:t xml:space="preserve">current </w:t>
      </w:r>
      <w:r w:rsidRPr="004111E6">
        <w:rPr>
          <w:b w:val="0"/>
        </w:rPr>
        <w:t xml:space="preserve">rates and the energy-related production costs allocated to each rate schedule.  </w:t>
      </w:r>
      <w:r>
        <w:rPr>
          <w:b w:val="0"/>
        </w:rPr>
        <w:t xml:space="preserve">Each rate schedule’s </w:t>
      </w:r>
      <w:r w:rsidRPr="004111E6">
        <w:rPr>
          <w:b w:val="0"/>
        </w:rPr>
        <w:t>seasonal demand charges</w:t>
      </w:r>
      <w:r>
        <w:rPr>
          <w:b w:val="0"/>
        </w:rPr>
        <w:t xml:space="preserve"> is then proportionally increased to recover the revenue shortfall created by the reduction in the energy charges</w:t>
      </w:r>
      <w:r w:rsidRPr="004111E6">
        <w:rPr>
          <w:b w:val="0"/>
        </w:rPr>
        <w:t xml:space="preserve">.  </w:t>
      </w:r>
      <w:r>
        <w:rPr>
          <w:b w:val="0"/>
        </w:rPr>
        <w:t>Finally, as it pertains to the proposed decoupling mechanism, the portion of the demand charge related to the recovery of costs underlying rates approved in ERF</w:t>
      </w:r>
      <w:r w:rsidR="0053668C">
        <w:rPr>
          <w:b w:val="0"/>
        </w:rPr>
        <w:t xml:space="preserve"> (i.e., the delivery costs)</w:t>
      </w:r>
      <w:r>
        <w:rPr>
          <w:b w:val="0"/>
        </w:rPr>
        <w:t xml:space="preserve"> are isolated from the overall demand charges.  These “ERF-related” demand charges are then used as the “Delivery Revenue Per Unit” </w:t>
      </w:r>
      <w:r w:rsidR="0053668C">
        <w:rPr>
          <w:b w:val="0"/>
        </w:rPr>
        <w:t xml:space="preserve">in </w:t>
      </w:r>
      <w:r>
        <w:rPr>
          <w:b w:val="0"/>
        </w:rPr>
        <w:t xml:space="preserve">the decoupling </w:t>
      </w:r>
      <w:r w:rsidR="00030BB4">
        <w:rPr>
          <w:b w:val="0"/>
        </w:rPr>
        <w:t xml:space="preserve">deferral </w:t>
      </w:r>
      <w:r w:rsidR="0053668C">
        <w:rPr>
          <w:b w:val="0"/>
        </w:rPr>
        <w:t>calculations</w:t>
      </w:r>
      <w:r>
        <w:rPr>
          <w:b w:val="0"/>
        </w:rPr>
        <w:t>.</w:t>
      </w:r>
    </w:p>
    <w:p w:rsidR="00A2446B" w:rsidRPr="00E200A2" w:rsidRDefault="00A2446B" w:rsidP="00A2446B">
      <w:pPr>
        <w:pStyle w:val="question"/>
        <w:keepNext/>
        <w:spacing w:before="120"/>
      </w:pPr>
      <w:r w:rsidRPr="00E200A2">
        <w:t>Q.</w:t>
      </w:r>
      <w:r w:rsidRPr="00E200A2">
        <w:tab/>
        <w:t>Have</w:t>
      </w:r>
      <w:r>
        <w:t xml:space="preserve"> you developed</w:t>
      </w:r>
      <w:r w:rsidRPr="00E200A2">
        <w:t xml:space="preserve"> </w:t>
      </w:r>
      <w:r>
        <w:t xml:space="preserve">revised </w:t>
      </w:r>
      <w:r w:rsidRPr="00E200A2">
        <w:t xml:space="preserve">tariff </w:t>
      </w:r>
      <w:r>
        <w:t xml:space="preserve">sheets </w:t>
      </w:r>
      <w:r w:rsidRPr="00E200A2">
        <w:t>in connection with this proposal?</w:t>
      </w:r>
    </w:p>
    <w:p w:rsidR="00A2446B" w:rsidRPr="004111E6" w:rsidRDefault="00A2446B" w:rsidP="00A2446B">
      <w:pPr>
        <w:pStyle w:val="question"/>
        <w:keepNext/>
        <w:spacing w:before="120"/>
        <w:rPr>
          <w:b w:val="0"/>
        </w:rPr>
      </w:pPr>
      <w:r>
        <w:rPr>
          <w:b w:val="0"/>
        </w:rPr>
        <w:t>A.</w:t>
      </w:r>
      <w:r>
        <w:rPr>
          <w:b w:val="0"/>
        </w:rPr>
        <w:tab/>
        <w:t xml:space="preserve">Yes.  </w:t>
      </w:r>
      <w:r w:rsidRPr="004111E6">
        <w:rPr>
          <w:b w:val="0"/>
        </w:rPr>
        <w:t xml:space="preserve">The </w:t>
      </w:r>
      <w:r>
        <w:rPr>
          <w:b w:val="0"/>
        </w:rPr>
        <w:t>tariff sheets implementing these proposed rate design changes, as well as the proposed changes to the electric decoupling mechanism, are presented in Exhibit No.</w:t>
      </w:r>
      <w:r w:rsidR="00697FD9">
        <w:rPr>
          <w:b w:val="0"/>
        </w:rPr>
        <w:t> </w:t>
      </w:r>
      <w:r>
        <w:rPr>
          <w:b w:val="0"/>
        </w:rPr>
        <w:t>___(JPE-4).</w:t>
      </w:r>
      <w:r w:rsidRPr="004111E6">
        <w:rPr>
          <w:b w:val="0"/>
        </w:rPr>
        <w:t xml:space="preserve"> </w:t>
      </w:r>
    </w:p>
    <w:p w:rsidR="00603100" w:rsidRPr="00F86E24" w:rsidRDefault="00603100" w:rsidP="00603100">
      <w:pPr>
        <w:pStyle w:val="answer"/>
        <w:rPr>
          <w:rFonts w:ascii="Times New Roman" w:hAnsi="Times New Roman"/>
          <w:b/>
        </w:rPr>
      </w:pPr>
      <w:r w:rsidRPr="001A55A4">
        <w:rPr>
          <w:b/>
        </w:rPr>
        <w:t>Q.</w:t>
      </w:r>
      <w:r w:rsidRPr="001A55A4">
        <w:rPr>
          <w:b/>
        </w:rPr>
        <w:tab/>
      </w:r>
      <w:r>
        <w:rPr>
          <w:b/>
        </w:rPr>
        <w:t>Will there be a way to evaluate whether the proposed change in rate design does in fact affect customer incentives to conserve?</w:t>
      </w:r>
    </w:p>
    <w:p w:rsidR="00603100" w:rsidRPr="00934F24" w:rsidRDefault="00603100" w:rsidP="00E2634E">
      <w:pPr>
        <w:pStyle w:val="answer"/>
      </w:pPr>
      <w:r w:rsidRPr="00F86E24">
        <w:rPr>
          <w:rFonts w:ascii="Times New Roman" w:hAnsi="Times New Roman"/>
        </w:rPr>
        <w:t xml:space="preserve">A. </w:t>
      </w:r>
      <w:r>
        <w:rPr>
          <w:rFonts w:ascii="Times New Roman" w:hAnsi="Times New Roman"/>
        </w:rPr>
        <w:tab/>
        <w:t xml:space="preserve">Yes.  </w:t>
      </w:r>
      <w:r w:rsidR="00433C08">
        <w:rPr>
          <w:rFonts w:ascii="Times New Roman" w:hAnsi="Times New Roman"/>
        </w:rPr>
        <w:t>While not all Joint</w:t>
      </w:r>
      <w:r w:rsidR="00D840F8">
        <w:rPr>
          <w:rFonts w:ascii="Times New Roman" w:hAnsi="Times New Roman"/>
        </w:rPr>
        <w:t xml:space="preserve"> </w:t>
      </w:r>
      <w:r>
        <w:rPr>
          <w:rFonts w:ascii="Times New Roman" w:hAnsi="Times New Roman"/>
        </w:rPr>
        <w:t xml:space="preserve">Parties </w:t>
      </w:r>
      <w:r w:rsidR="00433C08">
        <w:rPr>
          <w:rFonts w:ascii="Times New Roman" w:hAnsi="Times New Roman"/>
        </w:rPr>
        <w:t xml:space="preserve">believe the rate design change will affect customer incentives to conserve, some of the Joint Parties have raised this question.  The Joint Response provides for an evaluation of </w:t>
      </w:r>
      <w:r>
        <w:rPr>
          <w:rFonts w:ascii="Times New Roman" w:hAnsi="Times New Roman"/>
        </w:rPr>
        <w:t xml:space="preserve">the change in rate design for Schedules 26 and 31 </w:t>
      </w:r>
      <w:r w:rsidR="00433C08">
        <w:rPr>
          <w:rFonts w:ascii="Times New Roman" w:hAnsi="Times New Roman"/>
        </w:rPr>
        <w:t xml:space="preserve">that will examine </w:t>
      </w:r>
      <w:r>
        <w:rPr>
          <w:rFonts w:ascii="Times New Roman" w:hAnsi="Times New Roman"/>
        </w:rPr>
        <w:t>whether</w:t>
      </w:r>
      <w:r w:rsidR="00294F11">
        <w:rPr>
          <w:rFonts w:ascii="Times New Roman" w:hAnsi="Times New Roman"/>
        </w:rPr>
        <w:t xml:space="preserve"> there is conclusive evidence </w:t>
      </w:r>
      <w:r>
        <w:rPr>
          <w:rFonts w:ascii="Times New Roman" w:hAnsi="Times New Roman"/>
        </w:rPr>
        <w:t xml:space="preserve">that </w:t>
      </w:r>
      <w:r w:rsidR="00433C08">
        <w:rPr>
          <w:rFonts w:ascii="Times New Roman" w:hAnsi="Times New Roman"/>
        </w:rPr>
        <w:t xml:space="preserve">the </w:t>
      </w:r>
      <w:r>
        <w:rPr>
          <w:rFonts w:ascii="Times New Roman" w:hAnsi="Times New Roman"/>
        </w:rPr>
        <w:t xml:space="preserve">change had an appreciable effect on </w:t>
      </w:r>
      <w:r w:rsidR="00E2634E" w:rsidRPr="007D0AAE">
        <w:rPr>
          <w:rFonts w:ascii="Times New Roman" w:hAnsi="Times New Roman"/>
        </w:rPr>
        <w:t xml:space="preserve">customers’ energy efficiency achievements, including but not limited to achievements made through </w:t>
      </w:r>
      <w:r>
        <w:rPr>
          <w:rFonts w:ascii="Times New Roman" w:hAnsi="Times New Roman"/>
        </w:rPr>
        <w:t xml:space="preserve">customer </w:t>
      </w:r>
      <w:r w:rsidR="00294F11">
        <w:rPr>
          <w:rFonts w:ascii="Times New Roman" w:hAnsi="Times New Roman"/>
        </w:rPr>
        <w:t>participation in PSE’s energy</w:t>
      </w:r>
      <w:r>
        <w:rPr>
          <w:rFonts w:ascii="Times New Roman" w:hAnsi="Times New Roman"/>
        </w:rPr>
        <w:t xml:space="preserve"> efficiency</w:t>
      </w:r>
      <w:r w:rsidR="00294F11">
        <w:rPr>
          <w:rFonts w:ascii="Times New Roman" w:hAnsi="Times New Roman"/>
        </w:rPr>
        <w:t xml:space="preserve"> programs</w:t>
      </w:r>
      <w:r>
        <w:rPr>
          <w:rFonts w:ascii="Times New Roman" w:hAnsi="Times New Roman"/>
        </w:rPr>
        <w:t xml:space="preserve">. </w:t>
      </w:r>
    </w:p>
    <w:p w:rsidR="00C61522" w:rsidRPr="00081177" w:rsidRDefault="00C61522" w:rsidP="00C61522">
      <w:pPr>
        <w:pStyle w:val="answer"/>
        <w:rPr>
          <w:b/>
        </w:rPr>
      </w:pPr>
      <w:r w:rsidRPr="00081177">
        <w:rPr>
          <w:b/>
        </w:rPr>
        <w:t>Q.</w:t>
      </w:r>
      <w:r w:rsidRPr="00081177">
        <w:rPr>
          <w:b/>
        </w:rPr>
        <w:tab/>
      </w:r>
      <w:r w:rsidR="00081177" w:rsidRPr="00081177">
        <w:rPr>
          <w:b/>
        </w:rPr>
        <w:t>Does the proposed change in rate design and decoupling mechanism for Schedules 26 and 31 have any impact on residential customers?</w:t>
      </w:r>
    </w:p>
    <w:p w:rsidR="00081177" w:rsidRPr="00C55574" w:rsidRDefault="00081177" w:rsidP="00C61522">
      <w:pPr>
        <w:pStyle w:val="answer"/>
      </w:pPr>
      <w:r>
        <w:t>A.</w:t>
      </w:r>
      <w:r>
        <w:tab/>
        <w:t xml:space="preserve">No.  The currently-approved decoupling mechanism segregates the recovery of delivery costs between residential and non-residential customers.  </w:t>
      </w:r>
      <w:r w:rsidR="002F00C3">
        <w:t>Consequently, m</w:t>
      </w:r>
      <w:r>
        <w:t>odifying the decoupling mechanism for Schedule 26 and 31 customers has no impact on residential customers.</w:t>
      </w:r>
    </w:p>
    <w:p w:rsidR="00081177" w:rsidRDefault="00081177" w:rsidP="00081177">
      <w:pPr>
        <w:pStyle w:val="answer"/>
        <w:rPr>
          <w:b/>
        </w:rPr>
      </w:pPr>
      <w:r w:rsidRPr="00081177">
        <w:rPr>
          <w:b/>
        </w:rPr>
        <w:t>Q.</w:t>
      </w:r>
      <w:r w:rsidRPr="00081177">
        <w:rPr>
          <w:b/>
        </w:rPr>
        <w:tab/>
        <w:t xml:space="preserve">Does the proposed change in rate design and decoupling mechanism for Schedules 26 and 31 have any impact on </w:t>
      </w:r>
      <w:r>
        <w:rPr>
          <w:b/>
        </w:rPr>
        <w:t>other non-</w:t>
      </w:r>
      <w:r w:rsidRPr="00081177">
        <w:rPr>
          <w:b/>
        </w:rPr>
        <w:t>residential customers?</w:t>
      </w:r>
    </w:p>
    <w:p w:rsidR="00A2446B" w:rsidRDefault="00081177" w:rsidP="00A2446B">
      <w:pPr>
        <w:pStyle w:val="answer"/>
      </w:pPr>
      <w:r w:rsidRPr="00081177">
        <w:t>A.</w:t>
      </w:r>
      <w:r w:rsidRPr="00081177">
        <w:tab/>
        <w:t>The change in rate de</w:t>
      </w:r>
      <w:r>
        <w:t>s</w:t>
      </w:r>
      <w:r w:rsidRPr="00081177">
        <w:t xml:space="preserve">ign has no impact on </w:t>
      </w:r>
      <w:r>
        <w:t xml:space="preserve">customers outside Schedules 26 and 31.  </w:t>
      </w:r>
      <w:r w:rsidR="001A7664">
        <w:t>However, t</w:t>
      </w:r>
      <w:r w:rsidR="003164E0">
        <w:t xml:space="preserve">he change in the decoupling mechanism </w:t>
      </w:r>
      <w:r w:rsidR="00C81D18">
        <w:t>is anticipated to</w:t>
      </w:r>
      <w:r w:rsidR="004A399D">
        <w:t xml:space="preserve"> have a </w:t>
      </w:r>
      <w:r w:rsidR="00C81D18">
        <w:t xml:space="preserve">small </w:t>
      </w:r>
      <w:r w:rsidR="004A399D">
        <w:t>co</w:t>
      </w:r>
      <w:r w:rsidR="00C81D18">
        <w:t>l</w:t>
      </w:r>
      <w:r w:rsidR="004A399D">
        <w:t xml:space="preserve">lateral </w:t>
      </w:r>
      <w:r w:rsidR="00C81D18">
        <w:t>impact on other non-residential customers (relative to the current mechanism)</w:t>
      </w:r>
      <w:r w:rsidR="00DC4370">
        <w:t xml:space="preserve">.  </w:t>
      </w:r>
      <w:r w:rsidR="00C713A5">
        <w:t>Specifical</w:t>
      </w:r>
      <w:r w:rsidR="0005392D">
        <w:t xml:space="preserve">ly, </w:t>
      </w:r>
      <w:r w:rsidR="00A2446B">
        <w:t>as sho</w:t>
      </w:r>
      <w:r w:rsidR="000531A1">
        <w:t>wn on page 4 of Exhibit No. </w:t>
      </w:r>
      <w:r w:rsidR="00FB4F84">
        <w:t>___(</w:t>
      </w:r>
      <w:r w:rsidR="00697FD9">
        <w:t xml:space="preserve"> </w:t>
      </w:r>
      <w:r w:rsidR="00A2446B">
        <w:t>JPE-8</w:t>
      </w:r>
      <w:r w:rsidR="00FB4F84">
        <w:t>)</w:t>
      </w:r>
      <w:r w:rsidR="00A2446B">
        <w:t xml:space="preserve">, </w:t>
      </w:r>
      <w:r w:rsidR="0005392D">
        <w:t xml:space="preserve">adoption of the stipulated </w:t>
      </w:r>
      <w:r w:rsidR="00C713A5">
        <w:t>proposal for Schedules 26 and 31 would result i</w:t>
      </w:r>
      <w:r w:rsidR="0005392D">
        <w:t xml:space="preserve">n the remaining non-residential </w:t>
      </w:r>
      <w:r w:rsidR="00C713A5">
        <w:t xml:space="preserve">customers on the currently authorized decoupling mechanism receiving a </w:t>
      </w:r>
      <w:r w:rsidR="0005392D">
        <w:t xml:space="preserve">projected </w:t>
      </w:r>
      <w:r w:rsidR="00C713A5">
        <w:t xml:space="preserve">rate increase in </w:t>
      </w:r>
      <w:r w:rsidR="0005392D">
        <w:t xml:space="preserve">May </w:t>
      </w:r>
      <w:r w:rsidR="00C713A5">
        <w:t xml:space="preserve">2014 </w:t>
      </w:r>
      <w:r w:rsidR="00C713A5" w:rsidRPr="00C713A5">
        <w:t>of </w:t>
      </w:r>
      <w:r w:rsidR="00A2446B">
        <w:rPr>
          <w:bCs/>
        </w:rPr>
        <w:t xml:space="preserve">1.29 percent.  The full decoupling analysis for electric customers outside of Schedules 26 and 31 is presented in Exhibit No. </w:t>
      </w:r>
      <w:r w:rsidR="00AC4EEE">
        <w:rPr>
          <w:bCs/>
        </w:rPr>
        <w:t>___(</w:t>
      </w:r>
      <w:r w:rsidR="00697FD9">
        <w:rPr>
          <w:bCs/>
        </w:rPr>
        <w:t>JP</w:t>
      </w:r>
      <w:r w:rsidR="00AC4EEE">
        <w:rPr>
          <w:bCs/>
        </w:rPr>
        <w:t>E</w:t>
      </w:r>
      <w:r w:rsidR="00697FD9">
        <w:rPr>
          <w:bCs/>
        </w:rPr>
        <w:t>-5</w:t>
      </w:r>
      <w:r w:rsidR="00AC4EEE">
        <w:rPr>
          <w:bCs/>
        </w:rPr>
        <w:t>)</w:t>
      </w:r>
      <w:r w:rsidR="00A2446B">
        <w:rPr>
          <w:bCs/>
        </w:rPr>
        <w:t xml:space="preserve"> through Exhibit No.</w:t>
      </w:r>
      <w:r w:rsidR="000531A1">
        <w:rPr>
          <w:bCs/>
        </w:rPr>
        <w:t> </w:t>
      </w:r>
      <w:r w:rsidR="00AC4EEE">
        <w:rPr>
          <w:bCs/>
        </w:rPr>
        <w:t>___(</w:t>
      </w:r>
      <w:r w:rsidR="00697FD9">
        <w:rPr>
          <w:bCs/>
        </w:rPr>
        <w:t>JP</w:t>
      </w:r>
      <w:r w:rsidR="00AC4EEE">
        <w:rPr>
          <w:bCs/>
        </w:rPr>
        <w:t>E</w:t>
      </w:r>
      <w:r w:rsidR="00697FD9">
        <w:rPr>
          <w:bCs/>
        </w:rPr>
        <w:t>-8</w:t>
      </w:r>
      <w:r w:rsidR="00AC4EEE">
        <w:rPr>
          <w:bCs/>
        </w:rPr>
        <w:t>)</w:t>
      </w:r>
      <w:r w:rsidR="00A2446B">
        <w:rPr>
          <w:bCs/>
        </w:rPr>
        <w:t>.</w:t>
      </w:r>
      <w:r w:rsidR="00A2446B">
        <w:rPr>
          <w:rStyle w:val="FootnoteReference"/>
          <w:bCs/>
        </w:rPr>
        <w:footnoteReference w:id="1"/>
      </w:r>
      <w:r w:rsidR="00A2446B">
        <w:rPr>
          <w:bCs/>
        </w:rPr>
        <w:t xml:space="preserve">  By comparison, </w:t>
      </w:r>
      <w:r w:rsidR="00AC4EEE">
        <w:rPr>
          <w:bCs/>
        </w:rPr>
        <w:t xml:space="preserve">under the </w:t>
      </w:r>
      <w:r w:rsidR="0022428F">
        <w:rPr>
          <w:bCs/>
        </w:rPr>
        <w:t>currently authorized</w:t>
      </w:r>
      <w:r w:rsidR="00AC4EEE">
        <w:rPr>
          <w:bCs/>
        </w:rPr>
        <w:t xml:space="preserve"> decoupling mechanism</w:t>
      </w:r>
      <w:r w:rsidR="0022428F">
        <w:rPr>
          <w:bCs/>
        </w:rPr>
        <w:t xml:space="preserve"> (i.e., without the Joint Parties’ proposal)</w:t>
      </w:r>
      <w:r w:rsidR="00AC4EEE">
        <w:rPr>
          <w:bCs/>
        </w:rPr>
        <w:t xml:space="preserve">, </w:t>
      </w:r>
      <w:r w:rsidR="00A2446B">
        <w:rPr>
          <w:bCs/>
        </w:rPr>
        <w:t xml:space="preserve">after updating the compliance spreadsheets implementing the electric decoupling mechanism for (1) PSE’s new load forecast, (2) a July 2013 start date and (3) actual results through September 2013, </w:t>
      </w:r>
      <w:r w:rsidR="00AC4EEE">
        <w:rPr>
          <w:bCs/>
        </w:rPr>
        <w:t>the non-residential customers would face a slightly lower</w:t>
      </w:r>
      <w:r w:rsidR="00A2446B">
        <w:rPr>
          <w:bCs/>
        </w:rPr>
        <w:t xml:space="preserve"> 1.22 percent</w:t>
      </w:r>
      <w:r w:rsidR="009B53BA">
        <w:rPr>
          <w:bCs/>
        </w:rPr>
        <w:t xml:space="preserve"> projected rate increase in May 2014</w:t>
      </w:r>
      <w:r w:rsidR="0005392D">
        <w:rPr>
          <w:bCs/>
        </w:rPr>
        <w:t>.</w:t>
      </w:r>
      <w:r w:rsidR="00C713A5">
        <w:t xml:space="preserve">  </w:t>
      </w:r>
      <w:r w:rsidR="00A2446B">
        <w:t>These updated compliance spreadsheets are presented in Exhibit No.</w:t>
      </w:r>
      <w:r w:rsidR="000531A1">
        <w:t> </w:t>
      </w:r>
      <w:r w:rsidR="00A2446B">
        <w:t>___(JPE-9) through Exhibit No.</w:t>
      </w:r>
      <w:r w:rsidR="000531A1">
        <w:t> </w:t>
      </w:r>
      <w:r w:rsidR="00A2446B">
        <w:t>___(JPE-12).  The noted impact can specifically be found on page 4 of Exhibit No.</w:t>
      </w:r>
      <w:r w:rsidR="000531A1">
        <w:t> </w:t>
      </w:r>
      <w:r w:rsidR="00A2446B">
        <w:t xml:space="preserve">___(JPE-12).  </w:t>
      </w:r>
    </w:p>
    <w:p w:rsidR="00A2446B" w:rsidRPr="00F406CC" w:rsidRDefault="00A2446B" w:rsidP="00A2446B">
      <w:pPr>
        <w:pStyle w:val="answer"/>
        <w:rPr>
          <w:b/>
        </w:rPr>
      </w:pPr>
      <w:r w:rsidRPr="00F406CC">
        <w:rPr>
          <w:b/>
        </w:rPr>
        <w:t>Q.</w:t>
      </w:r>
      <w:r w:rsidRPr="00F406CC">
        <w:rPr>
          <w:b/>
        </w:rPr>
        <w:tab/>
        <w:t xml:space="preserve">What is the cause of this </w:t>
      </w:r>
      <w:r>
        <w:rPr>
          <w:b/>
        </w:rPr>
        <w:t xml:space="preserve">projected </w:t>
      </w:r>
      <w:r w:rsidRPr="00F406CC">
        <w:rPr>
          <w:b/>
        </w:rPr>
        <w:t>impact?</w:t>
      </w:r>
    </w:p>
    <w:p w:rsidR="00DC4370" w:rsidRDefault="00A2446B" w:rsidP="00A2446B">
      <w:pPr>
        <w:pStyle w:val="answer"/>
      </w:pPr>
      <w:r>
        <w:t>A.</w:t>
      </w:r>
      <w:r>
        <w:tab/>
      </w:r>
      <w:r w:rsidR="00DC4370">
        <w:t xml:space="preserve">This projected impact would occur </w:t>
      </w:r>
      <w:r w:rsidR="00C81D18">
        <w:t xml:space="preserve">because the going-forward decoupling mechanism for Schedule 26 and 31 customers would be tracked separately from the </w:t>
      </w:r>
      <w:r w:rsidR="00DC4370">
        <w:t>other non-residential customers, whereas</w:t>
      </w:r>
      <w:r w:rsidR="00C81D18">
        <w:t xml:space="preserve"> under the current mechanism, the decoupling adjustment for non-residential customers is calculated for </w:t>
      </w:r>
      <w:r w:rsidR="001A7664">
        <w:t>all non-residential</w:t>
      </w:r>
      <w:r w:rsidR="00C81D18">
        <w:t xml:space="preserve"> customers as an entire group.</w:t>
      </w:r>
      <w:r w:rsidR="00957128">
        <w:t xml:space="preserve"> </w:t>
      </w:r>
    </w:p>
    <w:p w:rsidR="00C81D18" w:rsidRPr="00957128" w:rsidRDefault="00C81D18" w:rsidP="00081177">
      <w:pPr>
        <w:pStyle w:val="answer"/>
        <w:rPr>
          <w:b/>
        </w:rPr>
      </w:pPr>
      <w:r w:rsidRPr="00957128">
        <w:rPr>
          <w:b/>
        </w:rPr>
        <w:t>Q.</w:t>
      </w:r>
      <w:r w:rsidRPr="00957128">
        <w:rPr>
          <w:b/>
        </w:rPr>
        <w:tab/>
        <w:t xml:space="preserve">Is </w:t>
      </w:r>
      <w:r w:rsidR="002606E3">
        <w:rPr>
          <w:b/>
        </w:rPr>
        <w:t>the expected</w:t>
      </w:r>
      <w:r w:rsidRPr="00957128">
        <w:rPr>
          <w:b/>
        </w:rPr>
        <w:t xml:space="preserve"> collateral impact on other non-residential customers the result of cost shifting?</w:t>
      </w:r>
    </w:p>
    <w:p w:rsidR="00957128" w:rsidRDefault="00C81D18" w:rsidP="00957128">
      <w:pPr>
        <w:pStyle w:val="answer"/>
      </w:pPr>
      <w:r>
        <w:t>A.</w:t>
      </w:r>
      <w:r>
        <w:tab/>
        <w:t xml:space="preserve">No.  </w:t>
      </w:r>
      <w:r w:rsidR="00957128">
        <w:t xml:space="preserve">Any </w:t>
      </w:r>
      <w:r w:rsidR="00957128" w:rsidRPr="00957128">
        <w:t xml:space="preserve">impact on </w:t>
      </w:r>
      <w:r w:rsidR="00957128">
        <w:t>oth</w:t>
      </w:r>
      <w:r w:rsidR="00957128" w:rsidRPr="00957128">
        <w:t xml:space="preserve">er non-residential customers </w:t>
      </w:r>
      <w:r w:rsidR="00972363">
        <w:t>would</w:t>
      </w:r>
      <w:r w:rsidR="00957128" w:rsidRPr="00957128">
        <w:t xml:space="preserve"> not </w:t>
      </w:r>
      <w:r w:rsidR="00972363">
        <w:t xml:space="preserve">be </w:t>
      </w:r>
      <w:r w:rsidR="00957128" w:rsidRPr="00957128">
        <w:t xml:space="preserve">the result of cost shifting, but the </w:t>
      </w:r>
      <w:r w:rsidR="00957128" w:rsidRPr="00957128">
        <w:rPr>
          <w:i/>
          <w:iCs/>
        </w:rPr>
        <w:t>unwinding</w:t>
      </w:r>
      <w:r w:rsidR="00957128" w:rsidRPr="00957128">
        <w:t xml:space="preserve"> of </w:t>
      </w:r>
      <w:r w:rsidR="0085749A">
        <w:t xml:space="preserve">potential </w:t>
      </w:r>
      <w:r w:rsidR="00957128" w:rsidRPr="00957128">
        <w:t>cost shifting that</w:t>
      </w:r>
      <w:r w:rsidR="002606E3">
        <w:t xml:space="preserve"> previously</w:t>
      </w:r>
      <w:r w:rsidR="00957128" w:rsidRPr="00957128">
        <w:t xml:space="preserve"> had been introduced by the </w:t>
      </w:r>
      <w:r w:rsidR="00957128">
        <w:t>current</w:t>
      </w:r>
      <w:r w:rsidR="002606E3">
        <w:t xml:space="preserve">ly authorized </w:t>
      </w:r>
      <w:r w:rsidR="00957128" w:rsidRPr="00957128">
        <w:t xml:space="preserve">decoupling mechanism.  </w:t>
      </w:r>
      <w:r w:rsidR="00957128">
        <w:t>As noted above, t</w:t>
      </w:r>
      <w:r w:rsidR="00957128" w:rsidRPr="00957128">
        <w:t xml:space="preserve">he </w:t>
      </w:r>
      <w:r w:rsidR="00957128">
        <w:t>current</w:t>
      </w:r>
      <w:r w:rsidR="00957128" w:rsidRPr="00957128">
        <w:t xml:space="preserve"> mechanism comingles any </w:t>
      </w:r>
      <w:r w:rsidR="002606E3">
        <w:t>shortfall in</w:t>
      </w:r>
      <w:r w:rsidR="00957128" w:rsidRPr="00957128">
        <w:t xml:space="preserve"> recovery </w:t>
      </w:r>
      <w:r w:rsidR="002606E3">
        <w:t>of delivery costs</w:t>
      </w:r>
      <w:r w:rsidR="00957128" w:rsidRPr="00957128">
        <w:t xml:space="preserve"> across all non-residential customers. </w:t>
      </w:r>
      <w:r w:rsidR="00E77A02">
        <w:t xml:space="preserve"> </w:t>
      </w:r>
      <w:r w:rsidR="002606E3">
        <w:t xml:space="preserve">As it turns out, Schedule 26 and 31 customers are projected to have a smaller shortfall (in percentage terms) in the recovery of delivery costs </w:t>
      </w:r>
      <w:r w:rsidR="000002B4">
        <w:t xml:space="preserve">in 2014 </w:t>
      </w:r>
      <w:r w:rsidR="002606E3">
        <w:t xml:space="preserve">than the remaining non-residential customers.  </w:t>
      </w:r>
      <w:r w:rsidR="00957128" w:rsidRPr="00957128">
        <w:t xml:space="preserve"> </w:t>
      </w:r>
      <w:r w:rsidR="00957128">
        <w:t>W</w:t>
      </w:r>
      <w:r w:rsidR="00957128" w:rsidRPr="00957128">
        <w:t xml:space="preserve">hen </w:t>
      </w:r>
      <w:r w:rsidR="002606E3">
        <w:t xml:space="preserve">Schedule </w:t>
      </w:r>
      <w:r w:rsidR="00957128" w:rsidRPr="00957128">
        <w:t>26</w:t>
      </w:r>
      <w:r w:rsidR="00FE6ABE">
        <w:t xml:space="preserve"> and </w:t>
      </w:r>
      <w:r w:rsidR="00957128" w:rsidRPr="00957128">
        <w:t xml:space="preserve">31 </w:t>
      </w:r>
      <w:r w:rsidR="00957128">
        <w:t xml:space="preserve">customers </w:t>
      </w:r>
      <w:r w:rsidR="00173BBA">
        <w:t xml:space="preserve">are moved </w:t>
      </w:r>
      <w:r w:rsidR="00957128" w:rsidRPr="00957128">
        <w:t xml:space="preserve">to separate </w:t>
      </w:r>
      <w:r w:rsidR="00173BBA">
        <w:t xml:space="preserve">rate groups within the </w:t>
      </w:r>
      <w:r w:rsidR="00957128" w:rsidRPr="00957128">
        <w:t xml:space="preserve">decoupling mechanism, the </w:t>
      </w:r>
      <w:r w:rsidR="002606E3">
        <w:t>remaining</w:t>
      </w:r>
      <w:r w:rsidR="00957128" w:rsidRPr="00957128">
        <w:t xml:space="preserve"> non-residential customers are no longer able to </w:t>
      </w:r>
      <w:r w:rsidR="002606E3">
        <w:t xml:space="preserve">take advantage of </w:t>
      </w:r>
      <w:r w:rsidR="00957128" w:rsidRPr="00957128">
        <w:t xml:space="preserve">the smaller percentage shortfall forecasted for the </w:t>
      </w:r>
      <w:r w:rsidR="000002B4">
        <w:t xml:space="preserve">Schedule </w:t>
      </w:r>
      <w:r w:rsidR="00957128" w:rsidRPr="00957128">
        <w:t>26</w:t>
      </w:r>
      <w:r w:rsidR="00FE6ABE">
        <w:t xml:space="preserve"> and </w:t>
      </w:r>
      <w:r w:rsidR="00957128" w:rsidRPr="00957128">
        <w:t xml:space="preserve">31 customers and are simply responsible for their own (projected) shortfall in </w:t>
      </w:r>
      <w:r w:rsidR="000002B4">
        <w:t>delivery</w:t>
      </w:r>
      <w:r w:rsidR="00957128" w:rsidRPr="00957128">
        <w:t xml:space="preserve"> cost recovery.</w:t>
      </w:r>
      <w:r w:rsidR="00957128">
        <w:t xml:space="preserve">  Thus, any rate impact </w:t>
      </w:r>
      <w:r w:rsidR="002606E3">
        <w:t xml:space="preserve">of adopting the stipulated treatment of Schedule 26 and 31 </w:t>
      </w:r>
      <w:r w:rsidR="00957128">
        <w:t>is not the result of cost shifting, but the result of each non-residential customer group bearing its own decoupling-related costs</w:t>
      </w:r>
      <w:r w:rsidR="00C70615">
        <w:t xml:space="preserve"> (or benefits).</w:t>
      </w:r>
    </w:p>
    <w:p w:rsidR="001A55A4" w:rsidRPr="00F86E24" w:rsidRDefault="001A55A4" w:rsidP="00957128">
      <w:pPr>
        <w:pStyle w:val="answer"/>
        <w:rPr>
          <w:rFonts w:ascii="Times New Roman" w:hAnsi="Times New Roman"/>
          <w:b/>
        </w:rPr>
      </w:pPr>
      <w:r w:rsidRPr="001A55A4">
        <w:rPr>
          <w:b/>
        </w:rPr>
        <w:t>Q.</w:t>
      </w:r>
      <w:r w:rsidRPr="001A55A4">
        <w:rPr>
          <w:b/>
        </w:rPr>
        <w:tab/>
        <w:t xml:space="preserve">How is the proposed treatment of Schedule 26 and 31 customers responsive </w:t>
      </w:r>
      <w:r w:rsidRPr="00F86E24">
        <w:rPr>
          <w:rFonts w:ascii="Times New Roman" w:hAnsi="Times New Roman"/>
          <w:b/>
        </w:rPr>
        <w:t xml:space="preserve">to </w:t>
      </w:r>
      <w:r w:rsidR="000002B4">
        <w:rPr>
          <w:rFonts w:ascii="Times New Roman" w:hAnsi="Times New Roman"/>
          <w:b/>
        </w:rPr>
        <w:t>O</w:t>
      </w:r>
      <w:r w:rsidRPr="00F86E24">
        <w:rPr>
          <w:rFonts w:ascii="Times New Roman" w:hAnsi="Times New Roman"/>
          <w:b/>
        </w:rPr>
        <w:t xml:space="preserve">rder </w:t>
      </w:r>
      <w:r w:rsidR="000002B4">
        <w:rPr>
          <w:rFonts w:ascii="Times New Roman" w:hAnsi="Times New Roman"/>
          <w:b/>
        </w:rPr>
        <w:t xml:space="preserve">07 issued </w:t>
      </w:r>
      <w:r w:rsidRPr="00F86E24">
        <w:rPr>
          <w:rFonts w:ascii="Times New Roman" w:hAnsi="Times New Roman"/>
          <w:b/>
        </w:rPr>
        <w:t>in th</w:t>
      </w:r>
      <w:r w:rsidR="000002B4">
        <w:rPr>
          <w:rFonts w:ascii="Times New Roman" w:hAnsi="Times New Roman"/>
          <w:b/>
        </w:rPr>
        <w:t>ese</w:t>
      </w:r>
      <w:r w:rsidRPr="00F86E24">
        <w:rPr>
          <w:rFonts w:ascii="Times New Roman" w:hAnsi="Times New Roman"/>
          <w:b/>
        </w:rPr>
        <w:t xml:space="preserve"> docket</w:t>
      </w:r>
      <w:r w:rsidR="000002B4">
        <w:rPr>
          <w:rFonts w:ascii="Times New Roman" w:hAnsi="Times New Roman"/>
          <w:b/>
        </w:rPr>
        <w:t>s</w:t>
      </w:r>
      <w:r w:rsidRPr="00F86E24">
        <w:rPr>
          <w:rFonts w:ascii="Times New Roman" w:hAnsi="Times New Roman"/>
          <w:b/>
        </w:rPr>
        <w:t>?</w:t>
      </w:r>
    </w:p>
    <w:p w:rsidR="00F86E24" w:rsidRPr="00927D52" w:rsidRDefault="001A55A4" w:rsidP="00F86E24">
      <w:pPr>
        <w:pStyle w:val="Default"/>
        <w:spacing w:line="480" w:lineRule="auto"/>
        <w:ind w:left="720" w:hanging="720"/>
        <w:rPr>
          <w:rFonts w:ascii="Times New Roman" w:hAnsi="Times New Roman"/>
          <w:snapToGrid/>
          <w:szCs w:val="24"/>
        </w:rPr>
      </w:pPr>
      <w:r w:rsidRPr="00F86E24">
        <w:rPr>
          <w:rFonts w:ascii="Times New Roman" w:hAnsi="Times New Roman"/>
        </w:rPr>
        <w:t>A.</w:t>
      </w:r>
      <w:r w:rsidR="00F86E24" w:rsidRPr="00F86E24">
        <w:rPr>
          <w:rFonts w:ascii="Times New Roman" w:hAnsi="Times New Roman"/>
        </w:rPr>
        <w:t xml:space="preserve"> </w:t>
      </w:r>
      <w:r w:rsidR="00F86E24">
        <w:rPr>
          <w:rFonts w:ascii="Times New Roman" w:hAnsi="Times New Roman"/>
        </w:rPr>
        <w:tab/>
      </w:r>
      <w:r w:rsidR="00F86E24" w:rsidRPr="00927D52">
        <w:rPr>
          <w:rFonts w:ascii="Times New Roman" w:hAnsi="Times New Roman"/>
        </w:rPr>
        <w:t>In Order 07 t</w:t>
      </w:r>
      <w:r w:rsidR="00F86E24" w:rsidRPr="00927D52">
        <w:rPr>
          <w:rFonts w:ascii="Times New Roman" w:hAnsi="Times New Roman"/>
          <w:szCs w:val="24"/>
        </w:rPr>
        <w:t xml:space="preserve">he Commission indicated it is receptive to </w:t>
      </w:r>
      <w:r w:rsidR="006B236D" w:rsidRPr="00927D52">
        <w:rPr>
          <w:rFonts w:ascii="Times New Roman" w:hAnsi="Times New Roman"/>
          <w:szCs w:val="24"/>
        </w:rPr>
        <w:t>alternatives to decoupling</w:t>
      </w:r>
      <w:r w:rsidR="00F86E24" w:rsidRPr="00927D52">
        <w:rPr>
          <w:rFonts w:ascii="Times New Roman" w:hAnsi="Times New Roman"/>
          <w:szCs w:val="24"/>
        </w:rPr>
        <w:t xml:space="preserve"> that </w:t>
      </w:r>
      <w:r w:rsidR="000B39C3" w:rsidRPr="00927D52">
        <w:rPr>
          <w:rFonts w:ascii="Times New Roman" w:hAnsi="Times New Roman"/>
          <w:szCs w:val="24"/>
        </w:rPr>
        <w:t>are better suited to meeting decoupling’s goals for non-residential customers</w:t>
      </w:r>
      <w:r w:rsidR="00F86E24" w:rsidRPr="00927D52">
        <w:rPr>
          <w:rFonts w:ascii="Times New Roman" w:hAnsi="Times New Roman"/>
          <w:szCs w:val="24"/>
        </w:rPr>
        <w:t>.</w:t>
      </w:r>
      <w:r w:rsidR="006C68D1">
        <w:rPr>
          <w:rStyle w:val="FootnoteReference"/>
          <w:rFonts w:ascii="Times New Roman" w:hAnsi="Times New Roman"/>
          <w:szCs w:val="24"/>
        </w:rPr>
        <w:footnoteReference w:id="2"/>
      </w:r>
      <w:r w:rsidR="00F86E24" w:rsidRPr="00927D52">
        <w:rPr>
          <w:rFonts w:ascii="Times New Roman" w:hAnsi="Times New Roman"/>
          <w:szCs w:val="24"/>
        </w:rPr>
        <w:t xml:space="preserve"> The Commission went on to state:</w:t>
      </w:r>
    </w:p>
    <w:p w:rsidR="00697FD9" w:rsidRDefault="00F86E24" w:rsidP="00697FD9">
      <w:pPr>
        <w:autoSpaceDE w:val="0"/>
        <w:autoSpaceDN w:val="0"/>
        <w:adjustRightInd w:val="0"/>
        <w:ind w:left="1440" w:right="360"/>
      </w:pPr>
      <w:r w:rsidRPr="00927D52">
        <w:rPr>
          <w:color w:val="000000"/>
        </w:rPr>
        <w:t xml:space="preserve">…[W]e strongly encourage customers such as Kroger and Nucor </w:t>
      </w:r>
      <w:r w:rsidRPr="00927D52">
        <w:t>Steel, and trade organizations such as ICNU and NWIGU, to engage in meaningful dialogue with PSE, Staff and others who take an interest, and with the Commission, to monitor carefully how decoupling is working out in practice. It may be that there are alternatives for some, or all, non-residential customers that are better suited to meeting decoupling’s goals than are the current  decoupling mechanisms. The Commission remains open to hearing fully supported alternative proposals for fixed cost recovery from the non-residential class of customers, or subsets of the class.</w:t>
      </w:r>
      <w:r w:rsidR="0022428F">
        <w:rPr>
          <w:rStyle w:val="FootnoteReference"/>
        </w:rPr>
        <w:footnoteReference w:id="3"/>
      </w:r>
      <w:r w:rsidRPr="00927D52">
        <w:t xml:space="preserve">   </w:t>
      </w:r>
    </w:p>
    <w:p w:rsidR="0027608C" w:rsidRPr="00957128" w:rsidRDefault="0027608C" w:rsidP="00957128">
      <w:pPr>
        <w:pStyle w:val="answer"/>
      </w:pPr>
      <w:r w:rsidRPr="00927D52">
        <w:tab/>
      </w:r>
      <w:r w:rsidR="0085749A">
        <w:t xml:space="preserve">The </w:t>
      </w:r>
      <w:r w:rsidR="009B53BA">
        <w:t xml:space="preserve">Joint Parties </w:t>
      </w:r>
      <w:r w:rsidR="0085749A">
        <w:t>have negotiated such an alternative.</w:t>
      </w:r>
    </w:p>
    <w:p w:rsidR="00495F6C" w:rsidRPr="00F65D26" w:rsidRDefault="00495F6C" w:rsidP="00495F6C">
      <w:pPr>
        <w:pStyle w:val="question"/>
        <w:keepNext/>
        <w:spacing w:before="120"/>
      </w:pPr>
      <w:r w:rsidRPr="00F65D26">
        <w:t>Q.</w:t>
      </w:r>
      <w:r w:rsidRPr="00F65D26">
        <w:tab/>
        <w:t xml:space="preserve">Please explain why the </w:t>
      </w:r>
      <w:r w:rsidR="009B53BA">
        <w:t xml:space="preserve">Joint </w:t>
      </w:r>
      <w:r w:rsidR="00E52881" w:rsidRPr="00495F6C">
        <w:t>Parties</w:t>
      </w:r>
      <w:r>
        <w:t xml:space="preserve"> believe </w:t>
      </w:r>
      <w:r w:rsidRPr="00F65D26">
        <w:t>th</w:t>
      </w:r>
      <w:r w:rsidR="000002B4">
        <w:t>e</w:t>
      </w:r>
      <w:r w:rsidRPr="00F65D26">
        <w:t xml:space="preserve"> </w:t>
      </w:r>
      <w:r w:rsidR="000002B4">
        <w:t xml:space="preserve">proposed treatment of Schedules 26 and 31 </w:t>
      </w:r>
      <w:r w:rsidRPr="000002B4">
        <w:t>i</w:t>
      </w:r>
      <w:r w:rsidRPr="00F65D26">
        <w:t>s in the public interest.</w:t>
      </w:r>
    </w:p>
    <w:p w:rsidR="00495F6C" w:rsidRPr="00274D78" w:rsidRDefault="00495F6C" w:rsidP="00495F6C">
      <w:pPr>
        <w:pStyle w:val="answer"/>
        <w:widowControl w:val="0"/>
      </w:pPr>
      <w:r w:rsidRPr="00F65D26">
        <w:t>A.</w:t>
      </w:r>
      <w:r w:rsidRPr="00F65D26">
        <w:tab/>
      </w:r>
      <w:r w:rsidRPr="00274D78">
        <w:t>Th</w:t>
      </w:r>
      <w:r>
        <w:t>e</w:t>
      </w:r>
      <w:r w:rsidRPr="00274D78">
        <w:t xml:space="preserve"> </w:t>
      </w:r>
      <w:r w:rsidR="009B53BA">
        <w:t xml:space="preserve">Joint </w:t>
      </w:r>
      <w:r w:rsidR="00E52881" w:rsidRPr="00495F6C">
        <w:t>Parties</w:t>
      </w:r>
      <w:r>
        <w:t xml:space="preserve"> believe that</w:t>
      </w:r>
      <w:r w:rsidR="000002B4">
        <w:t xml:space="preserve"> the stipulated approach responds to the Commission’s encouragement </w:t>
      </w:r>
      <w:r w:rsidR="0085749A">
        <w:t>to</w:t>
      </w:r>
      <w:r w:rsidR="000002B4">
        <w:t xml:space="preserve"> parties to engage in meaningful dialogue </w:t>
      </w:r>
      <w:r w:rsidR="00AD5723">
        <w:t xml:space="preserve">regarding the implementation of decoupling.  The </w:t>
      </w:r>
      <w:r w:rsidR="009B53BA">
        <w:t xml:space="preserve">Joint </w:t>
      </w:r>
      <w:r w:rsidR="00AD5723">
        <w:t xml:space="preserve">Parties have </w:t>
      </w:r>
      <w:r w:rsidR="000002B4">
        <w:t>formulate</w:t>
      </w:r>
      <w:r w:rsidR="00AD5723">
        <w:t>d</w:t>
      </w:r>
      <w:r w:rsidR="000002B4">
        <w:t xml:space="preserve"> an alternative approach to decoupling </w:t>
      </w:r>
      <w:r w:rsidR="00934F24">
        <w:t>for</w:t>
      </w:r>
      <w:r w:rsidR="000002B4">
        <w:t xml:space="preserve"> </w:t>
      </w:r>
      <w:r w:rsidR="00AD5723">
        <w:t>Schedule</w:t>
      </w:r>
      <w:r w:rsidR="00934F24">
        <w:t>s</w:t>
      </w:r>
      <w:r w:rsidR="00AD5723">
        <w:t xml:space="preserve"> 26 and 31</w:t>
      </w:r>
      <w:r w:rsidR="00FE6ABE">
        <w:t xml:space="preserve"> that</w:t>
      </w:r>
      <w:r w:rsidR="000002B4">
        <w:t xml:space="preserve"> </w:t>
      </w:r>
      <w:r w:rsidR="00F83FBB">
        <w:t xml:space="preserve">continues to </w:t>
      </w:r>
      <w:r w:rsidR="0085749A">
        <w:t>remove</w:t>
      </w:r>
      <w:r w:rsidR="00934F24">
        <w:t xml:space="preserve"> the company’s throughput incentive</w:t>
      </w:r>
      <w:r w:rsidR="00AD5723">
        <w:t xml:space="preserve">.  </w:t>
      </w:r>
      <w:r w:rsidR="00AD5723" w:rsidRPr="00927D52">
        <w:t>Th</w:t>
      </w:r>
      <w:r w:rsidR="00173BBA">
        <w:t xml:space="preserve">is joint proposal </w:t>
      </w:r>
      <w:r w:rsidR="00AD5723">
        <w:t>adopts a</w:t>
      </w:r>
      <w:r w:rsidR="00173BBA">
        <w:t>n</w:t>
      </w:r>
      <w:r w:rsidR="00AD5723">
        <w:t xml:space="preserve"> </w:t>
      </w:r>
      <w:r w:rsidR="00173BBA">
        <w:t xml:space="preserve">approach to </w:t>
      </w:r>
      <w:r w:rsidR="00AD5723">
        <w:t xml:space="preserve">decoupling for Schedule 26 and 31 customers that </w:t>
      </w:r>
      <w:r w:rsidR="00934F24">
        <w:t xml:space="preserve">these customers believe is </w:t>
      </w:r>
      <w:r w:rsidR="00AD5723">
        <w:t>likely to have less variability in adjustment charges than the currently authorized mechanism</w:t>
      </w:r>
      <w:r w:rsidR="00934F24">
        <w:t xml:space="preserve">, and is an improvement because it ensures support for the mechanism from a broader base of </w:t>
      </w:r>
      <w:r w:rsidR="00FE6ABE">
        <w:t>PSE’s</w:t>
      </w:r>
      <w:r w:rsidR="00934F24">
        <w:t xml:space="preserve"> customers</w:t>
      </w:r>
      <w:r w:rsidR="00AD5723">
        <w:t xml:space="preserve">. </w:t>
      </w:r>
    </w:p>
    <w:p w:rsidR="00F83FBB" w:rsidRPr="001A32A2" w:rsidRDefault="00F83FBB" w:rsidP="00F83FBB">
      <w:pPr>
        <w:pStyle w:val="question"/>
        <w:keepNext/>
        <w:spacing w:before="120"/>
      </w:pPr>
      <w:bookmarkStart w:id="18" w:name="_Toc313949516"/>
      <w:r w:rsidRPr="00F65D26">
        <w:t>Q.</w:t>
      </w:r>
      <w:r w:rsidRPr="00F65D26">
        <w:tab/>
      </w:r>
      <w:r>
        <w:t xml:space="preserve">Did the </w:t>
      </w:r>
      <w:r w:rsidR="009B53BA">
        <w:t>Joint</w:t>
      </w:r>
      <w:r>
        <w:t xml:space="preserve"> Parties attempt to address concerns raised by other parties regarding the existing electric decoupling mechanism?</w:t>
      </w:r>
    </w:p>
    <w:p w:rsidR="00F83FBB" w:rsidRPr="00274D78" w:rsidRDefault="00F83FBB" w:rsidP="00F83FBB">
      <w:pPr>
        <w:pStyle w:val="answer"/>
        <w:widowControl w:val="0"/>
      </w:pPr>
      <w:r w:rsidRPr="00F65D26">
        <w:t>A.</w:t>
      </w:r>
      <w:r w:rsidRPr="00F65D26">
        <w:tab/>
      </w:r>
      <w:r>
        <w:t xml:space="preserve">Yes.  The </w:t>
      </w:r>
      <w:r w:rsidR="009B53BA">
        <w:t>Joint</w:t>
      </w:r>
      <w:r>
        <w:t xml:space="preserve"> Parties attempted to address issues raised by the Industrial Customers of Northwest Utilities (“ICNU”).  </w:t>
      </w:r>
      <w:r w:rsidR="00DF0B93">
        <w:t xml:space="preserve">The parties discussed possible alternatives to decoupling for Schedule 40, but </w:t>
      </w:r>
      <w:r w:rsidR="00CC31BD">
        <w:t>no agreement was reached in this forum</w:t>
      </w:r>
      <w:r w:rsidR="00DF0B93">
        <w:t>.</w:t>
      </w:r>
      <w:r>
        <w:t xml:space="preserve"> </w:t>
      </w:r>
      <w:r w:rsidR="00DF0B93">
        <w:t>Schedule 40 will be discussed in upcoming collaboratives</w:t>
      </w:r>
      <w:r w:rsidR="00CC31BD">
        <w:t>.</w:t>
      </w:r>
      <w:r w:rsidR="00DF0B93">
        <w:rPr>
          <w:rStyle w:val="FootnoteReference"/>
        </w:rPr>
        <w:footnoteReference w:id="4"/>
      </w:r>
      <w:r w:rsidR="00DF0B93">
        <w:t xml:space="preserve">  </w:t>
      </w:r>
      <w:r>
        <w:t xml:space="preserve"> </w:t>
      </w:r>
    </w:p>
    <w:p w:rsidR="00495F6C" w:rsidRPr="00802565" w:rsidRDefault="009644A8" w:rsidP="00802565">
      <w:pPr>
        <w:pStyle w:val="Heading1"/>
        <w:keepLines w:val="0"/>
      </w:pPr>
      <w:r>
        <w:t>III</w:t>
      </w:r>
      <w:r w:rsidR="00495F6C" w:rsidRPr="00EB38DC">
        <w:t>.</w:t>
      </w:r>
      <w:r w:rsidR="00495F6C" w:rsidRPr="00EB38DC">
        <w:tab/>
      </w:r>
      <w:r w:rsidR="00495F6C">
        <w:t xml:space="preserve">INDIVIDUAL STATEMENTS OF SUPPORT FOR THE </w:t>
      </w:r>
      <w:bookmarkEnd w:id="18"/>
      <w:r w:rsidR="00D840F8">
        <w:t>PROPOSAL CONTAINED IN THE JOINT RESPONSE</w:t>
      </w:r>
    </w:p>
    <w:p w:rsidR="00495F6C" w:rsidRPr="00430584" w:rsidRDefault="00495F6C" w:rsidP="00495F6C">
      <w:pPr>
        <w:pStyle w:val="question"/>
        <w:keepNext/>
        <w:spacing w:before="120"/>
      </w:pPr>
      <w:r w:rsidRPr="00430584">
        <w:t>Q.</w:t>
      </w:r>
      <w:r w:rsidRPr="00430584">
        <w:tab/>
        <w:t xml:space="preserve">Please explain why the </w:t>
      </w:r>
      <w:r w:rsidR="009B53BA">
        <w:t>proposal contained in the Joint Response</w:t>
      </w:r>
      <w:r w:rsidRPr="00430584">
        <w:t xml:space="preserve"> </w:t>
      </w:r>
      <w:r>
        <w:t>satisfies the interests of PSE</w:t>
      </w:r>
      <w:r w:rsidRPr="00430584">
        <w:t>.</w:t>
      </w:r>
    </w:p>
    <w:p w:rsidR="00F83FBB" w:rsidRDefault="00495F6C" w:rsidP="00F83FBB">
      <w:pPr>
        <w:pStyle w:val="answer"/>
        <w:widowControl w:val="0"/>
      </w:pPr>
      <w:r w:rsidRPr="00B023D2">
        <w:t>A.</w:t>
      </w:r>
      <w:r w:rsidRPr="00B023D2">
        <w:tab/>
      </w:r>
      <w:r w:rsidR="00F83FBB">
        <w:t xml:space="preserve">The </w:t>
      </w:r>
      <w:r w:rsidR="009B53BA">
        <w:t>proposal contained in the Joint Response</w:t>
      </w:r>
      <w:r w:rsidR="00F83FBB">
        <w:t xml:space="preserve"> satisfies the interests of PSE through better alignment of rate design with the underlying cost of service</w:t>
      </w:r>
      <w:r w:rsidR="00F83FBB" w:rsidRPr="00A00497">
        <w:t xml:space="preserve"> </w:t>
      </w:r>
      <w:r w:rsidR="00F83FBB">
        <w:t xml:space="preserve">for electric Schedules 26 and 31. PSE has always had an interest </w:t>
      </w:r>
      <w:r w:rsidR="009E4DB8">
        <w:t xml:space="preserve">in </w:t>
      </w:r>
      <w:r w:rsidR="00F83FBB">
        <w:t>aligning its rate design with its cost of service and this proposal is another step in that direction.</w:t>
      </w:r>
    </w:p>
    <w:p w:rsidR="00F83FBB" w:rsidRDefault="00F83FBB" w:rsidP="00F83FBB">
      <w:pPr>
        <w:pStyle w:val="answer"/>
        <w:widowControl w:val="0"/>
      </w:pPr>
      <w:r>
        <w:tab/>
        <w:t xml:space="preserve">The </w:t>
      </w:r>
      <w:r w:rsidR="00BF5D6B">
        <w:t>proposal contained in the Joint Response</w:t>
      </w:r>
      <w:r>
        <w:t xml:space="preserve"> also satisfies PSE’s interests in helping ensure the continued viability of decoupling.  For quite some time, and through considerable effort, PSE has attempted to address the fixed cost recovery challenges created by its promotion of energy conservation (i.e., “lost margin”).  PSE currently sees decoupling as the most viable model for addressing this issue, at least for the foreseeable future.  However, this viability is threatened when PSE’s customers actively </w:t>
      </w:r>
      <w:r w:rsidR="00FE6ABE">
        <w:t xml:space="preserve">oppose </w:t>
      </w:r>
      <w:r>
        <w:t xml:space="preserve">this approach to addressing this problem.  By addressing the concerns of its non-residential electric customers, this proposal improves the chances for a sustainable solution to PSE’s long-standing challenges with conservation-related lost margin.  </w:t>
      </w:r>
    </w:p>
    <w:p w:rsidR="00F83FBB" w:rsidRPr="00B023D2" w:rsidRDefault="00F83FBB" w:rsidP="00F83FBB">
      <w:pPr>
        <w:pStyle w:val="answer"/>
        <w:widowControl w:val="0"/>
      </w:pPr>
      <w:r>
        <w:tab/>
        <w:t xml:space="preserve">Finally, in a similar vein, the </w:t>
      </w:r>
      <w:r w:rsidR="00BF5D6B">
        <w:t>Joint Response</w:t>
      </w:r>
      <w:r>
        <w:t xml:space="preserve"> satisfies the interests of PSE by providing a promising alternative approach to decoupling for its non-residential electric customers.  Traditional application of decoupling presumes that a company’s “throughput incentive” only relates to fix</w:t>
      </w:r>
      <w:r w:rsidR="00BF5D6B">
        <w:t>ed</w:t>
      </w:r>
      <w:r>
        <w:t xml:space="preserve"> cost recovery through energy charges.  PSE has argued that this incentive is also present for demand charge, </w:t>
      </w:r>
      <w:r w:rsidR="009E4DB8">
        <w:t>although parties have debated the degree to which this is true</w:t>
      </w:r>
      <w:r>
        <w:t xml:space="preserve">.  As a package, the decoupling proposal for electric Schedules 26 and 31 addresses both sides of this debate.  For the utility, continued use of the decoupling model addresses concerns about the effects of conservation on its demand charge revenues.  For </w:t>
      </w:r>
      <w:r w:rsidR="009E4DB8">
        <w:t xml:space="preserve">larger </w:t>
      </w:r>
      <w:r>
        <w:t>non-residential customers, this proposal moves more of the recovery of fixed costs into the demand charge, which they believe to be more stable, and applies the decoupling mechanism only to demand charge revenue, which mitigates their concerns about decoupling deferrals that would trigger associated rate true-ups.  If the proposal is ultimately successful in addressing both the utility’s and customers’ sides of this issue, it could lead to greater customer acceptance of this approach and serve as a model for decoupling other PSE non-residential electric rate classes in its next general rate case.  At a minimum, it provides an interesting point of comparison with the electric decoupling mechanism that will continue to apply to remaining non-residential customers.</w:t>
      </w:r>
    </w:p>
    <w:p w:rsidR="00495F6C" w:rsidRPr="00430584" w:rsidRDefault="00495F6C" w:rsidP="00495F6C">
      <w:pPr>
        <w:pStyle w:val="question"/>
        <w:keepNext/>
        <w:spacing w:before="120"/>
      </w:pPr>
      <w:r w:rsidRPr="00430584">
        <w:t>Q.</w:t>
      </w:r>
      <w:r w:rsidRPr="00430584">
        <w:tab/>
        <w:t xml:space="preserve">Please explain why the </w:t>
      </w:r>
      <w:r w:rsidR="00FE00B2">
        <w:t xml:space="preserve">proposal contained in the </w:t>
      </w:r>
      <w:r w:rsidR="00F05F65">
        <w:t>Joint Response</w:t>
      </w:r>
      <w:r w:rsidRPr="00430584">
        <w:t xml:space="preserve"> </w:t>
      </w:r>
      <w:r>
        <w:t xml:space="preserve">satisfies the interests of </w:t>
      </w:r>
      <w:r w:rsidR="006F498D">
        <w:t>Commission</w:t>
      </w:r>
      <w:r w:rsidR="00E52881">
        <w:t xml:space="preserve"> </w:t>
      </w:r>
      <w:r>
        <w:t>Staff</w:t>
      </w:r>
      <w:r w:rsidRPr="00430584">
        <w:t>.</w:t>
      </w:r>
    </w:p>
    <w:p w:rsidR="00467314" w:rsidRDefault="00495F6C" w:rsidP="00467314">
      <w:pPr>
        <w:pStyle w:val="answer"/>
        <w:spacing w:before="0" w:after="0"/>
      </w:pPr>
      <w:r w:rsidRPr="004D3F98">
        <w:t>A.</w:t>
      </w:r>
      <w:r w:rsidRPr="004D3F98">
        <w:tab/>
      </w:r>
      <w:r w:rsidR="00467314">
        <w:t xml:space="preserve">Commission Staff is pleased with the Joint Response for several reasons.  First, the </w:t>
      </w:r>
      <w:r w:rsidR="00FE00B2">
        <w:t xml:space="preserve">proposal contained </w:t>
      </w:r>
      <w:r w:rsidR="00467314">
        <w:t xml:space="preserve"> in the </w:t>
      </w:r>
      <w:r w:rsidR="00E77A02">
        <w:t>J</w:t>
      </w:r>
      <w:r w:rsidR="00467314">
        <w:t xml:space="preserve">oint </w:t>
      </w:r>
      <w:r w:rsidR="00E77A02">
        <w:t>R</w:t>
      </w:r>
      <w:r w:rsidR="00467314">
        <w:t xml:space="preserve">esponse resolves Kroger’s request to be removed from the “non-residential” category of the decoupling mechanism.  Kroger, as Staff understands, found the volatility of the kilowatt-hour based decoupling unattractive and counter to its interests for rate stability, or at least predictability.  The proposed alternative decouples the demand, or kilowatt, component of rates in Schedules 26 and 31.  Large commercial customers will now have incentive not only to conserve energy (kilowatt-hours), but to manage peak use as well.  </w:t>
      </w:r>
    </w:p>
    <w:p w:rsidR="00467314" w:rsidRDefault="00467314" w:rsidP="00467314">
      <w:pPr>
        <w:pStyle w:val="answer"/>
        <w:spacing w:before="0" w:after="0"/>
      </w:pPr>
      <w:r>
        <w:tab/>
        <w:t>By conserving energy, the customer reduces its overall load profile including its peak load.  The added incentive to reduce demand by the commercial customer will benefit all customers by reducing the need for peaking resources.  If the demand rate, in tandem with the basic customer charge, recovers all fixed costs, applying the decoupling concept to demand rates results in full recovery of fixed costs.  The alternative proposal is a step in the right direction.</w:t>
      </w:r>
    </w:p>
    <w:p w:rsidR="00467314" w:rsidRDefault="00467314" w:rsidP="00467314">
      <w:pPr>
        <w:pStyle w:val="answer"/>
        <w:spacing w:before="0" w:after="0"/>
      </w:pPr>
      <w:r>
        <w:tab/>
        <w:t xml:space="preserve">Another benefit in Staff’s view is movement toward proper price signals.  The reduction to the energy rate through shifting some fixed cost to the demand rate gives customers the proper incentive to invest in energy-saving measures.  Similarly, the increase to the demand rate also gives the proper incentive to invest in demand control measures and in the correct behavior changes. This movement to proper price signals is important.  It behooves utilities and regulators to recover fixed costs through demand charges (or connection fees) so that prices properly incent investments in new technologies, such as distributed generation. </w:t>
      </w:r>
    </w:p>
    <w:p w:rsidR="00467314" w:rsidRDefault="00467314" w:rsidP="00467314">
      <w:pPr>
        <w:pStyle w:val="answer"/>
        <w:spacing w:before="0" w:after="0"/>
      </w:pPr>
      <w:r>
        <w:tab/>
        <w:t>The third benefit in the Joint Response is Kroger’s agreement to drop its motion to reconsider the rate of return allowed in Order 07, as Staff  believes that the Commission’s decision not to adjust PSE’s rate of return in Order 07 was correct.  The decoupling mechanism gives PSE a fair opportunity to earn a reasonable return on rate base with controls on the potential to earn returns in excess of the Commission allowed amount.  The mechanism may now work as intended.</w:t>
      </w:r>
    </w:p>
    <w:p w:rsidR="00467314" w:rsidRPr="00467314" w:rsidRDefault="00467314" w:rsidP="00467314">
      <w:pPr>
        <w:pStyle w:val="answer"/>
        <w:spacing w:before="0" w:after="0"/>
      </w:pPr>
      <w:r>
        <w:tab/>
        <w:t xml:space="preserve">Staff recommends that the Commission approve the </w:t>
      </w:r>
      <w:r w:rsidR="00FE00B2">
        <w:t xml:space="preserve">proposal </w:t>
      </w:r>
      <w:r>
        <w:t xml:space="preserve">in this Joint </w:t>
      </w:r>
      <w:r w:rsidR="00FE00B2">
        <w:t xml:space="preserve">Response </w:t>
      </w:r>
      <w:r>
        <w:t xml:space="preserve">to the </w:t>
      </w:r>
      <w:r w:rsidR="006C68D1">
        <w:t>Petition</w:t>
      </w:r>
      <w:r>
        <w:t xml:space="preserve"> for Reconsideration for the above reasons.</w:t>
      </w:r>
    </w:p>
    <w:p w:rsidR="00291472" w:rsidRPr="00945522" w:rsidRDefault="00291472" w:rsidP="00291472">
      <w:pPr>
        <w:pStyle w:val="question"/>
        <w:keepNext/>
        <w:spacing w:before="120"/>
      </w:pPr>
      <w:r w:rsidRPr="00945522">
        <w:t>Q.</w:t>
      </w:r>
      <w:r w:rsidRPr="00945522">
        <w:tab/>
        <w:t>Please explain why</w:t>
      </w:r>
      <w:r>
        <w:t xml:space="preserve"> </w:t>
      </w:r>
      <w:r w:rsidRPr="00945522">
        <w:t xml:space="preserve">the </w:t>
      </w:r>
      <w:r w:rsidR="00FE00B2">
        <w:t xml:space="preserve">proposal contained in the Joint Response </w:t>
      </w:r>
      <w:r w:rsidRPr="00945522">
        <w:t xml:space="preserve"> </w:t>
      </w:r>
      <w:r>
        <w:t>satisfies the interests of Kroger</w:t>
      </w:r>
      <w:r w:rsidRPr="00945522">
        <w:t>.</w:t>
      </w:r>
    </w:p>
    <w:p w:rsidR="00433C08" w:rsidRPr="00433C08" w:rsidRDefault="00291472" w:rsidP="00433C08">
      <w:pPr>
        <w:pStyle w:val="question"/>
        <w:keepNext/>
        <w:spacing w:before="120"/>
        <w:rPr>
          <w:b w:val="0"/>
        </w:rPr>
      </w:pPr>
      <w:r w:rsidRPr="00291472">
        <w:rPr>
          <w:b w:val="0"/>
        </w:rPr>
        <w:t>A.</w:t>
      </w:r>
      <w:r w:rsidRPr="00291472">
        <w:rPr>
          <w:b w:val="0"/>
        </w:rPr>
        <w:tab/>
        <w:t xml:space="preserve"> </w:t>
      </w:r>
      <w:r w:rsidR="00433C08" w:rsidRPr="00433C08">
        <w:rPr>
          <w:b w:val="0"/>
        </w:rPr>
        <w:t>The  currently authorized decoupling mechanism was challenged by Kroger in these dockets because, among other things, (a) it did not look first to rate design as a means to reduce the variability in PSE’s recovery of delivery service costs from larger non-residential customers; and (b) by focusing on changes in kilowatt-hour usage, the mechanism did not capture the benefits of revenue stability that are provided by that portion of delivery charges recovered through the demand charges.</w:t>
      </w:r>
    </w:p>
    <w:p w:rsidR="00291472" w:rsidRPr="00291472" w:rsidRDefault="00433C08" w:rsidP="00433C08">
      <w:pPr>
        <w:pStyle w:val="question"/>
        <w:keepNext/>
        <w:spacing w:before="120"/>
        <w:rPr>
          <w:b w:val="0"/>
        </w:rPr>
      </w:pPr>
      <w:r>
        <w:rPr>
          <w:b w:val="0"/>
        </w:rPr>
        <w:tab/>
      </w:r>
      <w:r w:rsidRPr="00433C08">
        <w:rPr>
          <w:b w:val="0"/>
        </w:rPr>
        <w:t xml:space="preserve">The Joint Response responds to both of these criticisms. First, it improves the rate design for Schedules 26 and 31 by more closely aligning </w:t>
      </w:r>
      <w:r w:rsidR="00FE6ABE">
        <w:rPr>
          <w:b w:val="0"/>
        </w:rPr>
        <w:t>fixed</w:t>
      </w:r>
      <w:r w:rsidRPr="00433C08">
        <w:rPr>
          <w:b w:val="0"/>
        </w:rPr>
        <w:t xml:space="preserve"> costs with demand-related charges.  To do this, Schedule 26 and 31 demand charges are increased, while their respective energy charges are reduced in a manner that is revenue-neutral both to PSE and to each of the two rate schedules.  Although Schedule 26 and 31 demand charges would still not fully recover </w:t>
      </w:r>
      <w:r w:rsidR="00FE6ABE">
        <w:rPr>
          <w:b w:val="0"/>
        </w:rPr>
        <w:t>fixed</w:t>
      </w:r>
      <w:r w:rsidRPr="00433C08">
        <w:rPr>
          <w:b w:val="0"/>
        </w:rPr>
        <w:t xml:space="preserve"> costs, Kroger recognizes that resolution of rate design sometimes requires compromising among different objectives and Kroger considers the stipulated rate design change to be a meaningful step in the right direction.    Secondly, Kroger believes that if a decoupling mechanism is to be adopted, it is preferable for the decoupling adjustment to be derived using changes in demand usage rather than energy usage because the former is less variable than the latter.  The Joint Response accomplishes this objective.  All other things being equal, reducing the expected variability in the decoupling adjustment constitutes an improvement to the mechanism.</w:t>
      </w:r>
    </w:p>
    <w:p w:rsidR="00E52881" w:rsidRDefault="00E52881" w:rsidP="00E52881">
      <w:pPr>
        <w:pStyle w:val="question"/>
        <w:keepNext/>
        <w:spacing w:before="120"/>
      </w:pPr>
      <w:r w:rsidRPr="00C96D8A">
        <w:t>Q.</w:t>
      </w:r>
      <w:r w:rsidRPr="00C96D8A">
        <w:tab/>
      </w:r>
      <w:r>
        <w:t>P</w:t>
      </w:r>
      <w:r w:rsidRPr="00C96D8A">
        <w:t xml:space="preserve">lease explain why the </w:t>
      </w:r>
      <w:r w:rsidR="00D51ADF">
        <w:t>p</w:t>
      </w:r>
      <w:r w:rsidR="00FE00B2">
        <w:t xml:space="preserve">roposal contained in the Joint Response </w:t>
      </w:r>
      <w:r w:rsidRPr="00C96D8A">
        <w:t xml:space="preserve"> </w:t>
      </w:r>
      <w:r>
        <w:t xml:space="preserve">satisfies the interests of </w:t>
      </w:r>
      <w:r w:rsidR="00603100">
        <w:t>the NW Energy Coalition</w:t>
      </w:r>
      <w:r w:rsidRPr="00C96D8A">
        <w:t>.</w:t>
      </w:r>
    </w:p>
    <w:p w:rsidR="007F7BD8" w:rsidRDefault="00E52881" w:rsidP="007F7BD8">
      <w:pPr>
        <w:pStyle w:val="answer"/>
        <w:widowControl w:val="0"/>
      </w:pPr>
      <w:r w:rsidRPr="00EE0E45">
        <w:t>A.</w:t>
      </w:r>
      <w:r>
        <w:rPr>
          <w:b/>
        </w:rPr>
        <w:tab/>
      </w:r>
      <w:r w:rsidR="00603100" w:rsidRPr="00603100">
        <w:t>The NW Energy Coalition</w:t>
      </w:r>
      <w:r w:rsidR="00603100">
        <w:t xml:space="preserve"> supports the multiparty settlement because it meets the most important goal of the full decoupling mechanism approved by the Commission: it removes the company’s throughput incentive, thereby eliminating the Company’s disincentive to aggressively pursue additional energy efficiency.  </w:t>
      </w:r>
      <w:r w:rsidR="00D8321F">
        <w:t>The settlement is an improvement over the current decoupling mechanism because it ensures the support of customers in schedules 26 and 31 for the mechanism, and all other things being equal a broader base of support for the mechanism is desirable.  The settlement does include changes to rate design that the Coalition believes are detrimental – specifically, the Coalition believes that shifting a higher percentage of the bill to demand charges from energy charges reduces customer incentives to conserve because efficiency and conservation measures will result in smaller bill savings</w:t>
      </w:r>
      <w:r w:rsidR="00D301D2">
        <w:t xml:space="preserve"> and longer payback periods</w:t>
      </w:r>
      <w:r w:rsidR="00D8321F">
        <w:t xml:space="preserve">.  The shift, however, is modest enough that the Coalition believes there still will be an incentive for these customers to invest in efficiency retrofits, and the disadvantage posed by the change in rate design </w:t>
      </w:r>
      <w:r w:rsidR="00FE6ABE">
        <w:t xml:space="preserve">is </w:t>
      </w:r>
      <w:r w:rsidR="00D8321F">
        <w:t xml:space="preserve">outweighed by the benefit of garnering a broader base of support for the decoupling mechanism.  Moreover, the agreement among the settling parties to include an explicit study of this question in the evaluation of the decoupling mechanism will hopefully provide the Coalition and all other parties with additional information that may be relevant to future decisions. </w:t>
      </w:r>
    </w:p>
    <w:p w:rsidR="00CC4D1F" w:rsidRPr="00334C34" w:rsidRDefault="009644A8" w:rsidP="00495F6C">
      <w:pPr>
        <w:pStyle w:val="Heading1"/>
        <w:keepLines w:val="0"/>
        <w:rPr>
          <w:rFonts w:eastAsia="SimSun"/>
        </w:rPr>
      </w:pPr>
      <w:bookmarkStart w:id="19" w:name="_Toc160546704"/>
      <w:bookmarkStart w:id="20" w:name="_Toc160885954"/>
      <w:bookmarkStart w:id="21" w:name="_Toc178136421"/>
      <w:bookmarkStart w:id="22" w:name="_Toc220493642"/>
      <w:bookmarkStart w:id="23" w:name="_Toc313949517"/>
      <w:r w:rsidRPr="00F03938">
        <w:t>IV</w:t>
      </w:r>
      <w:r w:rsidR="00CC4D1F" w:rsidRPr="00334C34">
        <w:rPr>
          <w:rFonts w:eastAsia="SimSun"/>
          <w:bCs/>
          <w:caps/>
        </w:rPr>
        <w:t>.</w:t>
      </w:r>
      <w:r w:rsidR="00CC4D1F" w:rsidRPr="00334C34">
        <w:rPr>
          <w:rFonts w:eastAsia="SimSun"/>
          <w:bCs/>
          <w:caps/>
        </w:rPr>
        <w:tab/>
        <w:t>CONCLUSION</w:t>
      </w:r>
      <w:bookmarkEnd w:id="19"/>
      <w:bookmarkEnd w:id="20"/>
      <w:bookmarkEnd w:id="21"/>
      <w:bookmarkEnd w:id="22"/>
      <w:bookmarkEnd w:id="23"/>
    </w:p>
    <w:p w:rsidR="00495F6C" w:rsidRPr="00F65D26" w:rsidRDefault="00495F6C" w:rsidP="00495F6C">
      <w:pPr>
        <w:pStyle w:val="question"/>
        <w:keepNext/>
        <w:spacing w:before="120"/>
      </w:pPr>
      <w:bookmarkStart w:id="24" w:name="OLE_LINK1"/>
      <w:r w:rsidRPr="00F65D26">
        <w:t>Q.</w:t>
      </w:r>
      <w:r w:rsidRPr="00F65D26">
        <w:tab/>
        <w:t xml:space="preserve">Does this conclude </w:t>
      </w:r>
      <w:r>
        <w:t>your joint testimony?</w:t>
      </w:r>
    </w:p>
    <w:p w:rsidR="00495F6C" w:rsidRDefault="00495F6C" w:rsidP="00495F6C">
      <w:pPr>
        <w:pStyle w:val="answer"/>
        <w:widowControl w:val="0"/>
      </w:pPr>
      <w:r w:rsidRPr="00F65D26">
        <w:t>A.</w:t>
      </w:r>
      <w:r w:rsidRPr="00F65D26">
        <w:tab/>
        <w:t>Yes.</w:t>
      </w:r>
      <w:bookmarkEnd w:id="8"/>
      <w:bookmarkEnd w:id="9"/>
      <w:bookmarkEnd w:id="10"/>
      <w:bookmarkEnd w:id="11"/>
      <w:bookmarkEnd w:id="12"/>
      <w:bookmarkEnd w:id="13"/>
      <w:bookmarkEnd w:id="14"/>
      <w:bookmarkEnd w:id="24"/>
    </w:p>
    <w:sectPr w:rsidR="00495F6C" w:rsidSect="000531A1">
      <w:footerReference w:type="default" r:id="rId15"/>
      <w:type w:val="continuous"/>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01" w:rsidRDefault="008B4901">
      <w:r>
        <w:separator/>
      </w:r>
    </w:p>
  </w:endnote>
  <w:endnote w:type="continuationSeparator" w:id="0">
    <w:p w:rsidR="008B4901" w:rsidRDefault="008B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89" w:rsidRDefault="0055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38" w:rsidRPr="000531A1" w:rsidRDefault="00B94038" w:rsidP="000531A1">
    <w:pPr>
      <w:pStyle w:val="Footer"/>
    </w:pPr>
    <w:r w:rsidRPr="000531A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89" w:rsidRDefault="00552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1" w:rsidRPr="006A4EC4" w:rsidRDefault="000531A1" w:rsidP="008F21F5">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0531A1" w:rsidRPr="006A4EC4" w:rsidRDefault="000531A1" w:rsidP="008F21F5">
    <w:pPr>
      <w:pStyle w:val="Footer"/>
      <w:tabs>
        <w:tab w:val="clear" w:pos="4507"/>
        <w:tab w:val="clear" w:pos="9000"/>
        <w:tab w:val="right" w:pos="8640"/>
      </w:tabs>
      <w:spacing w:line="240" w:lineRule="auto"/>
      <w:ind w:right="0"/>
      <w:rPr>
        <w:sz w:val="10"/>
        <w:szCs w:val="10"/>
      </w:rPr>
    </w:pPr>
  </w:p>
  <w:p w:rsidR="000531A1" w:rsidRDefault="000531A1" w:rsidP="0061060C">
    <w:pPr>
      <w:pStyle w:val="Footer"/>
      <w:tabs>
        <w:tab w:val="clear" w:pos="4507"/>
        <w:tab w:val="clear" w:pos="9000"/>
        <w:tab w:val="right" w:pos="8640"/>
      </w:tabs>
    </w:pPr>
    <w:r>
      <w:t>Joint Testimony (Nonconfidential) of the</w:t>
    </w:r>
    <w:r w:rsidRPr="0061060C">
      <w:t xml:space="preserve"> </w:t>
    </w:r>
    <w:r>
      <w:tab/>
      <w:t>Exhibit No. ___(JPE-1T)</w:t>
    </w:r>
  </w:p>
  <w:p w:rsidR="000531A1" w:rsidRDefault="000531A1" w:rsidP="00E52881">
    <w:pPr>
      <w:pStyle w:val="Footer"/>
      <w:tabs>
        <w:tab w:val="clear" w:pos="4507"/>
        <w:tab w:val="clear" w:pos="9000"/>
        <w:tab w:val="right" w:pos="8640"/>
      </w:tabs>
    </w:pPr>
    <w:r>
      <w:t>Joint Parties Regarding</w:t>
    </w:r>
    <w:r w:rsidRPr="00E52881">
      <w:t xml:space="preserve"> </w:t>
    </w:r>
    <w:r>
      <w:tab/>
      <w:t>Page </w:t>
    </w:r>
    <w:r>
      <w:rPr>
        <w:rStyle w:val="PageNumber"/>
      </w:rPr>
      <w:fldChar w:fldCharType="begin"/>
    </w:r>
    <w:r>
      <w:rPr>
        <w:rStyle w:val="PageNumber"/>
      </w:rPr>
      <w:instrText xml:space="preserve"> PAGE </w:instrText>
    </w:r>
    <w:r>
      <w:rPr>
        <w:rStyle w:val="PageNumber"/>
      </w:rPr>
      <w:fldChar w:fldCharType="separate"/>
    </w:r>
    <w:r w:rsidR="009652A6">
      <w:rPr>
        <w:rStyle w:val="PageNumber"/>
        <w:noProof/>
      </w:rPr>
      <w:t>16</w:t>
    </w:r>
    <w:r>
      <w:rPr>
        <w:rStyle w:val="PageNumber"/>
      </w:rPr>
      <w:fldChar w:fldCharType="end"/>
    </w:r>
    <w:r>
      <w:rPr>
        <w:rStyle w:val="PageNumber"/>
      </w:rPr>
      <w:t xml:space="preserve"> of 16</w:t>
    </w:r>
    <w:r>
      <w:t xml:space="preserve"> </w:t>
    </w:r>
  </w:p>
  <w:p w:rsidR="000531A1" w:rsidRDefault="000531A1" w:rsidP="00E52881">
    <w:pPr>
      <w:pStyle w:val="Footer"/>
      <w:tabs>
        <w:tab w:val="clear" w:pos="4507"/>
        <w:tab w:val="clear" w:pos="9000"/>
        <w:tab w:val="right" w:pos="8640"/>
      </w:tabs>
    </w:pPr>
    <w:r>
      <w:t xml:space="preserve">Electric Rate Schedules 26 &amp; 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01" w:rsidRDefault="008B4901">
      <w:r>
        <w:separator/>
      </w:r>
    </w:p>
  </w:footnote>
  <w:footnote w:type="continuationSeparator" w:id="0">
    <w:p w:rsidR="008B4901" w:rsidRDefault="008B4901">
      <w:r>
        <w:continuationSeparator/>
      </w:r>
    </w:p>
  </w:footnote>
  <w:footnote w:id="1">
    <w:p w:rsidR="00A2446B" w:rsidRPr="00BB1587" w:rsidRDefault="00A2446B" w:rsidP="00A2446B">
      <w:pPr>
        <w:pStyle w:val="FootnoteText"/>
      </w:pPr>
      <w:r>
        <w:rPr>
          <w:rStyle w:val="FootnoteReference"/>
        </w:rPr>
        <w:footnoteRef/>
      </w:r>
      <w:r>
        <w:t xml:space="preserve"> These exhibits are modeled after those supporting the existing electric decoupling mechanism, specifically Exhibit No.</w:t>
      </w:r>
      <w:r w:rsidR="000531A1">
        <w:t> </w:t>
      </w:r>
      <w:r w:rsidR="00697FD9">
        <w:t xml:space="preserve"> </w:t>
      </w:r>
      <w:r>
        <w:t>JAP-14, Exhibit No.</w:t>
      </w:r>
      <w:r w:rsidR="000531A1">
        <w:t> </w:t>
      </w:r>
      <w:r w:rsidR="00697FD9">
        <w:t xml:space="preserve"> </w:t>
      </w:r>
      <w:r>
        <w:t>JAP-16, Exhibit No.</w:t>
      </w:r>
      <w:r w:rsidR="000531A1">
        <w:t> </w:t>
      </w:r>
      <w:r w:rsidR="00697FD9">
        <w:t xml:space="preserve"> </w:t>
      </w:r>
      <w:r>
        <w:t>JAP-18 and Exhibit No.</w:t>
      </w:r>
      <w:r w:rsidR="000531A1">
        <w:t> </w:t>
      </w:r>
      <w:r w:rsidR="00697FD9">
        <w:t xml:space="preserve"> </w:t>
      </w:r>
      <w:r>
        <w:t>JAP-22.</w:t>
      </w:r>
    </w:p>
  </w:footnote>
  <w:footnote w:id="2">
    <w:p w:rsidR="006C68D1" w:rsidRDefault="006C68D1">
      <w:pPr>
        <w:pStyle w:val="FootnoteText"/>
      </w:pPr>
      <w:r>
        <w:rPr>
          <w:rStyle w:val="FootnoteReference"/>
        </w:rPr>
        <w:footnoteRef/>
      </w:r>
      <w:r w:rsidR="00495F72" w:rsidRPr="00495F72">
        <w:t xml:space="preserve">Order 07, ¶ </w:t>
      </w:r>
      <w:r w:rsidR="00495F72">
        <w:t>128</w:t>
      </w:r>
      <w:r w:rsidR="00495F72" w:rsidRPr="00495F72">
        <w:t>.</w:t>
      </w:r>
    </w:p>
  </w:footnote>
  <w:footnote w:id="3">
    <w:p w:rsidR="0022428F" w:rsidRDefault="0022428F">
      <w:pPr>
        <w:pStyle w:val="FootnoteText"/>
      </w:pPr>
      <w:r>
        <w:rPr>
          <w:rStyle w:val="FootnoteReference"/>
        </w:rPr>
        <w:footnoteRef/>
      </w:r>
      <w:r>
        <w:t xml:space="preserve"> </w:t>
      </w:r>
      <w:r w:rsidRPr="0022428F">
        <w:t>Order 07</w:t>
      </w:r>
      <w:r w:rsidR="00E77A02">
        <w:t>, ¶</w:t>
      </w:r>
      <w:r w:rsidRPr="0022428F">
        <w:t xml:space="preserve"> 129</w:t>
      </w:r>
      <w:r w:rsidR="00E77A02">
        <w:t>.</w:t>
      </w:r>
    </w:p>
  </w:footnote>
  <w:footnote w:id="4">
    <w:p w:rsidR="00DF0B93" w:rsidRPr="00F03938" w:rsidRDefault="00DF0B93">
      <w:pPr>
        <w:pStyle w:val="FootnoteText"/>
      </w:pPr>
      <w:r>
        <w:rPr>
          <w:rStyle w:val="FootnoteReference"/>
        </w:rPr>
        <w:footnoteRef/>
      </w:r>
      <w:r>
        <w:t xml:space="preserve"> </w:t>
      </w:r>
      <w:r w:rsidR="00E13342">
        <w:rPr>
          <w:i/>
        </w:rPr>
        <w:t xml:space="preserve">See </w:t>
      </w:r>
      <w:r w:rsidR="00E13342">
        <w:t xml:space="preserve">Docket UE-111048, Electric Settlement Agreement, ¶ 15; Docket UE-130617, Order </w:t>
      </w:r>
      <w:r w:rsidR="00216C60">
        <w:t>06,</w:t>
      </w:r>
      <w:r w:rsidR="00E13342">
        <w:t xml:space="preserve"> ¶19 (discussing rate spre</w:t>
      </w:r>
      <w:r w:rsidR="00216C60">
        <w:t>a</w:t>
      </w:r>
      <w:r w:rsidR="00E13342">
        <w:t xml:space="preserve">d/design collaborative).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89" w:rsidRDefault="0055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1" w:rsidRDefault="009652A6">
    <w:pPr>
      <w:pStyle w:val="Header"/>
    </w:pPr>
    <w:r>
      <w:rPr>
        <w:noProof/>
        <w:lang w:eastAsia="en-US"/>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-88900</wp:posOffset>
              </wp:positionV>
              <wp:extent cx="0" cy="9258300"/>
              <wp:effectExtent l="22860" t="25400" r="24765" b="222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A1" w:rsidRDefault="009652A6">
    <w:pPr>
      <w:pStyle w:val="Header"/>
    </w:pPr>
    <w:r>
      <w:rPr>
        <w:noProof/>
        <w:lang w:eastAsia="en-US"/>
      </w:rPr>
      <mc:AlternateContent>
        <mc:Choice Requires="wps">
          <w:drawing>
            <wp:anchor distT="0" distB="0" distL="114300" distR="114300" simplePos="0" relativeHeight="251659264" behindDoc="0" locked="0" layoutInCell="0" allowOverlap="1">
              <wp:simplePos x="0" y="0"/>
              <wp:positionH relativeFrom="column">
                <wp:posOffset>-133350</wp:posOffset>
              </wp:positionH>
              <wp:positionV relativeFrom="paragraph">
                <wp:posOffset>137160</wp:posOffset>
              </wp:positionV>
              <wp:extent cx="0" cy="9258300"/>
              <wp:effectExtent l="19050"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8pt" to="-10.5pt,7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BE4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5">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21B42BA"/>
    <w:multiLevelType w:val="hybridMultilevel"/>
    <w:tmpl w:val="2616966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6621C6"/>
    <w:multiLevelType w:val="hybridMultilevel"/>
    <w:tmpl w:val="CAD04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7">
    <w:nsid w:val="1FD97429"/>
    <w:multiLevelType w:val="hybridMultilevel"/>
    <w:tmpl w:val="0A26BE8A"/>
    <w:lvl w:ilvl="0" w:tplc="4DB8063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B0107"/>
    <w:multiLevelType w:val="hybridMultilevel"/>
    <w:tmpl w:val="96FE3B76"/>
    <w:lvl w:ilvl="0" w:tplc="D1CE6336">
      <w:start w:val="1"/>
      <w:numFmt w:val="decimal"/>
      <w:lvlText w:val="%1"/>
      <w:lvlJc w:val="left"/>
      <w:pPr>
        <w:tabs>
          <w:tab w:val="num" w:pos="720"/>
        </w:tabs>
        <w:ind w:left="0" w:hanging="720"/>
      </w:pPr>
      <w:rPr>
        <w:rFonts w:hint="default"/>
        <w:b w:val="0"/>
        <w:i/>
      </w:rPr>
    </w:lvl>
    <w:lvl w:ilvl="1" w:tplc="12D2799A">
      <w:start w:val="1"/>
      <w:numFmt w:val="decimal"/>
      <w:lvlText w:val="%2"/>
      <w:lvlJc w:val="left"/>
      <w:pPr>
        <w:ind w:left="3240" w:hanging="1440"/>
      </w:pPr>
      <w:rPr>
        <w:rFonts w:hint="default"/>
        <w:b w:val="0"/>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2">
    <w:nsid w:val="4C4665E3"/>
    <w:multiLevelType w:val="hybridMultilevel"/>
    <w:tmpl w:val="62722D3A"/>
    <w:lvl w:ilvl="0" w:tplc="4866D546">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5">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7">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1">
    <w:nsid w:val="782C09C7"/>
    <w:multiLevelType w:val="hybridMultilevel"/>
    <w:tmpl w:val="77C89206"/>
    <w:lvl w:ilvl="0" w:tplc="8B1423D2">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7"/>
  </w:num>
  <w:num w:numId="2">
    <w:abstractNumId w:val="12"/>
  </w:num>
  <w:num w:numId="3">
    <w:abstractNumId w:val="28"/>
  </w:num>
  <w:num w:numId="4">
    <w:abstractNumId w:val="20"/>
  </w:num>
  <w:num w:numId="5">
    <w:abstractNumId w:val="25"/>
  </w:num>
  <w:num w:numId="6">
    <w:abstractNumId w:val="26"/>
  </w:num>
  <w:num w:numId="7">
    <w:abstractNumId w:val="30"/>
  </w:num>
  <w:num w:numId="8">
    <w:abstractNumId w:val="21"/>
  </w:num>
  <w:num w:numId="9">
    <w:abstractNumId w:val="33"/>
  </w:num>
  <w:num w:numId="10">
    <w:abstractNumId w:val="23"/>
  </w:num>
  <w:num w:numId="11">
    <w:abstractNumId w:val="24"/>
  </w:num>
  <w:num w:numId="12">
    <w:abstractNumId w:val="16"/>
  </w:num>
  <w:num w:numId="13">
    <w:abstractNumId w:val="14"/>
  </w:num>
  <w:num w:numId="14">
    <w:abstractNumId w:val="19"/>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9"/>
  </w:num>
  <w:num w:numId="26">
    <w:abstractNumId w:val="11"/>
  </w:num>
  <w:num w:numId="27">
    <w:abstractNumId w:val="32"/>
  </w:num>
  <w:num w:numId="28">
    <w:abstractNumId w:val="13"/>
  </w:num>
  <w:num w:numId="29">
    <w:abstractNumId w:val="15"/>
  </w:num>
  <w:num w:numId="30">
    <w:abstractNumId w:val="22"/>
  </w:num>
  <w:num w:numId="31">
    <w:abstractNumId w:val="31"/>
  </w:num>
  <w:num w:numId="32">
    <w:abstractNumId w:val="17"/>
  </w:num>
  <w:num w:numId="33">
    <w:abstractNumId w:val="18"/>
  </w:num>
  <w:num w:numId="3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embedTrueTypeFonts/>
  <w:saveSubset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style="mso-position-vertical-relative:line" fill="f" fillcolor="none [4]" stroke="f" strokecolor="none [1]">
      <v:fill color="none [4]" color2="none [0]" on="f"/>
      <v:stroke color="none [1]" on="f"/>
      <v:shadow 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2B4"/>
    <w:rsid w:val="00000CE5"/>
    <w:rsid w:val="00001A4E"/>
    <w:rsid w:val="00001C9C"/>
    <w:rsid w:val="0000267D"/>
    <w:rsid w:val="00003458"/>
    <w:rsid w:val="0000366A"/>
    <w:rsid w:val="000038D1"/>
    <w:rsid w:val="00003993"/>
    <w:rsid w:val="00003FC5"/>
    <w:rsid w:val="00004E7F"/>
    <w:rsid w:val="00004F3D"/>
    <w:rsid w:val="000054E6"/>
    <w:rsid w:val="000057A7"/>
    <w:rsid w:val="000058F5"/>
    <w:rsid w:val="00005976"/>
    <w:rsid w:val="00007E50"/>
    <w:rsid w:val="000105BC"/>
    <w:rsid w:val="0001071B"/>
    <w:rsid w:val="00011A48"/>
    <w:rsid w:val="00012169"/>
    <w:rsid w:val="0001222F"/>
    <w:rsid w:val="00012276"/>
    <w:rsid w:val="00014348"/>
    <w:rsid w:val="000147DE"/>
    <w:rsid w:val="0001561E"/>
    <w:rsid w:val="00015C4A"/>
    <w:rsid w:val="00016357"/>
    <w:rsid w:val="000168EC"/>
    <w:rsid w:val="00016DD6"/>
    <w:rsid w:val="00017365"/>
    <w:rsid w:val="00017879"/>
    <w:rsid w:val="00017A78"/>
    <w:rsid w:val="00021199"/>
    <w:rsid w:val="00021598"/>
    <w:rsid w:val="000239AA"/>
    <w:rsid w:val="00024F15"/>
    <w:rsid w:val="00026A20"/>
    <w:rsid w:val="0003065A"/>
    <w:rsid w:val="00030BB4"/>
    <w:rsid w:val="000310FF"/>
    <w:rsid w:val="00031D4D"/>
    <w:rsid w:val="00031FD0"/>
    <w:rsid w:val="00033037"/>
    <w:rsid w:val="0003303F"/>
    <w:rsid w:val="00033605"/>
    <w:rsid w:val="000336F0"/>
    <w:rsid w:val="000337FC"/>
    <w:rsid w:val="00033EE1"/>
    <w:rsid w:val="00034263"/>
    <w:rsid w:val="0003518E"/>
    <w:rsid w:val="00035558"/>
    <w:rsid w:val="00036164"/>
    <w:rsid w:val="000361EE"/>
    <w:rsid w:val="00036D58"/>
    <w:rsid w:val="0004049B"/>
    <w:rsid w:val="00040A77"/>
    <w:rsid w:val="00040FAA"/>
    <w:rsid w:val="00041E64"/>
    <w:rsid w:val="00042EA0"/>
    <w:rsid w:val="0004395D"/>
    <w:rsid w:val="000442FE"/>
    <w:rsid w:val="000447CA"/>
    <w:rsid w:val="000457F3"/>
    <w:rsid w:val="00045D5F"/>
    <w:rsid w:val="00045DCD"/>
    <w:rsid w:val="00047FC8"/>
    <w:rsid w:val="00051B5A"/>
    <w:rsid w:val="000531A1"/>
    <w:rsid w:val="0005392D"/>
    <w:rsid w:val="000545A1"/>
    <w:rsid w:val="00055585"/>
    <w:rsid w:val="000561B0"/>
    <w:rsid w:val="0005731E"/>
    <w:rsid w:val="000573B4"/>
    <w:rsid w:val="00060C8D"/>
    <w:rsid w:val="00060DE1"/>
    <w:rsid w:val="00061223"/>
    <w:rsid w:val="000626A8"/>
    <w:rsid w:val="000626F6"/>
    <w:rsid w:val="00062A35"/>
    <w:rsid w:val="00062A7E"/>
    <w:rsid w:val="00062FF0"/>
    <w:rsid w:val="000630DF"/>
    <w:rsid w:val="00064A24"/>
    <w:rsid w:val="00064D13"/>
    <w:rsid w:val="00066742"/>
    <w:rsid w:val="0006775A"/>
    <w:rsid w:val="00067AC2"/>
    <w:rsid w:val="00067BC8"/>
    <w:rsid w:val="00071233"/>
    <w:rsid w:val="000725DB"/>
    <w:rsid w:val="000742CA"/>
    <w:rsid w:val="00074504"/>
    <w:rsid w:val="00074F3A"/>
    <w:rsid w:val="00076C2E"/>
    <w:rsid w:val="0007701B"/>
    <w:rsid w:val="00080006"/>
    <w:rsid w:val="00080B87"/>
    <w:rsid w:val="00080C49"/>
    <w:rsid w:val="00080ECE"/>
    <w:rsid w:val="000810A0"/>
    <w:rsid w:val="00081177"/>
    <w:rsid w:val="00081400"/>
    <w:rsid w:val="00081C91"/>
    <w:rsid w:val="00081EB3"/>
    <w:rsid w:val="00081FE4"/>
    <w:rsid w:val="00082319"/>
    <w:rsid w:val="000824BC"/>
    <w:rsid w:val="00082A97"/>
    <w:rsid w:val="00082DF4"/>
    <w:rsid w:val="0008472E"/>
    <w:rsid w:val="00085B4B"/>
    <w:rsid w:val="0008729E"/>
    <w:rsid w:val="00087A30"/>
    <w:rsid w:val="00090E74"/>
    <w:rsid w:val="00091891"/>
    <w:rsid w:val="00092433"/>
    <w:rsid w:val="00094C10"/>
    <w:rsid w:val="00096020"/>
    <w:rsid w:val="000968F9"/>
    <w:rsid w:val="00096964"/>
    <w:rsid w:val="000A0295"/>
    <w:rsid w:val="000A236A"/>
    <w:rsid w:val="000A27D9"/>
    <w:rsid w:val="000A318F"/>
    <w:rsid w:val="000A41ED"/>
    <w:rsid w:val="000A4245"/>
    <w:rsid w:val="000A449F"/>
    <w:rsid w:val="000A576B"/>
    <w:rsid w:val="000A638A"/>
    <w:rsid w:val="000A7765"/>
    <w:rsid w:val="000A79EF"/>
    <w:rsid w:val="000A7CAA"/>
    <w:rsid w:val="000B0732"/>
    <w:rsid w:val="000B0E7D"/>
    <w:rsid w:val="000B10F1"/>
    <w:rsid w:val="000B213E"/>
    <w:rsid w:val="000B39C3"/>
    <w:rsid w:val="000B458E"/>
    <w:rsid w:val="000B4D8C"/>
    <w:rsid w:val="000B4F31"/>
    <w:rsid w:val="000B6DF0"/>
    <w:rsid w:val="000B7070"/>
    <w:rsid w:val="000B7CA0"/>
    <w:rsid w:val="000B7E28"/>
    <w:rsid w:val="000C11B0"/>
    <w:rsid w:val="000C14E7"/>
    <w:rsid w:val="000C3372"/>
    <w:rsid w:val="000C382B"/>
    <w:rsid w:val="000C3A74"/>
    <w:rsid w:val="000C5D02"/>
    <w:rsid w:val="000C5D6D"/>
    <w:rsid w:val="000D091D"/>
    <w:rsid w:val="000D27F1"/>
    <w:rsid w:val="000D2CA5"/>
    <w:rsid w:val="000D35A5"/>
    <w:rsid w:val="000D3654"/>
    <w:rsid w:val="000D3FD5"/>
    <w:rsid w:val="000D40B0"/>
    <w:rsid w:val="000D4239"/>
    <w:rsid w:val="000D498B"/>
    <w:rsid w:val="000D5FFB"/>
    <w:rsid w:val="000D6E14"/>
    <w:rsid w:val="000D70CB"/>
    <w:rsid w:val="000D79AE"/>
    <w:rsid w:val="000D7A88"/>
    <w:rsid w:val="000E0276"/>
    <w:rsid w:val="000E101B"/>
    <w:rsid w:val="000E2C75"/>
    <w:rsid w:val="000E39D3"/>
    <w:rsid w:val="000E3F3F"/>
    <w:rsid w:val="000E4520"/>
    <w:rsid w:val="000E5866"/>
    <w:rsid w:val="000E58B7"/>
    <w:rsid w:val="000E5B47"/>
    <w:rsid w:val="000E5F4F"/>
    <w:rsid w:val="000E690D"/>
    <w:rsid w:val="000F04E8"/>
    <w:rsid w:val="000F0F85"/>
    <w:rsid w:val="000F14FC"/>
    <w:rsid w:val="000F19BC"/>
    <w:rsid w:val="000F206E"/>
    <w:rsid w:val="000F3F61"/>
    <w:rsid w:val="000F4366"/>
    <w:rsid w:val="000F47DA"/>
    <w:rsid w:val="000F4F98"/>
    <w:rsid w:val="000F61CC"/>
    <w:rsid w:val="000F61F8"/>
    <w:rsid w:val="000F633F"/>
    <w:rsid w:val="000F67CD"/>
    <w:rsid w:val="000F6CCB"/>
    <w:rsid w:val="000F75A6"/>
    <w:rsid w:val="000F77AD"/>
    <w:rsid w:val="000F7AFE"/>
    <w:rsid w:val="001008AE"/>
    <w:rsid w:val="00101646"/>
    <w:rsid w:val="001019FC"/>
    <w:rsid w:val="00102133"/>
    <w:rsid w:val="00103510"/>
    <w:rsid w:val="0010496F"/>
    <w:rsid w:val="001052D2"/>
    <w:rsid w:val="00106525"/>
    <w:rsid w:val="00107774"/>
    <w:rsid w:val="00110F1D"/>
    <w:rsid w:val="00111266"/>
    <w:rsid w:val="00111758"/>
    <w:rsid w:val="00111BE1"/>
    <w:rsid w:val="00112068"/>
    <w:rsid w:val="001138F1"/>
    <w:rsid w:val="001146F4"/>
    <w:rsid w:val="00114CF5"/>
    <w:rsid w:val="00114E58"/>
    <w:rsid w:val="0011516D"/>
    <w:rsid w:val="00116C39"/>
    <w:rsid w:val="00116F00"/>
    <w:rsid w:val="001172F2"/>
    <w:rsid w:val="00123215"/>
    <w:rsid w:val="00124FA4"/>
    <w:rsid w:val="0012613C"/>
    <w:rsid w:val="00126183"/>
    <w:rsid w:val="0012738A"/>
    <w:rsid w:val="001301D2"/>
    <w:rsid w:val="001307D6"/>
    <w:rsid w:val="001315F1"/>
    <w:rsid w:val="0013189C"/>
    <w:rsid w:val="00132BFE"/>
    <w:rsid w:val="00134488"/>
    <w:rsid w:val="00134A5D"/>
    <w:rsid w:val="00135B07"/>
    <w:rsid w:val="00135FB3"/>
    <w:rsid w:val="0013799B"/>
    <w:rsid w:val="00140337"/>
    <w:rsid w:val="00140FA8"/>
    <w:rsid w:val="0014141C"/>
    <w:rsid w:val="001415D3"/>
    <w:rsid w:val="00141B9D"/>
    <w:rsid w:val="00141D5D"/>
    <w:rsid w:val="001442A0"/>
    <w:rsid w:val="0014432A"/>
    <w:rsid w:val="00144AFC"/>
    <w:rsid w:val="00145325"/>
    <w:rsid w:val="0014678E"/>
    <w:rsid w:val="00147354"/>
    <w:rsid w:val="001473AC"/>
    <w:rsid w:val="0014748C"/>
    <w:rsid w:val="001476C6"/>
    <w:rsid w:val="00147FFB"/>
    <w:rsid w:val="00150EAC"/>
    <w:rsid w:val="00151924"/>
    <w:rsid w:val="00152955"/>
    <w:rsid w:val="0015301D"/>
    <w:rsid w:val="0015343A"/>
    <w:rsid w:val="00153CB8"/>
    <w:rsid w:val="00154034"/>
    <w:rsid w:val="00154A96"/>
    <w:rsid w:val="00155916"/>
    <w:rsid w:val="00155A23"/>
    <w:rsid w:val="00156446"/>
    <w:rsid w:val="0015672C"/>
    <w:rsid w:val="00160FB7"/>
    <w:rsid w:val="001639D5"/>
    <w:rsid w:val="0016461C"/>
    <w:rsid w:val="0016558D"/>
    <w:rsid w:val="00167586"/>
    <w:rsid w:val="0017017D"/>
    <w:rsid w:val="00170495"/>
    <w:rsid w:val="00171EB2"/>
    <w:rsid w:val="00172E76"/>
    <w:rsid w:val="00172EF7"/>
    <w:rsid w:val="00173BBA"/>
    <w:rsid w:val="00174EF2"/>
    <w:rsid w:val="0017583F"/>
    <w:rsid w:val="00175CC1"/>
    <w:rsid w:val="00176AFD"/>
    <w:rsid w:val="001777CB"/>
    <w:rsid w:val="00177CEF"/>
    <w:rsid w:val="00177F2E"/>
    <w:rsid w:val="0018002E"/>
    <w:rsid w:val="0018058A"/>
    <w:rsid w:val="00182AF5"/>
    <w:rsid w:val="00182B04"/>
    <w:rsid w:val="001834DD"/>
    <w:rsid w:val="00183670"/>
    <w:rsid w:val="00184331"/>
    <w:rsid w:val="00184E8F"/>
    <w:rsid w:val="00184FDC"/>
    <w:rsid w:val="001851DC"/>
    <w:rsid w:val="00185207"/>
    <w:rsid w:val="00185613"/>
    <w:rsid w:val="00186746"/>
    <w:rsid w:val="00186965"/>
    <w:rsid w:val="0018712E"/>
    <w:rsid w:val="001905E0"/>
    <w:rsid w:val="00190BD8"/>
    <w:rsid w:val="00190BDC"/>
    <w:rsid w:val="00190F3B"/>
    <w:rsid w:val="00191EAA"/>
    <w:rsid w:val="00193820"/>
    <w:rsid w:val="00193A40"/>
    <w:rsid w:val="001940EA"/>
    <w:rsid w:val="00195350"/>
    <w:rsid w:val="00197EB3"/>
    <w:rsid w:val="001A0B89"/>
    <w:rsid w:val="001A0D96"/>
    <w:rsid w:val="001A1E87"/>
    <w:rsid w:val="001A27F4"/>
    <w:rsid w:val="001A393E"/>
    <w:rsid w:val="001A3F96"/>
    <w:rsid w:val="001A47C3"/>
    <w:rsid w:val="001A4BF0"/>
    <w:rsid w:val="001A55A4"/>
    <w:rsid w:val="001A6D21"/>
    <w:rsid w:val="001A7664"/>
    <w:rsid w:val="001B0FCD"/>
    <w:rsid w:val="001B1548"/>
    <w:rsid w:val="001B1763"/>
    <w:rsid w:val="001B1F31"/>
    <w:rsid w:val="001B257E"/>
    <w:rsid w:val="001B26D6"/>
    <w:rsid w:val="001B2FC7"/>
    <w:rsid w:val="001B3C37"/>
    <w:rsid w:val="001B41C9"/>
    <w:rsid w:val="001B4260"/>
    <w:rsid w:val="001B4A48"/>
    <w:rsid w:val="001B4D74"/>
    <w:rsid w:val="001B5AE3"/>
    <w:rsid w:val="001B64AA"/>
    <w:rsid w:val="001B682D"/>
    <w:rsid w:val="001B797D"/>
    <w:rsid w:val="001C038C"/>
    <w:rsid w:val="001C13E3"/>
    <w:rsid w:val="001C2C77"/>
    <w:rsid w:val="001C3444"/>
    <w:rsid w:val="001C4B62"/>
    <w:rsid w:val="001C5BD4"/>
    <w:rsid w:val="001C5FEC"/>
    <w:rsid w:val="001C65A9"/>
    <w:rsid w:val="001D026D"/>
    <w:rsid w:val="001D03F2"/>
    <w:rsid w:val="001D1E62"/>
    <w:rsid w:val="001D1E89"/>
    <w:rsid w:val="001D24FC"/>
    <w:rsid w:val="001D3AC7"/>
    <w:rsid w:val="001D4C6F"/>
    <w:rsid w:val="001D52B3"/>
    <w:rsid w:val="001D5D57"/>
    <w:rsid w:val="001D67FE"/>
    <w:rsid w:val="001D6D5E"/>
    <w:rsid w:val="001D73CF"/>
    <w:rsid w:val="001D7DB8"/>
    <w:rsid w:val="001E080D"/>
    <w:rsid w:val="001E0D14"/>
    <w:rsid w:val="001E1F56"/>
    <w:rsid w:val="001E2185"/>
    <w:rsid w:val="001E29E0"/>
    <w:rsid w:val="001E55AD"/>
    <w:rsid w:val="001E57C7"/>
    <w:rsid w:val="001E6331"/>
    <w:rsid w:val="001E722A"/>
    <w:rsid w:val="001E774A"/>
    <w:rsid w:val="001E7C3F"/>
    <w:rsid w:val="001F0060"/>
    <w:rsid w:val="001F0BAF"/>
    <w:rsid w:val="001F128A"/>
    <w:rsid w:val="001F14F7"/>
    <w:rsid w:val="001F15B2"/>
    <w:rsid w:val="001F3055"/>
    <w:rsid w:val="001F30F5"/>
    <w:rsid w:val="001F376B"/>
    <w:rsid w:val="002018F6"/>
    <w:rsid w:val="00205056"/>
    <w:rsid w:val="00205492"/>
    <w:rsid w:val="00205848"/>
    <w:rsid w:val="00205DE3"/>
    <w:rsid w:val="0020686F"/>
    <w:rsid w:val="00206D43"/>
    <w:rsid w:val="00210DB9"/>
    <w:rsid w:val="002110A4"/>
    <w:rsid w:val="00211F43"/>
    <w:rsid w:val="00211FC1"/>
    <w:rsid w:val="00212AC9"/>
    <w:rsid w:val="00212EB0"/>
    <w:rsid w:val="0021384A"/>
    <w:rsid w:val="0021588E"/>
    <w:rsid w:val="00216C60"/>
    <w:rsid w:val="00217121"/>
    <w:rsid w:val="002174DC"/>
    <w:rsid w:val="002205A0"/>
    <w:rsid w:val="002210FC"/>
    <w:rsid w:val="00222277"/>
    <w:rsid w:val="00222A07"/>
    <w:rsid w:val="00223F84"/>
    <w:rsid w:val="0022428F"/>
    <w:rsid w:val="002261CE"/>
    <w:rsid w:val="00226820"/>
    <w:rsid w:val="0022698C"/>
    <w:rsid w:val="00226C19"/>
    <w:rsid w:val="00231DE0"/>
    <w:rsid w:val="00231E33"/>
    <w:rsid w:val="00231FFD"/>
    <w:rsid w:val="0023250A"/>
    <w:rsid w:val="00232741"/>
    <w:rsid w:val="00234AEF"/>
    <w:rsid w:val="00235A63"/>
    <w:rsid w:val="00236E52"/>
    <w:rsid w:val="00241AC8"/>
    <w:rsid w:val="00241B0F"/>
    <w:rsid w:val="00242141"/>
    <w:rsid w:val="002431F5"/>
    <w:rsid w:val="00243DD1"/>
    <w:rsid w:val="002446B8"/>
    <w:rsid w:val="002450C9"/>
    <w:rsid w:val="002456E4"/>
    <w:rsid w:val="00246690"/>
    <w:rsid w:val="00246FA7"/>
    <w:rsid w:val="00251093"/>
    <w:rsid w:val="00252335"/>
    <w:rsid w:val="0025270E"/>
    <w:rsid w:val="00252F87"/>
    <w:rsid w:val="00252FA3"/>
    <w:rsid w:val="00253225"/>
    <w:rsid w:val="002533F5"/>
    <w:rsid w:val="00254A75"/>
    <w:rsid w:val="002557E1"/>
    <w:rsid w:val="00255921"/>
    <w:rsid w:val="0026052D"/>
    <w:rsid w:val="002606E3"/>
    <w:rsid w:val="00261459"/>
    <w:rsid w:val="00262218"/>
    <w:rsid w:val="002633A0"/>
    <w:rsid w:val="0026399F"/>
    <w:rsid w:val="0026464D"/>
    <w:rsid w:val="002670C2"/>
    <w:rsid w:val="00270671"/>
    <w:rsid w:val="00271480"/>
    <w:rsid w:val="00271C74"/>
    <w:rsid w:val="00271D0D"/>
    <w:rsid w:val="002720AE"/>
    <w:rsid w:val="00273345"/>
    <w:rsid w:val="002735B0"/>
    <w:rsid w:val="00273D05"/>
    <w:rsid w:val="0027553A"/>
    <w:rsid w:val="00275B9E"/>
    <w:rsid w:val="0027608C"/>
    <w:rsid w:val="00277F59"/>
    <w:rsid w:val="002813F1"/>
    <w:rsid w:val="0028208F"/>
    <w:rsid w:val="0028218B"/>
    <w:rsid w:val="0028232E"/>
    <w:rsid w:val="00284220"/>
    <w:rsid w:val="0028590E"/>
    <w:rsid w:val="00291472"/>
    <w:rsid w:val="00291C8F"/>
    <w:rsid w:val="00293674"/>
    <w:rsid w:val="00293934"/>
    <w:rsid w:val="00293A68"/>
    <w:rsid w:val="00293BA8"/>
    <w:rsid w:val="00293C18"/>
    <w:rsid w:val="0029484B"/>
    <w:rsid w:val="002949DE"/>
    <w:rsid w:val="00294D11"/>
    <w:rsid w:val="00294F11"/>
    <w:rsid w:val="002956D5"/>
    <w:rsid w:val="00296208"/>
    <w:rsid w:val="00296676"/>
    <w:rsid w:val="00296BDF"/>
    <w:rsid w:val="00297202"/>
    <w:rsid w:val="00297D3D"/>
    <w:rsid w:val="00297E88"/>
    <w:rsid w:val="002A2BAC"/>
    <w:rsid w:val="002A3654"/>
    <w:rsid w:val="002A4485"/>
    <w:rsid w:val="002A5095"/>
    <w:rsid w:val="002A5398"/>
    <w:rsid w:val="002A6C69"/>
    <w:rsid w:val="002A6E1C"/>
    <w:rsid w:val="002B04E4"/>
    <w:rsid w:val="002B0A50"/>
    <w:rsid w:val="002B17C0"/>
    <w:rsid w:val="002B1928"/>
    <w:rsid w:val="002B4B20"/>
    <w:rsid w:val="002B4D27"/>
    <w:rsid w:val="002B4E89"/>
    <w:rsid w:val="002B4F0C"/>
    <w:rsid w:val="002B5686"/>
    <w:rsid w:val="002C037F"/>
    <w:rsid w:val="002C0490"/>
    <w:rsid w:val="002C07C5"/>
    <w:rsid w:val="002C0F4A"/>
    <w:rsid w:val="002C1A0F"/>
    <w:rsid w:val="002C295F"/>
    <w:rsid w:val="002C31AD"/>
    <w:rsid w:val="002C500E"/>
    <w:rsid w:val="002C53AB"/>
    <w:rsid w:val="002C549E"/>
    <w:rsid w:val="002C578A"/>
    <w:rsid w:val="002C5800"/>
    <w:rsid w:val="002C5A29"/>
    <w:rsid w:val="002C6A11"/>
    <w:rsid w:val="002D05EF"/>
    <w:rsid w:val="002D065E"/>
    <w:rsid w:val="002D3053"/>
    <w:rsid w:val="002D3E19"/>
    <w:rsid w:val="002D4EC6"/>
    <w:rsid w:val="002D519A"/>
    <w:rsid w:val="002D559D"/>
    <w:rsid w:val="002D69A3"/>
    <w:rsid w:val="002D6B03"/>
    <w:rsid w:val="002D6F91"/>
    <w:rsid w:val="002D757E"/>
    <w:rsid w:val="002D77DE"/>
    <w:rsid w:val="002D7D52"/>
    <w:rsid w:val="002E14D9"/>
    <w:rsid w:val="002E170B"/>
    <w:rsid w:val="002E2A63"/>
    <w:rsid w:val="002E2AEA"/>
    <w:rsid w:val="002E365A"/>
    <w:rsid w:val="002E38DB"/>
    <w:rsid w:val="002E401C"/>
    <w:rsid w:val="002E4239"/>
    <w:rsid w:val="002E4864"/>
    <w:rsid w:val="002E4C49"/>
    <w:rsid w:val="002E5751"/>
    <w:rsid w:val="002E5E34"/>
    <w:rsid w:val="002E7180"/>
    <w:rsid w:val="002E7915"/>
    <w:rsid w:val="002F00C3"/>
    <w:rsid w:val="002F083A"/>
    <w:rsid w:val="002F0ADF"/>
    <w:rsid w:val="002F0DCB"/>
    <w:rsid w:val="002F0F54"/>
    <w:rsid w:val="002F141B"/>
    <w:rsid w:val="002F1B87"/>
    <w:rsid w:val="002F1D57"/>
    <w:rsid w:val="002F2D5C"/>
    <w:rsid w:val="002F32FD"/>
    <w:rsid w:val="002F3F61"/>
    <w:rsid w:val="002F4022"/>
    <w:rsid w:val="002F69A9"/>
    <w:rsid w:val="002F72F4"/>
    <w:rsid w:val="002F7B6D"/>
    <w:rsid w:val="002F7F99"/>
    <w:rsid w:val="003006DF"/>
    <w:rsid w:val="003008BC"/>
    <w:rsid w:val="0030108A"/>
    <w:rsid w:val="00301A58"/>
    <w:rsid w:val="00303A89"/>
    <w:rsid w:val="00303E35"/>
    <w:rsid w:val="00303E51"/>
    <w:rsid w:val="0030402A"/>
    <w:rsid w:val="003047EF"/>
    <w:rsid w:val="0030599D"/>
    <w:rsid w:val="00305AE6"/>
    <w:rsid w:val="00305B0F"/>
    <w:rsid w:val="00306AEE"/>
    <w:rsid w:val="003118E7"/>
    <w:rsid w:val="0031315B"/>
    <w:rsid w:val="0031385F"/>
    <w:rsid w:val="003143A0"/>
    <w:rsid w:val="00315AA0"/>
    <w:rsid w:val="003160AD"/>
    <w:rsid w:val="003164E0"/>
    <w:rsid w:val="003173F8"/>
    <w:rsid w:val="003205EC"/>
    <w:rsid w:val="0032084F"/>
    <w:rsid w:val="003227B8"/>
    <w:rsid w:val="003241C9"/>
    <w:rsid w:val="00324699"/>
    <w:rsid w:val="003253CA"/>
    <w:rsid w:val="003271D9"/>
    <w:rsid w:val="00330241"/>
    <w:rsid w:val="003314CE"/>
    <w:rsid w:val="00331FB7"/>
    <w:rsid w:val="00332477"/>
    <w:rsid w:val="00332728"/>
    <w:rsid w:val="00333353"/>
    <w:rsid w:val="00334C34"/>
    <w:rsid w:val="0033531F"/>
    <w:rsid w:val="00335D48"/>
    <w:rsid w:val="00335E31"/>
    <w:rsid w:val="00335E4D"/>
    <w:rsid w:val="003362AF"/>
    <w:rsid w:val="0033682B"/>
    <w:rsid w:val="003378C4"/>
    <w:rsid w:val="0033798E"/>
    <w:rsid w:val="00340640"/>
    <w:rsid w:val="00340995"/>
    <w:rsid w:val="003420DA"/>
    <w:rsid w:val="003429A1"/>
    <w:rsid w:val="00342CB1"/>
    <w:rsid w:val="00343981"/>
    <w:rsid w:val="00343A29"/>
    <w:rsid w:val="00346179"/>
    <w:rsid w:val="003462D8"/>
    <w:rsid w:val="003477A9"/>
    <w:rsid w:val="00350C50"/>
    <w:rsid w:val="00350CB5"/>
    <w:rsid w:val="00351317"/>
    <w:rsid w:val="00351918"/>
    <w:rsid w:val="00352255"/>
    <w:rsid w:val="003536F7"/>
    <w:rsid w:val="00353913"/>
    <w:rsid w:val="00353A89"/>
    <w:rsid w:val="0035464F"/>
    <w:rsid w:val="0035525D"/>
    <w:rsid w:val="003558A5"/>
    <w:rsid w:val="0035658E"/>
    <w:rsid w:val="00356746"/>
    <w:rsid w:val="0035772B"/>
    <w:rsid w:val="00357F97"/>
    <w:rsid w:val="00360559"/>
    <w:rsid w:val="003609BC"/>
    <w:rsid w:val="00360F19"/>
    <w:rsid w:val="00361918"/>
    <w:rsid w:val="00361AA7"/>
    <w:rsid w:val="003626B1"/>
    <w:rsid w:val="00363AD7"/>
    <w:rsid w:val="00363CD6"/>
    <w:rsid w:val="00365DAC"/>
    <w:rsid w:val="00366E20"/>
    <w:rsid w:val="00371FC8"/>
    <w:rsid w:val="0037253E"/>
    <w:rsid w:val="0037302C"/>
    <w:rsid w:val="00373D83"/>
    <w:rsid w:val="00373D8A"/>
    <w:rsid w:val="0037609D"/>
    <w:rsid w:val="0037668D"/>
    <w:rsid w:val="00381E18"/>
    <w:rsid w:val="003830F2"/>
    <w:rsid w:val="00383958"/>
    <w:rsid w:val="00385723"/>
    <w:rsid w:val="0038586F"/>
    <w:rsid w:val="0038589E"/>
    <w:rsid w:val="00385FC8"/>
    <w:rsid w:val="00386AAB"/>
    <w:rsid w:val="00386D20"/>
    <w:rsid w:val="0039225E"/>
    <w:rsid w:val="00394028"/>
    <w:rsid w:val="003945E2"/>
    <w:rsid w:val="00394CDA"/>
    <w:rsid w:val="0039576C"/>
    <w:rsid w:val="00397071"/>
    <w:rsid w:val="003A05FD"/>
    <w:rsid w:val="003A2AA6"/>
    <w:rsid w:val="003A3CA6"/>
    <w:rsid w:val="003A4381"/>
    <w:rsid w:val="003A46AC"/>
    <w:rsid w:val="003A4808"/>
    <w:rsid w:val="003A4EA7"/>
    <w:rsid w:val="003A58CF"/>
    <w:rsid w:val="003A765B"/>
    <w:rsid w:val="003B0F9F"/>
    <w:rsid w:val="003B1157"/>
    <w:rsid w:val="003B159E"/>
    <w:rsid w:val="003B1AE3"/>
    <w:rsid w:val="003B1D72"/>
    <w:rsid w:val="003B2BDB"/>
    <w:rsid w:val="003B5653"/>
    <w:rsid w:val="003B7AAC"/>
    <w:rsid w:val="003C2226"/>
    <w:rsid w:val="003C2CF0"/>
    <w:rsid w:val="003C2D21"/>
    <w:rsid w:val="003C371C"/>
    <w:rsid w:val="003C3B33"/>
    <w:rsid w:val="003C433F"/>
    <w:rsid w:val="003C5295"/>
    <w:rsid w:val="003C52C7"/>
    <w:rsid w:val="003C64C6"/>
    <w:rsid w:val="003C7BC7"/>
    <w:rsid w:val="003D0187"/>
    <w:rsid w:val="003D10DA"/>
    <w:rsid w:val="003D2E63"/>
    <w:rsid w:val="003D390F"/>
    <w:rsid w:val="003D3FCF"/>
    <w:rsid w:val="003D456D"/>
    <w:rsid w:val="003D4BB8"/>
    <w:rsid w:val="003D5B13"/>
    <w:rsid w:val="003D6AC9"/>
    <w:rsid w:val="003D6F6A"/>
    <w:rsid w:val="003D77EB"/>
    <w:rsid w:val="003E0F92"/>
    <w:rsid w:val="003E15A5"/>
    <w:rsid w:val="003E1FFA"/>
    <w:rsid w:val="003E2797"/>
    <w:rsid w:val="003E2F89"/>
    <w:rsid w:val="003E367A"/>
    <w:rsid w:val="003E4BB9"/>
    <w:rsid w:val="003E4FC4"/>
    <w:rsid w:val="003E60B1"/>
    <w:rsid w:val="003E62F4"/>
    <w:rsid w:val="003E6C70"/>
    <w:rsid w:val="003E6DCA"/>
    <w:rsid w:val="003F1CF4"/>
    <w:rsid w:val="003F2638"/>
    <w:rsid w:val="003F3075"/>
    <w:rsid w:val="003F3171"/>
    <w:rsid w:val="003F35EB"/>
    <w:rsid w:val="003F4AD8"/>
    <w:rsid w:val="003F60CE"/>
    <w:rsid w:val="003F6487"/>
    <w:rsid w:val="003F751B"/>
    <w:rsid w:val="003F7A47"/>
    <w:rsid w:val="00400956"/>
    <w:rsid w:val="004011A8"/>
    <w:rsid w:val="004017AC"/>
    <w:rsid w:val="00401ACB"/>
    <w:rsid w:val="00402AC6"/>
    <w:rsid w:val="0040369B"/>
    <w:rsid w:val="00403C8A"/>
    <w:rsid w:val="00403D4D"/>
    <w:rsid w:val="00407298"/>
    <w:rsid w:val="00410109"/>
    <w:rsid w:val="00410132"/>
    <w:rsid w:val="00411426"/>
    <w:rsid w:val="004122E8"/>
    <w:rsid w:val="0041269C"/>
    <w:rsid w:val="0041378F"/>
    <w:rsid w:val="0041380B"/>
    <w:rsid w:val="00414C2C"/>
    <w:rsid w:val="0041561A"/>
    <w:rsid w:val="004157EA"/>
    <w:rsid w:val="00416D32"/>
    <w:rsid w:val="004203AC"/>
    <w:rsid w:val="004207C0"/>
    <w:rsid w:val="004210FB"/>
    <w:rsid w:val="00422B46"/>
    <w:rsid w:val="00422F8C"/>
    <w:rsid w:val="00423A60"/>
    <w:rsid w:val="00424826"/>
    <w:rsid w:val="004251A1"/>
    <w:rsid w:val="0042550B"/>
    <w:rsid w:val="00425552"/>
    <w:rsid w:val="00426F96"/>
    <w:rsid w:val="00427665"/>
    <w:rsid w:val="00427CE2"/>
    <w:rsid w:val="00430B8E"/>
    <w:rsid w:val="00431663"/>
    <w:rsid w:val="00431888"/>
    <w:rsid w:val="00431E0D"/>
    <w:rsid w:val="004322C5"/>
    <w:rsid w:val="00433C08"/>
    <w:rsid w:val="00435715"/>
    <w:rsid w:val="00435896"/>
    <w:rsid w:val="0043715C"/>
    <w:rsid w:val="0044020B"/>
    <w:rsid w:val="00440239"/>
    <w:rsid w:val="00440BB8"/>
    <w:rsid w:val="00441543"/>
    <w:rsid w:val="00441995"/>
    <w:rsid w:val="00441A6F"/>
    <w:rsid w:val="00444224"/>
    <w:rsid w:val="0044478C"/>
    <w:rsid w:val="0044492F"/>
    <w:rsid w:val="004455C0"/>
    <w:rsid w:val="00445E12"/>
    <w:rsid w:val="00446C00"/>
    <w:rsid w:val="00446ED3"/>
    <w:rsid w:val="00447225"/>
    <w:rsid w:val="0045014F"/>
    <w:rsid w:val="00451133"/>
    <w:rsid w:val="00451308"/>
    <w:rsid w:val="00451A16"/>
    <w:rsid w:val="00453159"/>
    <w:rsid w:val="004552BF"/>
    <w:rsid w:val="00456B09"/>
    <w:rsid w:val="00456C31"/>
    <w:rsid w:val="00456FD5"/>
    <w:rsid w:val="0045721C"/>
    <w:rsid w:val="004572EC"/>
    <w:rsid w:val="00457532"/>
    <w:rsid w:val="004608B8"/>
    <w:rsid w:val="004611CE"/>
    <w:rsid w:val="00462A39"/>
    <w:rsid w:val="004643C3"/>
    <w:rsid w:val="00464597"/>
    <w:rsid w:val="0046471B"/>
    <w:rsid w:val="00465D09"/>
    <w:rsid w:val="004660CF"/>
    <w:rsid w:val="00467314"/>
    <w:rsid w:val="00467759"/>
    <w:rsid w:val="0046782C"/>
    <w:rsid w:val="00467D16"/>
    <w:rsid w:val="0047040F"/>
    <w:rsid w:val="004709CB"/>
    <w:rsid w:val="00471E7C"/>
    <w:rsid w:val="00471F54"/>
    <w:rsid w:val="00472047"/>
    <w:rsid w:val="00474BE1"/>
    <w:rsid w:val="00475C90"/>
    <w:rsid w:val="00476EF8"/>
    <w:rsid w:val="004770C5"/>
    <w:rsid w:val="004775C3"/>
    <w:rsid w:val="00481211"/>
    <w:rsid w:val="0048197D"/>
    <w:rsid w:val="004821AD"/>
    <w:rsid w:val="004823C5"/>
    <w:rsid w:val="004839F4"/>
    <w:rsid w:val="0048477F"/>
    <w:rsid w:val="00484CFB"/>
    <w:rsid w:val="0048529D"/>
    <w:rsid w:val="00485477"/>
    <w:rsid w:val="0049291C"/>
    <w:rsid w:val="00493E63"/>
    <w:rsid w:val="00493F2E"/>
    <w:rsid w:val="00495029"/>
    <w:rsid w:val="00495A21"/>
    <w:rsid w:val="00495A75"/>
    <w:rsid w:val="00495F6C"/>
    <w:rsid w:val="00495F72"/>
    <w:rsid w:val="004965A4"/>
    <w:rsid w:val="00497341"/>
    <w:rsid w:val="004A0587"/>
    <w:rsid w:val="004A14EE"/>
    <w:rsid w:val="004A323F"/>
    <w:rsid w:val="004A36FA"/>
    <w:rsid w:val="004A381A"/>
    <w:rsid w:val="004A399D"/>
    <w:rsid w:val="004A3B2A"/>
    <w:rsid w:val="004A3B78"/>
    <w:rsid w:val="004A6439"/>
    <w:rsid w:val="004B0EBF"/>
    <w:rsid w:val="004B2BD7"/>
    <w:rsid w:val="004B4D3F"/>
    <w:rsid w:val="004B5AAA"/>
    <w:rsid w:val="004B5AB5"/>
    <w:rsid w:val="004B63A0"/>
    <w:rsid w:val="004B6B8B"/>
    <w:rsid w:val="004B6C41"/>
    <w:rsid w:val="004C133C"/>
    <w:rsid w:val="004C2FB3"/>
    <w:rsid w:val="004C3752"/>
    <w:rsid w:val="004C3F2E"/>
    <w:rsid w:val="004C563F"/>
    <w:rsid w:val="004C59FA"/>
    <w:rsid w:val="004C7D91"/>
    <w:rsid w:val="004D04AE"/>
    <w:rsid w:val="004D0C75"/>
    <w:rsid w:val="004D1976"/>
    <w:rsid w:val="004D20C6"/>
    <w:rsid w:val="004D3F98"/>
    <w:rsid w:val="004D45BC"/>
    <w:rsid w:val="004D4C36"/>
    <w:rsid w:val="004D5B3A"/>
    <w:rsid w:val="004D70EC"/>
    <w:rsid w:val="004D7940"/>
    <w:rsid w:val="004E011F"/>
    <w:rsid w:val="004E09CA"/>
    <w:rsid w:val="004E0E6E"/>
    <w:rsid w:val="004E1FBC"/>
    <w:rsid w:val="004E2295"/>
    <w:rsid w:val="004E29F5"/>
    <w:rsid w:val="004E2FFF"/>
    <w:rsid w:val="004E3865"/>
    <w:rsid w:val="004E39B3"/>
    <w:rsid w:val="004E40B6"/>
    <w:rsid w:val="004E4215"/>
    <w:rsid w:val="004E4439"/>
    <w:rsid w:val="004E4787"/>
    <w:rsid w:val="004E5F8E"/>
    <w:rsid w:val="004E61F6"/>
    <w:rsid w:val="004E69EB"/>
    <w:rsid w:val="004F00AD"/>
    <w:rsid w:val="004F05D1"/>
    <w:rsid w:val="004F107C"/>
    <w:rsid w:val="004F2995"/>
    <w:rsid w:val="004F345D"/>
    <w:rsid w:val="004F49E6"/>
    <w:rsid w:val="004F4D77"/>
    <w:rsid w:val="004F4F7B"/>
    <w:rsid w:val="004F6011"/>
    <w:rsid w:val="004F7510"/>
    <w:rsid w:val="004F7DA2"/>
    <w:rsid w:val="00503313"/>
    <w:rsid w:val="00503AE9"/>
    <w:rsid w:val="00503F67"/>
    <w:rsid w:val="0050455D"/>
    <w:rsid w:val="00506FE6"/>
    <w:rsid w:val="0050719A"/>
    <w:rsid w:val="00507616"/>
    <w:rsid w:val="00507861"/>
    <w:rsid w:val="00507EB0"/>
    <w:rsid w:val="005100EB"/>
    <w:rsid w:val="00511422"/>
    <w:rsid w:val="00511424"/>
    <w:rsid w:val="005121AC"/>
    <w:rsid w:val="00512CF1"/>
    <w:rsid w:val="00513AAC"/>
    <w:rsid w:val="005149B5"/>
    <w:rsid w:val="00515184"/>
    <w:rsid w:val="00515B5F"/>
    <w:rsid w:val="00516634"/>
    <w:rsid w:val="00517897"/>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0CC"/>
    <w:rsid w:val="005275EE"/>
    <w:rsid w:val="005305E9"/>
    <w:rsid w:val="00530D63"/>
    <w:rsid w:val="005310A1"/>
    <w:rsid w:val="00531584"/>
    <w:rsid w:val="005328BE"/>
    <w:rsid w:val="00533963"/>
    <w:rsid w:val="00535675"/>
    <w:rsid w:val="005362B4"/>
    <w:rsid w:val="00536414"/>
    <w:rsid w:val="0053668C"/>
    <w:rsid w:val="0053694B"/>
    <w:rsid w:val="00536D52"/>
    <w:rsid w:val="00536E0D"/>
    <w:rsid w:val="00537741"/>
    <w:rsid w:val="005377A3"/>
    <w:rsid w:val="005378CA"/>
    <w:rsid w:val="005400C4"/>
    <w:rsid w:val="005409CF"/>
    <w:rsid w:val="00541CE7"/>
    <w:rsid w:val="00541FD9"/>
    <w:rsid w:val="00542AB9"/>
    <w:rsid w:val="005435BC"/>
    <w:rsid w:val="00544DF4"/>
    <w:rsid w:val="005457D1"/>
    <w:rsid w:val="005460F2"/>
    <w:rsid w:val="00547765"/>
    <w:rsid w:val="00550483"/>
    <w:rsid w:val="00551516"/>
    <w:rsid w:val="00552989"/>
    <w:rsid w:val="00552C0A"/>
    <w:rsid w:val="00553AEB"/>
    <w:rsid w:val="005554C6"/>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3155"/>
    <w:rsid w:val="00574472"/>
    <w:rsid w:val="00574ED0"/>
    <w:rsid w:val="005753F3"/>
    <w:rsid w:val="005755A3"/>
    <w:rsid w:val="0057561D"/>
    <w:rsid w:val="00575945"/>
    <w:rsid w:val="00575AB6"/>
    <w:rsid w:val="005764F4"/>
    <w:rsid w:val="00576FC9"/>
    <w:rsid w:val="00580E0A"/>
    <w:rsid w:val="00581405"/>
    <w:rsid w:val="005819D4"/>
    <w:rsid w:val="00581AEF"/>
    <w:rsid w:val="00581CB4"/>
    <w:rsid w:val="00582496"/>
    <w:rsid w:val="005833D6"/>
    <w:rsid w:val="00584A5A"/>
    <w:rsid w:val="00584CAC"/>
    <w:rsid w:val="00585A28"/>
    <w:rsid w:val="00585D52"/>
    <w:rsid w:val="00586DEE"/>
    <w:rsid w:val="00586EE1"/>
    <w:rsid w:val="0058777C"/>
    <w:rsid w:val="005877CB"/>
    <w:rsid w:val="00587EAC"/>
    <w:rsid w:val="00590110"/>
    <w:rsid w:val="00590950"/>
    <w:rsid w:val="00590C18"/>
    <w:rsid w:val="005946EA"/>
    <w:rsid w:val="00595260"/>
    <w:rsid w:val="00596115"/>
    <w:rsid w:val="00596A3E"/>
    <w:rsid w:val="00596A99"/>
    <w:rsid w:val="005A118A"/>
    <w:rsid w:val="005A31F8"/>
    <w:rsid w:val="005A39C3"/>
    <w:rsid w:val="005A47F6"/>
    <w:rsid w:val="005A4EEC"/>
    <w:rsid w:val="005A58A8"/>
    <w:rsid w:val="005A789A"/>
    <w:rsid w:val="005A7ABE"/>
    <w:rsid w:val="005B0F14"/>
    <w:rsid w:val="005B144F"/>
    <w:rsid w:val="005B1D85"/>
    <w:rsid w:val="005B1DB7"/>
    <w:rsid w:val="005B20C8"/>
    <w:rsid w:val="005B21C9"/>
    <w:rsid w:val="005B24DE"/>
    <w:rsid w:val="005B6D30"/>
    <w:rsid w:val="005B6ED7"/>
    <w:rsid w:val="005C009D"/>
    <w:rsid w:val="005C0947"/>
    <w:rsid w:val="005C1B6A"/>
    <w:rsid w:val="005C1B7F"/>
    <w:rsid w:val="005C2001"/>
    <w:rsid w:val="005C354E"/>
    <w:rsid w:val="005C4415"/>
    <w:rsid w:val="005C5025"/>
    <w:rsid w:val="005C545F"/>
    <w:rsid w:val="005C60C4"/>
    <w:rsid w:val="005C6B66"/>
    <w:rsid w:val="005C703E"/>
    <w:rsid w:val="005C7D47"/>
    <w:rsid w:val="005D0173"/>
    <w:rsid w:val="005D0C5F"/>
    <w:rsid w:val="005D0EAE"/>
    <w:rsid w:val="005D0FAF"/>
    <w:rsid w:val="005D14A3"/>
    <w:rsid w:val="005D2893"/>
    <w:rsid w:val="005D2F99"/>
    <w:rsid w:val="005D332E"/>
    <w:rsid w:val="005D3D47"/>
    <w:rsid w:val="005D4F2A"/>
    <w:rsid w:val="005D51F2"/>
    <w:rsid w:val="005D5503"/>
    <w:rsid w:val="005D5B74"/>
    <w:rsid w:val="005D5BDF"/>
    <w:rsid w:val="005D6173"/>
    <w:rsid w:val="005D672E"/>
    <w:rsid w:val="005D723C"/>
    <w:rsid w:val="005E0771"/>
    <w:rsid w:val="005E11C3"/>
    <w:rsid w:val="005E1768"/>
    <w:rsid w:val="005E453A"/>
    <w:rsid w:val="005E485D"/>
    <w:rsid w:val="005E4F1A"/>
    <w:rsid w:val="005E57CE"/>
    <w:rsid w:val="005F014F"/>
    <w:rsid w:val="005F3CCB"/>
    <w:rsid w:val="005F523B"/>
    <w:rsid w:val="005F5AAC"/>
    <w:rsid w:val="005F705E"/>
    <w:rsid w:val="005F709C"/>
    <w:rsid w:val="005F7616"/>
    <w:rsid w:val="005F7BA7"/>
    <w:rsid w:val="00601BA9"/>
    <w:rsid w:val="00602103"/>
    <w:rsid w:val="00603100"/>
    <w:rsid w:val="00603D56"/>
    <w:rsid w:val="0060421F"/>
    <w:rsid w:val="006045E1"/>
    <w:rsid w:val="00604EB8"/>
    <w:rsid w:val="00604F4E"/>
    <w:rsid w:val="006051A9"/>
    <w:rsid w:val="00605288"/>
    <w:rsid w:val="006058FA"/>
    <w:rsid w:val="00605AB4"/>
    <w:rsid w:val="00605F14"/>
    <w:rsid w:val="0060688A"/>
    <w:rsid w:val="006102AE"/>
    <w:rsid w:val="00610606"/>
    <w:rsid w:val="0061060C"/>
    <w:rsid w:val="006108E2"/>
    <w:rsid w:val="00611DF3"/>
    <w:rsid w:val="00611E66"/>
    <w:rsid w:val="0061448F"/>
    <w:rsid w:val="00614579"/>
    <w:rsid w:val="00614E25"/>
    <w:rsid w:val="006163F6"/>
    <w:rsid w:val="00616B03"/>
    <w:rsid w:val="00617458"/>
    <w:rsid w:val="00621FDD"/>
    <w:rsid w:val="00622849"/>
    <w:rsid w:val="006236FF"/>
    <w:rsid w:val="006242BA"/>
    <w:rsid w:val="00624D41"/>
    <w:rsid w:val="00627755"/>
    <w:rsid w:val="0063188E"/>
    <w:rsid w:val="00631A23"/>
    <w:rsid w:val="0063251B"/>
    <w:rsid w:val="0063276A"/>
    <w:rsid w:val="00632F7E"/>
    <w:rsid w:val="00634A4F"/>
    <w:rsid w:val="0063567D"/>
    <w:rsid w:val="00635D2A"/>
    <w:rsid w:val="00635ECC"/>
    <w:rsid w:val="006369AF"/>
    <w:rsid w:val="0063795E"/>
    <w:rsid w:val="00640320"/>
    <w:rsid w:val="00640B7A"/>
    <w:rsid w:val="0064110E"/>
    <w:rsid w:val="00641F5B"/>
    <w:rsid w:val="00643260"/>
    <w:rsid w:val="006444E9"/>
    <w:rsid w:val="00644A90"/>
    <w:rsid w:val="00645340"/>
    <w:rsid w:val="0064587E"/>
    <w:rsid w:val="00645BF2"/>
    <w:rsid w:val="00645BF5"/>
    <w:rsid w:val="006468BD"/>
    <w:rsid w:val="0064762B"/>
    <w:rsid w:val="00647769"/>
    <w:rsid w:val="00650C4F"/>
    <w:rsid w:val="006513DC"/>
    <w:rsid w:val="006519F4"/>
    <w:rsid w:val="00653108"/>
    <w:rsid w:val="0065376C"/>
    <w:rsid w:val="00653BF7"/>
    <w:rsid w:val="00654814"/>
    <w:rsid w:val="00654FCA"/>
    <w:rsid w:val="00654FD3"/>
    <w:rsid w:val="006553F8"/>
    <w:rsid w:val="0065594B"/>
    <w:rsid w:val="00655D4E"/>
    <w:rsid w:val="00655F29"/>
    <w:rsid w:val="0065774E"/>
    <w:rsid w:val="00657BFD"/>
    <w:rsid w:val="00657FCA"/>
    <w:rsid w:val="006601CD"/>
    <w:rsid w:val="00660643"/>
    <w:rsid w:val="00660791"/>
    <w:rsid w:val="00661660"/>
    <w:rsid w:val="00661798"/>
    <w:rsid w:val="006638B4"/>
    <w:rsid w:val="00663F5D"/>
    <w:rsid w:val="006655A6"/>
    <w:rsid w:val="0066565D"/>
    <w:rsid w:val="0066716C"/>
    <w:rsid w:val="00667623"/>
    <w:rsid w:val="00667822"/>
    <w:rsid w:val="00667E5B"/>
    <w:rsid w:val="00670C3C"/>
    <w:rsid w:val="00670EE1"/>
    <w:rsid w:val="006719BE"/>
    <w:rsid w:val="006737B3"/>
    <w:rsid w:val="00674FFA"/>
    <w:rsid w:val="00675A62"/>
    <w:rsid w:val="00675C9C"/>
    <w:rsid w:val="00676EB5"/>
    <w:rsid w:val="00676ED7"/>
    <w:rsid w:val="0067707E"/>
    <w:rsid w:val="00677369"/>
    <w:rsid w:val="006774FD"/>
    <w:rsid w:val="00677FD1"/>
    <w:rsid w:val="00680D60"/>
    <w:rsid w:val="00681EEE"/>
    <w:rsid w:val="006820DF"/>
    <w:rsid w:val="006821DD"/>
    <w:rsid w:val="00682471"/>
    <w:rsid w:val="00682FEA"/>
    <w:rsid w:val="0068303E"/>
    <w:rsid w:val="006844D2"/>
    <w:rsid w:val="00685426"/>
    <w:rsid w:val="006854DE"/>
    <w:rsid w:val="006868CC"/>
    <w:rsid w:val="00687114"/>
    <w:rsid w:val="0068715D"/>
    <w:rsid w:val="0069039B"/>
    <w:rsid w:val="00691189"/>
    <w:rsid w:val="00691767"/>
    <w:rsid w:val="0069216B"/>
    <w:rsid w:val="006922B1"/>
    <w:rsid w:val="006926B8"/>
    <w:rsid w:val="00692D67"/>
    <w:rsid w:val="00693152"/>
    <w:rsid w:val="006935EA"/>
    <w:rsid w:val="00693FCD"/>
    <w:rsid w:val="006948AE"/>
    <w:rsid w:val="00694931"/>
    <w:rsid w:val="00694FE8"/>
    <w:rsid w:val="00695C44"/>
    <w:rsid w:val="00696053"/>
    <w:rsid w:val="0069642C"/>
    <w:rsid w:val="00696B6E"/>
    <w:rsid w:val="00696D3F"/>
    <w:rsid w:val="00696F85"/>
    <w:rsid w:val="00697596"/>
    <w:rsid w:val="00697FD9"/>
    <w:rsid w:val="006A0AC5"/>
    <w:rsid w:val="006A0EA1"/>
    <w:rsid w:val="006A2687"/>
    <w:rsid w:val="006A271D"/>
    <w:rsid w:val="006A2FF2"/>
    <w:rsid w:val="006A50D1"/>
    <w:rsid w:val="006A54DB"/>
    <w:rsid w:val="006A55E9"/>
    <w:rsid w:val="006A56F7"/>
    <w:rsid w:val="006A5BE3"/>
    <w:rsid w:val="006A5BEC"/>
    <w:rsid w:val="006A615F"/>
    <w:rsid w:val="006A632B"/>
    <w:rsid w:val="006A64A4"/>
    <w:rsid w:val="006A6595"/>
    <w:rsid w:val="006A6963"/>
    <w:rsid w:val="006A78C0"/>
    <w:rsid w:val="006B02E0"/>
    <w:rsid w:val="006B05A5"/>
    <w:rsid w:val="006B0700"/>
    <w:rsid w:val="006B1D56"/>
    <w:rsid w:val="006B236D"/>
    <w:rsid w:val="006B3AEA"/>
    <w:rsid w:val="006B43A5"/>
    <w:rsid w:val="006B54F0"/>
    <w:rsid w:val="006B5B4D"/>
    <w:rsid w:val="006B63C3"/>
    <w:rsid w:val="006B665C"/>
    <w:rsid w:val="006B7D8A"/>
    <w:rsid w:val="006C13AA"/>
    <w:rsid w:val="006C18F4"/>
    <w:rsid w:val="006C1906"/>
    <w:rsid w:val="006C1E0B"/>
    <w:rsid w:val="006C24EE"/>
    <w:rsid w:val="006C274D"/>
    <w:rsid w:val="006C309A"/>
    <w:rsid w:val="006C328A"/>
    <w:rsid w:val="006C3B47"/>
    <w:rsid w:val="006C40EE"/>
    <w:rsid w:val="006C4AF7"/>
    <w:rsid w:val="006C4D56"/>
    <w:rsid w:val="006C5D27"/>
    <w:rsid w:val="006C68D1"/>
    <w:rsid w:val="006D02E3"/>
    <w:rsid w:val="006D030D"/>
    <w:rsid w:val="006D079F"/>
    <w:rsid w:val="006D15EC"/>
    <w:rsid w:val="006D2421"/>
    <w:rsid w:val="006D2D70"/>
    <w:rsid w:val="006D3E62"/>
    <w:rsid w:val="006D4897"/>
    <w:rsid w:val="006D4D6B"/>
    <w:rsid w:val="006D4DB6"/>
    <w:rsid w:val="006D6427"/>
    <w:rsid w:val="006D670E"/>
    <w:rsid w:val="006D6B2C"/>
    <w:rsid w:val="006D70A2"/>
    <w:rsid w:val="006D7C71"/>
    <w:rsid w:val="006E0720"/>
    <w:rsid w:val="006E0B66"/>
    <w:rsid w:val="006E1405"/>
    <w:rsid w:val="006E28DE"/>
    <w:rsid w:val="006E7898"/>
    <w:rsid w:val="006F076F"/>
    <w:rsid w:val="006F10E7"/>
    <w:rsid w:val="006F1449"/>
    <w:rsid w:val="006F19D9"/>
    <w:rsid w:val="006F3AD8"/>
    <w:rsid w:val="006F4083"/>
    <w:rsid w:val="006F498D"/>
    <w:rsid w:val="006F6DA8"/>
    <w:rsid w:val="00700761"/>
    <w:rsid w:val="00700987"/>
    <w:rsid w:val="00701E2A"/>
    <w:rsid w:val="00702337"/>
    <w:rsid w:val="00703A14"/>
    <w:rsid w:val="00704986"/>
    <w:rsid w:val="007056DC"/>
    <w:rsid w:val="00705B22"/>
    <w:rsid w:val="00706C80"/>
    <w:rsid w:val="00707737"/>
    <w:rsid w:val="00707973"/>
    <w:rsid w:val="0070798D"/>
    <w:rsid w:val="00707CAA"/>
    <w:rsid w:val="00710755"/>
    <w:rsid w:val="0071117F"/>
    <w:rsid w:val="00711BC8"/>
    <w:rsid w:val="007129BE"/>
    <w:rsid w:val="00713883"/>
    <w:rsid w:val="00713CD0"/>
    <w:rsid w:val="00713FC5"/>
    <w:rsid w:val="007140DE"/>
    <w:rsid w:val="00714320"/>
    <w:rsid w:val="007148BD"/>
    <w:rsid w:val="00714C7F"/>
    <w:rsid w:val="00715EF8"/>
    <w:rsid w:val="00717B0B"/>
    <w:rsid w:val="00717D23"/>
    <w:rsid w:val="00717DD2"/>
    <w:rsid w:val="0072034A"/>
    <w:rsid w:val="0072237A"/>
    <w:rsid w:val="00722386"/>
    <w:rsid w:val="00722910"/>
    <w:rsid w:val="0072299C"/>
    <w:rsid w:val="007240CC"/>
    <w:rsid w:val="00724616"/>
    <w:rsid w:val="00725D13"/>
    <w:rsid w:val="00726E09"/>
    <w:rsid w:val="00730AA8"/>
    <w:rsid w:val="00731A45"/>
    <w:rsid w:val="00732A53"/>
    <w:rsid w:val="00732F6C"/>
    <w:rsid w:val="00733AA8"/>
    <w:rsid w:val="00733D18"/>
    <w:rsid w:val="00734969"/>
    <w:rsid w:val="00735DC3"/>
    <w:rsid w:val="00736882"/>
    <w:rsid w:val="007368B7"/>
    <w:rsid w:val="00736AC0"/>
    <w:rsid w:val="00737FEF"/>
    <w:rsid w:val="00740063"/>
    <w:rsid w:val="00741660"/>
    <w:rsid w:val="007419D3"/>
    <w:rsid w:val="007449DD"/>
    <w:rsid w:val="00744A26"/>
    <w:rsid w:val="00744A32"/>
    <w:rsid w:val="00744E4E"/>
    <w:rsid w:val="00746332"/>
    <w:rsid w:val="007514C6"/>
    <w:rsid w:val="007515D2"/>
    <w:rsid w:val="00751F14"/>
    <w:rsid w:val="007524EB"/>
    <w:rsid w:val="0075265A"/>
    <w:rsid w:val="00752F21"/>
    <w:rsid w:val="0075312C"/>
    <w:rsid w:val="00757719"/>
    <w:rsid w:val="00757EDB"/>
    <w:rsid w:val="00760864"/>
    <w:rsid w:val="007617CA"/>
    <w:rsid w:val="00761A5B"/>
    <w:rsid w:val="00763E76"/>
    <w:rsid w:val="00763F8B"/>
    <w:rsid w:val="0076529C"/>
    <w:rsid w:val="0077128A"/>
    <w:rsid w:val="00772DD8"/>
    <w:rsid w:val="007739A1"/>
    <w:rsid w:val="00775E27"/>
    <w:rsid w:val="0077672D"/>
    <w:rsid w:val="007773F6"/>
    <w:rsid w:val="0077787E"/>
    <w:rsid w:val="00777A3F"/>
    <w:rsid w:val="00777B5F"/>
    <w:rsid w:val="0078036F"/>
    <w:rsid w:val="00780AD1"/>
    <w:rsid w:val="0078112D"/>
    <w:rsid w:val="00781259"/>
    <w:rsid w:val="00781D46"/>
    <w:rsid w:val="00783EE5"/>
    <w:rsid w:val="00784407"/>
    <w:rsid w:val="0078664D"/>
    <w:rsid w:val="00787D45"/>
    <w:rsid w:val="00787F4F"/>
    <w:rsid w:val="00791D12"/>
    <w:rsid w:val="00794662"/>
    <w:rsid w:val="00795074"/>
    <w:rsid w:val="00795450"/>
    <w:rsid w:val="007957E4"/>
    <w:rsid w:val="00795EF1"/>
    <w:rsid w:val="00797FC4"/>
    <w:rsid w:val="007A0B38"/>
    <w:rsid w:val="007A2311"/>
    <w:rsid w:val="007A2984"/>
    <w:rsid w:val="007A3276"/>
    <w:rsid w:val="007A5617"/>
    <w:rsid w:val="007A5DCE"/>
    <w:rsid w:val="007A60AB"/>
    <w:rsid w:val="007A7045"/>
    <w:rsid w:val="007A7651"/>
    <w:rsid w:val="007B09AE"/>
    <w:rsid w:val="007B208F"/>
    <w:rsid w:val="007B28A2"/>
    <w:rsid w:val="007B3331"/>
    <w:rsid w:val="007B3F76"/>
    <w:rsid w:val="007B4542"/>
    <w:rsid w:val="007B5C8F"/>
    <w:rsid w:val="007B6288"/>
    <w:rsid w:val="007B64E7"/>
    <w:rsid w:val="007B78D6"/>
    <w:rsid w:val="007B7A0F"/>
    <w:rsid w:val="007C07C5"/>
    <w:rsid w:val="007C1155"/>
    <w:rsid w:val="007C154C"/>
    <w:rsid w:val="007C26C3"/>
    <w:rsid w:val="007C2D87"/>
    <w:rsid w:val="007C3392"/>
    <w:rsid w:val="007C3936"/>
    <w:rsid w:val="007C40CA"/>
    <w:rsid w:val="007C64A2"/>
    <w:rsid w:val="007C772D"/>
    <w:rsid w:val="007D0AAE"/>
    <w:rsid w:val="007D2050"/>
    <w:rsid w:val="007D254F"/>
    <w:rsid w:val="007D3E65"/>
    <w:rsid w:val="007D40B4"/>
    <w:rsid w:val="007D5C62"/>
    <w:rsid w:val="007D5F31"/>
    <w:rsid w:val="007D6FDE"/>
    <w:rsid w:val="007D7AFC"/>
    <w:rsid w:val="007D7DAB"/>
    <w:rsid w:val="007E072D"/>
    <w:rsid w:val="007E1CBD"/>
    <w:rsid w:val="007E32F2"/>
    <w:rsid w:val="007E3627"/>
    <w:rsid w:val="007E4086"/>
    <w:rsid w:val="007E5EC6"/>
    <w:rsid w:val="007E7A2D"/>
    <w:rsid w:val="007F0440"/>
    <w:rsid w:val="007F07F6"/>
    <w:rsid w:val="007F126B"/>
    <w:rsid w:val="007F2615"/>
    <w:rsid w:val="007F2F93"/>
    <w:rsid w:val="007F2FEF"/>
    <w:rsid w:val="007F3CCF"/>
    <w:rsid w:val="007F46E9"/>
    <w:rsid w:val="007F4B5E"/>
    <w:rsid w:val="007F724C"/>
    <w:rsid w:val="007F7BD8"/>
    <w:rsid w:val="00801A12"/>
    <w:rsid w:val="00801EC0"/>
    <w:rsid w:val="00801FF9"/>
    <w:rsid w:val="00802565"/>
    <w:rsid w:val="00802D16"/>
    <w:rsid w:val="0080372F"/>
    <w:rsid w:val="008057DA"/>
    <w:rsid w:val="008069FA"/>
    <w:rsid w:val="008076A1"/>
    <w:rsid w:val="00807887"/>
    <w:rsid w:val="00812036"/>
    <w:rsid w:val="008124A8"/>
    <w:rsid w:val="00812EE5"/>
    <w:rsid w:val="008130F7"/>
    <w:rsid w:val="00814FBE"/>
    <w:rsid w:val="00816431"/>
    <w:rsid w:val="0081726D"/>
    <w:rsid w:val="00821530"/>
    <w:rsid w:val="00822483"/>
    <w:rsid w:val="00822BE8"/>
    <w:rsid w:val="00822E40"/>
    <w:rsid w:val="00822F90"/>
    <w:rsid w:val="00823AEC"/>
    <w:rsid w:val="0082650F"/>
    <w:rsid w:val="00827877"/>
    <w:rsid w:val="00827FB3"/>
    <w:rsid w:val="0083008F"/>
    <w:rsid w:val="008326D5"/>
    <w:rsid w:val="00832B80"/>
    <w:rsid w:val="00832C53"/>
    <w:rsid w:val="00832DBE"/>
    <w:rsid w:val="00834380"/>
    <w:rsid w:val="00836249"/>
    <w:rsid w:val="00836C8C"/>
    <w:rsid w:val="00836F6C"/>
    <w:rsid w:val="00837264"/>
    <w:rsid w:val="00837D26"/>
    <w:rsid w:val="00840314"/>
    <w:rsid w:val="0084038C"/>
    <w:rsid w:val="008414FC"/>
    <w:rsid w:val="00841DA4"/>
    <w:rsid w:val="00843DFC"/>
    <w:rsid w:val="00845925"/>
    <w:rsid w:val="00846D4E"/>
    <w:rsid w:val="00846FAC"/>
    <w:rsid w:val="00847B05"/>
    <w:rsid w:val="00851608"/>
    <w:rsid w:val="00852DA8"/>
    <w:rsid w:val="00853342"/>
    <w:rsid w:val="00854BFC"/>
    <w:rsid w:val="00855E7B"/>
    <w:rsid w:val="00856AD9"/>
    <w:rsid w:val="00857196"/>
    <w:rsid w:val="00857392"/>
    <w:rsid w:val="0085749A"/>
    <w:rsid w:val="00860F61"/>
    <w:rsid w:val="0086111A"/>
    <w:rsid w:val="00862AA6"/>
    <w:rsid w:val="00865D88"/>
    <w:rsid w:val="00870B20"/>
    <w:rsid w:val="00872890"/>
    <w:rsid w:val="00872B24"/>
    <w:rsid w:val="0087436C"/>
    <w:rsid w:val="00875666"/>
    <w:rsid w:val="0087573D"/>
    <w:rsid w:val="008769F1"/>
    <w:rsid w:val="00876F5B"/>
    <w:rsid w:val="008805AD"/>
    <w:rsid w:val="008805B1"/>
    <w:rsid w:val="008815C4"/>
    <w:rsid w:val="008815C6"/>
    <w:rsid w:val="00881F78"/>
    <w:rsid w:val="008823B3"/>
    <w:rsid w:val="0088310A"/>
    <w:rsid w:val="00883413"/>
    <w:rsid w:val="00883511"/>
    <w:rsid w:val="008836CE"/>
    <w:rsid w:val="00884AD3"/>
    <w:rsid w:val="00885770"/>
    <w:rsid w:val="008858C6"/>
    <w:rsid w:val="00885980"/>
    <w:rsid w:val="00885F09"/>
    <w:rsid w:val="00887F89"/>
    <w:rsid w:val="008929BA"/>
    <w:rsid w:val="00892BB6"/>
    <w:rsid w:val="00893820"/>
    <w:rsid w:val="00893DBD"/>
    <w:rsid w:val="0089569C"/>
    <w:rsid w:val="00896D34"/>
    <w:rsid w:val="0089721C"/>
    <w:rsid w:val="008978DA"/>
    <w:rsid w:val="008A13C7"/>
    <w:rsid w:val="008A3C0A"/>
    <w:rsid w:val="008A3F7B"/>
    <w:rsid w:val="008A4102"/>
    <w:rsid w:val="008A60B8"/>
    <w:rsid w:val="008A75E9"/>
    <w:rsid w:val="008B3D97"/>
    <w:rsid w:val="008B4901"/>
    <w:rsid w:val="008B5A49"/>
    <w:rsid w:val="008B727A"/>
    <w:rsid w:val="008B74AA"/>
    <w:rsid w:val="008C0D2C"/>
    <w:rsid w:val="008C0EF3"/>
    <w:rsid w:val="008C4A78"/>
    <w:rsid w:val="008C5021"/>
    <w:rsid w:val="008C5722"/>
    <w:rsid w:val="008C614F"/>
    <w:rsid w:val="008D10D4"/>
    <w:rsid w:val="008D16EE"/>
    <w:rsid w:val="008D1DFA"/>
    <w:rsid w:val="008D2685"/>
    <w:rsid w:val="008D3E6B"/>
    <w:rsid w:val="008D4172"/>
    <w:rsid w:val="008D4239"/>
    <w:rsid w:val="008D5D68"/>
    <w:rsid w:val="008D6043"/>
    <w:rsid w:val="008E0C55"/>
    <w:rsid w:val="008E0C7E"/>
    <w:rsid w:val="008E290D"/>
    <w:rsid w:val="008E5FC6"/>
    <w:rsid w:val="008E630E"/>
    <w:rsid w:val="008E641B"/>
    <w:rsid w:val="008E6A1C"/>
    <w:rsid w:val="008E6AFE"/>
    <w:rsid w:val="008E7A67"/>
    <w:rsid w:val="008F0833"/>
    <w:rsid w:val="008F21F5"/>
    <w:rsid w:val="008F43AC"/>
    <w:rsid w:val="008F4FD6"/>
    <w:rsid w:val="008F5316"/>
    <w:rsid w:val="008F5422"/>
    <w:rsid w:val="008F5DC3"/>
    <w:rsid w:val="008F6511"/>
    <w:rsid w:val="008F713C"/>
    <w:rsid w:val="008F7866"/>
    <w:rsid w:val="0090011F"/>
    <w:rsid w:val="0090294C"/>
    <w:rsid w:val="00902E4A"/>
    <w:rsid w:val="00902E94"/>
    <w:rsid w:val="00903E96"/>
    <w:rsid w:val="00904A0F"/>
    <w:rsid w:val="00904AA3"/>
    <w:rsid w:val="00904AA5"/>
    <w:rsid w:val="00905D1C"/>
    <w:rsid w:val="009070FF"/>
    <w:rsid w:val="00907642"/>
    <w:rsid w:val="00907794"/>
    <w:rsid w:val="00907CC9"/>
    <w:rsid w:val="00910E78"/>
    <w:rsid w:val="00911897"/>
    <w:rsid w:val="00911E4E"/>
    <w:rsid w:val="009131CD"/>
    <w:rsid w:val="00915A29"/>
    <w:rsid w:val="00915F37"/>
    <w:rsid w:val="009162F7"/>
    <w:rsid w:val="009165D6"/>
    <w:rsid w:val="00916BD3"/>
    <w:rsid w:val="00916BEA"/>
    <w:rsid w:val="00917478"/>
    <w:rsid w:val="00917B05"/>
    <w:rsid w:val="00917D0B"/>
    <w:rsid w:val="0092176F"/>
    <w:rsid w:val="00923841"/>
    <w:rsid w:val="00924A08"/>
    <w:rsid w:val="00924A4E"/>
    <w:rsid w:val="00926D65"/>
    <w:rsid w:val="00927C3A"/>
    <w:rsid w:val="00927CE0"/>
    <w:rsid w:val="00927D52"/>
    <w:rsid w:val="009303B3"/>
    <w:rsid w:val="00930648"/>
    <w:rsid w:val="00931353"/>
    <w:rsid w:val="00932060"/>
    <w:rsid w:val="00932B16"/>
    <w:rsid w:val="00933BFD"/>
    <w:rsid w:val="00934883"/>
    <w:rsid w:val="00934F24"/>
    <w:rsid w:val="00937A03"/>
    <w:rsid w:val="00937AE1"/>
    <w:rsid w:val="00937B6E"/>
    <w:rsid w:val="00937C36"/>
    <w:rsid w:val="00940653"/>
    <w:rsid w:val="0094065F"/>
    <w:rsid w:val="0094178C"/>
    <w:rsid w:val="009433A7"/>
    <w:rsid w:val="0094366E"/>
    <w:rsid w:val="00943E5E"/>
    <w:rsid w:val="00944E83"/>
    <w:rsid w:val="009455DF"/>
    <w:rsid w:val="00950038"/>
    <w:rsid w:val="00950198"/>
    <w:rsid w:val="00950A3D"/>
    <w:rsid w:val="00951BD4"/>
    <w:rsid w:val="0095213C"/>
    <w:rsid w:val="00953914"/>
    <w:rsid w:val="00953B2D"/>
    <w:rsid w:val="00954A40"/>
    <w:rsid w:val="00954E25"/>
    <w:rsid w:val="009555E1"/>
    <w:rsid w:val="00955895"/>
    <w:rsid w:val="009559F1"/>
    <w:rsid w:val="00955D97"/>
    <w:rsid w:val="00956108"/>
    <w:rsid w:val="009569B8"/>
    <w:rsid w:val="00957128"/>
    <w:rsid w:val="00960DF2"/>
    <w:rsid w:val="009612C3"/>
    <w:rsid w:val="00961674"/>
    <w:rsid w:val="00961884"/>
    <w:rsid w:val="00961CEA"/>
    <w:rsid w:val="009621A5"/>
    <w:rsid w:val="00962541"/>
    <w:rsid w:val="0096285A"/>
    <w:rsid w:val="009629AD"/>
    <w:rsid w:val="00964021"/>
    <w:rsid w:val="009644A8"/>
    <w:rsid w:val="00964EFA"/>
    <w:rsid w:val="009652A6"/>
    <w:rsid w:val="00965756"/>
    <w:rsid w:val="00965D70"/>
    <w:rsid w:val="00967861"/>
    <w:rsid w:val="00967AFB"/>
    <w:rsid w:val="009708E7"/>
    <w:rsid w:val="00970EAB"/>
    <w:rsid w:val="00971365"/>
    <w:rsid w:val="0097151D"/>
    <w:rsid w:val="009722B6"/>
    <w:rsid w:val="00972363"/>
    <w:rsid w:val="00972EAE"/>
    <w:rsid w:val="0097402C"/>
    <w:rsid w:val="00974343"/>
    <w:rsid w:val="00974356"/>
    <w:rsid w:val="009749A9"/>
    <w:rsid w:val="00974C53"/>
    <w:rsid w:val="00974E08"/>
    <w:rsid w:val="009750B2"/>
    <w:rsid w:val="00977264"/>
    <w:rsid w:val="00977600"/>
    <w:rsid w:val="00977682"/>
    <w:rsid w:val="00977F9E"/>
    <w:rsid w:val="0098095C"/>
    <w:rsid w:val="00981105"/>
    <w:rsid w:val="009814C2"/>
    <w:rsid w:val="00982051"/>
    <w:rsid w:val="00982912"/>
    <w:rsid w:val="00983536"/>
    <w:rsid w:val="009839E7"/>
    <w:rsid w:val="009842E4"/>
    <w:rsid w:val="0098438C"/>
    <w:rsid w:val="00984AE2"/>
    <w:rsid w:val="00984E6A"/>
    <w:rsid w:val="00984FF8"/>
    <w:rsid w:val="00985FEA"/>
    <w:rsid w:val="00986E0D"/>
    <w:rsid w:val="009901DF"/>
    <w:rsid w:val="00990EB4"/>
    <w:rsid w:val="00990F00"/>
    <w:rsid w:val="009910C1"/>
    <w:rsid w:val="00991594"/>
    <w:rsid w:val="00991D45"/>
    <w:rsid w:val="009921BA"/>
    <w:rsid w:val="009928F6"/>
    <w:rsid w:val="00993018"/>
    <w:rsid w:val="00993077"/>
    <w:rsid w:val="009937EF"/>
    <w:rsid w:val="0099490A"/>
    <w:rsid w:val="009952F3"/>
    <w:rsid w:val="009A107F"/>
    <w:rsid w:val="009A1CB1"/>
    <w:rsid w:val="009A2645"/>
    <w:rsid w:val="009A2C9E"/>
    <w:rsid w:val="009A3CE1"/>
    <w:rsid w:val="009A3F4F"/>
    <w:rsid w:val="009A4FCB"/>
    <w:rsid w:val="009A5E93"/>
    <w:rsid w:val="009A6A6C"/>
    <w:rsid w:val="009B0467"/>
    <w:rsid w:val="009B1227"/>
    <w:rsid w:val="009B25E6"/>
    <w:rsid w:val="009B43BB"/>
    <w:rsid w:val="009B4CE8"/>
    <w:rsid w:val="009B524F"/>
    <w:rsid w:val="009B53BA"/>
    <w:rsid w:val="009B6B51"/>
    <w:rsid w:val="009B7823"/>
    <w:rsid w:val="009B7AF9"/>
    <w:rsid w:val="009B7D00"/>
    <w:rsid w:val="009B7D72"/>
    <w:rsid w:val="009C0488"/>
    <w:rsid w:val="009C0D02"/>
    <w:rsid w:val="009C0DB7"/>
    <w:rsid w:val="009C156C"/>
    <w:rsid w:val="009C20BE"/>
    <w:rsid w:val="009C221A"/>
    <w:rsid w:val="009C2504"/>
    <w:rsid w:val="009C253C"/>
    <w:rsid w:val="009C4064"/>
    <w:rsid w:val="009C4BF4"/>
    <w:rsid w:val="009C5BB3"/>
    <w:rsid w:val="009C5C69"/>
    <w:rsid w:val="009C5F28"/>
    <w:rsid w:val="009C63B4"/>
    <w:rsid w:val="009C6418"/>
    <w:rsid w:val="009C6F7D"/>
    <w:rsid w:val="009D02A4"/>
    <w:rsid w:val="009D03C6"/>
    <w:rsid w:val="009D0AE9"/>
    <w:rsid w:val="009D0DE0"/>
    <w:rsid w:val="009D3BDA"/>
    <w:rsid w:val="009D461A"/>
    <w:rsid w:val="009D5A4E"/>
    <w:rsid w:val="009D6C45"/>
    <w:rsid w:val="009D7CB3"/>
    <w:rsid w:val="009E131C"/>
    <w:rsid w:val="009E1994"/>
    <w:rsid w:val="009E19D8"/>
    <w:rsid w:val="009E2766"/>
    <w:rsid w:val="009E2905"/>
    <w:rsid w:val="009E34A0"/>
    <w:rsid w:val="009E4DB8"/>
    <w:rsid w:val="009E53E0"/>
    <w:rsid w:val="009E6071"/>
    <w:rsid w:val="009E70FD"/>
    <w:rsid w:val="009E7690"/>
    <w:rsid w:val="009F1347"/>
    <w:rsid w:val="009F1CE1"/>
    <w:rsid w:val="009F217F"/>
    <w:rsid w:val="009F24A8"/>
    <w:rsid w:val="009F3273"/>
    <w:rsid w:val="009F332C"/>
    <w:rsid w:val="009F3553"/>
    <w:rsid w:val="009F429B"/>
    <w:rsid w:val="009F4929"/>
    <w:rsid w:val="009F59A8"/>
    <w:rsid w:val="009F5AC5"/>
    <w:rsid w:val="009F5B49"/>
    <w:rsid w:val="00A00C33"/>
    <w:rsid w:val="00A011D6"/>
    <w:rsid w:val="00A016DC"/>
    <w:rsid w:val="00A01872"/>
    <w:rsid w:val="00A02EFA"/>
    <w:rsid w:val="00A03305"/>
    <w:rsid w:val="00A033A4"/>
    <w:rsid w:val="00A043B5"/>
    <w:rsid w:val="00A043C2"/>
    <w:rsid w:val="00A04D0A"/>
    <w:rsid w:val="00A0550B"/>
    <w:rsid w:val="00A05B96"/>
    <w:rsid w:val="00A06EE8"/>
    <w:rsid w:val="00A10D50"/>
    <w:rsid w:val="00A11238"/>
    <w:rsid w:val="00A11A21"/>
    <w:rsid w:val="00A1265C"/>
    <w:rsid w:val="00A132E3"/>
    <w:rsid w:val="00A142A0"/>
    <w:rsid w:val="00A14C93"/>
    <w:rsid w:val="00A15FD1"/>
    <w:rsid w:val="00A17096"/>
    <w:rsid w:val="00A17224"/>
    <w:rsid w:val="00A173F1"/>
    <w:rsid w:val="00A17AF9"/>
    <w:rsid w:val="00A21D12"/>
    <w:rsid w:val="00A22172"/>
    <w:rsid w:val="00A23F9D"/>
    <w:rsid w:val="00A2446B"/>
    <w:rsid w:val="00A24EB4"/>
    <w:rsid w:val="00A25037"/>
    <w:rsid w:val="00A25889"/>
    <w:rsid w:val="00A32D04"/>
    <w:rsid w:val="00A32F15"/>
    <w:rsid w:val="00A33B86"/>
    <w:rsid w:val="00A342E7"/>
    <w:rsid w:val="00A37BBA"/>
    <w:rsid w:val="00A42030"/>
    <w:rsid w:val="00A425D6"/>
    <w:rsid w:val="00A439CB"/>
    <w:rsid w:val="00A44793"/>
    <w:rsid w:val="00A451A9"/>
    <w:rsid w:val="00A45CA8"/>
    <w:rsid w:val="00A464DD"/>
    <w:rsid w:val="00A468B0"/>
    <w:rsid w:val="00A4699C"/>
    <w:rsid w:val="00A46AFB"/>
    <w:rsid w:val="00A47452"/>
    <w:rsid w:val="00A47A17"/>
    <w:rsid w:val="00A47ACE"/>
    <w:rsid w:val="00A5127D"/>
    <w:rsid w:val="00A515A0"/>
    <w:rsid w:val="00A5181C"/>
    <w:rsid w:val="00A529C0"/>
    <w:rsid w:val="00A5326A"/>
    <w:rsid w:val="00A54487"/>
    <w:rsid w:val="00A551B7"/>
    <w:rsid w:val="00A55519"/>
    <w:rsid w:val="00A5606D"/>
    <w:rsid w:val="00A56703"/>
    <w:rsid w:val="00A57384"/>
    <w:rsid w:val="00A60202"/>
    <w:rsid w:val="00A60434"/>
    <w:rsid w:val="00A60C7F"/>
    <w:rsid w:val="00A60D20"/>
    <w:rsid w:val="00A619CF"/>
    <w:rsid w:val="00A61A25"/>
    <w:rsid w:val="00A647B6"/>
    <w:rsid w:val="00A65356"/>
    <w:rsid w:val="00A65C02"/>
    <w:rsid w:val="00A65D7D"/>
    <w:rsid w:val="00A6622D"/>
    <w:rsid w:val="00A67F14"/>
    <w:rsid w:val="00A703C7"/>
    <w:rsid w:val="00A70F9A"/>
    <w:rsid w:val="00A73792"/>
    <w:rsid w:val="00A7382B"/>
    <w:rsid w:val="00A74375"/>
    <w:rsid w:val="00A7489B"/>
    <w:rsid w:val="00A74E2A"/>
    <w:rsid w:val="00A75100"/>
    <w:rsid w:val="00A767F3"/>
    <w:rsid w:val="00A76B90"/>
    <w:rsid w:val="00A7725B"/>
    <w:rsid w:val="00A807F8"/>
    <w:rsid w:val="00A81D94"/>
    <w:rsid w:val="00A81EA2"/>
    <w:rsid w:val="00A84031"/>
    <w:rsid w:val="00A865A1"/>
    <w:rsid w:val="00A875FC"/>
    <w:rsid w:val="00A90020"/>
    <w:rsid w:val="00A908AD"/>
    <w:rsid w:val="00A91BE0"/>
    <w:rsid w:val="00A93FCF"/>
    <w:rsid w:val="00A942C4"/>
    <w:rsid w:val="00A94D5E"/>
    <w:rsid w:val="00A9533A"/>
    <w:rsid w:val="00A9549D"/>
    <w:rsid w:val="00A963B5"/>
    <w:rsid w:val="00A9664E"/>
    <w:rsid w:val="00A96722"/>
    <w:rsid w:val="00A96817"/>
    <w:rsid w:val="00A975DF"/>
    <w:rsid w:val="00A97ADC"/>
    <w:rsid w:val="00A97B34"/>
    <w:rsid w:val="00AA0075"/>
    <w:rsid w:val="00AA00FD"/>
    <w:rsid w:val="00AA1C7B"/>
    <w:rsid w:val="00AA23BC"/>
    <w:rsid w:val="00AA5CAF"/>
    <w:rsid w:val="00AA5F19"/>
    <w:rsid w:val="00AA600A"/>
    <w:rsid w:val="00AA6B90"/>
    <w:rsid w:val="00AB102B"/>
    <w:rsid w:val="00AB1667"/>
    <w:rsid w:val="00AB1AA5"/>
    <w:rsid w:val="00AB1C39"/>
    <w:rsid w:val="00AB2ABE"/>
    <w:rsid w:val="00AB46CF"/>
    <w:rsid w:val="00AB5056"/>
    <w:rsid w:val="00AB68F3"/>
    <w:rsid w:val="00AB752A"/>
    <w:rsid w:val="00AB7694"/>
    <w:rsid w:val="00AB7AA5"/>
    <w:rsid w:val="00AC13C3"/>
    <w:rsid w:val="00AC1A07"/>
    <w:rsid w:val="00AC37B9"/>
    <w:rsid w:val="00AC39BF"/>
    <w:rsid w:val="00AC3AB5"/>
    <w:rsid w:val="00AC44B8"/>
    <w:rsid w:val="00AC4EEE"/>
    <w:rsid w:val="00AC4FF6"/>
    <w:rsid w:val="00AC5997"/>
    <w:rsid w:val="00AC6857"/>
    <w:rsid w:val="00AC70B9"/>
    <w:rsid w:val="00AD07D5"/>
    <w:rsid w:val="00AD138C"/>
    <w:rsid w:val="00AD14C8"/>
    <w:rsid w:val="00AD16E6"/>
    <w:rsid w:val="00AD1E26"/>
    <w:rsid w:val="00AD2B76"/>
    <w:rsid w:val="00AD2E8D"/>
    <w:rsid w:val="00AD35ED"/>
    <w:rsid w:val="00AD3F7C"/>
    <w:rsid w:val="00AD3FB0"/>
    <w:rsid w:val="00AD4AD3"/>
    <w:rsid w:val="00AD509E"/>
    <w:rsid w:val="00AD5723"/>
    <w:rsid w:val="00AD5EF5"/>
    <w:rsid w:val="00AD66EC"/>
    <w:rsid w:val="00AD67A5"/>
    <w:rsid w:val="00AD776A"/>
    <w:rsid w:val="00AE0D24"/>
    <w:rsid w:val="00AE18B4"/>
    <w:rsid w:val="00AE1F66"/>
    <w:rsid w:val="00AE24DB"/>
    <w:rsid w:val="00AE28EC"/>
    <w:rsid w:val="00AE4C13"/>
    <w:rsid w:val="00AE58B2"/>
    <w:rsid w:val="00AE6CD8"/>
    <w:rsid w:val="00AE7890"/>
    <w:rsid w:val="00AF075B"/>
    <w:rsid w:val="00AF095C"/>
    <w:rsid w:val="00AF0A6E"/>
    <w:rsid w:val="00AF0BD1"/>
    <w:rsid w:val="00AF1DD6"/>
    <w:rsid w:val="00AF3E16"/>
    <w:rsid w:val="00AF5FB8"/>
    <w:rsid w:val="00AF62A2"/>
    <w:rsid w:val="00AF6BB4"/>
    <w:rsid w:val="00AF7205"/>
    <w:rsid w:val="00AF7A71"/>
    <w:rsid w:val="00B00F24"/>
    <w:rsid w:val="00B03821"/>
    <w:rsid w:val="00B03B6C"/>
    <w:rsid w:val="00B04E0D"/>
    <w:rsid w:val="00B06389"/>
    <w:rsid w:val="00B066CC"/>
    <w:rsid w:val="00B06D40"/>
    <w:rsid w:val="00B077D0"/>
    <w:rsid w:val="00B07A00"/>
    <w:rsid w:val="00B10200"/>
    <w:rsid w:val="00B10690"/>
    <w:rsid w:val="00B11780"/>
    <w:rsid w:val="00B11F7D"/>
    <w:rsid w:val="00B128A7"/>
    <w:rsid w:val="00B1354B"/>
    <w:rsid w:val="00B13AA0"/>
    <w:rsid w:val="00B14DDC"/>
    <w:rsid w:val="00B155DD"/>
    <w:rsid w:val="00B158ED"/>
    <w:rsid w:val="00B17B7D"/>
    <w:rsid w:val="00B22C68"/>
    <w:rsid w:val="00B23016"/>
    <w:rsid w:val="00B24D44"/>
    <w:rsid w:val="00B25A82"/>
    <w:rsid w:val="00B26174"/>
    <w:rsid w:val="00B26E94"/>
    <w:rsid w:val="00B2726C"/>
    <w:rsid w:val="00B30356"/>
    <w:rsid w:val="00B309D0"/>
    <w:rsid w:val="00B30DE1"/>
    <w:rsid w:val="00B3170E"/>
    <w:rsid w:val="00B330A4"/>
    <w:rsid w:val="00B3584F"/>
    <w:rsid w:val="00B35935"/>
    <w:rsid w:val="00B35F12"/>
    <w:rsid w:val="00B373D0"/>
    <w:rsid w:val="00B37CC1"/>
    <w:rsid w:val="00B37ED8"/>
    <w:rsid w:val="00B4091D"/>
    <w:rsid w:val="00B40976"/>
    <w:rsid w:val="00B40F48"/>
    <w:rsid w:val="00B4116E"/>
    <w:rsid w:val="00B41C03"/>
    <w:rsid w:val="00B4228D"/>
    <w:rsid w:val="00B42B05"/>
    <w:rsid w:val="00B4338B"/>
    <w:rsid w:val="00B4357B"/>
    <w:rsid w:val="00B43E38"/>
    <w:rsid w:val="00B44F5C"/>
    <w:rsid w:val="00B46673"/>
    <w:rsid w:val="00B47350"/>
    <w:rsid w:val="00B4782C"/>
    <w:rsid w:val="00B50523"/>
    <w:rsid w:val="00B50A75"/>
    <w:rsid w:val="00B50E8D"/>
    <w:rsid w:val="00B53022"/>
    <w:rsid w:val="00B54294"/>
    <w:rsid w:val="00B54EA4"/>
    <w:rsid w:val="00B55A10"/>
    <w:rsid w:val="00B56108"/>
    <w:rsid w:val="00B567F6"/>
    <w:rsid w:val="00B56BBE"/>
    <w:rsid w:val="00B56C01"/>
    <w:rsid w:val="00B600DE"/>
    <w:rsid w:val="00B6146A"/>
    <w:rsid w:val="00B6267A"/>
    <w:rsid w:val="00B62688"/>
    <w:rsid w:val="00B62D62"/>
    <w:rsid w:val="00B65378"/>
    <w:rsid w:val="00B65699"/>
    <w:rsid w:val="00B66656"/>
    <w:rsid w:val="00B67C12"/>
    <w:rsid w:val="00B710E0"/>
    <w:rsid w:val="00B711E8"/>
    <w:rsid w:val="00B719BA"/>
    <w:rsid w:val="00B72CA2"/>
    <w:rsid w:val="00B72F20"/>
    <w:rsid w:val="00B72F67"/>
    <w:rsid w:val="00B73764"/>
    <w:rsid w:val="00B7403F"/>
    <w:rsid w:val="00B744BE"/>
    <w:rsid w:val="00B745E1"/>
    <w:rsid w:val="00B74CF8"/>
    <w:rsid w:val="00B75F8E"/>
    <w:rsid w:val="00B76D83"/>
    <w:rsid w:val="00B76F67"/>
    <w:rsid w:val="00B76FC2"/>
    <w:rsid w:val="00B77167"/>
    <w:rsid w:val="00B77E20"/>
    <w:rsid w:val="00B77F44"/>
    <w:rsid w:val="00B8411C"/>
    <w:rsid w:val="00B84CC8"/>
    <w:rsid w:val="00B85148"/>
    <w:rsid w:val="00B85378"/>
    <w:rsid w:val="00B85556"/>
    <w:rsid w:val="00B90405"/>
    <w:rsid w:val="00B905C2"/>
    <w:rsid w:val="00B90765"/>
    <w:rsid w:val="00B907AB"/>
    <w:rsid w:val="00B9229C"/>
    <w:rsid w:val="00B927F7"/>
    <w:rsid w:val="00B933C4"/>
    <w:rsid w:val="00B937A8"/>
    <w:rsid w:val="00B94038"/>
    <w:rsid w:val="00B94333"/>
    <w:rsid w:val="00B94618"/>
    <w:rsid w:val="00B94A26"/>
    <w:rsid w:val="00B95D66"/>
    <w:rsid w:val="00BA4131"/>
    <w:rsid w:val="00BA4B20"/>
    <w:rsid w:val="00BA513B"/>
    <w:rsid w:val="00BA5320"/>
    <w:rsid w:val="00BA615B"/>
    <w:rsid w:val="00BA61CC"/>
    <w:rsid w:val="00BA7A55"/>
    <w:rsid w:val="00BA7E43"/>
    <w:rsid w:val="00BB14C9"/>
    <w:rsid w:val="00BB17DB"/>
    <w:rsid w:val="00BB1CF9"/>
    <w:rsid w:val="00BB277B"/>
    <w:rsid w:val="00BB2CA4"/>
    <w:rsid w:val="00BB2F6D"/>
    <w:rsid w:val="00BB3485"/>
    <w:rsid w:val="00BB3674"/>
    <w:rsid w:val="00BB3AF5"/>
    <w:rsid w:val="00BB5AF2"/>
    <w:rsid w:val="00BB5BB5"/>
    <w:rsid w:val="00BB5DDE"/>
    <w:rsid w:val="00BB6427"/>
    <w:rsid w:val="00BB7700"/>
    <w:rsid w:val="00BC0B63"/>
    <w:rsid w:val="00BC1E0C"/>
    <w:rsid w:val="00BC1E56"/>
    <w:rsid w:val="00BC1FF3"/>
    <w:rsid w:val="00BC360C"/>
    <w:rsid w:val="00BC3E40"/>
    <w:rsid w:val="00BC40B2"/>
    <w:rsid w:val="00BC5249"/>
    <w:rsid w:val="00BC5E90"/>
    <w:rsid w:val="00BC6039"/>
    <w:rsid w:val="00BC6AFD"/>
    <w:rsid w:val="00BC6DC6"/>
    <w:rsid w:val="00BD00FC"/>
    <w:rsid w:val="00BD0950"/>
    <w:rsid w:val="00BD0DC1"/>
    <w:rsid w:val="00BD1668"/>
    <w:rsid w:val="00BD2C6D"/>
    <w:rsid w:val="00BD3282"/>
    <w:rsid w:val="00BD4791"/>
    <w:rsid w:val="00BD4DDB"/>
    <w:rsid w:val="00BD5629"/>
    <w:rsid w:val="00BD650C"/>
    <w:rsid w:val="00BD6952"/>
    <w:rsid w:val="00BD6B27"/>
    <w:rsid w:val="00BE0218"/>
    <w:rsid w:val="00BE05D8"/>
    <w:rsid w:val="00BE0BA5"/>
    <w:rsid w:val="00BE1BE9"/>
    <w:rsid w:val="00BE1DCC"/>
    <w:rsid w:val="00BE29E8"/>
    <w:rsid w:val="00BE3412"/>
    <w:rsid w:val="00BE3DB3"/>
    <w:rsid w:val="00BE3E35"/>
    <w:rsid w:val="00BE40FB"/>
    <w:rsid w:val="00BE47FF"/>
    <w:rsid w:val="00BE5D9C"/>
    <w:rsid w:val="00BE60D6"/>
    <w:rsid w:val="00BE71DD"/>
    <w:rsid w:val="00BE762F"/>
    <w:rsid w:val="00BE7FD9"/>
    <w:rsid w:val="00BF06D7"/>
    <w:rsid w:val="00BF09DE"/>
    <w:rsid w:val="00BF1F96"/>
    <w:rsid w:val="00BF20F8"/>
    <w:rsid w:val="00BF2731"/>
    <w:rsid w:val="00BF348A"/>
    <w:rsid w:val="00BF369C"/>
    <w:rsid w:val="00BF50EF"/>
    <w:rsid w:val="00BF5520"/>
    <w:rsid w:val="00BF578F"/>
    <w:rsid w:val="00BF5D6B"/>
    <w:rsid w:val="00BF5FC0"/>
    <w:rsid w:val="00BF7106"/>
    <w:rsid w:val="00C00867"/>
    <w:rsid w:val="00C01B08"/>
    <w:rsid w:val="00C028F3"/>
    <w:rsid w:val="00C02E65"/>
    <w:rsid w:val="00C036E1"/>
    <w:rsid w:val="00C039EF"/>
    <w:rsid w:val="00C03C38"/>
    <w:rsid w:val="00C03CD3"/>
    <w:rsid w:val="00C05348"/>
    <w:rsid w:val="00C07917"/>
    <w:rsid w:val="00C102F3"/>
    <w:rsid w:val="00C10601"/>
    <w:rsid w:val="00C11CBF"/>
    <w:rsid w:val="00C11D8F"/>
    <w:rsid w:val="00C1306C"/>
    <w:rsid w:val="00C14597"/>
    <w:rsid w:val="00C1460D"/>
    <w:rsid w:val="00C154DC"/>
    <w:rsid w:val="00C15AFA"/>
    <w:rsid w:val="00C16D69"/>
    <w:rsid w:val="00C2040E"/>
    <w:rsid w:val="00C20F04"/>
    <w:rsid w:val="00C21487"/>
    <w:rsid w:val="00C23B3F"/>
    <w:rsid w:val="00C24157"/>
    <w:rsid w:val="00C24B2A"/>
    <w:rsid w:val="00C24E47"/>
    <w:rsid w:val="00C24F7B"/>
    <w:rsid w:val="00C26417"/>
    <w:rsid w:val="00C274AD"/>
    <w:rsid w:val="00C275C2"/>
    <w:rsid w:val="00C27DD0"/>
    <w:rsid w:val="00C3002C"/>
    <w:rsid w:val="00C30FC3"/>
    <w:rsid w:val="00C3104E"/>
    <w:rsid w:val="00C315FA"/>
    <w:rsid w:val="00C321DA"/>
    <w:rsid w:val="00C34AE7"/>
    <w:rsid w:val="00C3645D"/>
    <w:rsid w:val="00C36A7A"/>
    <w:rsid w:val="00C3776A"/>
    <w:rsid w:val="00C40E56"/>
    <w:rsid w:val="00C410C8"/>
    <w:rsid w:val="00C4187C"/>
    <w:rsid w:val="00C42E00"/>
    <w:rsid w:val="00C4346C"/>
    <w:rsid w:val="00C4399F"/>
    <w:rsid w:val="00C45BB7"/>
    <w:rsid w:val="00C45E37"/>
    <w:rsid w:val="00C477C8"/>
    <w:rsid w:val="00C479A7"/>
    <w:rsid w:val="00C47E24"/>
    <w:rsid w:val="00C47E40"/>
    <w:rsid w:val="00C53244"/>
    <w:rsid w:val="00C53A01"/>
    <w:rsid w:val="00C5511C"/>
    <w:rsid w:val="00C55298"/>
    <w:rsid w:val="00C55574"/>
    <w:rsid w:val="00C558AA"/>
    <w:rsid w:val="00C55CAE"/>
    <w:rsid w:val="00C5680A"/>
    <w:rsid w:val="00C575F1"/>
    <w:rsid w:val="00C578D7"/>
    <w:rsid w:val="00C57D74"/>
    <w:rsid w:val="00C60355"/>
    <w:rsid w:val="00C61102"/>
    <w:rsid w:val="00C61522"/>
    <w:rsid w:val="00C64CFF"/>
    <w:rsid w:val="00C70615"/>
    <w:rsid w:val="00C713A5"/>
    <w:rsid w:val="00C71457"/>
    <w:rsid w:val="00C72608"/>
    <w:rsid w:val="00C73136"/>
    <w:rsid w:val="00C744F5"/>
    <w:rsid w:val="00C7464B"/>
    <w:rsid w:val="00C764A9"/>
    <w:rsid w:val="00C804B4"/>
    <w:rsid w:val="00C806BF"/>
    <w:rsid w:val="00C81D18"/>
    <w:rsid w:val="00C83CE2"/>
    <w:rsid w:val="00C851AC"/>
    <w:rsid w:val="00C852E7"/>
    <w:rsid w:val="00C858F2"/>
    <w:rsid w:val="00C85D59"/>
    <w:rsid w:val="00C874DE"/>
    <w:rsid w:val="00C87F9F"/>
    <w:rsid w:val="00C92A77"/>
    <w:rsid w:val="00C933E2"/>
    <w:rsid w:val="00C93FCE"/>
    <w:rsid w:val="00C95C9D"/>
    <w:rsid w:val="00C967BA"/>
    <w:rsid w:val="00CA0114"/>
    <w:rsid w:val="00CA030A"/>
    <w:rsid w:val="00CA03BD"/>
    <w:rsid w:val="00CA0FF6"/>
    <w:rsid w:val="00CA161E"/>
    <w:rsid w:val="00CA1B52"/>
    <w:rsid w:val="00CA1BA4"/>
    <w:rsid w:val="00CA1D98"/>
    <w:rsid w:val="00CA46ED"/>
    <w:rsid w:val="00CA4951"/>
    <w:rsid w:val="00CA5532"/>
    <w:rsid w:val="00CA5ED2"/>
    <w:rsid w:val="00CA6878"/>
    <w:rsid w:val="00CA797D"/>
    <w:rsid w:val="00CB0BB6"/>
    <w:rsid w:val="00CB1960"/>
    <w:rsid w:val="00CB1C8D"/>
    <w:rsid w:val="00CB1C95"/>
    <w:rsid w:val="00CB1DC1"/>
    <w:rsid w:val="00CB216E"/>
    <w:rsid w:val="00CB2C56"/>
    <w:rsid w:val="00CB2EF3"/>
    <w:rsid w:val="00CB32A7"/>
    <w:rsid w:val="00CB6864"/>
    <w:rsid w:val="00CB6DF0"/>
    <w:rsid w:val="00CB7DB9"/>
    <w:rsid w:val="00CC0872"/>
    <w:rsid w:val="00CC0DFF"/>
    <w:rsid w:val="00CC2694"/>
    <w:rsid w:val="00CC31BD"/>
    <w:rsid w:val="00CC4266"/>
    <w:rsid w:val="00CC4CCC"/>
    <w:rsid w:val="00CC4D1F"/>
    <w:rsid w:val="00CC5122"/>
    <w:rsid w:val="00CC5150"/>
    <w:rsid w:val="00CC55FE"/>
    <w:rsid w:val="00CC5E36"/>
    <w:rsid w:val="00CC6256"/>
    <w:rsid w:val="00CC6702"/>
    <w:rsid w:val="00CC6F71"/>
    <w:rsid w:val="00CC77F9"/>
    <w:rsid w:val="00CD0007"/>
    <w:rsid w:val="00CD15F5"/>
    <w:rsid w:val="00CD2346"/>
    <w:rsid w:val="00CD2B8B"/>
    <w:rsid w:val="00CD3446"/>
    <w:rsid w:val="00CD4007"/>
    <w:rsid w:val="00CE04C0"/>
    <w:rsid w:val="00CE07DD"/>
    <w:rsid w:val="00CE0BA0"/>
    <w:rsid w:val="00CE0D1F"/>
    <w:rsid w:val="00CE160E"/>
    <w:rsid w:val="00CE1945"/>
    <w:rsid w:val="00CE6848"/>
    <w:rsid w:val="00CE7E18"/>
    <w:rsid w:val="00CF063B"/>
    <w:rsid w:val="00CF06CB"/>
    <w:rsid w:val="00CF353E"/>
    <w:rsid w:val="00CF3F7A"/>
    <w:rsid w:val="00CF4BFE"/>
    <w:rsid w:val="00CF4EC3"/>
    <w:rsid w:val="00CF6D44"/>
    <w:rsid w:val="00CF7092"/>
    <w:rsid w:val="00CF7ECC"/>
    <w:rsid w:val="00D00C0E"/>
    <w:rsid w:val="00D0155A"/>
    <w:rsid w:val="00D01BB0"/>
    <w:rsid w:val="00D0233D"/>
    <w:rsid w:val="00D02ACA"/>
    <w:rsid w:val="00D02F73"/>
    <w:rsid w:val="00D048E0"/>
    <w:rsid w:val="00D0496E"/>
    <w:rsid w:val="00D06815"/>
    <w:rsid w:val="00D07C49"/>
    <w:rsid w:val="00D07D37"/>
    <w:rsid w:val="00D101F4"/>
    <w:rsid w:val="00D10E4D"/>
    <w:rsid w:val="00D11834"/>
    <w:rsid w:val="00D119B6"/>
    <w:rsid w:val="00D1207A"/>
    <w:rsid w:val="00D125F8"/>
    <w:rsid w:val="00D12785"/>
    <w:rsid w:val="00D127EB"/>
    <w:rsid w:val="00D13931"/>
    <w:rsid w:val="00D13A95"/>
    <w:rsid w:val="00D13BFF"/>
    <w:rsid w:val="00D14470"/>
    <w:rsid w:val="00D146D3"/>
    <w:rsid w:val="00D15B5D"/>
    <w:rsid w:val="00D15DB0"/>
    <w:rsid w:val="00D16B43"/>
    <w:rsid w:val="00D1713C"/>
    <w:rsid w:val="00D176BC"/>
    <w:rsid w:val="00D200B3"/>
    <w:rsid w:val="00D20109"/>
    <w:rsid w:val="00D20245"/>
    <w:rsid w:val="00D215E6"/>
    <w:rsid w:val="00D232B6"/>
    <w:rsid w:val="00D23556"/>
    <w:rsid w:val="00D23836"/>
    <w:rsid w:val="00D23E9C"/>
    <w:rsid w:val="00D24E0A"/>
    <w:rsid w:val="00D24E13"/>
    <w:rsid w:val="00D25260"/>
    <w:rsid w:val="00D262C8"/>
    <w:rsid w:val="00D26960"/>
    <w:rsid w:val="00D26A04"/>
    <w:rsid w:val="00D26C04"/>
    <w:rsid w:val="00D26C5B"/>
    <w:rsid w:val="00D301D2"/>
    <w:rsid w:val="00D30F34"/>
    <w:rsid w:val="00D31025"/>
    <w:rsid w:val="00D3112A"/>
    <w:rsid w:val="00D31A0D"/>
    <w:rsid w:val="00D33333"/>
    <w:rsid w:val="00D33B21"/>
    <w:rsid w:val="00D33C63"/>
    <w:rsid w:val="00D34865"/>
    <w:rsid w:val="00D35169"/>
    <w:rsid w:val="00D3651F"/>
    <w:rsid w:val="00D36882"/>
    <w:rsid w:val="00D3722E"/>
    <w:rsid w:val="00D37533"/>
    <w:rsid w:val="00D40088"/>
    <w:rsid w:val="00D457F6"/>
    <w:rsid w:val="00D467E8"/>
    <w:rsid w:val="00D47336"/>
    <w:rsid w:val="00D50143"/>
    <w:rsid w:val="00D50623"/>
    <w:rsid w:val="00D50719"/>
    <w:rsid w:val="00D50753"/>
    <w:rsid w:val="00D50A9D"/>
    <w:rsid w:val="00D50FF5"/>
    <w:rsid w:val="00D51ADF"/>
    <w:rsid w:val="00D51CF8"/>
    <w:rsid w:val="00D52DDF"/>
    <w:rsid w:val="00D532F8"/>
    <w:rsid w:val="00D53D7C"/>
    <w:rsid w:val="00D57CED"/>
    <w:rsid w:val="00D60380"/>
    <w:rsid w:val="00D61C48"/>
    <w:rsid w:val="00D6453A"/>
    <w:rsid w:val="00D65F92"/>
    <w:rsid w:val="00D66910"/>
    <w:rsid w:val="00D66C14"/>
    <w:rsid w:val="00D67241"/>
    <w:rsid w:val="00D67A25"/>
    <w:rsid w:val="00D708F3"/>
    <w:rsid w:val="00D70933"/>
    <w:rsid w:val="00D711CE"/>
    <w:rsid w:val="00D71387"/>
    <w:rsid w:val="00D71744"/>
    <w:rsid w:val="00D76CFC"/>
    <w:rsid w:val="00D76F13"/>
    <w:rsid w:val="00D80CBB"/>
    <w:rsid w:val="00D814C7"/>
    <w:rsid w:val="00D8191A"/>
    <w:rsid w:val="00D81ADC"/>
    <w:rsid w:val="00D81ADE"/>
    <w:rsid w:val="00D8321F"/>
    <w:rsid w:val="00D83E86"/>
    <w:rsid w:val="00D840F8"/>
    <w:rsid w:val="00D85256"/>
    <w:rsid w:val="00D862EA"/>
    <w:rsid w:val="00D91596"/>
    <w:rsid w:val="00D91A89"/>
    <w:rsid w:val="00D91DF4"/>
    <w:rsid w:val="00D92541"/>
    <w:rsid w:val="00D95D67"/>
    <w:rsid w:val="00D9627A"/>
    <w:rsid w:val="00D96F01"/>
    <w:rsid w:val="00DA0054"/>
    <w:rsid w:val="00DA03AF"/>
    <w:rsid w:val="00DA0AFE"/>
    <w:rsid w:val="00DA14E0"/>
    <w:rsid w:val="00DA1B54"/>
    <w:rsid w:val="00DA1EAB"/>
    <w:rsid w:val="00DA2AC1"/>
    <w:rsid w:val="00DA2F85"/>
    <w:rsid w:val="00DA3459"/>
    <w:rsid w:val="00DA4A5D"/>
    <w:rsid w:val="00DA718B"/>
    <w:rsid w:val="00DB0523"/>
    <w:rsid w:val="00DB337D"/>
    <w:rsid w:val="00DB3AFE"/>
    <w:rsid w:val="00DB425A"/>
    <w:rsid w:val="00DB6234"/>
    <w:rsid w:val="00DB6372"/>
    <w:rsid w:val="00DB6373"/>
    <w:rsid w:val="00DB63AD"/>
    <w:rsid w:val="00DB69F0"/>
    <w:rsid w:val="00DB6BD1"/>
    <w:rsid w:val="00DC119D"/>
    <w:rsid w:val="00DC2676"/>
    <w:rsid w:val="00DC2BCB"/>
    <w:rsid w:val="00DC4370"/>
    <w:rsid w:val="00DC447B"/>
    <w:rsid w:val="00DC4521"/>
    <w:rsid w:val="00DC5F10"/>
    <w:rsid w:val="00DC724A"/>
    <w:rsid w:val="00DC72D1"/>
    <w:rsid w:val="00DD170F"/>
    <w:rsid w:val="00DD229D"/>
    <w:rsid w:val="00DD236A"/>
    <w:rsid w:val="00DD2D8E"/>
    <w:rsid w:val="00DD2DBB"/>
    <w:rsid w:val="00DD3602"/>
    <w:rsid w:val="00DD3F6C"/>
    <w:rsid w:val="00DD4ACE"/>
    <w:rsid w:val="00DD5353"/>
    <w:rsid w:val="00DD632E"/>
    <w:rsid w:val="00DD6B5D"/>
    <w:rsid w:val="00DD72CB"/>
    <w:rsid w:val="00DD7D0C"/>
    <w:rsid w:val="00DE00C6"/>
    <w:rsid w:val="00DE1FC2"/>
    <w:rsid w:val="00DE2E92"/>
    <w:rsid w:val="00DE3522"/>
    <w:rsid w:val="00DE4553"/>
    <w:rsid w:val="00DE495D"/>
    <w:rsid w:val="00DE49D1"/>
    <w:rsid w:val="00DE639F"/>
    <w:rsid w:val="00DE67AE"/>
    <w:rsid w:val="00DE737F"/>
    <w:rsid w:val="00DE7688"/>
    <w:rsid w:val="00DE7943"/>
    <w:rsid w:val="00DE7BE6"/>
    <w:rsid w:val="00DE7CE0"/>
    <w:rsid w:val="00DF0430"/>
    <w:rsid w:val="00DF084E"/>
    <w:rsid w:val="00DF0B93"/>
    <w:rsid w:val="00DF116E"/>
    <w:rsid w:val="00DF128A"/>
    <w:rsid w:val="00DF12AC"/>
    <w:rsid w:val="00DF584E"/>
    <w:rsid w:val="00DF6093"/>
    <w:rsid w:val="00DF6910"/>
    <w:rsid w:val="00DF7262"/>
    <w:rsid w:val="00DF7987"/>
    <w:rsid w:val="00E004D9"/>
    <w:rsid w:val="00E00D7C"/>
    <w:rsid w:val="00E01672"/>
    <w:rsid w:val="00E025F7"/>
    <w:rsid w:val="00E036A6"/>
    <w:rsid w:val="00E0374D"/>
    <w:rsid w:val="00E041EF"/>
    <w:rsid w:val="00E04BA1"/>
    <w:rsid w:val="00E05434"/>
    <w:rsid w:val="00E05C6E"/>
    <w:rsid w:val="00E07937"/>
    <w:rsid w:val="00E117E4"/>
    <w:rsid w:val="00E13342"/>
    <w:rsid w:val="00E13EC2"/>
    <w:rsid w:val="00E178D4"/>
    <w:rsid w:val="00E20B9E"/>
    <w:rsid w:val="00E222E7"/>
    <w:rsid w:val="00E2304D"/>
    <w:rsid w:val="00E23BEE"/>
    <w:rsid w:val="00E24EF9"/>
    <w:rsid w:val="00E25FD1"/>
    <w:rsid w:val="00E2634E"/>
    <w:rsid w:val="00E274E0"/>
    <w:rsid w:val="00E31B0C"/>
    <w:rsid w:val="00E31E53"/>
    <w:rsid w:val="00E329CC"/>
    <w:rsid w:val="00E342F5"/>
    <w:rsid w:val="00E3444A"/>
    <w:rsid w:val="00E34B78"/>
    <w:rsid w:val="00E34DD0"/>
    <w:rsid w:val="00E34EA7"/>
    <w:rsid w:val="00E353EA"/>
    <w:rsid w:val="00E355F7"/>
    <w:rsid w:val="00E367FD"/>
    <w:rsid w:val="00E37D09"/>
    <w:rsid w:val="00E40970"/>
    <w:rsid w:val="00E40DC9"/>
    <w:rsid w:val="00E413F0"/>
    <w:rsid w:val="00E4219D"/>
    <w:rsid w:val="00E43BEF"/>
    <w:rsid w:val="00E43C5F"/>
    <w:rsid w:val="00E441D3"/>
    <w:rsid w:val="00E504A5"/>
    <w:rsid w:val="00E504BA"/>
    <w:rsid w:val="00E50F76"/>
    <w:rsid w:val="00E50FFE"/>
    <w:rsid w:val="00E51A1F"/>
    <w:rsid w:val="00E52627"/>
    <w:rsid w:val="00E52868"/>
    <w:rsid w:val="00E52881"/>
    <w:rsid w:val="00E53EF0"/>
    <w:rsid w:val="00E5470D"/>
    <w:rsid w:val="00E54931"/>
    <w:rsid w:val="00E55DB7"/>
    <w:rsid w:val="00E5673A"/>
    <w:rsid w:val="00E568C1"/>
    <w:rsid w:val="00E613B7"/>
    <w:rsid w:val="00E61CB1"/>
    <w:rsid w:val="00E6361C"/>
    <w:rsid w:val="00E63F58"/>
    <w:rsid w:val="00E65108"/>
    <w:rsid w:val="00E6658C"/>
    <w:rsid w:val="00E66ED5"/>
    <w:rsid w:val="00E6714D"/>
    <w:rsid w:val="00E715C3"/>
    <w:rsid w:val="00E718B1"/>
    <w:rsid w:val="00E71BCD"/>
    <w:rsid w:val="00E74C18"/>
    <w:rsid w:val="00E750D9"/>
    <w:rsid w:val="00E76B11"/>
    <w:rsid w:val="00E779EF"/>
    <w:rsid w:val="00E77A02"/>
    <w:rsid w:val="00E77A3E"/>
    <w:rsid w:val="00E77BCC"/>
    <w:rsid w:val="00E81BB7"/>
    <w:rsid w:val="00E81E18"/>
    <w:rsid w:val="00E82D5A"/>
    <w:rsid w:val="00E83A37"/>
    <w:rsid w:val="00E85033"/>
    <w:rsid w:val="00E857C5"/>
    <w:rsid w:val="00E85BBA"/>
    <w:rsid w:val="00E85F36"/>
    <w:rsid w:val="00E874D5"/>
    <w:rsid w:val="00E902C9"/>
    <w:rsid w:val="00E90969"/>
    <w:rsid w:val="00E90DB4"/>
    <w:rsid w:val="00E93024"/>
    <w:rsid w:val="00E93888"/>
    <w:rsid w:val="00E93B32"/>
    <w:rsid w:val="00E9445B"/>
    <w:rsid w:val="00E94AA6"/>
    <w:rsid w:val="00E94D33"/>
    <w:rsid w:val="00E95AE3"/>
    <w:rsid w:val="00E96040"/>
    <w:rsid w:val="00E9690B"/>
    <w:rsid w:val="00E974BA"/>
    <w:rsid w:val="00E9780B"/>
    <w:rsid w:val="00E97DD8"/>
    <w:rsid w:val="00EA02BF"/>
    <w:rsid w:val="00EA126A"/>
    <w:rsid w:val="00EA1543"/>
    <w:rsid w:val="00EA173A"/>
    <w:rsid w:val="00EA2654"/>
    <w:rsid w:val="00EA32AB"/>
    <w:rsid w:val="00EA368C"/>
    <w:rsid w:val="00EA4403"/>
    <w:rsid w:val="00EA6D0E"/>
    <w:rsid w:val="00EA7291"/>
    <w:rsid w:val="00EB0520"/>
    <w:rsid w:val="00EB2619"/>
    <w:rsid w:val="00EB3B70"/>
    <w:rsid w:val="00EB4384"/>
    <w:rsid w:val="00EB4F02"/>
    <w:rsid w:val="00EB5144"/>
    <w:rsid w:val="00EB51BC"/>
    <w:rsid w:val="00EB5D26"/>
    <w:rsid w:val="00EC0E67"/>
    <w:rsid w:val="00EC0EA4"/>
    <w:rsid w:val="00EC1198"/>
    <w:rsid w:val="00EC1B45"/>
    <w:rsid w:val="00EC1CC5"/>
    <w:rsid w:val="00EC23FD"/>
    <w:rsid w:val="00EC27D7"/>
    <w:rsid w:val="00EC310F"/>
    <w:rsid w:val="00EC3CDD"/>
    <w:rsid w:val="00EC4116"/>
    <w:rsid w:val="00EC621C"/>
    <w:rsid w:val="00EC68DD"/>
    <w:rsid w:val="00ED050A"/>
    <w:rsid w:val="00ED09D3"/>
    <w:rsid w:val="00ED0E73"/>
    <w:rsid w:val="00ED10BA"/>
    <w:rsid w:val="00ED1516"/>
    <w:rsid w:val="00ED23C1"/>
    <w:rsid w:val="00ED2CB8"/>
    <w:rsid w:val="00ED3014"/>
    <w:rsid w:val="00ED3AB6"/>
    <w:rsid w:val="00ED3B1B"/>
    <w:rsid w:val="00ED76A5"/>
    <w:rsid w:val="00ED7A33"/>
    <w:rsid w:val="00ED7C83"/>
    <w:rsid w:val="00ED7F57"/>
    <w:rsid w:val="00ED7FD3"/>
    <w:rsid w:val="00EE0722"/>
    <w:rsid w:val="00EE24E7"/>
    <w:rsid w:val="00EE26C4"/>
    <w:rsid w:val="00EE30D3"/>
    <w:rsid w:val="00EE34A0"/>
    <w:rsid w:val="00EE3854"/>
    <w:rsid w:val="00EE39CE"/>
    <w:rsid w:val="00EE3DD6"/>
    <w:rsid w:val="00EE4DD9"/>
    <w:rsid w:val="00EE5A04"/>
    <w:rsid w:val="00EE6A20"/>
    <w:rsid w:val="00EE728E"/>
    <w:rsid w:val="00EE7A11"/>
    <w:rsid w:val="00EF0AC0"/>
    <w:rsid w:val="00EF13B1"/>
    <w:rsid w:val="00EF2F4F"/>
    <w:rsid w:val="00EF4AB6"/>
    <w:rsid w:val="00EF5151"/>
    <w:rsid w:val="00EF653A"/>
    <w:rsid w:val="00EF6666"/>
    <w:rsid w:val="00EF6AC5"/>
    <w:rsid w:val="00EF7B26"/>
    <w:rsid w:val="00F005B4"/>
    <w:rsid w:val="00F01008"/>
    <w:rsid w:val="00F01550"/>
    <w:rsid w:val="00F0175A"/>
    <w:rsid w:val="00F01912"/>
    <w:rsid w:val="00F030EA"/>
    <w:rsid w:val="00F03938"/>
    <w:rsid w:val="00F03A0A"/>
    <w:rsid w:val="00F04EF4"/>
    <w:rsid w:val="00F05F65"/>
    <w:rsid w:val="00F06A09"/>
    <w:rsid w:val="00F07711"/>
    <w:rsid w:val="00F07B5D"/>
    <w:rsid w:val="00F105BF"/>
    <w:rsid w:val="00F10E74"/>
    <w:rsid w:val="00F121AD"/>
    <w:rsid w:val="00F12DC2"/>
    <w:rsid w:val="00F137B5"/>
    <w:rsid w:val="00F13FF8"/>
    <w:rsid w:val="00F14E3F"/>
    <w:rsid w:val="00F1503A"/>
    <w:rsid w:val="00F15D52"/>
    <w:rsid w:val="00F16000"/>
    <w:rsid w:val="00F17BD1"/>
    <w:rsid w:val="00F2057A"/>
    <w:rsid w:val="00F21AAB"/>
    <w:rsid w:val="00F22C0B"/>
    <w:rsid w:val="00F2498E"/>
    <w:rsid w:val="00F24FA5"/>
    <w:rsid w:val="00F27563"/>
    <w:rsid w:val="00F31697"/>
    <w:rsid w:val="00F33A7D"/>
    <w:rsid w:val="00F33A91"/>
    <w:rsid w:val="00F342FC"/>
    <w:rsid w:val="00F34A8F"/>
    <w:rsid w:val="00F34F8F"/>
    <w:rsid w:val="00F35418"/>
    <w:rsid w:val="00F3548A"/>
    <w:rsid w:val="00F35B0D"/>
    <w:rsid w:val="00F35E85"/>
    <w:rsid w:val="00F37A57"/>
    <w:rsid w:val="00F402FF"/>
    <w:rsid w:val="00F415AC"/>
    <w:rsid w:val="00F43449"/>
    <w:rsid w:val="00F43D6B"/>
    <w:rsid w:val="00F43DC9"/>
    <w:rsid w:val="00F44345"/>
    <w:rsid w:val="00F4523B"/>
    <w:rsid w:val="00F46CE3"/>
    <w:rsid w:val="00F479E0"/>
    <w:rsid w:val="00F47FB5"/>
    <w:rsid w:val="00F5080B"/>
    <w:rsid w:val="00F521E0"/>
    <w:rsid w:val="00F54227"/>
    <w:rsid w:val="00F564E2"/>
    <w:rsid w:val="00F56C47"/>
    <w:rsid w:val="00F57611"/>
    <w:rsid w:val="00F6162F"/>
    <w:rsid w:val="00F617D1"/>
    <w:rsid w:val="00F63796"/>
    <w:rsid w:val="00F63E20"/>
    <w:rsid w:val="00F63EF7"/>
    <w:rsid w:val="00F640E8"/>
    <w:rsid w:val="00F647C3"/>
    <w:rsid w:val="00F65587"/>
    <w:rsid w:val="00F65900"/>
    <w:rsid w:val="00F65C1D"/>
    <w:rsid w:val="00F664C3"/>
    <w:rsid w:val="00F6745A"/>
    <w:rsid w:val="00F70C61"/>
    <w:rsid w:val="00F70EEB"/>
    <w:rsid w:val="00F71D7D"/>
    <w:rsid w:val="00F72CA7"/>
    <w:rsid w:val="00F72DCC"/>
    <w:rsid w:val="00F72E2B"/>
    <w:rsid w:val="00F73342"/>
    <w:rsid w:val="00F74663"/>
    <w:rsid w:val="00F746A0"/>
    <w:rsid w:val="00F802D1"/>
    <w:rsid w:val="00F81E13"/>
    <w:rsid w:val="00F823A7"/>
    <w:rsid w:val="00F82BAB"/>
    <w:rsid w:val="00F839DF"/>
    <w:rsid w:val="00F83FBB"/>
    <w:rsid w:val="00F842F5"/>
    <w:rsid w:val="00F8440A"/>
    <w:rsid w:val="00F8648F"/>
    <w:rsid w:val="00F8668A"/>
    <w:rsid w:val="00F86E24"/>
    <w:rsid w:val="00F86F04"/>
    <w:rsid w:val="00F933BB"/>
    <w:rsid w:val="00F93438"/>
    <w:rsid w:val="00F944C0"/>
    <w:rsid w:val="00F9670B"/>
    <w:rsid w:val="00F96C4D"/>
    <w:rsid w:val="00F978BD"/>
    <w:rsid w:val="00F97FF8"/>
    <w:rsid w:val="00FA1065"/>
    <w:rsid w:val="00FA1E54"/>
    <w:rsid w:val="00FA2465"/>
    <w:rsid w:val="00FA2C0E"/>
    <w:rsid w:val="00FA49A9"/>
    <w:rsid w:val="00FA6490"/>
    <w:rsid w:val="00FA6A0A"/>
    <w:rsid w:val="00FB0274"/>
    <w:rsid w:val="00FB0C14"/>
    <w:rsid w:val="00FB0D1A"/>
    <w:rsid w:val="00FB101A"/>
    <w:rsid w:val="00FB1897"/>
    <w:rsid w:val="00FB1C38"/>
    <w:rsid w:val="00FB1E3B"/>
    <w:rsid w:val="00FB39F9"/>
    <w:rsid w:val="00FB3C5B"/>
    <w:rsid w:val="00FB4F84"/>
    <w:rsid w:val="00FB68D0"/>
    <w:rsid w:val="00FB6EB4"/>
    <w:rsid w:val="00FB7A5F"/>
    <w:rsid w:val="00FB7CB3"/>
    <w:rsid w:val="00FC0E62"/>
    <w:rsid w:val="00FC1FF9"/>
    <w:rsid w:val="00FC256A"/>
    <w:rsid w:val="00FC26CA"/>
    <w:rsid w:val="00FC2F9E"/>
    <w:rsid w:val="00FC50A5"/>
    <w:rsid w:val="00FC5464"/>
    <w:rsid w:val="00FC5FED"/>
    <w:rsid w:val="00FC673E"/>
    <w:rsid w:val="00FC7234"/>
    <w:rsid w:val="00FC7599"/>
    <w:rsid w:val="00FC7A2F"/>
    <w:rsid w:val="00FC7F62"/>
    <w:rsid w:val="00FC7FB4"/>
    <w:rsid w:val="00FD018A"/>
    <w:rsid w:val="00FD0D65"/>
    <w:rsid w:val="00FD3666"/>
    <w:rsid w:val="00FD4008"/>
    <w:rsid w:val="00FD4810"/>
    <w:rsid w:val="00FD589C"/>
    <w:rsid w:val="00FD5A00"/>
    <w:rsid w:val="00FD79B9"/>
    <w:rsid w:val="00FE00B2"/>
    <w:rsid w:val="00FE0DF6"/>
    <w:rsid w:val="00FE1914"/>
    <w:rsid w:val="00FE1B40"/>
    <w:rsid w:val="00FE35E1"/>
    <w:rsid w:val="00FE3A0E"/>
    <w:rsid w:val="00FE46D2"/>
    <w:rsid w:val="00FE4FBF"/>
    <w:rsid w:val="00FE6160"/>
    <w:rsid w:val="00FE6ABE"/>
    <w:rsid w:val="00FE7673"/>
    <w:rsid w:val="00FF021B"/>
    <w:rsid w:val="00FF0F3E"/>
    <w:rsid w:val="00FF1280"/>
    <w:rsid w:val="00FF175B"/>
    <w:rsid w:val="00FF1D2F"/>
    <w:rsid w:val="00FF22B6"/>
    <w:rsid w:val="00FF2E31"/>
    <w:rsid w:val="00FF333B"/>
    <w:rsid w:val="00FF35FD"/>
    <w:rsid w:val="00FF37E0"/>
    <w:rsid w:val="00FF389F"/>
    <w:rsid w:val="00FF3FA5"/>
    <w:rsid w:val="00FF444B"/>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style="mso-position-vertical-relative:line" fill="f" fillcolor="none [4]" stroke="f" strokecolor="none [1]">
      <v:fill color="none [4]" color2="none [0]" on="f"/>
      <v:stroke color="none [1]" on="f"/>
      <v:shadow 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702"/>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ascii="CG Times (WN)" w:eastAsia="Times New Roman" w:hAnsi="CG Times (W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singleChar">
    <w:name w:val="single Char"/>
    <w:rPr>
      <w:noProof w:val="0"/>
      <w:sz w:val="24"/>
      <w:lang w:val="en-US" w:eastAsia="zh-CN" w:bidi="ar-SA"/>
    </w:rPr>
  </w:style>
  <w:style w:type="character" w:customStyle="1" w:styleId="Heading2Char">
    <w:name w:val="Heading 2 Char"/>
    <w:aliases w:val="h2 Char1"/>
    <w:link w:val="Heading2"/>
    <w:rsid w:val="00E05C6E"/>
    <w:rPr>
      <w:rFonts w:ascii="Times New Roman Bold" w:hAnsi="Times New Roman Bold"/>
      <w:b/>
      <w:noProof w:val="0"/>
      <w:sz w:val="24"/>
      <w:szCs w:val="24"/>
      <w:u w:val="single"/>
      <w:lang w:val="en-US" w:eastAsia="zh-CN" w:bidi="ar-SA"/>
    </w:rPr>
  </w:style>
  <w:style w:type="character" w:customStyle="1" w:styleId="Heading3Char">
    <w:name w:val="Heading 3 Char"/>
    <w:aliases w:val="h3 Char"/>
    <w:link w:val="Heading3"/>
    <w:rsid w:val="008F21F5"/>
    <w:rPr>
      <w:rFonts w:ascii="Times New Roman Bold" w:hAnsi="Times New Roman Bold"/>
      <w:b/>
      <w:sz w:val="24"/>
      <w:szCs w:val="24"/>
      <w:u w:val="single"/>
      <w:lang w:val="en-US" w:eastAsia="zh-CN" w:bidi="ar-SA"/>
    </w:rPr>
  </w:style>
  <w:style w:type="character" w:customStyle="1" w:styleId="Heading4Char">
    <w:name w:val="Heading 4 Char"/>
    <w:aliases w:val="h4 Char"/>
    <w:link w:val="Heading4"/>
    <w:rsid w:val="008F21F5"/>
    <w:rPr>
      <w:rFonts w:ascii="Times New Roman Bold" w:hAnsi="Times New Roman Bold"/>
      <w:b/>
      <w:sz w:val="24"/>
      <w:szCs w:val="24"/>
      <w:u w:val="single"/>
      <w:lang w:val="en-US" w:eastAsia="zh-CN" w:bidi="ar-SA"/>
    </w:rPr>
  </w:style>
  <w:style w:type="character" w:customStyle="1" w:styleId="Heading5Char">
    <w:name w:val="Heading 5 Char"/>
    <w:aliases w:val="h5 Char"/>
    <w:link w:val="Heading5"/>
    <w:rsid w:val="008F21F5"/>
    <w:rPr>
      <w:rFonts w:ascii="Times New Roman Bold" w:hAnsi="Times New Roman Bold"/>
      <w:b/>
      <w:sz w:val="24"/>
      <w:szCs w:val="24"/>
      <w:u w:val="single"/>
      <w:lang w:val="en-US" w:eastAsia="zh-CN" w:bidi="ar-SA"/>
    </w:rPr>
  </w:style>
  <w:style w:type="character" w:customStyle="1" w:styleId="Heading6Char">
    <w:name w:val="Heading 6 Char"/>
    <w:aliases w:val="h6 Char"/>
    <w:link w:val="Heading6"/>
    <w:rsid w:val="008F21F5"/>
    <w:rPr>
      <w:rFonts w:ascii="Times New Roman Bold" w:hAnsi="Times New Roman Bold"/>
      <w:b/>
      <w:sz w:val="24"/>
      <w:szCs w:val="24"/>
      <w:u w:val="single"/>
      <w:lang w:val="en-US" w:eastAsia="zh-CN" w:bidi="ar-SA"/>
    </w:rPr>
  </w:style>
  <w:style w:type="character" w:customStyle="1" w:styleId="Heading7Char">
    <w:name w:val="Heading 7 Char"/>
    <w:aliases w:val="h7 Char"/>
    <w:link w:val="Heading7"/>
    <w:rsid w:val="008F21F5"/>
    <w:rPr>
      <w:rFonts w:ascii="Times New Roman Bold" w:hAnsi="Times New Roman Bold"/>
      <w:b/>
      <w:sz w:val="24"/>
      <w:szCs w:val="24"/>
      <w:u w:val="single"/>
      <w:lang w:val="en-US" w:eastAsia="zh-CN" w:bidi="ar-SA"/>
    </w:rPr>
  </w:style>
  <w:style w:type="character" w:customStyle="1" w:styleId="Heading8Char">
    <w:name w:val="Heading 8 Char"/>
    <w:aliases w:val="h8 Char"/>
    <w:link w:val="Heading8"/>
    <w:rsid w:val="008F21F5"/>
    <w:rPr>
      <w:rFonts w:ascii="Times New Roman Bold" w:hAnsi="Times New Roman Bold"/>
      <w:b/>
      <w:sz w:val="24"/>
      <w:szCs w:val="24"/>
      <w:u w:val="single"/>
      <w:lang w:val="en-US" w:eastAsia="zh-CN" w:bidi="ar-SA"/>
    </w:r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link w:val="CommentTextChar"/>
    <w:semiHidden/>
    <w:rPr>
      <w:rFonts w:ascii="CG Times (WN)" w:hAnsi="CG Times (WN)"/>
    </w:rPr>
  </w:style>
  <w:style w:type="paragraph" w:styleId="FootnoteText">
    <w:name w:val="footnote text"/>
    <w:basedOn w:val="single"/>
    <w:link w:val="FootnoteTextChar"/>
    <w:semiHidden/>
    <w:rPr>
      <w:sz w:val="22"/>
    </w:rPr>
  </w:style>
  <w:style w:type="character" w:customStyle="1" w:styleId="FootnoteTextChar">
    <w:name w:val="Footnote Text Char"/>
    <w:link w:val="FootnoteText"/>
    <w:semiHidden/>
    <w:locked/>
    <w:rsid w:val="001C038C"/>
    <w:rPr>
      <w:rFonts w:ascii="Times New Roman" w:eastAsia="SimSun" w:hAnsi="Times New Roman"/>
      <w:sz w:val="22"/>
      <w:szCs w:val="24"/>
      <w:lang w:eastAsia="zh-CN"/>
    </w:rPr>
  </w:style>
  <w:style w:type="character" w:customStyle="1" w:styleId="CommentTextChar">
    <w:name w:val="Comment Text Char"/>
    <w:link w:val="CommentText"/>
    <w:rsid w:val="008F21F5"/>
    <w:rPr>
      <w:rFonts w:eastAsia="SimSun"/>
      <w:sz w:val="22"/>
      <w:szCs w:val="24"/>
      <w:lang w:val="en-US" w:eastAsia="zh-CN" w:bidi="ar-SA"/>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rsid w:val="00ED3B1B"/>
    <w:rPr>
      <w:rFonts w:eastAsia="SimSun"/>
      <w:sz w:val="24"/>
      <w:szCs w:val="24"/>
      <w:lang w:val="en-US" w:eastAsia="zh-CN" w:bidi="ar-SA"/>
    </w:rPr>
  </w:style>
  <w:style w:type="character" w:customStyle="1" w:styleId="FooterChar">
    <w:name w:val="Footer Char"/>
    <w:link w:val="Footer"/>
    <w:rsid w:val="008F21F5"/>
    <w:rPr>
      <w:rFonts w:eastAsia="SimSun"/>
      <w:color w:val="000000"/>
      <w:sz w:val="24"/>
      <w:szCs w:val="24"/>
      <w:lang w:val="en-US" w:eastAsia="zh-CN" w:bidi="ar-SA"/>
    </w:rPr>
  </w:style>
  <w:style w:type="paragraph" w:styleId="Header">
    <w:name w:val="header"/>
    <w:basedOn w:val="plain"/>
    <w:link w:val="HeaderChar"/>
    <w:rsid w:val="00E05C6E"/>
    <w:pPr>
      <w:tabs>
        <w:tab w:val="center" w:pos="4507"/>
        <w:tab w:val="right" w:pos="9000"/>
      </w:tabs>
    </w:pPr>
  </w:style>
  <w:style w:type="character" w:customStyle="1" w:styleId="HeaderChar">
    <w:name w:val="Header Char"/>
    <w:link w:val="Header"/>
    <w:rsid w:val="008F21F5"/>
    <w:rPr>
      <w:rFonts w:eastAsia="SimSun"/>
      <w:sz w:val="24"/>
      <w:szCs w:val="24"/>
      <w:lang w:val="en-US" w:eastAsia="zh-CN" w:bidi="ar-SA"/>
    </w:r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rPr>
  </w:style>
  <w:style w:type="character" w:customStyle="1" w:styleId="normalhangingChar">
    <w:name w:val="normal hanging Char"/>
    <w:link w:val="normalhanging"/>
    <w:rsid w:val="00EE26C4"/>
    <w:rPr>
      <w:sz w:val="24"/>
      <w:szCs w:val="24"/>
      <w:lang w:val="en-US" w:eastAsia="en-US" w:bidi="ar-SA"/>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character" w:customStyle="1" w:styleId="BodyTextIndentChar">
    <w:name w:val="Body Text Indent Char"/>
    <w:link w:val="BodyTextIndent"/>
    <w:rsid w:val="008F21F5"/>
    <w:rPr>
      <w:rFonts w:ascii="Arial" w:hAnsi="Arial"/>
      <w:sz w:val="22"/>
      <w:szCs w:val="24"/>
      <w:lang w:val="en-US" w:eastAsia="en-US" w:bidi="ar-SA"/>
    </w:rPr>
  </w:style>
  <w:style w:type="paragraph" w:styleId="BodyText">
    <w:name w:val="Body Text"/>
    <w:aliases w:val="bt"/>
    <w:basedOn w:val="Normal"/>
    <w:link w:val="BodyTextChar"/>
    <w:pPr>
      <w:jc w:val="both"/>
    </w:pPr>
    <w:rPr>
      <w:rFonts w:ascii="CG Times (WN)" w:hAnsi="CG Times (WN)"/>
      <w:lang w:val="en-GB"/>
    </w:rPr>
  </w:style>
  <w:style w:type="character" w:customStyle="1" w:styleId="BodyTextChar">
    <w:name w:val="Body Text Char"/>
    <w:aliases w:val="bt Char"/>
    <w:link w:val="BodyText"/>
    <w:rsid w:val="008F21F5"/>
    <w:rPr>
      <w:sz w:val="24"/>
      <w:szCs w:val="24"/>
      <w:lang w:val="en-GB" w:eastAsia="en-US" w:bidi="ar-SA"/>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
    <w:rsid w:val="00A76B90"/>
    <w:rPr>
      <w:rFonts w:eastAsia="SimSun"/>
      <w:sz w:val="24"/>
      <w:szCs w:val="24"/>
      <w:lang w:val="en-US" w:eastAsia="zh-CN" w:bidi="ar-SA"/>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rsid w:val="008F21F5"/>
    <w:rPr>
      <w:rFonts w:ascii="CG Times" w:hAnsi="CG Times"/>
      <w:color w:val="0000FF"/>
      <w:sz w:val="24"/>
      <w:szCs w:val="24"/>
      <w:lang w:val="en-US" w:eastAsia="en-US" w:bidi="ar-SA"/>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character" w:customStyle="1" w:styleId="BodyTextIndent3Char">
    <w:name w:val="Body Text Indent 3 Char"/>
    <w:link w:val="BodyTextIndent3"/>
    <w:rsid w:val="008F21F5"/>
    <w:rPr>
      <w:rFonts w:ascii="Times" w:hAnsi="Times"/>
      <w:sz w:val="24"/>
      <w:szCs w:val="24"/>
      <w:lang w:val="en-US" w:eastAsia="en-US" w:bidi="ar-SA"/>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rPr>
      <w:rFonts w:ascii="CG Times (WN)" w:hAnsi="CG Times (WN)"/>
    </w:rPr>
  </w:style>
  <w:style w:type="character" w:customStyle="1" w:styleId="BodyText2Char">
    <w:name w:val="Body Text 2 Char"/>
    <w:link w:val="BodyText2"/>
    <w:rsid w:val="008F21F5"/>
    <w:rPr>
      <w:sz w:val="24"/>
      <w:szCs w:val="24"/>
      <w:lang w:val="en-US" w:eastAsia="en-US" w:bidi="ar-SA"/>
    </w:rPr>
  </w:style>
  <w:style w:type="paragraph" w:styleId="BodyText3">
    <w:name w:val="Body Text 3"/>
    <w:basedOn w:val="Normal"/>
    <w:link w:val="BodyText3Char"/>
    <w:pPr>
      <w:spacing w:line="360" w:lineRule="auto"/>
      <w:ind w:right="-720"/>
    </w:pPr>
    <w:rPr>
      <w:rFonts w:ascii="CG Times (WN)" w:hAnsi="CG Times (WN)"/>
      <w:snapToGrid w:val="0"/>
    </w:rPr>
  </w:style>
  <w:style w:type="character" w:customStyle="1" w:styleId="BodyText3Char">
    <w:name w:val="Body Text 3 Char"/>
    <w:link w:val="BodyText3"/>
    <w:rsid w:val="008F21F5"/>
    <w:rPr>
      <w:snapToGrid w:val="0"/>
      <w:sz w:val="24"/>
      <w:szCs w:val="24"/>
      <w:lang w:val="en-US" w:eastAsia="en-US" w:bidi="ar-SA"/>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semiHidden/>
    <w:rPr>
      <w:rFonts w:ascii="Tahoma" w:hAnsi="Tahoma" w:cs="TheSerif 3-Light"/>
      <w:sz w:val="16"/>
      <w:szCs w:val="16"/>
    </w:rPr>
  </w:style>
  <w:style w:type="character" w:customStyle="1" w:styleId="BalloonTextChar">
    <w:name w:val="Balloon Text Char"/>
    <w:link w:val="BalloonText"/>
    <w:rsid w:val="008F21F5"/>
    <w:rPr>
      <w:rFonts w:ascii="Tahoma" w:hAnsi="Tahoma" w:cs="TheSerif 3-Light"/>
      <w:sz w:val="16"/>
      <w:szCs w:val="16"/>
      <w:lang w:val="en-US" w:eastAsia="en-US" w:bidi="ar-SA"/>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F21F5"/>
    <w:rPr>
      <w:rFonts w:ascii="Arial" w:hAnsi="Arial" w:cs="Arial"/>
      <w:b/>
      <w:bCs/>
      <w:kern w:val="28"/>
      <w:sz w:val="32"/>
      <w:szCs w:val="32"/>
      <w:lang w:val="en-US" w:eastAsia="en-US" w:bidi="ar-SA"/>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semiHidden/>
    <w:rsid w:val="00CF3F7A"/>
    <w:pPr>
      <w:spacing w:before="0" w:line="480" w:lineRule="atLeast"/>
    </w:pPr>
    <w:rPr>
      <w:b/>
      <w:bCs/>
    </w:rPr>
  </w:style>
  <w:style w:type="character" w:customStyle="1" w:styleId="CommentSubjectChar">
    <w:name w:val="Comment Subject Char"/>
    <w:link w:val="CommentSubject"/>
    <w:rsid w:val="008F21F5"/>
    <w:rPr>
      <w:rFonts w:eastAsia="SimSun"/>
      <w:b/>
      <w:bCs/>
      <w:sz w:val="22"/>
      <w:szCs w:val="24"/>
      <w:lang w:val="en-US" w:eastAsia="zh-CN" w:bidi="ar-SA"/>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F83FB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paragraph" w:customStyle="1" w:styleId="ColorfulShading-Accent11">
    <w:name w:val="Colorful Shading - Accent 11"/>
    <w:hidden/>
    <w:uiPriority w:val="99"/>
    <w:semiHidden/>
    <w:rsid w:val="007148BD"/>
    <w:rPr>
      <w:rFonts w:ascii="Times New Roman" w:hAnsi="Times New Roman"/>
      <w:sz w:val="24"/>
      <w:szCs w:val="24"/>
    </w:rPr>
  </w:style>
  <w:style w:type="paragraph" w:customStyle="1" w:styleId="TOCHeading1">
    <w:name w:val="TOC Heading1"/>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bCs/>
      <w:sz w:val="24"/>
      <w:szCs w:val="24"/>
      <w:lang w:val="en-US" w:eastAsia="zh-CN" w:bidi="ar-SA"/>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szCs w:val="20"/>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napToGrid w:val="0"/>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basedOn w:val="DefaultParagraphFont"/>
    <w:rsid w:val="008F21F5"/>
  </w:style>
  <w:style w:type="character" w:customStyle="1" w:styleId="searchterm">
    <w:name w:val="searchterm"/>
    <w:basedOn w:val="DefaultParagraphFont"/>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rsid w:val="008F21F5"/>
    <w:rPr>
      <w:rFonts w:ascii="Arial" w:hAnsi="Arial"/>
      <w:lang w:val="en-US" w:eastAsia="en-US" w:bidi="ar-SA"/>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rsid w:val="008F21F5"/>
    <w:rPr>
      <w:rFonts w:ascii="Palatino Linotype" w:hAnsi="Palatino Linotype"/>
      <w:b/>
      <w:sz w:val="24"/>
      <w:lang w:val="en-US" w:eastAsia="en-US" w:bidi="ar-SA"/>
    </w:rPr>
  </w:style>
  <w:style w:type="character" w:customStyle="1" w:styleId="h2Char">
    <w:name w:val="h2 Char"/>
    <w:rsid w:val="00732A53"/>
    <w:rPr>
      <w:b/>
      <w:noProof w:val="0"/>
      <w:sz w:val="24"/>
      <w:u w:val="single"/>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702"/>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ascii="CG Times (WN)" w:eastAsia="Times New Roman" w:hAnsi="CG Times (W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singleChar">
    <w:name w:val="single Char"/>
    <w:rPr>
      <w:noProof w:val="0"/>
      <w:sz w:val="24"/>
      <w:lang w:val="en-US" w:eastAsia="zh-CN" w:bidi="ar-SA"/>
    </w:rPr>
  </w:style>
  <w:style w:type="character" w:customStyle="1" w:styleId="Heading2Char">
    <w:name w:val="Heading 2 Char"/>
    <w:aliases w:val="h2 Char1"/>
    <w:link w:val="Heading2"/>
    <w:rsid w:val="00E05C6E"/>
    <w:rPr>
      <w:rFonts w:ascii="Times New Roman Bold" w:hAnsi="Times New Roman Bold"/>
      <w:b/>
      <w:noProof w:val="0"/>
      <w:sz w:val="24"/>
      <w:szCs w:val="24"/>
      <w:u w:val="single"/>
      <w:lang w:val="en-US" w:eastAsia="zh-CN" w:bidi="ar-SA"/>
    </w:rPr>
  </w:style>
  <w:style w:type="character" w:customStyle="1" w:styleId="Heading3Char">
    <w:name w:val="Heading 3 Char"/>
    <w:aliases w:val="h3 Char"/>
    <w:link w:val="Heading3"/>
    <w:rsid w:val="008F21F5"/>
    <w:rPr>
      <w:rFonts w:ascii="Times New Roman Bold" w:hAnsi="Times New Roman Bold"/>
      <w:b/>
      <w:sz w:val="24"/>
      <w:szCs w:val="24"/>
      <w:u w:val="single"/>
      <w:lang w:val="en-US" w:eastAsia="zh-CN" w:bidi="ar-SA"/>
    </w:rPr>
  </w:style>
  <w:style w:type="character" w:customStyle="1" w:styleId="Heading4Char">
    <w:name w:val="Heading 4 Char"/>
    <w:aliases w:val="h4 Char"/>
    <w:link w:val="Heading4"/>
    <w:rsid w:val="008F21F5"/>
    <w:rPr>
      <w:rFonts w:ascii="Times New Roman Bold" w:hAnsi="Times New Roman Bold"/>
      <w:b/>
      <w:sz w:val="24"/>
      <w:szCs w:val="24"/>
      <w:u w:val="single"/>
      <w:lang w:val="en-US" w:eastAsia="zh-CN" w:bidi="ar-SA"/>
    </w:rPr>
  </w:style>
  <w:style w:type="character" w:customStyle="1" w:styleId="Heading5Char">
    <w:name w:val="Heading 5 Char"/>
    <w:aliases w:val="h5 Char"/>
    <w:link w:val="Heading5"/>
    <w:rsid w:val="008F21F5"/>
    <w:rPr>
      <w:rFonts w:ascii="Times New Roman Bold" w:hAnsi="Times New Roman Bold"/>
      <w:b/>
      <w:sz w:val="24"/>
      <w:szCs w:val="24"/>
      <w:u w:val="single"/>
      <w:lang w:val="en-US" w:eastAsia="zh-CN" w:bidi="ar-SA"/>
    </w:rPr>
  </w:style>
  <w:style w:type="character" w:customStyle="1" w:styleId="Heading6Char">
    <w:name w:val="Heading 6 Char"/>
    <w:aliases w:val="h6 Char"/>
    <w:link w:val="Heading6"/>
    <w:rsid w:val="008F21F5"/>
    <w:rPr>
      <w:rFonts w:ascii="Times New Roman Bold" w:hAnsi="Times New Roman Bold"/>
      <w:b/>
      <w:sz w:val="24"/>
      <w:szCs w:val="24"/>
      <w:u w:val="single"/>
      <w:lang w:val="en-US" w:eastAsia="zh-CN" w:bidi="ar-SA"/>
    </w:rPr>
  </w:style>
  <w:style w:type="character" w:customStyle="1" w:styleId="Heading7Char">
    <w:name w:val="Heading 7 Char"/>
    <w:aliases w:val="h7 Char"/>
    <w:link w:val="Heading7"/>
    <w:rsid w:val="008F21F5"/>
    <w:rPr>
      <w:rFonts w:ascii="Times New Roman Bold" w:hAnsi="Times New Roman Bold"/>
      <w:b/>
      <w:sz w:val="24"/>
      <w:szCs w:val="24"/>
      <w:u w:val="single"/>
      <w:lang w:val="en-US" w:eastAsia="zh-CN" w:bidi="ar-SA"/>
    </w:rPr>
  </w:style>
  <w:style w:type="character" w:customStyle="1" w:styleId="Heading8Char">
    <w:name w:val="Heading 8 Char"/>
    <w:aliases w:val="h8 Char"/>
    <w:link w:val="Heading8"/>
    <w:rsid w:val="008F21F5"/>
    <w:rPr>
      <w:rFonts w:ascii="Times New Roman Bold" w:hAnsi="Times New Roman Bold"/>
      <w:b/>
      <w:sz w:val="24"/>
      <w:szCs w:val="24"/>
      <w:u w:val="single"/>
      <w:lang w:val="en-US" w:eastAsia="zh-CN" w:bidi="ar-SA"/>
    </w:rPr>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link w:val="CommentTextChar"/>
    <w:semiHidden/>
    <w:rPr>
      <w:rFonts w:ascii="CG Times (WN)" w:hAnsi="CG Times (WN)"/>
    </w:rPr>
  </w:style>
  <w:style w:type="paragraph" w:styleId="FootnoteText">
    <w:name w:val="footnote text"/>
    <w:basedOn w:val="single"/>
    <w:link w:val="FootnoteTextChar"/>
    <w:semiHidden/>
    <w:rPr>
      <w:sz w:val="22"/>
    </w:rPr>
  </w:style>
  <w:style w:type="character" w:customStyle="1" w:styleId="FootnoteTextChar">
    <w:name w:val="Footnote Text Char"/>
    <w:link w:val="FootnoteText"/>
    <w:semiHidden/>
    <w:locked/>
    <w:rsid w:val="001C038C"/>
    <w:rPr>
      <w:rFonts w:ascii="Times New Roman" w:eastAsia="SimSun" w:hAnsi="Times New Roman"/>
      <w:sz w:val="22"/>
      <w:szCs w:val="24"/>
      <w:lang w:eastAsia="zh-CN"/>
    </w:rPr>
  </w:style>
  <w:style w:type="character" w:customStyle="1" w:styleId="CommentTextChar">
    <w:name w:val="Comment Text Char"/>
    <w:link w:val="CommentText"/>
    <w:rsid w:val="008F21F5"/>
    <w:rPr>
      <w:rFonts w:eastAsia="SimSun"/>
      <w:sz w:val="22"/>
      <w:szCs w:val="24"/>
      <w:lang w:val="en-US" w:eastAsia="zh-CN" w:bidi="ar-SA"/>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rPr>
      <w:rFonts w:ascii="CG Times (WN)" w:hAnsi="CG Times (WN)"/>
    </w:rPr>
  </w:style>
  <w:style w:type="character" w:customStyle="1" w:styleId="plainChar">
    <w:name w:val="plain Char"/>
    <w:link w:val="plain"/>
    <w:rsid w:val="00ED3B1B"/>
    <w:rPr>
      <w:rFonts w:eastAsia="SimSun"/>
      <w:sz w:val="24"/>
      <w:szCs w:val="24"/>
      <w:lang w:val="en-US" w:eastAsia="zh-CN" w:bidi="ar-SA"/>
    </w:rPr>
  </w:style>
  <w:style w:type="character" w:customStyle="1" w:styleId="FooterChar">
    <w:name w:val="Footer Char"/>
    <w:link w:val="Footer"/>
    <w:rsid w:val="008F21F5"/>
    <w:rPr>
      <w:rFonts w:eastAsia="SimSun"/>
      <w:color w:val="000000"/>
      <w:sz w:val="24"/>
      <w:szCs w:val="24"/>
      <w:lang w:val="en-US" w:eastAsia="zh-CN" w:bidi="ar-SA"/>
    </w:rPr>
  </w:style>
  <w:style w:type="paragraph" w:styleId="Header">
    <w:name w:val="header"/>
    <w:basedOn w:val="plain"/>
    <w:link w:val="HeaderChar"/>
    <w:rsid w:val="00E05C6E"/>
    <w:pPr>
      <w:tabs>
        <w:tab w:val="center" w:pos="4507"/>
        <w:tab w:val="right" w:pos="9000"/>
      </w:tabs>
    </w:pPr>
  </w:style>
  <w:style w:type="character" w:customStyle="1" w:styleId="HeaderChar">
    <w:name w:val="Header Char"/>
    <w:link w:val="Header"/>
    <w:rsid w:val="008F21F5"/>
    <w:rPr>
      <w:rFonts w:eastAsia="SimSun"/>
      <w:sz w:val="24"/>
      <w:szCs w:val="24"/>
      <w:lang w:val="en-US" w:eastAsia="zh-CN" w:bidi="ar-SA"/>
    </w:r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rPr>
      <w:rFonts w:ascii="CG Times (WN)" w:hAnsi="CG Times (WN)"/>
    </w:rPr>
  </w:style>
  <w:style w:type="character" w:customStyle="1" w:styleId="normalhangingChar">
    <w:name w:val="normal hanging Char"/>
    <w:link w:val="normalhanging"/>
    <w:rsid w:val="00EE26C4"/>
    <w:rPr>
      <w:sz w:val="24"/>
      <w:szCs w:val="24"/>
      <w:lang w:val="en-US" w:eastAsia="en-US" w:bidi="ar-SA"/>
    </w:r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character" w:customStyle="1" w:styleId="BodyTextIndentChar">
    <w:name w:val="Body Text Indent Char"/>
    <w:link w:val="BodyTextIndent"/>
    <w:rsid w:val="008F21F5"/>
    <w:rPr>
      <w:rFonts w:ascii="Arial" w:hAnsi="Arial"/>
      <w:sz w:val="22"/>
      <w:szCs w:val="24"/>
      <w:lang w:val="en-US" w:eastAsia="en-US" w:bidi="ar-SA"/>
    </w:rPr>
  </w:style>
  <w:style w:type="paragraph" w:styleId="BodyText">
    <w:name w:val="Body Text"/>
    <w:aliases w:val="bt"/>
    <w:basedOn w:val="Normal"/>
    <w:link w:val="BodyTextChar"/>
    <w:pPr>
      <w:jc w:val="both"/>
    </w:pPr>
    <w:rPr>
      <w:rFonts w:ascii="CG Times (WN)" w:hAnsi="CG Times (WN)"/>
      <w:lang w:val="en-GB"/>
    </w:rPr>
  </w:style>
  <w:style w:type="character" w:customStyle="1" w:styleId="BodyTextChar">
    <w:name w:val="Body Text Char"/>
    <w:aliases w:val="bt Char"/>
    <w:link w:val="BodyText"/>
    <w:rsid w:val="008F21F5"/>
    <w:rPr>
      <w:sz w:val="24"/>
      <w:szCs w:val="24"/>
      <w:lang w:val="en-GB" w:eastAsia="en-US" w:bidi="ar-SA"/>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uiPriority w:val="99"/>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lang w:eastAsia="zh-CN"/>
    </w:rPr>
  </w:style>
  <w:style w:type="character" w:customStyle="1" w:styleId="answerChar">
    <w:name w:val="answer Char"/>
    <w:link w:val="answer"/>
    <w:rsid w:val="00A76B90"/>
    <w:rPr>
      <w:rFonts w:eastAsia="SimSun"/>
      <w:sz w:val="24"/>
      <w:szCs w:val="24"/>
      <w:lang w:val="en-US" w:eastAsia="zh-CN" w:bidi="ar-SA"/>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rsid w:val="008F21F5"/>
    <w:rPr>
      <w:rFonts w:ascii="CG Times" w:hAnsi="CG Times"/>
      <w:color w:val="0000FF"/>
      <w:sz w:val="24"/>
      <w:szCs w:val="24"/>
      <w:lang w:val="en-US" w:eastAsia="en-US" w:bidi="ar-SA"/>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character" w:customStyle="1" w:styleId="BodyTextIndent3Char">
    <w:name w:val="Body Text Indent 3 Char"/>
    <w:link w:val="BodyTextIndent3"/>
    <w:rsid w:val="008F21F5"/>
    <w:rPr>
      <w:rFonts w:ascii="Times" w:hAnsi="Times"/>
      <w:sz w:val="24"/>
      <w:szCs w:val="24"/>
      <w:lang w:val="en-US" w:eastAsia="en-US" w:bidi="ar-SA"/>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rPr>
      <w:rFonts w:ascii="CG Times (WN)" w:hAnsi="CG Times (WN)"/>
    </w:rPr>
  </w:style>
  <w:style w:type="character" w:customStyle="1" w:styleId="BodyText2Char">
    <w:name w:val="Body Text 2 Char"/>
    <w:link w:val="BodyText2"/>
    <w:rsid w:val="008F21F5"/>
    <w:rPr>
      <w:sz w:val="24"/>
      <w:szCs w:val="24"/>
      <w:lang w:val="en-US" w:eastAsia="en-US" w:bidi="ar-SA"/>
    </w:rPr>
  </w:style>
  <w:style w:type="paragraph" w:styleId="BodyText3">
    <w:name w:val="Body Text 3"/>
    <w:basedOn w:val="Normal"/>
    <w:link w:val="BodyText3Char"/>
    <w:pPr>
      <w:spacing w:line="360" w:lineRule="auto"/>
      <w:ind w:right="-720"/>
    </w:pPr>
    <w:rPr>
      <w:rFonts w:ascii="CG Times (WN)" w:hAnsi="CG Times (WN)"/>
      <w:snapToGrid w:val="0"/>
    </w:rPr>
  </w:style>
  <w:style w:type="character" w:customStyle="1" w:styleId="BodyText3Char">
    <w:name w:val="Body Text 3 Char"/>
    <w:link w:val="BodyText3"/>
    <w:rsid w:val="008F21F5"/>
    <w:rPr>
      <w:snapToGrid w:val="0"/>
      <w:sz w:val="24"/>
      <w:szCs w:val="24"/>
      <w:lang w:val="en-US" w:eastAsia="en-US" w:bidi="ar-SA"/>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semiHidden/>
    <w:rPr>
      <w:rFonts w:ascii="Tahoma" w:hAnsi="Tahoma" w:cs="TheSerif 3-Light"/>
      <w:sz w:val="16"/>
      <w:szCs w:val="16"/>
    </w:rPr>
  </w:style>
  <w:style w:type="character" w:customStyle="1" w:styleId="BalloonTextChar">
    <w:name w:val="Balloon Text Char"/>
    <w:link w:val="BalloonText"/>
    <w:rsid w:val="008F21F5"/>
    <w:rPr>
      <w:rFonts w:ascii="Tahoma" w:hAnsi="Tahoma" w:cs="TheSerif 3-Light"/>
      <w:sz w:val="16"/>
      <w:szCs w:val="16"/>
      <w:lang w:val="en-US" w:eastAsia="en-US" w:bidi="ar-SA"/>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F21F5"/>
    <w:rPr>
      <w:rFonts w:ascii="Arial" w:hAnsi="Arial" w:cs="Arial"/>
      <w:b/>
      <w:bCs/>
      <w:kern w:val="28"/>
      <w:sz w:val="32"/>
      <w:szCs w:val="32"/>
      <w:lang w:val="en-US" w:eastAsia="en-US" w:bidi="ar-SA"/>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semiHidden/>
    <w:rsid w:val="00CF3F7A"/>
    <w:pPr>
      <w:spacing w:before="0" w:line="480" w:lineRule="atLeast"/>
    </w:pPr>
    <w:rPr>
      <w:b/>
      <w:bCs/>
    </w:rPr>
  </w:style>
  <w:style w:type="character" w:customStyle="1" w:styleId="CommentSubjectChar">
    <w:name w:val="Comment Subject Char"/>
    <w:link w:val="CommentSubject"/>
    <w:rsid w:val="008F21F5"/>
    <w:rPr>
      <w:rFonts w:eastAsia="SimSun"/>
      <w:b/>
      <w:bCs/>
      <w:sz w:val="22"/>
      <w:szCs w:val="24"/>
      <w:lang w:val="en-US" w:eastAsia="zh-CN" w:bidi="ar-SA"/>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F83FB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paragraph" w:customStyle="1" w:styleId="ColorfulShading-Accent11">
    <w:name w:val="Colorful Shading - Accent 11"/>
    <w:hidden/>
    <w:uiPriority w:val="99"/>
    <w:semiHidden/>
    <w:rsid w:val="007148BD"/>
    <w:rPr>
      <w:rFonts w:ascii="Times New Roman" w:hAnsi="Times New Roman"/>
      <w:sz w:val="24"/>
      <w:szCs w:val="24"/>
    </w:rPr>
  </w:style>
  <w:style w:type="paragraph" w:customStyle="1" w:styleId="TOCHeading1">
    <w:name w:val="TOC Heading1"/>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questionChar1">
    <w:name w:val="question Char1"/>
    <w:rsid w:val="00DE495D"/>
    <w:rPr>
      <w:rFonts w:eastAsia="SimSun"/>
      <w:b/>
      <w:bCs/>
      <w:sz w:val="24"/>
      <w:szCs w:val="24"/>
      <w:lang w:val="en-US" w:eastAsia="zh-CN" w:bidi="ar-SA"/>
    </w:rPr>
  </w:style>
  <w:style w:type="paragraph" w:customStyle="1" w:styleId="WUTCParagraph">
    <w:name w:val="WUTC Paragraph"/>
    <w:basedOn w:val="Normal"/>
    <w:rsid w:val="001C038C"/>
    <w:pPr>
      <w:numPr>
        <w:numId w:val="25"/>
      </w:numPr>
      <w:tabs>
        <w:tab w:val="left" w:pos="1440"/>
      </w:tabs>
      <w:spacing w:line="480" w:lineRule="auto"/>
    </w:pPr>
  </w:style>
  <w:style w:type="paragraph" w:customStyle="1" w:styleId="BodyTextContinued">
    <w:name w:val="Body Text Continued"/>
    <w:basedOn w:val="BodyText"/>
    <w:next w:val="BodyText"/>
    <w:rsid w:val="008F21F5"/>
    <w:pPr>
      <w:spacing w:after="240"/>
      <w:jc w:val="left"/>
    </w:pPr>
    <w:rPr>
      <w:szCs w:val="20"/>
      <w:lang w:val="en-US"/>
    </w:rPr>
  </w:style>
  <w:style w:type="paragraph" w:customStyle="1" w:styleId="DeliveryPhrase">
    <w:name w:val="Delivery Phrase"/>
    <w:basedOn w:val="Normal"/>
    <w:next w:val="Normal"/>
    <w:rsid w:val="008F21F5"/>
    <w:pPr>
      <w:spacing w:after="240"/>
    </w:pPr>
    <w:rPr>
      <w:b/>
      <w:caps/>
      <w:szCs w:val="20"/>
    </w:rPr>
  </w:style>
  <w:style w:type="paragraph" w:customStyle="1" w:styleId="Letterhead">
    <w:name w:val="Letterhead"/>
    <w:rsid w:val="008F21F5"/>
    <w:pPr>
      <w:tabs>
        <w:tab w:val="center" w:pos="1886"/>
      </w:tabs>
      <w:jc w:val="center"/>
    </w:pPr>
    <w:rPr>
      <w:rFonts w:ascii="Arial Narrow" w:hAnsi="Arial Narrow"/>
      <w:noProof/>
      <w:spacing w:val="2"/>
      <w:sz w:val="16"/>
    </w:rPr>
  </w:style>
  <w:style w:type="paragraph" w:customStyle="1" w:styleId="Header2QA">
    <w:name w:val="Header 2 Q&amp;A"/>
    <w:basedOn w:val="Normal"/>
    <w:rsid w:val="008F21F5"/>
    <w:pPr>
      <w:widowControl w:val="0"/>
      <w:ind w:left="6048"/>
    </w:pPr>
    <w:rPr>
      <w:szCs w:val="20"/>
    </w:rPr>
  </w:style>
  <w:style w:type="paragraph" w:customStyle="1" w:styleId="CenterUnderline">
    <w:name w:val="$CenterUnderline"/>
    <w:basedOn w:val="Normal"/>
    <w:rsid w:val="008F21F5"/>
    <w:pPr>
      <w:widowControl w:val="0"/>
      <w:spacing w:line="480" w:lineRule="exact"/>
      <w:jc w:val="center"/>
    </w:pPr>
    <w:rPr>
      <w:szCs w:val="20"/>
      <w:u w:val="single"/>
    </w:rPr>
  </w:style>
  <w:style w:type="paragraph" w:customStyle="1" w:styleId="CenterNormal">
    <w:name w:val="$CenterNormal"/>
    <w:basedOn w:val="CenterUnderline"/>
    <w:rsid w:val="008F21F5"/>
    <w:pPr>
      <w:tabs>
        <w:tab w:val="left" w:pos="1296"/>
      </w:tabs>
      <w:spacing w:line="280" w:lineRule="exact"/>
    </w:pPr>
    <w:rPr>
      <w:u w:val="none"/>
    </w:rPr>
  </w:style>
  <w:style w:type="paragraph" w:customStyle="1" w:styleId="toa">
    <w:name w:val="toa"/>
    <w:basedOn w:val="Normal"/>
    <w:rsid w:val="008F21F5"/>
    <w:pPr>
      <w:tabs>
        <w:tab w:val="left" w:pos="9000"/>
        <w:tab w:val="right" w:pos="9360"/>
      </w:tabs>
      <w:suppressAutoHyphens/>
    </w:pPr>
    <w:rPr>
      <w:sz w:val="20"/>
      <w:szCs w:val="20"/>
    </w:rPr>
  </w:style>
  <w:style w:type="character" w:customStyle="1" w:styleId="EquationCaption">
    <w:name w:val="_Equation Caption"/>
    <w:rsid w:val="008F21F5"/>
  </w:style>
  <w:style w:type="paragraph" w:customStyle="1" w:styleId="QA">
    <w:name w:val="QA"/>
    <w:basedOn w:val="Normal"/>
    <w:rsid w:val="008F21F5"/>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8F21F5"/>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8F21F5"/>
    <w:pPr>
      <w:widowControl w:val="0"/>
      <w:numPr>
        <w:numId w:val="26"/>
      </w:numPr>
    </w:pPr>
    <w:rPr>
      <w:snapToGrid w:val="0"/>
      <w:szCs w:val="20"/>
    </w:rPr>
  </w:style>
  <w:style w:type="paragraph" w:customStyle="1" w:styleId="Answer0">
    <w:name w:val="$Answer"/>
    <w:basedOn w:val="Normal"/>
    <w:next w:val="NormalIndent"/>
    <w:rsid w:val="008F21F5"/>
    <w:pPr>
      <w:widowControl w:val="0"/>
      <w:spacing w:line="480" w:lineRule="exact"/>
      <w:ind w:left="576" w:hanging="576"/>
    </w:pPr>
    <w:rPr>
      <w:szCs w:val="20"/>
    </w:rPr>
  </w:style>
  <w:style w:type="paragraph" w:customStyle="1" w:styleId="Level03">
    <w:name w:val="$Level03"/>
    <w:basedOn w:val="Normal"/>
    <w:rsid w:val="008F21F5"/>
    <w:pPr>
      <w:widowControl w:val="0"/>
      <w:numPr>
        <w:ilvl w:val="3"/>
        <w:numId w:val="27"/>
      </w:numPr>
      <w:tabs>
        <w:tab w:val="left" w:pos="1656"/>
        <w:tab w:val="left" w:pos="2232"/>
        <w:tab w:val="left" w:pos="2808"/>
      </w:tabs>
      <w:spacing w:line="480" w:lineRule="exact"/>
    </w:pPr>
    <w:rPr>
      <w:szCs w:val="20"/>
    </w:rPr>
  </w:style>
  <w:style w:type="paragraph" w:customStyle="1" w:styleId="Level05">
    <w:name w:val="$Level05"/>
    <w:basedOn w:val="Normal"/>
    <w:rsid w:val="008F21F5"/>
    <w:pPr>
      <w:numPr>
        <w:ilvl w:val="5"/>
        <w:numId w:val="27"/>
      </w:numPr>
      <w:tabs>
        <w:tab w:val="left" w:pos="2376"/>
        <w:tab w:val="left" w:pos="2952"/>
        <w:tab w:val="left" w:pos="3528"/>
      </w:tabs>
      <w:spacing w:line="480" w:lineRule="exact"/>
    </w:pPr>
    <w:rPr>
      <w:szCs w:val="20"/>
    </w:rPr>
  </w:style>
  <w:style w:type="paragraph" w:customStyle="1" w:styleId="Level04">
    <w:name w:val="$Level04"/>
    <w:basedOn w:val="Normal"/>
    <w:rsid w:val="008F21F5"/>
    <w:pPr>
      <w:numPr>
        <w:ilvl w:val="4"/>
        <w:numId w:val="27"/>
      </w:numPr>
      <w:tabs>
        <w:tab w:val="left" w:pos="2016"/>
        <w:tab w:val="left" w:pos="2592"/>
        <w:tab w:val="left" w:pos="3168"/>
      </w:tabs>
      <w:spacing w:line="480" w:lineRule="exact"/>
    </w:pPr>
    <w:rPr>
      <w:szCs w:val="20"/>
    </w:rPr>
  </w:style>
  <w:style w:type="paragraph" w:customStyle="1" w:styleId="Level06">
    <w:name w:val="$Level06"/>
    <w:basedOn w:val="Normal"/>
    <w:rsid w:val="008F21F5"/>
    <w:pPr>
      <w:numPr>
        <w:ilvl w:val="6"/>
        <w:numId w:val="27"/>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8F21F5"/>
    <w:pPr>
      <w:widowControl w:val="0"/>
      <w:numPr>
        <w:numId w:val="27"/>
      </w:numPr>
      <w:tabs>
        <w:tab w:val="left" w:pos="576"/>
        <w:tab w:val="left" w:pos="1152"/>
      </w:tabs>
      <w:spacing w:line="480" w:lineRule="exact"/>
    </w:pPr>
    <w:rPr>
      <w:szCs w:val="20"/>
    </w:rPr>
  </w:style>
  <w:style w:type="paragraph" w:customStyle="1" w:styleId="Level01">
    <w:name w:val="$Level01"/>
    <w:basedOn w:val="Normal"/>
    <w:rsid w:val="008F21F5"/>
    <w:pPr>
      <w:widowControl w:val="0"/>
      <w:numPr>
        <w:ilvl w:val="1"/>
        <w:numId w:val="27"/>
      </w:numPr>
      <w:tabs>
        <w:tab w:val="left" w:pos="1512"/>
        <w:tab w:val="left" w:pos="2088"/>
      </w:tabs>
      <w:spacing w:line="480" w:lineRule="exact"/>
    </w:pPr>
    <w:rPr>
      <w:szCs w:val="20"/>
    </w:rPr>
  </w:style>
  <w:style w:type="paragraph" w:customStyle="1" w:styleId="Level02">
    <w:name w:val="$Level02"/>
    <w:basedOn w:val="Normal"/>
    <w:rsid w:val="008F21F5"/>
    <w:pPr>
      <w:widowControl w:val="0"/>
      <w:numPr>
        <w:ilvl w:val="2"/>
        <w:numId w:val="27"/>
      </w:numPr>
      <w:tabs>
        <w:tab w:val="left" w:pos="1944"/>
        <w:tab w:val="left" w:pos="2520"/>
      </w:tabs>
      <w:spacing w:line="480" w:lineRule="exact"/>
    </w:pPr>
    <w:rPr>
      <w:szCs w:val="20"/>
    </w:rPr>
  </w:style>
  <w:style w:type="character" w:customStyle="1" w:styleId="documentbody">
    <w:name w:val="documentbody"/>
    <w:basedOn w:val="DefaultParagraphFont"/>
    <w:rsid w:val="008F21F5"/>
  </w:style>
  <w:style w:type="character" w:customStyle="1" w:styleId="searchterm">
    <w:name w:val="searchterm"/>
    <w:basedOn w:val="DefaultParagraphFont"/>
    <w:rsid w:val="008F21F5"/>
  </w:style>
  <w:style w:type="paragraph" w:customStyle="1" w:styleId="testimony">
    <w:name w:val="testimony"/>
    <w:basedOn w:val="Normal"/>
    <w:rsid w:val="008F21F5"/>
    <w:pPr>
      <w:tabs>
        <w:tab w:val="left" w:pos="720"/>
        <w:tab w:val="left" w:pos="2160"/>
      </w:tabs>
      <w:spacing w:line="440" w:lineRule="atLeast"/>
      <w:ind w:hanging="360"/>
    </w:pPr>
    <w:rPr>
      <w:rFonts w:ascii="Times" w:hAnsi="Times"/>
      <w:szCs w:val="20"/>
    </w:rPr>
  </w:style>
  <w:style w:type="paragraph" w:customStyle="1" w:styleId="Testimony0">
    <w:name w:val="Testimony"/>
    <w:basedOn w:val="Normal"/>
    <w:rsid w:val="008F21F5"/>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paragraph" w:customStyle="1" w:styleId="MoPSCTestimony">
    <w:name w:val="MoPSC Testimony"/>
    <w:basedOn w:val="Normal"/>
    <w:rsid w:val="008F21F5"/>
    <w:pPr>
      <w:spacing w:line="480" w:lineRule="auto"/>
      <w:ind w:firstLine="720"/>
    </w:pPr>
  </w:style>
  <w:style w:type="paragraph" w:customStyle="1" w:styleId="Heading3Text">
    <w:name w:val="Heading 3 Text"/>
    <w:basedOn w:val="Normal"/>
    <w:rsid w:val="008F21F5"/>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8F21F5"/>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8F21F5"/>
    <w:pPr>
      <w:spacing w:line="480" w:lineRule="atLeast"/>
      <w:ind w:firstLine="720"/>
    </w:pPr>
    <w:rPr>
      <w:rFonts w:ascii="NewCenturySchlbk" w:hAnsi="NewCenturySchlbk"/>
      <w:szCs w:val="20"/>
    </w:rPr>
  </w:style>
  <w:style w:type="paragraph" w:customStyle="1" w:styleId="Heading1Text">
    <w:name w:val="Heading 1 Text"/>
    <w:basedOn w:val="Normal"/>
    <w:rsid w:val="008F21F5"/>
    <w:pPr>
      <w:spacing w:line="480" w:lineRule="atLeast"/>
      <w:ind w:firstLine="720"/>
    </w:pPr>
    <w:rPr>
      <w:rFonts w:ascii="NewCenturySchlbk" w:hAnsi="NewCenturySchlbk"/>
      <w:szCs w:val="20"/>
    </w:rPr>
  </w:style>
  <w:style w:type="paragraph" w:customStyle="1" w:styleId="Question0">
    <w:name w:val="$Question"/>
    <w:basedOn w:val="Normal"/>
    <w:next w:val="NormalIndent"/>
    <w:rsid w:val="008F21F5"/>
    <w:pPr>
      <w:widowControl w:val="0"/>
      <w:spacing w:line="480" w:lineRule="exact"/>
      <w:ind w:left="576" w:hanging="576"/>
    </w:pPr>
    <w:rPr>
      <w:szCs w:val="20"/>
    </w:rPr>
  </w:style>
  <w:style w:type="paragraph" w:customStyle="1" w:styleId="08RFPBody">
    <w:name w:val="08RFP Body"/>
    <w:basedOn w:val="Normal"/>
    <w:link w:val="08RFPBodyChar"/>
    <w:rsid w:val="008F21F5"/>
    <w:pPr>
      <w:spacing w:after="240"/>
      <w:jc w:val="both"/>
    </w:pPr>
    <w:rPr>
      <w:rFonts w:ascii="Arial" w:hAnsi="Arial"/>
      <w:sz w:val="20"/>
      <w:szCs w:val="20"/>
    </w:rPr>
  </w:style>
  <w:style w:type="character" w:customStyle="1" w:styleId="08RFPBodyChar">
    <w:name w:val="08RFP Body Char"/>
    <w:link w:val="08RFPBody"/>
    <w:rsid w:val="008F21F5"/>
    <w:rPr>
      <w:rFonts w:ascii="Arial" w:hAnsi="Arial"/>
      <w:lang w:val="en-US" w:eastAsia="en-US" w:bidi="ar-SA"/>
    </w:rPr>
  </w:style>
  <w:style w:type="paragraph" w:customStyle="1" w:styleId="08RFPFigureTitle">
    <w:name w:val="08RFP Figure Title"/>
    <w:basedOn w:val="Normal"/>
    <w:link w:val="08RFPFigureTitleChar"/>
    <w:rsid w:val="008F21F5"/>
    <w:pPr>
      <w:spacing w:after="120"/>
    </w:pPr>
    <w:rPr>
      <w:rFonts w:ascii="Palatino Linotype" w:hAnsi="Palatino Linotype"/>
      <w:b/>
      <w:szCs w:val="20"/>
    </w:rPr>
  </w:style>
  <w:style w:type="character" w:customStyle="1" w:styleId="08RFPFigureTitleChar">
    <w:name w:val="08RFP Figure Title Char"/>
    <w:link w:val="08RFPFigureTitle"/>
    <w:rsid w:val="008F21F5"/>
    <w:rPr>
      <w:rFonts w:ascii="Palatino Linotype" w:hAnsi="Palatino Linotype"/>
      <w:b/>
      <w:sz w:val="24"/>
      <w:lang w:val="en-US" w:eastAsia="en-US" w:bidi="ar-SA"/>
    </w:rPr>
  </w:style>
  <w:style w:type="character" w:customStyle="1" w:styleId="h2Char">
    <w:name w:val="h2 Char"/>
    <w:rsid w:val="00732A53"/>
    <w:rPr>
      <w:b/>
      <w:noProof w:val="0"/>
      <w:sz w:val="24"/>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A128D2-0406-4C9F-8EC2-C1DE33002A6C}"/>
</file>

<file path=customXml/itemProps2.xml><?xml version="1.0" encoding="utf-8"?>
<ds:datastoreItem xmlns:ds="http://schemas.openxmlformats.org/officeDocument/2006/customXml" ds:itemID="{0CF4ACF2-BA84-4B91-9A15-3376D9D86006}"/>
</file>

<file path=customXml/itemProps3.xml><?xml version="1.0" encoding="utf-8"?>
<ds:datastoreItem xmlns:ds="http://schemas.openxmlformats.org/officeDocument/2006/customXml" ds:itemID="{3E4410D5-DC81-4CC6-AEFC-0681C6C449D9}"/>
</file>

<file path=customXml/itemProps4.xml><?xml version="1.0" encoding="utf-8"?>
<ds:datastoreItem xmlns:ds="http://schemas.openxmlformats.org/officeDocument/2006/customXml" ds:itemID="{2445D747-E9C8-46EB-8C91-EE4EABFF8AD8}"/>
</file>

<file path=customXml/itemProps5.xml><?xml version="1.0" encoding="utf-8"?>
<ds:datastoreItem xmlns:ds="http://schemas.openxmlformats.org/officeDocument/2006/customXml" ds:itemID="{A4FC672A-59BA-4245-BF92-F90A94A5AA12}"/>
</file>

<file path=docProps/app.xml><?xml version="1.0" encoding="utf-8"?>
<Properties xmlns="http://schemas.openxmlformats.org/officeDocument/2006/extended-properties" xmlns:vt="http://schemas.openxmlformats.org/officeDocument/2006/docPropsVTypes">
  <Template>Normal.dotm</Template>
  <TotalTime>1</TotalTime>
  <Pages>17</Pages>
  <Words>3597</Words>
  <Characters>20504</Characters>
  <Application>Microsoft Office Word</Application>
  <DocSecurity>4</DocSecurity>
  <PresentationFormat/>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2</cp:revision>
  <cp:lastPrinted>2013-11-01T20:06:00Z</cp:lastPrinted>
  <dcterms:created xsi:type="dcterms:W3CDTF">2013-11-01T20:07:00Z</dcterms:created>
  <dcterms:modified xsi:type="dcterms:W3CDTF">2013-11-01T20:07:00Z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oFAAC41Wbh9etaWTCjCZrFsWcomCw8VJqOZSXWIhK5JCVtehBs9YWoG49hEgWySGlZRZGnZmT22ZWg2m
vJRkoIqGvOrnt/noNNZKConfPU8GR3fB7XSNg60KJHO5Q/iOy27Pr6qKFOwa5nUXrDgg8OAS/nyR
o24nQjc9PHF21sSrXpPH4ITJticMM4IacLuwPpXTr959ckPP/dSe+1EuwPKUaLzmWNOP/SdmcT1c
7bV5toXzCRT1ncqP2</vt:lpwstr>
  </property>
  <property fmtid="{D5CDD505-2E9C-101B-9397-08002B2CF9AE}" pid="3" name="MAIL_MSG_ID2">
    <vt:lpwstr>fG6L+93YfMRpLJI0W2DEsunDNpljf1GNIf6GXXPigc90VAMK65ibkT3KmQn
OGh5gqqMEcl8SIyP9hS5WaBvDeoAckvDOq/IlF/vLCOYzZxh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