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6DF" w:rsidRDefault="00C816DF" w:rsidP="00C816DF">
      <w:pPr>
        <w:pStyle w:val="ParNumber"/>
        <w:numPr>
          <w:ilvl w:val="0"/>
          <w:numId w:val="0"/>
        </w:numPr>
        <w:spacing w:line="240" w:lineRule="exact"/>
        <w:jc w:val="center"/>
        <w:rPr>
          <w:b/>
          <w:bCs/>
        </w:rPr>
      </w:pPr>
      <w:bookmarkStart w:id="0" w:name="_GoBack"/>
      <w:bookmarkEnd w:id="0"/>
    </w:p>
    <w:p w:rsidR="00C816DF" w:rsidRDefault="00C816DF" w:rsidP="00C816DF">
      <w:pPr>
        <w:pStyle w:val="CourtName"/>
        <w:rPr>
          <w:b/>
          <w:bCs/>
          <w:caps/>
        </w:rPr>
      </w:pPr>
    </w:p>
    <w:p w:rsidR="00C816DF" w:rsidRDefault="00C816DF" w:rsidP="00C816DF">
      <w:pPr>
        <w:pStyle w:val="CourtName"/>
        <w:rPr>
          <w:b/>
          <w:bCs/>
          <w:caps/>
        </w:rPr>
      </w:pPr>
    </w:p>
    <w:p w:rsidR="00C816DF" w:rsidRDefault="00C816DF" w:rsidP="00C816DF">
      <w:pPr>
        <w:jc w:val="center"/>
        <w:rPr>
          <w:b/>
          <w:szCs w:val="20"/>
        </w:rPr>
      </w:pPr>
      <w:r>
        <w:rPr>
          <w:b/>
          <w:szCs w:val="20"/>
        </w:rPr>
        <w:t xml:space="preserve">BEFORE THE </w:t>
      </w:r>
    </w:p>
    <w:p w:rsidR="00C816DF" w:rsidRDefault="00C816DF" w:rsidP="00C816DF">
      <w:pPr>
        <w:jc w:val="center"/>
        <w:rPr>
          <w:b/>
          <w:szCs w:val="20"/>
        </w:rPr>
      </w:pPr>
    </w:p>
    <w:p w:rsidR="00C816DF" w:rsidRDefault="00C816DF" w:rsidP="00C816DF">
      <w:pPr>
        <w:jc w:val="center"/>
        <w:rPr>
          <w:b/>
          <w:szCs w:val="20"/>
        </w:rPr>
      </w:pPr>
      <w:r>
        <w:rPr>
          <w:b/>
          <w:szCs w:val="20"/>
        </w:rPr>
        <w:t>WASHINGTON UTILITIES AND TRANSPORTATION COMMISSION</w:t>
      </w:r>
    </w:p>
    <w:p w:rsidR="00C816DF" w:rsidRDefault="00C816DF" w:rsidP="00C816DF">
      <w:pPr>
        <w:jc w:val="center"/>
        <w:rPr>
          <w:b/>
          <w:szCs w:val="20"/>
        </w:rPr>
      </w:pPr>
    </w:p>
    <w:p w:rsidR="00C816DF" w:rsidRDefault="00C816DF" w:rsidP="00C816DF">
      <w:pPr>
        <w:jc w:val="center"/>
        <w:rPr>
          <w:b/>
          <w:szCs w:val="20"/>
        </w:rPr>
      </w:pPr>
    </w:p>
    <w:p w:rsidR="00C816DF" w:rsidRDefault="00C816DF" w:rsidP="00C816DF">
      <w:pPr>
        <w:jc w:val="center"/>
        <w:rPr>
          <w:b/>
          <w:szCs w:val="20"/>
        </w:rPr>
      </w:pPr>
    </w:p>
    <w:p w:rsidR="00C816DF" w:rsidRDefault="00C816DF" w:rsidP="00C816DF">
      <w:pPr>
        <w:jc w:val="center"/>
        <w:rPr>
          <w:b/>
          <w:szCs w:val="20"/>
        </w:rPr>
      </w:pPr>
    </w:p>
    <w:p w:rsidR="00C816DF" w:rsidRDefault="00C816DF" w:rsidP="00C816DF">
      <w:pPr>
        <w:ind w:left="270"/>
        <w:jc w:val="center"/>
        <w:rPr>
          <w:b/>
          <w:szCs w:val="20"/>
        </w:rPr>
      </w:pPr>
    </w:p>
    <w:p w:rsidR="00C816DF" w:rsidRDefault="00C816DF" w:rsidP="00C816DF">
      <w:pPr>
        <w:rPr>
          <w:szCs w:val="20"/>
        </w:rPr>
      </w:pPr>
    </w:p>
    <w:tbl>
      <w:tblPr>
        <w:tblW w:w="8820" w:type="dxa"/>
        <w:tblInd w:w="360" w:type="dxa"/>
        <w:tblLayout w:type="fixed"/>
        <w:tblCellMar>
          <w:left w:w="0" w:type="dxa"/>
          <w:right w:w="0" w:type="dxa"/>
        </w:tblCellMar>
        <w:tblLook w:val="0000" w:firstRow="0" w:lastRow="0" w:firstColumn="0" w:lastColumn="0" w:noHBand="0" w:noVBand="0"/>
      </w:tblPr>
      <w:tblGrid>
        <w:gridCol w:w="4500"/>
        <w:gridCol w:w="276"/>
        <w:gridCol w:w="4044"/>
      </w:tblGrid>
      <w:tr w:rsidR="00C816DF" w:rsidTr="002B1F2E">
        <w:tc>
          <w:tcPr>
            <w:tcW w:w="4500" w:type="dxa"/>
            <w:tcBorders>
              <w:right w:val="single" w:sz="4" w:space="0" w:color="auto"/>
            </w:tcBorders>
          </w:tcPr>
          <w:p w:rsidR="00C816DF" w:rsidRDefault="00C816DF" w:rsidP="002B1F2E">
            <w:pPr>
              <w:spacing w:after="120"/>
              <w:rPr>
                <w:szCs w:val="20"/>
              </w:rPr>
            </w:pPr>
            <w:r>
              <w:rPr>
                <w:szCs w:val="20"/>
              </w:rPr>
              <w:t>In the Matter of the Petition of</w:t>
            </w:r>
            <w:r>
              <w:rPr>
                <w:szCs w:val="20"/>
              </w:rPr>
              <w:br/>
            </w:r>
            <w:r>
              <w:rPr>
                <w:szCs w:val="20"/>
              </w:rPr>
              <w:br/>
              <w:t xml:space="preserve">PUGET SOUND ENERGY, INC. </w:t>
            </w:r>
            <w:r>
              <w:rPr>
                <w:szCs w:val="20"/>
              </w:rPr>
              <w:br/>
              <w:t>and NW ENERGY COALITION</w:t>
            </w:r>
            <w:r>
              <w:rPr>
                <w:szCs w:val="20"/>
              </w:rPr>
              <w:br/>
            </w:r>
            <w:r>
              <w:rPr>
                <w:szCs w:val="20"/>
              </w:rPr>
              <w:br/>
            </w:r>
            <w:r>
              <w:rPr>
                <w:szCs w:val="20"/>
              </w:rPr>
              <w:br/>
              <w:t>For an Order Authorizing PSE To Implement Electric and Natural Gas Decoupling Mechanisms and To Record Accounting Entries Associated With the Mechanisms</w:t>
            </w:r>
          </w:p>
        </w:tc>
        <w:tc>
          <w:tcPr>
            <w:tcW w:w="276" w:type="dxa"/>
            <w:tcBorders>
              <w:left w:val="single" w:sz="4" w:space="0" w:color="auto"/>
            </w:tcBorders>
          </w:tcPr>
          <w:p w:rsidR="00C816DF" w:rsidRDefault="00C816DF" w:rsidP="002B1F2E">
            <w:pPr>
              <w:rPr>
                <w:szCs w:val="20"/>
              </w:rPr>
            </w:pPr>
          </w:p>
          <w:p w:rsidR="00C816DF" w:rsidRDefault="00C816DF" w:rsidP="002B1F2E">
            <w:pPr>
              <w:rPr>
                <w:szCs w:val="20"/>
              </w:rPr>
            </w:pPr>
          </w:p>
        </w:tc>
        <w:tc>
          <w:tcPr>
            <w:tcW w:w="4044" w:type="dxa"/>
          </w:tcPr>
          <w:p w:rsidR="00C816DF" w:rsidRDefault="00C816DF" w:rsidP="002B1F2E">
            <w:pPr>
              <w:spacing w:after="120"/>
              <w:rPr>
                <w:szCs w:val="20"/>
              </w:rPr>
            </w:pPr>
            <w:bookmarkStart w:id="1" w:name="CaseNumber"/>
            <w:bookmarkEnd w:id="1"/>
            <w:r>
              <w:rPr>
                <w:szCs w:val="20"/>
              </w:rPr>
              <w:t xml:space="preserve">DOCKET NOS. UE-121697 </w:t>
            </w:r>
            <w:r>
              <w:rPr>
                <w:szCs w:val="20"/>
              </w:rPr>
              <w:br/>
              <w:t>and UG-121704</w:t>
            </w:r>
          </w:p>
          <w:p w:rsidR="00C816DF" w:rsidRDefault="00C816DF" w:rsidP="002B1F2E">
            <w:pPr>
              <w:spacing w:after="120"/>
              <w:rPr>
                <w:szCs w:val="20"/>
              </w:rPr>
            </w:pPr>
          </w:p>
          <w:p w:rsidR="00C816DF" w:rsidRDefault="00C816DF" w:rsidP="00C816DF">
            <w:pPr>
              <w:spacing w:after="120"/>
              <w:rPr>
                <w:szCs w:val="20"/>
              </w:rPr>
            </w:pPr>
            <w:r>
              <w:rPr>
                <w:b/>
                <w:szCs w:val="20"/>
              </w:rPr>
              <w:t xml:space="preserve">JOINT RESPONSE TO PETITION FOR RECONSIDERATION FILED BY </w:t>
            </w:r>
            <w:r w:rsidR="0047284C">
              <w:rPr>
                <w:b/>
                <w:szCs w:val="20"/>
              </w:rPr>
              <w:t xml:space="preserve">THE </w:t>
            </w:r>
            <w:r>
              <w:rPr>
                <w:b/>
                <w:szCs w:val="20"/>
              </w:rPr>
              <w:t>KROGER</w:t>
            </w:r>
            <w:r w:rsidR="0047284C">
              <w:rPr>
                <w:b/>
                <w:szCs w:val="20"/>
              </w:rPr>
              <w:t xml:space="preserve"> COMPANY</w:t>
            </w:r>
          </w:p>
        </w:tc>
      </w:tr>
      <w:tr w:rsidR="00C816DF" w:rsidTr="002B1F2E">
        <w:tc>
          <w:tcPr>
            <w:tcW w:w="4500" w:type="dxa"/>
            <w:tcBorders>
              <w:bottom w:val="single" w:sz="4" w:space="0" w:color="auto"/>
              <w:right w:val="single" w:sz="4" w:space="0" w:color="auto"/>
            </w:tcBorders>
          </w:tcPr>
          <w:p w:rsidR="00C816DF" w:rsidRDefault="00C816DF" w:rsidP="002B1F2E">
            <w:pPr>
              <w:tabs>
                <w:tab w:val="left" w:pos="2160"/>
              </w:tabs>
              <w:spacing w:line="264" w:lineRule="auto"/>
              <w:rPr>
                <w:bCs/>
                <w:sz w:val="25"/>
                <w:szCs w:val="25"/>
              </w:rPr>
            </w:pPr>
          </w:p>
        </w:tc>
        <w:tc>
          <w:tcPr>
            <w:tcW w:w="276" w:type="dxa"/>
            <w:tcBorders>
              <w:left w:val="single" w:sz="4" w:space="0" w:color="auto"/>
            </w:tcBorders>
          </w:tcPr>
          <w:p w:rsidR="00C816DF" w:rsidRDefault="00C816DF" w:rsidP="002B1F2E">
            <w:pPr>
              <w:rPr>
                <w:szCs w:val="20"/>
              </w:rPr>
            </w:pPr>
          </w:p>
        </w:tc>
        <w:tc>
          <w:tcPr>
            <w:tcW w:w="4044" w:type="dxa"/>
          </w:tcPr>
          <w:p w:rsidR="00C816DF" w:rsidRDefault="00C816DF" w:rsidP="002B1F2E">
            <w:pPr>
              <w:spacing w:after="120"/>
              <w:rPr>
                <w:b/>
                <w:szCs w:val="20"/>
              </w:rPr>
            </w:pPr>
          </w:p>
        </w:tc>
      </w:tr>
    </w:tbl>
    <w:p w:rsidR="00C816DF" w:rsidRDefault="00C816DF" w:rsidP="00C816DF">
      <w:pPr>
        <w:pStyle w:val="CourtName"/>
        <w:rPr>
          <w:b/>
          <w:bCs/>
          <w:caps/>
        </w:rPr>
      </w:pPr>
    </w:p>
    <w:p w:rsidR="00C816DF" w:rsidRDefault="00C816DF" w:rsidP="00C816DF">
      <w:pPr>
        <w:pStyle w:val="CourtName"/>
        <w:rPr>
          <w:b/>
          <w:bCs/>
          <w:caps/>
        </w:rPr>
      </w:pPr>
    </w:p>
    <w:p w:rsidR="00C816DF" w:rsidRDefault="00C816DF" w:rsidP="00C816DF">
      <w:pPr>
        <w:pStyle w:val="CourtName"/>
        <w:rPr>
          <w:b/>
          <w:bCs/>
          <w:caps/>
        </w:rPr>
      </w:pPr>
    </w:p>
    <w:p w:rsidR="00C816DF" w:rsidRDefault="00C816DF" w:rsidP="00C816DF">
      <w:pPr>
        <w:pStyle w:val="CourtName"/>
        <w:rPr>
          <w:b/>
          <w:bCs/>
          <w:caps/>
        </w:rPr>
      </w:pPr>
    </w:p>
    <w:p w:rsidR="00C816DF" w:rsidRDefault="00C816DF" w:rsidP="00C816DF">
      <w:pPr>
        <w:pStyle w:val="CourtName"/>
        <w:rPr>
          <w:b/>
          <w:bCs/>
          <w:caps/>
        </w:rPr>
      </w:pPr>
    </w:p>
    <w:p w:rsidR="00C816DF" w:rsidRDefault="00C816DF" w:rsidP="00C816DF">
      <w:pPr>
        <w:pStyle w:val="CourtName"/>
        <w:rPr>
          <w:b/>
          <w:bCs/>
          <w:caps/>
        </w:rPr>
      </w:pPr>
    </w:p>
    <w:p w:rsidR="00C816DF" w:rsidRDefault="00C816DF" w:rsidP="00C816DF">
      <w:pPr>
        <w:pStyle w:val="CourtName"/>
        <w:rPr>
          <w:b/>
          <w:bCs/>
          <w:caps/>
        </w:rPr>
      </w:pPr>
    </w:p>
    <w:p w:rsidR="00C816DF" w:rsidRDefault="00C816DF" w:rsidP="00C816DF">
      <w:pPr>
        <w:pStyle w:val="ParNumber"/>
        <w:numPr>
          <w:ilvl w:val="0"/>
          <w:numId w:val="0"/>
        </w:numPr>
      </w:pPr>
    </w:p>
    <w:p w:rsidR="00C816DF" w:rsidRDefault="00C816DF" w:rsidP="00C816DF">
      <w:pPr>
        <w:pStyle w:val="ParNumber"/>
        <w:numPr>
          <w:ilvl w:val="0"/>
          <w:numId w:val="0"/>
        </w:numPr>
      </w:pPr>
    </w:p>
    <w:p w:rsidR="00C816DF" w:rsidRDefault="00C816DF" w:rsidP="00C816DF">
      <w:pPr>
        <w:pStyle w:val="ParNumber"/>
        <w:numPr>
          <w:ilvl w:val="0"/>
          <w:numId w:val="0"/>
        </w:numPr>
      </w:pPr>
    </w:p>
    <w:p w:rsidR="00C816DF" w:rsidRDefault="00C816DF" w:rsidP="00C816DF">
      <w:pPr>
        <w:pStyle w:val="ParNumber"/>
        <w:numPr>
          <w:ilvl w:val="0"/>
          <w:numId w:val="0"/>
        </w:numPr>
      </w:pPr>
    </w:p>
    <w:p w:rsidR="00C816DF" w:rsidRDefault="00C816DF" w:rsidP="00C816DF">
      <w:pPr>
        <w:pStyle w:val="ParNumber"/>
        <w:numPr>
          <w:ilvl w:val="0"/>
          <w:numId w:val="0"/>
        </w:numPr>
      </w:pPr>
    </w:p>
    <w:p w:rsidR="00C816DF" w:rsidRDefault="00C816DF" w:rsidP="00C816DF">
      <w:pPr>
        <w:pStyle w:val="ParNumber"/>
        <w:numPr>
          <w:ilvl w:val="0"/>
          <w:numId w:val="0"/>
        </w:numPr>
      </w:pPr>
    </w:p>
    <w:p w:rsidR="00C816DF" w:rsidRDefault="00C816DF" w:rsidP="00C816DF">
      <w:pPr>
        <w:pStyle w:val="ParNumber"/>
        <w:numPr>
          <w:ilvl w:val="0"/>
          <w:numId w:val="0"/>
        </w:numPr>
      </w:pPr>
    </w:p>
    <w:p w:rsidR="00C816DF" w:rsidRDefault="00C816DF" w:rsidP="00C816DF">
      <w:pPr>
        <w:pStyle w:val="ParNumber"/>
        <w:numPr>
          <w:ilvl w:val="0"/>
          <w:numId w:val="0"/>
        </w:numPr>
      </w:pPr>
    </w:p>
    <w:p w:rsidR="00C816DF" w:rsidRDefault="00C816DF" w:rsidP="00C816DF">
      <w:pPr>
        <w:pStyle w:val="ParNumber"/>
        <w:numPr>
          <w:ilvl w:val="0"/>
          <w:numId w:val="0"/>
        </w:numPr>
      </w:pPr>
    </w:p>
    <w:p w:rsidR="00C816DF" w:rsidRDefault="00C816DF" w:rsidP="00C816DF">
      <w:pPr>
        <w:pStyle w:val="ParNumber"/>
        <w:numPr>
          <w:ilvl w:val="0"/>
          <w:numId w:val="0"/>
        </w:numPr>
      </w:pPr>
    </w:p>
    <w:p w:rsidR="00C816DF" w:rsidRDefault="00C816DF" w:rsidP="00C816DF">
      <w:pPr>
        <w:pStyle w:val="ParNumber"/>
        <w:numPr>
          <w:ilvl w:val="0"/>
          <w:numId w:val="0"/>
        </w:numPr>
      </w:pPr>
    </w:p>
    <w:p w:rsidR="00C816DF" w:rsidRDefault="00C816DF" w:rsidP="00C816DF">
      <w:pPr>
        <w:pStyle w:val="ParNumber"/>
        <w:numPr>
          <w:ilvl w:val="0"/>
          <w:numId w:val="0"/>
        </w:numPr>
      </w:pPr>
    </w:p>
    <w:p w:rsidR="00C816DF" w:rsidRDefault="00C816DF" w:rsidP="00C816DF">
      <w:pPr>
        <w:pStyle w:val="ParNumber"/>
        <w:numPr>
          <w:ilvl w:val="0"/>
          <w:numId w:val="0"/>
        </w:numPr>
      </w:pPr>
    </w:p>
    <w:p w:rsidR="00C816DF" w:rsidRPr="008146FA" w:rsidRDefault="00C816DF" w:rsidP="00C816DF">
      <w:pPr>
        <w:pStyle w:val="ParNumber"/>
        <w:numPr>
          <w:ilvl w:val="0"/>
          <w:numId w:val="0"/>
        </w:numPr>
        <w:rPr>
          <w:b/>
        </w:rPr>
      </w:pPr>
    </w:p>
    <w:p w:rsidR="00C816DF" w:rsidRPr="008146FA" w:rsidRDefault="00C816DF" w:rsidP="00C816DF">
      <w:pPr>
        <w:jc w:val="center"/>
        <w:rPr>
          <w:b/>
        </w:rPr>
      </w:pPr>
      <w:r w:rsidRPr="008146FA">
        <w:rPr>
          <w:b/>
        </w:rPr>
        <w:t>NOVEMBER 1, 2013</w:t>
      </w:r>
    </w:p>
    <w:p w:rsidR="00260F0B" w:rsidRDefault="00260F0B">
      <w:pPr>
        <w:sectPr w:rsidR="00260F0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1152" w:gutter="0"/>
          <w:paperSrc w:first="15" w:other="15"/>
          <w:pgNumType w:fmt="lowerRoman" w:start="1"/>
          <w:cols w:space="720"/>
          <w:noEndnote/>
        </w:sectPr>
      </w:pPr>
    </w:p>
    <w:p w:rsidR="00260F0B" w:rsidRDefault="00106290" w:rsidP="00106290">
      <w:pPr>
        <w:pStyle w:val="Heading1"/>
      </w:pPr>
      <w:r>
        <w:lastRenderedPageBreak/>
        <w:t>Introduction</w:t>
      </w:r>
    </w:p>
    <w:p w:rsidR="00106290" w:rsidRDefault="00106290"/>
    <w:p w:rsidR="004E2A05" w:rsidRPr="00106290" w:rsidRDefault="00C51EE6">
      <w:pPr>
        <w:pStyle w:val="ParNumber"/>
        <w:tabs>
          <w:tab w:val="clear" w:pos="360"/>
          <w:tab w:val="clear" w:pos="720"/>
          <w:tab w:val="left" w:pos="1350"/>
        </w:tabs>
        <w:spacing w:line="480" w:lineRule="auto"/>
        <w:rPr>
          <w:b/>
          <w:bCs/>
        </w:rPr>
      </w:pPr>
      <w:r>
        <w:tab/>
      </w:r>
      <w:r w:rsidR="004E2A05">
        <w:t xml:space="preserve">Commission Staff, Puget Sound Energy, Inc. (“PSE”), NW Energy </w:t>
      </w:r>
      <w:r w:rsidR="00950A55">
        <w:t>C</w:t>
      </w:r>
      <w:r w:rsidR="004E2A05">
        <w:t xml:space="preserve">oalition (“NWEC”), </w:t>
      </w:r>
      <w:r w:rsidR="00E4749E">
        <w:t>and The Kroger</w:t>
      </w:r>
      <w:r w:rsidR="002F792B">
        <w:t xml:space="preserve"> </w:t>
      </w:r>
      <w:r w:rsidR="00E4749E">
        <w:t xml:space="preserve">Co. (“Kroger”) </w:t>
      </w:r>
      <w:r w:rsidR="007705C1">
        <w:t>(</w:t>
      </w:r>
      <w:r w:rsidR="00D03D12">
        <w:t>collectively</w:t>
      </w:r>
      <w:r w:rsidR="002F792B">
        <w:t xml:space="preserve"> referred to as the</w:t>
      </w:r>
      <w:r w:rsidR="00D03D12">
        <w:t xml:space="preserve"> </w:t>
      </w:r>
      <w:r w:rsidR="004E2A05">
        <w:t xml:space="preserve">“Joint Parties”) present this filing to the Commission in response to </w:t>
      </w:r>
      <w:r w:rsidR="00F27444">
        <w:t>the Commission’s Notice of Procedural Conference dated July 12, 2013, and the Commission’s Notice of Revised Deadline To File Answers to Petitions For Reconsideration</w:t>
      </w:r>
      <w:r w:rsidR="00260F0B">
        <w:t>,</w:t>
      </w:r>
      <w:r w:rsidR="004E2A05">
        <w:t xml:space="preserve"> dated </w:t>
      </w:r>
      <w:r w:rsidR="00CE463C">
        <w:t>October</w:t>
      </w:r>
      <w:r w:rsidR="00902804">
        <w:t xml:space="preserve"> 8, 2013 </w:t>
      </w:r>
      <w:r w:rsidR="004E2A05">
        <w:t xml:space="preserve">in </w:t>
      </w:r>
      <w:r w:rsidR="00950A55">
        <w:t xml:space="preserve">Docket UG-121705 (the “Decoupling Docket”).  </w:t>
      </w:r>
      <w:r w:rsidR="004E2A05">
        <w:t xml:space="preserve">The Joint Parties have engaged in meaningful dialogue and have reached agreement on an alternative approach for </w:t>
      </w:r>
      <w:r w:rsidR="00E4749E">
        <w:t xml:space="preserve">certain </w:t>
      </w:r>
      <w:r w:rsidR="004E2A05">
        <w:t xml:space="preserve">large, non-residential </w:t>
      </w:r>
      <w:r w:rsidR="00E4749E">
        <w:t>electric</w:t>
      </w:r>
      <w:r w:rsidR="004E2A05">
        <w:t xml:space="preserve"> customers</w:t>
      </w:r>
      <w:r w:rsidR="00950A55">
        <w:t>.</w:t>
      </w:r>
      <w:r w:rsidR="00FF1A21">
        <w:t xml:space="preserve"> </w:t>
      </w:r>
      <w:r w:rsidR="00950A55">
        <w:t xml:space="preserve"> </w:t>
      </w:r>
      <w:r w:rsidR="00D03D12">
        <w:t xml:space="preserve">In this Joint Response, the Joint Parties ask the Commission to adopt the </w:t>
      </w:r>
      <w:r w:rsidR="00037721">
        <w:t xml:space="preserve">proposed </w:t>
      </w:r>
      <w:r w:rsidR="00D03D12">
        <w:t xml:space="preserve">alternative decoupling </w:t>
      </w:r>
      <w:r w:rsidR="001124F1">
        <w:t xml:space="preserve">mechanism </w:t>
      </w:r>
      <w:r w:rsidR="002F5503">
        <w:t xml:space="preserve">for customers served under Schedules 26 and 31, as </w:t>
      </w:r>
      <w:r w:rsidR="00D03D12">
        <w:t>described in this filing</w:t>
      </w:r>
      <w:r w:rsidR="00D03D12" w:rsidRPr="0078142D">
        <w:t>.</w:t>
      </w:r>
      <w:r w:rsidR="00DE488C" w:rsidRPr="0078142D">
        <w:t xml:space="preserve">  </w:t>
      </w:r>
      <w:r w:rsidR="00037721">
        <w:t xml:space="preserve">Adoption of this proposal as presented will satisfy the petition for reconsideration filed by </w:t>
      </w:r>
      <w:r w:rsidR="00E4749E">
        <w:t>Kroger</w:t>
      </w:r>
      <w:r w:rsidR="00037721">
        <w:t xml:space="preserve">.  </w:t>
      </w:r>
      <w:r w:rsidR="00E4749E">
        <w:t>Kroger</w:t>
      </w:r>
      <w:r w:rsidR="00037721">
        <w:t xml:space="preserve"> agrees to drop its request for reconsideration of the issue of ROE reduction, set forth in Section </w:t>
      </w:r>
      <w:r w:rsidR="00CE463C">
        <w:t>II.</w:t>
      </w:r>
      <w:r w:rsidR="00E4749E">
        <w:t>A</w:t>
      </w:r>
      <w:r w:rsidR="00CE463C">
        <w:t xml:space="preserve"> </w:t>
      </w:r>
      <w:r w:rsidR="00037721">
        <w:t>of its petition for reconsideration, if the Commission approves the alternative to decoupling proposed herein.</w:t>
      </w:r>
      <w:r w:rsidR="00A35AA3">
        <w:rPr>
          <w:rStyle w:val="FootnoteReference"/>
        </w:rPr>
        <w:footnoteReference w:id="1"/>
      </w:r>
    </w:p>
    <w:p w:rsidR="00106290" w:rsidRDefault="00106290" w:rsidP="00106290">
      <w:pPr>
        <w:pStyle w:val="Heading1"/>
      </w:pPr>
      <w:r>
        <w:t>background</w:t>
      </w:r>
    </w:p>
    <w:p w:rsidR="00A51E03" w:rsidRPr="00A51E03" w:rsidRDefault="00A51E03" w:rsidP="00A51E03"/>
    <w:p w:rsidR="00D55382" w:rsidRPr="002F792B" w:rsidRDefault="00C51EE6">
      <w:pPr>
        <w:pStyle w:val="ParNumber"/>
        <w:tabs>
          <w:tab w:val="clear" w:pos="360"/>
          <w:tab w:val="clear" w:pos="720"/>
          <w:tab w:val="left" w:pos="1350"/>
        </w:tabs>
        <w:spacing w:line="480" w:lineRule="auto"/>
        <w:rPr>
          <w:b/>
          <w:bCs/>
        </w:rPr>
      </w:pPr>
      <w:r>
        <w:tab/>
      </w:r>
      <w:r w:rsidR="00A51E03">
        <w:t>On June 25, 2013, the Commission entered and served Order 07, its Final Order, in the above-captioned dockets</w:t>
      </w:r>
      <w:r w:rsidR="00D03D12">
        <w:t xml:space="preserve">, which </w:t>
      </w:r>
      <w:r w:rsidR="00A51E03">
        <w:t xml:space="preserve">approved decoupling mechanisms for </w:t>
      </w:r>
      <w:r w:rsidR="00D55382">
        <w:t xml:space="preserve">PSE customers.  Although the Commission determined in </w:t>
      </w:r>
      <w:r w:rsidR="00D03D12">
        <w:t>Order 07</w:t>
      </w:r>
      <w:r w:rsidR="00D55382">
        <w:t xml:space="preserve"> to include non-residential </w:t>
      </w:r>
      <w:r w:rsidR="00E4749E">
        <w:t>electric</w:t>
      </w:r>
      <w:r w:rsidR="00D55382">
        <w:t xml:space="preserve"> customers on Schedule</w:t>
      </w:r>
      <w:r w:rsidR="00E4749E">
        <w:t>s 2</w:t>
      </w:r>
      <w:r w:rsidR="00E4730B">
        <w:t>6</w:t>
      </w:r>
      <w:r w:rsidR="00E4749E">
        <w:t xml:space="preserve"> </w:t>
      </w:r>
      <w:r w:rsidR="00D55382">
        <w:t xml:space="preserve">and </w:t>
      </w:r>
      <w:r w:rsidR="00E4749E">
        <w:t>31</w:t>
      </w:r>
      <w:r w:rsidR="00D55382">
        <w:t xml:space="preserve"> in the decoupling mechanism</w:t>
      </w:r>
      <w:r w:rsidR="00A51E03">
        <w:t>,</w:t>
      </w:r>
      <w:r w:rsidR="00D55382">
        <w:t xml:space="preserve"> the Commission encouraged the parties to explore alternatives to decoupling for non-residential customers:  </w:t>
      </w:r>
    </w:p>
    <w:p w:rsidR="002F792B" w:rsidRPr="002F792B" w:rsidRDefault="002F792B" w:rsidP="002F792B">
      <w:pPr>
        <w:pStyle w:val="Quote"/>
      </w:pPr>
      <w:r w:rsidRPr="002F792B">
        <w:t xml:space="preserve">The Commission determines that we should not at this time exclude from the decoupling mechanisms non-residential customers other than electric lighting and retail wheeling </w:t>
      </w:r>
      <w:r w:rsidRPr="002F792B">
        <w:lastRenderedPageBreak/>
        <w:t>customers, and gas lighting, gas water heater rentals and special contracts.  However, we strongly encourage customers such as Kroger and Nucor Steel, and trade organizations such as ICNU and NWIGU, to engage in meaningful dialogue with PSE, Staff and others who take an interest, and with the Commission, to monitor carefully how decoupling is working out in practice.  It may be that there are alternatives for some, or all, non-residential customers that are better suited to meeting decoupling’s goals than are the current decoupling mechanisms.  The Commission remains open to hearing fully supported alternative proposals for fixed cost recovery from the non-residential class of customers, or subsets of the class.</w:t>
      </w:r>
      <w:r w:rsidR="00023F3D">
        <w:rPr>
          <w:rStyle w:val="FootnoteReference"/>
        </w:rPr>
        <w:footnoteReference w:id="2"/>
      </w:r>
    </w:p>
    <w:p w:rsidR="002F792B" w:rsidRDefault="002F792B" w:rsidP="002F792B">
      <w:pPr>
        <w:pStyle w:val="Quote"/>
      </w:pPr>
    </w:p>
    <w:p w:rsidR="001252E1" w:rsidRPr="001252E1" w:rsidRDefault="00C51EE6" w:rsidP="001252E1">
      <w:pPr>
        <w:pStyle w:val="ParNumber"/>
        <w:tabs>
          <w:tab w:val="clear" w:pos="360"/>
          <w:tab w:val="clear" w:pos="720"/>
          <w:tab w:val="left" w:pos="1350"/>
        </w:tabs>
        <w:spacing w:line="480" w:lineRule="auto"/>
        <w:rPr>
          <w:b/>
          <w:bCs/>
        </w:rPr>
      </w:pPr>
      <w:r>
        <w:tab/>
      </w:r>
      <w:r w:rsidR="002F792B">
        <w:t xml:space="preserve">On July 5, 2013, </w:t>
      </w:r>
      <w:r w:rsidR="00E4749E">
        <w:t>Kroger</w:t>
      </w:r>
      <w:r w:rsidR="002F792B">
        <w:t xml:space="preserve"> filed a petition for reconsideration of Order 07.  </w:t>
      </w:r>
      <w:r w:rsidR="005064DE">
        <w:t>Kroger</w:t>
      </w:r>
      <w:r w:rsidR="00BA386C">
        <w:t xml:space="preserve"> requested the Commission to reconsider its decision </w:t>
      </w:r>
      <w:r w:rsidR="005064DE">
        <w:t xml:space="preserve">because, according to Kroger: </w:t>
      </w:r>
      <w:r w:rsidR="005B0F4E">
        <w:t>“</w:t>
      </w:r>
      <w:r w:rsidR="005064DE">
        <w:t>including larger non-residential electric customers in the decoupling mechanism at this time will provide PSE with little incentive to engage its customers on the subject of developing rate design solutions that can address the Company’s fixed cost recovery concerns as an alternative to revenue decoupling.</w:t>
      </w:r>
      <w:r w:rsidR="005B0F4E">
        <w:t>”</w:t>
      </w:r>
      <w:r w:rsidR="005B0F4E">
        <w:rPr>
          <w:rStyle w:val="FootnoteReference"/>
        </w:rPr>
        <w:footnoteReference w:id="3"/>
      </w:r>
      <w:r w:rsidR="005064DE">
        <w:t xml:space="preserve">  </w:t>
      </w:r>
      <w:r w:rsidR="005B0F4E">
        <w:t xml:space="preserve">Kroger also </w:t>
      </w:r>
      <w:r w:rsidR="001252E1">
        <w:t>asked the Commission to reconsider its decision not to reduce PSE’s return on equity.</w:t>
      </w:r>
    </w:p>
    <w:p w:rsidR="00BA386C" w:rsidRPr="001252E1" w:rsidRDefault="00C51EE6" w:rsidP="001252E1">
      <w:pPr>
        <w:pStyle w:val="ParNumber"/>
        <w:tabs>
          <w:tab w:val="clear" w:pos="360"/>
          <w:tab w:val="clear" w:pos="720"/>
          <w:tab w:val="left" w:pos="1350"/>
        </w:tabs>
        <w:spacing w:line="480" w:lineRule="auto"/>
        <w:rPr>
          <w:b/>
          <w:bCs/>
        </w:rPr>
      </w:pPr>
      <w:r>
        <w:tab/>
      </w:r>
      <w:r w:rsidR="00BA386C">
        <w:t xml:space="preserve">The Commission issued a Notice of Procedural Conference on July 12, 2013.  In that notice the Commission stated the following:  </w:t>
      </w:r>
    </w:p>
    <w:p w:rsidR="00BA386C" w:rsidRDefault="00023F3D" w:rsidP="00BA386C">
      <w:pPr>
        <w:pStyle w:val="Quote"/>
      </w:pPr>
      <w:r w:rsidRPr="00023F3D">
        <w:t>The pending petitions for reconsideration open the possibility that this “meaningful dialogue” might occur sooner, rather than later, possibly leading to an alternative approach, or alternative approaches, for some, or all, non-residential customers that are better suited to meeting decoupling’s goals than are the current decoupling mechanisms.  The Commission wishes to discuss with the parties on the record whether it should, and how it might best procedurally, facilitate such efforts.  The Commission will convene a procedural conference for this purpose.</w:t>
      </w:r>
    </w:p>
    <w:p w:rsidR="00BA386C" w:rsidRPr="00BA386C" w:rsidRDefault="00BA386C" w:rsidP="00BA386C">
      <w:pPr>
        <w:pStyle w:val="Quote"/>
      </w:pPr>
    </w:p>
    <w:p w:rsidR="00525869" w:rsidRPr="00525869" w:rsidRDefault="00C51EE6">
      <w:pPr>
        <w:pStyle w:val="ParNumber"/>
        <w:tabs>
          <w:tab w:val="clear" w:pos="360"/>
          <w:tab w:val="clear" w:pos="720"/>
          <w:tab w:val="left" w:pos="1350"/>
        </w:tabs>
        <w:spacing w:line="480" w:lineRule="auto"/>
        <w:rPr>
          <w:b/>
          <w:bCs/>
        </w:rPr>
      </w:pPr>
      <w:r>
        <w:tab/>
      </w:r>
      <w:r w:rsidR="00535D42">
        <w:t xml:space="preserve">The Commission convened the Procedural Conference on July 15, 2013.  </w:t>
      </w:r>
      <w:r w:rsidR="00535D42" w:rsidRPr="00535D42">
        <w:t>Based on discussion</w:t>
      </w:r>
      <w:r w:rsidR="00346B23">
        <w:t>s at the Procedural Conference</w:t>
      </w:r>
      <w:r w:rsidR="00535D42" w:rsidRPr="00535D42">
        <w:t>, the Commission establish</w:t>
      </w:r>
      <w:r w:rsidR="00535D42">
        <w:t>ed</w:t>
      </w:r>
      <w:r w:rsidR="00535D42" w:rsidRPr="00535D42">
        <w:t xml:space="preserve"> a schedule to provide an opportunity for the parties to conduct collaborative sessions to explore alternative approaches to achieving the underlying goals and purposes of decoupling for the non-residential class of customers.</w:t>
      </w:r>
      <w:r w:rsidR="00346B23">
        <w:rPr>
          <w:rStyle w:val="FootnoteReference"/>
        </w:rPr>
        <w:footnoteReference w:id="4"/>
      </w:r>
      <w:r w:rsidR="00535D42" w:rsidRPr="00535D42">
        <w:t xml:space="preserve">  </w:t>
      </w:r>
    </w:p>
    <w:p w:rsidR="00260F0B" w:rsidRDefault="00C51EE6">
      <w:pPr>
        <w:pStyle w:val="ParNumber"/>
        <w:tabs>
          <w:tab w:val="clear" w:pos="360"/>
          <w:tab w:val="clear" w:pos="720"/>
          <w:tab w:val="left" w:pos="1350"/>
        </w:tabs>
        <w:spacing w:line="480" w:lineRule="auto"/>
        <w:rPr>
          <w:b/>
          <w:bCs/>
        </w:rPr>
      </w:pPr>
      <w:r>
        <w:rPr>
          <w:bCs/>
        </w:rPr>
        <w:tab/>
      </w:r>
      <w:r w:rsidR="00346B23">
        <w:rPr>
          <w:bCs/>
        </w:rPr>
        <w:t xml:space="preserve">The parties met </w:t>
      </w:r>
      <w:r w:rsidR="00E12CE7">
        <w:rPr>
          <w:bCs/>
        </w:rPr>
        <w:t xml:space="preserve">in person and telephonically </w:t>
      </w:r>
      <w:r w:rsidR="00346B23">
        <w:rPr>
          <w:bCs/>
        </w:rPr>
        <w:t xml:space="preserve">to discuss alternative approaches to achieving the underlying goals and purposes of decoupling for the non-residential class of customers on August 5, August </w:t>
      </w:r>
      <w:r w:rsidR="00B316C4">
        <w:rPr>
          <w:bCs/>
        </w:rPr>
        <w:t>19</w:t>
      </w:r>
      <w:r w:rsidR="00346B23">
        <w:rPr>
          <w:bCs/>
        </w:rPr>
        <w:t xml:space="preserve">, </w:t>
      </w:r>
      <w:r w:rsidR="00B316C4">
        <w:rPr>
          <w:bCs/>
        </w:rPr>
        <w:t>September 30</w:t>
      </w:r>
      <w:r w:rsidR="000748B8">
        <w:rPr>
          <w:bCs/>
        </w:rPr>
        <w:t>, October 7, October 14, and October 17</w:t>
      </w:r>
      <w:r w:rsidR="00B316C4">
        <w:rPr>
          <w:bCs/>
        </w:rPr>
        <w:t>.</w:t>
      </w:r>
      <w:r w:rsidR="0036452B">
        <w:rPr>
          <w:rStyle w:val="FootnoteReference"/>
          <w:bCs/>
        </w:rPr>
        <w:footnoteReference w:id="5"/>
      </w:r>
      <w:r w:rsidR="00B316C4">
        <w:rPr>
          <w:bCs/>
        </w:rPr>
        <w:t xml:space="preserve">  In addition</w:t>
      </w:r>
      <w:r w:rsidR="00D03D12">
        <w:rPr>
          <w:bCs/>
        </w:rPr>
        <w:t xml:space="preserve"> to these scheduled meetings</w:t>
      </w:r>
      <w:r w:rsidR="00B316C4">
        <w:rPr>
          <w:bCs/>
        </w:rPr>
        <w:t xml:space="preserve">, the parties corresponded informally by email, telephone calls, and </w:t>
      </w:r>
      <w:r w:rsidR="00D03D12">
        <w:rPr>
          <w:bCs/>
        </w:rPr>
        <w:t xml:space="preserve">face-to-face </w:t>
      </w:r>
      <w:r w:rsidR="00B316C4">
        <w:rPr>
          <w:bCs/>
        </w:rPr>
        <w:t xml:space="preserve">meetings to further discuss alternative approaches.   </w:t>
      </w:r>
    </w:p>
    <w:p w:rsidR="00845894" w:rsidRPr="00845894" w:rsidRDefault="00C51EE6">
      <w:pPr>
        <w:pStyle w:val="ParNumber"/>
        <w:tabs>
          <w:tab w:val="clear" w:pos="360"/>
          <w:tab w:val="clear" w:pos="720"/>
          <w:tab w:val="left" w:pos="1350"/>
        </w:tabs>
        <w:spacing w:line="480" w:lineRule="auto"/>
        <w:rPr>
          <w:b/>
          <w:bCs/>
        </w:rPr>
      </w:pPr>
      <w:r>
        <w:rPr>
          <w:bCs/>
        </w:rPr>
        <w:tab/>
      </w:r>
      <w:r w:rsidR="00B316C4">
        <w:rPr>
          <w:bCs/>
        </w:rPr>
        <w:t xml:space="preserve">As a result of these collaborations, the Joint Parties </w:t>
      </w:r>
      <w:r w:rsidR="00BA20E6">
        <w:rPr>
          <w:bCs/>
        </w:rPr>
        <w:t xml:space="preserve">reached agreement on </w:t>
      </w:r>
      <w:r w:rsidR="00B316C4">
        <w:rPr>
          <w:bCs/>
        </w:rPr>
        <w:t xml:space="preserve">an alternative approach to achieving the underlying goals and purposes of decoupling for </w:t>
      </w:r>
      <w:r w:rsidR="001252E1">
        <w:rPr>
          <w:bCs/>
        </w:rPr>
        <w:t>Schedules 26 and 31</w:t>
      </w:r>
      <w:r w:rsidR="00845894">
        <w:t>.</w:t>
      </w:r>
      <w:r w:rsidR="00BA20E6">
        <w:t xml:space="preserve">  The </w:t>
      </w:r>
      <w:r w:rsidR="0085223D">
        <w:t xml:space="preserve">agreed-upon proposal </w:t>
      </w:r>
      <w:r w:rsidR="00BA20E6">
        <w:t xml:space="preserve">is presented to the Commission in this filing.  </w:t>
      </w:r>
      <w:r w:rsidR="00BE74B9">
        <w:t>The parties also discussed possible alternatives to decoupling for Schedule 40,</w:t>
      </w:r>
      <w:r w:rsidR="008C4411" w:rsidRPr="008C4411">
        <w:t xml:space="preserve"> </w:t>
      </w:r>
      <w:r w:rsidR="008C4411">
        <w:t>but no agreement on Schedule 40 was reached in this forum.</w:t>
      </w:r>
      <w:r w:rsidR="00BE74B9">
        <w:t xml:space="preserve">  Schedule 40 will be discussed in upcoming collaborative</w:t>
      </w:r>
      <w:r w:rsidR="00144644">
        <w:t>s</w:t>
      </w:r>
      <w:r w:rsidR="008C4411">
        <w:t>.</w:t>
      </w:r>
      <w:r w:rsidR="00BE74B9">
        <w:rPr>
          <w:rStyle w:val="FootnoteReference"/>
        </w:rPr>
        <w:footnoteReference w:id="6"/>
      </w:r>
      <w:r w:rsidR="00B20A04">
        <w:t xml:space="preserve"> </w:t>
      </w:r>
      <w:r w:rsidR="00B20A04">
        <w:rPr>
          <w:rStyle w:val="CommentReference"/>
        </w:rPr>
        <w:t xml:space="preserve"> </w:t>
      </w:r>
    </w:p>
    <w:p w:rsidR="000A7B06" w:rsidRPr="0047284C" w:rsidRDefault="00C51EE6">
      <w:pPr>
        <w:pStyle w:val="ParNumber"/>
        <w:tabs>
          <w:tab w:val="clear" w:pos="360"/>
          <w:tab w:val="clear" w:pos="720"/>
          <w:tab w:val="left" w:pos="1350"/>
        </w:tabs>
        <w:spacing w:line="480" w:lineRule="auto"/>
        <w:rPr>
          <w:b/>
          <w:bCs/>
        </w:rPr>
      </w:pPr>
      <w:r>
        <w:tab/>
      </w:r>
      <w:r w:rsidR="00E4730B">
        <w:t>Kroger</w:t>
      </w:r>
      <w:r w:rsidR="00E4730B" w:rsidRPr="00E13540">
        <w:t xml:space="preserve"> agrees to drop its request for reconsideration with respect to the ROE reduction issue if the Commission approves the proposal presented herein.</w:t>
      </w:r>
      <w:r w:rsidR="00E4730B">
        <w:t xml:space="preserve">  </w:t>
      </w:r>
      <w:r w:rsidR="000A7B06">
        <w:t xml:space="preserve">No further action by the Commission is required in response to the Petition For Reconsideration filed by </w:t>
      </w:r>
      <w:r w:rsidR="001252E1">
        <w:t>Kroger</w:t>
      </w:r>
      <w:r w:rsidR="00D03D12">
        <w:t xml:space="preserve"> if the Commission approves this proposal</w:t>
      </w:r>
      <w:r w:rsidR="000A7B06">
        <w:t xml:space="preserve">.  </w:t>
      </w:r>
      <w:r w:rsidR="00E4730B">
        <w:t xml:space="preserve">The Joint Parties request that the Commission approve this proposal.  </w:t>
      </w:r>
    </w:p>
    <w:p w:rsidR="0047284C" w:rsidRPr="008D7BE6" w:rsidRDefault="0047284C" w:rsidP="0047284C">
      <w:pPr>
        <w:pStyle w:val="ParNumber"/>
        <w:numPr>
          <w:ilvl w:val="0"/>
          <w:numId w:val="0"/>
        </w:numPr>
        <w:tabs>
          <w:tab w:val="clear" w:pos="720"/>
          <w:tab w:val="left" w:pos="1350"/>
        </w:tabs>
        <w:spacing w:line="480" w:lineRule="auto"/>
        <w:ind w:left="360"/>
        <w:rPr>
          <w:b/>
          <w:bCs/>
        </w:rPr>
      </w:pPr>
    </w:p>
    <w:p w:rsidR="008D7BE6" w:rsidRDefault="008D7BE6" w:rsidP="008D7BE6">
      <w:pPr>
        <w:pStyle w:val="Heading1"/>
      </w:pPr>
      <w:r>
        <w:t>proposed alternative decoupling</w:t>
      </w:r>
      <w:r w:rsidR="001124F1">
        <w:t xml:space="preserve"> </w:t>
      </w:r>
      <w:r w:rsidR="002F5503">
        <w:t>MECHANISM</w:t>
      </w:r>
    </w:p>
    <w:p w:rsidR="00081C37" w:rsidRPr="00081C37" w:rsidRDefault="00081C37" w:rsidP="00081C37"/>
    <w:p w:rsidR="008D7BE6" w:rsidRPr="00D652C6" w:rsidRDefault="00081C37" w:rsidP="008D7BE6">
      <w:pPr>
        <w:rPr>
          <w:b/>
          <w:u w:val="single"/>
        </w:rPr>
      </w:pPr>
      <w:r w:rsidRPr="00D652C6">
        <w:rPr>
          <w:b/>
          <w:u w:val="single"/>
        </w:rPr>
        <w:t>A.</w:t>
      </w:r>
      <w:r w:rsidRPr="00D652C6">
        <w:rPr>
          <w:b/>
          <w:u w:val="single"/>
        </w:rPr>
        <w:tab/>
        <w:t xml:space="preserve">The Proposed Alternative </w:t>
      </w:r>
      <w:r w:rsidR="001124F1">
        <w:rPr>
          <w:b/>
          <w:u w:val="single"/>
        </w:rPr>
        <w:t>for Customers Served Under Schedules 26 and 31</w:t>
      </w:r>
      <w:r w:rsidRPr="00D652C6">
        <w:rPr>
          <w:b/>
          <w:u w:val="single"/>
        </w:rPr>
        <w:t xml:space="preserve"> </w:t>
      </w:r>
    </w:p>
    <w:p w:rsidR="00081C37" w:rsidRPr="00081C37" w:rsidRDefault="00081C37" w:rsidP="008D7BE6">
      <w:pPr>
        <w:rPr>
          <w:b/>
        </w:rPr>
      </w:pPr>
    </w:p>
    <w:p w:rsidR="00D45AD1" w:rsidRDefault="00C51EE6" w:rsidP="005E62CB">
      <w:pPr>
        <w:pStyle w:val="ParNumber"/>
        <w:tabs>
          <w:tab w:val="clear" w:pos="360"/>
          <w:tab w:val="left" w:pos="1350"/>
        </w:tabs>
        <w:spacing w:line="480" w:lineRule="auto"/>
      </w:pPr>
      <w:r>
        <w:tab/>
      </w:r>
      <w:r w:rsidR="00C816DF">
        <w:tab/>
      </w:r>
      <w:r w:rsidR="005E62CB">
        <w:t>The Joint Parties propose that</w:t>
      </w:r>
      <w:r w:rsidR="001124F1">
        <w:t>, effective January 1, 2014,</w:t>
      </w:r>
      <w:r w:rsidR="00260F0B">
        <w:t xml:space="preserve"> Schedules </w:t>
      </w:r>
      <w:r w:rsidR="001252E1">
        <w:t>26 and 31</w:t>
      </w:r>
      <w:r w:rsidR="005E62CB">
        <w:t xml:space="preserve"> will be </w:t>
      </w:r>
      <w:r w:rsidR="00FB5FD8">
        <w:t xml:space="preserve">moved </w:t>
      </w:r>
      <w:r w:rsidR="00970737">
        <w:t xml:space="preserve">into new rate groups within </w:t>
      </w:r>
      <w:r w:rsidR="005E62CB">
        <w:t xml:space="preserve">the </w:t>
      </w:r>
      <w:r w:rsidR="001124F1">
        <w:t xml:space="preserve">existing </w:t>
      </w:r>
      <w:r w:rsidR="00FB5FD8">
        <w:t xml:space="preserve">electric </w:t>
      </w:r>
      <w:r w:rsidR="005E62CB">
        <w:t xml:space="preserve">decoupling mechanism </w:t>
      </w:r>
      <w:r w:rsidR="00C62EB3">
        <w:t>as described in more detail below</w:t>
      </w:r>
      <w:r w:rsidR="00404F26">
        <w:t xml:space="preserve">.  </w:t>
      </w:r>
      <w:r w:rsidR="00D45AD1">
        <w:t xml:space="preserve">  </w:t>
      </w:r>
    </w:p>
    <w:p w:rsidR="00260F0B" w:rsidRDefault="00C51EE6" w:rsidP="005E62CB">
      <w:pPr>
        <w:pStyle w:val="ParNumber"/>
        <w:tabs>
          <w:tab w:val="clear" w:pos="360"/>
          <w:tab w:val="left" w:pos="1350"/>
        </w:tabs>
        <w:spacing w:line="480" w:lineRule="auto"/>
      </w:pPr>
      <w:r>
        <w:tab/>
      </w:r>
      <w:r w:rsidR="004D2DE1">
        <w:tab/>
      </w:r>
      <w:r w:rsidR="007D4BD0">
        <w:t xml:space="preserve">The Joint Parties request </w:t>
      </w:r>
      <w:r w:rsidR="00273D9F">
        <w:t>approval by</w:t>
      </w:r>
      <w:r w:rsidR="007D4BD0">
        <w:t xml:space="preserve"> the Commission </w:t>
      </w:r>
      <w:r w:rsidR="00273D9F">
        <w:t>of</w:t>
      </w:r>
      <w:r w:rsidR="007D4BD0">
        <w:t xml:space="preserve"> a modified form of decoupling for customers served under Schedules 26 and 31 where, most importantly, </w:t>
      </w:r>
      <w:r w:rsidR="00FB5FD8">
        <w:t xml:space="preserve">the operation of the mechanism </w:t>
      </w:r>
      <w:r w:rsidR="007D4BD0">
        <w:t xml:space="preserve">is tied to demand charge revenue rather than revenue derived from energy charges.  </w:t>
      </w:r>
      <w:r w:rsidR="00B76124" w:rsidRPr="00B76124">
        <w:t xml:space="preserve">The </w:t>
      </w:r>
      <w:r w:rsidR="00B76124">
        <w:t>proposed</w:t>
      </w:r>
      <w:r w:rsidR="00B76124" w:rsidRPr="00B76124">
        <w:t xml:space="preserve"> alternative </w:t>
      </w:r>
      <w:r w:rsidR="00F54443">
        <w:t xml:space="preserve"> </w:t>
      </w:r>
      <w:r w:rsidR="00E361E0">
        <w:t>includes changes in rate design such that some of the costs currently recovered through energy charges will instead be recovered through demand charges</w:t>
      </w:r>
      <w:r w:rsidR="00821006">
        <w:t>.</w:t>
      </w:r>
      <w:r w:rsidR="00B76124" w:rsidRPr="00B76124">
        <w:t xml:space="preserve"> </w:t>
      </w:r>
      <w:r w:rsidR="00F54443">
        <w:t xml:space="preserve"> Also t</w:t>
      </w:r>
      <w:r w:rsidR="00B76124" w:rsidRPr="00B76124">
        <w:t xml:space="preserve">he </w:t>
      </w:r>
      <w:r w:rsidR="00B76124">
        <w:t>proposed alternative</w:t>
      </w:r>
      <w:r w:rsidR="00B76124" w:rsidRPr="00B76124">
        <w:t xml:space="preserve"> adopts a decoupling mechanism for Schedule 26 and 31 customers that</w:t>
      </w:r>
      <w:r w:rsidR="00965D3C">
        <w:t xml:space="preserve"> some parties believe</w:t>
      </w:r>
      <w:r w:rsidR="00B76124" w:rsidRPr="00B76124">
        <w:t xml:space="preserve"> is likely to have less </w:t>
      </w:r>
      <w:r w:rsidR="00F54443">
        <w:t>volatility</w:t>
      </w:r>
      <w:r w:rsidR="00F54443" w:rsidRPr="00B76124">
        <w:t xml:space="preserve"> </w:t>
      </w:r>
      <w:r w:rsidR="00B76124" w:rsidRPr="00B76124">
        <w:t xml:space="preserve">in </w:t>
      </w:r>
      <w:r w:rsidR="00F54443">
        <w:t xml:space="preserve">annual </w:t>
      </w:r>
      <w:r w:rsidR="00B76124" w:rsidRPr="00B76124">
        <w:t xml:space="preserve">adjustment charges than the </w:t>
      </w:r>
      <w:r w:rsidR="00F54443">
        <w:t xml:space="preserve">kilowatt-hour based </w:t>
      </w:r>
      <w:r w:rsidR="00B76124" w:rsidRPr="00B76124">
        <w:t>mechanism.</w:t>
      </w:r>
    </w:p>
    <w:p w:rsidR="00E361E0" w:rsidRDefault="00C816DF" w:rsidP="005E62CB">
      <w:pPr>
        <w:pStyle w:val="ParNumber"/>
        <w:tabs>
          <w:tab w:val="clear" w:pos="360"/>
          <w:tab w:val="left" w:pos="1350"/>
        </w:tabs>
        <w:spacing w:line="480" w:lineRule="auto"/>
      </w:pPr>
      <w:r>
        <w:tab/>
      </w:r>
      <w:r>
        <w:tab/>
      </w:r>
      <w:r w:rsidR="00E361E0">
        <w:t xml:space="preserve">Finally, the Joint Parties propose that the evaluation of the decoupling mechanism provided for in the original PSE/NW Energy Coalition joint proposal be modified to include </w:t>
      </w:r>
      <w:r w:rsidR="00970737">
        <w:t xml:space="preserve">an </w:t>
      </w:r>
      <w:r w:rsidR="00E361E0">
        <w:t xml:space="preserve">examination of whether and how the change to rate design for Schedule 26 and 31 affects </w:t>
      </w:r>
      <w:r w:rsidR="00036CDA">
        <w:t xml:space="preserve">conservation achievement by these </w:t>
      </w:r>
      <w:r w:rsidR="00E361E0">
        <w:t>customer</w:t>
      </w:r>
      <w:r w:rsidR="00036CDA">
        <w:t>s</w:t>
      </w:r>
      <w:r w:rsidR="00E361E0">
        <w:t xml:space="preserve">.  </w:t>
      </w:r>
      <w:r w:rsidR="00EE227D">
        <w:t xml:space="preserve">The evaluation will examine whether </w:t>
      </w:r>
      <w:r w:rsidR="00EE227D" w:rsidRPr="00EE227D">
        <w:t>there is conclusive evidence that the change had an appreciable effect on customers’ energy efficiency achievements, including but not limited to achievements made through customer participation in PSE’s energy efficiency programs.</w:t>
      </w:r>
    </w:p>
    <w:p w:rsidR="00081C37" w:rsidRDefault="00081C37" w:rsidP="00081C37"/>
    <w:p w:rsidR="0047284C" w:rsidRDefault="0047284C" w:rsidP="00081C37">
      <w:pPr>
        <w:rPr>
          <w:b/>
          <w:u w:val="single"/>
        </w:rPr>
      </w:pPr>
    </w:p>
    <w:p w:rsidR="0047284C" w:rsidRDefault="0047284C" w:rsidP="00081C37">
      <w:pPr>
        <w:rPr>
          <w:b/>
          <w:u w:val="single"/>
        </w:rPr>
      </w:pPr>
    </w:p>
    <w:p w:rsidR="0047284C" w:rsidRDefault="0047284C" w:rsidP="00081C37">
      <w:pPr>
        <w:rPr>
          <w:b/>
          <w:u w:val="single"/>
        </w:rPr>
      </w:pPr>
    </w:p>
    <w:p w:rsidR="0047284C" w:rsidRDefault="0047284C" w:rsidP="00081C37">
      <w:pPr>
        <w:rPr>
          <w:b/>
          <w:u w:val="single"/>
        </w:rPr>
      </w:pPr>
    </w:p>
    <w:p w:rsidR="0047284C" w:rsidRDefault="0047284C" w:rsidP="00081C37">
      <w:pPr>
        <w:rPr>
          <w:b/>
          <w:u w:val="single"/>
        </w:rPr>
      </w:pPr>
    </w:p>
    <w:p w:rsidR="00081C37" w:rsidRPr="00D652C6" w:rsidRDefault="00081C37" w:rsidP="00081C37">
      <w:pPr>
        <w:rPr>
          <w:b/>
          <w:u w:val="single"/>
        </w:rPr>
      </w:pPr>
      <w:r w:rsidRPr="00D652C6">
        <w:rPr>
          <w:b/>
          <w:u w:val="single"/>
        </w:rPr>
        <w:t>B.</w:t>
      </w:r>
      <w:r w:rsidRPr="00D652C6">
        <w:rPr>
          <w:b/>
          <w:u w:val="single"/>
        </w:rPr>
        <w:tab/>
      </w:r>
      <w:r w:rsidR="00D652C6" w:rsidRPr="00D652C6">
        <w:rPr>
          <w:b/>
          <w:u w:val="single"/>
        </w:rPr>
        <w:t xml:space="preserve">Description of the </w:t>
      </w:r>
      <w:r w:rsidRPr="00D652C6">
        <w:rPr>
          <w:b/>
          <w:u w:val="single"/>
        </w:rPr>
        <w:t xml:space="preserve">Proposed Alternative </w:t>
      </w:r>
      <w:r w:rsidR="00370191">
        <w:rPr>
          <w:b/>
          <w:u w:val="single"/>
        </w:rPr>
        <w:t xml:space="preserve">Existing </w:t>
      </w:r>
      <w:r w:rsidR="00E752DD">
        <w:rPr>
          <w:b/>
          <w:u w:val="single"/>
        </w:rPr>
        <w:t>Decoupling</w:t>
      </w:r>
      <w:r w:rsidR="00370191">
        <w:rPr>
          <w:b/>
          <w:u w:val="single"/>
        </w:rPr>
        <w:t xml:space="preserve"> Mechanism</w:t>
      </w:r>
    </w:p>
    <w:p w:rsidR="00081C37" w:rsidRDefault="00081C37" w:rsidP="00081C37">
      <w:pPr>
        <w:pStyle w:val="ParNumber"/>
        <w:numPr>
          <w:ilvl w:val="0"/>
          <w:numId w:val="0"/>
        </w:numPr>
        <w:tabs>
          <w:tab w:val="left" w:pos="1350"/>
        </w:tabs>
        <w:spacing w:line="480" w:lineRule="auto"/>
        <w:ind w:left="360"/>
      </w:pPr>
    </w:p>
    <w:p w:rsidR="00513B77" w:rsidRDefault="00C51EE6" w:rsidP="00C816DF">
      <w:pPr>
        <w:pStyle w:val="ParNumber"/>
        <w:tabs>
          <w:tab w:val="clear" w:pos="360"/>
          <w:tab w:val="clear" w:pos="720"/>
          <w:tab w:val="num" w:pos="1350"/>
        </w:tabs>
        <w:spacing w:line="480" w:lineRule="auto"/>
      </w:pPr>
      <w:r>
        <w:tab/>
      </w:r>
      <w:r w:rsidR="00370191">
        <w:t xml:space="preserve">The proposed alternative for Schedules 26 and 31 is composed of two primary components: a redesign of rates </w:t>
      </w:r>
      <w:r w:rsidR="009A714B">
        <w:t xml:space="preserve">for customers served </w:t>
      </w:r>
      <w:r w:rsidR="00370191">
        <w:t xml:space="preserve">under existing Schedules 26 and 31 and the application of a separate decoupling mechanism for these schedules.  </w:t>
      </w:r>
    </w:p>
    <w:p w:rsidR="00513B77" w:rsidRDefault="00C816DF" w:rsidP="00564BC1">
      <w:pPr>
        <w:pStyle w:val="ParNumber"/>
        <w:tabs>
          <w:tab w:val="clear" w:pos="360"/>
          <w:tab w:val="clear" w:pos="720"/>
          <w:tab w:val="num" w:pos="1440"/>
        </w:tabs>
        <w:spacing w:line="480" w:lineRule="auto"/>
      </w:pPr>
      <w:r>
        <w:tab/>
      </w:r>
      <w:r w:rsidR="00513B77">
        <w:t xml:space="preserve">Rates charged </w:t>
      </w:r>
      <w:r w:rsidR="009A714B">
        <w:t xml:space="preserve">for service </w:t>
      </w:r>
      <w:r w:rsidR="00513B77">
        <w:t>under Schedule 26 and 31 are proposed to be modified in the following manner:</w:t>
      </w:r>
    </w:p>
    <w:p w:rsidR="00513B77" w:rsidRDefault="00513B77" w:rsidP="00513B77">
      <w:pPr>
        <w:pStyle w:val="WUTCParagraph"/>
        <w:numPr>
          <w:ilvl w:val="0"/>
          <w:numId w:val="44"/>
        </w:numPr>
      </w:pPr>
      <w:r>
        <w:t xml:space="preserve">For each schedule, energy charges are </w:t>
      </w:r>
      <w:r w:rsidR="009A714B">
        <w:t>set</w:t>
      </w:r>
      <w:r>
        <w:t xml:space="preserve"> to recover 100 percent of the energy-related portion </w:t>
      </w:r>
      <w:r w:rsidR="00036CDA">
        <w:t xml:space="preserve">of </w:t>
      </w:r>
      <w:r>
        <w:t>each schedule’s allocated Power Cost Adjustment (“PCA”) mechanism costs</w:t>
      </w:r>
      <w:r w:rsidR="009A714B">
        <w:t>,</w:t>
      </w:r>
      <w:r>
        <w:t xml:space="preserve"> as reflected in pages 51 and 53 of PSE’s compliance Schedule 141 electric rate spread and rate design work papers</w:t>
      </w:r>
      <w:r w:rsidR="009A714B">
        <w:t>,</w:t>
      </w:r>
      <w:r>
        <w:t xml:space="preserve"> plus 50 percen</w:t>
      </w:r>
      <w:r w:rsidR="009A714B">
        <w:t xml:space="preserve">t of the difference between these costs and </w:t>
      </w:r>
      <w:r>
        <w:t xml:space="preserve">energy revenue that would be </w:t>
      </w:r>
      <w:r w:rsidR="009A714B">
        <w:t>recovered at existing base rates.</w:t>
      </w:r>
      <w:r w:rsidR="00A414A3">
        <w:rPr>
          <w:rStyle w:val="FootnoteReference"/>
        </w:rPr>
        <w:footnoteReference w:id="7"/>
      </w:r>
    </w:p>
    <w:p w:rsidR="009A714B" w:rsidRDefault="009A714B" w:rsidP="00513B77">
      <w:pPr>
        <w:pStyle w:val="WUTCParagraph"/>
        <w:numPr>
          <w:ilvl w:val="0"/>
          <w:numId w:val="44"/>
        </w:numPr>
      </w:pPr>
      <w:r>
        <w:t xml:space="preserve">For each schedule, the difference in revenue resulting from the change in energy charges is then added to the existing seasonal demand charges in proportion to the revenues derived from such demand charges in each season. </w:t>
      </w:r>
    </w:p>
    <w:p w:rsidR="009A714B" w:rsidRDefault="001905C5" w:rsidP="00513B77">
      <w:pPr>
        <w:pStyle w:val="WUTCParagraph"/>
        <w:numPr>
          <w:ilvl w:val="0"/>
          <w:numId w:val="44"/>
        </w:numPr>
      </w:pPr>
      <w:r>
        <w:t xml:space="preserve">For each schedule, their energy charges within </w:t>
      </w:r>
      <w:r w:rsidR="009A714B">
        <w:t xml:space="preserve">Schedule 141 </w:t>
      </w:r>
      <w:r>
        <w:t>are eliminated and the resulting difference in revenue is then added to the existing seasonal demand charges within Schedule 141 in proportion to the revenues derived from such Schedule 141 demand charges in each season.</w:t>
      </w:r>
    </w:p>
    <w:p w:rsidR="001905C5" w:rsidRDefault="001905C5" w:rsidP="00513B77">
      <w:pPr>
        <w:pStyle w:val="WUTCParagraph"/>
        <w:numPr>
          <w:ilvl w:val="0"/>
          <w:numId w:val="44"/>
        </w:numPr>
      </w:pPr>
      <w:r>
        <w:t xml:space="preserve">Spreadsheets illustrating these rate design changes are provided </w:t>
      </w:r>
      <w:r w:rsidR="007C2A0F">
        <w:t>as Exhibit No. ___(JPE-3)</w:t>
      </w:r>
      <w:r w:rsidR="00970737">
        <w:t xml:space="preserve"> </w:t>
      </w:r>
      <w:r>
        <w:t>to</w:t>
      </w:r>
      <w:r w:rsidR="007C2A0F">
        <w:t xml:space="preserve"> the Joint Testimony supporting</w:t>
      </w:r>
      <w:r>
        <w:t xml:space="preserve"> this Joint Response</w:t>
      </w:r>
      <w:r w:rsidR="007C2A0F">
        <w:t>.</w:t>
      </w:r>
      <w:r>
        <w:t xml:space="preserve"> </w:t>
      </w:r>
    </w:p>
    <w:p w:rsidR="00E13540" w:rsidRPr="00404F26" w:rsidRDefault="00C816DF" w:rsidP="00564BC1">
      <w:pPr>
        <w:pStyle w:val="ParNumber"/>
        <w:tabs>
          <w:tab w:val="clear" w:pos="360"/>
          <w:tab w:val="clear" w:pos="720"/>
          <w:tab w:val="num" w:pos="1440"/>
        </w:tabs>
        <w:spacing w:line="480" w:lineRule="auto"/>
      </w:pPr>
      <w:r>
        <w:tab/>
      </w:r>
      <w:r w:rsidR="00E13540">
        <w:t xml:space="preserve">Schedules </w:t>
      </w:r>
      <w:r w:rsidR="00BD71D3">
        <w:t>2</w:t>
      </w:r>
      <w:r w:rsidR="00113FD5">
        <w:t>6</w:t>
      </w:r>
      <w:r w:rsidR="00BD71D3">
        <w:t xml:space="preserve"> and 31</w:t>
      </w:r>
      <w:r w:rsidR="00E13540">
        <w:t xml:space="preserve"> of PSE </w:t>
      </w:r>
      <w:r w:rsidR="00BD71D3">
        <w:t xml:space="preserve">electric </w:t>
      </w:r>
      <w:r w:rsidR="00E13540">
        <w:t xml:space="preserve">tariff are </w:t>
      </w:r>
      <w:r w:rsidR="001905C5">
        <w:t xml:space="preserve">then </w:t>
      </w:r>
      <w:r w:rsidR="00E13540">
        <w:t xml:space="preserve">moved </w:t>
      </w:r>
      <w:r w:rsidR="00036CDA">
        <w:t>into new rate groups with</w:t>
      </w:r>
      <w:r w:rsidR="00E13540">
        <w:t xml:space="preserve"> the </w:t>
      </w:r>
      <w:r w:rsidR="007D4BD0">
        <w:t xml:space="preserve">existing electric </w:t>
      </w:r>
      <w:r w:rsidR="00E13540">
        <w:t>decoupling mechanism</w:t>
      </w:r>
      <w:r w:rsidR="001905C5">
        <w:t>.</w:t>
      </w:r>
      <w:r w:rsidR="007D4BD0">
        <w:t xml:space="preserve"> </w:t>
      </w:r>
      <w:r w:rsidR="00293FA6">
        <w:t xml:space="preserve">Schedules 26 and 31 are still subject to the rate plan increases each year. </w:t>
      </w:r>
      <w:r w:rsidR="001905C5">
        <w:t xml:space="preserve">The </w:t>
      </w:r>
      <w:r w:rsidR="007D4BD0">
        <w:t>basic elements</w:t>
      </w:r>
      <w:r w:rsidR="001905C5">
        <w:t xml:space="preserve"> of the alternative decoupling </w:t>
      </w:r>
      <w:r w:rsidR="00036CDA">
        <w:t xml:space="preserve">proposal for Schedules 26 and 31 </w:t>
      </w:r>
      <w:r w:rsidR="001905C5">
        <w:t xml:space="preserve">mirror those </w:t>
      </w:r>
      <w:r w:rsidR="00036CDA">
        <w:t>for other non-residential customers within</w:t>
      </w:r>
      <w:r w:rsidR="001905C5">
        <w:t xml:space="preserve"> the existing electric decoupling mechanism except for what is </w:t>
      </w:r>
      <w:r w:rsidR="007D4BD0">
        <w:t>described in more detail below</w:t>
      </w:r>
      <w:r w:rsidR="00E13540">
        <w:t>.</w:t>
      </w:r>
    </w:p>
    <w:p w:rsidR="00B90229" w:rsidRDefault="00B90229" w:rsidP="00E13540">
      <w:pPr>
        <w:pStyle w:val="WUTCParagraph"/>
        <w:numPr>
          <w:ilvl w:val="0"/>
          <w:numId w:val="44"/>
        </w:numPr>
      </w:pPr>
      <w:r>
        <w:t>Allowed Delivery Revenue Per Customer is calculated separately for customers served under Schedules 26 and 31.</w:t>
      </w:r>
    </w:p>
    <w:p w:rsidR="00370191" w:rsidRDefault="001905C5" w:rsidP="00E13540">
      <w:pPr>
        <w:pStyle w:val="WUTCParagraph"/>
        <w:numPr>
          <w:ilvl w:val="0"/>
          <w:numId w:val="44"/>
        </w:numPr>
      </w:pPr>
      <w:r>
        <w:t xml:space="preserve">Allowed </w:t>
      </w:r>
      <w:r w:rsidR="00B90229">
        <w:t xml:space="preserve">Volumetric </w:t>
      </w:r>
      <w:r>
        <w:t xml:space="preserve">Delivery Revenue Per Customer </w:t>
      </w:r>
      <w:r w:rsidR="00B90229">
        <w:t xml:space="preserve">for each schedule </w:t>
      </w:r>
      <w:r>
        <w:t xml:space="preserve">is </w:t>
      </w:r>
      <w:r w:rsidR="00B90229">
        <w:t>shaped across months to calculate Monthly Allowed Delivery Revenue Per Customer using the projected monthly delivery charge revenue for each schedule in 2014.</w:t>
      </w:r>
    </w:p>
    <w:p w:rsidR="00B90229" w:rsidRDefault="00B90229" w:rsidP="00E13540">
      <w:pPr>
        <w:pStyle w:val="WUTCParagraph"/>
        <w:numPr>
          <w:ilvl w:val="0"/>
          <w:numId w:val="44"/>
        </w:numPr>
      </w:pPr>
      <w:r>
        <w:t>Monthly delivery charge revenue is derived from billed demands, as currently defined within each schedule, multiplied by a Delivery Revenue Per Unit calculated as a demand charge.</w:t>
      </w:r>
    </w:p>
    <w:p w:rsidR="003C7128" w:rsidRDefault="003C7128" w:rsidP="00E13540">
      <w:pPr>
        <w:pStyle w:val="WUTCParagraph"/>
        <w:numPr>
          <w:ilvl w:val="0"/>
          <w:numId w:val="44"/>
        </w:numPr>
      </w:pPr>
      <w:r>
        <w:t>Deferrals are calculated and trued-up separately for each rate schedule.</w:t>
      </w:r>
    </w:p>
    <w:p w:rsidR="00B90229" w:rsidRDefault="00B90229" w:rsidP="00E13540">
      <w:pPr>
        <w:pStyle w:val="WUTCParagraph"/>
        <w:numPr>
          <w:ilvl w:val="0"/>
          <w:numId w:val="44"/>
        </w:numPr>
      </w:pPr>
      <w:r>
        <w:t xml:space="preserve">The Delivery Revenue Per Unit for each schedule is calculated </w:t>
      </w:r>
      <w:r w:rsidR="00DC7DA3">
        <w:t xml:space="preserve">using </w:t>
      </w:r>
      <w:r>
        <w:t xml:space="preserve">the ratio of each schedule’s ERF-related demand charge revenue in each season </w:t>
      </w:r>
      <w:r w:rsidR="00970737">
        <w:t xml:space="preserve">divided </w:t>
      </w:r>
      <w:r>
        <w:t>by the test period billing demand in that season.</w:t>
      </w:r>
      <w:r w:rsidR="00036CDA">
        <w:t xml:space="preserve"> As with the current calculation of the Delivery Revenue Per Unit, under this proposal it will also include the then-current rate adjustments under Schedule 142.  </w:t>
      </w:r>
    </w:p>
    <w:p w:rsidR="00B90229" w:rsidRDefault="00B90229" w:rsidP="00E13540">
      <w:pPr>
        <w:pStyle w:val="WUTCParagraph"/>
        <w:numPr>
          <w:ilvl w:val="0"/>
          <w:numId w:val="44"/>
        </w:numPr>
      </w:pPr>
      <w:r>
        <w:t xml:space="preserve">The calculation of Schedule 142 rate adjustments </w:t>
      </w:r>
      <w:r w:rsidR="003C7128">
        <w:t xml:space="preserve">for each schedule </w:t>
      </w:r>
      <w:r>
        <w:t>will mirror the existing calculations, except that</w:t>
      </w:r>
      <w:r w:rsidR="003C7128">
        <w:t>:</w:t>
      </w:r>
      <w:r>
        <w:t xml:space="preserve"> </w:t>
      </w:r>
      <w:r w:rsidR="003C7128">
        <w:t xml:space="preserve">(1) </w:t>
      </w:r>
      <w:r>
        <w:t>energy</w:t>
      </w:r>
      <w:r w:rsidR="003C7128">
        <w:t xml:space="preserve"> usage and energy charges are replaced with billed demands and demand charges and (2) the initial Schedule 142 rates will be calculated using PSE’s current F2013 load forecast.</w:t>
      </w:r>
    </w:p>
    <w:p w:rsidR="00E13540" w:rsidRPr="007D4BD0" w:rsidRDefault="00E13540" w:rsidP="00E13540">
      <w:pPr>
        <w:pStyle w:val="WUTCParagraph"/>
        <w:numPr>
          <w:ilvl w:val="0"/>
          <w:numId w:val="44"/>
        </w:numPr>
      </w:pPr>
      <w:r w:rsidRPr="007D4BD0">
        <w:t>Deferrals incurred through December 31, 2013 will be allocated between customers</w:t>
      </w:r>
      <w:r w:rsidR="003C7128">
        <w:t xml:space="preserve"> served under </w:t>
      </w:r>
      <w:r w:rsidR="007032CC" w:rsidRPr="007D4BD0">
        <w:t xml:space="preserve">Schedules </w:t>
      </w:r>
      <w:r w:rsidR="003C7128">
        <w:t xml:space="preserve">26 and 31, </w:t>
      </w:r>
      <w:r w:rsidRPr="007D4BD0">
        <w:t xml:space="preserve">and all other </w:t>
      </w:r>
      <w:r w:rsidR="007032CC" w:rsidRPr="007D4BD0">
        <w:t xml:space="preserve">non-residential </w:t>
      </w:r>
      <w:r w:rsidR="003C7128">
        <w:t xml:space="preserve">electric </w:t>
      </w:r>
      <w:r w:rsidRPr="007D4BD0">
        <w:t xml:space="preserve">customers remaining in the decoupling mechanism on the basis of the relative </w:t>
      </w:r>
      <w:r w:rsidR="005E1417" w:rsidRPr="007D4BD0">
        <w:t>“margin revenue”</w:t>
      </w:r>
      <w:r w:rsidRPr="007D4BD0">
        <w:t>.</w:t>
      </w:r>
    </w:p>
    <w:p w:rsidR="00E13540" w:rsidRPr="007D4BD0" w:rsidRDefault="00E13540" w:rsidP="00E13540">
      <w:pPr>
        <w:pStyle w:val="WUTCParagraph"/>
        <w:numPr>
          <w:ilvl w:val="0"/>
          <w:numId w:val="44"/>
        </w:numPr>
      </w:pPr>
      <w:r w:rsidRPr="007D4BD0">
        <w:t>If the decoupling mechanism’s Earnings Test results in a customer credit of “over-earning” by PSE</w:t>
      </w:r>
      <w:r w:rsidR="005E1417" w:rsidRPr="007D4BD0">
        <w:t xml:space="preserve"> in 2013</w:t>
      </w:r>
      <w:r w:rsidRPr="007D4BD0">
        <w:t xml:space="preserve">, the customer credit will be allocated </w:t>
      </w:r>
      <w:r w:rsidR="003C7128">
        <w:t xml:space="preserve">between customers subject to the electric decoupling mechanism </w:t>
      </w:r>
      <w:r w:rsidRPr="007D4BD0">
        <w:t xml:space="preserve">in the same manner as the </w:t>
      </w:r>
      <w:r w:rsidR="007032CC" w:rsidRPr="007D4BD0">
        <w:t xml:space="preserve">allocation of </w:t>
      </w:r>
      <w:r w:rsidRPr="007D4BD0">
        <w:t>deferrals incurred through December 31, 2013.</w:t>
      </w:r>
    </w:p>
    <w:p w:rsidR="003C7128" w:rsidRPr="007D4BD0" w:rsidRDefault="003C7128" w:rsidP="00E13540">
      <w:pPr>
        <w:pStyle w:val="WUTCParagraph"/>
        <w:numPr>
          <w:ilvl w:val="0"/>
          <w:numId w:val="44"/>
        </w:numPr>
      </w:pPr>
      <w:r>
        <w:t xml:space="preserve">Spreadsheets illustrating the operation of the decoupling mechanism for customers served under Schedules 26 and 31 are provided as </w:t>
      </w:r>
      <w:r w:rsidR="00DC7DA3">
        <w:t xml:space="preserve">Exhibit No. ___(JPE-2) to the Joint Testimony supporting this Joint Response.  </w:t>
      </w:r>
    </w:p>
    <w:p w:rsidR="00260F0B" w:rsidRPr="007D4BD0" w:rsidRDefault="00C51EE6" w:rsidP="00404F26">
      <w:pPr>
        <w:pStyle w:val="ParNumber"/>
        <w:tabs>
          <w:tab w:val="clear" w:pos="360"/>
          <w:tab w:val="clear" w:pos="720"/>
          <w:tab w:val="num" w:pos="1440"/>
        </w:tabs>
        <w:spacing w:line="480" w:lineRule="auto"/>
        <w:rPr>
          <w:snapToGrid w:val="0"/>
        </w:rPr>
      </w:pPr>
      <w:r w:rsidRPr="007D4BD0">
        <w:tab/>
      </w:r>
      <w:r w:rsidR="00ED411F" w:rsidRPr="007D4BD0">
        <w:t xml:space="preserve">The removal of Schedules </w:t>
      </w:r>
      <w:r w:rsidR="003C7128">
        <w:t xml:space="preserve">26 and 31 from the </w:t>
      </w:r>
      <w:r w:rsidR="00970737">
        <w:t xml:space="preserve">non-residential group within the </w:t>
      </w:r>
      <w:r w:rsidR="003C7128">
        <w:t xml:space="preserve">existing electric decoupling mechanism </w:t>
      </w:r>
      <w:r w:rsidR="00ED411F" w:rsidRPr="007D4BD0">
        <w:t>will require c</w:t>
      </w:r>
      <w:r w:rsidR="00AF476C" w:rsidRPr="007D4BD0">
        <w:t xml:space="preserve">ertain changes for all remaining </w:t>
      </w:r>
      <w:r w:rsidR="00ED411F" w:rsidRPr="007D4BD0">
        <w:t xml:space="preserve">non-residential </w:t>
      </w:r>
      <w:r w:rsidR="00970737">
        <w:t xml:space="preserve">electric </w:t>
      </w:r>
      <w:r w:rsidR="00AF476C" w:rsidRPr="007D4BD0">
        <w:t>schedules with the decoupling mechanism.</w:t>
      </w:r>
    </w:p>
    <w:p w:rsidR="00AF476C" w:rsidRPr="007D4BD0" w:rsidRDefault="00AF476C" w:rsidP="00AF476C">
      <w:pPr>
        <w:pStyle w:val="WUTCParagraph"/>
        <w:numPr>
          <w:ilvl w:val="0"/>
          <w:numId w:val="44"/>
        </w:numPr>
      </w:pPr>
      <w:r w:rsidRPr="007D4BD0">
        <w:t xml:space="preserve">The Delivery Revenue Per Unit, used to calculate volumetric revenue, and the Monthly Allowed Delivery Revenue Per Customer, used to calculate allowed revenue, will be recalculated to reflect the removal of Schedules </w:t>
      </w:r>
      <w:r w:rsidR="00161612">
        <w:t xml:space="preserve">26 </w:t>
      </w:r>
      <w:r w:rsidRPr="007D4BD0">
        <w:t xml:space="preserve">and </w:t>
      </w:r>
      <w:r w:rsidR="00161612">
        <w:t>31</w:t>
      </w:r>
      <w:r w:rsidR="00161612" w:rsidRPr="007D4BD0">
        <w:t xml:space="preserve"> </w:t>
      </w:r>
      <w:r w:rsidRPr="007D4BD0">
        <w:t>customers.  These rate components will become effective January 1, 2014.</w:t>
      </w:r>
    </w:p>
    <w:p w:rsidR="00161612" w:rsidRDefault="00AF476C" w:rsidP="00AF476C">
      <w:pPr>
        <w:pStyle w:val="WUTCParagraph"/>
        <w:numPr>
          <w:ilvl w:val="0"/>
          <w:numId w:val="44"/>
        </w:numPr>
      </w:pPr>
      <w:r w:rsidRPr="007D4BD0">
        <w:t xml:space="preserve">The Schedule 142 rates for </w:t>
      </w:r>
      <w:r w:rsidR="00ED411F" w:rsidRPr="007D4BD0">
        <w:t xml:space="preserve">these </w:t>
      </w:r>
      <w:r w:rsidRPr="007D4BD0">
        <w:t xml:space="preserve">remaining </w:t>
      </w:r>
      <w:r w:rsidR="00ED411F" w:rsidRPr="007D4BD0">
        <w:t xml:space="preserve">non-residential </w:t>
      </w:r>
      <w:r w:rsidR="00161612">
        <w:t xml:space="preserve">electric </w:t>
      </w:r>
      <w:r w:rsidRPr="007D4BD0">
        <w:t xml:space="preserve">schedules </w:t>
      </w:r>
      <w:r w:rsidR="008E0F5F" w:rsidRPr="007D4BD0">
        <w:t>continue</w:t>
      </w:r>
      <w:r w:rsidRPr="007D4BD0">
        <w:t xml:space="preserve"> in effect until the next rate year, beginning May 1, 2014.</w:t>
      </w:r>
    </w:p>
    <w:p w:rsidR="00161612" w:rsidRPr="007D4BD0" w:rsidRDefault="00161612" w:rsidP="00DC7DA3">
      <w:pPr>
        <w:pStyle w:val="WUTCParagraph"/>
        <w:numPr>
          <w:ilvl w:val="0"/>
          <w:numId w:val="44"/>
        </w:numPr>
      </w:pPr>
      <w:r>
        <w:t xml:space="preserve">Spreadsheets illustrating the calculation of Delivery Revenue Per Unit and Monthly Allowed Delivery Revenue Per Customer under the existing mechanism, but without customers served under Schedules 26 and 31, are provided </w:t>
      </w:r>
      <w:r w:rsidR="00DC7DA3">
        <w:t xml:space="preserve">as </w:t>
      </w:r>
      <w:r w:rsidR="00DC7DA3" w:rsidRPr="00DC7DA3">
        <w:t xml:space="preserve">Exhibit No. ___(JPE-5) through Exhibit No. ___(JPE-8) to the Joint Testimony supporting </w:t>
      </w:r>
      <w:r>
        <w:t>this Joint Response</w:t>
      </w:r>
      <w:r w:rsidR="00DC7DA3">
        <w:t>.</w:t>
      </w:r>
      <w:r>
        <w:t xml:space="preserve"> </w:t>
      </w:r>
    </w:p>
    <w:p w:rsidR="005E1417" w:rsidRDefault="00C51EE6" w:rsidP="002F5503">
      <w:pPr>
        <w:pStyle w:val="ParNumber"/>
        <w:tabs>
          <w:tab w:val="clear" w:pos="360"/>
          <w:tab w:val="num" w:pos="1440"/>
        </w:tabs>
        <w:spacing w:line="480" w:lineRule="auto"/>
      </w:pPr>
      <w:r>
        <w:tab/>
      </w:r>
      <w:r w:rsidR="00B60F37">
        <w:tab/>
      </w:r>
      <w:r w:rsidR="00C2793F">
        <w:t>Under the Joint Parties</w:t>
      </w:r>
      <w:r w:rsidR="00B60F37">
        <w:t>’</w:t>
      </w:r>
      <w:r w:rsidR="00C2793F">
        <w:t xml:space="preserve"> proposal, t</w:t>
      </w:r>
      <w:r w:rsidR="008910CD">
        <w:t xml:space="preserve">he </w:t>
      </w:r>
      <w:r w:rsidR="00970737">
        <w:t xml:space="preserve">other </w:t>
      </w:r>
      <w:r w:rsidR="008910CD">
        <w:t xml:space="preserve">non-residential </w:t>
      </w:r>
      <w:r w:rsidR="003A259B">
        <w:t>electric</w:t>
      </w:r>
      <w:r w:rsidR="008910CD">
        <w:t xml:space="preserve"> schedules in the decoupling mechanism </w:t>
      </w:r>
      <w:r w:rsidR="00970737">
        <w:t xml:space="preserve">are </w:t>
      </w:r>
      <w:r w:rsidR="00DC7DA3">
        <w:t xml:space="preserve">projected to </w:t>
      </w:r>
      <w:r w:rsidR="00920AB8">
        <w:t xml:space="preserve">experience rate increases of </w:t>
      </w:r>
      <w:r w:rsidR="00E938C2">
        <w:t>1.</w:t>
      </w:r>
      <w:r w:rsidR="00DC7DA3">
        <w:t>29</w:t>
      </w:r>
      <w:r w:rsidR="00920AB8" w:rsidRPr="00483C26">
        <w:t>%</w:t>
      </w:r>
      <w:r w:rsidR="00920AB8">
        <w:t xml:space="preserve"> in 2014.</w:t>
      </w:r>
      <w:r w:rsidR="00C2793F">
        <w:rPr>
          <w:rStyle w:val="FootnoteReference"/>
        </w:rPr>
        <w:footnoteReference w:id="8"/>
      </w:r>
      <w:r w:rsidR="00920AB8">
        <w:t xml:space="preserve">  This compares to the </w:t>
      </w:r>
      <w:r w:rsidR="00DC7DA3">
        <w:t xml:space="preserve">projected </w:t>
      </w:r>
      <w:r w:rsidR="00920AB8">
        <w:t xml:space="preserve">rate increase of </w:t>
      </w:r>
      <w:r w:rsidR="00067325" w:rsidRPr="00483C26">
        <w:t>1</w:t>
      </w:r>
      <w:r w:rsidR="00920AB8" w:rsidRPr="00483C26">
        <w:t>.</w:t>
      </w:r>
      <w:r w:rsidR="00DC7DA3">
        <w:t>22</w:t>
      </w:r>
      <w:r w:rsidR="00920AB8" w:rsidRPr="00483C26">
        <w:t>%</w:t>
      </w:r>
      <w:r w:rsidR="0092752C">
        <w:t xml:space="preserve"> </w:t>
      </w:r>
      <w:r w:rsidR="00067325">
        <w:t xml:space="preserve">currently </w:t>
      </w:r>
      <w:r w:rsidR="0092752C">
        <w:t>forecasted for the non-residential class in 2014 if Schedules</w:t>
      </w:r>
      <w:r w:rsidR="00920AB8">
        <w:t xml:space="preserve"> </w:t>
      </w:r>
      <w:r w:rsidR="003A259B">
        <w:t>26 and 31</w:t>
      </w:r>
      <w:r w:rsidR="00920AB8">
        <w:t xml:space="preserve"> </w:t>
      </w:r>
      <w:r w:rsidR="0092752C">
        <w:t>remain in t</w:t>
      </w:r>
      <w:r w:rsidR="00920AB8">
        <w:t xml:space="preserve">he decoupling mechanism.  </w:t>
      </w:r>
      <w:r w:rsidR="0092752C" w:rsidRPr="00920AB8">
        <w:t xml:space="preserve">Taken separately, </w:t>
      </w:r>
      <w:r w:rsidR="00C2793F">
        <w:t xml:space="preserve">the </w:t>
      </w:r>
      <w:r w:rsidR="00970737">
        <w:t xml:space="preserve">other </w:t>
      </w:r>
      <w:r w:rsidR="0092752C" w:rsidRPr="00920AB8">
        <w:t xml:space="preserve">non-residential customers are forecasted to produce a larger fixed cost recovery shortfall (in percentage terms) than </w:t>
      </w:r>
      <w:r w:rsidR="0092752C">
        <w:t xml:space="preserve">customer in Schedules </w:t>
      </w:r>
      <w:r w:rsidR="003A259B">
        <w:t>26 and 31</w:t>
      </w:r>
      <w:r w:rsidR="0092752C">
        <w:t xml:space="preserve">.  </w:t>
      </w:r>
      <w:r w:rsidR="00920AB8" w:rsidRPr="00920AB8">
        <w:t xml:space="preserve">The </w:t>
      </w:r>
      <w:r w:rsidR="00C2793F">
        <w:t>current decoupling</w:t>
      </w:r>
      <w:r w:rsidR="00920AB8" w:rsidRPr="00920AB8">
        <w:t xml:space="preserve"> mechanism comingles any fixed cost recovery shortfall across all non-residential customers</w:t>
      </w:r>
      <w:r w:rsidR="00C2793F">
        <w:t>.</w:t>
      </w:r>
      <w:r w:rsidR="002B2039">
        <w:t xml:space="preserve">  When </w:t>
      </w:r>
      <w:r w:rsidR="00C2793F">
        <w:t xml:space="preserve">Schedule </w:t>
      </w:r>
      <w:r w:rsidR="003A259B">
        <w:t>26 and 31</w:t>
      </w:r>
      <w:r w:rsidR="002B2039">
        <w:t xml:space="preserve"> </w:t>
      </w:r>
      <w:r w:rsidR="00920AB8" w:rsidRPr="00920AB8">
        <w:t xml:space="preserve">customers </w:t>
      </w:r>
      <w:r w:rsidR="00067325">
        <w:t>are removed from the</w:t>
      </w:r>
      <w:r w:rsidR="00970737">
        <w:t xml:space="preserve"> non-residential group within the</w:t>
      </w:r>
      <w:r w:rsidR="00067325">
        <w:t xml:space="preserve"> </w:t>
      </w:r>
      <w:r w:rsidR="00920AB8" w:rsidRPr="00920AB8">
        <w:t xml:space="preserve">decoupling mechanism, the </w:t>
      </w:r>
      <w:r w:rsidR="003A259B">
        <w:t>other</w:t>
      </w:r>
      <w:r w:rsidR="00920AB8" w:rsidRPr="00920AB8">
        <w:t xml:space="preserve"> non-residential customers are no longer able to </w:t>
      </w:r>
      <w:r w:rsidR="00EC739C">
        <w:t>rely</w:t>
      </w:r>
      <w:r w:rsidR="00920AB8" w:rsidRPr="00920AB8">
        <w:t xml:space="preserve"> on the smaller percentage shortfall forecasted for the </w:t>
      </w:r>
      <w:r w:rsidR="00C2793F">
        <w:t xml:space="preserve">Schedule </w:t>
      </w:r>
      <w:r w:rsidR="003A259B">
        <w:t>26 and 31</w:t>
      </w:r>
      <w:r w:rsidR="00920AB8" w:rsidRPr="00920AB8">
        <w:t xml:space="preserve"> customers and are simply responsible for their own (projected) shortfall in fixed cost recovery.</w:t>
      </w:r>
      <w:r w:rsidR="00C2793F">
        <w:t xml:space="preserve"> </w:t>
      </w:r>
      <w:r w:rsidR="00920AB8" w:rsidRPr="00920AB8">
        <w:t xml:space="preserve"> </w:t>
      </w:r>
      <w:r w:rsidR="00C2793F">
        <w:t xml:space="preserve">Thus, the </w:t>
      </w:r>
      <w:r w:rsidR="002F5503">
        <w:t xml:space="preserve">somewhat </w:t>
      </w:r>
      <w:r w:rsidR="00C2793F">
        <w:t>higher rate increase that remaining non</w:t>
      </w:r>
      <w:r w:rsidR="00DC7DA3">
        <w:t>-</w:t>
      </w:r>
      <w:r w:rsidR="00C2793F">
        <w:t xml:space="preserve">residential customers will experience </w:t>
      </w:r>
      <w:r w:rsidR="00C2793F" w:rsidRPr="00920AB8">
        <w:t>result</w:t>
      </w:r>
      <w:r w:rsidR="00C2793F">
        <w:t>s from</w:t>
      </w:r>
      <w:r w:rsidR="00C2793F" w:rsidRPr="00920AB8">
        <w:t xml:space="preserve"> the </w:t>
      </w:r>
      <w:r w:rsidR="00C2793F" w:rsidRPr="00EC739C">
        <w:rPr>
          <w:iCs/>
        </w:rPr>
        <w:t>unwinding</w:t>
      </w:r>
      <w:r w:rsidR="00C2793F" w:rsidRPr="00EC739C">
        <w:t xml:space="preserve"> </w:t>
      </w:r>
      <w:r w:rsidR="00C2793F" w:rsidRPr="00920AB8">
        <w:t xml:space="preserve">of cost shifting that </w:t>
      </w:r>
      <w:r w:rsidR="002F75C0">
        <w:t>is inherent between schedules with disparate growth rates</w:t>
      </w:r>
      <w:r w:rsidR="00C2793F" w:rsidRPr="00920AB8">
        <w:t>.</w:t>
      </w:r>
      <w:r w:rsidR="00C2793F">
        <w:t xml:space="preserve"> </w:t>
      </w:r>
      <w:r w:rsidR="00C2793F" w:rsidRPr="00920AB8">
        <w:t xml:space="preserve"> </w:t>
      </w:r>
    </w:p>
    <w:p w:rsidR="005E1417" w:rsidRPr="00AF476C" w:rsidRDefault="00C51EE6" w:rsidP="00C51EE6">
      <w:pPr>
        <w:pStyle w:val="ParNumber"/>
        <w:tabs>
          <w:tab w:val="clear" w:pos="360"/>
          <w:tab w:val="clear" w:pos="720"/>
          <w:tab w:val="num" w:pos="1440"/>
        </w:tabs>
        <w:spacing w:line="480" w:lineRule="auto"/>
      </w:pPr>
      <w:r>
        <w:tab/>
      </w:r>
      <w:r w:rsidR="00516E0F">
        <w:t>T</w:t>
      </w:r>
      <w:r w:rsidR="005E1417">
        <w:t xml:space="preserve">ariff sheets illustrating the </w:t>
      </w:r>
      <w:r w:rsidR="002F5503">
        <w:t>D</w:t>
      </w:r>
      <w:r w:rsidR="005E1417">
        <w:t xml:space="preserve">elivery </w:t>
      </w:r>
      <w:r w:rsidR="002F5503">
        <w:t>R</w:t>
      </w:r>
      <w:r w:rsidR="005E1417">
        <w:t xml:space="preserve">evenue </w:t>
      </w:r>
      <w:r w:rsidR="002F5503">
        <w:t>P</w:t>
      </w:r>
      <w:r w:rsidR="005E1417">
        <w:t xml:space="preserve">er </w:t>
      </w:r>
      <w:r w:rsidR="002F5503">
        <w:t>U</w:t>
      </w:r>
      <w:r w:rsidR="005E1417">
        <w:t xml:space="preserve">nit and </w:t>
      </w:r>
      <w:r w:rsidR="002F5503">
        <w:t>Monthly Allowed D</w:t>
      </w:r>
      <w:r w:rsidR="005E1417">
        <w:t xml:space="preserve">elivery </w:t>
      </w:r>
      <w:r w:rsidR="002F5503">
        <w:t>Revenue P</w:t>
      </w:r>
      <w:r w:rsidR="005E1417">
        <w:t xml:space="preserve">er </w:t>
      </w:r>
      <w:r w:rsidR="002F5503">
        <w:t>C</w:t>
      </w:r>
      <w:r w:rsidR="005E1417">
        <w:t>ustomer</w:t>
      </w:r>
      <w:r w:rsidR="002F5503">
        <w:t xml:space="preserve"> under </w:t>
      </w:r>
      <w:r w:rsidR="00970737">
        <w:t xml:space="preserve">this </w:t>
      </w:r>
      <w:r w:rsidR="002F5503">
        <w:t>decoupling proposal</w:t>
      </w:r>
      <w:r w:rsidR="003431A5">
        <w:t xml:space="preserve"> </w:t>
      </w:r>
      <w:r w:rsidR="00516E0F">
        <w:t xml:space="preserve">are provided as </w:t>
      </w:r>
      <w:r w:rsidR="00DC7DA3">
        <w:t xml:space="preserve"> Exhibit No.</w:t>
      </w:r>
      <w:r w:rsidR="00C816DF">
        <w:t> </w:t>
      </w:r>
      <w:r w:rsidR="00DC7DA3">
        <w:t xml:space="preserve">___(JPE-4) </w:t>
      </w:r>
      <w:r w:rsidR="00516E0F">
        <w:t xml:space="preserve">to </w:t>
      </w:r>
      <w:r w:rsidR="00DC7DA3">
        <w:t xml:space="preserve">the Joint Testimony supporting </w:t>
      </w:r>
      <w:r w:rsidR="00516E0F">
        <w:t xml:space="preserve">this Joint Response.  </w:t>
      </w:r>
      <w:r w:rsidR="005E1417">
        <w:t xml:space="preserve"> </w:t>
      </w:r>
    </w:p>
    <w:p w:rsidR="00A74E1A" w:rsidRDefault="00A74E1A" w:rsidP="00A74E1A">
      <w:pPr>
        <w:pStyle w:val="Heading1"/>
      </w:pPr>
      <w:r>
        <w:t>conclusion</w:t>
      </w:r>
    </w:p>
    <w:p w:rsidR="006800C3" w:rsidRDefault="006800C3" w:rsidP="006800C3">
      <w:pPr>
        <w:pStyle w:val="ParNumber"/>
        <w:numPr>
          <w:ilvl w:val="0"/>
          <w:numId w:val="0"/>
        </w:numPr>
        <w:tabs>
          <w:tab w:val="clear" w:pos="720"/>
        </w:tabs>
        <w:spacing w:line="480" w:lineRule="auto"/>
        <w:ind w:left="360"/>
        <w:rPr>
          <w:snapToGrid w:val="0"/>
        </w:rPr>
      </w:pPr>
    </w:p>
    <w:p w:rsidR="003517B3" w:rsidRDefault="00C51EE6" w:rsidP="00C51EE6">
      <w:pPr>
        <w:pStyle w:val="ParNumber"/>
        <w:tabs>
          <w:tab w:val="clear" w:pos="360"/>
          <w:tab w:val="clear" w:pos="720"/>
          <w:tab w:val="num" w:pos="1440"/>
        </w:tabs>
        <w:spacing w:line="480" w:lineRule="auto"/>
      </w:pPr>
      <w:r>
        <w:rPr>
          <w:snapToGrid w:val="0"/>
        </w:rPr>
        <w:tab/>
      </w:r>
      <w:r w:rsidR="00A74E1A" w:rsidRPr="00C51EE6">
        <w:rPr>
          <w:snapToGrid w:val="0"/>
        </w:rPr>
        <w:t xml:space="preserve">The Joint Parties have engaged in a meaningful dialogue to determine if there are alternative approaches to decoupling for non-residential </w:t>
      </w:r>
      <w:r w:rsidR="002F5503">
        <w:rPr>
          <w:snapToGrid w:val="0"/>
        </w:rPr>
        <w:t xml:space="preserve">electric </w:t>
      </w:r>
      <w:r w:rsidR="00A74E1A" w:rsidRPr="00C51EE6">
        <w:rPr>
          <w:snapToGrid w:val="0"/>
        </w:rPr>
        <w:t xml:space="preserve">customers that </w:t>
      </w:r>
      <w:r w:rsidR="00965D3C">
        <w:rPr>
          <w:snapToGrid w:val="0"/>
        </w:rPr>
        <w:t xml:space="preserve">also achieve the principal goals of </w:t>
      </w:r>
      <w:r w:rsidR="00A74E1A" w:rsidRPr="00C51EE6">
        <w:rPr>
          <w:snapToGrid w:val="0"/>
        </w:rPr>
        <w:t xml:space="preserve">decoupling </w:t>
      </w:r>
      <w:r w:rsidR="002F5503">
        <w:rPr>
          <w:snapToGrid w:val="0"/>
        </w:rPr>
        <w:t>for customers served under Schedules 26 and 31</w:t>
      </w:r>
      <w:r w:rsidR="00A74E1A" w:rsidRPr="00C51EE6">
        <w:rPr>
          <w:snapToGrid w:val="0"/>
        </w:rPr>
        <w:t xml:space="preserve">.  As a result of this dialogue, the Joint Parties propose the alternative </w:t>
      </w:r>
      <w:r w:rsidR="00970737">
        <w:rPr>
          <w:snapToGrid w:val="0"/>
        </w:rPr>
        <w:t xml:space="preserve">form of </w:t>
      </w:r>
      <w:r w:rsidR="00A74E1A" w:rsidRPr="00C51EE6">
        <w:rPr>
          <w:snapToGrid w:val="0"/>
        </w:rPr>
        <w:t xml:space="preserve">decoupling </w:t>
      </w:r>
      <w:r w:rsidR="002F5503">
        <w:rPr>
          <w:snapToGrid w:val="0"/>
        </w:rPr>
        <w:t xml:space="preserve">for customers served under Schedules 26 and 31, as </w:t>
      </w:r>
      <w:r w:rsidR="00A74E1A" w:rsidRPr="00C51EE6">
        <w:rPr>
          <w:snapToGrid w:val="0"/>
        </w:rPr>
        <w:t>set forth herein</w:t>
      </w:r>
      <w:r w:rsidR="002F5503">
        <w:rPr>
          <w:snapToGrid w:val="0"/>
        </w:rPr>
        <w:t>. I</w:t>
      </w:r>
      <w:r w:rsidR="00A74E1A" w:rsidRPr="00C51EE6">
        <w:rPr>
          <w:snapToGrid w:val="0"/>
        </w:rPr>
        <w:t xml:space="preserve">f approved by the Commission, </w:t>
      </w:r>
      <w:r w:rsidR="002F5503">
        <w:rPr>
          <w:snapToGrid w:val="0"/>
        </w:rPr>
        <w:t xml:space="preserve">this </w:t>
      </w:r>
      <w:r w:rsidR="00A74E1A" w:rsidRPr="00C51EE6">
        <w:rPr>
          <w:snapToGrid w:val="0"/>
        </w:rPr>
        <w:t xml:space="preserve">will eliminate the need for further action on the petition for reconsideration of </w:t>
      </w:r>
      <w:r w:rsidR="003A259B">
        <w:rPr>
          <w:snapToGrid w:val="0"/>
        </w:rPr>
        <w:t>Kroger</w:t>
      </w:r>
      <w:r w:rsidR="00A74E1A" w:rsidRPr="00C51EE6">
        <w:rPr>
          <w:snapToGrid w:val="0"/>
        </w:rPr>
        <w:t>.  The Joint Parties respectfully request the Commission approve the proposal contained herein.</w:t>
      </w:r>
    </w:p>
    <w:p w:rsidR="00A74E1A" w:rsidRDefault="00A74E1A" w:rsidP="00A74E1A"/>
    <w:p w:rsidR="003517B3" w:rsidRPr="003517B3" w:rsidRDefault="003517B3" w:rsidP="00C51EE6">
      <w:pPr>
        <w:tabs>
          <w:tab w:val="left" w:pos="720"/>
        </w:tabs>
        <w:spacing w:line="480" w:lineRule="auto"/>
      </w:pPr>
      <w:r w:rsidRPr="003517B3">
        <w:t xml:space="preserve">DATED this </w:t>
      </w:r>
      <w:r>
        <w:t>1st</w:t>
      </w:r>
      <w:r w:rsidRPr="003517B3">
        <w:t xml:space="preserve"> day of </w:t>
      </w:r>
      <w:r>
        <w:t>November</w:t>
      </w:r>
      <w:r w:rsidRPr="003517B3">
        <w:t>, 2013.</w:t>
      </w:r>
    </w:p>
    <w:p w:rsidR="003517B3" w:rsidRPr="003517B3" w:rsidRDefault="003517B3" w:rsidP="003517B3"/>
    <w:tbl>
      <w:tblPr>
        <w:tblW w:w="0" w:type="auto"/>
        <w:tblLook w:val="01E0" w:firstRow="1" w:lastRow="1" w:firstColumn="1" w:lastColumn="1" w:noHBand="0" w:noVBand="0"/>
      </w:tblPr>
      <w:tblGrid>
        <w:gridCol w:w="4572"/>
        <w:gridCol w:w="4572"/>
      </w:tblGrid>
      <w:tr w:rsidR="003517B3" w:rsidRPr="003517B3" w:rsidTr="001124F1">
        <w:tc>
          <w:tcPr>
            <w:tcW w:w="4572" w:type="dxa"/>
          </w:tcPr>
          <w:p w:rsidR="003517B3" w:rsidRPr="003517B3" w:rsidRDefault="003517B3" w:rsidP="003517B3">
            <w:pPr>
              <w:jc w:val="both"/>
              <w:rPr>
                <w:b/>
              </w:rPr>
            </w:pPr>
            <w:r w:rsidRPr="003517B3">
              <w:br w:type="page"/>
            </w:r>
            <w:r w:rsidRPr="003517B3">
              <w:rPr>
                <w:b/>
              </w:rPr>
              <w:t>PUGET SOUND ENERGY, INC.</w:t>
            </w:r>
          </w:p>
          <w:p w:rsidR="003517B3" w:rsidRPr="003517B3" w:rsidRDefault="003517B3" w:rsidP="003517B3">
            <w:pPr>
              <w:jc w:val="both"/>
            </w:pPr>
          </w:p>
          <w:p w:rsidR="003517B3" w:rsidRPr="003517B3" w:rsidRDefault="003517B3" w:rsidP="003517B3">
            <w:pPr>
              <w:jc w:val="both"/>
            </w:pPr>
          </w:p>
          <w:p w:rsidR="003517B3" w:rsidRPr="003517B3" w:rsidRDefault="003517B3" w:rsidP="003517B3">
            <w:pPr>
              <w:jc w:val="both"/>
            </w:pPr>
          </w:p>
          <w:p w:rsidR="003517B3" w:rsidRPr="003517B3" w:rsidRDefault="003517B3" w:rsidP="003517B3">
            <w:pPr>
              <w:jc w:val="both"/>
            </w:pPr>
            <w:r w:rsidRPr="003517B3">
              <w:t>_______________________________</w:t>
            </w:r>
          </w:p>
          <w:p w:rsidR="003517B3" w:rsidRPr="003517B3" w:rsidRDefault="003517B3" w:rsidP="003517B3">
            <w:pPr>
              <w:jc w:val="both"/>
            </w:pPr>
            <w:r w:rsidRPr="003517B3">
              <w:t>KEN S. JOHNSON</w:t>
            </w:r>
          </w:p>
          <w:p w:rsidR="003517B3" w:rsidRPr="003517B3" w:rsidRDefault="003517B3" w:rsidP="003517B3">
            <w:r w:rsidRPr="003517B3">
              <w:t xml:space="preserve">Director, State Regulatory Affairs </w:t>
            </w:r>
          </w:p>
          <w:p w:rsidR="003517B3" w:rsidRPr="003517B3" w:rsidRDefault="003517B3" w:rsidP="003517B3"/>
          <w:p w:rsidR="003517B3" w:rsidRPr="003517B3" w:rsidRDefault="003517B3" w:rsidP="003517B3"/>
        </w:tc>
        <w:tc>
          <w:tcPr>
            <w:tcW w:w="4572" w:type="dxa"/>
          </w:tcPr>
          <w:p w:rsidR="003517B3" w:rsidRPr="003517B3" w:rsidRDefault="003517B3" w:rsidP="003517B3">
            <w:pPr>
              <w:jc w:val="both"/>
              <w:rPr>
                <w:b/>
              </w:rPr>
            </w:pPr>
            <w:r w:rsidRPr="003517B3">
              <w:rPr>
                <w:b/>
              </w:rPr>
              <w:t xml:space="preserve">ROBERT W. FERGUSON </w:t>
            </w:r>
          </w:p>
          <w:p w:rsidR="003517B3" w:rsidRPr="003517B3" w:rsidRDefault="003517B3" w:rsidP="003517B3">
            <w:pPr>
              <w:jc w:val="both"/>
              <w:rPr>
                <w:b/>
              </w:rPr>
            </w:pPr>
            <w:r w:rsidRPr="003517B3">
              <w:rPr>
                <w:b/>
              </w:rPr>
              <w:t>Attorney General</w:t>
            </w:r>
          </w:p>
          <w:p w:rsidR="003517B3" w:rsidRPr="003517B3" w:rsidRDefault="003517B3" w:rsidP="003517B3">
            <w:pPr>
              <w:jc w:val="both"/>
            </w:pPr>
          </w:p>
          <w:p w:rsidR="003517B3" w:rsidRPr="003517B3" w:rsidRDefault="003517B3" w:rsidP="003517B3">
            <w:pPr>
              <w:jc w:val="both"/>
            </w:pPr>
          </w:p>
          <w:p w:rsidR="003517B3" w:rsidRPr="003517B3" w:rsidRDefault="003517B3" w:rsidP="003517B3">
            <w:pPr>
              <w:jc w:val="both"/>
            </w:pPr>
            <w:r w:rsidRPr="003517B3">
              <w:t>______________________________</w:t>
            </w:r>
          </w:p>
          <w:p w:rsidR="003517B3" w:rsidRPr="003517B3" w:rsidRDefault="003517B3" w:rsidP="003517B3">
            <w:r w:rsidRPr="003517B3">
              <w:t>GREGORY J. TRAUTMAN</w:t>
            </w:r>
          </w:p>
          <w:p w:rsidR="003517B3" w:rsidRPr="003517B3" w:rsidRDefault="003517B3" w:rsidP="003517B3">
            <w:r w:rsidRPr="003517B3">
              <w:t>Assistant Attorney General</w:t>
            </w:r>
          </w:p>
          <w:p w:rsidR="003517B3" w:rsidRPr="003517B3" w:rsidRDefault="003517B3" w:rsidP="003517B3">
            <w:r w:rsidRPr="003517B3">
              <w:t>Counsel for Washington Utilities and Transportation Commission Staff</w:t>
            </w:r>
          </w:p>
          <w:p w:rsidR="003517B3" w:rsidRPr="003517B3" w:rsidRDefault="003517B3" w:rsidP="003517B3"/>
        </w:tc>
      </w:tr>
      <w:tr w:rsidR="003517B3" w:rsidRPr="003517B3" w:rsidTr="001124F1">
        <w:trPr>
          <w:trHeight w:val="2367"/>
        </w:trPr>
        <w:tc>
          <w:tcPr>
            <w:tcW w:w="4572" w:type="dxa"/>
          </w:tcPr>
          <w:tbl>
            <w:tblPr>
              <w:tblW w:w="0" w:type="auto"/>
              <w:tblLook w:val="01E0" w:firstRow="1" w:lastRow="1" w:firstColumn="1" w:lastColumn="1" w:noHBand="0" w:noVBand="0"/>
            </w:tblPr>
            <w:tblGrid>
              <w:gridCol w:w="4356"/>
            </w:tblGrid>
            <w:tr w:rsidR="003517B3" w:rsidRPr="003517B3" w:rsidTr="001124F1">
              <w:tc>
                <w:tcPr>
                  <w:tcW w:w="4572" w:type="dxa"/>
                </w:tcPr>
                <w:p w:rsidR="003517B3" w:rsidRPr="003517B3" w:rsidRDefault="003517B3" w:rsidP="003517B3">
                  <w:pPr>
                    <w:jc w:val="both"/>
                    <w:rPr>
                      <w:b/>
                    </w:rPr>
                  </w:pPr>
                  <w:r w:rsidRPr="003517B3">
                    <w:rPr>
                      <w:b/>
                    </w:rPr>
                    <w:t>NW ENERGY COALITION</w:t>
                  </w:r>
                </w:p>
                <w:p w:rsidR="003517B3" w:rsidRPr="003517B3" w:rsidRDefault="003517B3" w:rsidP="003517B3">
                  <w:pPr>
                    <w:jc w:val="both"/>
                  </w:pPr>
                </w:p>
                <w:p w:rsidR="003517B3" w:rsidRPr="003517B3" w:rsidRDefault="003517B3" w:rsidP="003517B3">
                  <w:pPr>
                    <w:jc w:val="both"/>
                  </w:pPr>
                </w:p>
                <w:p w:rsidR="003517B3" w:rsidRPr="003517B3" w:rsidRDefault="003517B3" w:rsidP="003517B3">
                  <w:pPr>
                    <w:jc w:val="both"/>
                  </w:pPr>
                </w:p>
                <w:p w:rsidR="003517B3" w:rsidRPr="003517B3" w:rsidRDefault="003517B3" w:rsidP="003517B3">
                  <w:pPr>
                    <w:jc w:val="both"/>
                  </w:pPr>
                  <w:r w:rsidRPr="003517B3">
                    <w:t>_______________________________</w:t>
                  </w:r>
                </w:p>
                <w:p w:rsidR="003517B3" w:rsidRPr="003517B3" w:rsidRDefault="003517B3" w:rsidP="003517B3">
                  <w:r w:rsidRPr="003517B3">
                    <w:t>NANCY HIRSH</w:t>
                  </w:r>
                </w:p>
                <w:p w:rsidR="003517B3" w:rsidRPr="003517B3" w:rsidRDefault="003517B3" w:rsidP="003517B3">
                  <w:r w:rsidRPr="003517B3">
                    <w:t xml:space="preserve">Policy Director </w:t>
                  </w:r>
                </w:p>
                <w:p w:rsidR="003517B3" w:rsidRPr="003517B3" w:rsidRDefault="003517B3" w:rsidP="003517B3"/>
                <w:p w:rsidR="003517B3" w:rsidRPr="003517B3" w:rsidRDefault="003517B3" w:rsidP="003517B3"/>
                <w:p w:rsidR="003517B3" w:rsidRPr="003517B3" w:rsidRDefault="003517B3" w:rsidP="003517B3"/>
              </w:tc>
            </w:tr>
          </w:tbl>
          <w:p w:rsidR="003517B3" w:rsidRPr="003517B3" w:rsidRDefault="003517B3" w:rsidP="003517B3">
            <w:pPr>
              <w:jc w:val="both"/>
              <w:rPr>
                <w:b/>
              </w:rPr>
            </w:pPr>
          </w:p>
        </w:tc>
        <w:tc>
          <w:tcPr>
            <w:tcW w:w="4572" w:type="dxa"/>
          </w:tcPr>
          <w:p w:rsidR="003517B3" w:rsidRPr="003517B3" w:rsidRDefault="003A259B" w:rsidP="003517B3">
            <w:pPr>
              <w:jc w:val="both"/>
              <w:rPr>
                <w:b/>
              </w:rPr>
            </w:pPr>
            <w:r>
              <w:rPr>
                <w:b/>
              </w:rPr>
              <w:t>BOEHM, KURTZ AND LOWRY</w:t>
            </w:r>
          </w:p>
          <w:p w:rsidR="003517B3" w:rsidRPr="003517B3" w:rsidRDefault="003517B3" w:rsidP="003517B3">
            <w:pPr>
              <w:jc w:val="both"/>
            </w:pPr>
          </w:p>
          <w:p w:rsidR="003517B3" w:rsidRDefault="003517B3" w:rsidP="003517B3">
            <w:pPr>
              <w:jc w:val="both"/>
            </w:pPr>
          </w:p>
          <w:p w:rsidR="003A259B" w:rsidRPr="003517B3" w:rsidRDefault="003A259B" w:rsidP="003517B3">
            <w:pPr>
              <w:jc w:val="both"/>
            </w:pPr>
          </w:p>
          <w:p w:rsidR="003517B3" w:rsidRPr="003517B3" w:rsidRDefault="003517B3" w:rsidP="003517B3">
            <w:pPr>
              <w:jc w:val="both"/>
            </w:pPr>
            <w:r w:rsidRPr="003517B3">
              <w:t>_______________________________</w:t>
            </w:r>
          </w:p>
          <w:p w:rsidR="003517B3" w:rsidRPr="003517B3" w:rsidRDefault="003A259B" w:rsidP="003517B3">
            <w:r>
              <w:t>KURT J. BOEHM</w:t>
            </w:r>
          </w:p>
          <w:p w:rsidR="003517B3" w:rsidRPr="003517B3" w:rsidRDefault="00210734" w:rsidP="003517B3">
            <w:r>
              <w:t>Counsel for The Kroger Company</w:t>
            </w:r>
          </w:p>
          <w:p w:rsidR="003517B3" w:rsidRPr="003517B3" w:rsidRDefault="003517B3" w:rsidP="003517B3">
            <w:pPr>
              <w:rPr>
                <w:b/>
              </w:rPr>
            </w:pPr>
          </w:p>
        </w:tc>
      </w:tr>
      <w:tr w:rsidR="003517B3" w:rsidRPr="003517B3" w:rsidTr="001124F1">
        <w:trPr>
          <w:trHeight w:val="2367"/>
        </w:trPr>
        <w:tc>
          <w:tcPr>
            <w:tcW w:w="4572" w:type="dxa"/>
          </w:tcPr>
          <w:tbl>
            <w:tblPr>
              <w:tblW w:w="0" w:type="auto"/>
              <w:tblLook w:val="01E0" w:firstRow="1" w:lastRow="1" w:firstColumn="1" w:lastColumn="1" w:noHBand="0" w:noVBand="0"/>
            </w:tblPr>
            <w:tblGrid>
              <w:gridCol w:w="4356"/>
            </w:tblGrid>
            <w:tr w:rsidR="003517B3" w:rsidRPr="003517B3" w:rsidTr="001124F1">
              <w:tc>
                <w:tcPr>
                  <w:tcW w:w="4572" w:type="dxa"/>
                </w:tcPr>
                <w:p w:rsidR="003517B3" w:rsidRPr="003517B3" w:rsidRDefault="003517B3" w:rsidP="003517B3"/>
              </w:tc>
            </w:tr>
          </w:tbl>
          <w:p w:rsidR="003517B3" w:rsidRPr="003517B3" w:rsidRDefault="003517B3" w:rsidP="003517B3">
            <w:pPr>
              <w:rPr>
                <w:b/>
              </w:rPr>
            </w:pPr>
          </w:p>
        </w:tc>
        <w:tc>
          <w:tcPr>
            <w:tcW w:w="4572" w:type="dxa"/>
          </w:tcPr>
          <w:p w:rsidR="003517B3" w:rsidRPr="003517B3" w:rsidRDefault="003517B3">
            <w:pPr>
              <w:rPr>
                <w:b/>
              </w:rPr>
            </w:pPr>
          </w:p>
        </w:tc>
      </w:tr>
    </w:tbl>
    <w:p w:rsidR="004B38C1" w:rsidRPr="009D4601" w:rsidRDefault="004B38C1" w:rsidP="002E192B">
      <w:pPr>
        <w:ind w:left="2880"/>
        <w:rPr>
          <w:sz w:val="16"/>
        </w:rPr>
      </w:pPr>
    </w:p>
    <w:sectPr w:rsidR="004B38C1" w:rsidRPr="009D4601" w:rsidSect="00245E15">
      <w:headerReference w:type="default" r:id="rId15"/>
      <w:footerReference w:type="default" r:id="rId16"/>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861" w:rsidRDefault="00777861">
      <w:r>
        <w:separator/>
      </w:r>
    </w:p>
  </w:endnote>
  <w:endnote w:type="continuationSeparator" w:id="0">
    <w:p w:rsidR="00777861" w:rsidRDefault="00777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128" w:rsidRDefault="00322C1C">
    <w:pPr>
      <w:pStyle w:val="Footer"/>
      <w:framePr w:wrap="around" w:vAnchor="text" w:hAnchor="margin" w:xAlign="center" w:y="1"/>
      <w:rPr>
        <w:rStyle w:val="PageNumber"/>
      </w:rPr>
    </w:pPr>
    <w:r>
      <w:rPr>
        <w:rStyle w:val="PageNumber"/>
      </w:rPr>
      <w:fldChar w:fldCharType="begin"/>
    </w:r>
    <w:r w:rsidR="003C7128">
      <w:rPr>
        <w:rStyle w:val="PageNumber"/>
      </w:rPr>
      <w:instrText xml:space="preserve">PAGE  </w:instrText>
    </w:r>
    <w:r>
      <w:rPr>
        <w:rStyle w:val="PageNumber"/>
      </w:rPr>
      <w:fldChar w:fldCharType="end"/>
    </w:r>
  </w:p>
  <w:p w:rsidR="003C7128" w:rsidRDefault="003C71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128" w:rsidRDefault="00322C1C">
    <w:pPr>
      <w:pStyle w:val="Footer"/>
    </w:pPr>
    <w:r>
      <w:fldChar w:fldCharType="begin"/>
    </w:r>
    <w:r w:rsidR="00E54B6C">
      <w:instrText xml:space="preserve"> PAGE   \* MERGEFORMAT </w:instrText>
    </w:r>
    <w:r>
      <w:fldChar w:fldCharType="separate"/>
    </w:r>
    <w:r w:rsidR="005A0D60">
      <w:rPr>
        <w:noProof/>
      </w:rPr>
      <w:t>i</w:t>
    </w:r>
    <w:r>
      <w:rPr>
        <w:noProof/>
      </w:rPr>
      <w:fldChar w:fldCharType="end"/>
    </w:r>
  </w:p>
  <w:p w:rsidR="003C7128" w:rsidRDefault="003C7128">
    <w:pPr>
      <w:ind w:left="360" w:hanging="360"/>
      <w:rPr>
        <w:b/>
        <w:b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98E" w:rsidRDefault="00BF498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128" w:rsidRDefault="00322C1C">
    <w:pPr>
      <w:pStyle w:val="Footer"/>
      <w:framePr w:wrap="around" w:vAnchor="text" w:hAnchor="margin" w:xAlign="center" w:y="1"/>
      <w:rPr>
        <w:rStyle w:val="PageNumber"/>
      </w:rPr>
    </w:pPr>
    <w:r>
      <w:rPr>
        <w:rStyle w:val="PageNumber"/>
      </w:rPr>
      <w:fldChar w:fldCharType="begin"/>
    </w:r>
    <w:r w:rsidR="003C7128">
      <w:rPr>
        <w:rStyle w:val="PageNumber"/>
      </w:rPr>
      <w:instrText xml:space="preserve">PAGE  </w:instrText>
    </w:r>
    <w:r>
      <w:rPr>
        <w:rStyle w:val="PageNumber"/>
      </w:rPr>
      <w:fldChar w:fldCharType="separate"/>
    </w:r>
    <w:r w:rsidR="005A0D60">
      <w:rPr>
        <w:rStyle w:val="PageNumber"/>
        <w:noProof/>
      </w:rPr>
      <w:t>9</w:t>
    </w:r>
    <w:r>
      <w:rPr>
        <w:rStyle w:val="PageNumber"/>
      </w:rPr>
      <w:fldChar w:fldCharType="end"/>
    </w:r>
  </w:p>
  <w:tbl>
    <w:tblPr>
      <w:tblW w:w="0" w:type="auto"/>
      <w:tblInd w:w="108" w:type="dxa"/>
      <w:tblLayout w:type="fixed"/>
      <w:tblLook w:val="0000" w:firstRow="0" w:lastRow="0" w:firstColumn="0" w:lastColumn="0" w:noHBand="0" w:noVBand="0"/>
    </w:tblPr>
    <w:tblGrid>
      <w:gridCol w:w="3780"/>
      <w:gridCol w:w="2160"/>
      <w:gridCol w:w="3528"/>
    </w:tblGrid>
    <w:tr w:rsidR="003C7128">
      <w:tc>
        <w:tcPr>
          <w:tcW w:w="3780" w:type="dxa"/>
        </w:tcPr>
        <w:p w:rsidR="003C7128" w:rsidRDefault="003C7128">
          <w:pPr>
            <w:pStyle w:val="Footer"/>
            <w:rPr>
              <w:sz w:val="16"/>
              <w:szCs w:val="16"/>
            </w:rPr>
          </w:pPr>
        </w:p>
      </w:tc>
      <w:tc>
        <w:tcPr>
          <w:tcW w:w="2160" w:type="dxa"/>
        </w:tcPr>
        <w:p w:rsidR="003C7128" w:rsidRDefault="003C7128">
          <w:pPr>
            <w:pStyle w:val="Footer"/>
            <w:ind w:left="612"/>
          </w:pPr>
        </w:p>
      </w:tc>
      <w:tc>
        <w:tcPr>
          <w:tcW w:w="3528" w:type="dxa"/>
        </w:tcPr>
        <w:p w:rsidR="003C7128" w:rsidRDefault="003C7128">
          <w:pPr>
            <w:pStyle w:val="Footer"/>
            <w:jc w:val="center"/>
            <w:rPr>
              <w:sz w:val="15"/>
              <w:szCs w:val="15"/>
            </w:rPr>
          </w:pPr>
        </w:p>
      </w:tc>
    </w:tr>
  </w:tbl>
  <w:p w:rsidR="003C7128" w:rsidRDefault="003C71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861" w:rsidRDefault="00777861">
      <w:r>
        <w:separator/>
      </w:r>
    </w:p>
  </w:footnote>
  <w:footnote w:type="continuationSeparator" w:id="0">
    <w:p w:rsidR="00777861" w:rsidRDefault="00777861">
      <w:pPr>
        <w:ind w:right="5760"/>
      </w:pPr>
      <w:r>
        <w:continuationSeparator/>
      </w:r>
    </w:p>
  </w:footnote>
  <w:footnote w:id="1">
    <w:p w:rsidR="00A35AA3" w:rsidRPr="00A35AA3" w:rsidRDefault="00A35AA3">
      <w:pPr>
        <w:pStyle w:val="FootnoteText"/>
      </w:pPr>
      <w:r>
        <w:rPr>
          <w:rStyle w:val="FootnoteReference"/>
        </w:rPr>
        <w:footnoteRef/>
      </w:r>
      <w:r>
        <w:t xml:space="preserve"> In essence, this Joint Response is a multiparty settlement of the issues raised by Kroger in its petition for reconsideration.  </w:t>
      </w:r>
      <w:r>
        <w:rPr>
          <w:i/>
        </w:rPr>
        <w:t xml:space="preserve">See </w:t>
      </w:r>
      <w:r>
        <w:t xml:space="preserve">WAC 480-07-730(3).  </w:t>
      </w:r>
    </w:p>
  </w:footnote>
  <w:footnote w:id="2">
    <w:p w:rsidR="003C7128" w:rsidRDefault="003C7128">
      <w:pPr>
        <w:pStyle w:val="FootnoteText"/>
      </w:pPr>
      <w:r>
        <w:rPr>
          <w:rStyle w:val="FootnoteReference"/>
        </w:rPr>
        <w:footnoteRef/>
      </w:r>
      <w:r>
        <w:t xml:space="preserve"> Order 07, ¶129.  </w:t>
      </w:r>
    </w:p>
  </w:footnote>
  <w:footnote w:id="3">
    <w:p w:rsidR="003C7128" w:rsidRDefault="003C7128">
      <w:pPr>
        <w:pStyle w:val="FootnoteText"/>
      </w:pPr>
      <w:r>
        <w:rPr>
          <w:rStyle w:val="FootnoteReference"/>
        </w:rPr>
        <w:footnoteRef/>
      </w:r>
      <w:r>
        <w:t xml:space="preserve"> Kroger Petition For Reconsideration at 1.  </w:t>
      </w:r>
    </w:p>
  </w:footnote>
  <w:footnote w:id="4">
    <w:p w:rsidR="003C7128" w:rsidRDefault="003C7128">
      <w:pPr>
        <w:pStyle w:val="FootnoteText"/>
      </w:pPr>
      <w:r>
        <w:rPr>
          <w:rStyle w:val="FootnoteReference"/>
        </w:rPr>
        <w:footnoteRef/>
      </w:r>
      <w:r>
        <w:t xml:space="preserve"> Notice of Opportunity to File Answer and Establishing Process Pending Reconsideration at 3 (July 19, 2013).  On August 29, 2013, the Commission extended the time to file answers to the pending petitions for reconsideration to October 14, 2013. On October 8, the Commission again extended the time to file answers to November 1, 2013.  </w:t>
      </w:r>
    </w:p>
  </w:footnote>
  <w:footnote w:id="5">
    <w:p w:rsidR="003C7128" w:rsidRDefault="003C7128">
      <w:pPr>
        <w:pStyle w:val="FootnoteText"/>
      </w:pPr>
      <w:r>
        <w:rPr>
          <w:rStyle w:val="FootnoteReference"/>
        </w:rPr>
        <w:footnoteRef/>
      </w:r>
      <w:r>
        <w:t xml:space="preserve"> In addition to the Joint Parties identified herein, the following parties also participated in some or all of these meetings:  Public Counsel, Industrial Customers of Northwest Utilities (“ICNU”), </w:t>
      </w:r>
      <w:r w:rsidR="008C4411">
        <w:t xml:space="preserve">Northwest Industrial Gas Users, Nucor Steel Seattle, Inc. and </w:t>
      </w:r>
      <w:r>
        <w:t>The Energy Project</w:t>
      </w:r>
      <w:r w:rsidRPr="0078142D">
        <w:t>.</w:t>
      </w:r>
      <w:r>
        <w:t xml:space="preserve"> </w:t>
      </w:r>
    </w:p>
  </w:footnote>
  <w:footnote w:id="6">
    <w:p w:rsidR="00BE74B9" w:rsidRPr="00BE74B9" w:rsidRDefault="00BE74B9">
      <w:pPr>
        <w:pStyle w:val="FootnoteText"/>
      </w:pPr>
      <w:r>
        <w:rPr>
          <w:rStyle w:val="FootnoteReference"/>
        </w:rPr>
        <w:footnoteRef/>
      </w:r>
      <w:r>
        <w:t xml:space="preserve"> </w:t>
      </w:r>
      <w:r>
        <w:rPr>
          <w:i/>
        </w:rPr>
        <w:t xml:space="preserve">See </w:t>
      </w:r>
      <w:r w:rsidR="00144644">
        <w:t xml:space="preserve">Docket UE-111048, Electric Settlement Agreement, ¶15; </w:t>
      </w:r>
      <w:r w:rsidR="007C2A0F">
        <w:t>Docket UE-130617, Order 6 ¶19</w:t>
      </w:r>
      <w:r w:rsidR="00C816DF">
        <w:t>.</w:t>
      </w:r>
    </w:p>
  </w:footnote>
  <w:footnote w:id="7">
    <w:p w:rsidR="00A414A3" w:rsidRDefault="00A414A3">
      <w:pPr>
        <w:pStyle w:val="FootnoteText"/>
      </w:pPr>
      <w:r>
        <w:rPr>
          <w:rStyle w:val="FootnoteReference"/>
        </w:rPr>
        <w:footnoteRef/>
      </w:r>
      <w:r>
        <w:t xml:space="preserve"> In other words, today’s volumetric rate contains some measure of fixed costs </w:t>
      </w:r>
      <w:r w:rsidR="00B33053">
        <w:t>from</w:t>
      </w:r>
      <w:r>
        <w:t xml:space="preserve"> the cost-of-service study </w:t>
      </w:r>
      <w:r w:rsidR="00B33053">
        <w:t xml:space="preserve">that </w:t>
      </w:r>
      <w:r>
        <w:t>underli</w:t>
      </w:r>
      <w:r w:rsidR="00B33053">
        <w:t>es</w:t>
      </w:r>
      <w:r>
        <w:t xml:space="preserve"> today’</w:t>
      </w:r>
      <w:r w:rsidR="00B33053">
        <w:t>s rates.  The alternative plan moves one-half of those fixed costs into the demand rates leaving the other one-half still in the volumetric rate.</w:t>
      </w:r>
    </w:p>
  </w:footnote>
  <w:footnote w:id="8">
    <w:p w:rsidR="003C7128" w:rsidRDefault="003C7128">
      <w:pPr>
        <w:pStyle w:val="FootnoteText"/>
      </w:pPr>
      <w:r>
        <w:rPr>
          <w:rStyle w:val="FootnoteReference"/>
        </w:rPr>
        <w:footnoteRef/>
      </w:r>
      <w:r>
        <w:t xml:space="preserve"> This proposal has no impact on the rates for residential customers.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98E" w:rsidRDefault="00BF49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6DF" w:rsidRDefault="005A0D60">
    <w:pPr>
      <w:pStyle w:val="Header"/>
    </w:pPr>
    <w:r>
      <w:rPr>
        <w:noProof/>
      </w:rPr>
      <mc:AlternateContent>
        <mc:Choice Requires="wps">
          <w:drawing>
            <wp:anchor distT="0" distB="0" distL="114299" distR="114299" simplePos="0" relativeHeight="251659264" behindDoc="0" locked="0" layoutInCell="0" allowOverlap="1">
              <wp:simplePos x="0" y="0"/>
              <wp:positionH relativeFrom="column">
                <wp:posOffset>24764</wp:posOffset>
              </wp:positionH>
              <wp:positionV relativeFrom="paragraph">
                <wp:posOffset>231140</wp:posOffset>
              </wp:positionV>
              <wp:extent cx="0" cy="9258300"/>
              <wp:effectExtent l="19050" t="0" r="1905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5pt,18.2pt" to="1.95pt,7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skWGQ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" o:allowincell="f"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98E" w:rsidRDefault="00BF498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128" w:rsidRDefault="005A0D60">
    <w:r>
      <w:rPr>
        <w:noProof/>
      </w:rPr>
      <mc:AlternateContent>
        <mc:Choice Requires="wps">
          <w:drawing>
            <wp:anchor distT="0" distB="0" distL="114300" distR="114300" simplePos="0" relativeHeight="251656704" behindDoc="0" locked="0" layoutInCell="0" allowOverlap="1">
              <wp:simplePos x="0" y="0"/>
              <wp:positionH relativeFrom="margin">
                <wp:posOffset>-91440</wp:posOffset>
              </wp:positionH>
              <wp:positionV relativeFrom="page">
                <wp:posOffset>0</wp:posOffset>
              </wp:positionV>
              <wp:extent cx="635" cy="1005840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1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" o:allowincell="f" stroked="f">
              <v:stroke startarrowwidth="narrow" startarrowlength="short" endarrowwidth="narrow" endarrowlength="short"/>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D50BBA8"/>
    <w:lvl w:ilvl="0">
      <w:start w:val="1"/>
      <w:numFmt w:val="upperRoman"/>
      <w:pStyle w:val="Heading1"/>
      <w:lvlText w:val="%1."/>
      <w:lvlJc w:val="left"/>
      <w:pPr>
        <w:tabs>
          <w:tab w:val="num" w:pos="0"/>
        </w:tabs>
        <w:ind w:left="720" w:hanging="720"/>
      </w:pPr>
    </w:lvl>
    <w:lvl w:ilvl="1">
      <w:start w:val="1"/>
      <w:numFmt w:val="upperLetter"/>
      <w:pStyle w:val="Heading2"/>
      <w:lvlText w:val="%2."/>
      <w:lvlJc w:val="left"/>
      <w:pPr>
        <w:tabs>
          <w:tab w:val="num" w:pos="2430"/>
        </w:tabs>
        <w:ind w:left="3150" w:hanging="720"/>
      </w:pPr>
    </w:lvl>
    <w:lvl w:ilvl="2">
      <w:start w:val="1"/>
      <w:numFmt w:val="decimal"/>
      <w:pStyle w:val="Heading3"/>
      <w:lvlText w:val="%3."/>
      <w:lvlJc w:val="left"/>
      <w:pPr>
        <w:tabs>
          <w:tab w:val="num" w:pos="2520"/>
        </w:tabs>
        <w:ind w:left="3960" w:hanging="720"/>
      </w:pPr>
    </w:lvl>
    <w:lvl w:ilvl="3">
      <w:start w:val="1"/>
      <w:numFmt w:val="lowerLetter"/>
      <w:pStyle w:val="Heading4"/>
      <w:lvlText w:val="%4."/>
      <w:lvlJc w:val="left"/>
      <w:pPr>
        <w:tabs>
          <w:tab w:val="num" w:pos="0"/>
        </w:tabs>
        <w:ind w:left="2160" w:hanging="720"/>
      </w:pPr>
    </w:lvl>
    <w:lvl w:ilvl="4">
      <w:start w:val="1"/>
      <w:numFmt w:val="decimal"/>
      <w:pStyle w:val="Heading5"/>
      <w:lvlText w:val="(%5)"/>
      <w:lvlJc w:val="left"/>
      <w:pPr>
        <w:tabs>
          <w:tab w:val="num" w:pos="0"/>
        </w:tabs>
        <w:ind w:left="2880" w:hanging="720"/>
      </w:pPr>
    </w:lvl>
    <w:lvl w:ilvl="5">
      <w:start w:val="1"/>
      <w:numFmt w:val="lowerLetter"/>
      <w:pStyle w:val="Heading6"/>
      <w:lvlText w:val="(%6)"/>
      <w:lvlJc w:val="left"/>
      <w:pPr>
        <w:tabs>
          <w:tab w:val="num" w:pos="0"/>
        </w:tabs>
        <w:ind w:left="3600" w:hanging="720"/>
      </w:pPr>
    </w:lvl>
    <w:lvl w:ilvl="6">
      <w:start w:val="1"/>
      <w:numFmt w:val="decimal"/>
      <w:pStyle w:val="Heading7"/>
      <w:lvlText w:val="%7)"/>
      <w:lvlJc w:val="left"/>
      <w:pPr>
        <w:tabs>
          <w:tab w:val="num" w:pos="4320"/>
        </w:tabs>
        <w:ind w:left="4320" w:hanging="720"/>
      </w:pPr>
    </w:lvl>
    <w:lvl w:ilvl="7">
      <w:start w:val="1"/>
      <w:numFmt w:val="lowerLetter"/>
      <w:pStyle w:val="Heading8"/>
      <w:lvlText w:val="%8)"/>
      <w:lvlJc w:val="left"/>
      <w:pPr>
        <w:tabs>
          <w:tab w:val="num" w:pos="0"/>
        </w:tabs>
        <w:ind w:left="5040" w:hanging="720"/>
      </w:pPr>
    </w:lvl>
    <w:lvl w:ilvl="8">
      <w:start w:val="1"/>
      <w:numFmt w:val="lowerRoman"/>
      <w:pStyle w:val="Heading9"/>
      <w:lvlText w:val="%9)"/>
      <w:lvlJc w:val="left"/>
      <w:pPr>
        <w:tabs>
          <w:tab w:val="num" w:pos="0"/>
        </w:tabs>
        <w:ind w:left="5760" w:hanging="720"/>
      </w:pPr>
    </w:lvl>
  </w:abstractNum>
  <w:abstractNum w:abstractNumId="1">
    <w:nsid w:val="07CF319A"/>
    <w:multiLevelType w:val="hybridMultilevel"/>
    <w:tmpl w:val="7AD0DF18"/>
    <w:lvl w:ilvl="0" w:tplc="2ABAA898">
      <w:start w:val="1"/>
      <w:numFmt w:val="upperLetter"/>
      <w:lvlText w:val="%1."/>
      <w:lvlJc w:val="left"/>
      <w:pPr>
        <w:tabs>
          <w:tab w:val="num" w:pos="360"/>
        </w:tabs>
        <w:ind w:left="360" w:hanging="360"/>
      </w:pPr>
      <w:rPr>
        <w:rFonts w:hint="default"/>
        <w:b/>
        <w:bCs/>
      </w:r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
    <w:nsid w:val="10A9604D"/>
    <w:multiLevelType w:val="hybridMultilevel"/>
    <w:tmpl w:val="F426FE6C"/>
    <w:lvl w:ilvl="0" w:tplc="1F626150">
      <w:start w:val="1"/>
      <w:numFmt w:val="decimal"/>
      <w:lvlText w:val="(%1)"/>
      <w:lvlJc w:val="left"/>
      <w:pPr>
        <w:tabs>
          <w:tab w:val="num" w:pos="600"/>
        </w:tabs>
        <w:ind w:left="600" w:hanging="360"/>
      </w:pPr>
      <w:rPr>
        <w:rFonts w:hint="default"/>
        <w:b/>
        <w:bCs/>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130A0B37"/>
    <w:multiLevelType w:val="hybridMultilevel"/>
    <w:tmpl w:val="0BF2AEA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67B0107"/>
    <w:multiLevelType w:val="hybridMultilevel"/>
    <w:tmpl w:val="96FE3B76"/>
    <w:lvl w:ilvl="0" w:tplc="D1CE6336">
      <w:start w:val="1"/>
      <w:numFmt w:val="decimal"/>
      <w:lvlText w:val="%1"/>
      <w:lvlJc w:val="left"/>
      <w:pPr>
        <w:tabs>
          <w:tab w:val="num" w:pos="2880"/>
        </w:tabs>
        <w:ind w:hanging="720"/>
      </w:pPr>
      <w:rPr>
        <w:rFonts w:cs="Times New Roman" w:hint="default"/>
        <w:b w:val="0"/>
        <w:i/>
      </w:rPr>
    </w:lvl>
    <w:lvl w:ilvl="1" w:tplc="12D2799A">
      <w:start w:val="1"/>
      <w:numFmt w:val="decimal"/>
      <w:lvlText w:val="%2"/>
      <w:lvlJc w:val="left"/>
      <w:pPr>
        <w:ind w:left="3240" w:hanging="1440"/>
      </w:pPr>
      <w:rPr>
        <w:rFonts w:cs="Times New Roman" w:hint="default"/>
        <w:b w:val="0"/>
        <w:i/>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29E03FC3"/>
    <w:multiLevelType w:val="hybridMultilevel"/>
    <w:tmpl w:val="1AE667AE"/>
    <w:lvl w:ilvl="0" w:tplc="2CE01CEE">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4AB0E2B"/>
    <w:multiLevelType w:val="hybridMultilevel"/>
    <w:tmpl w:val="8EA4990A"/>
    <w:lvl w:ilvl="0" w:tplc="BE4E5E1A">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50A100E4"/>
    <w:multiLevelType w:val="hybridMultilevel"/>
    <w:tmpl w:val="A1BC5082"/>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8">
    <w:nsid w:val="562E5F70"/>
    <w:multiLevelType w:val="hybridMultilevel"/>
    <w:tmpl w:val="2CF05BE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9">
    <w:nsid w:val="5FCD0AA9"/>
    <w:multiLevelType w:val="hybridMultilevel"/>
    <w:tmpl w:val="C616CA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36D18A0"/>
    <w:multiLevelType w:val="hybridMultilevel"/>
    <w:tmpl w:val="1E286168"/>
    <w:lvl w:ilvl="0" w:tplc="408CB92C">
      <w:start w:val="2"/>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3701092"/>
    <w:multiLevelType w:val="hybridMultilevel"/>
    <w:tmpl w:val="D9D2D262"/>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nsid w:val="67E175BA"/>
    <w:multiLevelType w:val="hybridMultilevel"/>
    <w:tmpl w:val="4CDCF4E4"/>
    <w:lvl w:ilvl="0" w:tplc="9FA066AC">
      <w:start w:val="1"/>
      <w:numFmt w:val="bullet"/>
      <w:lvlText w:val=""/>
      <w:lvlJc w:val="left"/>
      <w:pPr>
        <w:tabs>
          <w:tab w:val="num" w:pos="1350"/>
        </w:tabs>
        <w:ind w:left="1350" w:hanging="630"/>
      </w:pPr>
      <w:rPr>
        <w:rFonts w:ascii="Symbol" w:hAnsi="Symbol" w:hint="default"/>
        <w:b w:val="0"/>
        <w:i/>
      </w:rPr>
    </w:lvl>
    <w:lvl w:ilvl="1" w:tplc="12D2799A">
      <w:start w:val="1"/>
      <w:numFmt w:val="decimal"/>
      <w:lvlText w:val="%2"/>
      <w:lvlJc w:val="left"/>
      <w:pPr>
        <w:ind w:left="4680" w:hanging="1440"/>
      </w:pPr>
      <w:rPr>
        <w:rFonts w:cs="Times New Roman"/>
        <w:b w:val="0"/>
        <w:i/>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8931D5B"/>
    <w:multiLevelType w:val="hybridMultilevel"/>
    <w:tmpl w:val="A24CDA98"/>
    <w:lvl w:ilvl="0" w:tplc="F5E014C2">
      <w:start w:val="1"/>
      <w:numFmt w:val="decimal"/>
      <w:pStyle w:val="WUTCParagraph"/>
      <w:lvlText w:val="%1"/>
      <w:lvlJc w:val="left"/>
      <w:pPr>
        <w:tabs>
          <w:tab w:val="num" w:pos="0"/>
        </w:tabs>
        <w:ind w:left="0" w:hanging="720"/>
      </w:pPr>
      <w:rPr>
        <w:rFonts w:ascii="Palatino Linotype" w:hAnsi="Palatino Linotype" w:cs="Times New Roman" w:hint="default"/>
        <w:b w:val="0"/>
        <w:i/>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727132BE"/>
    <w:multiLevelType w:val="hybridMultilevel"/>
    <w:tmpl w:val="3DD472EA"/>
    <w:lvl w:ilvl="0" w:tplc="8AC88F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001003"/>
    <w:multiLevelType w:val="singleLevel"/>
    <w:tmpl w:val="E256B96E"/>
    <w:lvl w:ilvl="0">
      <w:start w:val="1"/>
      <w:numFmt w:val="decimal"/>
      <w:pStyle w:val="ParNumber"/>
      <w:lvlText w:val="%1."/>
      <w:lvlJc w:val="left"/>
      <w:pPr>
        <w:tabs>
          <w:tab w:val="num" w:pos="360"/>
        </w:tabs>
        <w:ind w:left="360" w:hanging="360"/>
      </w:pPr>
      <w:rPr>
        <w:b w:val="0"/>
        <w:bCs w:val="0"/>
        <w:i w:val="0"/>
        <w:iCs w:val="0"/>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15"/>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11"/>
  </w:num>
  <w:num w:numId="23">
    <w:abstractNumId w:val="14"/>
  </w:num>
  <w:num w:numId="24">
    <w:abstractNumId w:val="8"/>
  </w:num>
  <w:num w:numId="25">
    <w:abstractNumId w:val="7"/>
  </w:num>
  <w:num w:numId="26">
    <w:abstractNumId w:val="0"/>
  </w:num>
  <w:num w:numId="27">
    <w:abstractNumId w:val="5"/>
  </w:num>
  <w:num w:numId="28">
    <w:abstractNumId w:val="9"/>
  </w:num>
  <w:num w:numId="29">
    <w:abstractNumId w:val="3"/>
  </w:num>
  <w:num w:numId="30">
    <w:abstractNumId w:val="15"/>
    <w:lvlOverride w:ilvl="0">
      <w:startOverride w:val="2"/>
    </w:lvlOverride>
  </w:num>
  <w:num w:numId="31">
    <w:abstractNumId w:val="1"/>
  </w:num>
  <w:num w:numId="32">
    <w:abstractNumId w:val="2"/>
  </w:num>
  <w:num w:numId="33">
    <w:abstractNumId w:val="10"/>
  </w:num>
  <w:num w:numId="34">
    <w:abstractNumId w:val="6"/>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15"/>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 w:numId="46">
    <w:abstractNumId w:val="4"/>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997"/>
    <w:rsid w:val="00007DC0"/>
    <w:rsid w:val="00023F3D"/>
    <w:rsid w:val="00026B81"/>
    <w:rsid w:val="00036CDA"/>
    <w:rsid w:val="00037721"/>
    <w:rsid w:val="00067325"/>
    <w:rsid w:val="000748B8"/>
    <w:rsid w:val="00081C37"/>
    <w:rsid w:val="000863FC"/>
    <w:rsid w:val="000920BE"/>
    <w:rsid w:val="00093EB7"/>
    <w:rsid w:val="00097768"/>
    <w:rsid w:val="000A16E0"/>
    <w:rsid w:val="000A7B06"/>
    <w:rsid w:val="000B15AE"/>
    <w:rsid w:val="000F0A6D"/>
    <w:rsid w:val="00106290"/>
    <w:rsid w:val="001124F1"/>
    <w:rsid w:val="00113FD5"/>
    <w:rsid w:val="001252E1"/>
    <w:rsid w:val="00144644"/>
    <w:rsid w:val="00161612"/>
    <w:rsid w:val="001905C5"/>
    <w:rsid w:val="001B2E5F"/>
    <w:rsid w:val="002006E8"/>
    <w:rsid w:val="00210734"/>
    <w:rsid w:val="00245E15"/>
    <w:rsid w:val="002525C9"/>
    <w:rsid w:val="00260F0B"/>
    <w:rsid w:val="00273D9F"/>
    <w:rsid w:val="00285F6D"/>
    <w:rsid w:val="00293FA6"/>
    <w:rsid w:val="002A1034"/>
    <w:rsid w:val="002B2039"/>
    <w:rsid w:val="002D1E21"/>
    <w:rsid w:val="002E0528"/>
    <w:rsid w:val="002E192B"/>
    <w:rsid w:val="002F5503"/>
    <w:rsid w:val="002F75C0"/>
    <w:rsid w:val="002F792B"/>
    <w:rsid w:val="00322C1C"/>
    <w:rsid w:val="00327B8D"/>
    <w:rsid w:val="003431A5"/>
    <w:rsid w:val="00346B23"/>
    <w:rsid w:val="003517B3"/>
    <w:rsid w:val="00352F42"/>
    <w:rsid w:val="003552DB"/>
    <w:rsid w:val="0036452B"/>
    <w:rsid w:val="00370191"/>
    <w:rsid w:val="003A259B"/>
    <w:rsid w:val="003C5104"/>
    <w:rsid w:val="003C64D6"/>
    <w:rsid w:val="003C7128"/>
    <w:rsid w:val="003F56E3"/>
    <w:rsid w:val="00404F26"/>
    <w:rsid w:val="004223C4"/>
    <w:rsid w:val="00445737"/>
    <w:rsid w:val="00453C74"/>
    <w:rsid w:val="00465969"/>
    <w:rsid w:val="0047284C"/>
    <w:rsid w:val="00483C26"/>
    <w:rsid w:val="004B38C1"/>
    <w:rsid w:val="004C5B1D"/>
    <w:rsid w:val="004D2DE1"/>
    <w:rsid w:val="004E2A05"/>
    <w:rsid w:val="005034AD"/>
    <w:rsid w:val="005064DE"/>
    <w:rsid w:val="00513B77"/>
    <w:rsid w:val="00516E0F"/>
    <w:rsid w:val="00525869"/>
    <w:rsid w:val="00526AA5"/>
    <w:rsid w:val="00535D42"/>
    <w:rsid w:val="00542A43"/>
    <w:rsid w:val="005476BA"/>
    <w:rsid w:val="00564BC1"/>
    <w:rsid w:val="005905F7"/>
    <w:rsid w:val="00594C86"/>
    <w:rsid w:val="005A0D60"/>
    <w:rsid w:val="005A64DA"/>
    <w:rsid w:val="005B0F4E"/>
    <w:rsid w:val="005C01E3"/>
    <w:rsid w:val="005C0AEB"/>
    <w:rsid w:val="005D01B8"/>
    <w:rsid w:val="005E1417"/>
    <w:rsid w:val="005E62CB"/>
    <w:rsid w:val="005E701B"/>
    <w:rsid w:val="00612812"/>
    <w:rsid w:val="00632710"/>
    <w:rsid w:val="00645B1B"/>
    <w:rsid w:val="006800C3"/>
    <w:rsid w:val="00691B98"/>
    <w:rsid w:val="006D3E74"/>
    <w:rsid w:val="006E2E9B"/>
    <w:rsid w:val="006E4C89"/>
    <w:rsid w:val="006F6F73"/>
    <w:rsid w:val="007032CC"/>
    <w:rsid w:val="007516EC"/>
    <w:rsid w:val="00753799"/>
    <w:rsid w:val="007705C1"/>
    <w:rsid w:val="00777861"/>
    <w:rsid w:val="0078142D"/>
    <w:rsid w:val="007977CF"/>
    <w:rsid w:val="007B4E5A"/>
    <w:rsid w:val="007B55F8"/>
    <w:rsid w:val="007C2A0F"/>
    <w:rsid w:val="007D4BD0"/>
    <w:rsid w:val="00821006"/>
    <w:rsid w:val="00833E41"/>
    <w:rsid w:val="00845894"/>
    <w:rsid w:val="0085223D"/>
    <w:rsid w:val="00855185"/>
    <w:rsid w:val="008910CD"/>
    <w:rsid w:val="00891F12"/>
    <w:rsid w:val="008C4411"/>
    <w:rsid w:val="008D7BE6"/>
    <w:rsid w:val="008E0F5F"/>
    <w:rsid w:val="008E6D9A"/>
    <w:rsid w:val="00902804"/>
    <w:rsid w:val="00920AB8"/>
    <w:rsid w:val="0092752C"/>
    <w:rsid w:val="00950A55"/>
    <w:rsid w:val="00965D3C"/>
    <w:rsid w:val="00970737"/>
    <w:rsid w:val="009A01F2"/>
    <w:rsid w:val="009A714B"/>
    <w:rsid w:val="009D4601"/>
    <w:rsid w:val="009E46EF"/>
    <w:rsid w:val="00A35AA3"/>
    <w:rsid w:val="00A37466"/>
    <w:rsid w:val="00A403DC"/>
    <w:rsid w:val="00A414A3"/>
    <w:rsid w:val="00A42D6A"/>
    <w:rsid w:val="00A4528E"/>
    <w:rsid w:val="00A51E03"/>
    <w:rsid w:val="00A52688"/>
    <w:rsid w:val="00A5742E"/>
    <w:rsid w:val="00A60996"/>
    <w:rsid w:val="00A74E1A"/>
    <w:rsid w:val="00AB703F"/>
    <w:rsid w:val="00AE130F"/>
    <w:rsid w:val="00AE7D81"/>
    <w:rsid w:val="00AF476C"/>
    <w:rsid w:val="00AF58A7"/>
    <w:rsid w:val="00B02E8B"/>
    <w:rsid w:val="00B20A04"/>
    <w:rsid w:val="00B316C4"/>
    <w:rsid w:val="00B33053"/>
    <w:rsid w:val="00B51C4B"/>
    <w:rsid w:val="00B60F37"/>
    <w:rsid w:val="00B66F9A"/>
    <w:rsid w:val="00B76124"/>
    <w:rsid w:val="00B90229"/>
    <w:rsid w:val="00B959FB"/>
    <w:rsid w:val="00BA20E6"/>
    <w:rsid w:val="00BA386C"/>
    <w:rsid w:val="00BC35CD"/>
    <w:rsid w:val="00BD71D3"/>
    <w:rsid w:val="00BE285E"/>
    <w:rsid w:val="00BE74B9"/>
    <w:rsid w:val="00BE7783"/>
    <w:rsid w:val="00BF498E"/>
    <w:rsid w:val="00C2793F"/>
    <w:rsid w:val="00C302B6"/>
    <w:rsid w:val="00C35ADC"/>
    <w:rsid w:val="00C45A90"/>
    <w:rsid w:val="00C51EE6"/>
    <w:rsid w:val="00C568F4"/>
    <w:rsid w:val="00C62EB3"/>
    <w:rsid w:val="00C816DF"/>
    <w:rsid w:val="00C9132A"/>
    <w:rsid w:val="00C91D67"/>
    <w:rsid w:val="00CA562B"/>
    <w:rsid w:val="00CA732A"/>
    <w:rsid w:val="00CE463C"/>
    <w:rsid w:val="00D03D12"/>
    <w:rsid w:val="00D42C67"/>
    <w:rsid w:val="00D45AD1"/>
    <w:rsid w:val="00D55382"/>
    <w:rsid w:val="00D652C6"/>
    <w:rsid w:val="00D8125F"/>
    <w:rsid w:val="00D8152B"/>
    <w:rsid w:val="00DC7DA3"/>
    <w:rsid w:val="00DD6B98"/>
    <w:rsid w:val="00DE488C"/>
    <w:rsid w:val="00E10997"/>
    <w:rsid w:val="00E12BD5"/>
    <w:rsid w:val="00E12CE7"/>
    <w:rsid w:val="00E13540"/>
    <w:rsid w:val="00E135ED"/>
    <w:rsid w:val="00E15358"/>
    <w:rsid w:val="00E211D8"/>
    <w:rsid w:val="00E326B0"/>
    <w:rsid w:val="00E361E0"/>
    <w:rsid w:val="00E4730B"/>
    <w:rsid w:val="00E4749E"/>
    <w:rsid w:val="00E5157F"/>
    <w:rsid w:val="00E54B6C"/>
    <w:rsid w:val="00E64256"/>
    <w:rsid w:val="00E752DD"/>
    <w:rsid w:val="00E85B77"/>
    <w:rsid w:val="00E938C2"/>
    <w:rsid w:val="00EB545C"/>
    <w:rsid w:val="00EC21F6"/>
    <w:rsid w:val="00EC2C5C"/>
    <w:rsid w:val="00EC739C"/>
    <w:rsid w:val="00ED411F"/>
    <w:rsid w:val="00EE227D"/>
    <w:rsid w:val="00EF11FC"/>
    <w:rsid w:val="00F26E95"/>
    <w:rsid w:val="00F27444"/>
    <w:rsid w:val="00F407B9"/>
    <w:rsid w:val="00F54443"/>
    <w:rsid w:val="00F76C30"/>
    <w:rsid w:val="00FA1C17"/>
    <w:rsid w:val="00FA57DD"/>
    <w:rsid w:val="00FB5FD8"/>
    <w:rsid w:val="00FF1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E15"/>
    <w:rPr>
      <w:sz w:val="24"/>
      <w:szCs w:val="24"/>
    </w:rPr>
  </w:style>
  <w:style w:type="paragraph" w:styleId="Heading1">
    <w:name w:val="heading 1"/>
    <w:basedOn w:val="Normal"/>
    <w:next w:val="Normal"/>
    <w:qFormat/>
    <w:rsid w:val="00245E15"/>
    <w:pPr>
      <w:keepNext/>
      <w:numPr>
        <w:numId w:val="21"/>
      </w:numPr>
      <w:spacing w:before="240"/>
      <w:jc w:val="center"/>
      <w:outlineLvl w:val="0"/>
    </w:pPr>
    <w:rPr>
      <w:b/>
      <w:bCs/>
      <w:caps/>
      <w:kern w:val="28"/>
    </w:rPr>
  </w:style>
  <w:style w:type="paragraph" w:styleId="Heading2">
    <w:name w:val="heading 2"/>
    <w:basedOn w:val="Normal"/>
    <w:next w:val="Normal"/>
    <w:qFormat/>
    <w:rsid w:val="00245E15"/>
    <w:pPr>
      <w:keepNext/>
      <w:numPr>
        <w:ilvl w:val="1"/>
        <w:numId w:val="21"/>
      </w:numPr>
      <w:spacing w:before="240"/>
      <w:jc w:val="both"/>
      <w:outlineLvl w:val="1"/>
    </w:pPr>
    <w:rPr>
      <w:b/>
      <w:bCs/>
    </w:rPr>
  </w:style>
  <w:style w:type="paragraph" w:styleId="Heading3">
    <w:name w:val="heading 3"/>
    <w:basedOn w:val="Normal"/>
    <w:next w:val="Normal"/>
    <w:qFormat/>
    <w:rsid w:val="00245E15"/>
    <w:pPr>
      <w:keepNext/>
      <w:numPr>
        <w:ilvl w:val="2"/>
        <w:numId w:val="21"/>
      </w:numPr>
      <w:spacing w:before="240"/>
      <w:jc w:val="both"/>
      <w:outlineLvl w:val="2"/>
    </w:pPr>
    <w:rPr>
      <w:b/>
      <w:bCs/>
    </w:rPr>
  </w:style>
  <w:style w:type="paragraph" w:styleId="Heading4">
    <w:name w:val="heading 4"/>
    <w:basedOn w:val="Normal"/>
    <w:next w:val="Normal"/>
    <w:qFormat/>
    <w:rsid w:val="00245E15"/>
    <w:pPr>
      <w:keepNext/>
      <w:numPr>
        <w:ilvl w:val="3"/>
        <w:numId w:val="21"/>
      </w:numPr>
      <w:spacing w:before="240"/>
      <w:jc w:val="both"/>
      <w:outlineLvl w:val="3"/>
    </w:pPr>
    <w:rPr>
      <w:b/>
      <w:bCs/>
    </w:rPr>
  </w:style>
  <w:style w:type="paragraph" w:styleId="Heading5">
    <w:name w:val="heading 5"/>
    <w:basedOn w:val="Normal"/>
    <w:next w:val="Normal"/>
    <w:qFormat/>
    <w:rsid w:val="00245E15"/>
    <w:pPr>
      <w:keepNext/>
      <w:numPr>
        <w:ilvl w:val="4"/>
        <w:numId w:val="21"/>
      </w:numPr>
      <w:spacing w:before="240"/>
      <w:jc w:val="both"/>
      <w:outlineLvl w:val="4"/>
    </w:pPr>
    <w:rPr>
      <w:b/>
      <w:bCs/>
    </w:rPr>
  </w:style>
  <w:style w:type="paragraph" w:styleId="Heading6">
    <w:name w:val="heading 6"/>
    <w:basedOn w:val="Normal"/>
    <w:next w:val="Normal"/>
    <w:link w:val="Heading6Char"/>
    <w:qFormat/>
    <w:rsid w:val="00245E15"/>
    <w:pPr>
      <w:keepNext/>
      <w:numPr>
        <w:ilvl w:val="5"/>
        <w:numId w:val="21"/>
      </w:numPr>
      <w:spacing w:before="240"/>
      <w:jc w:val="both"/>
      <w:outlineLvl w:val="5"/>
    </w:pPr>
    <w:rPr>
      <w:b/>
      <w:bCs/>
    </w:rPr>
  </w:style>
  <w:style w:type="paragraph" w:styleId="Heading7">
    <w:name w:val="heading 7"/>
    <w:basedOn w:val="Normal"/>
    <w:next w:val="Normal"/>
    <w:qFormat/>
    <w:rsid w:val="00245E15"/>
    <w:pPr>
      <w:keepNext/>
      <w:numPr>
        <w:ilvl w:val="6"/>
        <w:numId w:val="21"/>
      </w:numPr>
      <w:spacing w:before="240"/>
      <w:jc w:val="both"/>
      <w:outlineLvl w:val="6"/>
    </w:pPr>
    <w:rPr>
      <w:b/>
      <w:bCs/>
    </w:rPr>
  </w:style>
  <w:style w:type="paragraph" w:styleId="Heading8">
    <w:name w:val="heading 8"/>
    <w:basedOn w:val="Normal"/>
    <w:next w:val="Normal"/>
    <w:qFormat/>
    <w:rsid w:val="00245E15"/>
    <w:pPr>
      <w:keepNext/>
      <w:numPr>
        <w:ilvl w:val="7"/>
        <w:numId w:val="21"/>
      </w:numPr>
      <w:spacing w:before="240"/>
      <w:jc w:val="both"/>
      <w:outlineLvl w:val="7"/>
    </w:pPr>
    <w:rPr>
      <w:b/>
      <w:bCs/>
    </w:rPr>
  </w:style>
  <w:style w:type="paragraph" w:styleId="Heading9">
    <w:name w:val="heading 9"/>
    <w:basedOn w:val="Normal"/>
    <w:next w:val="Normal"/>
    <w:qFormat/>
    <w:rsid w:val="00245E15"/>
    <w:pPr>
      <w:keepNext/>
      <w:numPr>
        <w:ilvl w:val="8"/>
        <w:numId w:val="21"/>
      </w:numPr>
      <w:spacing w:before="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5E15"/>
    <w:pPr>
      <w:tabs>
        <w:tab w:val="center" w:pos="4320"/>
        <w:tab w:val="right" w:pos="8640"/>
      </w:tabs>
    </w:pPr>
  </w:style>
  <w:style w:type="paragraph" w:styleId="Footer">
    <w:name w:val="footer"/>
    <w:basedOn w:val="Normal"/>
    <w:link w:val="FooterChar"/>
    <w:uiPriority w:val="99"/>
    <w:rsid w:val="00245E15"/>
    <w:pPr>
      <w:tabs>
        <w:tab w:val="center" w:pos="4320"/>
        <w:tab w:val="right" w:pos="8640"/>
      </w:tabs>
    </w:pPr>
    <w:rPr>
      <w:sz w:val="20"/>
      <w:szCs w:val="20"/>
    </w:rPr>
  </w:style>
  <w:style w:type="paragraph" w:customStyle="1" w:styleId="LineNumbers">
    <w:name w:val="LineNumbers"/>
    <w:basedOn w:val="Normal"/>
    <w:rsid w:val="00245E15"/>
    <w:pPr>
      <w:jc w:val="right"/>
    </w:pPr>
  </w:style>
  <w:style w:type="paragraph" w:customStyle="1" w:styleId="SingleSpacing">
    <w:name w:val="Single Spacing"/>
    <w:basedOn w:val="Normal"/>
    <w:rsid w:val="00245E15"/>
    <w:pPr>
      <w:spacing w:line="186" w:lineRule="exact"/>
    </w:pPr>
  </w:style>
  <w:style w:type="paragraph" w:customStyle="1" w:styleId="15Spacing">
    <w:name w:val="1.5 Spacing"/>
    <w:basedOn w:val="Normal"/>
    <w:rsid w:val="00245E15"/>
    <w:pPr>
      <w:spacing w:line="279" w:lineRule="exact"/>
    </w:pPr>
  </w:style>
  <w:style w:type="paragraph" w:customStyle="1" w:styleId="DoubleSpacing">
    <w:name w:val="Double Spacing"/>
    <w:basedOn w:val="Normal"/>
    <w:rsid w:val="00245E15"/>
  </w:style>
  <w:style w:type="character" w:styleId="PageNumber">
    <w:name w:val="page number"/>
    <w:basedOn w:val="DefaultParagraphFont"/>
    <w:rsid w:val="00245E15"/>
  </w:style>
  <w:style w:type="paragraph" w:customStyle="1" w:styleId="Address">
    <w:name w:val="Address"/>
    <w:basedOn w:val="SingleSpacing"/>
    <w:rsid w:val="00245E15"/>
    <w:pPr>
      <w:ind w:left="4680"/>
    </w:pPr>
  </w:style>
  <w:style w:type="paragraph" w:customStyle="1" w:styleId="CourtName">
    <w:name w:val="CourtName"/>
    <w:basedOn w:val="Normal"/>
    <w:rsid w:val="00245E15"/>
    <w:pPr>
      <w:jc w:val="center"/>
    </w:pPr>
  </w:style>
  <w:style w:type="character" w:styleId="FootnoteReference">
    <w:name w:val="footnote reference"/>
    <w:semiHidden/>
    <w:rsid w:val="00245E15"/>
    <w:rPr>
      <w:vertAlign w:val="superscript"/>
    </w:rPr>
  </w:style>
  <w:style w:type="paragraph" w:styleId="TOAHeading">
    <w:name w:val="toa heading"/>
    <w:basedOn w:val="Normal"/>
    <w:next w:val="Normal"/>
    <w:semiHidden/>
    <w:rsid w:val="00245E15"/>
    <w:pPr>
      <w:spacing w:before="120" w:after="240"/>
      <w:jc w:val="center"/>
    </w:pPr>
    <w:rPr>
      <w:b/>
      <w:bCs/>
      <w:u w:val="single"/>
    </w:rPr>
  </w:style>
  <w:style w:type="paragraph" w:styleId="FootnoteText">
    <w:name w:val="footnote text"/>
    <w:basedOn w:val="Normal"/>
    <w:semiHidden/>
    <w:rsid w:val="00245E15"/>
    <w:pPr>
      <w:ind w:firstLine="720"/>
    </w:pPr>
    <w:rPr>
      <w:sz w:val="20"/>
      <w:szCs w:val="20"/>
    </w:rPr>
  </w:style>
  <w:style w:type="paragraph" w:styleId="TOC1">
    <w:name w:val="toc 1"/>
    <w:basedOn w:val="Normal"/>
    <w:next w:val="Normal"/>
    <w:uiPriority w:val="39"/>
    <w:rsid w:val="00245E15"/>
    <w:pPr>
      <w:tabs>
        <w:tab w:val="right" w:leader="dot" w:pos="9158"/>
      </w:tabs>
      <w:spacing w:after="240"/>
      <w:ind w:left="630" w:right="547" w:hanging="630"/>
    </w:pPr>
    <w:rPr>
      <w:caps/>
      <w:noProof/>
    </w:rPr>
  </w:style>
  <w:style w:type="paragraph" w:styleId="TOC2">
    <w:name w:val="toc 2"/>
    <w:basedOn w:val="Normal"/>
    <w:next w:val="Normal"/>
    <w:uiPriority w:val="39"/>
    <w:rsid w:val="00245E15"/>
    <w:pPr>
      <w:tabs>
        <w:tab w:val="right" w:leader="dot" w:pos="9158"/>
      </w:tabs>
      <w:spacing w:after="240"/>
      <w:ind w:left="1080" w:right="547" w:hanging="450"/>
    </w:pPr>
    <w:rPr>
      <w:noProof/>
    </w:rPr>
  </w:style>
  <w:style w:type="paragraph" w:styleId="TOC3">
    <w:name w:val="toc 3"/>
    <w:basedOn w:val="Normal"/>
    <w:next w:val="Normal"/>
    <w:semiHidden/>
    <w:rsid w:val="00245E15"/>
    <w:pPr>
      <w:tabs>
        <w:tab w:val="right" w:leader="dot" w:pos="9158"/>
      </w:tabs>
      <w:spacing w:after="240"/>
      <w:ind w:left="1530" w:right="547" w:hanging="450"/>
    </w:pPr>
    <w:rPr>
      <w:noProof/>
    </w:rPr>
  </w:style>
  <w:style w:type="paragraph" w:styleId="TOC4">
    <w:name w:val="toc 4"/>
    <w:basedOn w:val="Normal"/>
    <w:next w:val="Normal"/>
    <w:semiHidden/>
    <w:rsid w:val="00245E15"/>
    <w:pPr>
      <w:tabs>
        <w:tab w:val="right" w:leader="dot" w:pos="9158"/>
      </w:tabs>
      <w:spacing w:after="240"/>
      <w:ind w:left="1980" w:right="547" w:hanging="450"/>
    </w:pPr>
    <w:rPr>
      <w:noProof/>
    </w:rPr>
  </w:style>
  <w:style w:type="paragraph" w:styleId="TOC5">
    <w:name w:val="toc 5"/>
    <w:basedOn w:val="Normal"/>
    <w:next w:val="Normal"/>
    <w:semiHidden/>
    <w:rsid w:val="00245E15"/>
    <w:pPr>
      <w:tabs>
        <w:tab w:val="right" w:leader="dot" w:pos="9158"/>
      </w:tabs>
      <w:spacing w:after="240"/>
      <w:ind w:left="2610" w:right="547" w:hanging="630"/>
    </w:pPr>
    <w:rPr>
      <w:noProof/>
    </w:rPr>
  </w:style>
  <w:style w:type="paragraph" w:styleId="TOC6">
    <w:name w:val="toc 6"/>
    <w:basedOn w:val="Normal"/>
    <w:next w:val="Normal"/>
    <w:semiHidden/>
    <w:rsid w:val="00245E15"/>
    <w:pPr>
      <w:tabs>
        <w:tab w:val="right" w:pos="9158"/>
      </w:tabs>
      <w:spacing w:after="240"/>
      <w:ind w:left="3150" w:right="547" w:hanging="540"/>
    </w:pPr>
    <w:rPr>
      <w:noProof/>
    </w:rPr>
  </w:style>
  <w:style w:type="paragraph" w:styleId="TOC7">
    <w:name w:val="toc 7"/>
    <w:basedOn w:val="Normal"/>
    <w:next w:val="Normal"/>
    <w:semiHidden/>
    <w:rsid w:val="00245E15"/>
    <w:pPr>
      <w:tabs>
        <w:tab w:val="right" w:leader="dot" w:pos="9158"/>
      </w:tabs>
      <w:spacing w:after="240"/>
      <w:ind w:left="3600" w:right="547" w:hanging="450"/>
    </w:pPr>
    <w:rPr>
      <w:noProof/>
    </w:rPr>
  </w:style>
  <w:style w:type="paragraph" w:styleId="TOC8">
    <w:name w:val="toc 8"/>
    <w:basedOn w:val="Normal"/>
    <w:next w:val="Normal"/>
    <w:semiHidden/>
    <w:rsid w:val="00245E15"/>
    <w:pPr>
      <w:tabs>
        <w:tab w:val="right" w:leader="dot" w:pos="9158"/>
      </w:tabs>
      <w:spacing w:after="240"/>
      <w:ind w:left="4050" w:right="547" w:hanging="450"/>
    </w:pPr>
    <w:rPr>
      <w:noProof/>
    </w:rPr>
  </w:style>
  <w:style w:type="paragraph" w:styleId="BodyText">
    <w:name w:val="Body Text"/>
    <w:basedOn w:val="Normal"/>
    <w:rsid w:val="00245E15"/>
    <w:pPr>
      <w:spacing w:after="120" w:line="480" w:lineRule="auto"/>
      <w:ind w:firstLine="720"/>
    </w:pPr>
  </w:style>
  <w:style w:type="paragraph" w:styleId="TableofAuthorities">
    <w:name w:val="table of authorities"/>
    <w:basedOn w:val="Normal"/>
    <w:next w:val="Normal"/>
    <w:semiHidden/>
    <w:rsid w:val="00245E15"/>
    <w:pPr>
      <w:tabs>
        <w:tab w:val="right" w:pos="9360"/>
      </w:tabs>
      <w:spacing w:after="240"/>
      <w:ind w:left="245" w:right="720" w:hanging="245"/>
    </w:pPr>
  </w:style>
  <w:style w:type="paragraph" w:customStyle="1" w:styleId="ParNumber">
    <w:name w:val="ParNumber"/>
    <w:basedOn w:val="Normal"/>
    <w:rsid w:val="00245E15"/>
    <w:pPr>
      <w:numPr>
        <w:numId w:val="12"/>
      </w:numPr>
      <w:tabs>
        <w:tab w:val="left" w:pos="720"/>
      </w:tabs>
    </w:pPr>
  </w:style>
  <w:style w:type="character" w:customStyle="1" w:styleId="Heading6Char">
    <w:name w:val="Heading 6 Char"/>
    <w:link w:val="Heading6"/>
    <w:rsid w:val="00245E15"/>
    <w:rPr>
      <w:b/>
      <w:bCs/>
      <w:sz w:val="24"/>
      <w:szCs w:val="24"/>
      <w:lang w:val="en-US" w:eastAsia="en-US"/>
    </w:rPr>
  </w:style>
  <w:style w:type="paragraph" w:styleId="BalloonText">
    <w:name w:val="Balloon Text"/>
    <w:basedOn w:val="Normal"/>
    <w:semiHidden/>
    <w:rsid w:val="00245E15"/>
    <w:rPr>
      <w:rFonts w:ascii="Tahoma" w:hAnsi="Tahoma" w:cs="Tahoma"/>
      <w:sz w:val="16"/>
      <w:szCs w:val="16"/>
    </w:rPr>
  </w:style>
  <w:style w:type="paragraph" w:styleId="DocumentMap">
    <w:name w:val="Document Map"/>
    <w:basedOn w:val="Normal"/>
    <w:semiHidden/>
    <w:rsid w:val="00245E15"/>
    <w:pPr>
      <w:shd w:val="clear" w:color="auto" w:fill="000080"/>
    </w:pPr>
    <w:rPr>
      <w:rFonts w:ascii="Tahoma" w:hAnsi="Tahoma" w:cs="Tahoma"/>
      <w:sz w:val="20"/>
      <w:szCs w:val="20"/>
    </w:rPr>
  </w:style>
  <w:style w:type="paragraph" w:customStyle="1" w:styleId="answer">
    <w:name w:val="answer"/>
    <w:basedOn w:val="Normal"/>
    <w:link w:val="answerChar"/>
    <w:rsid w:val="00245E15"/>
    <w:pPr>
      <w:spacing w:before="120" w:after="120" w:line="480" w:lineRule="auto"/>
      <w:ind w:left="720" w:hanging="720"/>
    </w:pPr>
    <w:rPr>
      <w:rFonts w:ascii="Arial" w:hAnsi="Arial" w:cs="Arial"/>
      <w:lang w:eastAsia="zh-CN"/>
    </w:rPr>
  </w:style>
  <w:style w:type="character" w:customStyle="1" w:styleId="answerChar">
    <w:name w:val="answer Char"/>
    <w:link w:val="answer"/>
    <w:rsid w:val="00245E15"/>
    <w:rPr>
      <w:rFonts w:ascii="Arial" w:hAnsi="Arial" w:cs="Arial"/>
      <w:sz w:val="24"/>
      <w:szCs w:val="24"/>
      <w:lang w:val="en-US" w:eastAsia="zh-CN"/>
    </w:rPr>
  </w:style>
  <w:style w:type="paragraph" w:styleId="Quote">
    <w:name w:val="Quote"/>
    <w:basedOn w:val="Normal"/>
    <w:link w:val="QuoteChar"/>
    <w:qFormat/>
    <w:rsid w:val="00245E15"/>
    <w:pPr>
      <w:ind w:left="720"/>
    </w:pPr>
  </w:style>
  <w:style w:type="character" w:customStyle="1" w:styleId="QuoteChar">
    <w:name w:val="Quote Char"/>
    <w:link w:val="Quote"/>
    <w:rsid w:val="00245E15"/>
    <w:rPr>
      <w:sz w:val="24"/>
      <w:szCs w:val="24"/>
      <w:lang w:val="en-US" w:eastAsia="en-US"/>
    </w:rPr>
  </w:style>
  <w:style w:type="character" w:styleId="Hyperlink">
    <w:name w:val="Hyperlink"/>
    <w:rsid w:val="00245E15"/>
    <w:rPr>
      <w:color w:val="0000FF"/>
      <w:u w:val="single"/>
    </w:rPr>
  </w:style>
  <w:style w:type="table" w:styleId="TableGrid">
    <w:name w:val="Table Grid"/>
    <w:basedOn w:val="TableNormal"/>
    <w:rsid w:val="00245E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245E15"/>
    <w:pPr>
      <w:spacing w:before="100" w:beforeAutospacing="1" w:after="100" w:afterAutospacing="1"/>
    </w:pPr>
  </w:style>
  <w:style w:type="paragraph" w:customStyle="1" w:styleId="Style7">
    <w:name w:val="Style7"/>
    <w:basedOn w:val="Normal"/>
    <w:rsid w:val="00245E15"/>
    <w:pPr>
      <w:tabs>
        <w:tab w:val="left" w:pos="720"/>
      </w:tabs>
    </w:pPr>
  </w:style>
  <w:style w:type="character" w:customStyle="1" w:styleId="FooterChar">
    <w:name w:val="Footer Char"/>
    <w:link w:val="Footer"/>
    <w:uiPriority w:val="99"/>
    <w:rsid w:val="00A42D6A"/>
  </w:style>
  <w:style w:type="paragraph" w:customStyle="1" w:styleId="WUTCParagraph">
    <w:name w:val="WUTC Paragraph"/>
    <w:basedOn w:val="Normal"/>
    <w:uiPriority w:val="99"/>
    <w:rsid w:val="00E13540"/>
    <w:pPr>
      <w:numPr>
        <w:numId w:val="43"/>
      </w:numPr>
      <w:spacing w:line="480" w:lineRule="auto"/>
    </w:pPr>
    <w:rPr>
      <w:rFonts w:eastAsia="Calibri"/>
    </w:rPr>
  </w:style>
  <w:style w:type="character" w:styleId="CommentReference">
    <w:name w:val="annotation reference"/>
    <w:basedOn w:val="DefaultParagraphFont"/>
    <w:uiPriority w:val="99"/>
    <w:semiHidden/>
    <w:unhideWhenUsed/>
    <w:rsid w:val="00285F6D"/>
    <w:rPr>
      <w:sz w:val="16"/>
      <w:szCs w:val="16"/>
    </w:rPr>
  </w:style>
  <w:style w:type="paragraph" w:styleId="CommentText">
    <w:name w:val="annotation text"/>
    <w:basedOn w:val="Normal"/>
    <w:link w:val="CommentTextChar"/>
    <w:uiPriority w:val="99"/>
    <w:semiHidden/>
    <w:unhideWhenUsed/>
    <w:rsid w:val="00285F6D"/>
    <w:rPr>
      <w:sz w:val="20"/>
      <w:szCs w:val="20"/>
    </w:rPr>
  </w:style>
  <w:style w:type="character" w:customStyle="1" w:styleId="CommentTextChar">
    <w:name w:val="Comment Text Char"/>
    <w:basedOn w:val="DefaultParagraphFont"/>
    <w:link w:val="CommentText"/>
    <w:uiPriority w:val="99"/>
    <w:semiHidden/>
    <w:rsid w:val="00285F6D"/>
  </w:style>
  <w:style w:type="paragraph" w:styleId="CommentSubject">
    <w:name w:val="annotation subject"/>
    <w:basedOn w:val="CommentText"/>
    <w:next w:val="CommentText"/>
    <w:link w:val="CommentSubjectChar"/>
    <w:uiPriority w:val="99"/>
    <w:semiHidden/>
    <w:unhideWhenUsed/>
    <w:rsid w:val="00285F6D"/>
    <w:rPr>
      <w:b/>
      <w:bCs/>
    </w:rPr>
  </w:style>
  <w:style w:type="character" w:customStyle="1" w:styleId="CommentSubjectChar">
    <w:name w:val="Comment Subject Char"/>
    <w:basedOn w:val="CommentTextChar"/>
    <w:link w:val="CommentSubject"/>
    <w:uiPriority w:val="99"/>
    <w:semiHidden/>
    <w:rsid w:val="00285F6D"/>
    <w:rPr>
      <w:b/>
      <w:bCs/>
    </w:rPr>
  </w:style>
  <w:style w:type="paragraph" w:styleId="Revision">
    <w:name w:val="Revision"/>
    <w:hidden/>
    <w:uiPriority w:val="99"/>
    <w:semiHidden/>
    <w:rsid w:val="00A35AA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E15"/>
    <w:rPr>
      <w:sz w:val="24"/>
      <w:szCs w:val="24"/>
    </w:rPr>
  </w:style>
  <w:style w:type="paragraph" w:styleId="Heading1">
    <w:name w:val="heading 1"/>
    <w:basedOn w:val="Normal"/>
    <w:next w:val="Normal"/>
    <w:qFormat/>
    <w:rsid w:val="00245E15"/>
    <w:pPr>
      <w:keepNext/>
      <w:numPr>
        <w:numId w:val="21"/>
      </w:numPr>
      <w:spacing w:before="240"/>
      <w:jc w:val="center"/>
      <w:outlineLvl w:val="0"/>
    </w:pPr>
    <w:rPr>
      <w:b/>
      <w:bCs/>
      <w:caps/>
      <w:kern w:val="28"/>
    </w:rPr>
  </w:style>
  <w:style w:type="paragraph" w:styleId="Heading2">
    <w:name w:val="heading 2"/>
    <w:basedOn w:val="Normal"/>
    <w:next w:val="Normal"/>
    <w:qFormat/>
    <w:rsid w:val="00245E15"/>
    <w:pPr>
      <w:keepNext/>
      <w:numPr>
        <w:ilvl w:val="1"/>
        <w:numId w:val="21"/>
      </w:numPr>
      <w:spacing w:before="240"/>
      <w:jc w:val="both"/>
      <w:outlineLvl w:val="1"/>
    </w:pPr>
    <w:rPr>
      <w:b/>
      <w:bCs/>
    </w:rPr>
  </w:style>
  <w:style w:type="paragraph" w:styleId="Heading3">
    <w:name w:val="heading 3"/>
    <w:basedOn w:val="Normal"/>
    <w:next w:val="Normal"/>
    <w:qFormat/>
    <w:rsid w:val="00245E15"/>
    <w:pPr>
      <w:keepNext/>
      <w:numPr>
        <w:ilvl w:val="2"/>
        <w:numId w:val="21"/>
      </w:numPr>
      <w:spacing w:before="240"/>
      <w:jc w:val="both"/>
      <w:outlineLvl w:val="2"/>
    </w:pPr>
    <w:rPr>
      <w:b/>
      <w:bCs/>
    </w:rPr>
  </w:style>
  <w:style w:type="paragraph" w:styleId="Heading4">
    <w:name w:val="heading 4"/>
    <w:basedOn w:val="Normal"/>
    <w:next w:val="Normal"/>
    <w:qFormat/>
    <w:rsid w:val="00245E15"/>
    <w:pPr>
      <w:keepNext/>
      <w:numPr>
        <w:ilvl w:val="3"/>
        <w:numId w:val="21"/>
      </w:numPr>
      <w:spacing w:before="240"/>
      <w:jc w:val="both"/>
      <w:outlineLvl w:val="3"/>
    </w:pPr>
    <w:rPr>
      <w:b/>
      <w:bCs/>
    </w:rPr>
  </w:style>
  <w:style w:type="paragraph" w:styleId="Heading5">
    <w:name w:val="heading 5"/>
    <w:basedOn w:val="Normal"/>
    <w:next w:val="Normal"/>
    <w:qFormat/>
    <w:rsid w:val="00245E15"/>
    <w:pPr>
      <w:keepNext/>
      <w:numPr>
        <w:ilvl w:val="4"/>
        <w:numId w:val="21"/>
      </w:numPr>
      <w:spacing w:before="240"/>
      <w:jc w:val="both"/>
      <w:outlineLvl w:val="4"/>
    </w:pPr>
    <w:rPr>
      <w:b/>
      <w:bCs/>
    </w:rPr>
  </w:style>
  <w:style w:type="paragraph" w:styleId="Heading6">
    <w:name w:val="heading 6"/>
    <w:basedOn w:val="Normal"/>
    <w:next w:val="Normal"/>
    <w:link w:val="Heading6Char"/>
    <w:qFormat/>
    <w:rsid w:val="00245E15"/>
    <w:pPr>
      <w:keepNext/>
      <w:numPr>
        <w:ilvl w:val="5"/>
        <w:numId w:val="21"/>
      </w:numPr>
      <w:spacing w:before="240"/>
      <w:jc w:val="both"/>
      <w:outlineLvl w:val="5"/>
    </w:pPr>
    <w:rPr>
      <w:b/>
      <w:bCs/>
    </w:rPr>
  </w:style>
  <w:style w:type="paragraph" w:styleId="Heading7">
    <w:name w:val="heading 7"/>
    <w:basedOn w:val="Normal"/>
    <w:next w:val="Normal"/>
    <w:qFormat/>
    <w:rsid w:val="00245E15"/>
    <w:pPr>
      <w:keepNext/>
      <w:numPr>
        <w:ilvl w:val="6"/>
        <w:numId w:val="21"/>
      </w:numPr>
      <w:spacing w:before="240"/>
      <w:jc w:val="both"/>
      <w:outlineLvl w:val="6"/>
    </w:pPr>
    <w:rPr>
      <w:b/>
      <w:bCs/>
    </w:rPr>
  </w:style>
  <w:style w:type="paragraph" w:styleId="Heading8">
    <w:name w:val="heading 8"/>
    <w:basedOn w:val="Normal"/>
    <w:next w:val="Normal"/>
    <w:qFormat/>
    <w:rsid w:val="00245E15"/>
    <w:pPr>
      <w:keepNext/>
      <w:numPr>
        <w:ilvl w:val="7"/>
        <w:numId w:val="21"/>
      </w:numPr>
      <w:spacing w:before="240"/>
      <w:jc w:val="both"/>
      <w:outlineLvl w:val="7"/>
    </w:pPr>
    <w:rPr>
      <w:b/>
      <w:bCs/>
    </w:rPr>
  </w:style>
  <w:style w:type="paragraph" w:styleId="Heading9">
    <w:name w:val="heading 9"/>
    <w:basedOn w:val="Normal"/>
    <w:next w:val="Normal"/>
    <w:qFormat/>
    <w:rsid w:val="00245E15"/>
    <w:pPr>
      <w:keepNext/>
      <w:numPr>
        <w:ilvl w:val="8"/>
        <w:numId w:val="21"/>
      </w:numPr>
      <w:spacing w:before="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5E15"/>
    <w:pPr>
      <w:tabs>
        <w:tab w:val="center" w:pos="4320"/>
        <w:tab w:val="right" w:pos="8640"/>
      </w:tabs>
    </w:pPr>
  </w:style>
  <w:style w:type="paragraph" w:styleId="Footer">
    <w:name w:val="footer"/>
    <w:basedOn w:val="Normal"/>
    <w:link w:val="FooterChar"/>
    <w:uiPriority w:val="99"/>
    <w:rsid w:val="00245E15"/>
    <w:pPr>
      <w:tabs>
        <w:tab w:val="center" w:pos="4320"/>
        <w:tab w:val="right" w:pos="8640"/>
      </w:tabs>
    </w:pPr>
    <w:rPr>
      <w:sz w:val="20"/>
      <w:szCs w:val="20"/>
    </w:rPr>
  </w:style>
  <w:style w:type="paragraph" w:customStyle="1" w:styleId="LineNumbers">
    <w:name w:val="LineNumbers"/>
    <w:basedOn w:val="Normal"/>
    <w:rsid w:val="00245E15"/>
    <w:pPr>
      <w:jc w:val="right"/>
    </w:pPr>
  </w:style>
  <w:style w:type="paragraph" w:customStyle="1" w:styleId="SingleSpacing">
    <w:name w:val="Single Spacing"/>
    <w:basedOn w:val="Normal"/>
    <w:rsid w:val="00245E15"/>
    <w:pPr>
      <w:spacing w:line="186" w:lineRule="exact"/>
    </w:pPr>
  </w:style>
  <w:style w:type="paragraph" w:customStyle="1" w:styleId="15Spacing">
    <w:name w:val="1.5 Spacing"/>
    <w:basedOn w:val="Normal"/>
    <w:rsid w:val="00245E15"/>
    <w:pPr>
      <w:spacing w:line="279" w:lineRule="exact"/>
    </w:pPr>
  </w:style>
  <w:style w:type="paragraph" w:customStyle="1" w:styleId="DoubleSpacing">
    <w:name w:val="Double Spacing"/>
    <w:basedOn w:val="Normal"/>
    <w:rsid w:val="00245E15"/>
  </w:style>
  <w:style w:type="character" w:styleId="PageNumber">
    <w:name w:val="page number"/>
    <w:basedOn w:val="DefaultParagraphFont"/>
    <w:rsid w:val="00245E15"/>
  </w:style>
  <w:style w:type="paragraph" w:customStyle="1" w:styleId="Address">
    <w:name w:val="Address"/>
    <w:basedOn w:val="SingleSpacing"/>
    <w:rsid w:val="00245E15"/>
    <w:pPr>
      <w:ind w:left="4680"/>
    </w:pPr>
  </w:style>
  <w:style w:type="paragraph" w:customStyle="1" w:styleId="CourtName">
    <w:name w:val="CourtName"/>
    <w:basedOn w:val="Normal"/>
    <w:rsid w:val="00245E15"/>
    <w:pPr>
      <w:jc w:val="center"/>
    </w:pPr>
  </w:style>
  <w:style w:type="character" w:styleId="FootnoteReference">
    <w:name w:val="footnote reference"/>
    <w:semiHidden/>
    <w:rsid w:val="00245E15"/>
    <w:rPr>
      <w:vertAlign w:val="superscript"/>
    </w:rPr>
  </w:style>
  <w:style w:type="paragraph" w:styleId="TOAHeading">
    <w:name w:val="toa heading"/>
    <w:basedOn w:val="Normal"/>
    <w:next w:val="Normal"/>
    <w:semiHidden/>
    <w:rsid w:val="00245E15"/>
    <w:pPr>
      <w:spacing w:before="120" w:after="240"/>
      <w:jc w:val="center"/>
    </w:pPr>
    <w:rPr>
      <w:b/>
      <w:bCs/>
      <w:u w:val="single"/>
    </w:rPr>
  </w:style>
  <w:style w:type="paragraph" w:styleId="FootnoteText">
    <w:name w:val="footnote text"/>
    <w:basedOn w:val="Normal"/>
    <w:semiHidden/>
    <w:rsid w:val="00245E15"/>
    <w:pPr>
      <w:ind w:firstLine="720"/>
    </w:pPr>
    <w:rPr>
      <w:sz w:val="20"/>
      <w:szCs w:val="20"/>
    </w:rPr>
  </w:style>
  <w:style w:type="paragraph" w:styleId="TOC1">
    <w:name w:val="toc 1"/>
    <w:basedOn w:val="Normal"/>
    <w:next w:val="Normal"/>
    <w:uiPriority w:val="39"/>
    <w:rsid w:val="00245E15"/>
    <w:pPr>
      <w:tabs>
        <w:tab w:val="right" w:leader="dot" w:pos="9158"/>
      </w:tabs>
      <w:spacing w:after="240"/>
      <w:ind w:left="630" w:right="547" w:hanging="630"/>
    </w:pPr>
    <w:rPr>
      <w:caps/>
      <w:noProof/>
    </w:rPr>
  </w:style>
  <w:style w:type="paragraph" w:styleId="TOC2">
    <w:name w:val="toc 2"/>
    <w:basedOn w:val="Normal"/>
    <w:next w:val="Normal"/>
    <w:uiPriority w:val="39"/>
    <w:rsid w:val="00245E15"/>
    <w:pPr>
      <w:tabs>
        <w:tab w:val="right" w:leader="dot" w:pos="9158"/>
      </w:tabs>
      <w:spacing w:after="240"/>
      <w:ind w:left="1080" w:right="547" w:hanging="450"/>
    </w:pPr>
    <w:rPr>
      <w:noProof/>
    </w:rPr>
  </w:style>
  <w:style w:type="paragraph" w:styleId="TOC3">
    <w:name w:val="toc 3"/>
    <w:basedOn w:val="Normal"/>
    <w:next w:val="Normal"/>
    <w:semiHidden/>
    <w:rsid w:val="00245E15"/>
    <w:pPr>
      <w:tabs>
        <w:tab w:val="right" w:leader="dot" w:pos="9158"/>
      </w:tabs>
      <w:spacing w:after="240"/>
      <w:ind w:left="1530" w:right="547" w:hanging="450"/>
    </w:pPr>
    <w:rPr>
      <w:noProof/>
    </w:rPr>
  </w:style>
  <w:style w:type="paragraph" w:styleId="TOC4">
    <w:name w:val="toc 4"/>
    <w:basedOn w:val="Normal"/>
    <w:next w:val="Normal"/>
    <w:semiHidden/>
    <w:rsid w:val="00245E15"/>
    <w:pPr>
      <w:tabs>
        <w:tab w:val="right" w:leader="dot" w:pos="9158"/>
      </w:tabs>
      <w:spacing w:after="240"/>
      <w:ind w:left="1980" w:right="547" w:hanging="450"/>
    </w:pPr>
    <w:rPr>
      <w:noProof/>
    </w:rPr>
  </w:style>
  <w:style w:type="paragraph" w:styleId="TOC5">
    <w:name w:val="toc 5"/>
    <w:basedOn w:val="Normal"/>
    <w:next w:val="Normal"/>
    <w:semiHidden/>
    <w:rsid w:val="00245E15"/>
    <w:pPr>
      <w:tabs>
        <w:tab w:val="right" w:leader="dot" w:pos="9158"/>
      </w:tabs>
      <w:spacing w:after="240"/>
      <w:ind w:left="2610" w:right="547" w:hanging="630"/>
    </w:pPr>
    <w:rPr>
      <w:noProof/>
    </w:rPr>
  </w:style>
  <w:style w:type="paragraph" w:styleId="TOC6">
    <w:name w:val="toc 6"/>
    <w:basedOn w:val="Normal"/>
    <w:next w:val="Normal"/>
    <w:semiHidden/>
    <w:rsid w:val="00245E15"/>
    <w:pPr>
      <w:tabs>
        <w:tab w:val="right" w:pos="9158"/>
      </w:tabs>
      <w:spacing w:after="240"/>
      <w:ind w:left="3150" w:right="547" w:hanging="540"/>
    </w:pPr>
    <w:rPr>
      <w:noProof/>
    </w:rPr>
  </w:style>
  <w:style w:type="paragraph" w:styleId="TOC7">
    <w:name w:val="toc 7"/>
    <w:basedOn w:val="Normal"/>
    <w:next w:val="Normal"/>
    <w:semiHidden/>
    <w:rsid w:val="00245E15"/>
    <w:pPr>
      <w:tabs>
        <w:tab w:val="right" w:leader="dot" w:pos="9158"/>
      </w:tabs>
      <w:spacing w:after="240"/>
      <w:ind w:left="3600" w:right="547" w:hanging="450"/>
    </w:pPr>
    <w:rPr>
      <w:noProof/>
    </w:rPr>
  </w:style>
  <w:style w:type="paragraph" w:styleId="TOC8">
    <w:name w:val="toc 8"/>
    <w:basedOn w:val="Normal"/>
    <w:next w:val="Normal"/>
    <w:semiHidden/>
    <w:rsid w:val="00245E15"/>
    <w:pPr>
      <w:tabs>
        <w:tab w:val="right" w:leader="dot" w:pos="9158"/>
      </w:tabs>
      <w:spacing w:after="240"/>
      <w:ind w:left="4050" w:right="547" w:hanging="450"/>
    </w:pPr>
    <w:rPr>
      <w:noProof/>
    </w:rPr>
  </w:style>
  <w:style w:type="paragraph" w:styleId="BodyText">
    <w:name w:val="Body Text"/>
    <w:basedOn w:val="Normal"/>
    <w:rsid w:val="00245E15"/>
    <w:pPr>
      <w:spacing w:after="120" w:line="480" w:lineRule="auto"/>
      <w:ind w:firstLine="720"/>
    </w:pPr>
  </w:style>
  <w:style w:type="paragraph" w:styleId="TableofAuthorities">
    <w:name w:val="table of authorities"/>
    <w:basedOn w:val="Normal"/>
    <w:next w:val="Normal"/>
    <w:semiHidden/>
    <w:rsid w:val="00245E15"/>
    <w:pPr>
      <w:tabs>
        <w:tab w:val="right" w:pos="9360"/>
      </w:tabs>
      <w:spacing w:after="240"/>
      <w:ind w:left="245" w:right="720" w:hanging="245"/>
    </w:pPr>
  </w:style>
  <w:style w:type="paragraph" w:customStyle="1" w:styleId="ParNumber">
    <w:name w:val="ParNumber"/>
    <w:basedOn w:val="Normal"/>
    <w:rsid w:val="00245E15"/>
    <w:pPr>
      <w:numPr>
        <w:numId w:val="12"/>
      </w:numPr>
      <w:tabs>
        <w:tab w:val="left" w:pos="720"/>
      </w:tabs>
    </w:pPr>
  </w:style>
  <w:style w:type="character" w:customStyle="1" w:styleId="Heading6Char">
    <w:name w:val="Heading 6 Char"/>
    <w:link w:val="Heading6"/>
    <w:rsid w:val="00245E15"/>
    <w:rPr>
      <w:b/>
      <w:bCs/>
      <w:sz w:val="24"/>
      <w:szCs w:val="24"/>
      <w:lang w:val="en-US" w:eastAsia="en-US"/>
    </w:rPr>
  </w:style>
  <w:style w:type="paragraph" w:styleId="BalloonText">
    <w:name w:val="Balloon Text"/>
    <w:basedOn w:val="Normal"/>
    <w:semiHidden/>
    <w:rsid w:val="00245E15"/>
    <w:rPr>
      <w:rFonts w:ascii="Tahoma" w:hAnsi="Tahoma" w:cs="Tahoma"/>
      <w:sz w:val="16"/>
      <w:szCs w:val="16"/>
    </w:rPr>
  </w:style>
  <w:style w:type="paragraph" w:styleId="DocumentMap">
    <w:name w:val="Document Map"/>
    <w:basedOn w:val="Normal"/>
    <w:semiHidden/>
    <w:rsid w:val="00245E15"/>
    <w:pPr>
      <w:shd w:val="clear" w:color="auto" w:fill="000080"/>
    </w:pPr>
    <w:rPr>
      <w:rFonts w:ascii="Tahoma" w:hAnsi="Tahoma" w:cs="Tahoma"/>
      <w:sz w:val="20"/>
      <w:szCs w:val="20"/>
    </w:rPr>
  </w:style>
  <w:style w:type="paragraph" w:customStyle="1" w:styleId="answer">
    <w:name w:val="answer"/>
    <w:basedOn w:val="Normal"/>
    <w:link w:val="answerChar"/>
    <w:rsid w:val="00245E15"/>
    <w:pPr>
      <w:spacing w:before="120" w:after="120" w:line="480" w:lineRule="auto"/>
      <w:ind w:left="720" w:hanging="720"/>
    </w:pPr>
    <w:rPr>
      <w:rFonts w:ascii="Arial" w:hAnsi="Arial" w:cs="Arial"/>
      <w:lang w:eastAsia="zh-CN"/>
    </w:rPr>
  </w:style>
  <w:style w:type="character" w:customStyle="1" w:styleId="answerChar">
    <w:name w:val="answer Char"/>
    <w:link w:val="answer"/>
    <w:rsid w:val="00245E15"/>
    <w:rPr>
      <w:rFonts w:ascii="Arial" w:hAnsi="Arial" w:cs="Arial"/>
      <w:sz w:val="24"/>
      <w:szCs w:val="24"/>
      <w:lang w:val="en-US" w:eastAsia="zh-CN"/>
    </w:rPr>
  </w:style>
  <w:style w:type="paragraph" w:styleId="Quote">
    <w:name w:val="Quote"/>
    <w:basedOn w:val="Normal"/>
    <w:link w:val="QuoteChar"/>
    <w:qFormat/>
    <w:rsid w:val="00245E15"/>
    <w:pPr>
      <w:ind w:left="720"/>
    </w:pPr>
  </w:style>
  <w:style w:type="character" w:customStyle="1" w:styleId="QuoteChar">
    <w:name w:val="Quote Char"/>
    <w:link w:val="Quote"/>
    <w:rsid w:val="00245E15"/>
    <w:rPr>
      <w:sz w:val="24"/>
      <w:szCs w:val="24"/>
      <w:lang w:val="en-US" w:eastAsia="en-US"/>
    </w:rPr>
  </w:style>
  <w:style w:type="character" w:styleId="Hyperlink">
    <w:name w:val="Hyperlink"/>
    <w:rsid w:val="00245E15"/>
    <w:rPr>
      <w:color w:val="0000FF"/>
      <w:u w:val="single"/>
    </w:rPr>
  </w:style>
  <w:style w:type="table" w:styleId="TableGrid">
    <w:name w:val="Table Grid"/>
    <w:basedOn w:val="TableNormal"/>
    <w:rsid w:val="00245E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245E15"/>
    <w:pPr>
      <w:spacing w:before="100" w:beforeAutospacing="1" w:after="100" w:afterAutospacing="1"/>
    </w:pPr>
  </w:style>
  <w:style w:type="paragraph" w:customStyle="1" w:styleId="Style7">
    <w:name w:val="Style7"/>
    <w:basedOn w:val="Normal"/>
    <w:rsid w:val="00245E15"/>
    <w:pPr>
      <w:tabs>
        <w:tab w:val="left" w:pos="720"/>
      </w:tabs>
    </w:pPr>
  </w:style>
  <w:style w:type="character" w:customStyle="1" w:styleId="FooterChar">
    <w:name w:val="Footer Char"/>
    <w:link w:val="Footer"/>
    <w:uiPriority w:val="99"/>
    <w:rsid w:val="00A42D6A"/>
  </w:style>
  <w:style w:type="paragraph" w:customStyle="1" w:styleId="WUTCParagraph">
    <w:name w:val="WUTC Paragraph"/>
    <w:basedOn w:val="Normal"/>
    <w:uiPriority w:val="99"/>
    <w:rsid w:val="00E13540"/>
    <w:pPr>
      <w:numPr>
        <w:numId w:val="43"/>
      </w:numPr>
      <w:spacing w:line="480" w:lineRule="auto"/>
    </w:pPr>
    <w:rPr>
      <w:rFonts w:eastAsia="Calibri"/>
    </w:rPr>
  </w:style>
  <w:style w:type="character" w:styleId="CommentReference">
    <w:name w:val="annotation reference"/>
    <w:basedOn w:val="DefaultParagraphFont"/>
    <w:uiPriority w:val="99"/>
    <w:semiHidden/>
    <w:unhideWhenUsed/>
    <w:rsid w:val="00285F6D"/>
    <w:rPr>
      <w:sz w:val="16"/>
      <w:szCs w:val="16"/>
    </w:rPr>
  </w:style>
  <w:style w:type="paragraph" w:styleId="CommentText">
    <w:name w:val="annotation text"/>
    <w:basedOn w:val="Normal"/>
    <w:link w:val="CommentTextChar"/>
    <w:uiPriority w:val="99"/>
    <w:semiHidden/>
    <w:unhideWhenUsed/>
    <w:rsid w:val="00285F6D"/>
    <w:rPr>
      <w:sz w:val="20"/>
      <w:szCs w:val="20"/>
    </w:rPr>
  </w:style>
  <w:style w:type="character" w:customStyle="1" w:styleId="CommentTextChar">
    <w:name w:val="Comment Text Char"/>
    <w:basedOn w:val="DefaultParagraphFont"/>
    <w:link w:val="CommentText"/>
    <w:uiPriority w:val="99"/>
    <w:semiHidden/>
    <w:rsid w:val="00285F6D"/>
  </w:style>
  <w:style w:type="paragraph" w:styleId="CommentSubject">
    <w:name w:val="annotation subject"/>
    <w:basedOn w:val="CommentText"/>
    <w:next w:val="CommentText"/>
    <w:link w:val="CommentSubjectChar"/>
    <w:uiPriority w:val="99"/>
    <w:semiHidden/>
    <w:unhideWhenUsed/>
    <w:rsid w:val="00285F6D"/>
    <w:rPr>
      <w:b/>
      <w:bCs/>
    </w:rPr>
  </w:style>
  <w:style w:type="character" w:customStyle="1" w:styleId="CommentSubjectChar">
    <w:name w:val="Comment Subject Char"/>
    <w:basedOn w:val="CommentTextChar"/>
    <w:link w:val="CommentSubject"/>
    <w:uiPriority w:val="99"/>
    <w:semiHidden/>
    <w:rsid w:val="00285F6D"/>
    <w:rPr>
      <w:b/>
      <w:bCs/>
    </w:rPr>
  </w:style>
  <w:style w:type="paragraph" w:styleId="Revision">
    <w:name w:val="Revision"/>
    <w:hidden/>
    <w:uiPriority w:val="99"/>
    <w:semiHidden/>
    <w:rsid w:val="00A35AA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15165490">
      <w:bodyDiv w:val="1"/>
      <w:marLeft w:val="0"/>
      <w:marRight w:val="0"/>
      <w:marTop w:val="0"/>
      <w:marBottom w:val="0"/>
      <w:divBdr>
        <w:top w:val="none" w:sz="0" w:space="0" w:color="auto"/>
        <w:left w:val="none" w:sz="0" w:space="0" w:color="auto"/>
        <w:bottom w:val="none" w:sz="0" w:space="0" w:color="auto"/>
        <w:right w:val="none" w:sz="0" w:space="0" w:color="auto"/>
      </w:divBdr>
    </w:div>
    <w:div w:id="832064485">
      <w:bodyDiv w:val="1"/>
      <w:marLeft w:val="0"/>
      <w:marRight w:val="0"/>
      <w:marTop w:val="0"/>
      <w:marBottom w:val="0"/>
      <w:divBdr>
        <w:top w:val="none" w:sz="0" w:space="0" w:color="auto"/>
        <w:left w:val="none" w:sz="0" w:space="0" w:color="auto"/>
        <w:bottom w:val="none" w:sz="0" w:space="0" w:color="auto"/>
        <w:right w:val="none" w:sz="0" w:space="0" w:color="auto"/>
      </w:divBdr>
    </w:div>
    <w:div w:id="1162504850">
      <w:bodyDiv w:val="1"/>
      <w:marLeft w:val="0"/>
      <w:marRight w:val="0"/>
      <w:marTop w:val="0"/>
      <w:marBottom w:val="0"/>
      <w:divBdr>
        <w:top w:val="none" w:sz="0" w:space="0" w:color="auto"/>
        <w:left w:val="none" w:sz="0" w:space="0" w:color="auto"/>
        <w:bottom w:val="none" w:sz="0" w:space="0" w:color="auto"/>
        <w:right w:val="none" w:sz="0" w:space="0" w:color="auto"/>
      </w:divBdr>
    </w:div>
    <w:div w:id="1295450197">
      <w:bodyDiv w:val="1"/>
      <w:marLeft w:val="0"/>
      <w:marRight w:val="0"/>
      <w:marTop w:val="0"/>
      <w:marBottom w:val="0"/>
      <w:divBdr>
        <w:top w:val="none" w:sz="0" w:space="0" w:color="auto"/>
        <w:left w:val="none" w:sz="0" w:space="0" w:color="auto"/>
        <w:bottom w:val="none" w:sz="0" w:space="0" w:color="auto"/>
        <w:right w:val="none" w:sz="0" w:space="0" w:color="auto"/>
      </w:divBdr>
    </w:div>
    <w:div w:id="1966689280">
      <w:bodyDiv w:val="1"/>
      <w:marLeft w:val="0"/>
      <w:marRight w:val="0"/>
      <w:marTop w:val="0"/>
      <w:marBottom w:val="0"/>
      <w:divBdr>
        <w:top w:val="none" w:sz="0" w:space="0" w:color="auto"/>
        <w:left w:val="none" w:sz="0" w:space="0" w:color="auto"/>
        <w:bottom w:val="none" w:sz="0" w:space="0" w:color="auto"/>
        <w:right w:val="none" w:sz="0" w:space="0" w:color="auto"/>
      </w:divBdr>
    </w:div>
    <w:div w:id="214265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2013-11-01T07:00:00+00:00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B81214C6-77C9-40AD-9270-2BF7FD375FCE}"/>
</file>

<file path=customXml/itemProps2.xml><?xml version="1.0" encoding="utf-8"?>
<ds:datastoreItem xmlns:ds="http://schemas.openxmlformats.org/officeDocument/2006/customXml" ds:itemID="{7665FA0E-BDD9-4DA1-A2FE-C1694874BF58}"/>
</file>

<file path=customXml/itemProps3.xml><?xml version="1.0" encoding="utf-8"?>
<ds:datastoreItem xmlns:ds="http://schemas.openxmlformats.org/officeDocument/2006/customXml" ds:itemID="{ED3E2C7B-E7E1-4A82-AB4E-5868A4F39BC7}"/>
</file>

<file path=customXml/itemProps4.xml><?xml version="1.0" encoding="utf-8"?>
<ds:datastoreItem xmlns:ds="http://schemas.openxmlformats.org/officeDocument/2006/customXml" ds:itemID="{CF4E7685-7ABC-4830-A1BF-EB640DC4D741}"/>
</file>

<file path=customXml/itemProps5.xml><?xml version="1.0" encoding="utf-8"?>
<ds:datastoreItem xmlns:ds="http://schemas.openxmlformats.org/officeDocument/2006/customXml" ds:itemID="{D998B162-4F29-4DE1-AEAE-39DC37B9EAAC}"/>
</file>

<file path=docProps/app.xml><?xml version="1.0" encoding="utf-8"?>
<Properties xmlns="http://schemas.openxmlformats.org/officeDocument/2006/extended-properties" xmlns:vt="http://schemas.openxmlformats.org/officeDocument/2006/docPropsVTypes">
  <Template>Normal.dotm</Template>
  <TotalTime>0</TotalTime>
  <Pages>10</Pages>
  <Words>2244</Words>
  <Characters>12797</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15011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2013-11-01T21:08:00Z</dcterms:created>
  <dcterms:modified xsi:type="dcterms:W3CDTF">2013-11-01T21:08:00Z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oFAAC41Wbh9etaUHDzLIqVNTTImCw8VJqOZSXWIhK5JCVtehBs9YWoG49hEgWySGlZRZGnZmT22ZWg2m
vJRkoIqGvOrnt/noNNZKConfPU8GR3fB7XSNg60KJHO5Q/iOy27Pr6qKFOwa5nUXrDgg8OAS/nyR
o24nQjc9PHF21sSrXpPH4ITJticMM4IacLuwPpXTZRrjaWceTLEa2wo9yMNY+PF4+/TYGv4bISwF
EAC7txPatlf7eW9eb</vt:lpwstr>
  </property>
  <property fmtid="{D5CDD505-2E9C-101B-9397-08002B2CF9AE}" pid="3" name="MAIL_MSG_ID2">
    <vt:lpwstr>v0XvdRCIFxApLJI0W2DEsunDNpljf1GNIf6GXXPigc90VAMK65ibkQgDqXV
/gVXwKqMEcl8SIyP9hS5WaBvDeoAckvDOq/IlF/vLCOYzZxh</vt:lpwstr>
  </property>
  <property fmtid="{D5CDD505-2E9C-101B-9397-08002B2CF9AE}" pid="4" name="RESPONSE_SENDER_NAME">
    <vt:lpwstr>ABAAdnH19QYq2YW3Sqhqu5kN+ABWS2HdeePcKe1syf5cx0AmbqwiEm3eVVHvJK9ZqDPl</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0x0101006E56B4D1795A2E4DB2F0B01679ED314A009E1959E9861BB94585639886A6437CE8</vt:lpwstr>
  </property>
  <property fmtid="{D5CDD505-2E9C-101B-9397-08002B2CF9AE}" pid="7" name="_docset_NoMedatataSyncRequired">
    <vt:lpwstr>False</vt:lpwstr>
  </property>
</Properties>
</file>