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rPr>
        <w:id w:val="-1425407481"/>
        <w:docPartObj>
          <w:docPartGallery w:val="Table of Contents"/>
          <w:docPartUnique/>
        </w:docPartObj>
      </w:sdtPr>
      <w:sdtEndPr>
        <w:rPr>
          <w:noProof/>
        </w:rPr>
      </w:sdtEndPr>
      <w:sdtContent>
        <w:p w:rsidR="00577308" w:rsidRPr="00577308" w:rsidRDefault="00577308" w:rsidP="00577308">
          <w:pPr>
            <w:pStyle w:val="TOCHeading"/>
            <w:suppressLineNumbers/>
            <w:spacing w:before="0" w:line="480" w:lineRule="auto"/>
            <w:rPr>
              <w:rFonts w:ascii="Times New Roman" w:hAnsi="Times New Roman" w:cs="Times New Roman"/>
              <w:color w:val="auto"/>
              <w:sz w:val="24"/>
              <w:szCs w:val="24"/>
            </w:rPr>
          </w:pPr>
          <w:r w:rsidRPr="00577308">
            <w:rPr>
              <w:rFonts w:ascii="Times New Roman" w:hAnsi="Times New Roman" w:cs="Times New Roman"/>
              <w:color w:val="auto"/>
              <w:sz w:val="24"/>
              <w:szCs w:val="24"/>
            </w:rPr>
            <w:t>TABLE OF CONTENTS</w:t>
          </w:r>
        </w:p>
        <w:p w:rsidR="00577308" w:rsidRDefault="00577308"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6040508" w:history="1">
            <w:r w:rsidRPr="00C1792B">
              <w:rPr>
                <w:rStyle w:val="Hyperlink"/>
                <w:noProof/>
              </w:rPr>
              <w:t>QUALIFICATIONS</w:t>
            </w:r>
            <w:r>
              <w:rPr>
                <w:noProof/>
                <w:webHidden/>
              </w:rPr>
              <w:tab/>
            </w:r>
            <w:r>
              <w:rPr>
                <w:noProof/>
                <w:webHidden/>
              </w:rPr>
              <w:fldChar w:fldCharType="begin"/>
            </w:r>
            <w:r>
              <w:rPr>
                <w:noProof/>
                <w:webHidden/>
              </w:rPr>
              <w:instrText xml:space="preserve"> PAGEREF _Toc436040508 \h </w:instrText>
            </w:r>
            <w:r>
              <w:rPr>
                <w:noProof/>
                <w:webHidden/>
              </w:rPr>
            </w:r>
            <w:r>
              <w:rPr>
                <w:noProof/>
                <w:webHidden/>
              </w:rPr>
              <w:fldChar w:fldCharType="separate"/>
            </w:r>
            <w:r w:rsidR="00A5200F">
              <w:rPr>
                <w:noProof/>
                <w:webHidden/>
              </w:rPr>
              <w:t>1</w:t>
            </w:r>
            <w:r>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09" w:history="1">
            <w:r w:rsidR="00577308" w:rsidRPr="00C1792B">
              <w:rPr>
                <w:rStyle w:val="Hyperlink"/>
                <w:noProof/>
              </w:rPr>
              <w:t>PURPOSE OF TESTIMONY</w:t>
            </w:r>
            <w:r w:rsidR="00577308">
              <w:rPr>
                <w:noProof/>
                <w:webHidden/>
              </w:rPr>
              <w:tab/>
            </w:r>
            <w:r w:rsidR="00577308">
              <w:rPr>
                <w:noProof/>
                <w:webHidden/>
              </w:rPr>
              <w:fldChar w:fldCharType="begin"/>
            </w:r>
            <w:r w:rsidR="00577308">
              <w:rPr>
                <w:noProof/>
                <w:webHidden/>
              </w:rPr>
              <w:instrText xml:space="preserve"> PAGEREF _Toc436040509 \h </w:instrText>
            </w:r>
            <w:r w:rsidR="00577308">
              <w:rPr>
                <w:noProof/>
                <w:webHidden/>
              </w:rPr>
            </w:r>
            <w:r w:rsidR="00577308">
              <w:rPr>
                <w:noProof/>
                <w:webHidden/>
              </w:rPr>
              <w:fldChar w:fldCharType="separate"/>
            </w:r>
            <w:r w:rsidR="00A5200F">
              <w:rPr>
                <w:noProof/>
                <w:webHidden/>
              </w:rPr>
              <w:t>1</w:t>
            </w:r>
            <w:r w:rsidR="00577308">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10" w:history="1">
            <w:r w:rsidR="00577308" w:rsidRPr="00C1792B">
              <w:rPr>
                <w:rStyle w:val="Hyperlink"/>
                <w:noProof/>
              </w:rPr>
              <w:t>OVERVIEW OF COMPANY’S FILING</w:t>
            </w:r>
            <w:r w:rsidR="00577308">
              <w:rPr>
                <w:noProof/>
                <w:webHidden/>
              </w:rPr>
              <w:tab/>
            </w:r>
            <w:r w:rsidR="00577308">
              <w:rPr>
                <w:noProof/>
                <w:webHidden/>
              </w:rPr>
              <w:fldChar w:fldCharType="begin"/>
            </w:r>
            <w:r w:rsidR="00577308">
              <w:rPr>
                <w:noProof/>
                <w:webHidden/>
              </w:rPr>
              <w:instrText xml:space="preserve"> PAGEREF _Toc436040510 \h </w:instrText>
            </w:r>
            <w:r w:rsidR="00577308">
              <w:rPr>
                <w:noProof/>
                <w:webHidden/>
              </w:rPr>
            </w:r>
            <w:r w:rsidR="00577308">
              <w:rPr>
                <w:noProof/>
                <w:webHidden/>
              </w:rPr>
              <w:fldChar w:fldCharType="separate"/>
            </w:r>
            <w:r w:rsidR="00A5200F">
              <w:rPr>
                <w:noProof/>
                <w:webHidden/>
              </w:rPr>
              <w:t>2</w:t>
            </w:r>
            <w:r w:rsidR="00577308">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11" w:history="1">
            <w:r w:rsidR="00577308" w:rsidRPr="00C1792B">
              <w:rPr>
                <w:rStyle w:val="Hyperlink"/>
                <w:noProof/>
              </w:rPr>
              <w:t>EXPEDITED RATE FILING</w:t>
            </w:r>
            <w:r w:rsidR="00577308">
              <w:rPr>
                <w:noProof/>
                <w:webHidden/>
              </w:rPr>
              <w:tab/>
            </w:r>
            <w:r w:rsidR="00577308">
              <w:rPr>
                <w:noProof/>
                <w:webHidden/>
              </w:rPr>
              <w:fldChar w:fldCharType="begin"/>
            </w:r>
            <w:r w:rsidR="00577308">
              <w:rPr>
                <w:noProof/>
                <w:webHidden/>
              </w:rPr>
              <w:instrText xml:space="preserve"> PAGEREF _Toc436040511 \h </w:instrText>
            </w:r>
            <w:r w:rsidR="00577308">
              <w:rPr>
                <w:noProof/>
                <w:webHidden/>
              </w:rPr>
            </w:r>
            <w:r w:rsidR="00577308">
              <w:rPr>
                <w:noProof/>
                <w:webHidden/>
              </w:rPr>
              <w:fldChar w:fldCharType="separate"/>
            </w:r>
            <w:r w:rsidR="00A5200F">
              <w:rPr>
                <w:noProof/>
                <w:webHidden/>
              </w:rPr>
              <w:t>6</w:t>
            </w:r>
            <w:r w:rsidR="00577308">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12" w:history="1">
            <w:r w:rsidR="00577308" w:rsidRPr="00C1792B">
              <w:rPr>
                <w:rStyle w:val="Hyperlink"/>
                <w:noProof/>
              </w:rPr>
              <w:t>TWO-YEAR RATE PLAN</w:t>
            </w:r>
            <w:r w:rsidR="00577308">
              <w:rPr>
                <w:noProof/>
                <w:webHidden/>
              </w:rPr>
              <w:tab/>
            </w:r>
            <w:r w:rsidR="00577308">
              <w:rPr>
                <w:noProof/>
                <w:webHidden/>
              </w:rPr>
              <w:fldChar w:fldCharType="begin"/>
            </w:r>
            <w:r w:rsidR="00577308">
              <w:rPr>
                <w:noProof/>
                <w:webHidden/>
              </w:rPr>
              <w:instrText xml:space="preserve"> PAGEREF _Toc436040512 \h </w:instrText>
            </w:r>
            <w:r w:rsidR="00577308">
              <w:rPr>
                <w:noProof/>
                <w:webHidden/>
              </w:rPr>
            </w:r>
            <w:r w:rsidR="00577308">
              <w:rPr>
                <w:noProof/>
                <w:webHidden/>
              </w:rPr>
              <w:fldChar w:fldCharType="separate"/>
            </w:r>
            <w:r w:rsidR="00A5200F">
              <w:rPr>
                <w:noProof/>
                <w:webHidden/>
              </w:rPr>
              <w:t>15</w:t>
            </w:r>
            <w:r w:rsidR="00577308">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13" w:history="1">
            <w:r w:rsidR="00577308" w:rsidRPr="00C1792B">
              <w:rPr>
                <w:rStyle w:val="Hyperlink"/>
                <w:noProof/>
              </w:rPr>
              <w:t>DECOUPLING MECHANISM</w:t>
            </w:r>
            <w:r w:rsidR="00577308">
              <w:rPr>
                <w:noProof/>
                <w:webHidden/>
              </w:rPr>
              <w:tab/>
            </w:r>
            <w:r w:rsidR="00577308">
              <w:rPr>
                <w:noProof/>
                <w:webHidden/>
              </w:rPr>
              <w:fldChar w:fldCharType="begin"/>
            </w:r>
            <w:r w:rsidR="00577308">
              <w:rPr>
                <w:noProof/>
                <w:webHidden/>
              </w:rPr>
              <w:instrText xml:space="preserve"> PAGEREF _Toc436040513 \h </w:instrText>
            </w:r>
            <w:r w:rsidR="00577308">
              <w:rPr>
                <w:noProof/>
                <w:webHidden/>
              </w:rPr>
            </w:r>
            <w:r w:rsidR="00577308">
              <w:rPr>
                <w:noProof/>
                <w:webHidden/>
              </w:rPr>
              <w:fldChar w:fldCharType="separate"/>
            </w:r>
            <w:r w:rsidR="00A5200F">
              <w:rPr>
                <w:noProof/>
                <w:webHidden/>
              </w:rPr>
              <w:t>21</w:t>
            </w:r>
            <w:r w:rsidR="00577308">
              <w:rPr>
                <w:noProof/>
                <w:webHidden/>
              </w:rPr>
              <w:fldChar w:fldCharType="end"/>
            </w:r>
          </w:hyperlink>
        </w:p>
        <w:p w:rsidR="00577308" w:rsidRDefault="009479E3" w:rsidP="00577308">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36040514" w:history="1">
            <w:r w:rsidR="00577308" w:rsidRPr="00C1792B">
              <w:rPr>
                <w:rStyle w:val="Hyperlink"/>
                <w:noProof/>
              </w:rPr>
              <w:t>CONCLUSION</w:t>
            </w:r>
            <w:r w:rsidR="00577308">
              <w:rPr>
                <w:noProof/>
                <w:webHidden/>
              </w:rPr>
              <w:tab/>
            </w:r>
            <w:r w:rsidR="00577308">
              <w:rPr>
                <w:noProof/>
                <w:webHidden/>
              </w:rPr>
              <w:fldChar w:fldCharType="begin"/>
            </w:r>
            <w:r w:rsidR="00577308">
              <w:rPr>
                <w:noProof/>
                <w:webHidden/>
              </w:rPr>
              <w:instrText xml:space="preserve"> PAGEREF _Toc436040514 \h </w:instrText>
            </w:r>
            <w:r w:rsidR="00577308">
              <w:rPr>
                <w:noProof/>
                <w:webHidden/>
              </w:rPr>
            </w:r>
            <w:r w:rsidR="00577308">
              <w:rPr>
                <w:noProof/>
                <w:webHidden/>
              </w:rPr>
              <w:fldChar w:fldCharType="separate"/>
            </w:r>
            <w:r w:rsidR="00A5200F">
              <w:rPr>
                <w:noProof/>
                <w:webHidden/>
              </w:rPr>
              <w:t>24</w:t>
            </w:r>
            <w:r w:rsidR="00577308">
              <w:rPr>
                <w:noProof/>
                <w:webHidden/>
              </w:rPr>
              <w:fldChar w:fldCharType="end"/>
            </w:r>
          </w:hyperlink>
        </w:p>
        <w:p w:rsidR="00577308" w:rsidRDefault="00577308" w:rsidP="00577308">
          <w:pPr>
            <w:suppressLineNumbers/>
            <w:spacing w:line="360" w:lineRule="auto"/>
          </w:pPr>
          <w:r>
            <w:rPr>
              <w:b/>
              <w:bCs/>
              <w:noProof/>
            </w:rPr>
            <w:fldChar w:fldCharType="end"/>
          </w:r>
        </w:p>
      </w:sdtContent>
    </w:sdt>
    <w:p w:rsidR="00CF6C01" w:rsidRDefault="00CF6C01" w:rsidP="00577308">
      <w:pPr>
        <w:suppressLineNumbers/>
        <w:jc w:val="left"/>
      </w:pPr>
    </w:p>
    <w:p w:rsidR="00CF6C01" w:rsidRPr="00CF6C01" w:rsidRDefault="00CF6C01" w:rsidP="00CF6C01">
      <w:pPr>
        <w:suppressLineNumbers/>
        <w:jc w:val="center"/>
        <w:rPr>
          <w:b/>
        </w:rPr>
      </w:pPr>
      <w:r w:rsidRPr="00CF6C01">
        <w:rPr>
          <w:b/>
        </w:rPr>
        <w:t>ATTACHED EXHIBIT</w:t>
      </w:r>
    </w:p>
    <w:p w:rsidR="00CF6C01" w:rsidRDefault="00CF6C01" w:rsidP="00CF6C01">
      <w:pPr>
        <w:suppressLineNumbers/>
        <w:jc w:val="center"/>
      </w:pPr>
    </w:p>
    <w:p w:rsidR="00CF6C01" w:rsidRDefault="00CF6C01" w:rsidP="00CF6C01">
      <w:pPr>
        <w:suppressLineNumbers/>
        <w:jc w:val="left"/>
      </w:pPr>
      <w:r>
        <w:t xml:space="preserve">Exhibit No. RBD-2—Summary Sheets from Commission Basis Reports from 2006 through </w:t>
      </w:r>
    </w:p>
    <w:p w:rsidR="00CF6C01" w:rsidRDefault="00CF6C01" w:rsidP="00CF6C01">
      <w:pPr>
        <w:suppressLineNumbers/>
        <w:ind w:left="1440" w:firstLine="720"/>
        <w:jc w:val="left"/>
      </w:pPr>
      <w:r>
        <w:t>2014</w:t>
      </w:r>
    </w:p>
    <w:p w:rsidR="00577308" w:rsidRDefault="00577308" w:rsidP="00577308">
      <w:pPr>
        <w:suppressLineNumbers/>
        <w:jc w:val="left"/>
        <w:rPr>
          <w:b/>
          <w:bCs/>
        </w:rPr>
      </w:pPr>
      <w:r>
        <w:br w:type="page"/>
      </w:r>
    </w:p>
    <w:p w:rsidR="00143AE5" w:rsidRPr="00BF20EE" w:rsidRDefault="00143AE5" w:rsidP="00D30E52">
      <w:pPr>
        <w:pStyle w:val="Question"/>
        <w:jc w:val="left"/>
      </w:pPr>
      <w:r w:rsidRPr="00BF20EE">
        <w:lastRenderedPageBreak/>
        <w:t>Q.</w:t>
      </w:r>
      <w:r w:rsidRPr="00BF20EE">
        <w:tab/>
        <w:t>Please</w:t>
      </w:r>
      <w:r w:rsidR="00A22AEC">
        <w:t xml:space="preserve"> </w:t>
      </w:r>
      <w:r w:rsidRPr="00BF20EE">
        <w:t>state</w:t>
      </w:r>
      <w:r w:rsidR="00A22AEC">
        <w:t xml:space="preserve"> </w:t>
      </w:r>
      <w:r w:rsidRPr="00BF20EE">
        <w:t>your</w:t>
      </w:r>
      <w:r w:rsidR="00A22AEC">
        <w:t xml:space="preserve"> </w:t>
      </w:r>
      <w:r w:rsidRPr="00BF20EE">
        <w:t>name,</w:t>
      </w:r>
      <w:r w:rsidR="00A22AEC">
        <w:t xml:space="preserve"> </w:t>
      </w:r>
      <w:r w:rsidRPr="00BF20EE">
        <w:t>business</w:t>
      </w:r>
      <w:r w:rsidR="00A22AEC">
        <w:t xml:space="preserve"> </w:t>
      </w:r>
      <w:r w:rsidRPr="00BF20EE">
        <w:t>address</w:t>
      </w:r>
      <w:r w:rsidR="00532974">
        <w:t>,</w:t>
      </w:r>
      <w:r w:rsidR="00A22AEC">
        <w:t xml:space="preserve"> </w:t>
      </w:r>
      <w:r w:rsidRPr="00BF20EE">
        <w:t>and</w:t>
      </w:r>
      <w:r w:rsidR="00A22AEC">
        <w:t xml:space="preserve"> </w:t>
      </w:r>
      <w:r w:rsidRPr="00BF20EE">
        <w:t>present</w:t>
      </w:r>
      <w:r w:rsidR="00A22AEC">
        <w:t xml:space="preserve"> </w:t>
      </w:r>
      <w:r w:rsidRPr="00BF20EE">
        <w:t>position</w:t>
      </w:r>
      <w:r w:rsidR="00A22AEC">
        <w:t xml:space="preserve"> </w:t>
      </w:r>
      <w:r w:rsidRPr="00BF20EE">
        <w:t>with</w:t>
      </w:r>
      <w:r w:rsidR="00A22AEC">
        <w:t xml:space="preserve"> </w:t>
      </w:r>
      <w:r w:rsidR="00A5200F">
        <w:t>PacifiCorp</w:t>
      </w:r>
      <w:r w:rsidR="002551FE">
        <w:t>.</w:t>
      </w:r>
    </w:p>
    <w:p w:rsidR="00143AE5" w:rsidRPr="00BF20EE" w:rsidRDefault="00143AE5" w:rsidP="00D30E52">
      <w:pPr>
        <w:pStyle w:val="Answer"/>
        <w:jc w:val="left"/>
      </w:pPr>
      <w:r w:rsidRPr="00BF20EE">
        <w:t>A.</w:t>
      </w:r>
      <w:r w:rsidRPr="00BF20EE">
        <w:tab/>
        <w:t>My</w:t>
      </w:r>
      <w:r w:rsidR="00A22AEC">
        <w:t xml:space="preserve"> </w:t>
      </w:r>
      <w:r w:rsidRPr="00BF20EE">
        <w:t>name</w:t>
      </w:r>
      <w:r w:rsidR="00A22AEC">
        <w:t xml:space="preserve"> </w:t>
      </w:r>
      <w:r w:rsidRPr="00BF20EE">
        <w:t>is</w:t>
      </w:r>
      <w:r w:rsidR="00A22AEC">
        <w:t xml:space="preserve"> </w:t>
      </w:r>
      <w:r w:rsidRPr="00BF20EE">
        <w:t>R</w:t>
      </w:r>
      <w:r w:rsidR="00A22AEC">
        <w:t xml:space="preserve">. </w:t>
      </w:r>
      <w:r w:rsidRPr="00BF20EE">
        <w:t>Bryce</w:t>
      </w:r>
      <w:r w:rsidR="00A22AEC">
        <w:t xml:space="preserve"> </w:t>
      </w:r>
      <w:r w:rsidRPr="00BF20EE">
        <w:t>Dalley</w:t>
      </w:r>
      <w:r w:rsidR="00A22AEC">
        <w:t xml:space="preserve"> </w:t>
      </w:r>
      <w:r w:rsidRPr="00BF20EE">
        <w:t>and</w:t>
      </w:r>
      <w:r w:rsidR="00A22AEC">
        <w:t xml:space="preserve"> </w:t>
      </w:r>
      <w:r w:rsidRPr="00BF20EE">
        <w:t>my</w:t>
      </w:r>
      <w:r w:rsidR="00A22AEC">
        <w:t xml:space="preserve"> </w:t>
      </w:r>
      <w:r w:rsidRPr="00BF20EE">
        <w:t>business</w:t>
      </w:r>
      <w:r w:rsidR="00A22AEC">
        <w:t xml:space="preserve"> </w:t>
      </w:r>
      <w:r w:rsidRPr="00BF20EE">
        <w:t>address</w:t>
      </w:r>
      <w:r w:rsidR="00A22AEC">
        <w:t xml:space="preserve"> </w:t>
      </w:r>
      <w:r w:rsidRPr="00BF20EE">
        <w:t>is</w:t>
      </w:r>
      <w:r w:rsidR="00A22AEC">
        <w:t xml:space="preserve"> </w:t>
      </w:r>
      <w:r w:rsidRPr="00BF20EE">
        <w:t>825</w:t>
      </w:r>
      <w:r w:rsidR="00A22AEC">
        <w:t xml:space="preserve"> </w:t>
      </w:r>
      <w:r w:rsidRPr="00BF20EE">
        <w:t>NE</w:t>
      </w:r>
      <w:r w:rsidR="00A22AEC">
        <w:t xml:space="preserve"> </w:t>
      </w:r>
      <w:r w:rsidRPr="00BF20EE">
        <w:t>Multnomah</w:t>
      </w:r>
      <w:r w:rsidR="008C151F">
        <w:t xml:space="preserve"> Street</w:t>
      </w:r>
      <w:r w:rsidRPr="00BF20EE">
        <w:t>,</w:t>
      </w:r>
      <w:r w:rsidR="00A22AEC">
        <w:t xml:space="preserve"> </w:t>
      </w:r>
      <w:r w:rsidRPr="00BF20EE">
        <w:t>Suite</w:t>
      </w:r>
      <w:r w:rsidR="00A22AEC">
        <w:t xml:space="preserve"> </w:t>
      </w:r>
      <w:r w:rsidRPr="00BF20EE">
        <w:t>2000,</w:t>
      </w:r>
      <w:r w:rsidR="00A22AEC">
        <w:t xml:space="preserve"> </w:t>
      </w:r>
      <w:r w:rsidRPr="00BF20EE">
        <w:t>Portland,</w:t>
      </w:r>
      <w:r w:rsidR="00A22AEC">
        <w:t xml:space="preserve"> </w:t>
      </w:r>
      <w:r w:rsidR="00363B7A">
        <w:t>Oregon</w:t>
      </w:r>
      <w:r w:rsidR="00A22AEC">
        <w:t xml:space="preserve"> </w:t>
      </w:r>
      <w:r w:rsidRPr="00BF20EE">
        <w:t>97232</w:t>
      </w:r>
      <w:r w:rsidR="00A22AEC">
        <w:t xml:space="preserve">.  </w:t>
      </w:r>
      <w:r w:rsidRPr="00BF20EE">
        <w:t>I</w:t>
      </w:r>
      <w:r w:rsidR="00A22AEC">
        <w:t xml:space="preserve"> </w:t>
      </w:r>
      <w:r w:rsidRPr="00BF20EE">
        <w:t>am</w:t>
      </w:r>
      <w:r w:rsidR="00A22AEC">
        <w:t xml:space="preserve"> </w:t>
      </w:r>
      <w:r w:rsidRPr="00BF20EE">
        <w:t>currently</w:t>
      </w:r>
      <w:r w:rsidR="00A22AEC">
        <w:t xml:space="preserve"> </w:t>
      </w:r>
      <w:r w:rsidRPr="00BF20EE">
        <w:t>employed</w:t>
      </w:r>
      <w:r w:rsidR="00A22AEC">
        <w:t xml:space="preserve"> </w:t>
      </w:r>
      <w:r w:rsidRPr="00BF20EE">
        <w:t>as</w:t>
      </w:r>
      <w:r w:rsidR="00A22AEC">
        <w:t xml:space="preserve"> </w:t>
      </w:r>
      <w:r w:rsidR="002551FE">
        <w:t>Vice President</w:t>
      </w:r>
      <w:r w:rsidR="007477E6">
        <w:t>,</w:t>
      </w:r>
      <w:r w:rsidR="00A22AEC">
        <w:t xml:space="preserve"> </w:t>
      </w:r>
      <w:r w:rsidR="007477E6">
        <w:t>Regulat</w:t>
      </w:r>
      <w:r w:rsidR="002551FE">
        <w:t>ion</w:t>
      </w:r>
      <w:r w:rsidRPr="00BF20EE">
        <w:t>.</w:t>
      </w:r>
      <w:r w:rsidR="00A5200F">
        <w:t xml:space="preserve">  I am testifying for Pacific Power &amp; Light Company (Pacific Power or Company), a division of PacifiCorp. </w:t>
      </w:r>
    </w:p>
    <w:p w:rsidR="00143AE5" w:rsidRPr="009C785D" w:rsidRDefault="002551FE" w:rsidP="009C785D">
      <w:pPr>
        <w:pStyle w:val="Heading1"/>
      </w:pPr>
      <w:bookmarkStart w:id="1" w:name="_Toc386630083"/>
      <w:bookmarkStart w:id="2" w:name="_Toc436040508"/>
      <w:r w:rsidRPr="009C785D">
        <w:t>QUALIFICATIONS</w:t>
      </w:r>
      <w:bookmarkEnd w:id="1"/>
      <w:bookmarkEnd w:id="2"/>
    </w:p>
    <w:p w:rsidR="00143AE5" w:rsidRPr="00BF20EE" w:rsidRDefault="00CB5EBA" w:rsidP="00D30E52">
      <w:pPr>
        <w:pStyle w:val="Question"/>
        <w:jc w:val="left"/>
      </w:pPr>
      <w:r>
        <w:t>Q.</w:t>
      </w:r>
      <w:r>
        <w:tab/>
        <w:t>Please</w:t>
      </w:r>
      <w:r w:rsidR="00A22AEC">
        <w:t xml:space="preserve"> </w:t>
      </w:r>
      <w:r w:rsidR="00143AE5" w:rsidRPr="00BF20EE">
        <w:t>describe</w:t>
      </w:r>
      <w:r w:rsidR="00A22AEC">
        <w:t xml:space="preserve"> </w:t>
      </w:r>
      <w:r w:rsidR="00143AE5" w:rsidRPr="00BF20EE">
        <w:t>your</w:t>
      </w:r>
      <w:r w:rsidR="00A22AEC">
        <w:t xml:space="preserve"> </w:t>
      </w:r>
      <w:r w:rsidR="00016109">
        <w:t>education</w:t>
      </w:r>
      <w:r w:rsidR="00A22AEC">
        <w:t xml:space="preserve"> </w:t>
      </w:r>
      <w:r w:rsidR="00143AE5" w:rsidRPr="00BF20EE">
        <w:t>and</w:t>
      </w:r>
      <w:r w:rsidR="00A22AEC">
        <w:t xml:space="preserve"> </w:t>
      </w:r>
      <w:r w:rsidR="00143AE5" w:rsidRPr="00BF20EE">
        <w:t>professional</w:t>
      </w:r>
      <w:r w:rsidR="00A22AEC">
        <w:t xml:space="preserve"> </w:t>
      </w:r>
      <w:r w:rsidR="00410A71">
        <w:t>experience</w:t>
      </w:r>
      <w:r w:rsidR="00143AE5" w:rsidRPr="00BF20EE">
        <w:t>.</w:t>
      </w:r>
    </w:p>
    <w:p w:rsidR="00532974" w:rsidRDefault="00143AE5" w:rsidP="0055671E">
      <w:pPr>
        <w:pStyle w:val="Answer"/>
        <w:widowControl w:val="0"/>
        <w:jc w:val="left"/>
      </w:pPr>
      <w:r w:rsidRPr="00BF20EE">
        <w:t>A.</w:t>
      </w:r>
      <w:r w:rsidRPr="00BF20EE">
        <w:tab/>
      </w:r>
      <w:r w:rsidR="007477E6" w:rsidRPr="00C11338">
        <w:t>I</w:t>
      </w:r>
      <w:r w:rsidR="00A22AEC">
        <w:t xml:space="preserve"> </w:t>
      </w:r>
      <w:r w:rsidR="007477E6" w:rsidRPr="00C11338">
        <w:t>received</w:t>
      </w:r>
      <w:r w:rsidR="00A22AEC">
        <w:t xml:space="preserve"> </w:t>
      </w:r>
      <w:r w:rsidR="007477E6" w:rsidRPr="00C11338">
        <w:t>a</w:t>
      </w:r>
      <w:r w:rsidR="00A22AEC">
        <w:t xml:space="preserve"> </w:t>
      </w:r>
      <w:r w:rsidR="007477E6" w:rsidRPr="00C11338">
        <w:t>B</w:t>
      </w:r>
      <w:r w:rsidR="008A2F36">
        <w:t>achelor</w:t>
      </w:r>
      <w:r w:rsidR="00A22AEC">
        <w:t xml:space="preserve"> </w:t>
      </w:r>
      <w:r w:rsidR="008A2F36">
        <w:t>of</w:t>
      </w:r>
      <w:r w:rsidR="00A22AEC">
        <w:t xml:space="preserve"> </w:t>
      </w:r>
      <w:r w:rsidR="008A2F36">
        <w:t>Science</w:t>
      </w:r>
      <w:r w:rsidR="00A22AEC">
        <w:t xml:space="preserve"> </w:t>
      </w:r>
      <w:r w:rsidR="007477E6" w:rsidRPr="00C11338">
        <w:t>degree</w:t>
      </w:r>
      <w:r w:rsidR="00A22AEC">
        <w:t xml:space="preserve"> </w:t>
      </w:r>
      <w:r w:rsidR="007477E6" w:rsidRPr="00C11338">
        <w:t>in</w:t>
      </w:r>
      <w:r w:rsidR="00A22AEC">
        <w:t xml:space="preserve"> </w:t>
      </w:r>
      <w:r w:rsidR="007477E6">
        <w:t>Business</w:t>
      </w:r>
      <w:r w:rsidR="00A22AEC">
        <w:t xml:space="preserve"> </w:t>
      </w:r>
      <w:r w:rsidR="007477E6">
        <w:t>Management</w:t>
      </w:r>
      <w:r w:rsidR="00A22AEC">
        <w:t xml:space="preserve"> </w:t>
      </w:r>
      <w:r w:rsidR="007477E6">
        <w:t>with</w:t>
      </w:r>
      <w:r w:rsidR="00A22AEC">
        <w:t xml:space="preserve"> </w:t>
      </w:r>
      <w:r w:rsidR="007477E6">
        <w:t>an</w:t>
      </w:r>
      <w:r w:rsidR="00A22AEC">
        <w:t xml:space="preserve"> </w:t>
      </w:r>
      <w:r w:rsidR="007477E6">
        <w:t>emphasis</w:t>
      </w:r>
      <w:r w:rsidR="00A22AEC">
        <w:t xml:space="preserve"> </w:t>
      </w:r>
      <w:r w:rsidR="007477E6">
        <w:t>in</w:t>
      </w:r>
      <w:r w:rsidR="00B808EE">
        <w:t> </w:t>
      </w:r>
      <w:r w:rsidR="007477E6">
        <w:t>finance</w:t>
      </w:r>
      <w:r w:rsidR="00A22AEC">
        <w:t xml:space="preserve"> </w:t>
      </w:r>
      <w:r w:rsidR="007477E6" w:rsidRPr="00C11338">
        <w:t>from</w:t>
      </w:r>
      <w:r w:rsidR="00A22AEC">
        <w:t xml:space="preserve"> </w:t>
      </w:r>
      <w:r w:rsidR="007477E6" w:rsidRPr="00C11338">
        <w:t>Brigham</w:t>
      </w:r>
      <w:r w:rsidR="00A22AEC">
        <w:t xml:space="preserve"> </w:t>
      </w:r>
      <w:r w:rsidR="007477E6" w:rsidRPr="00C11338">
        <w:t>Young</w:t>
      </w:r>
      <w:r w:rsidR="00A22AEC">
        <w:t xml:space="preserve"> </w:t>
      </w:r>
      <w:r w:rsidR="007477E6" w:rsidRPr="00C11338">
        <w:t>University</w:t>
      </w:r>
      <w:r w:rsidR="00A22AEC">
        <w:t xml:space="preserve"> </w:t>
      </w:r>
      <w:r w:rsidR="007477E6">
        <w:t>in</w:t>
      </w:r>
      <w:r w:rsidR="00A22AEC">
        <w:t xml:space="preserve"> </w:t>
      </w:r>
      <w:r w:rsidR="007477E6">
        <w:t>2003</w:t>
      </w:r>
      <w:r w:rsidR="00A22AEC">
        <w:t xml:space="preserve">.  </w:t>
      </w:r>
      <w:r w:rsidR="007477E6" w:rsidRPr="0057051B">
        <w:t>I</w:t>
      </w:r>
      <w:r w:rsidR="00A22AEC">
        <w:t xml:space="preserve"> </w:t>
      </w:r>
      <w:r w:rsidR="007477E6" w:rsidRPr="0057051B">
        <w:t>completed</w:t>
      </w:r>
      <w:r w:rsidR="00A22AEC">
        <w:t xml:space="preserve"> </w:t>
      </w:r>
      <w:r w:rsidR="007477E6" w:rsidRPr="0057051B">
        <w:t>the</w:t>
      </w:r>
      <w:r w:rsidR="00A22AEC">
        <w:t xml:space="preserve"> </w:t>
      </w:r>
      <w:r w:rsidR="007477E6" w:rsidRPr="0057051B">
        <w:t>Utility</w:t>
      </w:r>
      <w:r w:rsidR="00A22AEC">
        <w:t xml:space="preserve"> </w:t>
      </w:r>
      <w:r w:rsidR="007477E6" w:rsidRPr="0057051B">
        <w:t>Management</w:t>
      </w:r>
      <w:r w:rsidR="00A22AEC">
        <w:t xml:space="preserve"> </w:t>
      </w:r>
      <w:r w:rsidR="007477E6" w:rsidRPr="0057051B">
        <w:t>Certificate</w:t>
      </w:r>
      <w:r w:rsidR="00A22AEC">
        <w:t xml:space="preserve"> </w:t>
      </w:r>
      <w:r w:rsidR="007477E6" w:rsidRPr="0057051B">
        <w:t>Program</w:t>
      </w:r>
      <w:r w:rsidR="00A22AEC">
        <w:t xml:space="preserve"> </w:t>
      </w:r>
      <w:r w:rsidR="007477E6" w:rsidRPr="0057051B">
        <w:t>at</w:t>
      </w:r>
      <w:r w:rsidR="00A22AEC">
        <w:t xml:space="preserve"> </w:t>
      </w:r>
      <w:r w:rsidR="007477E6" w:rsidRPr="0057051B">
        <w:t>Willamette</w:t>
      </w:r>
      <w:r w:rsidR="00A22AEC">
        <w:t xml:space="preserve"> </w:t>
      </w:r>
      <w:r w:rsidR="007477E6" w:rsidRPr="0057051B">
        <w:t>University</w:t>
      </w:r>
      <w:r w:rsidR="00A22AEC">
        <w:t xml:space="preserve"> </w:t>
      </w:r>
      <w:r w:rsidR="005E5651">
        <w:t>in</w:t>
      </w:r>
      <w:r w:rsidR="00A22AEC">
        <w:t xml:space="preserve"> </w:t>
      </w:r>
      <w:r w:rsidR="005E5651">
        <w:t>2009</w:t>
      </w:r>
      <w:r w:rsidR="00532974">
        <w:t>,</w:t>
      </w:r>
      <w:r w:rsidR="00A22AEC">
        <w:t xml:space="preserve"> </w:t>
      </w:r>
      <w:r w:rsidR="007477E6" w:rsidRPr="0057051B">
        <w:t>and</w:t>
      </w:r>
      <w:r w:rsidR="00A22AEC">
        <w:t xml:space="preserve"> </w:t>
      </w:r>
      <w:r w:rsidR="00D43D05">
        <w:t>I</w:t>
      </w:r>
      <w:r w:rsidR="002551FE">
        <w:t> </w:t>
      </w:r>
      <w:r w:rsidR="007477E6" w:rsidRPr="0057051B">
        <w:t>have</w:t>
      </w:r>
      <w:r w:rsidR="00A22AEC">
        <w:t xml:space="preserve"> </w:t>
      </w:r>
      <w:r w:rsidR="007477E6" w:rsidRPr="0057051B">
        <w:t>also</w:t>
      </w:r>
      <w:r w:rsidR="00A22AEC">
        <w:t xml:space="preserve"> </w:t>
      </w:r>
      <w:r w:rsidR="007477E6" w:rsidRPr="0057051B">
        <w:t>attended</w:t>
      </w:r>
      <w:r w:rsidR="00A22AEC">
        <w:t xml:space="preserve"> </w:t>
      </w:r>
      <w:r w:rsidR="007477E6" w:rsidRPr="0057051B">
        <w:t>various</w:t>
      </w:r>
      <w:r w:rsidR="00A22AEC">
        <w:t xml:space="preserve"> </w:t>
      </w:r>
      <w:r w:rsidR="007477E6" w:rsidRPr="0057051B">
        <w:t>educational,</w:t>
      </w:r>
      <w:r w:rsidR="00A22AEC">
        <w:t xml:space="preserve"> </w:t>
      </w:r>
      <w:r w:rsidR="007477E6" w:rsidRPr="0057051B">
        <w:t>professional</w:t>
      </w:r>
      <w:r w:rsidR="00532974">
        <w:t>,</w:t>
      </w:r>
      <w:r w:rsidR="00A22AEC">
        <w:t xml:space="preserve"> </w:t>
      </w:r>
      <w:r w:rsidR="005E5651">
        <w:t>and</w:t>
      </w:r>
      <w:r w:rsidR="00A22AEC">
        <w:t xml:space="preserve"> </w:t>
      </w:r>
      <w:r w:rsidR="005E5651">
        <w:t>electric-</w:t>
      </w:r>
      <w:r w:rsidR="007477E6" w:rsidRPr="0057051B">
        <w:t>industry-related</w:t>
      </w:r>
      <w:r w:rsidR="00A22AEC">
        <w:t xml:space="preserve"> </w:t>
      </w:r>
      <w:r w:rsidR="007477E6" w:rsidRPr="0057051B">
        <w:t>seminars</w:t>
      </w:r>
      <w:r w:rsidR="00A22AEC">
        <w:t xml:space="preserve">.  </w:t>
      </w:r>
      <w:r w:rsidR="007477E6" w:rsidRPr="00C11338">
        <w:t>I</w:t>
      </w:r>
      <w:r w:rsidR="00B808EE">
        <w:t> </w:t>
      </w:r>
      <w:r w:rsidR="007477E6" w:rsidRPr="00C11338">
        <w:t>have</w:t>
      </w:r>
      <w:r w:rsidR="00A22AEC">
        <w:t xml:space="preserve"> </w:t>
      </w:r>
      <w:r w:rsidR="007477E6" w:rsidRPr="00C11338">
        <w:t>been</w:t>
      </w:r>
      <w:r w:rsidR="00A22AEC">
        <w:t xml:space="preserve"> </w:t>
      </w:r>
      <w:r w:rsidR="007477E6" w:rsidRPr="00C11338">
        <w:t>employed</w:t>
      </w:r>
      <w:r w:rsidR="00A22AEC">
        <w:t xml:space="preserve"> </w:t>
      </w:r>
      <w:r w:rsidR="007477E6" w:rsidRPr="00C11338">
        <w:t>by</w:t>
      </w:r>
      <w:r w:rsidR="00A22AEC">
        <w:t xml:space="preserve"> </w:t>
      </w:r>
      <w:r w:rsidR="007477E6">
        <w:t>PacifiCorp</w:t>
      </w:r>
      <w:r w:rsidR="00A22AEC">
        <w:t xml:space="preserve"> </w:t>
      </w:r>
      <w:r w:rsidR="007477E6">
        <w:t>since</w:t>
      </w:r>
      <w:r w:rsidR="00A22AEC">
        <w:t xml:space="preserve"> </w:t>
      </w:r>
      <w:r w:rsidR="007477E6">
        <w:t>2002</w:t>
      </w:r>
      <w:r w:rsidR="00A22AEC">
        <w:t xml:space="preserve"> </w:t>
      </w:r>
      <w:r w:rsidR="007477E6">
        <w:t>in</w:t>
      </w:r>
      <w:r w:rsidR="00A22AEC">
        <w:t xml:space="preserve"> </w:t>
      </w:r>
      <w:r w:rsidR="007477E6" w:rsidRPr="00C11338">
        <w:t>various</w:t>
      </w:r>
      <w:r w:rsidR="00A22AEC">
        <w:t xml:space="preserve"> </w:t>
      </w:r>
      <w:r w:rsidR="007477E6" w:rsidRPr="00C11338">
        <w:t>pos</w:t>
      </w:r>
      <w:r w:rsidR="007477E6">
        <w:t>itions</w:t>
      </w:r>
      <w:r w:rsidR="00A22AEC">
        <w:t xml:space="preserve"> </w:t>
      </w:r>
      <w:r w:rsidR="007477E6">
        <w:t>within</w:t>
      </w:r>
      <w:r w:rsidR="00A22AEC">
        <w:t xml:space="preserve"> </w:t>
      </w:r>
      <w:r w:rsidR="007477E6">
        <w:t>the</w:t>
      </w:r>
      <w:r w:rsidR="00A22AEC">
        <w:t xml:space="preserve"> </w:t>
      </w:r>
      <w:r w:rsidR="007477E6">
        <w:t>regulation</w:t>
      </w:r>
      <w:r w:rsidR="00A22AEC">
        <w:t xml:space="preserve"> </w:t>
      </w:r>
      <w:r w:rsidR="007477E6">
        <w:t>and</w:t>
      </w:r>
      <w:r w:rsidR="00A22AEC">
        <w:t xml:space="preserve"> </w:t>
      </w:r>
      <w:r w:rsidR="007477E6" w:rsidRPr="00C11338">
        <w:t>finance</w:t>
      </w:r>
      <w:r w:rsidR="00A22AEC">
        <w:t xml:space="preserve"> </w:t>
      </w:r>
      <w:r w:rsidR="007477E6">
        <w:t>organizations</w:t>
      </w:r>
      <w:r w:rsidR="00A22AEC">
        <w:t xml:space="preserve">.  </w:t>
      </w:r>
      <w:r w:rsidR="004132EB">
        <w:t>I</w:t>
      </w:r>
      <w:r w:rsidR="00A22AEC">
        <w:t xml:space="preserve"> </w:t>
      </w:r>
      <w:r w:rsidR="004132EB">
        <w:t>was</w:t>
      </w:r>
      <w:r w:rsidR="00A22AEC">
        <w:t xml:space="preserve"> </w:t>
      </w:r>
      <w:r w:rsidR="004132EB">
        <w:t>appointed</w:t>
      </w:r>
      <w:r w:rsidR="00A22AEC">
        <w:t xml:space="preserve"> </w:t>
      </w:r>
      <w:r w:rsidR="004132EB">
        <w:t>Manager</w:t>
      </w:r>
      <w:r w:rsidR="00A22AEC">
        <w:t xml:space="preserve"> </w:t>
      </w:r>
      <w:r w:rsidR="004132EB">
        <w:t>of</w:t>
      </w:r>
      <w:r w:rsidR="00A22AEC">
        <w:t xml:space="preserve"> </w:t>
      </w:r>
      <w:r w:rsidR="004132EB">
        <w:t>Revenue</w:t>
      </w:r>
      <w:r w:rsidR="00A22AEC">
        <w:t xml:space="preserve"> </w:t>
      </w:r>
      <w:r w:rsidR="004132EB">
        <w:t>Requirement</w:t>
      </w:r>
      <w:r w:rsidR="00A22AEC">
        <w:t xml:space="preserve"> </w:t>
      </w:r>
      <w:r w:rsidR="004132EB">
        <w:t>in</w:t>
      </w:r>
      <w:r w:rsidR="00A22AEC">
        <w:t xml:space="preserve"> </w:t>
      </w:r>
      <w:r w:rsidR="004132EB">
        <w:t>2008</w:t>
      </w:r>
      <w:r w:rsidR="002551FE">
        <w:t xml:space="preserve"> and was promoted to Director, Regulatory Affairs and Revenue Requirement in 2012.  I </w:t>
      </w:r>
      <w:r w:rsidR="004132EB">
        <w:t>assumed</w:t>
      </w:r>
      <w:r w:rsidR="00A22AEC">
        <w:t xml:space="preserve"> </w:t>
      </w:r>
      <w:r w:rsidR="004132EB">
        <w:t>my</w:t>
      </w:r>
      <w:r w:rsidR="00A22AEC">
        <w:t xml:space="preserve"> </w:t>
      </w:r>
      <w:r w:rsidR="004132EB">
        <w:t>current</w:t>
      </w:r>
      <w:r w:rsidR="00A22AEC">
        <w:t xml:space="preserve"> </w:t>
      </w:r>
      <w:r w:rsidR="004132EB">
        <w:t>position</w:t>
      </w:r>
      <w:r w:rsidR="00A22AEC">
        <w:t xml:space="preserve"> </w:t>
      </w:r>
      <w:r w:rsidR="004132EB">
        <w:t>in</w:t>
      </w:r>
      <w:r w:rsidR="00A22AEC">
        <w:t xml:space="preserve"> </w:t>
      </w:r>
      <w:r w:rsidR="002551FE">
        <w:t>January 2014</w:t>
      </w:r>
      <w:r w:rsidR="00A22AEC">
        <w:t xml:space="preserve">.  </w:t>
      </w:r>
      <w:r w:rsidR="002551FE">
        <w:t xml:space="preserve">I am responsible for all regulatory activities </w:t>
      </w:r>
      <w:r w:rsidR="00D82925">
        <w:t>in</w:t>
      </w:r>
      <w:r w:rsidR="00A22AEC">
        <w:t xml:space="preserve"> </w:t>
      </w:r>
      <w:r w:rsidR="009D7C9D">
        <w:t>Washington,</w:t>
      </w:r>
      <w:r w:rsidR="00A22AEC">
        <w:t xml:space="preserve"> </w:t>
      </w:r>
      <w:r w:rsidR="007477E6">
        <w:t>California,</w:t>
      </w:r>
      <w:r w:rsidR="00A22AEC">
        <w:t xml:space="preserve"> </w:t>
      </w:r>
      <w:r w:rsidR="009D7C9D">
        <w:t>and</w:t>
      </w:r>
      <w:r w:rsidR="00A22AEC">
        <w:t xml:space="preserve"> </w:t>
      </w:r>
      <w:r w:rsidR="00D43D05">
        <w:t>Oregon.</w:t>
      </w:r>
    </w:p>
    <w:p w:rsidR="00F21BD7" w:rsidRDefault="002551FE" w:rsidP="002551FE">
      <w:pPr>
        <w:pStyle w:val="Heading1"/>
      </w:pPr>
      <w:bookmarkStart w:id="3" w:name="_Toc386630084"/>
      <w:bookmarkStart w:id="4" w:name="_Toc436040509"/>
      <w:r>
        <w:t>PURPOSE O</w:t>
      </w:r>
      <w:r w:rsidRPr="00BF20EE">
        <w:t>F</w:t>
      </w:r>
      <w:r>
        <w:t xml:space="preserve"> </w:t>
      </w:r>
      <w:r w:rsidRPr="00BF20EE">
        <w:t>TESTIMONY</w:t>
      </w:r>
      <w:bookmarkEnd w:id="3"/>
      <w:bookmarkEnd w:id="4"/>
    </w:p>
    <w:p w:rsidR="00143AE5" w:rsidRPr="00BF20EE" w:rsidRDefault="00143AE5" w:rsidP="005347AF">
      <w:pPr>
        <w:pStyle w:val="Question"/>
        <w:widowControl w:val="0"/>
        <w:jc w:val="left"/>
      </w:pPr>
      <w:r w:rsidRPr="00BF20EE">
        <w:t>Q.</w:t>
      </w:r>
      <w:r w:rsidRPr="00BF20EE">
        <w:tab/>
        <w:t>What</w:t>
      </w:r>
      <w:r w:rsidR="00A22AEC">
        <w:t xml:space="preserve"> </w:t>
      </w:r>
      <w:r w:rsidRPr="00BF20EE">
        <w:t>is</w:t>
      </w:r>
      <w:r w:rsidR="00A22AEC">
        <w:t xml:space="preserve"> </w:t>
      </w:r>
      <w:r w:rsidRPr="00BF20EE">
        <w:t>the</w:t>
      </w:r>
      <w:r w:rsidR="00A22AEC">
        <w:t xml:space="preserve"> </w:t>
      </w:r>
      <w:r w:rsidRPr="00BF20EE">
        <w:t>purpose</w:t>
      </w:r>
      <w:r w:rsidR="00A22AEC">
        <w:t xml:space="preserve"> </w:t>
      </w:r>
      <w:r w:rsidRPr="00BF20EE">
        <w:t>of</w:t>
      </w:r>
      <w:r w:rsidR="00A22AEC">
        <w:t xml:space="preserve"> </w:t>
      </w:r>
      <w:r w:rsidRPr="00BF20EE">
        <w:t>your</w:t>
      </w:r>
      <w:r w:rsidR="00A22AEC">
        <w:t xml:space="preserve"> </w:t>
      </w:r>
      <w:r w:rsidRPr="00BF20EE">
        <w:t>testimony</w:t>
      </w:r>
      <w:r w:rsidR="00A22AEC">
        <w:t xml:space="preserve"> </w:t>
      </w:r>
      <w:r w:rsidRPr="00BF20EE">
        <w:t>in</w:t>
      </w:r>
      <w:r w:rsidR="00A22AEC">
        <w:t xml:space="preserve"> </w:t>
      </w:r>
      <w:r w:rsidR="00EC3F55">
        <w:t>this</w:t>
      </w:r>
      <w:r w:rsidR="00A22AEC">
        <w:t xml:space="preserve"> </w:t>
      </w:r>
      <w:r w:rsidR="00EC3F55">
        <w:t>case</w:t>
      </w:r>
      <w:r w:rsidRPr="00BF20EE">
        <w:t>?</w:t>
      </w:r>
    </w:p>
    <w:p w:rsidR="009C785D" w:rsidRDefault="00143AE5" w:rsidP="00410A71">
      <w:pPr>
        <w:pStyle w:val="Answer"/>
        <w:widowControl w:val="0"/>
        <w:jc w:val="left"/>
      </w:pPr>
      <w:r w:rsidRPr="00BF20EE">
        <w:t>A.</w:t>
      </w:r>
      <w:r w:rsidRPr="00BF20EE">
        <w:tab/>
      </w:r>
      <w:r w:rsidR="00A715C9">
        <w:t xml:space="preserve">My testimony </w:t>
      </w:r>
      <w:r w:rsidR="00EE5239">
        <w:t>provides an overview of Pacific Power</w:t>
      </w:r>
      <w:r w:rsidR="00883AAF">
        <w:t>’s e</w:t>
      </w:r>
      <w:r w:rsidR="00E42FB3">
        <w:t xml:space="preserve">xpedited rate filing (ERF), </w:t>
      </w:r>
      <w:r w:rsidR="00A833E5">
        <w:t xml:space="preserve">two-year rate plan, and </w:t>
      </w:r>
      <w:r w:rsidR="00E42FB3">
        <w:t>decoupling proposal</w:t>
      </w:r>
      <w:r w:rsidR="00A833E5">
        <w:t>;</w:t>
      </w:r>
      <w:r w:rsidR="009C785D">
        <w:t xml:space="preserve"> </w:t>
      </w:r>
      <w:r w:rsidR="00AF3ABD">
        <w:t>explains the cost drivers for this filing</w:t>
      </w:r>
      <w:r w:rsidR="00A833E5">
        <w:t>;</w:t>
      </w:r>
      <w:r w:rsidR="00AF3ABD">
        <w:t xml:space="preserve"> and </w:t>
      </w:r>
      <w:r w:rsidR="00A833E5">
        <w:t xml:space="preserve">describes </w:t>
      </w:r>
      <w:r w:rsidR="00883AAF">
        <w:t>the benefits of this filing for custom</w:t>
      </w:r>
      <w:r w:rsidR="00AF3ABD">
        <w:t xml:space="preserve">ers.  I also </w:t>
      </w:r>
      <w:r w:rsidR="00136214">
        <w:t>address the regulatory policy issues raised by this filing, including the</w:t>
      </w:r>
      <w:r w:rsidR="00136214" w:rsidRPr="00406988">
        <w:t xml:space="preserve"> </w:t>
      </w:r>
      <w:r w:rsidR="00136214">
        <w:t xml:space="preserve">Company’s proposal </w:t>
      </w:r>
      <w:r w:rsidR="00DE59E0">
        <w:t xml:space="preserve">to reinstitute </w:t>
      </w:r>
    </w:p>
    <w:p w:rsidR="009C785D" w:rsidRDefault="009C785D" w:rsidP="009C785D">
      <w:pPr>
        <w:pStyle w:val="Answer"/>
        <w:widowControl w:val="0"/>
        <w:suppressLineNumbers/>
        <w:ind w:firstLine="0"/>
        <w:jc w:val="left"/>
      </w:pPr>
    </w:p>
    <w:p w:rsidR="006C37BE" w:rsidRDefault="00DE59E0" w:rsidP="009C785D">
      <w:pPr>
        <w:pStyle w:val="Answer"/>
        <w:widowControl w:val="0"/>
        <w:ind w:firstLine="0"/>
        <w:jc w:val="left"/>
      </w:pPr>
      <w:r>
        <w:lastRenderedPageBreak/>
        <w:t>shorter</w:t>
      </w:r>
      <w:r w:rsidR="00136214" w:rsidRPr="00406988">
        <w:t xml:space="preserve"> depreciation</w:t>
      </w:r>
      <w:r w:rsidR="00136214">
        <w:t xml:space="preserve"> </w:t>
      </w:r>
      <w:r>
        <w:t xml:space="preserve">schedules for </w:t>
      </w:r>
      <w:r w:rsidR="00136214">
        <w:t>the Company’s coal resources in the west control area</w:t>
      </w:r>
      <w:r w:rsidR="00136214" w:rsidRPr="00406988">
        <w:t>.</w:t>
      </w:r>
    </w:p>
    <w:p w:rsidR="006C37BE" w:rsidRPr="006C37BE" w:rsidRDefault="00B40504" w:rsidP="0047355C">
      <w:pPr>
        <w:pStyle w:val="Heading1"/>
        <w:rPr>
          <w:b w:val="0"/>
        </w:rPr>
      </w:pPr>
      <w:bookmarkStart w:id="5" w:name="_Toc436040510"/>
      <w:r>
        <w:t>OVERVIEW OF COMPANY’S FILING</w:t>
      </w:r>
      <w:bookmarkEnd w:id="5"/>
      <w:r>
        <w:t xml:space="preserve"> </w:t>
      </w:r>
    </w:p>
    <w:p w:rsidR="006C37BE" w:rsidRPr="007C0943" w:rsidRDefault="006C37BE" w:rsidP="006C37BE">
      <w:pPr>
        <w:pStyle w:val="Answer"/>
        <w:widowControl w:val="0"/>
        <w:jc w:val="left"/>
        <w:rPr>
          <w:b/>
        </w:rPr>
      </w:pPr>
      <w:r w:rsidRPr="007C0943">
        <w:rPr>
          <w:b/>
        </w:rPr>
        <w:t>Q.</w:t>
      </w:r>
      <w:r w:rsidRPr="007C0943">
        <w:rPr>
          <w:b/>
        </w:rPr>
        <w:tab/>
      </w:r>
      <w:r w:rsidR="00883AAF">
        <w:rPr>
          <w:b/>
        </w:rPr>
        <w:t xml:space="preserve">Please describe the </w:t>
      </w:r>
      <w:r w:rsidR="00CA0BCA">
        <w:rPr>
          <w:b/>
        </w:rPr>
        <w:t>Company</w:t>
      </w:r>
      <w:r w:rsidR="00883AAF">
        <w:rPr>
          <w:b/>
        </w:rPr>
        <w:t>’s</w:t>
      </w:r>
      <w:r w:rsidR="00CA0BCA">
        <w:rPr>
          <w:b/>
        </w:rPr>
        <w:t xml:space="preserve"> filing</w:t>
      </w:r>
      <w:r w:rsidR="00883AAF">
        <w:rPr>
          <w:b/>
        </w:rPr>
        <w:t>.</w:t>
      </w:r>
    </w:p>
    <w:p w:rsidR="002853F2" w:rsidRDefault="006C37BE" w:rsidP="002853F2">
      <w:pPr>
        <w:pStyle w:val="Answer"/>
        <w:widowControl w:val="0"/>
        <w:jc w:val="left"/>
      </w:pPr>
      <w:r>
        <w:t xml:space="preserve">A. </w:t>
      </w:r>
      <w:r>
        <w:tab/>
        <w:t xml:space="preserve">The Company’s filing is comprised of three </w:t>
      </w:r>
      <w:r w:rsidR="00001BC9">
        <w:t xml:space="preserve">primary </w:t>
      </w:r>
      <w:r>
        <w:t xml:space="preserve">components.  First, Pacific Power </w:t>
      </w:r>
      <w:r w:rsidR="00FC3681">
        <w:t>is filing</w:t>
      </w:r>
      <w:r>
        <w:t xml:space="preserve"> an ERF </w:t>
      </w:r>
      <w:r w:rsidR="00A833E5">
        <w:t>proposing to increase</w:t>
      </w:r>
      <w:r>
        <w:t xml:space="preserve"> electric rates by $</w:t>
      </w:r>
      <w:r w:rsidR="000016DA">
        <w:t>10</w:t>
      </w:r>
      <w:r>
        <w:t>.</w:t>
      </w:r>
      <w:r w:rsidR="000016DA">
        <w:t>0</w:t>
      </w:r>
      <w:r>
        <w:t xml:space="preserve"> million, or 2.99 percent, effective May 1, 2016. </w:t>
      </w:r>
      <w:r w:rsidR="00863205">
        <w:t xml:space="preserve"> </w:t>
      </w:r>
      <w:r w:rsidR="00CA0BCA">
        <w:t xml:space="preserve">Pacific Power’s ERF is based on a modified </w:t>
      </w:r>
      <w:r w:rsidR="00CA0BCA">
        <w:rPr>
          <w:color w:val="000000" w:themeColor="text1"/>
        </w:rPr>
        <w:t>Commission Basis Report</w:t>
      </w:r>
      <w:r w:rsidR="00CA0BCA" w:rsidRPr="00467287">
        <w:t xml:space="preserve"> with </w:t>
      </w:r>
      <w:r w:rsidR="00CA0BCA">
        <w:t>a</w:t>
      </w:r>
      <w:r w:rsidR="00CA0BCA" w:rsidRPr="00467287">
        <w:t xml:space="preserve"> test period ending June 30, 2015</w:t>
      </w:r>
      <w:r w:rsidR="00CA0BCA">
        <w:t>, and end</w:t>
      </w:r>
      <w:r w:rsidR="00FC3681">
        <w:t>-</w:t>
      </w:r>
      <w:r w:rsidR="00CA0BCA">
        <w:t>of</w:t>
      </w:r>
      <w:r w:rsidR="00FC3681">
        <w:t>-</w:t>
      </w:r>
      <w:r w:rsidR="00F23950">
        <w:t xml:space="preserve">period </w:t>
      </w:r>
      <w:r w:rsidR="00A833E5">
        <w:t xml:space="preserve">rate base </w:t>
      </w:r>
      <w:r w:rsidR="00CA0BCA">
        <w:t xml:space="preserve">balances.  </w:t>
      </w:r>
    </w:p>
    <w:p w:rsidR="002853F2" w:rsidRDefault="00CA0BCA" w:rsidP="002853F2">
      <w:pPr>
        <w:pStyle w:val="Answer"/>
        <w:widowControl w:val="0"/>
        <w:ind w:firstLine="720"/>
        <w:jc w:val="left"/>
      </w:pPr>
      <w:r>
        <w:t xml:space="preserve">Second, </w:t>
      </w:r>
      <w:r w:rsidR="00C63B21">
        <w:t xml:space="preserve">Pacific Power </w:t>
      </w:r>
      <w:r w:rsidR="002853F2">
        <w:t xml:space="preserve">proposes </w:t>
      </w:r>
      <w:r w:rsidR="00917A4E">
        <w:t>a two</w:t>
      </w:r>
      <w:r w:rsidR="00083A29">
        <w:t>-</w:t>
      </w:r>
      <w:r w:rsidR="009C785D">
        <w:t xml:space="preserve">year rate plan </w:t>
      </w:r>
      <w:r w:rsidR="00CF6C01">
        <w:t xml:space="preserve">that increases </w:t>
      </w:r>
      <w:r w:rsidR="00917A4E">
        <w:t xml:space="preserve">rates by </w:t>
      </w:r>
      <w:r w:rsidR="000016DA">
        <w:t>$10.3 million</w:t>
      </w:r>
      <w:r w:rsidR="00FC3681">
        <w:t>,</w:t>
      </w:r>
      <w:r w:rsidR="000016DA">
        <w:t xml:space="preserve"> or </w:t>
      </w:r>
      <w:r w:rsidR="00917A4E">
        <w:t>2.99 percent</w:t>
      </w:r>
      <w:r w:rsidR="00FC3681">
        <w:t>,</w:t>
      </w:r>
      <w:r w:rsidR="00917A4E">
        <w:t xml:space="preserve"> on May 1, 2017.  </w:t>
      </w:r>
      <w:r w:rsidR="00B40504">
        <w:t xml:space="preserve">This second-step </w:t>
      </w:r>
      <w:r w:rsidR="00917A4E">
        <w:t>rate increase is supported by Pacific Power’s 10-year</w:t>
      </w:r>
      <w:r w:rsidR="00B40504">
        <w:t xml:space="preserve"> </w:t>
      </w:r>
      <w:r w:rsidR="00917A4E">
        <w:t xml:space="preserve">trend of earnings attrition and </w:t>
      </w:r>
      <w:r w:rsidR="00B40504">
        <w:t xml:space="preserve">by the </w:t>
      </w:r>
      <w:r w:rsidR="00917A4E">
        <w:t xml:space="preserve">major costs the Company will incur in 2016.  </w:t>
      </w:r>
      <w:r w:rsidR="005C7820">
        <w:t>A</w:t>
      </w:r>
      <w:r w:rsidR="00917A4E">
        <w:t xml:space="preserve">s part of the rate plan, </w:t>
      </w:r>
      <w:r w:rsidR="005C7820">
        <w:t xml:space="preserve">the Company </w:t>
      </w:r>
      <w:r w:rsidR="00917A4E">
        <w:t>will no</w:t>
      </w:r>
      <w:r w:rsidR="00001BC9">
        <w:t>t</w:t>
      </w:r>
      <w:r w:rsidR="00917A4E">
        <w:t xml:space="preserve"> </w:t>
      </w:r>
      <w:r w:rsidR="00FC3681">
        <w:t>file a general rate case with a rate effective date earlier than</w:t>
      </w:r>
      <w:r w:rsidR="00917A4E">
        <w:t xml:space="preserve"> </w:t>
      </w:r>
      <w:r w:rsidR="00883AAF">
        <w:t>April</w:t>
      </w:r>
      <w:r w:rsidR="00917A4E">
        <w:t xml:space="preserve"> 1, 2018</w:t>
      </w:r>
      <w:r w:rsidR="003B233F">
        <w:t>.</w:t>
      </w:r>
      <w:r w:rsidR="006C1604">
        <w:t xml:space="preserve"> </w:t>
      </w:r>
      <w:r w:rsidR="00FC3681">
        <w:t xml:space="preserve"> </w:t>
      </w:r>
      <w:r w:rsidR="003B233F">
        <w:t xml:space="preserve">The Company will </w:t>
      </w:r>
      <w:r w:rsidR="006C1604">
        <w:t xml:space="preserve">increase </w:t>
      </w:r>
      <w:r w:rsidR="002853F2">
        <w:t>Low Income Bill Assistance (LIBA) funding</w:t>
      </w:r>
      <w:r w:rsidR="00883AAF">
        <w:t xml:space="preserve"> in both 2016 and 2017</w:t>
      </w:r>
      <w:r w:rsidR="006C1604">
        <w:t xml:space="preserve"> under the Company’s five-year LIBA program</w:t>
      </w:r>
      <w:r w:rsidR="002853F2">
        <w:t>, and file semi-annual C</w:t>
      </w:r>
      <w:r w:rsidR="00A833E5">
        <w:t>ommission Basis Reports</w:t>
      </w:r>
      <w:r w:rsidR="003A08BF">
        <w:t xml:space="preserve"> in 2016 and 2017</w:t>
      </w:r>
      <w:r w:rsidR="002853F2">
        <w:t>.</w:t>
      </w:r>
    </w:p>
    <w:p w:rsidR="006C37BE" w:rsidRDefault="002853F2" w:rsidP="002853F2">
      <w:pPr>
        <w:pStyle w:val="Answer"/>
        <w:widowControl w:val="0"/>
        <w:ind w:firstLine="720"/>
        <w:jc w:val="left"/>
      </w:pPr>
      <w:r>
        <w:t xml:space="preserve">Third, Pacific Power seeks approval of a </w:t>
      </w:r>
      <w:r w:rsidRPr="00805D4A">
        <w:rPr>
          <w:color w:val="000000" w:themeColor="text1"/>
        </w:rPr>
        <w:t xml:space="preserve">decoupling mechanism </w:t>
      </w:r>
      <w:r w:rsidR="00A833E5">
        <w:t xml:space="preserve">effective May 1, 2016, </w:t>
      </w:r>
      <w:r>
        <w:t>and permission to record accounting entries associated with the mechanism</w:t>
      </w:r>
      <w:r w:rsidR="00782C7A">
        <w:t>.</w:t>
      </w:r>
      <w:r>
        <w:t xml:space="preserve">  </w:t>
      </w:r>
    </w:p>
    <w:p w:rsidR="00C1703E" w:rsidRPr="00B409F0" w:rsidRDefault="00C1703E" w:rsidP="007B04BC">
      <w:pPr>
        <w:keepNext/>
        <w:tabs>
          <w:tab w:val="left" w:pos="720"/>
        </w:tabs>
        <w:spacing w:line="480" w:lineRule="auto"/>
        <w:ind w:left="720" w:hanging="720"/>
        <w:jc w:val="left"/>
        <w:rPr>
          <w:szCs w:val="20"/>
        </w:rPr>
      </w:pPr>
      <w:r w:rsidRPr="00B409F0">
        <w:rPr>
          <w:b/>
          <w:szCs w:val="20"/>
        </w:rPr>
        <w:t>Q.</w:t>
      </w:r>
      <w:r w:rsidRPr="00B409F0">
        <w:rPr>
          <w:b/>
          <w:szCs w:val="20"/>
        </w:rPr>
        <w:tab/>
      </w:r>
      <w:r w:rsidR="002B26B5">
        <w:rPr>
          <w:b/>
          <w:szCs w:val="20"/>
        </w:rPr>
        <w:t xml:space="preserve">Why </w:t>
      </w:r>
      <w:r w:rsidR="00A43C77">
        <w:rPr>
          <w:b/>
          <w:szCs w:val="20"/>
        </w:rPr>
        <w:t xml:space="preserve">is the </w:t>
      </w:r>
      <w:r w:rsidR="002B26B5">
        <w:rPr>
          <w:b/>
          <w:szCs w:val="20"/>
        </w:rPr>
        <w:t>Company fil</w:t>
      </w:r>
      <w:r w:rsidR="00A43C77">
        <w:rPr>
          <w:b/>
          <w:szCs w:val="20"/>
        </w:rPr>
        <w:t>ing</w:t>
      </w:r>
      <w:r w:rsidR="002B26B5">
        <w:rPr>
          <w:b/>
          <w:szCs w:val="20"/>
        </w:rPr>
        <w:t xml:space="preserve"> an ERF</w:t>
      </w:r>
      <w:r w:rsidR="001538E3">
        <w:rPr>
          <w:b/>
          <w:szCs w:val="20"/>
        </w:rPr>
        <w:t>, rate plan, and decoupling proposal</w:t>
      </w:r>
      <w:r w:rsidR="002B26B5">
        <w:rPr>
          <w:b/>
          <w:szCs w:val="20"/>
        </w:rPr>
        <w:t>?</w:t>
      </w:r>
    </w:p>
    <w:p w:rsidR="008D7BDC" w:rsidRDefault="00C1703E" w:rsidP="00C1703E">
      <w:pPr>
        <w:tabs>
          <w:tab w:val="left" w:pos="720"/>
        </w:tabs>
        <w:spacing w:line="480" w:lineRule="auto"/>
        <w:ind w:left="720" w:hanging="720"/>
        <w:jc w:val="left"/>
        <w:rPr>
          <w:szCs w:val="20"/>
        </w:rPr>
      </w:pPr>
      <w:r w:rsidRPr="00B409F0">
        <w:rPr>
          <w:szCs w:val="20"/>
        </w:rPr>
        <w:t>A.</w:t>
      </w:r>
      <w:r w:rsidRPr="00B409F0">
        <w:rPr>
          <w:szCs w:val="20"/>
        </w:rPr>
        <w:tab/>
      </w:r>
      <w:r w:rsidR="00B04EF5">
        <w:rPr>
          <w:szCs w:val="20"/>
        </w:rPr>
        <w:t xml:space="preserve">In 2015, </w:t>
      </w:r>
      <w:r w:rsidR="00935FE7">
        <w:rPr>
          <w:szCs w:val="20"/>
        </w:rPr>
        <w:t xml:space="preserve">the </w:t>
      </w:r>
      <w:r w:rsidR="009B3FFA">
        <w:rPr>
          <w:szCs w:val="20"/>
        </w:rPr>
        <w:t>Company</w:t>
      </w:r>
      <w:r w:rsidR="00BB6E31">
        <w:rPr>
          <w:szCs w:val="20"/>
        </w:rPr>
        <w:t xml:space="preserve">’s </w:t>
      </w:r>
      <w:r w:rsidR="00935FE7">
        <w:rPr>
          <w:szCs w:val="20"/>
        </w:rPr>
        <w:t xml:space="preserve">cost to serve </w:t>
      </w:r>
      <w:r w:rsidR="00BB6E31">
        <w:rPr>
          <w:szCs w:val="20"/>
        </w:rPr>
        <w:t xml:space="preserve">its </w:t>
      </w:r>
      <w:r w:rsidR="00935FE7">
        <w:rPr>
          <w:szCs w:val="20"/>
        </w:rPr>
        <w:t xml:space="preserve">Washington customers </w:t>
      </w:r>
      <w:r w:rsidR="00BB6E31">
        <w:rPr>
          <w:szCs w:val="20"/>
        </w:rPr>
        <w:t xml:space="preserve">will </w:t>
      </w:r>
      <w:r w:rsidR="00935FE7">
        <w:rPr>
          <w:szCs w:val="20"/>
        </w:rPr>
        <w:t xml:space="preserve">increase as </w:t>
      </w:r>
      <w:r w:rsidR="005C7820">
        <w:rPr>
          <w:szCs w:val="20"/>
        </w:rPr>
        <w:t xml:space="preserve">a </w:t>
      </w:r>
      <w:r w:rsidR="00935FE7">
        <w:rPr>
          <w:szCs w:val="20"/>
        </w:rPr>
        <w:t xml:space="preserve">major </w:t>
      </w:r>
      <w:r w:rsidR="005C7820">
        <w:rPr>
          <w:szCs w:val="20"/>
        </w:rPr>
        <w:t xml:space="preserve">plant upgrade at </w:t>
      </w:r>
      <w:r w:rsidR="00FC3681">
        <w:rPr>
          <w:szCs w:val="20"/>
        </w:rPr>
        <w:t>Unit 3 of the Jim Bridger generating plant (</w:t>
      </w:r>
      <w:r w:rsidR="005C7820">
        <w:rPr>
          <w:szCs w:val="20"/>
        </w:rPr>
        <w:t>Jim Bridger Unit</w:t>
      </w:r>
      <w:r w:rsidR="00BF1B1A">
        <w:rPr>
          <w:szCs w:val="20"/>
        </w:rPr>
        <w:t> </w:t>
      </w:r>
      <w:r w:rsidR="005C7820">
        <w:rPr>
          <w:szCs w:val="20"/>
        </w:rPr>
        <w:t>3</w:t>
      </w:r>
      <w:r w:rsidR="00FC3681">
        <w:rPr>
          <w:szCs w:val="20"/>
        </w:rPr>
        <w:t>)</w:t>
      </w:r>
      <w:r w:rsidR="005C7820">
        <w:rPr>
          <w:szCs w:val="20"/>
        </w:rPr>
        <w:t xml:space="preserve"> goes </w:t>
      </w:r>
      <w:r w:rsidR="00935FE7">
        <w:rPr>
          <w:szCs w:val="20"/>
        </w:rPr>
        <w:t xml:space="preserve">into service.  </w:t>
      </w:r>
      <w:r w:rsidR="00B04EF5">
        <w:rPr>
          <w:szCs w:val="20"/>
        </w:rPr>
        <w:t>T</w:t>
      </w:r>
      <w:r w:rsidR="00935FE7">
        <w:rPr>
          <w:szCs w:val="20"/>
        </w:rPr>
        <w:t xml:space="preserve">o provide </w:t>
      </w:r>
      <w:r w:rsidR="008D7BDC">
        <w:rPr>
          <w:szCs w:val="20"/>
        </w:rPr>
        <w:t xml:space="preserve">additional </w:t>
      </w:r>
      <w:r w:rsidR="00935FE7">
        <w:rPr>
          <w:szCs w:val="20"/>
        </w:rPr>
        <w:t xml:space="preserve">flexibility for compliance with major state and federal environmental initiatives, the Company </w:t>
      </w:r>
      <w:r w:rsidR="005C7820">
        <w:rPr>
          <w:szCs w:val="20"/>
        </w:rPr>
        <w:t xml:space="preserve">also </w:t>
      </w:r>
      <w:r w:rsidR="00935FE7">
        <w:rPr>
          <w:szCs w:val="20"/>
        </w:rPr>
        <w:t>propose</w:t>
      </w:r>
      <w:r w:rsidR="00A556C7">
        <w:rPr>
          <w:szCs w:val="20"/>
        </w:rPr>
        <w:t>s</w:t>
      </w:r>
      <w:r w:rsidR="00935FE7">
        <w:rPr>
          <w:szCs w:val="20"/>
        </w:rPr>
        <w:t xml:space="preserve"> to </w:t>
      </w:r>
      <w:r w:rsidR="00DE59E0">
        <w:rPr>
          <w:szCs w:val="20"/>
        </w:rPr>
        <w:t>re</w:t>
      </w:r>
      <w:r w:rsidR="004B0CCD">
        <w:rPr>
          <w:szCs w:val="20"/>
        </w:rPr>
        <w:t>instate</w:t>
      </w:r>
      <w:r w:rsidR="00DE59E0">
        <w:rPr>
          <w:szCs w:val="20"/>
        </w:rPr>
        <w:t xml:space="preserve"> </w:t>
      </w:r>
      <w:r w:rsidR="004B0CCD">
        <w:rPr>
          <w:szCs w:val="20"/>
        </w:rPr>
        <w:t>Washington’s previous, shorter</w:t>
      </w:r>
      <w:r w:rsidR="00935FE7">
        <w:rPr>
          <w:szCs w:val="20"/>
        </w:rPr>
        <w:t xml:space="preserve"> depreciation </w:t>
      </w:r>
      <w:r w:rsidR="004B0CCD">
        <w:rPr>
          <w:szCs w:val="20"/>
        </w:rPr>
        <w:t>lives</w:t>
      </w:r>
      <w:r w:rsidR="00935FE7">
        <w:rPr>
          <w:szCs w:val="20"/>
        </w:rPr>
        <w:t xml:space="preserve"> </w:t>
      </w:r>
      <w:r w:rsidR="00705DAA">
        <w:rPr>
          <w:szCs w:val="20"/>
        </w:rPr>
        <w:t>for coal plants</w:t>
      </w:r>
      <w:r w:rsidR="004B0CCD">
        <w:rPr>
          <w:szCs w:val="20"/>
        </w:rPr>
        <w:t xml:space="preserve">, similar </w:t>
      </w:r>
      <w:r w:rsidR="00935FE7">
        <w:rPr>
          <w:szCs w:val="20"/>
        </w:rPr>
        <w:t>to Oregon’</w:t>
      </w:r>
      <w:r w:rsidR="00A556C7">
        <w:rPr>
          <w:szCs w:val="20"/>
        </w:rPr>
        <w:t xml:space="preserve">s, the other major state within the west control area.  </w:t>
      </w:r>
      <w:r w:rsidR="008D7BDC">
        <w:rPr>
          <w:szCs w:val="20"/>
        </w:rPr>
        <w:t xml:space="preserve">Early implementation of this proposal smooths the associated rate impacts and provides maximum planning benefits.  </w:t>
      </w:r>
    </w:p>
    <w:p w:rsidR="00B04EF5" w:rsidRDefault="00B04EF5" w:rsidP="00C1703E">
      <w:pPr>
        <w:tabs>
          <w:tab w:val="left" w:pos="720"/>
        </w:tabs>
        <w:spacing w:line="480" w:lineRule="auto"/>
        <w:ind w:left="720" w:hanging="720"/>
        <w:jc w:val="left"/>
        <w:rPr>
          <w:szCs w:val="20"/>
        </w:rPr>
      </w:pPr>
      <w:r>
        <w:rPr>
          <w:szCs w:val="20"/>
        </w:rPr>
        <w:tab/>
      </w:r>
      <w:r>
        <w:rPr>
          <w:szCs w:val="20"/>
        </w:rPr>
        <w:tab/>
      </w:r>
      <w:r w:rsidR="006C1604">
        <w:rPr>
          <w:szCs w:val="20"/>
        </w:rPr>
        <w:t xml:space="preserve">In 2016, the Company will bring three </w:t>
      </w:r>
      <w:r w:rsidR="00F23950">
        <w:rPr>
          <w:szCs w:val="20"/>
        </w:rPr>
        <w:t>major</w:t>
      </w:r>
      <w:r w:rsidR="006C1604">
        <w:rPr>
          <w:szCs w:val="20"/>
        </w:rPr>
        <w:t xml:space="preserve"> capital projects in service.  Also in 2016, the Company’s production tax credits (PTCs) for several west control area wind resources begin to expire. </w:t>
      </w:r>
      <w:r>
        <w:rPr>
          <w:szCs w:val="20"/>
        </w:rPr>
        <w:t xml:space="preserve"> </w:t>
      </w:r>
    </w:p>
    <w:p w:rsidR="001538E3" w:rsidRDefault="00A556C7" w:rsidP="00C1703E">
      <w:pPr>
        <w:tabs>
          <w:tab w:val="left" w:pos="720"/>
        </w:tabs>
        <w:spacing w:line="480" w:lineRule="auto"/>
        <w:ind w:left="720" w:hanging="720"/>
        <w:jc w:val="left"/>
        <w:rPr>
          <w:szCs w:val="20"/>
        </w:rPr>
      </w:pPr>
      <w:r>
        <w:rPr>
          <w:szCs w:val="20"/>
        </w:rPr>
        <w:tab/>
      </w:r>
      <w:r>
        <w:rPr>
          <w:szCs w:val="20"/>
        </w:rPr>
        <w:tab/>
      </w:r>
      <w:r w:rsidR="00BB6E31">
        <w:rPr>
          <w:szCs w:val="20"/>
        </w:rPr>
        <w:t xml:space="preserve">The Company cannot absorb these cost increases at current rate levels and </w:t>
      </w:r>
      <w:r w:rsidR="00DE3A7E">
        <w:rPr>
          <w:szCs w:val="20"/>
        </w:rPr>
        <w:t xml:space="preserve">have </w:t>
      </w:r>
      <w:r w:rsidR="00BB6E31">
        <w:rPr>
          <w:szCs w:val="20"/>
        </w:rPr>
        <w:t xml:space="preserve">an opportunity to earn its allowed rate of return. </w:t>
      </w:r>
      <w:r w:rsidR="006C1604">
        <w:rPr>
          <w:szCs w:val="20"/>
        </w:rPr>
        <w:t xml:space="preserve"> </w:t>
      </w:r>
      <w:r w:rsidR="008D7BDC">
        <w:rPr>
          <w:szCs w:val="20"/>
        </w:rPr>
        <w:t xml:space="preserve">Rather than file two additional </w:t>
      </w:r>
      <w:r w:rsidR="00A64CBA">
        <w:rPr>
          <w:szCs w:val="20"/>
        </w:rPr>
        <w:t xml:space="preserve">general rate cases </w:t>
      </w:r>
      <w:r w:rsidR="00BB6E31">
        <w:rPr>
          <w:szCs w:val="20"/>
        </w:rPr>
        <w:t>to cover cost increases</w:t>
      </w:r>
      <w:r w:rsidR="00DE3A7E">
        <w:rPr>
          <w:szCs w:val="20"/>
        </w:rPr>
        <w:t xml:space="preserve"> over the next two years</w:t>
      </w:r>
      <w:r w:rsidR="00BB6E31">
        <w:rPr>
          <w:szCs w:val="20"/>
        </w:rPr>
        <w:t xml:space="preserve">, the Company decided to pursue this </w:t>
      </w:r>
      <w:r w:rsidR="00A833E5">
        <w:rPr>
          <w:szCs w:val="20"/>
        </w:rPr>
        <w:t xml:space="preserve">petition </w:t>
      </w:r>
      <w:r w:rsidR="00BB6E31">
        <w:rPr>
          <w:szCs w:val="20"/>
        </w:rPr>
        <w:t xml:space="preserve">as an alternative.  </w:t>
      </w:r>
      <w:r w:rsidR="00896224">
        <w:rPr>
          <w:szCs w:val="20"/>
        </w:rPr>
        <w:t>The Commission has encouraged Pacifi</w:t>
      </w:r>
      <w:r w:rsidR="00736FAE">
        <w:rPr>
          <w:szCs w:val="20"/>
        </w:rPr>
        <w:t>c Power</w:t>
      </w:r>
      <w:r w:rsidR="00896224">
        <w:rPr>
          <w:szCs w:val="20"/>
        </w:rPr>
        <w:t xml:space="preserve"> and other Washington utilities to use new </w:t>
      </w:r>
      <w:r w:rsidR="00BB6E31">
        <w:rPr>
          <w:szCs w:val="20"/>
        </w:rPr>
        <w:t xml:space="preserve">regulatory tools </w:t>
      </w:r>
      <w:r w:rsidR="008D7BDC">
        <w:rPr>
          <w:szCs w:val="20"/>
        </w:rPr>
        <w:t>such as an ERF, multi-year rate plans</w:t>
      </w:r>
      <w:r w:rsidR="00FC3681">
        <w:rPr>
          <w:szCs w:val="20"/>
        </w:rPr>
        <w:t>,</w:t>
      </w:r>
      <w:r w:rsidR="008D7BDC">
        <w:rPr>
          <w:szCs w:val="20"/>
        </w:rPr>
        <w:t xml:space="preserve"> and decoupling </w:t>
      </w:r>
      <w:r w:rsidR="00BB6E31">
        <w:rPr>
          <w:szCs w:val="20"/>
        </w:rPr>
        <w:t>to avoid annual rate cases</w:t>
      </w:r>
      <w:r w:rsidR="0073062A">
        <w:rPr>
          <w:szCs w:val="20"/>
        </w:rPr>
        <w:t xml:space="preserve">, especially when the utility has a current baseline for major cost items from a recently concluded </w:t>
      </w:r>
      <w:r w:rsidR="00FC3681">
        <w:rPr>
          <w:szCs w:val="20"/>
        </w:rPr>
        <w:t>general rate case</w:t>
      </w:r>
      <w:r w:rsidR="0073062A">
        <w:rPr>
          <w:szCs w:val="20"/>
        </w:rPr>
        <w:t>.</w:t>
      </w:r>
      <w:r w:rsidR="003F7830">
        <w:rPr>
          <w:szCs w:val="20"/>
        </w:rPr>
        <w:t xml:space="preserve">  For example, in approving </w:t>
      </w:r>
      <w:r w:rsidR="00750B9B">
        <w:rPr>
          <w:szCs w:val="20"/>
        </w:rPr>
        <w:t>an ERF</w:t>
      </w:r>
      <w:r w:rsidR="001538E3">
        <w:rPr>
          <w:szCs w:val="20"/>
        </w:rPr>
        <w:t>, rate plan, and decoupling proposal for</w:t>
      </w:r>
      <w:r w:rsidR="00750B9B">
        <w:rPr>
          <w:szCs w:val="20"/>
        </w:rPr>
        <w:t xml:space="preserve"> </w:t>
      </w:r>
      <w:r w:rsidR="00920BE1">
        <w:rPr>
          <w:szCs w:val="20"/>
        </w:rPr>
        <w:t>Puget Sound Energy, Inc. (PSE)</w:t>
      </w:r>
      <w:r w:rsidR="003F7830">
        <w:rPr>
          <w:szCs w:val="20"/>
        </w:rPr>
        <w:t xml:space="preserve">, the Commission </w:t>
      </w:r>
      <w:r w:rsidR="001538E3">
        <w:rPr>
          <w:szCs w:val="20"/>
        </w:rPr>
        <w:t>stat</w:t>
      </w:r>
      <w:r w:rsidR="003F7830">
        <w:rPr>
          <w:szCs w:val="20"/>
        </w:rPr>
        <w:t>ed</w:t>
      </w:r>
      <w:r w:rsidR="001538E3">
        <w:rPr>
          <w:szCs w:val="20"/>
        </w:rPr>
        <w:t>:</w:t>
      </w:r>
    </w:p>
    <w:p w:rsidR="001538E3" w:rsidRDefault="001538E3" w:rsidP="00CC35F1">
      <w:pPr>
        <w:tabs>
          <w:tab w:val="left" w:pos="720"/>
        </w:tabs>
        <w:ind w:left="1440" w:right="720" w:hanging="720"/>
        <w:jc w:val="left"/>
        <w:rPr>
          <w:szCs w:val="25"/>
        </w:rPr>
      </w:pPr>
      <w:r>
        <w:rPr>
          <w:szCs w:val="20"/>
        </w:rPr>
        <w:tab/>
      </w:r>
      <w:r w:rsidRPr="001538E3">
        <w:rPr>
          <w:szCs w:val="25"/>
        </w:rPr>
        <w:t>The Commission in this Order implements several innovative ratemaking mechanisms that, together, fulfill the Commission’s policy goal of breaking the recent pattern of almost continuous rate cases</w:t>
      </w:r>
      <w:r>
        <w:rPr>
          <w:szCs w:val="25"/>
        </w:rPr>
        <w:t>…</w:t>
      </w:r>
      <w:r w:rsidR="00001BC9">
        <w:rPr>
          <w:szCs w:val="25"/>
        </w:rPr>
        <w:t>.</w:t>
      </w:r>
      <w:r>
        <w:rPr>
          <w:szCs w:val="25"/>
        </w:rPr>
        <w:t xml:space="preserve"> </w:t>
      </w:r>
      <w:r w:rsidR="00001BC9">
        <w:rPr>
          <w:szCs w:val="25"/>
        </w:rPr>
        <w:t xml:space="preserve"> </w:t>
      </w:r>
      <w:r w:rsidRPr="001538E3">
        <w:rPr>
          <w:szCs w:val="25"/>
        </w:rPr>
        <w:t xml:space="preserve">As the Commission observed </w:t>
      </w:r>
      <w:r>
        <w:rPr>
          <w:szCs w:val="25"/>
        </w:rPr>
        <w:t>…</w:t>
      </w:r>
      <w:r w:rsidRPr="001538E3">
        <w:rPr>
          <w:szCs w:val="25"/>
        </w:rPr>
        <w:t>: “This pattern of one general rate case filing following quickly after the resolution of another is overtaxing the resources of all participants and is wearying to the ratepayers who are confronted with increase after increase.</w:t>
      </w:r>
      <w:r w:rsidR="008A1227">
        <w:rPr>
          <w:szCs w:val="25"/>
        </w:rPr>
        <w:t xml:space="preserve">  </w:t>
      </w:r>
      <w:r w:rsidRPr="001538E3">
        <w:rPr>
          <w:szCs w:val="25"/>
        </w:rPr>
        <w:t>This situation does not well serve the public interest and we encourage the development of thoughtful solutions.”</w:t>
      </w:r>
      <w:r>
        <w:rPr>
          <w:rStyle w:val="FootnoteReference"/>
          <w:szCs w:val="25"/>
        </w:rPr>
        <w:footnoteReference w:id="1"/>
      </w:r>
    </w:p>
    <w:p w:rsidR="006667AC" w:rsidRDefault="003F7830" w:rsidP="008A1227">
      <w:pPr>
        <w:tabs>
          <w:tab w:val="left" w:pos="720"/>
        </w:tabs>
        <w:spacing w:before="240" w:line="480" w:lineRule="auto"/>
        <w:ind w:left="720" w:hanging="720"/>
        <w:jc w:val="left"/>
        <w:rPr>
          <w:szCs w:val="20"/>
        </w:rPr>
      </w:pPr>
      <w:r>
        <w:rPr>
          <w:szCs w:val="20"/>
        </w:rPr>
        <w:tab/>
      </w:r>
      <w:r w:rsidR="00DE3A7E">
        <w:rPr>
          <w:szCs w:val="20"/>
        </w:rPr>
        <w:t>T</w:t>
      </w:r>
      <w:r>
        <w:rPr>
          <w:szCs w:val="20"/>
        </w:rPr>
        <w:t xml:space="preserve">he Company’s filing responds to discrete and </w:t>
      </w:r>
      <w:r w:rsidR="00304F53">
        <w:rPr>
          <w:szCs w:val="20"/>
        </w:rPr>
        <w:t>identifiable</w:t>
      </w:r>
      <w:r>
        <w:rPr>
          <w:szCs w:val="20"/>
        </w:rPr>
        <w:t xml:space="preserve"> cost increases in </w:t>
      </w:r>
      <w:r w:rsidR="00DE3A7E">
        <w:rPr>
          <w:szCs w:val="20"/>
        </w:rPr>
        <w:t>the next two years</w:t>
      </w:r>
      <w:r>
        <w:rPr>
          <w:szCs w:val="20"/>
        </w:rPr>
        <w:t xml:space="preserve">, </w:t>
      </w:r>
      <w:r w:rsidR="0047641A">
        <w:rPr>
          <w:szCs w:val="20"/>
        </w:rPr>
        <w:t xml:space="preserve">the Company’s </w:t>
      </w:r>
      <w:r>
        <w:rPr>
          <w:szCs w:val="20"/>
        </w:rPr>
        <w:t>protracted</w:t>
      </w:r>
      <w:r w:rsidR="0047641A">
        <w:rPr>
          <w:szCs w:val="20"/>
        </w:rPr>
        <w:t xml:space="preserve"> trend </w:t>
      </w:r>
      <w:r>
        <w:rPr>
          <w:szCs w:val="20"/>
        </w:rPr>
        <w:t xml:space="preserve">of </w:t>
      </w:r>
      <w:r w:rsidR="00304F53">
        <w:rPr>
          <w:szCs w:val="20"/>
        </w:rPr>
        <w:t>earnings</w:t>
      </w:r>
      <w:r>
        <w:rPr>
          <w:szCs w:val="20"/>
        </w:rPr>
        <w:t xml:space="preserve"> attrition</w:t>
      </w:r>
      <w:r w:rsidR="00A43C77">
        <w:rPr>
          <w:szCs w:val="20"/>
        </w:rPr>
        <w:t>,</w:t>
      </w:r>
      <w:r>
        <w:rPr>
          <w:szCs w:val="20"/>
        </w:rPr>
        <w:t xml:space="preserve"> and the </w:t>
      </w:r>
      <w:r w:rsidR="00304F53">
        <w:rPr>
          <w:szCs w:val="20"/>
        </w:rPr>
        <w:t>Commission’s</w:t>
      </w:r>
      <w:r>
        <w:rPr>
          <w:szCs w:val="20"/>
        </w:rPr>
        <w:t xml:space="preserve"> </w:t>
      </w:r>
      <w:r w:rsidR="0073062A">
        <w:rPr>
          <w:szCs w:val="20"/>
        </w:rPr>
        <w:t xml:space="preserve">interest in </w:t>
      </w:r>
      <w:r w:rsidR="00FC3681">
        <w:rPr>
          <w:szCs w:val="20"/>
        </w:rPr>
        <w:t xml:space="preserve">using </w:t>
      </w:r>
      <w:r w:rsidR="0073062A">
        <w:rPr>
          <w:szCs w:val="20"/>
        </w:rPr>
        <w:t xml:space="preserve">new </w:t>
      </w:r>
      <w:r w:rsidR="00304F53">
        <w:rPr>
          <w:szCs w:val="20"/>
        </w:rPr>
        <w:t>ratemaking</w:t>
      </w:r>
      <w:r w:rsidR="0073062A">
        <w:rPr>
          <w:szCs w:val="20"/>
        </w:rPr>
        <w:t xml:space="preserve"> tools to break the cycle of annual rate cases. </w:t>
      </w:r>
      <w:r w:rsidR="00B14D3A">
        <w:rPr>
          <w:szCs w:val="20"/>
        </w:rPr>
        <w:t xml:space="preserve">  </w:t>
      </w:r>
    </w:p>
    <w:p w:rsidR="00C1703E" w:rsidRPr="00B409F0" w:rsidRDefault="00063E30" w:rsidP="00CB6F2B">
      <w:pPr>
        <w:pStyle w:val="Answer"/>
        <w:keepNext/>
        <w:jc w:val="left"/>
        <w:rPr>
          <w:b/>
          <w:szCs w:val="20"/>
        </w:rPr>
      </w:pPr>
      <w:r>
        <w:rPr>
          <w:b/>
        </w:rPr>
        <w:t>Q.</w:t>
      </w:r>
      <w:r>
        <w:rPr>
          <w:b/>
        </w:rPr>
        <w:tab/>
      </w:r>
      <w:r w:rsidR="00705DAA">
        <w:rPr>
          <w:b/>
        </w:rPr>
        <w:t xml:space="preserve">Please provide more detail on the Company’s </w:t>
      </w:r>
      <w:r w:rsidR="00705DAA">
        <w:rPr>
          <w:b/>
          <w:szCs w:val="20"/>
        </w:rPr>
        <w:t>cost increases</w:t>
      </w:r>
      <w:r w:rsidR="00DE3A7E">
        <w:rPr>
          <w:b/>
          <w:szCs w:val="20"/>
        </w:rPr>
        <w:t xml:space="preserve"> over the next two years</w:t>
      </w:r>
      <w:r w:rsidR="00705DAA">
        <w:rPr>
          <w:b/>
          <w:szCs w:val="20"/>
        </w:rPr>
        <w:t xml:space="preserve">. </w:t>
      </w:r>
    </w:p>
    <w:p w:rsidR="00CD2DD8" w:rsidRDefault="00C1703E" w:rsidP="00C1703E">
      <w:pPr>
        <w:tabs>
          <w:tab w:val="left" w:pos="720"/>
        </w:tabs>
        <w:spacing w:line="480" w:lineRule="auto"/>
        <w:ind w:left="720" w:hanging="720"/>
        <w:jc w:val="left"/>
      </w:pPr>
      <w:r w:rsidRPr="00B409F0">
        <w:rPr>
          <w:szCs w:val="20"/>
        </w:rPr>
        <w:t>A.</w:t>
      </w:r>
      <w:r w:rsidRPr="00B409F0">
        <w:rPr>
          <w:szCs w:val="20"/>
        </w:rPr>
        <w:tab/>
      </w:r>
      <w:r>
        <w:rPr>
          <w:szCs w:val="20"/>
        </w:rPr>
        <w:t>T</w:t>
      </w:r>
      <w:r w:rsidRPr="00B409F0">
        <w:rPr>
          <w:szCs w:val="20"/>
        </w:rPr>
        <w:t xml:space="preserve">he </w:t>
      </w:r>
      <w:r w:rsidR="00705DAA">
        <w:rPr>
          <w:szCs w:val="20"/>
        </w:rPr>
        <w:t>ERF and the two-year rate plan address the following major costs</w:t>
      </w:r>
      <w:r>
        <w:rPr>
          <w:szCs w:val="20"/>
        </w:rPr>
        <w:t>.</w:t>
      </w:r>
      <w:r w:rsidR="00424F48">
        <w:rPr>
          <w:szCs w:val="20"/>
        </w:rPr>
        <w:t xml:space="preserve">  </w:t>
      </w:r>
      <w:r w:rsidR="004B3456">
        <w:rPr>
          <w:szCs w:val="20"/>
        </w:rPr>
        <w:t>First,</w:t>
      </w:r>
      <w:r w:rsidR="00CD2DD8">
        <w:rPr>
          <w:szCs w:val="20"/>
        </w:rPr>
        <w:t xml:space="preserve"> the</w:t>
      </w:r>
      <w:r w:rsidR="00F84CEC">
        <w:rPr>
          <w:szCs w:val="20"/>
        </w:rPr>
        <w:t xml:space="preserve"> Jim Bridger Unit 3 plant </w:t>
      </w:r>
      <w:r w:rsidR="004B3456">
        <w:rPr>
          <w:szCs w:val="20"/>
        </w:rPr>
        <w:t>is being</w:t>
      </w:r>
      <w:r w:rsidR="00F84CEC">
        <w:rPr>
          <w:szCs w:val="20"/>
        </w:rPr>
        <w:t xml:space="preserve"> overhauled and </w:t>
      </w:r>
      <w:r w:rsidR="00F84CEC" w:rsidRPr="002533D1">
        <w:t>new s</w:t>
      </w:r>
      <w:r w:rsidR="00F84CEC">
        <w:t>elective catalytic reduction (SCR) systems for emissions control</w:t>
      </w:r>
      <w:r w:rsidR="004B3456">
        <w:t xml:space="preserve"> will be in service by the end of November 2015</w:t>
      </w:r>
      <w:r w:rsidR="00F84CEC">
        <w:t xml:space="preserve">.  No later than December 2016, </w:t>
      </w:r>
      <w:r w:rsidR="007D7ACA">
        <w:t>the overhaul at Unit 4 of the Jim Bridger generating plant (</w:t>
      </w:r>
      <w:r w:rsidR="00F84CEC">
        <w:t>Jim Bridger Unit 4</w:t>
      </w:r>
      <w:r w:rsidR="007D7ACA">
        <w:t>)</w:t>
      </w:r>
      <w:r w:rsidR="00BC668C">
        <w:t xml:space="preserve"> and its new SCR system</w:t>
      </w:r>
      <w:r w:rsidR="00F84CEC">
        <w:t xml:space="preserve"> will go in</w:t>
      </w:r>
      <w:r w:rsidR="00CB3347">
        <w:t>to</w:t>
      </w:r>
      <w:r w:rsidR="00F84CEC">
        <w:t xml:space="preserve"> operation.  </w:t>
      </w:r>
      <w:r w:rsidR="00CB3347">
        <w:t xml:space="preserve">The Company </w:t>
      </w:r>
      <w:r w:rsidR="004B3456">
        <w:t>is</w:t>
      </w:r>
      <w:r w:rsidR="00CB3347">
        <w:t xml:space="preserve"> </w:t>
      </w:r>
      <w:r w:rsidR="00CB3347" w:rsidRPr="00AB5F9C">
        <w:t>require</w:t>
      </w:r>
      <w:r w:rsidR="00CB3347">
        <w:t>d to</w:t>
      </w:r>
      <w:r w:rsidR="00CB3347" w:rsidRPr="00AB5F9C">
        <w:t xml:space="preserve"> install</w:t>
      </w:r>
      <w:r w:rsidR="00CB3347">
        <w:t xml:space="preserve"> t</w:t>
      </w:r>
      <w:r w:rsidR="00CB3347" w:rsidRPr="00AB5F9C">
        <w:t>he SCR</w:t>
      </w:r>
      <w:r w:rsidR="00BC668C">
        <w:t xml:space="preserve"> system</w:t>
      </w:r>
      <w:r w:rsidR="00CB3347" w:rsidRPr="00AB5F9C">
        <w:t xml:space="preserve"> on </w:t>
      </w:r>
      <w:r w:rsidR="00424F48">
        <w:t xml:space="preserve">Jim Bridger </w:t>
      </w:r>
      <w:r w:rsidR="00CB3347" w:rsidRPr="00AB5F9C">
        <w:t>Unit 3 by the end of 2015 and on Unit 4 by the end of 2016</w:t>
      </w:r>
      <w:r w:rsidR="00CB3347">
        <w:t xml:space="preserve"> as a result of the </w:t>
      </w:r>
      <w:r w:rsidR="00424F48">
        <w:t>Environmental Protection Agency’s (</w:t>
      </w:r>
      <w:r w:rsidR="00F84CEC">
        <w:t>EPA</w:t>
      </w:r>
      <w:r w:rsidR="00424F48">
        <w:t>)</w:t>
      </w:r>
      <w:r w:rsidR="00F84CEC" w:rsidRPr="00AB5F9C">
        <w:t xml:space="preserve"> Regional Haze Rules, the Jim Bridger facility Best Available R</w:t>
      </w:r>
      <w:r w:rsidR="00F84CEC">
        <w:t>etrofit Technology (BART</w:t>
      </w:r>
      <w:r w:rsidR="00F84CEC" w:rsidRPr="00AB5F9C">
        <w:t>) permit issued by the state of Wyoming, a BART appeal settlement agreement with the state of</w:t>
      </w:r>
      <w:r w:rsidR="00F84CEC">
        <w:t xml:space="preserve"> Wyom</w:t>
      </w:r>
      <w:r w:rsidR="00F84CEC" w:rsidRPr="00AB5F9C">
        <w:t>ing, and the Wyoming Regional H</w:t>
      </w:r>
      <w:r w:rsidR="00F84CEC">
        <w:t>aze State Implementation Plan</w:t>
      </w:r>
      <w:r w:rsidR="00CD2DD8">
        <w:t>.</w:t>
      </w:r>
    </w:p>
    <w:p w:rsidR="00C1703E" w:rsidRDefault="00CD2DD8" w:rsidP="00C1703E">
      <w:pPr>
        <w:tabs>
          <w:tab w:val="left" w:pos="720"/>
        </w:tabs>
        <w:spacing w:line="480" w:lineRule="auto"/>
        <w:ind w:left="720" w:hanging="720"/>
        <w:jc w:val="left"/>
        <w:rPr>
          <w:szCs w:val="20"/>
        </w:rPr>
      </w:pPr>
      <w:r>
        <w:tab/>
      </w:r>
      <w:r>
        <w:tab/>
      </w:r>
      <w:r w:rsidR="00C1703E">
        <w:rPr>
          <w:szCs w:val="20"/>
        </w:rPr>
        <w:t xml:space="preserve">Second, </w:t>
      </w:r>
      <w:r>
        <w:t>the Company</w:t>
      </w:r>
      <w:r w:rsidR="005C59FD">
        <w:t>’s proposal</w:t>
      </w:r>
      <w:r w:rsidR="005C59FD" w:rsidRPr="005C59FD">
        <w:t xml:space="preserve"> </w:t>
      </w:r>
      <w:r w:rsidR="005C59FD">
        <w:t xml:space="preserve">aligns current depreciation periods between Washington and Oregon, the two states </w:t>
      </w:r>
      <w:r w:rsidR="007D7ACA">
        <w:t xml:space="preserve">that </w:t>
      </w:r>
      <w:r w:rsidR="005C59FD">
        <w:t xml:space="preserve">account for most of the </w:t>
      </w:r>
      <w:r w:rsidR="007D7ACA">
        <w:t xml:space="preserve">load in the </w:t>
      </w:r>
      <w:r w:rsidR="00705DAA">
        <w:t>w</w:t>
      </w:r>
      <w:r w:rsidR="005C59FD">
        <w:t xml:space="preserve">est </w:t>
      </w:r>
      <w:r w:rsidR="00705DAA">
        <w:t>c</w:t>
      </w:r>
      <w:r w:rsidR="005C59FD">
        <w:t xml:space="preserve">ontrol </w:t>
      </w:r>
      <w:r w:rsidR="00705DAA">
        <w:t>a</w:t>
      </w:r>
      <w:r w:rsidR="005C59FD">
        <w:t>rea</w:t>
      </w:r>
      <w:r w:rsidR="008B23BB">
        <w:t>, for the coal-fired resources that serve Washington</w:t>
      </w:r>
      <w:r w:rsidR="005C59FD">
        <w:t xml:space="preserve">.  The </w:t>
      </w:r>
      <w:r w:rsidR="00DE59E0">
        <w:t xml:space="preserve">proposed depreciation schedules reflect the </w:t>
      </w:r>
      <w:r>
        <w:t xml:space="preserve">shorter depreciation </w:t>
      </w:r>
      <w:r w:rsidR="005C59FD">
        <w:t xml:space="preserve">lives </w:t>
      </w:r>
      <w:r w:rsidR="00DE59E0">
        <w:t>Washington used before the Company’s 200</w:t>
      </w:r>
      <w:r w:rsidR="00C36E97">
        <w:t>7</w:t>
      </w:r>
      <w:r w:rsidR="00DE59E0">
        <w:t xml:space="preserve"> depreciation study.  </w:t>
      </w:r>
      <w:r w:rsidR="005C59FD">
        <w:t xml:space="preserve"> </w:t>
      </w:r>
      <w:r w:rsidR="00F70EFD">
        <w:t xml:space="preserve">These schedules end </w:t>
      </w:r>
      <w:r w:rsidR="005C59FD">
        <w:t xml:space="preserve">in 2025 for </w:t>
      </w:r>
      <w:r w:rsidR="008B23BB">
        <w:t xml:space="preserve">all </w:t>
      </w:r>
      <w:r w:rsidR="003C4510">
        <w:t xml:space="preserve">four </w:t>
      </w:r>
      <w:r w:rsidR="008B23BB">
        <w:t xml:space="preserve">units at the </w:t>
      </w:r>
      <w:r>
        <w:t xml:space="preserve">Jim Bridger </w:t>
      </w:r>
      <w:r w:rsidR="008B23BB">
        <w:t>generating plant</w:t>
      </w:r>
      <w:r>
        <w:t xml:space="preserve"> and </w:t>
      </w:r>
      <w:r w:rsidR="008B23BB">
        <w:t>in 2032 for Unit 4 of the Colstrip generating plant (</w:t>
      </w:r>
      <w:r>
        <w:t>Colstrip Unit 4</w:t>
      </w:r>
      <w:r w:rsidR="008B23BB">
        <w:t>)</w:t>
      </w:r>
      <w:r w:rsidR="00705DAA">
        <w:t>.  This change</w:t>
      </w:r>
      <w:r>
        <w:t xml:space="preserve"> </w:t>
      </w:r>
      <w:r w:rsidR="005C59FD">
        <w:t>will</w:t>
      </w:r>
      <w:r>
        <w:t xml:space="preserve"> provide greater resource planning flexibility for the Company and its customers as Washington implements state and federal environmental policies</w:t>
      </w:r>
      <w:r w:rsidR="00705DAA">
        <w:t xml:space="preserve"> described below</w:t>
      </w:r>
      <w:r w:rsidR="00C1703E">
        <w:rPr>
          <w:szCs w:val="20"/>
        </w:rPr>
        <w:t>.</w:t>
      </w:r>
    </w:p>
    <w:p w:rsidR="003A08BF" w:rsidRDefault="00C1703E" w:rsidP="00CB6F2B">
      <w:pPr>
        <w:tabs>
          <w:tab w:val="left" w:pos="720"/>
        </w:tabs>
        <w:spacing w:line="480" w:lineRule="auto"/>
        <w:ind w:left="720" w:hanging="720"/>
        <w:jc w:val="left"/>
      </w:pPr>
      <w:r>
        <w:rPr>
          <w:szCs w:val="20"/>
        </w:rPr>
        <w:tab/>
      </w:r>
      <w:r>
        <w:rPr>
          <w:szCs w:val="20"/>
        </w:rPr>
        <w:tab/>
      </w:r>
      <w:r w:rsidR="00CD5AC2">
        <w:rPr>
          <w:szCs w:val="20"/>
        </w:rPr>
        <w:t xml:space="preserve">Third, </w:t>
      </w:r>
      <w:r w:rsidR="005F6219">
        <w:rPr>
          <w:szCs w:val="20"/>
        </w:rPr>
        <w:t xml:space="preserve">the </w:t>
      </w:r>
      <w:r w:rsidR="005F6219" w:rsidRPr="005F6219">
        <w:rPr>
          <w:rFonts w:ascii="Times" w:eastAsia="Times" w:hAnsi="Times"/>
          <w:szCs w:val="20"/>
        </w:rPr>
        <w:t xml:space="preserve">Company </w:t>
      </w:r>
      <w:r w:rsidR="005F6219">
        <w:rPr>
          <w:rFonts w:ascii="Times" w:eastAsia="Times" w:hAnsi="Times"/>
          <w:szCs w:val="20"/>
        </w:rPr>
        <w:t xml:space="preserve">requests a </w:t>
      </w:r>
      <w:r w:rsidR="005F6219" w:rsidRPr="005F6219">
        <w:rPr>
          <w:rFonts w:ascii="Times" w:eastAsia="Times" w:hAnsi="Times"/>
          <w:szCs w:val="20"/>
        </w:rPr>
        <w:t>decoupling mechanism based on the Commission’s 2010 report and policy statement on decoupling</w:t>
      </w:r>
      <w:r w:rsidR="005F6219">
        <w:rPr>
          <w:rFonts w:ascii="Times" w:eastAsia="Times" w:hAnsi="Times"/>
          <w:szCs w:val="20"/>
        </w:rPr>
        <w:t xml:space="preserve">, </w:t>
      </w:r>
      <w:r w:rsidR="005F6219" w:rsidRPr="005F6219">
        <w:t>“Report and Policy Statement on Regulatory Mechanisms, Including Decoupling, to Encourage Utilities to Meet or Exceed their Conservation Targets” (Decoupling Policy Statement)</w:t>
      </w:r>
      <w:r w:rsidR="005F6219" w:rsidRPr="005F6219">
        <w:rPr>
          <w:rFonts w:ascii="Times" w:eastAsia="Times" w:hAnsi="Times"/>
          <w:szCs w:val="20"/>
        </w:rPr>
        <w:t>,</w:t>
      </w:r>
      <w:r w:rsidR="005F6219" w:rsidRPr="005F6219">
        <w:rPr>
          <w:rFonts w:ascii="Times" w:eastAsia="Times" w:hAnsi="Times"/>
          <w:szCs w:val="20"/>
          <w:vertAlign w:val="superscript"/>
        </w:rPr>
        <w:footnoteReference w:id="2"/>
      </w:r>
      <w:r w:rsidR="005F6219" w:rsidRPr="005F6219">
        <w:rPr>
          <w:rFonts w:ascii="Times" w:eastAsia="Times" w:hAnsi="Times"/>
          <w:szCs w:val="20"/>
        </w:rPr>
        <w:t xml:space="preserve"> and the </w:t>
      </w:r>
      <w:r w:rsidR="005F6219">
        <w:rPr>
          <w:rFonts w:ascii="Times" w:eastAsia="Times" w:hAnsi="Times"/>
          <w:szCs w:val="20"/>
        </w:rPr>
        <w:t xml:space="preserve">subsequent </w:t>
      </w:r>
      <w:r w:rsidR="005F6219" w:rsidRPr="005F6219">
        <w:rPr>
          <w:rFonts w:eastAsia="Times"/>
        </w:rPr>
        <w:t>proceedings that addressed decoupling mechanisms.</w:t>
      </w:r>
      <w:r w:rsidR="005F6219" w:rsidRPr="005F6219">
        <w:rPr>
          <w:rFonts w:eastAsia="Times"/>
          <w:vertAlign w:val="superscript"/>
        </w:rPr>
        <w:footnoteReference w:id="3"/>
      </w:r>
      <w:r w:rsidR="005F6219" w:rsidRPr="005F6219">
        <w:rPr>
          <w:rFonts w:eastAsia="Times"/>
        </w:rPr>
        <w:t xml:space="preserve">  </w:t>
      </w:r>
      <w:r w:rsidR="005F6219">
        <w:rPr>
          <w:rFonts w:eastAsia="Times"/>
        </w:rPr>
        <w:t>T</w:t>
      </w:r>
      <w:r w:rsidRPr="005F6219">
        <w:t>he</w:t>
      </w:r>
      <w:r w:rsidR="005F6219" w:rsidRPr="005F6219">
        <w:t xml:space="preserve"> decoupling mechanism address</w:t>
      </w:r>
      <w:r w:rsidR="005F6219">
        <w:t>es</w:t>
      </w:r>
      <w:r w:rsidR="005F6219" w:rsidRPr="005F6219">
        <w:t xml:space="preserve"> </w:t>
      </w:r>
      <w:r w:rsidR="00424F48">
        <w:t>changes</w:t>
      </w:r>
      <w:r w:rsidR="00424F48" w:rsidRPr="005F6219">
        <w:t xml:space="preserve"> </w:t>
      </w:r>
      <w:r w:rsidR="005F6219" w:rsidRPr="005F6219">
        <w:t xml:space="preserve">in </w:t>
      </w:r>
      <w:r w:rsidR="00424F48">
        <w:t>usage</w:t>
      </w:r>
      <w:r w:rsidR="00424F48" w:rsidRPr="005F6219">
        <w:t xml:space="preserve"> </w:t>
      </w:r>
      <w:r w:rsidR="005F6219" w:rsidRPr="005F6219">
        <w:t xml:space="preserve">due to </w:t>
      </w:r>
      <w:r w:rsidR="00424F48">
        <w:t>weather and energy efficiency</w:t>
      </w:r>
      <w:r w:rsidR="005F6219">
        <w:t>.</w:t>
      </w:r>
    </w:p>
    <w:p w:rsidR="00705DAA" w:rsidRDefault="00705DAA" w:rsidP="00CB6F2B">
      <w:pPr>
        <w:tabs>
          <w:tab w:val="left" w:pos="720"/>
        </w:tabs>
        <w:spacing w:line="480" w:lineRule="auto"/>
        <w:ind w:left="720" w:hanging="720"/>
        <w:jc w:val="left"/>
      </w:pPr>
      <w:r>
        <w:tab/>
      </w:r>
      <w:r>
        <w:tab/>
      </w:r>
      <w:r w:rsidR="004F2A74">
        <w:t>Fourth,</w:t>
      </w:r>
      <w:r w:rsidR="0025184C">
        <w:t xml:space="preserve"> </w:t>
      </w:r>
      <w:r w:rsidR="00DE3A7E">
        <w:t>as described in the testimony of Ms. Shelley</w:t>
      </w:r>
      <w:r w:rsidR="00CA4B9F">
        <w:t xml:space="preserve"> E.</w:t>
      </w:r>
      <w:r w:rsidR="00DE3A7E">
        <w:t xml:space="preserve"> McCoy, </w:t>
      </w:r>
      <w:r w:rsidR="0025184C">
        <w:t>in the period covered by this</w:t>
      </w:r>
      <w:r w:rsidR="004F2A74">
        <w:t xml:space="preserve"> </w:t>
      </w:r>
      <w:r w:rsidR="0025184C">
        <w:t>filing (</w:t>
      </w:r>
      <w:r w:rsidR="004F2A74">
        <w:t>th</w:t>
      </w:r>
      <w:r w:rsidR="0025184C">
        <w:t>rough April 2018), the</w:t>
      </w:r>
      <w:r w:rsidR="004F2A74">
        <w:t xml:space="preserve"> Company’s PTCs on </w:t>
      </w:r>
      <w:r w:rsidR="0025184C">
        <w:t>several major renewable resources, including Leaning Juniper, Marengo</w:t>
      </w:r>
      <w:r w:rsidR="00F70EFD">
        <w:t>, Marengo</w:t>
      </w:r>
      <w:r w:rsidR="0025184C">
        <w:t xml:space="preserve"> </w:t>
      </w:r>
      <w:r w:rsidR="00F70EFD">
        <w:t>I</w:t>
      </w:r>
      <w:r w:rsidR="0025184C">
        <w:t>I</w:t>
      </w:r>
      <w:r w:rsidR="00CA4B9F">
        <w:t>,</w:t>
      </w:r>
      <w:r w:rsidR="0025184C">
        <w:t xml:space="preserve"> and Goodnoe Hills</w:t>
      </w:r>
      <w:r w:rsidR="00C05090">
        <w:t>,</w:t>
      </w:r>
      <w:r w:rsidR="0025184C">
        <w:t xml:space="preserve"> will terminate.     </w:t>
      </w:r>
    </w:p>
    <w:p w:rsidR="00175DBA" w:rsidRPr="00B409F0" w:rsidRDefault="00175DBA" w:rsidP="00175DBA">
      <w:pPr>
        <w:tabs>
          <w:tab w:val="left" w:pos="720"/>
        </w:tabs>
        <w:spacing w:line="480" w:lineRule="auto"/>
        <w:ind w:left="720" w:hanging="720"/>
        <w:jc w:val="left"/>
        <w:rPr>
          <w:szCs w:val="20"/>
        </w:rPr>
      </w:pPr>
      <w:r w:rsidRPr="00B409F0">
        <w:rPr>
          <w:b/>
          <w:szCs w:val="20"/>
        </w:rPr>
        <w:t>Q.</w:t>
      </w:r>
      <w:r w:rsidRPr="00B409F0">
        <w:rPr>
          <w:b/>
          <w:szCs w:val="20"/>
        </w:rPr>
        <w:tab/>
      </w:r>
      <w:r w:rsidR="0025184C">
        <w:rPr>
          <w:b/>
          <w:szCs w:val="20"/>
        </w:rPr>
        <w:t xml:space="preserve">What are the environmental </w:t>
      </w:r>
      <w:r w:rsidR="00304F53">
        <w:rPr>
          <w:b/>
          <w:szCs w:val="20"/>
        </w:rPr>
        <w:t>initiatives</w:t>
      </w:r>
      <w:r w:rsidR="0025184C">
        <w:rPr>
          <w:b/>
          <w:szCs w:val="20"/>
        </w:rPr>
        <w:t xml:space="preserve"> behind the costs you just </w:t>
      </w:r>
      <w:r w:rsidR="00304F53">
        <w:rPr>
          <w:b/>
          <w:szCs w:val="20"/>
        </w:rPr>
        <w:t>described</w:t>
      </w:r>
      <w:r w:rsidR="0025184C">
        <w:rPr>
          <w:b/>
          <w:szCs w:val="20"/>
        </w:rPr>
        <w:t xml:space="preserve">?  </w:t>
      </w:r>
      <w:r>
        <w:rPr>
          <w:b/>
          <w:szCs w:val="20"/>
        </w:rPr>
        <w:t xml:space="preserve"> </w:t>
      </w:r>
    </w:p>
    <w:p w:rsidR="00175DBA" w:rsidRPr="00B409F0" w:rsidRDefault="00175DBA" w:rsidP="00175DBA">
      <w:pPr>
        <w:tabs>
          <w:tab w:val="left" w:pos="720"/>
        </w:tabs>
        <w:spacing w:line="480" w:lineRule="auto"/>
        <w:ind w:left="720" w:hanging="720"/>
        <w:jc w:val="left"/>
      </w:pPr>
      <w:r w:rsidRPr="00B409F0">
        <w:rPr>
          <w:szCs w:val="20"/>
        </w:rPr>
        <w:t>A.</w:t>
      </w:r>
      <w:r w:rsidRPr="00B409F0">
        <w:rPr>
          <w:szCs w:val="20"/>
        </w:rPr>
        <w:tab/>
      </w:r>
      <w:r w:rsidR="0025184C">
        <w:rPr>
          <w:szCs w:val="20"/>
        </w:rPr>
        <w:t>I</w:t>
      </w:r>
      <w:r w:rsidRPr="00B409F0">
        <w:rPr>
          <w:szCs w:val="20"/>
        </w:rPr>
        <w:t xml:space="preserve">n response to </w:t>
      </w:r>
      <w:r w:rsidR="005E5207">
        <w:rPr>
          <w:szCs w:val="20"/>
        </w:rPr>
        <w:t xml:space="preserve">air quality and </w:t>
      </w:r>
      <w:r w:rsidR="00304F53">
        <w:rPr>
          <w:szCs w:val="20"/>
        </w:rPr>
        <w:t>climate</w:t>
      </w:r>
      <w:r w:rsidR="005E5207">
        <w:rPr>
          <w:szCs w:val="20"/>
        </w:rPr>
        <w:t xml:space="preserve"> change concerns, the state of Washington and the federal government have enacted a series of laws and regulations over the last ten years to regulate the generation, transmission and distribution of electricity.  These include the following: </w:t>
      </w:r>
      <w:r w:rsidRPr="00B409F0">
        <w:rPr>
          <w:szCs w:val="20"/>
        </w:rPr>
        <w:tab/>
      </w:r>
    </w:p>
    <w:p w:rsidR="00175DBA" w:rsidRDefault="00175DBA" w:rsidP="007B04BC">
      <w:pPr>
        <w:pStyle w:val="ListParagraph"/>
        <w:numPr>
          <w:ilvl w:val="0"/>
          <w:numId w:val="23"/>
        </w:numPr>
        <w:tabs>
          <w:tab w:val="left" w:pos="720"/>
        </w:tabs>
        <w:jc w:val="left"/>
      </w:pPr>
      <w:r w:rsidRPr="00B409F0">
        <w:t>2006</w:t>
      </w:r>
      <w:r w:rsidR="005E5207">
        <w:t xml:space="preserve">: </w:t>
      </w:r>
      <w:r w:rsidRPr="00B409F0">
        <w:t xml:space="preserve"> </w:t>
      </w:r>
      <w:r w:rsidRPr="002F4C16">
        <w:rPr>
          <w:szCs w:val="20"/>
        </w:rPr>
        <w:t>Washington’s Energy Independence Act (EIA)</w:t>
      </w:r>
      <w:r w:rsidR="00C05090">
        <w:rPr>
          <w:szCs w:val="20"/>
        </w:rPr>
        <w:t xml:space="preserve">.  </w:t>
      </w:r>
      <w:r w:rsidR="002F4C16">
        <w:rPr>
          <w:szCs w:val="20"/>
        </w:rPr>
        <w:t>The EIA r</w:t>
      </w:r>
      <w:r w:rsidRPr="00B409F0">
        <w:t>equir</w:t>
      </w:r>
      <w:r>
        <w:t>es</w:t>
      </w:r>
      <w:r w:rsidRPr="00B409F0">
        <w:t xml:space="preserve"> Washington </w:t>
      </w:r>
      <w:r>
        <w:t xml:space="preserve">electrical utilities to supply retail </w:t>
      </w:r>
      <w:r w:rsidRPr="00B409F0">
        <w:t>customers with increasing percentages of electricity from renewable resources</w:t>
      </w:r>
      <w:r w:rsidR="005E5207">
        <w:t>.</w:t>
      </w:r>
    </w:p>
    <w:p w:rsidR="00EC5426" w:rsidRDefault="00EC5426" w:rsidP="009C785D">
      <w:pPr>
        <w:pStyle w:val="ListParagraph"/>
        <w:suppressLineNumbers/>
        <w:tabs>
          <w:tab w:val="left" w:pos="720"/>
        </w:tabs>
        <w:ind w:left="2160"/>
        <w:jc w:val="left"/>
      </w:pPr>
    </w:p>
    <w:p w:rsidR="00175DBA" w:rsidRPr="00EC5426" w:rsidRDefault="00175DBA" w:rsidP="007B04BC">
      <w:pPr>
        <w:pStyle w:val="ListParagraph"/>
        <w:numPr>
          <w:ilvl w:val="0"/>
          <w:numId w:val="23"/>
        </w:numPr>
        <w:tabs>
          <w:tab w:val="left" w:pos="720"/>
        </w:tabs>
        <w:jc w:val="left"/>
      </w:pPr>
      <w:r w:rsidRPr="002F4C16">
        <w:rPr>
          <w:szCs w:val="20"/>
        </w:rPr>
        <w:t>2007</w:t>
      </w:r>
      <w:r w:rsidR="005E5207" w:rsidRPr="002F4C16">
        <w:rPr>
          <w:szCs w:val="20"/>
        </w:rPr>
        <w:t>:</w:t>
      </w:r>
      <w:r w:rsidRPr="002F4C16">
        <w:rPr>
          <w:szCs w:val="20"/>
        </w:rPr>
        <w:t xml:space="preserve"> </w:t>
      </w:r>
      <w:r w:rsidR="00A64CBA">
        <w:rPr>
          <w:szCs w:val="20"/>
        </w:rPr>
        <w:t xml:space="preserve"> </w:t>
      </w:r>
      <w:r w:rsidRPr="002F4C16">
        <w:rPr>
          <w:szCs w:val="20"/>
        </w:rPr>
        <w:t>W</w:t>
      </w:r>
      <w:r w:rsidRPr="00B409F0">
        <w:t xml:space="preserve">ashington’s </w:t>
      </w:r>
      <w:r w:rsidRPr="002F4C16">
        <w:rPr>
          <w:rFonts w:cs="Arial"/>
        </w:rPr>
        <w:t>Greenhouse Gas Emissions Performance Standard (EPS)</w:t>
      </w:r>
      <w:r w:rsidR="002F4C16">
        <w:rPr>
          <w:rFonts w:cs="Arial"/>
        </w:rPr>
        <w:t xml:space="preserve">.  The EPS </w:t>
      </w:r>
      <w:r w:rsidRPr="002F4C16">
        <w:rPr>
          <w:rFonts w:cs="Arial"/>
        </w:rPr>
        <w:t>c</w:t>
      </w:r>
      <w:r w:rsidRPr="00B409F0">
        <w:t xml:space="preserve">aps greenhouse gas emissions for new electrical generation resources </w:t>
      </w:r>
      <w:r w:rsidRPr="002F4C16">
        <w:rPr>
          <w:szCs w:val="20"/>
        </w:rPr>
        <w:t>and encourages utilities to increase the use of “renewable energy sources.”</w:t>
      </w:r>
      <w:r w:rsidRPr="00B409F0">
        <w:rPr>
          <w:szCs w:val="20"/>
          <w:vertAlign w:val="superscript"/>
        </w:rPr>
        <w:footnoteReference w:id="4"/>
      </w:r>
    </w:p>
    <w:p w:rsidR="00EC5426" w:rsidRPr="007F0204" w:rsidRDefault="00EC5426" w:rsidP="009C785D">
      <w:pPr>
        <w:suppressLineNumbers/>
        <w:tabs>
          <w:tab w:val="left" w:pos="720"/>
        </w:tabs>
        <w:jc w:val="left"/>
      </w:pPr>
    </w:p>
    <w:p w:rsidR="00175DBA" w:rsidRDefault="00175DBA" w:rsidP="007B04BC">
      <w:pPr>
        <w:pStyle w:val="ListParagraph"/>
        <w:numPr>
          <w:ilvl w:val="0"/>
          <w:numId w:val="23"/>
        </w:numPr>
        <w:tabs>
          <w:tab w:val="left" w:pos="720"/>
        </w:tabs>
        <w:jc w:val="left"/>
        <w:rPr>
          <w:szCs w:val="20"/>
        </w:rPr>
      </w:pPr>
      <w:r w:rsidRPr="00B409F0">
        <w:rPr>
          <w:szCs w:val="20"/>
        </w:rPr>
        <w:t>2008</w:t>
      </w:r>
      <w:r w:rsidR="005E5207">
        <w:rPr>
          <w:szCs w:val="20"/>
        </w:rPr>
        <w:t>:</w:t>
      </w:r>
      <w:r>
        <w:rPr>
          <w:szCs w:val="20"/>
        </w:rPr>
        <w:t xml:space="preserve"> </w:t>
      </w:r>
      <w:r w:rsidR="00A64CBA">
        <w:rPr>
          <w:szCs w:val="20"/>
        </w:rPr>
        <w:t xml:space="preserve"> </w:t>
      </w:r>
      <w:r w:rsidRPr="007F0204">
        <w:t>Washington</w:t>
      </w:r>
      <w:r>
        <w:t xml:space="preserve">’s </w:t>
      </w:r>
      <w:r w:rsidRPr="00B409F0">
        <w:t>Climate Action and Green Jobs bill</w:t>
      </w:r>
      <w:r w:rsidR="002F4C16">
        <w:t xml:space="preserve">.  The Climate Action bill </w:t>
      </w:r>
      <w:r w:rsidRPr="00B409F0">
        <w:t xml:space="preserve">requires the state to reduce its </w:t>
      </w:r>
      <w:r w:rsidR="00CA4B9F">
        <w:t>greenhouse gas</w:t>
      </w:r>
      <w:r w:rsidR="00CA4B9F" w:rsidRPr="00B409F0">
        <w:t xml:space="preserve"> </w:t>
      </w:r>
      <w:r w:rsidRPr="00B409F0">
        <w:t>emissions by 70</w:t>
      </w:r>
      <w:r>
        <w:t xml:space="preserve"> percent of expected levels (50 </w:t>
      </w:r>
      <w:r w:rsidRPr="00B409F0">
        <w:t>percent below 1990 levels) by 2050</w:t>
      </w:r>
      <w:r w:rsidRPr="00B409F0">
        <w:rPr>
          <w:szCs w:val="20"/>
        </w:rPr>
        <w:t>, and promotes “renewable energy development and generation.”</w:t>
      </w:r>
      <w:r w:rsidRPr="00B409F0">
        <w:rPr>
          <w:vertAlign w:val="superscript"/>
        </w:rPr>
        <w:footnoteReference w:id="5"/>
      </w:r>
    </w:p>
    <w:p w:rsidR="00EC5426" w:rsidRPr="00EC5426" w:rsidRDefault="00EC5426" w:rsidP="009C785D">
      <w:pPr>
        <w:suppressLineNumbers/>
        <w:tabs>
          <w:tab w:val="left" w:pos="720"/>
        </w:tabs>
        <w:jc w:val="left"/>
        <w:rPr>
          <w:szCs w:val="20"/>
        </w:rPr>
      </w:pPr>
    </w:p>
    <w:p w:rsidR="00175DBA" w:rsidRPr="00EC5426" w:rsidRDefault="00175DBA" w:rsidP="007B04BC">
      <w:pPr>
        <w:pStyle w:val="ListParagraph"/>
        <w:numPr>
          <w:ilvl w:val="0"/>
          <w:numId w:val="23"/>
        </w:numPr>
        <w:tabs>
          <w:tab w:val="left" w:pos="720"/>
        </w:tabs>
        <w:jc w:val="left"/>
        <w:rPr>
          <w:szCs w:val="20"/>
        </w:rPr>
      </w:pPr>
      <w:r w:rsidRPr="00B409F0">
        <w:t>2010</w:t>
      </w:r>
      <w:r w:rsidR="005E5207">
        <w:t xml:space="preserve">: </w:t>
      </w:r>
      <w:r w:rsidR="00A64CBA">
        <w:t xml:space="preserve"> </w:t>
      </w:r>
      <w:r>
        <w:t>Washington</w:t>
      </w:r>
      <w:r w:rsidR="005E5207">
        <w:t>’s</w:t>
      </w:r>
      <w:r>
        <w:t xml:space="preserve"> State Energy </w:t>
      </w:r>
      <w:r w:rsidR="00304F53">
        <w:t>Strategy</w:t>
      </w:r>
      <w:r>
        <w:t xml:space="preserve"> bill</w:t>
      </w:r>
      <w:r w:rsidR="002F4C16">
        <w:t xml:space="preserve">.  This bill </w:t>
      </w:r>
      <w:r w:rsidRPr="00B409F0">
        <w:t xml:space="preserve">directed Washington’s State Energy Office to prepare a state </w:t>
      </w:r>
      <w:r>
        <w:t xml:space="preserve">clean energy </w:t>
      </w:r>
      <w:r w:rsidRPr="00B409F0">
        <w:t>strategy</w:t>
      </w:r>
      <w:r w:rsidR="005E5207">
        <w:t>.</w:t>
      </w:r>
      <w:r w:rsidRPr="00B409F0">
        <w:rPr>
          <w:vertAlign w:val="superscript"/>
        </w:rPr>
        <w:footnoteReference w:id="6"/>
      </w:r>
    </w:p>
    <w:p w:rsidR="00EC5426" w:rsidRPr="00EC5426" w:rsidRDefault="00EC5426" w:rsidP="009C785D">
      <w:pPr>
        <w:suppressLineNumbers/>
        <w:tabs>
          <w:tab w:val="left" w:pos="720"/>
        </w:tabs>
        <w:jc w:val="left"/>
        <w:rPr>
          <w:szCs w:val="20"/>
        </w:rPr>
      </w:pPr>
    </w:p>
    <w:p w:rsidR="00175DBA" w:rsidRDefault="00175DBA" w:rsidP="007B04BC">
      <w:pPr>
        <w:pStyle w:val="ListParagraph"/>
        <w:numPr>
          <w:ilvl w:val="0"/>
          <w:numId w:val="23"/>
        </w:numPr>
        <w:tabs>
          <w:tab w:val="left" w:pos="720"/>
        </w:tabs>
        <w:jc w:val="left"/>
      </w:pPr>
      <w:r w:rsidRPr="00B409F0">
        <w:t>2013</w:t>
      </w:r>
      <w:r w:rsidR="005E5207">
        <w:t xml:space="preserve">: </w:t>
      </w:r>
      <w:r w:rsidR="00A64CBA">
        <w:t xml:space="preserve"> </w:t>
      </w:r>
      <w:r w:rsidRPr="00B409F0">
        <w:t>Washington</w:t>
      </w:r>
      <w:r>
        <w:t>’s second Climate Action b</w:t>
      </w:r>
      <w:r w:rsidRPr="00B409F0">
        <w:t>ill</w:t>
      </w:r>
      <w:r w:rsidR="002F4C16">
        <w:t xml:space="preserve">.  The bill </w:t>
      </w:r>
      <w:r w:rsidRPr="00B409F0">
        <w:t>provid</w:t>
      </w:r>
      <w:r w:rsidR="002F4C16">
        <w:t>ed</w:t>
      </w:r>
      <w:r w:rsidRPr="00B409F0">
        <w:t xml:space="preserve"> additional resources to meet </w:t>
      </w:r>
      <w:r w:rsidR="00CA4B9F">
        <w:t>greenhouse gas</w:t>
      </w:r>
      <w:r w:rsidR="00CA4B9F" w:rsidRPr="00B409F0">
        <w:t xml:space="preserve"> </w:t>
      </w:r>
      <w:r w:rsidRPr="00B409F0">
        <w:t>targets set in Washin</w:t>
      </w:r>
      <w:r>
        <w:t>gton’s original Climate Action b</w:t>
      </w:r>
      <w:r w:rsidRPr="00B409F0">
        <w:t>ill.</w:t>
      </w:r>
      <w:r w:rsidRPr="00B409F0">
        <w:rPr>
          <w:vertAlign w:val="superscript"/>
        </w:rPr>
        <w:footnoteReference w:id="7"/>
      </w:r>
    </w:p>
    <w:p w:rsidR="00EC5426" w:rsidRDefault="00EC5426" w:rsidP="007B04BC">
      <w:pPr>
        <w:tabs>
          <w:tab w:val="left" w:pos="720"/>
        </w:tabs>
        <w:jc w:val="left"/>
      </w:pPr>
    </w:p>
    <w:p w:rsidR="005E5207" w:rsidRPr="007B04BC" w:rsidRDefault="00175DBA" w:rsidP="007B04BC">
      <w:pPr>
        <w:pStyle w:val="ListParagraph"/>
        <w:numPr>
          <w:ilvl w:val="0"/>
          <w:numId w:val="23"/>
        </w:numPr>
        <w:tabs>
          <w:tab w:val="left" w:pos="720"/>
        </w:tabs>
        <w:jc w:val="left"/>
      </w:pPr>
      <w:r w:rsidRPr="005E5207">
        <w:t>2014</w:t>
      </w:r>
      <w:r w:rsidR="005E5207" w:rsidRPr="005E5207">
        <w:t xml:space="preserve">: </w:t>
      </w:r>
      <w:r w:rsidR="00A64CBA">
        <w:t xml:space="preserve"> </w:t>
      </w:r>
      <w:r w:rsidR="005E5207" w:rsidRPr="005E5207">
        <w:t xml:space="preserve">Washington </w:t>
      </w:r>
      <w:r w:rsidRPr="005E5207">
        <w:t>Executive Order 04-14</w:t>
      </w:r>
      <w:r w:rsidR="002F4C16">
        <w:t xml:space="preserve">.  The Executive </w:t>
      </w:r>
      <w:r w:rsidR="00304F53">
        <w:t xml:space="preserve">Order </w:t>
      </w:r>
      <w:r w:rsidR="00304F53" w:rsidRPr="005E5207">
        <w:t>set</w:t>
      </w:r>
      <w:r w:rsidRPr="005E5207">
        <w:t xml:space="preserve"> a process to</w:t>
      </w:r>
      <w:r w:rsidRPr="005E5207">
        <w:rPr>
          <w:lang w:val="en"/>
        </w:rPr>
        <w:t xml:space="preserve"> reducing carbon pollution</w:t>
      </w:r>
      <w:r w:rsidR="002F4C16">
        <w:rPr>
          <w:lang w:val="en"/>
        </w:rPr>
        <w:t xml:space="preserve"> in Washington</w:t>
      </w:r>
      <w:r w:rsidRPr="005E5207">
        <w:rPr>
          <w:lang w:val="en"/>
        </w:rPr>
        <w:t xml:space="preserve">, including directing a task force to recommend how to cap </w:t>
      </w:r>
      <w:r w:rsidR="00CA4B9F">
        <w:rPr>
          <w:lang w:val="en"/>
        </w:rPr>
        <w:t xml:space="preserve">greenhouse gas </w:t>
      </w:r>
      <w:r w:rsidRPr="005E5207">
        <w:rPr>
          <w:lang w:val="en"/>
        </w:rPr>
        <w:t>emissions</w:t>
      </w:r>
      <w:r w:rsidR="005E5207">
        <w:rPr>
          <w:lang w:val="en"/>
        </w:rPr>
        <w:t>.</w:t>
      </w:r>
    </w:p>
    <w:p w:rsidR="00EC5426" w:rsidRPr="005E5207" w:rsidRDefault="00EC5426" w:rsidP="009C785D">
      <w:pPr>
        <w:suppressLineNumbers/>
        <w:tabs>
          <w:tab w:val="left" w:pos="720"/>
        </w:tabs>
        <w:jc w:val="left"/>
      </w:pPr>
    </w:p>
    <w:p w:rsidR="00A43C77" w:rsidRPr="00BC668C" w:rsidRDefault="005E5207" w:rsidP="007B04BC">
      <w:pPr>
        <w:pStyle w:val="ListParagraph"/>
        <w:numPr>
          <w:ilvl w:val="0"/>
          <w:numId w:val="23"/>
        </w:numPr>
        <w:tabs>
          <w:tab w:val="left" w:pos="720"/>
        </w:tabs>
        <w:jc w:val="left"/>
        <w:rPr>
          <w:b/>
        </w:rPr>
      </w:pPr>
      <w:r w:rsidRPr="005E5207">
        <w:rPr>
          <w:lang w:val="en"/>
        </w:rPr>
        <w:t xml:space="preserve">2015:  </w:t>
      </w:r>
      <w:r w:rsidR="00175DBA">
        <w:t>EPA Clean Power Plan</w:t>
      </w:r>
      <w:r w:rsidR="002F4C16">
        <w:t>.  The Plan r</w:t>
      </w:r>
      <w:r w:rsidR="00175DBA">
        <w:t>egulat</w:t>
      </w:r>
      <w:r w:rsidR="002F4C16">
        <w:t>e</w:t>
      </w:r>
      <w:r w:rsidR="00DE3A7E">
        <w:t>s</w:t>
      </w:r>
      <w:r w:rsidR="00175DBA">
        <w:t xml:space="preserve"> </w:t>
      </w:r>
      <w:r w:rsidR="00CA4B9F">
        <w:t xml:space="preserve">greenhouse gas </w:t>
      </w:r>
      <w:r w:rsidR="00175DBA">
        <w:t xml:space="preserve">emissions from existing generation plants under Section 111(d) of the Clean Air Act.  </w:t>
      </w:r>
    </w:p>
    <w:p w:rsidR="00BC668C" w:rsidRPr="00BC668C" w:rsidRDefault="00BC668C" w:rsidP="009C785D">
      <w:pPr>
        <w:suppressLineNumbers/>
        <w:tabs>
          <w:tab w:val="left" w:pos="720"/>
        </w:tabs>
        <w:jc w:val="left"/>
        <w:rPr>
          <w:b/>
        </w:rPr>
      </w:pPr>
    </w:p>
    <w:p w:rsidR="007F6C18" w:rsidRPr="007C0943" w:rsidRDefault="007F6C18" w:rsidP="007F6C18">
      <w:pPr>
        <w:pStyle w:val="Heading1"/>
      </w:pPr>
      <w:bookmarkStart w:id="6" w:name="_Toc386630085"/>
      <w:bookmarkStart w:id="7" w:name="_Toc436040511"/>
      <w:r>
        <w:t>EXPEDITED RATE FILING</w:t>
      </w:r>
      <w:bookmarkEnd w:id="6"/>
      <w:bookmarkEnd w:id="7"/>
    </w:p>
    <w:p w:rsidR="007F6C18" w:rsidRPr="007C0943" w:rsidRDefault="007F6C18" w:rsidP="007F6C18">
      <w:pPr>
        <w:pStyle w:val="Answer"/>
        <w:widowControl w:val="0"/>
        <w:jc w:val="left"/>
        <w:rPr>
          <w:b/>
        </w:rPr>
      </w:pPr>
      <w:r w:rsidRPr="007C0943">
        <w:rPr>
          <w:b/>
        </w:rPr>
        <w:t>Q.</w:t>
      </w:r>
      <w:r w:rsidRPr="007C0943">
        <w:rPr>
          <w:b/>
        </w:rPr>
        <w:tab/>
      </w:r>
      <w:r w:rsidR="002F4C16">
        <w:rPr>
          <w:b/>
        </w:rPr>
        <w:t xml:space="preserve">Please </w:t>
      </w:r>
      <w:r w:rsidR="00BA21C3">
        <w:rPr>
          <w:b/>
        </w:rPr>
        <w:t>provide additional details on the ERF component of the Company’s filing</w:t>
      </w:r>
      <w:r w:rsidR="002F4C16">
        <w:rPr>
          <w:b/>
        </w:rPr>
        <w:t>.</w:t>
      </w:r>
    </w:p>
    <w:p w:rsidR="000016DA" w:rsidRDefault="00BA21C3" w:rsidP="002F4C16">
      <w:pPr>
        <w:pStyle w:val="Answer"/>
        <w:jc w:val="left"/>
        <w:rPr>
          <w:szCs w:val="20"/>
        </w:rPr>
      </w:pPr>
      <w:r w:rsidRPr="00BA21C3">
        <w:t>A.</w:t>
      </w:r>
      <w:r>
        <w:tab/>
        <w:t xml:space="preserve">The ERF updates the </w:t>
      </w:r>
      <w:r w:rsidRPr="00BA21C3">
        <w:rPr>
          <w:rFonts w:eastAsia="Times"/>
          <w:color w:val="000000" w:themeColor="text1"/>
        </w:rPr>
        <w:t xml:space="preserve">rates established in </w:t>
      </w:r>
      <w:r w:rsidR="00001BC9">
        <w:rPr>
          <w:rFonts w:eastAsia="Times"/>
          <w:color w:val="000000" w:themeColor="text1"/>
        </w:rPr>
        <w:t>the Company’s most recent</w:t>
      </w:r>
      <w:r>
        <w:rPr>
          <w:rFonts w:eastAsia="Times"/>
          <w:color w:val="000000" w:themeColor="text1"/>
        </w:rPr>
        <w:t xml:space="preserve"> </w:t>
      </w:r>
      <w:r w:rsidR="007032B6">
        <w:rPr>
          <w:rFonts w:eastAsia="Times"/>
          <w:color w:val="000000" w:themeColor="text1"/>
        </w:rPr>
        <w:t>general rate case</w:t>
      </w:r>
      <w:r w:rsidRPr="00BA21C3">
        <w:rPr>
          <w:rFonts w:eastAsia="Times"/>
          <w:color w:val="000000" w:themeColor="text1"/>
        </w:rPr>
        <w:t xml:space="preserve">, Docket UE-140762 (2014 </w:t>
      </w:r>
      <w:r w:rsidR="007032B6">
        <w:rPr>
          <w:rFonts w:eastAsia="Times"/>
          <w:color w:val="000000" w:themeColor="text1"/>
        </w:rPr>
        <w:t>Rate Case</w:t>
      </w:r>
      <w:r w:rsidRPr="00BA21C3">
        <w:rPr>
          <w:rFonts w:eastAsia="Times"/>
          <w:color w:val="000000" w:themeColor="text1"/>
        </w:rPr>
        <w:t>).</w:t>
      </w:r>
      <w:r>
        <w:rPr>
          <w:rStyle w:val="FootnoteReference"/>
          <w:rFonts w:eastAsia="Times"/>
          <w:color w:val="000000" w:themeColor="text1"/>
        </w:rPr>
        <w:footnoteReference w:id="8"/>
      </w:r>
      <w:r w:rsidRPr="00BA21C3">
        <w:rPr>
          <w:rFonts w:eastAsia="Times"/>
          <w:color w:val="000000" w:themeColor="text1"/>
        </w:rPr>
        <w:t xml:space="preserve">  </w:t>
      </w:r>
      <w:r>
        <w:rPr>
          <w:rFonts w:eastAsia="Times"/>
          <w:color w:val="000000" w:themeColor="text1"/>
        </w:rPr>
        <w:t xml:space="preserve">The Company </w:t>
      </w:r>
      <w:r w:rsidR="00424F48">
        <w:rPr>
          <w:rFonts w:eastAsia="Times"/>
          <w:color w:val="000000" w:themeColor="text1"/>
        </w:rPr>
        <w:t>use</w:t>
      </w:r>
      <w:r w:rsidR="00A833E5">
        <w:rPr>
          <w:rFonts w:eastAsia="Times"/>
          <w:color w:val="000000" w:themeColor="text1"/>
        </w:rPr>
        <w:t>s</w:t>
      </w:r>
      <w:r w:rsidR="00424F48">
        <w:rPr>
          <w:rFonts w:eastAsia="Times"/>
          <w:color w:val="000000" w:themeColor="text1"/>
        </w:rPr>
        <w:t xml:space="preserve"> </w:t>
      </w:r>
      <w:r w:rsidR="00FA5F89">
        <w:rPr>
          <w:rFonts w:eastAsia="Times"/>
          <w:color w:val="000000" w:themeColor="text1"/>
        </w:rPr>
        <w:t xml:space="preserve">a modified </w:t>
      </w:r>
      <w:r w:rsidR="007032B6">
        <w:rPr>
          <w:rFonts w:eastAsia="Times"/>
          <w:color w:val="000000" w:themeColor="text1"/>
        </w:rPr>
        <w:t xml:space="preserve">Commission Basis Report </w:t>
      </w:r>
      <w:r w:rsidR="005D2748">
        <w:rPr>
          <w:rFonts w:eastAsia="Times"/>
          <w:color w:val="000000" w:themeColor="text1"/>
        </w:rPr>
        <w:t xml:space="preserve">with a test year </w:t>
      </w:r>
      <w:r>
        <w:rPr>
          <w:rFonts w:eastAsia="Times"/>
          <w:color w:val="000000" w:themeColor="text1"/>
        </w:rPr>
        <w:t>ending June 30, 2015</w:t>
      </w:r>
      <w:r w:rsidR="00A833E5">
        <w:rPr>
          <w:rFonts w:eastAsia="Times"/>
          <w:color w:val="000000" w:themeColor="text1"/>
        </w:rPr>
        <w:t xml:space="preserve">, and including </w:t>
      </w:r>
      <w:r w:rsidR="005D2748">
        <w:rPr>
          <w:rFonts w:eastAsia="Times"/>
          <w:color w:val="000000" w:themeColor="text1"/>
        </w:rPr>
        <w:t>limited pro forma adjustments</w:t>
      </w:r>
      <w:r w:rsidR="00DD44B1">
        <w:rPr>
          <w:rFonts w:eastAsia="Times"/>
          <w:color w:val="000000" w:themeColor="text1"/>
        </w:rPr>
        <w:t xml:space="preserve"> </w:t>
      </w:r>
      <w:r w:rsidR="003B233F">
        <w:rPr>
          <w:rFonts w:eastAsia="Times"/>
          <w:color w:val="000000" w:themeColor="text1"/>
        </w:rPr>
        <w:t xml:space="preserve">based on information that is known and verifiable at the time of the filing.  These include </w:t>
      </w:r>
      <w:r w:rsidR="00F6104F">
        <w:rPr>
          <w:rFonts w:eastAsia="Times"/>
          <w:color w:val="000000" w:themeColor="text1"/>
        </w:rPr>
        <w:t>end</w:t>
      </w:r>
      <w:r w:rsidR="004B3456">
        <w:rPr>
          <w:rFonts w:eastAsia="Times"/>
          <w:color w:val="000000" w:themeColor="text1"/>
        </w:rPr>
        <w:t>-</w:t>
      </w:r>
      <w:r w:rsidR="00F6104F">
        <w:rPr>
          <w:rFonts w:eastAsia="Times"/>
          <w:color w:val="000000" w:themeColor="text1"/>
        </w:rPr>
        <w:t>of</w:t>
      </w:r>
      <w:r w:rsidR="004B3456">
        <w:rPr>
          <w:rFonts w:eastAsia="Times"/>
          <w:color w:val="000000" w:themeColor="text1"/>
        </w:rPr>
        <w:t>-</w:t>
      </w:r>
      <w:r w:rsidR="00F6104F">
        <w:rPr>
          <w:rFonts w:eastAsia="Times"/>
          <w:color w:val="000000" w:themeColor="text1"/>
        </w:rPr>
        <w:t xml:space="preserve">period </w:t>
      </w:r>
      <w:r w:rsidR="005D2748">
        <w:rPr>
          <w:rFonts w:eastAsia="Times"/>
          <w:color w:val="000000" w:themeColor="text1"/>
        </w:rPr>
        <w:t>plant balances</w:t>
      </w:r>
      <w:r w:rsidR="003B233F" w:rsidRPr="003B233F">
        <w:rPr>
          <w:rFonts w:eastAsia="Times"/>
          <w:color w:val="000000" w:themeColor="text1"/>
        </w:rPr>
        <w:t xml:space="preserve"> </w:t>
      </w:r>
      <w:r w:rsidR="003B233F">
        <w:rPr>
          <w:rFonts w:eastAsia="Times"/>
          <w:color w:val="000000" w:themeColor="text1"/>
        </w:rPr>
        <w:t>and annualized depreciation expense</w:t>
      </w:r>
      <w:r w:rsidR="00DD44B1">
        <w:rPr>
          <w:rFonts w:eastAsia="Times"/>
          <w:color w:val="000000" w:themeColor="text1"/>
        </w:rPr>
        <w:t>,</w:t>
      </w:r>
      <w:r w:rsidR="005D2748">
        <w:rPr>
          <w:rFonts w:eastAsia="Times"/>
          <w:color w:val="000000" w:themeColor="text1"/>
        </w:rPr>
        <w:t xml:space="preserve"> costs associated with a major overhaul and installation of SCR </w:t>
      </w:r>
      <w:r w:rsidR="00BC668C">
        <w:rPr>
          <w:rFonts w:eastAsia="Times"/>
          <w:color w:val="000000" w:themeColor="text1"/>
        </w:rPr>
        <w:t>system</w:t>
      </w:r>
      <w:r w:rsidR="005D2748">
        <w:rPr>
          <w:rFonts w:eastAsia="Times"/>
          <w:color w:val="000000" w:themeColor="text1"/>
        </w:rPr>
        <w:t xml:space="preserve"> at Jim Bridger </w:t>
      </w:r>
      <w:r w:rsidR="005D2748" w:rsidRPr="002F4C16">
        <w:t>Unit</w:t>
      </w:r>
      <w:r w:rsidR="005D2748">
        <w:rPr>
          <w:rFonts w:eastAsia="Times"/>
          <w:color w:val="000000" w:themeColor="text1"/>
        </w:rPr>
        <w:t xml:space="preserve"> 3, and </w:t>
      </w:r>
      <w:r w:rsidR="00F70EFD">
        <w:rPr>
          <w:rFonts w:eastAsia="Times"/>
          <w:color w:val="000000" w:themeColor="text1"/>
        </w:rPr>
        <w:t xml:space="preserve">the use of shorter </w:t>
      </w:r>
      <w:r w:rsidR="005D2748">
        <w:rPr>
          <w:rFonts w:eastAsia="Times"/>
          <w:color w:val="000000" w:themeColor="text1"/>
        </w:rPr>
        <w:t xml:space="preserve">depreciation </w:t>
      </w:r>
      <w:r w:rsidR="00F70EFD">
        <w:rPr>
          <w:rFonts w:eastAsia="Times"/>
          <w:color w:val="000000" w:themeColor="text1"/>
        </w:rPr>
        <w:t xml:space="preserve">schedules for </w:t>
      </w:r>
      <w:r w:rsidR="005D2748">
        <w:rPr>
          <w:rFonts w:eastAsia="Times"/>
          <w:color w:val="000000" w:themeColor="text1"/>
        </w:rPr>
        <w:t>the Jim Bridger and Colstrip 4 generation resources.</w:t>
      </w:r>
      <w:r w:rsidR="00F6104F">
        <w:rPr>
          <w:rFonts w:eastAsia="Times"/>
          <w:color w:val="000000" w:themeColor="text1"/>
        </w:rPr>
        <w:t xml:space="preserve">  </w:t>
      </w:r>
      <w:r w:rsidR="00D353D7">
        <w:rPr>
          <w:rFonts w:eastAsia="Times"/>
          <w:color w:val="000000" w:themeColor="text1"/>
        </w:rPr>
        <w:t xml:space="preserve">As discussed further in the direct testimony of </w:t>
      </w:r>
      <w:r w:rsidR="005E5207">
        <w:rPr>
          <w:rFonts w:eastAsia="Times"/>
          <w:color w:val="000000" w:themeColor="text1"/>
        </w:rPr>
        <w:t xml:space="preserve">Ms. </w:t>
      </w:r>
      <w:r w:rsidR="00D353D7">
        <w:rPr>
          <w:rFonts w:eastAsia="Times"/>
          <w:color w:val="000000" w:themeColor="text1"/>
        </w:rPr>
        <w:t>McCoy, t</w:t>
      </w:r>
      <w:r w:rsidR="00F6104F">
        <w:rPr>
          <w:rFonts w:eastAsia="Times"/>
          <w:color w:val="000000" w:themeColor="text1"/>
        </w:rPr>
        <w:t xml:space="preserve">he Company modified the </w:t>
      </w:r>
      <w:r w:rsidR="007032B6">
        <w:rPr>
          <w:rFonts w:eastAsia="Times"/>
          <w:color w:val="000000" w:themeColor="text1"/>
        </w:rPr>
        <w:t xml:space="preserve">Commission Basis Report </w:t>
      </w:r>
      <w:r w:rsidR="00F6104F">
        <w:rPr>
          <w:rFonts w:eastAsia="Times"/>
          <w:color w:val="000000" w:themeColor="text1"/>
        </w:rPr>
        <w:t>to address the unique circumstances faced by Pacific Power</w:t>
      </w:r>
      <w:r w:rsidR="0047641A">
        <w:rPr>
          <w:rFonts w:eastAsia="Times"/>
          <w:color w:val="000000" w:themeColor="text1"/>
        </w:rPr>
        <w:t xml:space="preserve"> in this ERF</w:t>
      </w:r>
      <w:r w:rsidR="00F6104F">
        <w:rPr>
          <w:rFonts w:eastAsia="Times"/>
          <w:color w:val="000000" w:themeColor="text1"/>
        </w:rPr>
        <w:t>.</w:t>
      </w:r>
      <w:r w:rsidR="00F6104F" w:rsidRPr="00F6104F">
        <w:rPr>
          <w:rFonts w:ascii="Times" w:eastAsia="Times" w:hAnsi="Times"/>
          <w:szCs w:val="20"/>
          <w:vertAlign w:val="superscript"/>
        </w:rPr>
        <w:footnoteReference w:id="9"/>
      </w:r>
      <w:r w:rsidR="00D353D7">
        <w:rPr>
          <w:rFonts w:eastAsia="Times"/>
          <w:color w:val="000000" w:themeColor="text1"/>
        </w:rPr>
        <w:t xml:space="preserve">  </w:t>
      </w:r>
      <w:r w:rsidR="00CA1AB2">
        <w:rPr>
          <w:rFonts w:eastAsia="Times"/>
          <w:color w:val="000000" w:themeColor="text1"/>
        </w:rPr>
        <w:t xml:space="preserve">Pacific Power’s pro forma adjustments </w:t>
      </w:r>
      <w:r w:rsidR="00CA1AB2">
        <w:rPr>
          <w:szCs w:val="20"/>
        </w:rPr>
        <w:t>(1) appropriately reflect the cost</w:t>
      </w:r>
      <w:r w:rsidR="000D7090">
        <w:rPr>
          <w:szCs w:val="20"/>
        </w:rPr>
        <w:t>s</w:t>
      </w:r>
      <w:r w:rsidR="00CA1AB2">
        <w:rPr>
          <w:szCs w:val="20"/>
        </w:rPr>
        <w:t xml:space="preserve"> to serve customers</w:t>
      </w:r>
      <w:r w:rsidR="00A833E5">
        <w:rPr>
          <w:szCs w:val="20"/>
        </w:rPr>
        <w:t>,</w:t>
      </w:r>
      <w:r w:rsidR="00CA1AB2">
        <w:rPr>
          <w:szCs w:val="20"/>
        </w:rPr>
        <w:t xml:space="preserve"> (2) mitigate regulatory lag</w:t>
      </w:r>
      <w:r w:rsidR="00A833E5">
        <w:rPr>
          <w:szCs w:val="20"/>
        </w:rPr>
        <w:t>,</w:t>
      </w:r>
      <w:r w:rsidR="00CA1AB2">
        <w:rPr>
          <w:szCs w:val="20"/>
        </w:rPr>
        <w:t xml:space="preserve"> and (3) encourage prudent investment in necessary infrastructure.</w:t>
      </w:r>
    </w:p>
    <w:p w:rsidR="000016DA" w:rsidRPr="00222355" w:rsidRDefault="000016DA" w:rsidP="000016DA">
      <w:pPr>
        <w:pStyle w:val="Answer"/>
        <w:jc w:val="left"/>
        <w:rPr>
          <w:b/>
        </w:rPr>
      </w:pPr>
      <w:r w:rsidRPr="00222355">
        <w:rPr>
          <w:b/>
        </w:rPr>
        <w:t>Q.</w:t>
      </w:r>
      <w:r w:rsidRPr="00222355">
        <w:rPr>
          <w:b/>
        </w:rPr>
        <w:tab/>
      </w:r>
      <w:r>
        <w:rPr>
          <w:b/>
        </w:rPr>
        <w:t xml:space="preserve">Has the Commission or Commission Staff </w:t>
      </w:r>
      <w:r w:rsidR="002F4C16">
        <w:rPr>
          <w:b/>
        </w:rPr>
        <w:t>previously</w:t>
      </w:r>
      <w:r>
        <w:rPr>
          <w:b/>
        </w:rPr>
        <w:t xml:space="preserve"> encouraged Pacific Power to file an ERF?</w:t>
      </w:r>
    </w:p>
    <w:p w:rsidR="00BA21C3" w:rsidRPr="00BA21C3" w:rsidRDefault="000016DA" w:rsidP="002F4C16">
      <w:pPr>
        <w:pStyle w:val="Answer"/>
        <w:jc w:val="left"/>
        <w:rPr>
          <w:rFonts w:eastAsia="Times"/>
          <w:color w:val="000000" w:themeColor="text1"/>
        </w:rPr>
      </w:pPr>
      <w:r w:rsidRPr="00222355">
        <w:t>A.</w:t>
      </w:r>
      <w:r>
        <w:tab/>
        <w:t>Yes.  In the Company’s</w:t>
      </w:r>
      <w:r w:rsidR="007032B6">
        <w:t xml:space="preserve"> 2013 general rate case</w:t>
      </w:r>
      <w:r>
        <w:t xml:space="preserve"> </w:t>
      </w:r>
      <w:r w:rsidR="007032B6">
        <w:t>(</w:t>
      </w:r>
      <w:r>
        <w:t xml:space="preserve">2013 </w:t>
      </w:r>
      <w:r w:rsidR="007032B6">
        <w:t>Rate Case)</w:t>
      </w:r>
      <w:r>
        <w:t>, Staff filed testimony i</w:t>
      </w:r>
      <w:r w:rsidR="0047641A">
        <w:t>n</w:t>
      </w:r>
      <w:r>
        <w:t xml:space="preserve"> support of an ERF based upon an enhanced C</w:t>
      </w:r>
      <w:r w:rsidR="00736FAE">
        <w:t xml:space="preserve">ommission </w:t>
      </w:r>
      <w:r>
        <w:t>B</w:t>
      </w:r>
      <w:r w:rsidR="00736FAE">
        <w:t xml:space="preserve">asis </w:t>
      </w:r>
      <w:r>
        <w:t>R</w:t>
      </w:r>
      <w:r w:rsidR="00736FAE">
        <w:t>eport</w:t>
      </w:r>
      <w:r>
        <w:t>.</w:t>
      </w:r>
      <w:r>
        <w:rPr>
          <w:rStyle w:val="FootnoteReference"/>
        </w:rPr>
        <w:footnoteReference w:id="10"/>
      </w:r>
      <w:r w:rsidR="00BC271D">
        <w:t xml:space="preserve">  Staff </w:t>
      </w:r>
      <w:r w:rsidR="0047641A">
        <w:t xml:space="preserve">made </w:t>
      </w:r>
      <w:r w:rsidR="00BC271D">
        <w:t xml:space="preserve">this proposal as a way to address regulatory lag and </w:t>
      </w:r>
      <w:r w:rsidR="000D7090">
        <w:t xml:space="preserve">contemplated a proceeding that could result in a </w:t>
      </w:r>
      <w:r w:rsidR="00BC271D">
        <w:t>final order</w:t>
      </w:r>
      <w:r w:rsidR="000D7090">
        <w:t xml:space="preserve"> within </w:t>
      </w:r>
      <w:r w:rsidR="00BC271D">
        <w:t>four</w:t>
      </w:r>
      <w:r w:rsidR="0047641A">
        <w:t>-</w:t>
      </w:r>
      <w:r w:rsidR="00BC271D">
        <w:t>to</w:t>
      </w:r>
      <w:r w:rsidR="0047641A">
        <w:t>-</w:t>
      </w:r>
      <w:r w:rsidR="00BC271D">
        <w:t>six months</w:t>
      </w:r>
      <w:r w:rsidR="000D7090">
        <w:t xml:space="preserve"> of the initial filing</w:t>
      </w:r>
      <w:r w:rsidR="00BC271D">
        <w:t>.</w:t>
      </w:r>
      <w:r w:rsidR="00BC271D">
        <w:rPr>
          <w:rStyle w:val="FootnoteReference"/>
        </w:rPr>
        <w:footnoteReference w:id="11"/>
      </w:r>
      <w:r w:rsidR="00BC271D">
        <w:t xml:space="preserve">  </w:t>
      </w:r>
      <w:r w:rsidR="0047641A">
        <w:t>Public Counsel supported Staff’s ERF proposal, but recommended some modifications.</w:t>
      </w:r>
      <w:r w:rsidR="003B233F">
        <w:rPr>
          <w:rStyle w:val="FootnoteReference"/>
        </w:rPr>
        <w:footnoteReference w:id="12"/>
      </w:r>
      <w:r w:rsidR="003B233F">
        <w:t xml:space="preserve"> </w:t>
      </w:r>
      <w:r w:rsidR="0047641A">
        <w:t xml:space="preserve"> </w:t>
      </w:r>
      <w:r w:rsidR="00BC271D">
        <w:t>The Commission</w:t>
      </w:r>
      <w:r w:rsidR="0047641A">
        <w:t xml:space="preserve"> did not approve </w:t>
      </w:r>
      <w:r w:rsidR="00BC271D">
        <w:t xml:space="preserve">an ERF, but </w:t>
      </w:r>
      <w:r w:rsidR="0047641A">
        <w:t xml:space="preserve">endorsed it for </w:t>
      </w:r>
      <w:r w:rsidR="00BC271D">
        <w:t>future consideration.</w:t>
      </w:r>
      <w:r w:rsidR="00BC271D">
        <w:rPr>
          <w:rStyle w:val="FootnoteReference"/>
        </w:rPr>
        <w:footnoteReference w:id="13"/>
      </w:r>
      <w:r w:rsidR="00BC271D">
        <w:t xml:space="preserve">  Since that time, the Commission fully</w:t>
      </w:r>
      <w:r w:rsidR="00A833E5">
        <w:t xml:space="preserve"> </w:t>
      </w:r>
      <w:r w:rsidR="00BC271D">
        <w:t xml:space="preserve">adjudicated </w:t>
      </w:r>
      <w:r w:rsidR="00B95474">
        <w:t>an</w:t>
      </w:r>
      <w:r w:rsidR="00BC271D">
        <w:t xml:space="preserve"> ERF </w:t>
      </w:r>
      <w:r w:rsidR="0047641A">
        <w:t xml:space="preserve">for PSE </w:t>
      </w:r>
      <w:r w:rsidR="00B95474">
        <w:t xml:space="preserve">and provided details on how to proceed in its </w:t>
      </w:r>
      <w:r w:rsidR="00A833E5">
        <w:t>f</w:t>
      </w:r>
      <w:r w:rsidR="00BC271D">
        <w:t xml:space="preserve">inal </w:t>
      </w:r>
      <w:r w:rsidR="00A833E5">
        <w:t>o</w:t>
      </w:r>
      <w:r w:rsidR="00BC271D">
        <w:t xml:space="preserve">rder and </w:t>
      </w:r>
      <w:r w:rsidR="00A833E5">
        <w:t>o</w:t>
      </w:r>
      <w:r w:rsidR="00BC271D">
        <w:t xml:space="preserve">rder on </w:t>
      </w:r>
      <w:r w:rsidR="00A833E5">
        <w:t>r</w:t>
      </w:r>
      <w:r w:rsidR="00BC271D">
        <w:t>emand</w:t>
      </w:r>
      <w:r w:rsidR="00A833E5">
        <w:t xml:space="preserve"> in that case</w:t>
      </w:r>
      <w:r w:rsidR="00BC271D">
        <w:t>.</w:t>
      </w:r>
      <w:r w:rsidR="002431CC">
        <w:rPr>
          <w:rStyle w:val="FootnoteReference"/>
        </w:rPr>
        <w:footnoteReference w:id="14"/>
      </w:r>
      <w:r w:rsidR="00BC271D">
        <w:t xml:space="preserve"> </w:t>
      </w:r>
      <w:r w:rsidR="008A1227">
        <w:t xml:space="preserve"> </w:t>
      </w:r>
    </w:p>
    <w:p w:rsidR="00305DAC" w:rsidRPr="00222355" w:rsidRDefault="00305DAC" w:rsidP="00305DAC">
      <w:pPr>
        <w:pStyle w:val="Answer"/>
        <w:jc w:val="left"/>
        <w:rPr>
          <w:b/>
        </w:rPr>
      </w:pPr>
      <w:r w:rsidRPr="00222355">
        <w:rPr>
          <w:b/>
        </w:rPr>
        <w:t>Q.</w:t>
      </w:r>
      <w:r w:rsidRPr="00222355">
        <w:rPr>
          <w:b/>
        </w:rPr>
        <w:tab/>
        <w:t xml:space="preserve">Please describe the Company’s proposal </w:t>
      </w:r>
      <w:r w:rsidR="00F23950">
        <w:rPr>
          <w:b/>
        </w:rPr>
        <w:t>to</w:t>
      </w:r>
      <w:r w:rsidRPr="00222355">
        <w:rPr>
          <w:b/>
        </w:rPr>
        <w:t xml:space="preserve"> use </w:t>
      </w:r>
      <w:r w:rsidR="007032B6">
        <w:rPr>
          <w:b/>
        </w:rPr>
        <w:t>end-of-period</w:t>
      </w:r>
      <w:r w:rsidR="007032B6" w:rsidRPr="00222355">
        <w:rPr>
          <w:b/>
        </w:rPr>
        <w:t xml:space="preserve"> </w:t>
      </w:r>
      <w:r w:rsidRPr="00222355">
        <w:rPr>
          <w:b/>
        </w:rPr>
        <w:t>rate base balances</w:t>
      </w:r>
      <w:r w:rsidR="0047641A">
        <w:rPr>
          <w:b/>
        </w:rPr>
        <w:t xml:space="preserve">. </w:t>
      </w:r>
    </w:p>
    <w:p w:rsidR="00365631" w:rsidRDefault="00305DAC" w:rsidP="00F6104F">
      <w:pPr>
        <w:pStyle w:val="Answer"/>
        <w:jc w:val="left"/>
      </w:pPr>
      <w:r w:rsidRPr="00222355">
        <w:t>A.</w:t>
      </w:r>
      <w:r w:rsidRPr="00222355">
        <w:tab/>
        <w:t xml:space="preserve">Consistent with the </w:t>
      </w:r>
      <w:r w:rsidR="00F6104F">
        <w:t>PSE ERF, Pacific Power</w:t>
      </w:r>
      <w:r>
        <w:t xml:space="preserve"> proposes to </w:t>
      </w:r>
      <w:r w:rsidR="00F6104F">
        <w:t xml:space="preserve">use </w:t>
      </w:r>
      <w:r>
        <w:t xml:space="preserve">electric-plant-in-service balances at </w:t>
      </w:r>
      <w:r w:rsidR="00424F48">
        <w:t xml:space="preserve">end-of-period </w:t>
      </w:r>
      <w:r>
        <w:t>levels rather than on an average-of-monthly-averages</w:t>
      </w:r>
      <w:r w:rsidR="00F6104F">
        <w:t xml:space="preserve"> (AMA)</w:t>
      </w:r>
      <w:r>
        <w:t xml:space="preserve"> basis.</w:t>
      </w:r>
      <w:r w:rsidR="00F6104F">
        <w:rPr>
          <w:rStyle w:val="FootnoteReference"/>
        </w:rPr>
        <w:footnoteReference w:id="15"/>
      </w:r>
      <w:r>
        <w:t xml:space="preserve">  </w:t>
      </w:r>
      <w:r w:rsidR="00BE5E71">
        <w:t>T</w:t>
      </w:r>
      <w:r>
        <w:t>he Commission re</w:t>
      </w:r>
      <w:r w:rsidR="00BE5E71">
        <w:t>cognized</w:t>
      </w:r>
      <w:r w:rsidR="000F73AB">
        <w:t xml:space="preserve"> in the PSE ERF</w:t>
      </w:r>
      <w:r>
        <w:t xml:space="preserve"> that </w:t>
      </w:r>
      <w:r w:rsidR="007032B6">
        <w:t xml:space="preserve">end-of-period </w:t>
      </w:r>
      <w:r>
        <w:t xml:space="preserve">rate base </w:t>
      </w:r>
      <w:r w:rsidR="00DD44B1">
        <w:t xml:space="preserve">responds to attrition by </w:t>
      </w:r>
      <w:r>
        <w:t>mitigat</w:t>
      </w:r>
      <w:r w:rsidR="00DD44B1">
        <w:t>ing</w:t>
      </w:r>
      <w:r>
        <w:t xml:space="preserve"> regulatory lag</w:t>
      </w:r>
      <w:r w:rsidR="00DD44B1">
        <w:t>.  The Commission</w:t>
      </w:r>
      <w:r w:rsidR="000F73AB">
        <w:t xml:space="preserve"> permitted PSE to modify its </w:t>
      </w:r>
      <w:r w:rsidR="007032B6">
        <w:t xml:space="preserve">Commission Basis Report </w:t>
      </w:r>
      <w:r w:rsidR="000F73AB">
        <w:t xml:space="preserve">to reflect </w:t>
      </w:r>
      <w:r w:rsidR="007032B6">
        <w:t xml:space="preserve">end-of-period </w:t>
      </w:r>
      <w:r w:rsidR="000F73AB">
        <w:t xml:space="preserve">rate base instead of AMA rate base even though this was a change from PSE’s most recent </w:t>
      </w:r>
      <w:r w:rsidR="007032B6">
        <w:t xml:space="preserve">general rate case </w:t>
      </w:r>
      <w:r w:rsidR="000F73AB">
        <w:t>and accounted for a significant part of PSE’s rate increase</w:t>
      </w:r>
      <w:r>
        <w:t>.</w:t>
      </w:r>
      <w:r w:rsidR="00BE5E71">
        <w:rPr>
          <w:rStyle w:val="FootnoteReference"/>
        </w:rPr>
        <w:footnoteReference w:id="16"/>
      </w:r>
      <w:r w:rsidR="00BE5E71">
        <w:t xml:space="preserve"> </w:t>
      </w:r>
      <w:r w:rsidR="008A1227">
        <w:t xml:space="preserve"> </w:t>
      </w:r>
    </w:p>
    <w:p w:rsidR="00691D5F" w:rsidRDefault="0056289C" w:rsidP="0047641A">
      <w:pPr>
        <w:pStyle w:val="Answer"/>
        <w:ind w:firstLine="720"/>
        <w:jc w:val="left"/>
      </w:pPr>
      <w:r>
        <w:t>Pacific Power requests that the</w:t>
      </w:r>
      <w:r w:rsidR="000F73AB">
        <w:t xml:space="preserve"> Commission make the same decision regarding </w:t>
      </w:r>
      <w:r>
        <w:t xml:space="preserve">the use of end-of-period rate base balances in this case.  </w:t>
      </w:r>
      <w:r w:rsidR="000F73AB">
        <w:t>Although the Commission approved AMA rate base in Pacifi</w:t>
      </w:r>
      <w:r w:rsidR="0047641A">
        <w:t xml:space="preserve">c Power’s 2014 </w:t>
      </w:r>
      <w:r w:rsidR="007032B6">
        <w:t>Rate Case</w:t>
      </w:r>
      <w:r w:rsidR="000F73AB">
        <w:t xml:space="preserve">, </w:t>
      </w:r>
      <w:r w:rsidR="00EC5426">
        <w:t xml:space="preserve">use end-of-period rate base balances in this case is necessary to </w:t>
      </w:r>
      <w:r w:rsidR="000F73AB">
        <w:t>mitigate regulatory lag</w:t>
      </w:r>
      <w:r w:rsidR="0047641A">
        <w:t xml:space="preserve"> and </w:t>
      </w:r>
      <w:r w:rsidR="000F73AB">
        <w:t>address attrition.</w:t>
      </w:r>
      <w:r w:rsidR="003C790A">
        <w:t xml:space="preserve">  It</w:t>
      </w:r>
      <w:r w:rsidR="00E11081">
        <w:t xml:space="preserve"> is</w:t>
      </w:r>
      <w:r w:rsidR="003C790A">
        <w:t xml:space="preserve"> also consistent with the Commission’s treatment of </w:t>
      </w:r>
      <w:r w:rsidR="007032B6">
        <w:t xml:space="preserve">end-of-period </w:t>
      </w:r>
      <w:r w:rsidR="003C790A">
        <w:t xml:space="preserve">rate base in Pacific Power’s 2013 </w:t>
      </w:r>
      <w:r w:rsidR="007032B6">
        <w:t>Rate Case</w:t>
      </w:r>
      <w:r>
        <w:t>,</w:t>
      </w:r>
      <w:r w:rsidR="007032B6">
        <w:t xml:space="preserve"> </w:t>
      </w:r>
      <w:r w:rsidR="003C790A">
        <w:t xml:space="preserve">where the Commission decided it </w:t>
      </w:r>
      <w:r w:rsidR="0047641A">
        <w:t xml:space="preserve">was </w:t>
      </w:r>
      <w:r w:rsidR="003C790A">
        <w:t>needed to address regulatory lag and determined “that an appropriate response</w:t>
      </w:r>
      <w:r w:rsidR="00D4043D">
        <w:t xml:space="preserve"> </w:t>
      </w:r>
      <w:r w:rsidR="003C790A">
        <w:t>to address these impacts in this</w:t>
      </w:r>
      <w:r w:rsidR="00E11081">
        <w:t xml:space="preserve"> case is approval of PacifiCorp’</w:t>
      </w:r>
      <w:r w:rsidR="003C790A">
        <w:t xml:space="preserve">s use of </w:t>
      </w:r>
      <w:r w:rsidR="007032B6">
        <w:t xml:space="preserve">end-of-period </w:t>
      </w:r>
      <w:r w:rsidR="003C790A">
        <w:t>rate base.”</w:t>
      </w:r>
      <w:r w:rsidR="003C790A">
        <w:rPr>
          <w:rStyle w:val="FootnoteReference"/>
        </w:rPr>
        <w:footnoteReference w:id="17"/>
      </w:r>
      <w:r w:rsidR="00691D5F">
        <w:t xml:space="preserve"> </w:t>
      </w:r>
      <w:r w:rsidR="00691D5F">
        <w:tab/>
      </w:r>
    </w:p>
    <w:p w:rsidR="006C1604" w:rsidRDefault="006C1604" w:rsidP="006C1604">
      <w:pPr>
        <w:pStyle w:val="Answer"/>
        <w:keepNext/>
        <w:jc w:val="left"/>
        <w:rPr>
          <w:b/>
        </w:rPr>
      </w:pPr>
      <w:r>
        <w:rPr>
          <w:b/>
        </w:rPr>
        <w:t>Q.</w:t>
      </w:r>
      <w:r>
        <w:rPr>
          <w:b/>
        </w:rPr>
        <w:tab/>
        <w:t>What is the Company’s attrition trend in Washington?</w:t>
      </w:r>
    </w:p>
    <w:p w:rsidR="006C1604" w:rsidRDefault="006C1604" w:rsidP="00BC668C">
      <w:pPr>
        <w:pStyle w:val="Answer"/>
        <w:widowControl w:val="0"/>
        <w:jc w:val="left"/>
      </w:pPr>
      <w:r w:rsidRPr="00BE1D6C">
        <w:t>A.</w:t>
      </w:r>
      <w:r w:rsidRPr="00BE1D6C">
        <w:tab/>
      </w:r>
      <w:r>
        <w:t>Since 2006, the Company has under earned its authorized return on equity in Washington by an average of more than 5</w:t>
      </w:r>
      <w:r w:rsidR="00F70EFD">
        <w:t>00 basis points</w:t>
      </w:r>
      <w:r>
        <w:t>.</w:t>
      </w:r>
      <w:r>
        <w:rPr>
          <w:rStyle w:val="FootnoteReference"/>
          <w:szCs w:val="20"/>
        </w:rPr>
        <w:footnoteReference w:id="18"/>
      </w:r>
      <w:r w:rsidRPr="00001BC9">
        <w:t xml:space="preserve"> </w:t>
      </w:r>
      <w:r>
        <w:t xml:space="preserve"> </w:t>
      </w:r>
      <w:r>
        <w:rPr>
          <w:szCs w:val="20"/>
        </w:rPr>
        <w:t>For the ninth consecutive year, the Company did not earn its authorized rate of return in Washington in 2014,</w:t>
      </w:r>
      <w:r w:rsidR="003B233F" w:rsidRPr="003B233F">
        <w:rPr>
          <w:szCs w:val="20"/>
        </w:rPr>
        <w:t xml:space="preserve"> </w:t>
      </w:r>
      <w:r w:rsidR="003B233F">
        <w:rPr>
          <w:szCs w:val="20"/>
        </w:rPr>
        <w:t xml:space="preserve">even taking into account the rate increase that went into effect </w:t>
      </w:r>
      <w:r w:rsidR="004C3348">
        <w:rPr>
          <w:szCs w:val="20"/>
        </w:rPr>
        <w:t>this</w:t>
      </w:r>
      <w:r w:rsidR="003B233F">
        <w:rPr>
          <w:szCs w:val="20"/>
        </w:rPr>
        <w:t xml:space="preserve"> year.</w:t>
      </w:r>
      <w:r>
        <w:rPr>
          <w:szCs w:val="20"/>
        </w:rPr>
        <w:t xml:space="preserve">  The Company has experienced earnings attrition in Washington</w:t>
      </w:r>
      <w:r w:rsidR="00D11D0A">
        <w:rPr>
          <w:szCs w:val="20"/>
        </w:rPr>
        <w:t xml:space="preserve"> despite </w:t>
      </w:r>
      <w:r>
        <w:rPr>
          <w:szCs w:val="20"/>
        </w:rPr>
        <w:t>aggressively manag</w:t>
      </w:r>
      <w:r w:rsidR="00D11D0A">
        <w:rPr>
          <w:szCs w:val="20"/>
        </w:rPr>
        <w:t>ing</w:t>
      </w:r>
      <w:r>
        <w:rPr>
          <w:szCs w:val="20"/>
        </w:rPr>
        <w:t xml:space="preserve"> its costs and fil</w:t>
      </w:r>
      <w:r w:rsidR="00D11D0A">
        <w:rPr>
          <w:szCs w:val="20"/>
        </w:rPr>
        <w:t xml:space="preserve">ing </w:t>
      </w:r>
      <w:r>
        <w:rPr>
          <w:szCs w:val="20"/>
        </w:rPr>
        <w:t xml:space="preserve">eight </w:t>
      </w:r>
      <w:r w:rsidR="004C3348">
        <w:rPr>
          <w:szCs w:val="20"/>
        </w:rPr>
        <w:t>general rate case</w:t>
      </w:r>
      <w:r>
        <w:rPr>
          <w:szCs w:val="20"/>
        </w:rPr>
        <w:t>s since 2005.</w:t>
      </w:r>
      <w:r>
        <w:rPr>
          <w:rStyle w:val="FootnoteReference"/>
        </w:rPr>
        <w:footnoteReference w:id="19"/>
      </w:r>
      <w:r>
        <w:rPr>
          <w:szCs w:val="20"/>
        </w:rPr>
        <w:t xml:space="preserve">     </w:t>
      </w:r>
    </w:p>
    <w:p w:rsidR="006C1604" w:rsidRDefault="006C1604" w:rsidP="00BC668C">
      <w:pPr>
        <w:pStyle w:val="Answer"/>
        <w:widowControl w:val="0"/>
        <w:suppressLineNumbers/>
        <w:jc w:val="center"/>
        <w:rPr>
          <w:b/>
        </w:rPr>
      </w:pPr>
      <w:r w:rsidRPr="0073062A">
        <w:rPr>
          <w:b/>
        </w:rPr>
        <w:t>TABLE 1</w:t>
      </w:r>
    </w:p>
    <w:tbl>
      <w:tblPr>
        <w:tblW w:w="9900" w:type="dxa"/>
        <w:jc w:val="center"/>
        <w:tblInd w:w="93" w:type="dxa"/>
        <w:tblLook w:val="04A0" w:firstRow="1" w:lastRow="0" w:firstColumn="1" w:lastColumn="0" w:noHBand="0" w:noVBand="1"/>
      </w:tblPr>
      <w:tblGrid>
        <w:gridCol w:w="1875"/>
        <w:gridCol w:w="783"/>
        <w:gridCol w:w="783"/>
        <w:gridCol w:w="904"/>
        <w:gridCol w:w="783"/>
        <w:gridCol w:w="783"/>
        <w:gridCol w:w="783"/>
        <w:gridCol w:w="783"/>
        <w:gridCol w:w="783"/>
        <w:gridCol w:w="783"/>
        <w:gridCol w:w="857"/>
      </w:tblGrid>
      <w:tr w:rsidR="00BC668C" w:rsidRPr="00BC668C" w:rsidTr="00BC668C">
        <w:trPr>
          <w:trHeight w:val="300"/>
          <w:jc w:val="center"/>
        </w:trPr>
        <w:tc>
          <w:tcPr>
            <w:tcW w:w="9900" w:type="dxa"/>
            <w:gridSpan w:val="11"/>
            <w:tcBorders>
              <w:top w:val="nil"/>
              <w:left w:val="single" w:sz="4" w:space="0" w:color="auto"/>
              <w:bottom w:val="single" w:sz="4" w:space="0" w:color="auto"/>
              <w:right w:val="nil"/>
            </w:tcBorders>
            <w:shd w:val="clear" w:color="000000" w:fill="000000"/>
            <w:noWrap/>
            <w:vAlign w:val="bottom"/>
            <w:hideMark/>
          </w:tcPr>
          <w:p w:rsidR="00BC668C" w:rsidRPr="00BC668C" w:rsidRDefault="00BC668C" w:rsidP="00BC668C">
            <w:pPr>
              <w:suppressLineNumbers/>
              <w:jc w:val="center"/>
              <w:rPr>
                <w:b/>
                <w:bCs/>
                <w:color w:val="FFFFFF"/>
                <w:sz w:val="20"/>
                <w:szCs w:val="20"/>
              </w:rPr>
            </w:pPr>
            <w:r w:rsidRPr="00BC668C">
              <w:rPr>
                <w:b/>
                <w:bCs/>
                <w:color w:val="FFFFFF"/>
                <w:sz w:val="20"/>
                <w:szCs w:val="20"/>
              </w:rPr>
              <w:t>Washington Commission Basis Reports - Return on Equity</w:t>
            </w:r>
          </w:p>
        </w:tc>
      </w:tr>
      <w:tr w:rsidR="00BC668C" w:rsidRPr="00BC668C" w:rsidTr="00BC668C">
        <w:trPr>
          <w:trHeight w:val="240"/>
          <w:jc w:val="center"/>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2006</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2007</w:t>
            </w:r>
          </w:p>
        </w:tc>
        <w:tc>
          <w:tcPr>
            <w:tcW w:w="904"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2008</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2009</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2010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2011</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2012</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2013</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2014</w:t>
            </w:r>
          </w:p>
        </w:tc>
        <w:tc>
          <w:tcPr>
            <w:tcW w:w="857"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center"/>
              <w:rPr>
                <w:color w:val="000000"/>
                <w:sz w:val="18"/>
                <w:szCs w:val="18"/>
              </w:rPr>
            </w:pPr>
            <w:r w:rsidRPr="00BC668C">
              <w:rPr>
                <w:color w:val="000000"/>
                <w:sz w:val="18"/>
                <w:szCs w:val="18"/>
              </w:rPr>
              <w:t>Average</w:t>
            </w:r>
          </w:p>
        </w:tc>
      </w:tr>
      <w:tr w:rsidR="00BC668C" w:rsidRPr="00BC668C" w:rsidTr="00BC668C">
        <w:trPr>
          <w:trHeight w:val="240"/>
          <w:jc w:val="center"/>
        </w:trPr>
        <w:tc>
          <w:tcPr>
            <w:tcW w:w="1875" w:type="dxa"/>
            <w:tcBorders>
              <w:top w:val="nil"/>
              <w:left w:val="single" w:sz="4" w:space="0" w:color="auto"/>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904"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c>
          <w:tcPr>
            <w:tcW w:w="857"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 </w:t>
            </w:r>
          </w:p>
        </w:tc>
      </w:tr>
      <w:tr w:rsidR="00BC668C" w:rsidRPr="00BC668C" w:rsidTr="00BC668C">
        <w:trPr>
          <w:trHeight w:val="240"/>
          <w:jc w:val="center"/>
        </w:trPr>
        <w:tc>
          <w:tcPr>
            <w:tcW w:w="1875" w:type="dxa"/>
            <w:tcBorders>
              <w:top w:val="nil"/>
              <w:left w:val="single" w:sz="4" w:space="0" w:color="auto"/>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Per Books</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2.08%</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2.72%</w:t>
            </w:r>
          </w:p>
        </w:tc>
        <w:tc>
          <w:tcPr>
            <w:tcW w:w="904"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0.02%</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6.13%</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4.59%</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5.64%</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7.14%</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4.95%</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6.95%</w:t>
            </w:r>
          </w:p>
        </w:tc>
        <w:tc>
          <w:tcPr>
            <w:tcW w:w="857"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4.47%</w:t>
            </w:r>
          </w:p>
        </w:tc>
      </w:tr>
      <w:tr w:rsidR="00BC668C" w:rsidRPr="00BC668C" w:rsidTr="00BC668C">
        <w:trPr>
          <w:trHeight w:val="240"/>
          <w:jc w:val="center"/>
        </w:trPr>
        <w:tc>
          <w:tcPr>
            <w:tcW w:w="1875" w:type="dxa"/>
            <w:tcBorders>
              <w:top w:val="nil"/>
              <w:left w:val="single" w:sz="4" w:space="0" w:color="auto"/>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Restated</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3.49%</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2.40%</w:t>
            </w:r>
          </w:p>
        </w:tc>
        <w:tc>
          <w:tcPr>
            <w:tcW w:w="904"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3.53%</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5.28%</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6.69%</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7.57%</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6.99%</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8.22%</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7.50%</w:t>
            </w:r>
          </w:p>
        </w:tc>
        <w:tc>
          <w:tcPr>
            <w:tcW w:w="857"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5.74%</w:t>
            </w:r>
          </w:p>
        </w:tc>
      </w:tr>
      <w:tr w:rsidR="00BC668C" w:rsidRPr="00BC668C" w:rsidTr="00BC668C">
        <w:trPr>
          <w:trHeight w:val="240"/>
          <w:jc w:val="center"/>
        </w:trPr>
        <w:tc>
          <w:tcPr>
            <w:tcW w:w="1875" w:type="dxa"/>
            <w:tcBorders>
              <w:top w:val="nil"/>
              <w:left w:val="single" w:sz="4" w:space="0" w:color="auto"/>
              <w:bottom w:val="nil"/>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Pro Forma</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2.48%</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3.15%</w:t>
            </w:r>
          </w:p>
        </w:tc>
        <w:tc>
          <w:tcPr>
            <w:tcW w:w="904"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5.65%</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7.81%</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6.23%</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7.43%</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7.26%</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7.73%</w:t>
            </w:r>
          </w:p>
        </w:tc>
        <w:tc>
          <w:tcPr>
            <w:tcW w:w="783"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8.08%</w:t>
            </w:r>
          </w:p>
        </w:tc>
        <w:tc>
          <w:tcPr>
            <w:tcW w:w="857" w:type="dxa"/>
            <w:tcBorders>
              <w:top w:val="nil"/>
              <w:left w:val="nil"/>
              <w:bottom w:val="nil"/>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6.20%</w:t>
            </w:r>
          </w:p>
        </w:tc>
      </w:tr>
      <w:tr w:rsidR="00BC668C" w:rsidRPr="00BC668C" w:rsidTr="00BC668C">
        <w:trPr>
          <w:trHeight w:val="240"/>
          <w:jc w:val="center"/>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left"/>
              <w:rPr>
                <w:color w:val="000000"/>
                <w:sz w:val="18"/>
                <w:szCs w:val="18"/>
              </w:rPr>
            </w:pPr>
            <w:r w:rsidRPr="00BC668C">
              <w:rPr>
                <w:color w:val="000000"/>
                <w:sz w:val="18"/>
                <w:szCs w:val="18"/>
              </w:rPr>
              <w:t>Authorized</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10.20%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10.20%</w:t>
            </w:r>
          </w:p>
        </w:tc>
        <w:tc>
          <w:tcPr>
            <w:tcW w:w="904"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10.20%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10.20%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10.20%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9.80%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9.80%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9.50%</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9.50%</w:t>
            </w:r>
          </w:p>
        </w:tc>
        <w:tc>
          <w:tcPr>
            <w:tcW w:w="857"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color w:val="000000"/>
                <w:sz w:val="18"/>
                <w:szCs w:val="18"/>
              </w:rPr>
            </w:pPr>
            <w:r w:rsidRPr="00BC668C">
              <w:rPr>
                <w:color w:val="000000"/>
                <w:sz w:val="18"/>
                <w:szCs w:val="18"/>
              </w:rPr>
              <w:t>9.96%</w:t>
            </w:r>
          </w:p>
        </w:tc>
      </w:tr>
      <w:tr w:rsidR="00BC668C" w:rsidRPr="00BC668C" w:rsidTr="00BC668C">
        <w:trPr>
          <w:trHeight w:val="480"/>
          <w:jc w:val="center"/>
        </w:trPr>
        <w:tc>
          <w:tcPr>
            <w:tcW w:w="1875" w:type="dxa"/>
            <w:tcBorders>
              <w:top w:val="nil"/>
              <w:left w:val="single" w:sz="4" w:space="0" w:color="auto"/>
              <w:bottom w:val="single" w:sz="4" w:space="0" w:color="auto"/>
              <w:right w:val="single" w:sz="4" w:space="0" w:color="auto"/>
            </w:tcBorders>
            <w:shd w:val="clear" w:color="auto" w:fill="auto"/>
            <w:vAlign w:val="bottom"/>
            <w:hideMark/>
          </w:tcPr>
          <w:p w:rsidR="00BC668C" w:rsidRPr="00BC668C" w:rsidRDefault="00BC668C" w:rsidP="00BC668C">
            <w:pPr>
              <w:suppressLineNumbers/>
              <w:jc w:val="left"/>
              <w:rPr>
                <w:color w:val="000000"/>
                <w:sz w:val="18"/>
                <w:szCs w:val="18"/>
              </w:rPr>
            </w:pPr>
            <w:r w:rsidRPr="00BC668C">
              <w:rPr>
                <w:color w:val="000000"/>
                <w:sz w:val="18"/>
                <w:szCs w:val="18"/>
              </w:rPr>
              <w:t>Difference (Per Books v. Authorized)</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-8.12%</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-7.48%</w:t>
            </w:r>
          </w:p>
        </w:tc>
        <w:tc>
          <w:tcPr>
            <w:tcW w:w="904"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-10.18%</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-4.07%</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-5.61%</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-4.16%</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-2.66%</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-4.55%</w:t>
            </w:r>
          </w:p>
        </w:tc>
        <w:tc>
          <w:tcPr>
            <w:tcW w:w="783"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-2.55%</w:t>
            </w:r>
          </w:p>
        </w:tc>
        <w:tc>
          <w:tcPr>
            <w:tcW w:w="857" w:type="dxa"/>
            <w:tcBorders>
              <w:top w:val="nil"/>
              <w:left w:val="nil"/>
              <w:bottom w:val="single" w:sz="4" w:space="0" w:color="auto"/>
              <w:right w:val="single" w:sz="4" w:space="0" w:color="auto"/>
            </w:tcBorders>
            <w:shd w:val="clear" w:color="auto" w:fill="auto"/>
            <w:noWrap/>
            <w:vAlign w:val="bottom"/>
            <w:hideMark/>
          </w:tcPr>
          <w:p w:rsidR="00BC668C" w:rsidRPr="00BC668C" w:rsidRDefault="00BC668C" w:rsidP="00BC668C">
            <w:pPr>
              <w:suppressLineNumbers/>
              <w:jc w:val="right"/>
              <w:rPr>
                <w:b/>
                <w:bCs/>
                <w:color w:val="000000"/>
                <w:sz w:val="18"/>
                <w:szCs w:val="18"/>
              </w:rPr>
            </w:pPr>
            <w:r w:rsidRPr="00BC668C">
              <w:rPr>
                <w:b/>
                <w:bCs/>
                <w:color w:val="000000"/>
                <w:sz w:val="18"/>
                <w:szCs w:val="18"/>
              </w:rPr>
              <w:t>-5.49%</w:t>
            </w:r>
          </w:p>
        </w:tc>
      </w:tr>
    </w:tbl>
    <w:p w:rsidR="00BC668C" w:rsidRPr="006E169B" w:rsidRDefault="00BC668C" w:rsidP="00BC668C">
      <w:pPr>
        <w:pStyle w:val="Answer"/>
        <w:widowControl w:val="0"/>
        <w:suppressLineNumbers/>
        <w:spacing w:line="240" w:lineRule="auto"/>
        <w:jc w:val="center"/>
        <w:rPr>
          <w:u w:val="words"/>
        </w:rPr>
      </w:pPr>
    </w:p>
    <w:p w:rsidR="001459D0" w:rsidRPr="00222355" w:rsidRDefault="001459D0" w:rsidP="00BC668C">
      <w:pPr>
        <w:pStyle w:val="Answer"/>
        <w:jc w:val="left"/>
        <w:rPr>
          <w:b/>
        </w:rPr>
      </w:pPr>
      <w:r w:rsidRPr="00222355">
        <w:rPr>
          <w:b/>
        </w:rPr>
        <w:t>Q.</w:t>
      </w:r>
      <w:r w:rsidRPr="00222355">
        <w:rPr>
          <w:b/>
        </w:rPr>
        <w:tab/>
      </w:r>
      <w:r w:rsidR="0056289C">
        <w:rPr>
          <w:b/>
        </w:rPr>
        <w:t xml:space="preserve">Why is the Company including the overhaul </w:t>
      </w:r>
      <w:r w:rsidR="004C3348">
        <w:rPr>
          <w:b/>
        </w:rPr>
        <w:t>at</w:t>
      </w:r>
      <w:r>
        <w:rPr>
          <w:b/>
        </w:rPr>
        <w:t xml:space="preserve"> Jim Bridger Unit 3</w:t>
      </w:r>
      <w:r w:rsidR="004C3348">
        <w:rPr>
          <w:b/>
        </w:rPr>
        <w:t>, including the</w:t>
      </w:r>
      <w:r>
        <w:rPr>
          <w:b/>
        </w:rPr>
        <w:t xml:space="preserve"> SCR system</w:t>
      </w:r>
      <w:r w:rsidR="0056289C">
        <w:rPr>
          <w:b/>
        </w:rPr>
        <w:t>, in the ERF?</w:t>
      </w:r>
    </w:p>
    <w:p w:rsidR="00691D5F" w:rsidRDefault="001459D0" w:rsidP="001459D0">
      <w:pPr>
        <w:pStyle w:val="Answer"/>
        <w:jc w:val="left"/>
      </w:pPr>
      <w:r w:rsidRPr="00222355">
        <w:t>A.</w:t>
      </w:r>
      <w:r w:rsidRPr="00222355">
        <w:tab/>
      </w:r>
      <w:r>
        <w:t>O</w:t>
      </w:r>
      <w:r w:rsidR="0055679C">
        <w:t>ne of the primary drivers of the ERF is the</w:t>
      </w:r>
      <w:r w:rsidR="004C3348">
        <w:t xml:space="preserve"> overhaul at</w:t>
      </w:r>
      <w:r w:rsidR="0055679C">
        <w:t xml:space="preserve"> Jim Bridger Unit 3 </w:t>
      </w:r>
      <w:r>
        <w:t xml:space="preserve">that </w:t>
      </w:r>
      <w:r w:rsidR="004B3456">
        <w:t>will be placed in</w:t>
      </w:r>
      <w:r>
        <w:t xml:space="preserve"> service this month</w:t>
      </w:r>
      <w:r w:rsidR="0055679C">
        <w:t>.</w:t>
      </w:r>
      <w:r>
        <w:t xml:space="preserve">  </w:t>
      </w:r>
      <w:r w:rsidR="00D353D7">
        <w:t xml:space="preserve">As detailed in the direct testimony of </w:t>
      </w:r>
      <w:r w:rsidR="007032B6">
        <w:t xml:space="preserve">Mr. </w:t>
      </w:r>
      <w:r w:rsidR="00D353D7">
        <w:t xml:space="preserve">Chad </w:t>
      </w:r>
      <w:r w:rsidR="007032B6">
        <w:t xml:space="preserve">A. </w:t>
      </w:r>
      <w:r w:rsidR="00D353D7">
        <w:t>Teply, t</w:t>
      </w:r>
      <w:r w:rsidR="0055679C">
        <w:t xml:space="preserve">he </w:t>
      </w:r>
      <w:r w:rsidR="004C3348">
        <w:t xml:space="preserve">investments at </w:t>
      </w:r>
      <w:r>
        <w:t xml:space="preserve">Jim Bridger Unit 3 </w:t>
      </w:r>
      <w:r w:rsidR="0055679C">
        <w:t>are used and useful and providing benefits to Washington.  Furthermore</w:t>
      </w:r>
      <w:r w:rsidR="00D11D0A">
        <w:t>,</w:t>
      </w:r>
      <w:r w:rsidR="0055679C">
        <w:t xml:space="preserve"> the costs associated with the </w:t>
      </w:r>
      <w:r w:rsidR="004C3348">
        <w:t>overhaul</w:t>
      </w:r>
      <w:r>
        <w:t xml:space="preserve"> are known and measureable.</w:t>
      </w:r>
      <w:r w:rsidR="00AB4D3F">
        <w:t xml:space="preserve"> </w:t>
      </w:r>
      <w:r w:rsidR="00AB4D3F" w:rsidRPr="00AB4D3F">
        <w:t xml:space="preserve"> </w:t>
      </w:r>
      <w:r w:rsidR="00AB4D3F">
        <w:t xml:space="preserve">The direct testimony of </w:t>
      </w:r>
      <w:r w:rsidR="00D11D0A">
        <w:t xml:space="preserve">Mr. </w:t>
      </w:r>
      <w:r w:rsidR="00AB4D3F">
        <w:t>Ric</w:t>
      </w:r>
      <w:r w:rsidR="002F4C16">
        <w:t>k</w:t>
      </w:r>
      <w:r w:rsidR="00132923">
        <w:t xml:space="preserve"> T.</w:t>
      </w:r>
      <w:r w:rsidR="00AB4D3F">
        <w:t xml:space="preserve"> Link details the </w:t>
      </w:r>
      <w:r w:rsidR="00F23950">
        <w:t xml:space="preserve">Company’s </w:t>
      </w:r>
      <w:r w:rsidR="00AB4D3F">
        <w:t xml:space="preserve">economic analysis </w:t>
      </w:r>
      <w:r w:rsidR="00F23950">
        <w:t>supporting the</w:t>
      </w:r>
      <w:r w:rsidR="00AB4D3F">
        <w:t xml:space="preserve"> deci</w:t>
      </w:r>
      <w:r w:rsidR="00F23950">
        <w:t>sion</w:t>
      </w:r>
      <w:r w:rsidR="00AB4D3F">
        <w:t xml:space="preserve"> </w:t>
      </w:r>
      <w:r w:rsidR="00305957">
        <w:t xml:space="preserve">to </w:t>
      </w:r>
      <w:r w:rsidR="00AB4D3F">
        <w:t>invest in the SCR system and the prudence of that decision</w:t>
      </w:r>
      <w:r w:rsidR="005E5207">
        <w:t>.</w:t>
      </w:r>
      <w:r w:rsidR="0055679C">
        <w:t xml:space="preserve"> </w:t>
      </w:r>
      <w:r>
        <w:t xml:space="preserve"> </w:t>
      </w:r>
      <w:r w:rsidR="0055679C">
        <w:t xml:space="preserve">This proceeding provides parties, Staff, and the Commission an opportunity to review the prudence </w:t>
      </w:r>
      <w:r w:rsidR="004F2D66">
        <w:t>of</w:t>
      </w:r>
      <w:r w:rsidR="00365631">
        <w:t xml:space="preserve"> the</w:t>
      </w:r>
      <w:r w:rsidR="004F2D66">
        <w:t xml:space="preserve"> Jim Bridger Unit 3 </w:t>
      </w:r>
      <w:r w:rsidR="004C3348">
        <w:t>overhaul</w:t>
      </w:r>
      <w:r w:rsidR="004F2D66">
        <w:t>.</w:t>
      </w:r>
    </w:p>
    <w:p w:rsidR="007F6C18" w:rsidRPr="00F6104F" w:rsidRDefault="005F7EB1" w:rsidP="00420E0F">
      <w:pPr>
        <w:pStyle w:val="Answer"/>
        <w:ind w:firstLine="720"/>
        <w:jc w:val="left"/>
      </w:pPr>
      <w:r>
        <w:t xml:space="preserve">It is reasonable to address the Jim Bridger Unit 3 </w:t>
      </w:r>
      <w:r w:rsidR="004C3348">
        <w:t>overhaul</w:t>
      </w:r>
      <w:r>
        <w:t xml:space="preserve"> in this proceeding</w:t>
      </w:r>
      <w:r w:rsidR="00AB4D3F">
        <w:t>,</w:t>
      </w:r>
      <w:r>
        <w:t xml:space="preserve"> not only because the </w:t>
      </w:r>
      <w:r w:rsidR="004C3348">
        <w:t xml:space="preserve">investments </w:t>
      </w:r>
      <w:r>
        <w:t xml:space="preserve">are used and useful and the costs known and measureable, but also because absent the approval of </w:t>
      </w:r>
      <w:r w:rsidR="004C3348">
        <w:t>these investments</w:t>
      </w:r>
      <w:r>
        <w:t xml:space="preserve"> in the ERF, Pacific Power will need to file another </w:t>
      </w:r>
      <w:r w:rsidR="00132923">
        <w:t xml:space="preserve">general rate case </w:t>
      </w:r>
      <w:r>
        <w:t>on the heels of the</w:t>
      </w:r>
      <w:r w:rsidR="00691D5F">
        <w:t xml:space="preserve"> Company’s</w:t>
      </w:r>
      <w:r>
        <w:t xml:space="preserve"> 201</w:t>
      </w:r>
      <w:r w:rsidR="00300A0A">
        <w:t>4</w:t>
      </w:r>
      <w:r>
        <w:t xml:space="preserve"> </w:t>
      </w:r>
      <w:r w:rsidR="00132923">
        <w:t>Rate Case</w:t>
      </w:r>
      <w:r>
        <w:t>.</w:t>
      </w:r>
      <w:r w:rsidR="00691D5F">
        <w:t xml:space="preserve"> </w:t>
      </w:r>
      <w:r w:rsidR="000F73AB">
        <w:t xml:space="preserve"> </w:t>
      </w:r>
      <w:r w:rsidR="00691D5F">
        <w:t xml:space="preserve">The primary goal of the ERF is avoid constant </w:t>
      </w:r>
      <w:r w:rsidR="00132923">
        <w:t>general rate case</w:t>
      </w:r>
      <w:r w:rsidR="00691D5F">
        <w:t xml:space="preserve">s and as part of that effort, the Commission has encouraged creative ratemaking solutions. </w:t>
      </w:r>
      <w:r w:rsidR="00AB4D3F">
        <w:t xml:space="preserve"> </w:t>
      </w:r>
      <w:r w:rsidR="00D11D0A">
        <w:t>T</w:t>
      </w:r>
      <w:r w:rsidR="00AB4D3F">
        <w:t xml:space="preserve">he Commission has made this type of pro forma adjustment for investments even further beyond the end of the test year.  For example, in Pacific Power’s 2013 </w:t>
      </w:r>
      <w:r w:rsidR="00132923">
        <w:t>Rate Case</w:t>
      </w:r>
      <w:r w:rsidR="00C05090">
        <w:t>,</w:t>
      </w:r>
      <w:r w:rsidR="00AB4D3F">
        <w:t xml:space="preserve"> the Commission placed into rates the Jim Bridger Unit 2 upgrade that went into service nearly a year after the test year.</w:t>
      </w:r>
      <w:r w:rsidR="00AB4D3F" w:rsidRPr="005F7EB1">
        <w:rPr>
          <w:rFonts w:ascii="Times" w:eastAsia="Times" w:hAnsi="Times"/>
          <w:szCs w:val="20"/>
          <w:vertAlign w:val="superscript"/>
        </w:rPr>
        <w:footnoteReference w:id="20"/>
      </w:r>
      <w:r w:rsidR="00AB4D3F">
        <w:t xml:space="preserve"> </w:t>
      </w:r>
      <w:r w:rsidR="00691D5F">
        <w:t xml:space="preserve"> </w:t>
      </w:r>
      <w:r w:rsidR="005E5207">
        <w:t xml:space="preserve"> </w:t>
      </w:r>
    </w:p>
    <w:p w:rsidR="00420E0F" w:rsidRPr="00222355" w:rsidRDefault="007F6C18" w:rsidP="00420E0F">
      <w:pPr>
        <w:pStyle w:val="Answer"/>
        <w:jc w:val="left"/>
        <w:rPr>
          <w:b/>
        </w:rPr>
      </w:pPr>
      <w:r w:rsidRPr="007C0943">
        <w:rPr>
          <w:b/>
        </w:rPr>
        <w:t>Q.</w:t>
      </w:r>
      <w:r w:rsidRPr="007C0943">
        <w:rPr>
          <w:b/>
        </w:rPr>
        <w:tab/>
      </w:r>
      <w:r w:rsidR="00420E0F">
        <w:rPr>
          <w:b/>
        </w:rPr>
        <w:t xml:space="preserve">Why does the </w:t>
      </w:r>
      <w:r w:rsidR="00420E0F" w:rsidRPr="00222355">
        <w:rPr>
          <w:b/>
        </w:rPr>
        <w:t>Company</w:t>
      </w:r>
      <w:r w:rsidR="00420E0F">
        <w:rPr>
          <w:b/>
        </w:rPr>
        <w:t xml:space="preserve"> </w:t>
      </w:r>
      <w:r w:rsidR="00F70EFD">
        <w:rPr>
          <w:b/>
        </w:rPr>
        <w:t>propose to rein</w:t>
      </w:r>
      <w:r w:rsidR="00C36E97">
        <w:rPr>
          <w:b/>
        </w:rPr>
        <w:t>sta</w:t>
      </w:r>
      <w:r w:rsidR="00F70EFD">
        <w:rPr>
          <w:b/>
        </w:rPr>
        <w:t>te shorter</w:t>
      </w:r>
      <w:r w:rsidR="00420E0F">
        <w:rPr>
          <w:b/>
        </w:rPr>
        <w:t xml:space="preserve"> depreciation </w:t>
      </w:r>
      <w:r w:rsidR="00F70EFD">
        <w:rPr>
          <w:b/>
        </w:rPr>
        <w:t xml:space="preserve">schedules </w:t>
      </w:r>
      <w:r w:rsidR="00420E0F">
        <w:rPr>
          <w:b/>
        </w:rPr>
        <w:t>on the Jim Bridger and Colstrip 4 generation resources?</w:t>
      </w:r>
    </w:p>
    <w:p w:rsidR="002C58D0" w:rsidRDefault="00420E0F" w:rsidP="00420E0F">
      <w:pPr>
        <w:pStyle w:val="Answer"/>
        <w:widowControl w:val="0"/>
        <w:jc w:val="left"/>
      </w:pPr>
      <w:r w:rsidRPr="00222355">
        <w:t>A.</w:t>
      </w:r>
      <w:r w:rsidRPr="00222355">
        <w:tab/>
      </w:r>
      <w:r>
        <w:t xml:space="preserve">As detailed above, </w:t>
      </w:r>
      <w:r w:rsidR="00F70510">
        <w:t xml:space="preserve">the electric industry in undergoing a significant transformation, including the treatment of coal-based generation and carbon emissions.  Pacific Power is impacted by this transformation at </w:t>
      </w:r>
      <w:r w:rsidR="00C05090">
        <w:t xml:space="preserve">both </w:t>
      </w:r>
      <w:r w:rsidR="00F70510">
        <w:t>the federal and state</w:t>
      </w:r>
      <w:r w:rsidR="00C05090">
        <w:t xml:space="preserve"> </w:t>
      </w:r>
      <w:r w:rsidR="00F70510">
        <w:t>level.  Currently in Oregon, the Jim Bridger and Colstrip 4 depreciation schedules reflect</w:t>
      </w:r>
      <w:r w:rsidR="0046014A">
        <w:t xml:space="preserve"> </w:t>
      </w:r>
      <w:r w:rsidR="00F70510">
        <w:t>depreciable lives ending in 2025</w:t>
      </w:r>
      <w:r w:rsidR="005E5207">
        <w:t xml:space="preserve"> and 2032, respectively</w:t>
      </w:r>
      <w:r w:rsidR="00F70510">
        <w:t>.</w:t>
      </w:r>
      <w:r w:rsidR="00F81D7C">
        <w:rPr>
          <w:rStyle w:val="FootnoteReference"/>
        </w:rPr>
        <w:footnoteReference w:id="21"/>
      </w:r>
      <w:r w:rsidR="00F70510">
        <w:t xml:space="preserve">  In </w:t>
      </w:r>
      <w:r w:rsidR="00F81D7C">
        <w:t xml:space="preserve">the 2007 Depreciation Study in </w:t>
      </w:r>
      <w:r w:rsidR="00F70510">
        <w:t xml:space="preserve">Washington, the depreciable life of the Jim Bridger </w:t>
      </w:r>
      <w:r w:rsidR="00980331">
        <w:t xml:space="preserve">units </w:t>
      </w:r>
      <w:r w:rsidR="0046014A">
        <w:t xml:space="preserve">was extended to </w:t>
      </w:r>
      <w:r w:rsidR="00980331">
        <w:t xml:space="preserve">2037, while the Colstrip 4 depreciable life </w:t>
      </w:r>
      <w:r w:rsidR="0046014A">
        <w:t xml:space="preserve">was extended </w:t>
      </w:r>
      <w:r w:rsidR="00980331">
        <w:t>through 2046.</w:t>
      </w:r>
      <w:r w:rsidR="00F81D7C">
        <w:rPr>
          <w:rStyle w:val="FootnoteReference"/>
        </w:rPr>
        <w:footnoteReference w:id="22"/>
      </w:r>
      <w:r w:rsidR="00980331">
        <w:t xml:space="preserve">  </w:t>
      </w:r>
    </w:p>
    <w:p w:rsidR="00CB596B" w:rsidRDefault="00980331" w:rsidP="002C58D0">
      <w:pPr>
        <w:pStyle w:val="Answer"/>
        <w:widowControl w:val="0"/>
        <w:ind w:firstLine="720"/>
        <w:jc w:val="left"/>
      </w:pPr>
      <w:r>
        <w:t xml:space="preserve">It </w:t>
      </w:r>
      <w:r w:rsidR="00300A0A">
        <w:t xml:space="preserve">is reasonable </w:t>
      </w:r>
      <w:r>
        <w:t>to align depreciation schedules and re</w:t>
      </w:r>
      <w:r w:rsidR="00BB0BF0">
        <w:t xml:space="preserve">turn to </w:t>
      </w:r>
      <w:r>
        <w:t>the shorter depreciable lives</w:t>
      </w:r>
      <w:r w:rsidR="00377E44">
        <w:t xml:space="preserve"> previously used by the Commission</w:t>
      </w:r>
      <w:r>
        <w:t xml:space="preserve">.  The shorter depreciable life </w:t>
      </w:r>
      <w:r w:rsidR="00F81D7C">
        <w:t xml:space="preserve">for these resources </w:t>
      </w:r>
      <w:r>
        <w:t xml:space="preserve">provides the Commission, the Company, and customers additional flexibility in resource planning </w:t>
      </w:r>
      <w:r w:rsidR="00341E4A">
        <w:t>to address state and federal environmental policies, mandates, and the EPA’s Clean Power Plan.</w:t>
      </w:r>
      <w:r>
        <w:t xml:space="preserve">  </w:t>
      </w:r>
    </w:p>
    <w:p w:rsidR="008A1227" w:rsidRDefault="00300A0A" w:rsidP="00CB596B">
      <w:pPr>
        <w:pStyle w:val="Answer"/>
        <w:widowControl w:val="0"/>
        <w:ind w:firstLine="720"/>
        <w:jc w:val="left"/>
        <w:rPr>
          <w:b/>
        </w:rPr>
      </w:pPr>
      <w:r>
        <w:t xml:space="preserve">This is also consistent with </w:t>
      </w:r>
      <w:r w:rsidR="00980331">
        <w:t xml:space="preserve">Pacific Power’s </w:t>
      </w:r>
      <w:r>
        <w:t xml:space="preserve">actions in its </w:t>
      </w:r>
      <w:r w:rsidR="00980331">
        <w:t xml:space="preserve">most recent depreciation </w:t>
      </w:r>
      <w:r w:rsidR="00F81D7C">
        <w:t xml:space="preserve">study </w:t>
      </w:r>
      <w:r>
        <w:t xml:space="preserve">where </w:t>
      </w:r>
      <w:r w:rsidR="00980331">
        <w:t xml:space="preserve">it accelerated the retirement of the Carbon coal plant by five years to comply with </w:t>
      </w:r>
      <w:r w:rsidR="00FA7C19">
        <w:t>EPA regulations.</w:t>
      </w:r>
      <w:r w:rsidR="00FA7C19" w:rsidRPr="009A1CB7">
        <w:rPr>
          <w:color w:val="000000"/>
          <w:vertAlign w:val="superscript"/>
        </w:rPr>
        <w:footnoteReference w:id="23"/>
      </w:r>
      <w:r w:rsidR="00FA7C19">
        <w:t xml:space="preserve">  </w:t>
      </w:r>
      <w:r w:rsidR="00FA7C19">
        <w:rPr>
          <w:rFonts w:eastAsiaTheme="minorHAnsi"/>
        </w:rPr>
        <w:t>T</w:t>
      </w:r>
      <w:r w:rsidR="00FA7C19" w:rsidRPr="009A1CB7">
        <w:rPr>
          <w:rFonts w:eastAsiaTheme="minorHAnsi"/>
        </w:rPr>
        <w:t>he Company concluded that retiring the Carbon plant in 2015 was currently the least-cost alternative, accounting for risk and uncertainty.</w:t>
      </w:r>
      <w:r w:rsidR="00FA7C19">
        <w:rPr>
          <w:rFonts w:eastAsiaTheme="minorHAnsi"/>
        </w:rPr>
        <w:t xml:space="preserve">  Admittedly, because the Carbon plant was not allocated to </w:t>
      </w:r>
      <w:r w:rsidR="00305957">
        <w:rPr>
          <w:rFonts w:eastAsiaTheme="minorHAnsi"/>
        </w:rPr>
        <w:t xml:space="preserve">the </w:t>
      </w:r>
      <w:r w:rsidR="0019105B">
        <w:rPr>
          <w:rFonts w:eastAsiaTheme="minorHAnsi"/>
        </w:rPr>
        <w:t>west control area</w:t>
      </w:r>
      <w:r w:rsidR="004F6BB0">
        <w:rPr>
          <w:rFonts w:eastAsiaTheme="minorHAnsi"/>
        </w:rPr>
        <w:t>, accelerating the Carbon plant depreciation did not impact Washington rates, but the concept and justification remain unchanged and consistent with how the Company has recently addressed other coal-based generation.</w:t>
      </w:r>
    </w:p>
    <w:p w:rsidR="002C58D0" w:rsidRPr="00222355" w:rsidRDefault="002C58D0" w:rsidP="002C58D0">
      <w:pPr>
        <w:pStyle w:val="Answer"/>
        <w:jc w:val="left"/>
        <w:rPr>
          <w:b/>
        </w:rPr>
      </w:pPr>
      <w:r w:rsidRPr="007C0943">
        <w:rPr>
          <w:b/>
        </w:rPr>
        <w:t>Q.</w:t>
      </w:r>
      <w:r w:rsidRPr="007C0943">
        <w:rPr>
          <w:b/>
        </w:rPr>
        <w:tab/>
      </w:r>
      <w:r>
        <w:rPr>
          <w:b/>
        </w:rPr>
        <w:t>Has the Company made any effort to limit the issues in the ERF?</w:t>
      </w:r>
    </w:p>
    <w:p w:rsidR="00AE2C5B" w:rsidRDefault="002C58D0" w:rsidP="002A0748">
      <w:pPr>
        <w:pStyle w:val="Answer"/>
        <w:widowControl w:val="0"/>
        <w:jc w:val="left"/>
      </w:pPr>
      <w:r w:rsidRPr="00222355">
        <w:t>A.</w:t>
      </w:r>
      <w:r>
        <w:tab/>
        <w:t xml:space="preserve">Yes.  Pacific Power is aware that an ERF is a limited issue proceeding.  Accordingly, the Company has not </w:t>
      </w:r>
      <w:r w:rsidR="00D06060">
        <w:t>proposed changes</w:t>
      </w:r>
      <w:r>
        <w:t xml:space="preserve"> t</w:t>
      </w:r>
      <w:r w:rsidR="002A0748">
        <w:t>o its net power costs</w:t>
      </w:r>
      <w:r w:rsidR="002F11AE">
        <w:t xml:space="preserve">, capital </w:t>
      </w:r>
      <w:r w:rsidR="006343B5">
        <w:t>structure or</w:t>
      </w:r>
      <w:r>
        <w:t xml:space="preserve"> its cost of capital.  </w:t>
      </w:r>
      <w:r w:rsidR="002A0748">
        <w:t xml:space="preserve">It is not necessary to </w:t>
      </w:r>
      <w:r w:rsidR="00F81D7C">
        <w:t xml:space="preserve">re-litigate </w:t>
      </w:r>
      <w:r w:rsidR="002A0748">
        <w:t>th</w:t>
      </w:r>
      <w:r w:rsidR="00CE00CF">
        <w:t>e</w:t>
      </w:r>
      <w:r w:rsidR="002A0748">
        <w:t xml:space="preserve">se issues here because </w:t>
      </w:r>
      <w:r w:rsidR="00DE75EE">
        <w:t xml:space="preserve">earlier </w:t>
      </w:r>
      <w:r w:rsidR="002A0748">
        <w:t xml:space="preserve">this year the Commission established </w:t>
      </w:r>
      <w:r w:rsidR="002D6ADD">
        <w:t xml:space="preserve">a </w:t>
      </w:r>
      <w:r w:rsidR="002A0748">
        <w:t>baseline for these elements.</w:t>
      </w:r>
      <w:r w:rsidR="002A0748">
        <w:rPr>
          <w:rStyle w:val="FootnoteReference"/>
        </w:rPr>
        <w:footnoteReference w:id="24"/>
      </w:r>
      <w:r w:rsidR="00D06060">
        <w:t xml:space="preserve">  The purpose of the ERF is to avoid some of the issues addressed in a </w:t>
      </w:r>
      <w:r w:rsidR="00132923">
        <w:t xml:space="preserve">general rate case </w:t>
      </w:r>
      <w:r w:rsidR="00D06060">
        <w:t xml:space="preserve">that </w:t>
      </w:r>
      <w:r w:rsidR="0070250D">
        <w:t xml:space="preserve">have been </w:t>
      </w:r>
    </w:p>
    <w:p w:rsidR="002A0748" w:rsidRDefault="00AE2C5B" w:rsidP="002A0748">
      <w:pPr>
        <w:pStyle w:val="Answer"/>
        <w:widowControl w:val="0"/>
        <w:jc w:val="left"/>
      </w:pPr>
      <w:r>
        <w:tab/>
      </w:r>
      <w:r w:rsidR="0070250D">
        <w:t xml:space="preserve">recently litigated and </w:t>
      </w:r>
      <w:r w:rsidR="00D06060">
        <w:t xml:space="preserve">tend to be the most </w:t>
      </w:r>
      <w:r w:rsidR="00DB491C">
        <w:t xml:space="preserve">complicated and </w:t>
      </w:r>
      <w:r w:rsidR="00D06060">
        <w:t>controversial</w:t>
      </w:r>
      <w:r w:rsidR="0070250D">
        <w:t>,</w:t>
      </w:r>
      <w:r w:rsidR="00300A0A">
        <w:t xml:space="preserve"> support</w:t>
      </w:r>
      <w:r w:rsidR="0070250D">
        <w:t>ing</w:t>
      </w:r>
      <w:r w:rsidR="00300A0A">
        <w:t xml:space="preserve"> the Commission’s goal </w:t>
      </w:r>
      <w:r w:rsidR="0070250D">
        <w:t xml:space="preserve">of </w:t>
      </w:r>
      <w:r w:rsidR="00300A0A">
        <w:t>avoid</w:t>
      </w:r>
      <w:r w:rsidR="0070250D">
        <w:t>ing</w:t>
      </w:r>
      <w:r w:rsidR="00300A0A">
        <w:t xml:space="preserve"> </w:t>
      </w:r>
      <w:r w:rsidR="002D6ADD">
        <w:t xml:space="preserve">annual </w:t>
      </w:r>
      <w:r w:rsidR="00132923">
        <w:t>general rate case</w:t>
      </w:r>
      <w:r w:rsidR="0070250D">
        <w:t>s</w:t>
      </w:r>
      <w:r w:rsidR="00DB491C">
        <w:t>.</w:t>
      </w:r>
      <w:r w:rsidR="00DB491C">
        <w:rPr>
          <w:rStyle w:val="FootnoteReference"/>
        </w:rPr>
        <w:footnoteReference w:id="25"/>
      </w:r>
      <w:r w:rsidR="008A1227">
        <w:t xml:space="preserve">  </w:t>
      </w:r>
    </w:p>
    <w:p w:rsidR="001C5546" w:rsidRDefault="001C5546" w:rsidP="001C5546">
      <w:pPr>
        <w:pStyle w:val="Answer"/>
        <w:widowControl w:val="0"/>
        <w:jc w:val="left"/>
      </w:pPr>
      <w:r>
        <w:rPr>
          <w:b/>
        </w:rPr>
        <w:t>Q.</w:t>
      </w:r>
      <w:r>
        <w:rPr>
          <w:b/>
        </w:rPr>
        <w:tab/>
      </w:r>
      <w:r w:rsidRPr="00BB0BF0">
        <w:rPr>
          <w:b/>
        </w:rPr>
        <w:t>Is the Company proposing to change its authorized return on equity or cost of capital as part of this proceeding?</w:t>
      </w:r>
    </w:p>
    <w:p w:rsidR="00EB3AFD" w:rsidRDefault="001C5546" w:rsidP="00EB3AFD">
      <w:pPr>
        <w:pStyle w:val="Answer"/>
        <w:widowControl w:val="0"/>
        <w:jc w:val="left"/>
      </w:pPr>
      <w:r>
        <w:t>A.</w:t>
      </w:r>
      <w:r>
        <w:tab/>
        <w:t xml:space="preserve">No.  </w:t>
      </w:r>
      <w:r w:rsidR="006378CA">
        <w:t>T</w:t>
      </w:r>
      <w:r>
        <w:t>he testimony and exhibits of Mr</w:t>
      </w:r>
      <w:r w:rsidR="00377E44">
        <w:t xml:space="preserve">. </w:t>
      </w:r>
      <w:r w:rsidR="00EB3AFD">
        <w:t xml:space="preserve">Kurt </w:t>
      </w:r>
      <w:r>
        <w:t xml:space="preserve">Strunk support a higher return on equity than </w:t>
      </w:r>
      <w:r w:rsidR="00EB3AFD">
        <w:t xml:space="preserve">the Commission </w:t>
      </w:r>
      <w:r>
        <w:t>authorized</w:t>
      </w:r>
      <w:r w:rsidR="00EB3AFD">
        <w:t xml:space="preserve"> in the 2014 Rate Case. </w:t>
      </w:r>
      <w:r w:rsidR="00736FAE">
        <w:t xml:space="preserve"> </w:t>
      </w:r>
      <w:r w:rsidR="00EB3AFD">
        <w:t>T</w:t>
      </w:r>
      <w:r w:rsidR="00C36E97">
        <w:t xml:space="preserve">o facilitate expeditious review of this ERF and rate plan, </w:t>
      </w:r>
      <w:r w:rsidR="00EB3AFD">
        <w:t xml:space="preserve">however, </w:t>
      </w:r>
      <w:r>
        <w:t>the Company is not requesting a change in its authorized return on equity or rate of return</w:t>
      </w:r>
      <w:r w:rsidR="00EB3AFD">
        <w:t>.</w:t>
      </w:r>
      <w:r w:rsidR="00110811">
        <w:rPr>
          <w:rStyle w:val="FootnoteReference"/>
        </w:rPr>
        <w:footnoteReference w:id="26"/>
      </w:r>
      <w:r w:rsidR="00EB3AFD">
        <w:t xml:space="preserve">  </w:t>
      </w:r>
    </w:p>
    <w:p w:rsidR="002A0748" w:rsidRPr="00BB0BF0" w:rsidRDefault="002A0748" w:rsidP="002A0748">
      <w:pPr>
        <w:pStyle w:val="Answer"/>
        <w:jc w:val="left"/>
        <w:rPr>
          <w:b/>
        </w:rPr>
      </w:pPr>
      <w:r w:rsidRPr="00BB0BF0">
        <w:rPr>
          <w:b/>
        </w:rPr>
        <w:t>Q.</w:t>
      </w:r>
      <w:r w:rsidRPr="00BB0BF0">
        <w:rPr>
          <w:b/>
        </w:rPr>
        <w:tab/>
      </w:r>
      <w:r w:rsidR="004C549F" w:rsidRPr="00BB0BF0">
        <w:rPr>
          <w:b/>
        </w:rPr>
        <w:t xml:space="preserve">Does the Commission need to undertake a full cost of capital analysis in </w:t>
      </w:r>
      <w:r w:rsidR="00AA2135" w:rsidRPr="00BB0BF0">
        <w:rPr>
          <w:b/>
        </w:rPr>
        <w:t>Pacific Power’s ERF</w:t>
      </w:r>
      <w:r w:rsidR="00377E44">
        <w:rPr>
          <w:b/>
        </w:rPr>
        <w:t xml:space="preserve"> because it is connected to a rate plan and decoupling mechanism?</w:t>
      </w:r>
    </w:p>
    <w:p w:rsidR="00EB3AFD" w:rsidRDefault="002A0748" w:rsidP="00EB3AFD">
      <w:pPr>
        <w:pStyle w:val="Answer"/>
        <w:widowControl w:val="0"/>
        <w:jc w:val="left"/>
      </w:pPr>
      <w:r w:rsidRPr="00BB0BF0">
        <w:t>A.</w:t>
      </w:r>
      <w:r w:rsidRPr="00BB0BF0">
        <w:tab/>
      </w:r>
      <w:r w:rsidR="00377E44">
        <w:t xml:space="preserve">No. </w:t>
      </w:r>
      <w:r w:rsidR="00390024">
        <w:t xml:space="preserve"> </w:t>
      </w:r>
      <w:r w:rsidR="00EB3AFD">
        <w:t>When the Commission set the Company’s cost of capital earlier this year, the Commission invoked RCW 80.04.200 and declined to rehear return on equity or capital structure.</w:t>
      </w:r>
      <w:r w:rsidR="00305957">
        <w:rPr>
          <w:rStyle w:val="FootnoteReference"/>
        </w:rPr>
        <w:footnoteReference w:id="27"/>
      </w:r>
      <w:r w:rsidR="00EB3AFD">
        <w:t xml:space="preserve">  The Commission reasoned that there had been no material change in the markets or the Company’s access to them.  If the Commission has discretion to truncate</w:t>
      </w:r>
      <w:r w:rsidR="00390024">
        <w:t xml:space="preserve"> or eliminate a cost of capital review in </w:t>
      </w:r>
      <w:r w:rsidR="00EB3AFD">
        <w:t>a general rate case</w:t>
      </w:r>
      <w:r w:rsidR="00390024">
        <w:t>,</w:t>
      </w:r>
      <w:r w:rsidR="00EB3AFD">
        <w:t xml:space="preserve"> </w:t>
      </w:r>
      <w:r w:rsidR="00390024">
        <w:t xml:space="preserve">it should also have the discretion to do so in a non-general rate case filing. </w:t>
      </w:r>
    </w:p>
    <w:p w:rsidR="004C549F" w:rsidRPr="00222355" w:rsidRDefault="004C549F" w:rsidP="004C549F">
      <w:pPr>
        <w:pStyle w:val="Answer"/>
        <w:jc w:val="left"/>
        <w:rPr>
          <w:b/>
        </w:rPr>
      </w:pPr>
      <w:r w:rsidRPr="007C0943">
        <w:rPr>
          <w:b/>
        </w:rPr>
        <w:t>Q.</w:t>
      </w:r>
      <w:r w:rsidRPr="007C0943">
        <w:rPr>
          <w:b/>
        </w:rPr>
        <w:tab/>
      </w:r>
      <w:r w:rsidR="00AA2135">
        <w:rPr>
          <w:b/>
        </w:rPr>
        <w:t xml:space="preserve">Did </w:t>
      </w:r>
      <w:r w:rsidR="00517E65">
        <w:rPr>
          <w:b/>
        </w:rPr>
        <w:t xml:space="preserve">the Commission decide in the PSE ERF </w:t>
      </w:r>
      <w:r w:rsidR="00AA2135">
        <w:rPr>
          <w:b/>
        </w:rPr>
        <w:t>Order on Remand that a full cost of capital review is necessary in a</w:t>
      </w:r>
      <w:r w:rsidR="00A87699">
        <w:rPr>
          <w:b/>
        </w:rPr>
        <w:t>ll</w:t>
      </w:r>
      <w:r w:rsidR="00AA2135">
        <w:rPr>
          <w:b/>
        </w:rPr>
        <w:t xml:space="preserve"> ERF</w:t>
      </w:r>
      <w:r w:rsidR="00A87699">
        <w:rPr>
          <w:b/>
        </w:rPr>
        <w:t>s</w:t>
      </w:r>
      <w:r>
        <w:rPr>
          <w:b/>
        </w:rPr>
        <w:t>?</w:t>
      </w:r>
    </w:p>
    <w:p w:rsidR="00976BD9" w:rsidRDefault="004C549F" w:rsidP="004C549F">
      <w:pPr>
        <w:pStyle w:val="Answer"/>
        <w:widowControl w:val="0"/>
        <w:jc w:val="left"/>
      </w:pPr>
      <w:r w:rsidRPr="00222355">
        <w:t>A.</w:t>
      </w:r>
      <w:r>
        <w:tab/>
      </w:r>
      <w:r w:rsidR="00AA2135">
        <w:t xml:space="preserve">No.  </w:t>
      </w:r>
      <w:r w:rsidR="002D6ADD">
        <w:t xml:space="preserve">I understand that </w:t>
      </w:r>
      <w:r w:rsidR="006A6DCF">
        <w:t xml:space="preserve">while </w:t>
      </w:r>
      <w:r w:rsidR="002D6ADD">
        <w:t xml:space="preserve">the Commission </w:t>
      </w:r>
      <w:r w:rsidR="00AA2135">
        <w:t xml:space="preserve">acknowledged the </w:t>
      </w:r>
      <w:r w:rsidR="002D6ADD">
        <w:t xml:space="preserve">Thurston County Superior </w:t>
      </w:r>
      <w:r w:rsidR="00AA2135">
        <w:t>Court’s ruling that the Commission</w:t>
      </w:r>
      <w:r w:rsidR="002D6ADD">
        <w:t xml:space="preserve">’s </w:t>
      </w:r>
      <w:r w:rsidR="00A56B79">
        <w:t xml:space="preserve">cost of capital </w:t>
      </w:r>
      <w:r w:rsidR="002D6ADD">
        <w:t>ruling lacked substantial evidence</w:t>
      </w:r>
      <w:r w:rsidR="00A87699">
        <w:t xml:space="preserve"> in that particular case</w:t>
      </w:r>
      <w:r w:rsidR="006A6DCF">
        <w:t xml:space="preserve">, it </w:t>
      </w:r>
      <w:r w:rsidR="002D6ADD">
        <w:t>clarified that</w:t>
      </w:r>
      <w:r w:rsidR="00976BD9">
        <w:t>:</w:t>
      </w:r>
    </w:p>
    <w:p w:rsidR="002033A6" w:rsidRDefault="002033A6" w:rsidP="002033A6">
      <w:pPr>
        <w:pStyle w:val="Answer"/>
        <w:spacing w:line="240" w:lineRule="auto"/>
        <w:ind w:left="1440" w:right="720" w:firstLine="0"/>
        <w:jc w:val="left"/>
      </w:pPr>
      <w:r>
        <w:t>that there is no statutory or other prohibition against the Commission setting rates without considering this issue. Indeed, this Commission, like many other regulatory authorities throughout the United States, routinely sets rates without explicitly analyzing and determining cost of capital issues.</w:t>
      </w:r>
      <w:r>
        <w:rPr>
          <w:rStyle w:val="FootnoteReference"/>
        </w:rPr>
        <w:footnoteReference w:id="28"/>
      </w:r>
    </w:p>
    <w:p w:rsidR="002033A6" w:rsidRDefault="002033A6" w:rsidP="00AE2C5B">
      <w:pPr>
        <w:pStyle w:val="Answer"/>
        <w:suppressLineNumbers/>
        <w:spacing w:line="240" w:lineRule="auto"/>
        <w:ind w:left="1440" w:right="720" w:firstLine="0"/>
        <w:jc w:val="left"/>
      </w:pPr>
    </w:p>
    <w:p w:rsidR="00D11D0A" w:rsidRDefault="006E7B99" w:rsidP="002F11AE">
      <w:pPr>
        <w:tabs>
          <w:tab w:val="left" w:pos="720"/>
        </w:tabs>
        <w:spacing w:line="480" w:lineRule="auto"/>
        <w:ind w:left="720"/>
        <w:jc w:val="left"/>
      </w:pPr>
      <w:r>
        <w:t>Furthermore, the Commission stated that there is no, “reason for the Commission to undertake this detailed and costly analysis when the issues have been recently decide</w:t>
      </w:r>
      <w:r w:rsidR="00517E65">
        <w:t>d</w:t>
      </w:r>
      <w:r w:rsidR="00390024">
        <w:t>.”</w:t>
      </w:r>
      <w:r w:rsidR="00305957">
        <w:rPr>
          <w:rStyle w:val="FootnoteReference"/>
        </w:rPr>
        <w:footnoteReference w:id="29"/>
      </w:r>
    </w:p>
    <w:p w:rsidR="00EE012E" w:rsidRPr="00EE012E" w:rsidRDefault="00EE012E" w:rsidP="00EE012E">
      <w:pPr>
        <w:pStyle w:val="Answer"/>
        <w:jc w:val="left"/>
        <w:rPr>
          <w:rFonts w:ascii="Times" w:eastAsia="Times" w:hAnsi="Times"/>
          <w:b/>
          <w:szCs w:val="20"/>
        </w:rPr>
      </w:pPr>
      <w:r w:rsidRPr="00EE012E">
        <w:rPr>
          <w:b/>
        </w:rPr>
        <w:t>Q</w:t>
      </w:r>
      <w:r w:rsidRPr="00EE012E">
        <w:rPr>
          <w:rFonts w:ascii="Times" w:eastAsia="Times" w:hAnsi="Times"/>
          <w:b/>
          <w:szCs w:val="20"/>
        </w:rPr>
        <w:t>.</w:t>
      </w:r>
      <w:r w:rsidRPr="00EE012E">
        <w:rPr>
          <w:rFonts w:ascii="Times" w:eastAsia="Times" w:hAnsi="Times"/>
          <w:b/>
          <w:szCs w:val="20"/>
        </w:rPr>
        <w:tab/>
        <w:t xml:space="preserve">How does Pacific Power’s </w:t>
      </w:r>
      <w:r w:rsidR="00CF2880">
        <w:rPr>
          <w:rFonts w:ascii="Times" w:eastAsia="Times" w:hAnsi="Times"/>
          <w:b/>
          <w:szCs w:val="20"/>
        </w:rPr>
        <w:t xml:space="preserve">current </w:t>
      </w:r>
      <w:r w:rsidR="00A56B79">
        <w:rPr>
          <w:rFonts w:ascii="Times" w:eastAsia="Times" w:hAnsi="Times"/>
          <w:b/>
          <w:szCs w:val="20"/>
        </w:rPr>
        <w:t>cost of capital</w:t>
      </w:r>
      <w:r w:rsidRPr="00EE012E">
        <w:rPr>
          <w:rFonts w:ascii="Times" w:eastAsia="Times" w:hAnsi="Times"/>
          <w:b/>
          <w:szCs w:val="20"/>
        </w:rPr>
        <w:t xml:space="preserve"> compare to other Washington utilities? </w:t>
      </w:r>
    </w:p>
    <w:p w:rsidR="00BF1B1A" w:rsidRPr="00BF1B1A" w:rsidRDefault="00EE012E" w:rsidP="00BF1B1A">
      <w:pPr>
        <w:pStyle w:val="Answer"/>
        <w:jc w:val="left"/>
        <w:rPr>
          <w:rFonts w:ascii="Times" w:eastAsia="Times" w:hAnsi="Times"/>
          <w:szCs w:val="20"/>
        </w:rPr>
      </w:pPr>
      <w:r>
        <w:t>A</w:t>
      </w:r>
      <w:r w:rsidRPr="00EE012E">
        <w:rPr>
          <w:rFonts w:ascii="Times" w:eastAsia="Times" w:hAnsi="Times"/>
          <w:szCs w:val="20"/>
        </w:rPr>
        <w:t>.</w:t>
      </w:r>
      <w:r>
        <w:rPr>
          <w:rFonts w:ascii="Times" w:eastAsia="Times" w:hAnsi="Times"/>
          <w:szCs w:val="20"/>
        </w:rPr>
        <w:tab/>
      </w:r>
      <w:r w:rsidR="00CF2880">
        <w:rPr>
          <w:rFonts w:ascii="Times" w:eastAsia="Times" w:hAnsi="Times"/>
          <w:szCs w:val="20"/>
        </w:rPr>
        <w:t xml:space="preserve">As Table 2 demonstrates, </w:t>
      </w:r>
      <w:r>
        <w:rPr>
          <w:rFonts w:ascii="Times" w:eastAsia="Times" w:hAnsi="Times"/>
          <w:szCs w:val="20"/>
        </w:rPr>
        <w:t xml:space="preserve">Pacific Power </w:t>
      </w:r>
      <w:r w:rsidR="00CF2880">
        <w:rPr>
          <w:rFonts w:ascii="Times" w:eastAsia="Times" w:hAnsi="Times"/>
          <w:szCs w:val="20"/>
        </w:rPr>
        <w:t xml:space="preserve">currently </w:t>
      </w:r>
      <w:r>
        <w:rPr>
          <w:rFonts w:ascii="Times" w:eastAsia="Times" w:hAnsi="Times"/>
          <w:szCs w:val="20"/>
        </w:rPr>
        <w:t xml:space="preserve">has the lowest </w:t>
      </w:r>
      <w:r w:rsidR="00A56B79">
        <w:rPr>
          <w:rFonts w:ascii="Times" w:eastAsia="Times" w:hAnsi="Times"/>
          <w:szCs w:val="20"/>
        </w:rPr>
        <w:t>cost of capital</w:t>
      </w:r>
      <w:r w:rsidR="00472361">
        <w:rPr>
          <w:rFonts w:ascii="Times" w:eastAsia="Times" w:hAnsi="Times"/>
          <w:szCs w:val="20"/>
        </w:rPr>
        <w:t xml:space="preserve"> of any Washington utility</w:t>
      </w:r>
      <w:r>
        <w:rPr>
          <w:rFonts w:ascii="Times" w:eastAsia="Times" w:hAnsi="Times"/>
          <w:szCs w:val="20"/>
        </w:rPr>
        <w:t xml:space="preserve">.  A stipulation pending in Avista’s </w:t>
      </w:r>
      <w:r w:rsidR="00A56B79">
        <w:rPr>
          <w:rFonts w:ascii="Times" w:eastAsia="Times" w:hAnsi="Times"/>
          <w:szCs w:val="20"/>
        </w:rPr>
        <w:t>general rate case</w:t>
      </w:r>
      <w:r>
        <w:rPr>
          <w:rFonts w:ascii="Times" w:eastAsia="Times" w:hAnsi="Times"/>
          <w:szCs w:val="20"/>
        </w:rPr>
        <w:t xml:space="preserve"> would reduce its </w:t>
      </w:r>
      <w:r w:rsidR="00110811">
        <w:rPr>
          <w:rFonts w:ascii="Times" w:eastAsia="Times" w:hAnsi="Times"/>
          <w:szCs w:val="20"/>
        </w:rPr>
        <w:t>rate of return to within one basis point of</w:t>
      </w:r>
      <w:r>
        <w:rPr>
          <w:rFonts w:ascii="Times" w:eastAsia="Times" w:hAnsi="Times"/>
          <w:szCs w:val="20"/>
        </w:rPr>
        <w:t xml:space="preserve"> Pacific Power’</w:t>
      </w:r>
      <w:r w:rsidR="00CF2880">
        <w:rPr>
          <w:rFonts w:ascii="Times" w:eastAsia="Times" w:hAnsi="Times"/>
          <w:szCs w:val="20"/>
        </w:rPr>
        <w:t>s.  Importantly, PSE and Avista</w:t>
      </w:r>
      <w:r w:rsidR="006F7715">
        <w:rPr>
          <w:rFonts w:ascii="Times" w:eastAsia="Times" w:hAnsi="Times"/>
          <w:szCs w:val="20"/>
        </w:rPr>
        <w:t xml:space="preserve"> had</w:t>
      </w:r>
      <w:r w:rsidR="000E13F8">
        <w:rPr>
          <w:rFonts w:ascii="Times" w:eastAsia="Times" w:hAnsi="Times"/>
          <w:szCs w:val="20"/>
        </w:rPr>
        <w:t xml:space="preserve"> </w:t>
      </w:r>
      <w:r w:rsidR="00CF2880">
        <w:rPr>
          <w:rFonts w:ascii="Times" w:eastAsia="Times" w:hAnsi="Times"/>
          <w:szCs w:val="20"/>
        </w:rPr>
        <w:t>decoupling and power cos</w:t>
      </w:r>
      <w:r w:rsidR="000E13F8">
        <w:rPr>
          <w:rFonts w:ascii="Times" w:eastAsia="Times" w:hAnsi="Times"/>
          <w:szCs w:val="20"/>
        </w:rPr>
        <w:t>t adjustment mechanisms</w:t>
      </w:r>
      <w:r w:rsidR="006F7715">
        <w:rPr>
          <w:rFonts w:ascii="Times" w:eastAsia="Times" w:hAnsi="Times"/>
          <w:szCs w:val="20"/>
        </w:rPr>
        <w:t xml:space="preserve"> in place when the Commission set their current </w:t>
      </w:r>
      <w:r w:rsidR="00A56B79">
        <w:rPr>
          <w:rFonts w:ascii="Times" w:eastAsia="Times" w:hAnsi="Times"/>
          <w:szCs w:val="20"/>
        </w:rPr>
        <w:t>cost of capital</w:t>
      </w:r>
      <w:r w:rsidR="00CF2880">
        <w:rPr>
          <w:rFonts w:ascii="Times" w:eastAsia="Times" w:hAnsi="Times"/>
          <w:szCs w:val="20"/>
        </w:rPr>
        <w:t xml:space="preserve">.  </w:t>
      </w:r>
      <w:r w:rsidR="00894AD3">
        <w:rPr>
          <w:rFonts w:ascii="Times" w:eastAsia="Times" w:hAnsi="Times"/>
          <w:szCs w:val="20"/>
        </w:rPr>
        <w:t xml:space="preserve">This shows that Pacific Power’s current </w:t>
      </w:r>
      <w:r w:rsidR="00A56B79">
        <w:rPr>
          <w:rFonts w:ascii="Times" w:eastAsia="Times" w:hAnsi="Times"/>
          <w:szCs w:val="20"/>
        </w:rPr>
        <w:t>cost of capital</w:t>
      </w:r>
      <w:r w:rsidR="00894AD3">
        <w:rPr>
          <w:rFonts w:ascii="Times" w:eastAsia="Times" w:hAnsi="Times"/>
          <w:szCs w:val="20"/>
        </w:rPr>
        <w:t xml:space="preserve"> is well within a reasonable range for the rate plan period, taking into account Pacific Power’s new </w:t>
      </w:r>
      <w:r w:rsidR="00A56B79">
        <w:rPr>
          <w:rFonts w:ascii="Times" w:eastAsia="Times" w:hAnsi="Times"/>
          <w:szCs w:val="20"/>
        </w:rPr>
        <w:t xml:space="preserve">power cost adjustment mechanism </w:t>
      </w:r>
      <w:r w:rsidR="00894AD3">
        <w:rPr>
          <w:rFonts w:ascii="Times" w:eastAsia="Times" w:hAnsi="Times"/>
          <w:szCs w:val="20"/>
        </w:rPr>
        <w:t>and proposed decoupling mechanism</w:t>
      </w:r>
      <w:r w:rsidR="00DB3A80">
        <w:rPr>
          <w:rFonts w:ascii="Times" w:eastAsia="Times" w:hAnsi="Times"/>
          <w:szCs w:val="20"/>
        </w:rPr>
        <w:t>.</w:t>
      </w:r>
      <w:r w:rsidR="00BF1B1A">
        <w:rPr>
          <w:b/>
        </w:rPr>
        <w:br w:type="page"/>
      </w:r>
    </w:p>
    <w:p w:rsidR="00CF2880" w:rsidRPr="009C785D" w:rsidRDefault="00CF2880" w:rsidP="009C785D">
      <w:pPr>
        <w:suppressLineNumbers/>
        <w:jc w:val="center"/>
        <w:rPr>
          <w:b/>
        </w:rPr>
      </w:pPr>
      <w:r w:rsidRPr="00CF2880">
        <w:rPr>
          <w:b/>
        </w:rPr>
        <w:t>TABLE 2</w:t>
      </w:r>
    </w:p>
    <w:tbl>
      <w:tblPr>
        <w:tblW w:w="9738" w:type="dxa"/>
        <w:tblLayout w:type="fixed"/>
        <w:tblCellMar>
          <w:left w:w="0" w:type="dxa"/>
          <w:right w:w="0" w:type="dxa"/>
        </w:tblCellMar>
        <w:tblLook w:val="04A0" w:firstRow="1" w:lastRow="0" w:firstColumn="1" w:lastColumn="0" w:noHBand="0" w:noVBand="1"/>
      </w:tblPr>
      <w:tblGrid>
        <w:gridCol w:w="1843"/>
        <w:gridCol w:w="1843"/>
        <w:gridCol w:w="1843"/>
        <w:gridCol w:w="1959"/>
        <w:gridCol w:w="2250"/>
      </w:tblGrid>
      <w:tr w:rsidR="00CF2880" w:rsidTr="009C785D">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2880" w:rsidRDefault="00CF2880"/>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F2880" w:rsidRDefault="00CF2880">
            <w:pPr>
              <w:jc w:val="center"/>
            </w:pPr>
            <w:r>
              <w:t>Pacific Power UE-140762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F2880" w:rsidRDefault="00CF2880">
            <w:pPr>
              <w:jc w:val="center"/>
            </w:pPr>
            <w:r>
              <w:t xml:space="preserve">Puget Sound Energy </w:t>
            </w:r>
          </w:p>
          <w:p w:rsidR="00CF2880" w:rsidRDefault="00CF2880">
            <w:pPr>
              <w:jc w:val="center"/>
            </w:pPr>
            <w:r>
              <w:t>UE-130137</w:t>
            </w:r>
          </w:p>
        </w:tc>
        <w:tc>
          <w:tcPr>
            <w:tcW w:w="19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F146E" w:rsidRDefault="00CF2880">
            <w:pPr>
              <w:jc w:val="center"/>
            </w:pPr>
            <w:r>
              <w:t xml:space="preserve">Avista Corporation </w:t>
            </w:r>
          </w:p>
          <w:p w:rsidR="00CF2880" w:rsidRDefault="00CF2880">
            <w:pPr>
              <w:jc w:val="center"/>
            </w:pPr>
            <w:r>
              <w:t>UE-140188</w:t>
            </w:r>
            <w:r w:rsidR="002F146E">
              <w:rPr>
                <w:rStyle w:val="FootnoteReference"/>
              </w:rPr>
              <w:footnoteReference w:id="30"/>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F2880" w:rsidRDefault="00CF2880">
            <w:pPr>
              <w:jc w:val="center"/>
            </w:pPr>
            <w:r>
              <w:t xml:space="preserve">Avista Corporation </w:t>
            </w:r>
            <w:r w:rsidR="002F146E">
              <w:t>(settled/pending approval)</w:t>
            </w:r>
            <w:r>
              <w:t xml:space="preserve"> </w:t>
            </w:r>
          </w:p>
          <w:p w:rsidR="00CF2880" w:rsidRDefault="00CF2880">
            <w:pPr>
              <w:jc w:val="center"/>
            </w:pPr>
            <w:r>
              <w:t>UE-150204</w:t>
            </w:r>
          </w:p>
        </w:tc>
      </w:tr>
      <w:tr w:rsidR="00CF2880" w:rsidTr="009C785D">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880" w:rsidRDefault="00CF2880" w:rsidP="007B04BC">
            <w:pPr>
              <w:jc w:val="left"/>
            </w:pPr>
            <w:r>
              <w:t>Return on Equity</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9.5%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9.8%</w:t>
            </w:r>
          </w:p>
        </w:tc>
        <w:tc>
          <w:tcPr>
            <w:tcW w:w="1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5B623D" w:rsidP="002F146E">
            <w:pPr>
              <w:jc w:val="center"/>
            </w:pPr>
            <w:r>
              <w:t>U</w:t>
            </w:r>
            <w:r w:rsidR="00CF2880">
              <w:t>nspecified</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9.5%</w:t>
            </w:r>
          </w:p>
        </w:tc>
      </w:tr>
      <w:tr w:rsidR="00CF2880" w:rsidTr="009C785D">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880" w:rsidRDefault="00CF2880" w:rsidP="007B04BC">
            <w:pPr>
              <w:jc w:val="left"/>
            </w:pPr>
            <w:r>
              <w:t>Total Rate of Return</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7.30%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7.77%</w:t>
            </w:r>
          </w:p>
        </w:tc>
        <w:tc>
          <w:tcPr>
            <w:tcW w:w="1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7.32%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2880" w:rsidRDefault="00CF2880" w:rsidP="002F146E">
            <w:pPr>
              <w:jc w:val="center"/>
            </w:pPr>
            <w:r>
              <w:t>7.29%</w:t>
            </w:r>
          </w:p>
        </w:tc>
      </w:tr>
    </w:tbl>
    <w:p w:rsidR="00BF1B1A" w:rsidRDefault="00BF1B1A" w:rsidP="00BF1B1A">
      <w:pPr>
        <w:suppressLineNumbers/>
        <w:tabs>
          <w:tab w:val="left" w:pos="720"/>
        </w:tabs>
        <w:jc w:val="left"/>
        <w:rPr>
          <w:rFonts w:ascii="Times" w:eastAsia="Times" w:hAnsi="Times"/>
          <w:b/>
          <w:szCs w:val="20"/>
        </w:rPr>
      </w:pPr>
    </w:p>
    <w:p w:rsidR="001D4D86" w:rsidRDefault="001D4D86" w:rsidP="001D4D86">
      <w:pPr>
        <w:tabs>
          <w:tab w:val="left" w:pos="720"/>
        </w:tabs>
        <w:spacing w:line="480" w:lineRule="auto"/>
        <w:jc w:val="left"/>
        <w:rPr>
          <w:rFonts w:ascii="Times" w:eastAsia="Times" w:hAnsi="Times"/>
          <w:szCs w:val="20"/>
        </w:rPr>
      </w:pPr>
      <w:r w:rsidRPr="001D4D86">
        <w:rPr>
          <w:rFonts w:ascii="Times" w:eastAsia="Times" w:hAnsi="Times"/>
          <w:b/>
          <w:szCs w:val="20"/>
        </w:rPr>
        <w:t>Q.</w:t>
      </w:r>
      <w:r>
        <w:rPr>
          <w:rFonts w:ascii="Times" w:eastAsia="Times" w:hAnsi="Times"/>
          <w:szCs w:val="20"/>
        </w:rPr>
        <w:tab/>
      </w:r>
      <w:r w:rsidRPr="001D4D86">
        <w:rPr>
          <w:rFonts w:ascii="Times" w:eastAsia="Times" w:hAnsi="Times"/>
          <w:b/>
          <w:szCs w:val="20"/>
        </w:rPr>
        <w:t>Did Pacific Power do anything else to narrow the scope of the ERF?</w:t>
      </w:r>
    </w:p>
    <w:p w:rsidR="001D4D86" w:rsidRPr="001D4D86" w:rsidRDefault="008A1227" w:rsidP="002F11AE">
      <w:pPr>
        <w:tabs>
          <w:tab w:val="left" w:pos="720"/>
        </w:tabs>
        <w:spacing w:line="480" w:lineRule="auto"/>
        <w:ind w:left="720" w:hanging="720"/>
        <w:jc w:val="left"/>
        <w:rPr>
          <w:rFonts w:ascii="Times" w:eastAsia="Times" w:hAnsi="Times"/>
          <w:szCs w:val="20"/>
        </w:rPr>
      </w:pPr>
      <w:r>
        <w:rPr>
          <w:rFonts w:ascii="Times" w:eastAsia="Times" w:hAnsi="Times"/>
          <w:szCs w:val="20"/>
        </w:rPr>
        <w:t>A.</w:t>
      </w:r>
      <w:r w:rsidR="001D4D86">
        <w:rPr>
          <w:rFonts w:ascii="Times" w:eastAsia="Times" w:hAnsi="Times"/>
          <w:szCs w:val="20"/>
        </w:rPr>
        <w:tab/>
        <w:t xml:space="preserve">Yes.  Beyond not changing the </w:t>
      </w:r>
      <w:r w:rsidR="00A56B79">
        <w:rPr>
          <w:rFonts w:ascii="Times" w:eastAsia="Times" w:hAnsi="Times"/>
          <w:szCs w:val="20"/>
        </w:rPr>
        <w:t>cost of capital</w:t>
      </w:r>
      <w:r w:rsidR="001D4D86">
        <w:rPr>
          <w:rFonts w:ascii="Times" w:eastAsia="Times" w:hAnsi="Times"/>
          <w:szCs w:val="20"/>
        </w:rPr>
        <w:t xml:space="preserve">, the Company also avoided the other triggers for a </w:t>
      </w:r>
      <w:r w:rsidR="00A56B79">
        <w:rPr>
          <w:rFonts w:ascii="Times" w:eastAsia="Times" w:hAnsi="Times"/>
          <w:szCs w:val="20"/>
        </w:rPr>
        <w:t xml:space="preserve">general rate case </w:t>
      </w:r>
      <w:r w:rsidR="001D4D86">
        <w:rPr>
          <w:rFonts w:ascii="Times" w:eastAsia="Times" w:hAnsi="Times"/>
          <w:szCs w:val="20"/>
        </w:rPr>
        <w:t>under WAC 480-07-505(1).  Pacific Power’s request increases rates by less than three percent (WAC 480-07-505(1)(a)</w:t>
      </w:r>
      <w:r w:rsidR="002D11BE">
        <w:rPr>
          <w:rFonts w:ascii="Times" w:eastAsia="Times" w:hAnsi="Times"/>
          <w:szCs w:val="20"/>
        </w:rPr>
        <w:t>)</w:t>
      </w:r>
      <w:r w:rsidR="001D4D86">
        <w:rPr>
          <w:rFonts w:ascii="Times" w:eastAsia="Times" w:hAnsi="Times"/>
          <w:szCs w:val="20"/>
        </w:rPr>
        <w:t xml:space="preserve"> </w:t>
      </w:r>
      <w:r w:rsidR="00C05090">
        <w:rPr>
          <w:rFonts w:ascii="Times" w:eastAsia="Times" w:hAnsi="Times"/>
          <w:szCs w:val="20"/>
        </w:rPr>
        <w:t xml:space="preserve">on an overall and </w:t>
      </w:r>
      <w:r w:rsidR="00517E65">
        <w:rPr>
          <w:rFonts w:ascii="Times" w:eastAsia="Times" w:hAnsi="Times"/>
          <w:szCs w:val="20"/>
        </w:rPr>
        <w:t>individual customer class</w:t>
      </w:r>
      <w:r w:rsidR="00C05090">
        <w:rPr>
          <w:rFonts w:ascii="Times" w:eastAsia="Times" w:hAnsi="Times"/>
          <w:szCs w:val="20"/>
        </w:rPr>
        <w:t xml:space="preserve"> basis </w:t>
      </w:r>
      <w:r w:rsidR="001D4D86">
        <w:rPr>
          <w:rFonts w:ascii="Times" w:eastAsia="Times" w:hAnsi="Times"/>
          <w:szCs w:val="20"/>
        </w:rPr>
        <w:t>(WAC 480-07-505(1)(b)</w:t>
      </w:r>
      <w:r w:rsidR="002D11BE">
        <w:rPr>
          <w:rFonts w:ascii="Times" w:eastAsia="Times" w:hAnsi="Times"/>
          <w:szCs w:val="20"/>
        </w:rPr>
        <w:t>)</w:t>
      </w:r>
      <w:r w:rsidR="001D4D86">
        <w:rPr>
          <w:rFonts w:ascii="Times" w:eastAsia="Times" w:hAnsi="Times"/>
          <w:szCs w:val="20"/>
        </w:rPr>
        <w:t xml:space="preserve">.  Pacific Power’s filing is not a </w:t>
      </w:r>
      <w:r w:rsidR="00A56B79">
        <w:rPr>
          <w:rFonts w:ascii="Times" w:eastAsia="Times" w:hAnsi="Times"/>
          <w:szCs w:val="20"/>
        </w:rPr>
        <w:t>general rate case</w:t>
      </w:r>
      <w:r w:rsidR="001D4D86">
        <w:rPr>
          <w:rFonts w:ascii="Times" w:eastAsia="Times" w:hAnsi="Times"/>
          <w:szCs w:val="20"/>
        </w:rPr>
        <w:t>.  Importantly</w:t>
      </w:r>
      <w:r w:rsidR="00304F53">
        <w:rPr>
          <w:rFonts w:ascii="Times" w:eastAsia="Times" w:hAnsi="Times"/>
          <w:szCs w:val="20"/>
        </w:rPr>
        <w:t>,</w:t>
      </w:r>
      <w:r w:rsidR="001D4D86">
        <w:rPr>
          <w:rFonts w:ascii="Times" w:eastAsia="Times" w:hAnsi="Times"/>
          <w:szCs w:val="20"/>
        </w:rPr>
        <w:t xml:space="preserve"> this filing is designed with the express goal of avoiding yet another </w:t>
      </w:r>
      <w:r w:rsidR="00A56B79">
        <w:rPr>
          <w:rFonts w:ascii="Times" w:eastAsia="Times" w:hAnsi="Times"/>
          <w:szCs w:val="20"/>
        </w:rPr>
        <w:t xml:space="preserve">general rate case </w:t>
      </w:r>
      <w:r w:rsidR="002F11AE">
        <w:rPr>
          <w:rFonts w:ascii="Times" w:eastAsia="Times" w:hAnsi="Times"/>
          <w:szCs w:val="20"/>
        </w:rPr>
        <w:t>and follows, “</w:t>
      </w:r>
      <w:r w:rsidR="002F11AE" w:rsidRPr="002F11AE">
        <w:rPr>
          <w:rFonts w:ascii="Times" w:eastAsia="Times" w:hAnsi="Times"/>
          <w:szCs w:val="20"/>
        </w:rPr>
        <w:t>the Commission’s invitation to parties to present innovative approaches to ratemaking that would avoid the complex process of a general rate case and the need to invoke the special rules in WAC 480</w:t>
      </w:r>
      <w:r w:rsidR="002F146E">
        <w:rPr>
          <w:rFonts w:ascii="Times" w:eastAsia="Times" w:hAnsi="Times"/>
          <w:szCs w:val="20"/>
        </w:rPr>
        <w:noBreakHyphen/>
      </w:r>
      <w:r w:rsidR="002F11AE" w:rsidRPr="002F11AE">
        <w:rPr>
          <w:rFonts w:ascii="Times" w:eastAsia="Times" w:hAnsi="Times"/>
          <w:szCs w:val="20"/>
        </w:rPr>
        <w:t>07, Subpart</w:t>
      </w:r>
      <w:r>
        <w:rPr>
          <w:rFonts w:ascii="Times" w:eastAsia="Times" w:hAnsi="Times"/>
          <w:szCs w:val="20"/>
        </w:rPr>
        <w:t> </w:t>
      </w:r>
      <w:r w:rsidR="002F11AE" w:rsidRPr="002F11AE">
        <w:rPr>
          <w:rFonts w:ascii="Times" w:eastAsia="Times" w:hAnsi="Times"/>
          <w:szCs w:val="20"/>
        </w:rPr>
        <w:t>B.”</w:t>
      </w:r>
      <w:r w:rsidR="002F11AE" w:rsidRPr="002F11AE">
        <w:rPr>
          <w:rFonts w:ascii="Times" w:eastAsia="Times" w:hAnsi="Times"/>
          <w:szCs w:val="20"/>
          <w:vertAlign w:val="superscript"/>
        </w:rPr>
        <w:footnoteReference w:id="31"/>
      </w:r>
      <w:r w:rsidR="00A07373">
        <w:rPr>
          <w:rFonts w:ascii="Times" w:eastAsia="Times" w:hAnsi="Times"/>
          <w:szCs w:val="20"/>
        </w:rPr>
        <w:tab/>
      </w:r>
      <w:r w:rsidR="009C785D">
        <w:rPr>
          <w:rFonts w:ascii="Times" w:eastAsia="Times" w:hAnsi="Times"/>
          <w:szCs w:val="20"/>
        </w:rPr>
        <w:t xml:space="preserve"> </w:t>
      </w:r>
      <w:r w:rsidR="00736FAE">
        <w:rPr>
          <w:rFonts w:ascii="Times" w:eastAsia="Times" w:hAnsi="Times"/>
          <w:szCs w:val="20"/>
        </w:rPr>
        <w:t xml:space="preserve"> </w:t>
      </w:r>
      <w:r w:rsidR="00A07373">
        <w:rPr>
          <w:rFonts w:ascii="Times" w:eastAsia="Times" w:hAnsi="Times"/>
          <w:szCs w:val="20"/>
        </w:rPr>
        <w:t xml:space="preserve">As detailed in the Company’s Petition, if the Commission determines that an exemption from the </w:t>
      </w:r>
      <w:r w:rsidR="00A56B79">
        <w:rPr>
          <w:rFonts w:ascii="Times" w:eastAsia="Times" w:hAnsi="Times"/>
          <w:szCs w:val="20"/>
        </w:rPr>
        <w:t xml:space="preserve">general rate case </w:t>
      </w:r>
      <w:r w:rsidR="00A07373">
        <w:rPr>
          <w:rFonts w:ascii="Times" w:eastAsia="Times" w:hAnsi="Times"/>
          <w:szCs w:val="20"/>
        </w:rPr>
        <w:t>rules is necessary, Pacific Power requests an exemption consistent with the public interest and underlying regulation.</w:t>
      </w:r>
      <w:r w:rsidR="00A07373" w:rsidRPr="00A07373">
        <w:rPr>
          <w:rFonts w:ascii="Times" w:eastAsia="Times" w:hAnsi="Times"/>
          <w:szCs w:val="20"/>
          <w:vertAlign w:val="superscript"/>
        </w:rPr>
        <w:footnoteReference w:id="32"/>
      </w:r>
      <w:r w:rsidR="00A07373">
        <w:rPr>
          <w:rFonts w:ascii="Times" w:eastAsia="Times" w:hAnsi="Times"/>
          <w:szCs w:val="20"/>
        </w:rPr>
        <w:t xml:space="preserve"> </w:t>
      </w:r>
      <w:r w:rsidR="00A07373" w:rsidRPr="00A07373">
        <w:rPr>
          <w:rFonts w:ascii="Times" w:eastAsia="Times" w:hAnsi="Times"/>
          <w:szCs w:val="20"/>
        </w:rPr>
        <w:t xml:space="preserve">  </w:t>
      </w:r>
      <w:r w:rsidR="00A07373">
        <w:rPr>
          <w:rFonts w:ascii="Times" w:eastAsia="Times" w:hAnsi="Times"/>
          <w:szCs w:val="20"/>
        </w:rPr>
        <w:t xml:space="preserve"> </w:t>
      </w:r>
      <w:r w:rsidR="001D4D86">
        <w:rPr>
          <w:rFonts w:ascii="Times" w:eastAsia="Times" w:hAnsi="Times"/>
          <w:szCs w:val="20"/>
        </w:rPr>
        <w:t xml:space="preserve">  </w:t>
      </w:r>
    </w:p>
    <w:p w:rsidR="007C0943" w:rsidRPr="008168FD" w:rsidRDefault="007C0943" w:rsidP="008168FD">
      <w:pPr>
        <w:pStyle w:val="Answer"/>
        <w:widowControl w:val="0"/>
        <w:ind w:left="0" w:firstLine="0"/>
        <w:jc w:val="left"/>
      </w:pPr>
      <w:r w:rsidRPr="007C0943">
        <w:rPr>
          <w:b/>
        </w:rPr>
        <w:t>Q.</w:t>
      </w:r>
      <w:r w:rsidRPr="007C0943">
        <w:rPr>
          <w:b/>
        </w:rPr>
        <w:tab/>
      </w:r>
      <w:r w:rsidR="002F11AE">
        <w:rPr>
          <w:b/>
        </w:rPr>
        <w:t>What procedural process does the Company envision for this filing?</w:t>
      </w:r>
    </w:p>
    <w:p w:rsidR="00B432BE" w:rsidRDefault="007C0943" w:rsidP="00472361">
      <w:pPr>
        <w:pStyle w:val="Answer"/>
        <w:widowControl w:val="0"/>
        <w:jc w:val="left"/>
      </w:pPr>
      <w:r>
        <w:t>A.</w:t>
      </w:r>
      <w:r>
        <w:tab/>
      </w:r>
      <w:r w:rsidR="00304F53">
        <w:t xml:space="preserve">Because </w:t>
      </w:r>
      <w:r w:rsidR="002F11AE">
        <w:t xml:space="preserve">the scope of this proceeding is limited, Pacific Power </w:t>
      </w:r>
      <w:r w:rsidR="00B432BE">
        <w:t xml:space="preserve">anticipates that a final order can </w:t>
      </w:r>
      <w:r w:rsidR="001F5220">
        <w:t xml:space="preserve">be </w:t>
      </w:r>
      <w:r w:rsidR="00B432BE">
        <w:t>issued by May 1, 2016.</w:t>
      </w:r>
      <w:r w:rsidR="001F5220">
        <w:t xml:space="preserve">  The Company requests an early prehearing conference, prompt entry of a protective order, and immediate commencement of discovery.  Although the Company requests an abbreviated procedural schedule, Pacific Power still believes that all the aspects of a fully-adjudicated case should be built into the procedural schedule</w:t>
      </w:r>
      <w:r w:rsidR="00472361">
        <w:t xml:space="preserve"> and it has waived the </w:t>
      </w:r>
      <w:r w:rsidR="00472361" w:rsidRPr="00472361">
        <w:t>suspension period under WAC 480-100-194</w:t>
      </w:r>
      <w:r w:rsidR="001F5220">
        <w:t>.  To assist in the review of the filing, t</w:t>
      </w:r>
      <w:r w:rsidR="00B432BE">
        <w:t xml:space="preserve">he Company has provided documentation normally required in a </w:t>
      </w:r>
      <w:r w:rsidR="00A56B79">
        <w:t>general rate case</w:t>
      </w:r>
      <w:r w:rsidR="002F11AE">
        <w:t>.</w:t>
      </w:r>
      <w:r w:rsidR="001F5220">
        <w:t xml:space="preserve">  Pacific Power will work with stakeholders and the Commission to arrive at a fa</w:t>
      </w:r>
      <w:r w:rsidR="002F146E">
        <w:t>i</w:t>
      </w:r>
      <w:r w:rsidR="001F5220">
        <w:t>r and expeditious procedural schedule</w:t>
      </w:r>
      <w:r w:rsidR="002F146E">
        <w:t xml:space="preserve"> </w:t>
      </w:r>
      <w:r w:rsidR="001F5220">
        <w:t>and hearing process</w:t>
      </w:r>
      <w:r w:rsidR="00A51E88">
        <w:t>.</w:t>
      </w:r>
      <w:r w:rsidR="00B3312B">
        <w:t xml:space="preserve">  </w:t>
      </w:r>
      <w:r w:rsidR="001F3378">
        <w:t xml:space="preserve"> </w:t>
      </w:r>
      <w:r w:rsidR="001F5220">
        <w:t xml:space="preserve"> </w:t>
      </w:r>
      <w:r w:rsidR="002F11AE">
        <w:t xml:space="preserve"> </w:t>
      </w:r>
    </w:p>
    <w:p w:rsidR="00473F35" w:rsidRPr="00473F35" w:rsidRDefault="00473F35" w:rsidP="00472361">
      <w:pPr>
        <w:pStyle w:val="Answer"/>
        <w:widowControl w:val="0"/>
        <w:jc w:val="left"/>
        <w:rPr>
          <w:b/>
        </w:rPr>
      </w:pPr>
      <w:r w:rsidRPr="00473F35">
        <w:rPr>
          <w:b/>
        </w:rPr>
        <w:t>Q.</w:t>
      </w:r>
      <w:r w:rsidRPr="00473F35">
        <w:rPr>
          <w:b/>
        </w:rPr>
        <w:tab/>
      </w:r>
      <w:r w:rsidR="002F146E">
        <w:rPr>
          <w:b/>
        </w:rPr>
        <w:t>Before</w:t>
      </w:r>
      <w:r w:rsidRPr="00473F35">
        <w:rPr>
          <w:b/>
        </w:rPr>
        <w:t xml:space="preserve"> this filing, did you meet with stakeholders to get their feedback? </w:t>
      </w:r>
    </w:p>
    <w:p w:rsidR="00473F35" w:rsidRDefault="00473F35" w:rsidP="00472361">
      <w:pPr>
        <w:pStyle w:val="Answer"/>
        <w:widowControl w:val="0"/>
        <w:jc w:val="left"/>
      </w:pPr>
      <w:r>
        <w:t>A.</w:t>
      </w:r>
      <w:r>
        <w:tab/>
        <w:t xml:space="preserve">Yes.  The Company met with all </w:t>
      </w:r>
      <w:r w:rsidR="0007672B">
        <w:t xml:space="preserve">major </w:t>
      </w:r>
      <w:r>
        <w:t xml:space="preserve">parties </w:t>
      </w:r>
      <w:r w:rsidR="0007672B">
        <w:t xml:space="preserve">in </w:t>
      </w:r>
      <w:r>
        <w:t xml:space="preserve">its 2014 </w:t>
      </w:r>
      <w:r w:rsidR="00A56B79">
        <w:t>Rate Case</w:t>
      </w:r>
      <w:r>
        <w:t xml:space="preserve"> and reviewed the key elements of this filing.  The Company has reflected feedback from the parties in this filing.  </w:t>
      </w:r>
    </w:p>
    <w:p w:rsidR="00F913F6" w:rsidRPr="00DA0E7C" w:rsidRDefault="006D4DE9" w:rsidP="00DA0E7C">
      <w:pPr>
        <w:pStyle w:val="Heading1"/>
      </w:pPr>
      <w:bookmarkStart w:id="8" w:name="_Toc436040512"/>
      <w:r w:rsidRPr="00DA0E7C">
        <w:t xml:space="preserve">TWO-YEAR </w:t>
      </w:r>
      <w:r w:rsidR="00F913F6" w:rsidRPr="00DA0E7C">
        <w:t>RATE PLAN</w:t>
      </w:r>
      <w:bookmarkEnd w:id="8"/>
    </w:p>
    <w:p w:rsidR="00C63B21" w:rsidRDefault="00C63B21" w:rsidP="00C63B21">
      <w:pPr>
        <w:pStyle w:val="Answer"/>
        <w:widowControl w:val="0"/>
        <w:jc w:val="left"/>
        <w:rPr>
          <w:b/>
        </w:rPr>
      </w:pPr>
      <w:r w:rsidRPr="007C0943">
        <w:rPr>
          <w:b/>
        </w:rPr>
        <w:t>Q.</w:t>
      </w:r>
      <w:r w:rsidRPr="007C0943">
        <w:rPr>
          <w:b/>
        </w:rPr>
        <w:tab/>
      </w:r>
      <w:r w:rsidR="00E47410">
        <w:rPr>
          <w:b/>
        </w:rPr>
        <w:t>Is Pacific Power also requesting a second rate increase?</w:t>
      </w:r>
    </w:p>
    <w:p w:rsidR="00C63B21" w:rsidRPr="00C63B21" w:rsidRDefault="00C63B21" w:rsidP="00C63B21">
      <w:pPr>
        <w:pStyle w:val="Answer"/>
        <w:widowControl w:val="0"/>
        <w:jc w:val="left"/>
      </w:pPr>
      <w:r w:rsidRPr="00C63B21">
        <w:t>A.</w:t>
      </w:r>
      <w:r w:rsidR="00E47410">
        <w:tab/>
        <w:t xml:space="preserve">Yes.  The Company’s rate plan calls for a second rate increase of </w:t>
      </w:r>
      <w:r w:rsidR="006C6C2D">
        <w:t>$10.3 million</w:t>
      </w:r>
      <w:r w:rsidR="00A56B79">
        <w:t>,</w:t>
      </w:r>
      <w:r w:rsidR="006C6C2D">
        <w:t xml:space="preserve"> or </w:t>
      </w:r>
      <w:r w:rsidR="00E47410">
        <w:t>2.99 percent</w:t>
      </w:r>
      <w:r w:rsidR="00A56B79">
        <w:t>,</w:t>
      </w:r>
      <w:r w:rsidR="00E47410">
        <w:t xml:space="preserve"> effective May 1, 2017. </w:t>
      </w:r>
    </w:p>
    <w:p w:rsidR="00C63B21" w:rsidRPr="007C0943" w:rsidRDefault="00C63B21" w:rsidP="00C63B21">
      <w:pPr>
        <w:pStyle w:val="Answer"/>
        <w:widowControl w:val="0"/>
        <w:jc w:val="left"/>
        <w:rPr>
          <w:b/>
        </w:rPr>
      </w:pPr>
      <w:r w:rsidRPr="007C0943">
        <w:rPr>
          <w:b/>
        </w:rPr>
        <w:t>Q.</w:t>
      </w:r>
      <w:r w:rsidRPr="007C0943">
        <w:rPr>
          <w:b/>
        </w:rPr>
        <w:tab/>
        <w:t xml:space="preserve">What </w:t>
      </w:r>
      <w:r w:rsidR="00E47410">
        <w:rPr>
          <w:b/>
        </w:rPr>
        <w:t>is driving the need for the May 1, 2017 rate increase</w:t>
      </w:r>
      <w:r w:rsidRPr="007C0943">
        <w:rPr>
          <w:b/>
        </w:rPr>
        <w:t>?</w:t>
      </w:r>
    </w:p>
    <w:p w:rsidR="00F913F6" w:rsidRDefault="00C63B21" w:rsidP="00BF1B1A">
      <w:pPr>
        <w:pStyle w:val="Answer"/>
        <w:jc w:val="left"/>
      </w:pPr>
      <w:r w:rsidRPr="00C63B21">
        <w:t>A.</w:t>
      </w:r>
      <w:r w:rsidR="00E47410">
        <w:tab/>
        <w:t>As detailed above, Pacific Power is experiencing a ten</w:t>
      </w:r>
      <w:r w:rsidR="00C3365E">
        <w:t>-</w:t>
      </w:r>
      <w:r w:rsidR="00E47410">
        <w:t>year trend of earnings attrition.  This has been a persistent problem for the Company</w:t>
      </w:r>
      <w:r w:rsidR="00944DD2">
        <w:t>,</w:t>
      </w:r>
      <w:r w:rsidR="00E47410">
        <w:t xml:space="preserve"> even though Pacific Power has proactively and aggressively controlled its costs over this period.  Pacific Power’s efforts have allowed the Company to minimize the frequency of </w:t>
      </w:r>
      <w:r w:rsidR="00A56B79">
        <w:t>general rate case</w:t>
      </w:r>
      <w:r w:rsidR="00E47410">
        <w:t xml:space="preserve">s in its other five jurisdictions, but have not helped reduce the number of </w:t>
      </w:r>
      <w:r w:rsidR="00A56B79">
        <w:t>general rate case</w:t>
      </w:r>
      <w:r w:rsidR="00E47410">
        <w:t xml:space="preserve">s in Washington. </w:t>
      </w:r>
    </w:p>
    <w:p w:rsidR="00983AAA" w:rsidRDefault="00983AAA" w:rsidP="00983AAA">
      <w:pPr>
        <w:pStyle w:val="Answer"/>
        <w:widowControl w:val="0"/>
        <w:jc w:val="left"/>
      </w:pPr>
      <w:r>
        <w:rPr>
          <w:b/>
        </w:rPr>
        <w:t>Q.</w:t>
      </w:r>
      <w:r>
        <w:rPr>
          <w:b/>
        </w:rPr>
        <w:tab/>
        <w:t>Has the Company been able to provide periods of rate stability and certainty in its other five states?</w:t>
      </w:r>
    </w:p>
    <w:p w:rsidR="009D57F2" w:rsidRDefault="00983AAA" w:rsidP="007B04BC">
      <w:pPr>
        <w:pStyle w:val="Answer"/>
        <w:jc w:val="left"/>
      </w:pPr>
      <w:r>
        <w:t>A.</w:t>
      </w:r>
      <w:r>
        <w:tab/>
        <w:t>Yes.  The Company entered into multi-year rate plans in all of the other states in which it operates.  Although cost control measures were not the only factor in reaching a settlement, the settlements do provide examples of the beneficial effect of the Com</w:t>
      </w:r>
      <w:r w:rsidR="008A1227">
        <w:t xml:space="preserve">pany’s cost control measures.  </w:t>
      </w:r>
      <w:r>
        <w:t>For example, in December 2013, the Public Utility Commission of Oregon approved a stipulation in which the Company agreed not to file its next general rate case until 2015.</w:t>
      </w:r>
      <w:r>
        <w:rPr>
          <w:rStyle w:val="FootnoteReference"/>
        </w:rPr>
        <w:footnoteReference w:id="33"/>
      </w:r>
      <w:r>
        <w:t xml:space="preserve">  </w:t>
      </w:r>
    </w:p>
    <w:p w:rsidR="00C611A7" w:rsidRPr="00C611A7" w:rsidRDefault="009D57F2" w:rsidP="00C611A7">
      <w:pPr>
        <w:pStyle w:val="Answer"/>
        <w:widowControl w:val="0"/>
        <w:jc w:val="left"/>
        <w:rPr>
          <w:b/>
        </w:rPr>
      </w:pPr>
      <w:r>
        <w:rPr>
          <w:b/>
        </w:rPr>
        <w:t>Q.</w:t>
      </w:r>
      <w:r>
        <w:rPr>
          <w:b/>
        </w:rPr>
        <w:tab/>
      </w:r>
      <w:r w:rsidR="00D5557E">
        <w:rPr>
          <w:b/>
        </w:rPr>
        <w:t>Beyond the general issues highlighted, are there any particular cost drivers for the May 1, 2017 rate increase?</w:t>
      </w:r>
    </w:p>
    <w:p w:rsidR="007A1F10" w:rsidRDefault="00C611A7" w:rsidP="00D5557E">
      <w:pPr>
        <w:pStyle w:val="Answer"/>
        <w:widowControl w:val="0"/>
        <w:jc w:val="left"/>
      </w:pPr>
      <w:r>
        <w:t>A.</w:t>
      </w:r>
      <w:r>
        <w:tab/>
        <w:t xml:space="preserve">Yes.  </w:t>
      </w:r>
      <w:r w:rsidR="00D5557E">
        <w:t>There are four significant cost drivers in 2016.</w:t>
      </w:r>
      <w:r w:rsidR="00213FFC">
        <w:t xml:space="preserve">  </w:t>
      </w:r>
      <w:r w:rsidR="00D5557E">
        <w:t xml:space="preserve">First, the Company </w:t>
      </w:r>
      <w:r w:rsidR="00403759">
        <w:t>will overhaul Jim Bridge</w:t>
      </w:r>
      <w:r w:rsidR="00BC668C">
        <w:t>r Unit 4 and install SCR system</w:t>
      </w:r>
      <w:r w:rsidR="00403759">
        <w:t xml:space="preserve"> by December 2016, as required </w:t>
      </w:r>
      <w:r w:rsidR="00D5557E">
        <w:t>by state and federal air quality regulations.</w:t>
      </w:r>
      <w:r w:rsidR="00555010">
        <w:t xml:space="preserve">  The direct testimony of </w:t>
      </w:r>
      <w:r w:rsidR="00751187">
        <w:t xml:space="preserve">Mr. </w:t>
      </w:r>
      <w:r w:rsidR="00555010">
        <w:t xml:space="preserve">Teply details the overhaul of Jim Bridger Unit 4 and the direct testimony of </w:t>
      </w:r>
      <w:r w:rsidR="00751187">
        <w:t xml:space="preserve">Mr. </w:t>
      </w:r>
      <w:r w:rsidR="00555010">
        <w:t xml:space="preserve">Link supports the prudence of the Company’s decision to </w:t>
      </w:r>
      <w:r w:rsidR="00BC668C">
        <w:t>install the SCR system</w:t>
      </w:r>
      <w:r w:rsidR="00555010">
        <w:t xml:space="preserve"> </w:t>
      </w:r>
      <w:r w:rsidR="00403759">
        <w:t>at</w:t>
      </w:r>
      <w:r w:rsidR="00E7344C">
        <w:t xml:space="preserve"> Jim Bridger Unit 4, </w:t>
      </w:r>
      <w:r w:rsidR="00555010">
        <w:t>instead of pursuing other options.</w:t>
      </w:r>
      <w:r w:rsidR="007A1F10">
        <w:t xml:space="preserve">  This is the same obligation that Pacific Power must meet for th</w:t>
      </w:r>
      <w:r w:rsidR="00BC668C">
        <w:t>e Jim Bridger Unit 3 SCR system</w:t>
      </w:r>
      <w:r w:rsidR="007A1F10">
        <w:t xml:space="preserve"> this year.  The scope of the 2016 project is similar to the 2015 project and is scheduled to be in</w:t>
      </w:r>
      <w:r w:rsidR="00A56B79">
        <w:t xml:space="preserve"> </w:t>
      </w:r>
      <w:r w:rsidR="007A1F10">
        <w:t>service by November 2016.  Th</w:t>
      </w:r>
      <w:r w:rsidR="00751187">
        <w:t>e</w:t>
      </w:r>
      <w:r w:rsidR="007A1F10">
        <w:t xml:space="preserve"> </w:t>
      </w:r>
      <w:r w:rsidR="00751187">
        <w:t xml:space="preserve">2015 and 2016 </w:t>
      </w:r>
      <w:r w:rsidR="007A1F10">
        <w:t>project</w:t>
      </w:r>
      <w:r w:rsidR="00751187">
        <w:t xml:space="preserve">s were completed concurrently, with their installation timed to occur in the most cost-effective manner </w:t>
      </w:r>
      <w:r w:rsidR="00881D9B">
        <w:t xml:space="preserve">during </w:t>
      </w:r>
      <w:r w:rsidR="00751187">
        <w:t xml:space="preserve">the </w:t>
      </w:r>
      <w:r w:rsidR="00881D9B">
        <w:t xml:space="preserve">previously scheduled </w:t>
      </w:r>
      <w:r w:rsidR="00751187">
        <w:t>major overhauls at Jim Bridger Units 3 and 4</w:t>
      </w:r>
      <w:r w:rsidR="00881D9B">
        <w:t>.</w:t>
      </w:r>
      <w:r w:rsidR="00751187">
        <w:t xml:space="preserve">  </w:t>
      </w:r>
    </w:p>
    <w:p w:rsidR="00D5557E" w:rsidRDefault="007A1F10" w:rsidP="00D5557E">
      <w:pPr>
        <w:pStyle w:val="Answer"/>
        <w:widowControl w:val="0"/>
        <w:jc w:val="left"/>
      </w:pPr>
      <w:r>
        <w:tab/>
      </w:r>
      <w:r>
        <w:tab/>
        <w:t xml:space="preserve">Second, </w:t>
      </w:r>
      <w:r w:rsidR="0019105B">
        <w:t xml:space="preserve">as noted above, </w:t>
      </w:r>
      <w:r>
        <w:t xml:space="preserve">PTCs </w:t>
      </w:r>
      <w:r w:rsidRPr="00235D12">
        <w:t xml:space="preserve">for the </w:t>
      </w:r>
      <w:r>
        <w:t>Company’s renewable resources will expire starting in May 2016.  The expirati</w:t>
      </w:r>
      <w:r w:rsidR="00C05090">
        <w:t xml:space="preserve">on of PTCs </w:t>
      </w:r>
      <w:r w:rsidR="00403759">
        <w:t xml:space="preserve">is </w:t>
      </w:r>
      <w:r w:rsidR="00C05090">
        <w:t>readily quantifiable</w:t>
      </w:r>
      <w:r>
        <w:t xml:space="preserve"> and unavoidable cost drivers for the coming year.</w:t>
      </w:r>
      <w:r w:rsidR="00997BA4">
        <w:t xml:space="preserve">  Pacific Power cannot ameliorate the impact of tax </w:t>
      </w:r>
      <w:r w:rsidR="00217743">
        <w:t xml:space="preserve">law </w:t>
      </w:r>
      <w:r w:rsidR="00997BA4">
        <w:t>changes and</w:t>
      </w:r>
      <w:r w:rsidR="00217743">
        <w:t xml:space="preserve"> the increased costs must be accounted for on an ongoing basis</w:t>
      </w:r>
      <w:r w:rsidR="00997BA4">
        <w:t>.</w:t>
      </w:r>
    </w:p>
    <w:p w:rsidR="007A1F10" w:rsidRDefault="007A1F10" w:rsidP="00D5557E">
      <w:pPr>
        <w:pStyle w:val="Answer"/>
        <w:widowControl w:val="0"/>
        <w:jc w:val="left"/>
      </w:pPr>
      <w:r>
        <w:tab/>
      </w:r>
      <w:r>
        <w:tab/>
        <w:t xml:space="preserve">Third, </w:t>
      </w:r>
      <w:r w:rsidR="00B6447B">
        <w:t xml:space="preserve">as detailed in the direct testimony of </w:t>
      </w:r>
      <w:r w:rsidR="00A56B79">
        <w:t xml:space="preserve">Mr. </w:t>
      </w:r>
      <w:r w:rsidR="00B6447B">
        <w:t xml:space="preserve">Stuart </w:t>
      </w:r>
      <w:r w:rsidR="00A56B79">
        <w:t xml:space="preserve">J. </w:t>
      </w:r>
      <w:r w:rsidR="00B6447B">
        <w:t xml:space="preserve">Kelly, </w:t>
      </w:r>
      <w:r>
        <w:t>the Company’s</w:t>
      </w:r>
      <w:r w:rsidR="00A56B79">
        <w:t xml:space="preserve"> </w:t>
      </w:r>
      <w:r w:rsidRPr="000A4650">
        <w:t xml:space="preserve">Supervisory Control and Data Acquisition </w:t>
      </w:r>
      <w:r w:rsidR="00A56B79">
        <w:t xml:space="preserve">Energy Management System </w:t>
      </w:r>
      <w:r>
        <w:t>project</w:t>
      </w:r>
      <w:r w:rsidR="00A56B79">
        <w:t xml:space="preserve"> </w:t>
      </w:r>
      <w:r w:rsidR="00C05090">
        <w:t xml:space="preserve">will </w:t>
      </w:r>
      <w:r>
        <w:t>be replaced and upgraded</w:t>
      </w:r>
      <w:r w:rsidR="00403759" w:rsidRPr="00403759">
        <w:t xml:space="preserve"> </w:t>
      </w:r>
      <w:r w:rsidR="00403759">
        <w:t>by March 2016</w:t>
      </w:r>
      <w:r>
        <w:t>.  This project is scheduled to be completed during the pendency of this proceeding.</w:t>
      </w:r>
    </w:p>
    <w:p w:rsidR="007A1F10" w:rsidRDefault="007A1F10" w:rsidP="00D5557E">
      <w:pPr>
        <w:pStyle w:val="Answer"/>
        <w:widowControl w:val="0"/>
        <w:jc w:val="left"/>
      </w:pPr>
      <w:r>
        <w:tab/>
      </w:r>
      <w:r>
        <w:tab/>
        <w:t xml:space="preserve">Fourth, the Union Gap </w:t>
      </w:r>
      <w:r w:rsidR="00403759">
        <w:t>Substation Upgrade</w:t>
      </w:r>
      <w:r>
        <w:t xml:space="preserve"> is scheduled to be in</w:t>
      </w:r>
      <w:r w:rsidR="00A56B79">
        <w:t xml:space="preserve"> </w:t>
      </w:r>
      <w:r>
        <w:t xml:space="preserve">service by May 2016.  </w:t>
      </w:r>
      <w:r w:rsidR="00843F59">
        <w:t>As detailed in the direct testimony of</w:t>
      </w:r>
      <w:r w:rsidR="00A56B79">
        <w:t xml:space="preserve"> Mr. Richard A.</w:t>
      </w:r>
      <w:r w:rsidR="00843F59">
        <w:t xml:space="preserve"> Vail, this </w:t>
      </w:r>
      <w:r>
        <w:t>transmission project is currently under</w:t>
      </w:r>
      <w:r w:rsidR="000606C7">
        <w:t xml:space="preserve">way and should be completed </w:t>
      </w:r>
      <w:r w:rsidR="00403759">
        <w:t>approximately one year before</w:t>
      </w:r>
      <w:r w:rsidR="000606C7">
        <w:t xml:space="preserve"> the proposed effective date for the </w:t>
      </w:r>
      <w:r w:rsidR="00403759">
        <w:t>second-step</w:t>
      </w:r>
      <w:r w:rsidR="000606C7">
        <w:t xml:space="preserve"> rate increase.</w:t>
      </w:r>
      <w:r w:rsidR="008A1227">
        <w:t xml:space="preserve">  </w:t>
      </w:r>
    </w:p>
    <w:p w:rsidR="000606C7" w:rsidRPr="00C611A7" w:rsidRDefault="000606C7" w:rsidP="00997BA4">
      <w:pPr>
        <w:pStyle w:val="Answer"/>
        <w:jc w:val="left"/>
        <w:rPr>
          <w:b/>
        </w:rPr>
      </w:pPr>
      <w:r w:rsidRPr="00C611A7">
        <w:rPr>
          <w:b/>
        </w:rPr>
        <w:t>Q.</w:t>
      </w:r>
      <w:r w:rsidRPr="00C611A7">
        <w:rPr>
          <w:b/>
        </w:rPr>
        <w:tab/>
      </w:r>
      <w:r w:rsidR="0019105B">
        <w:rPr>
          <w:b/>
        </w:rPr>
        <w:t>If t</w:t>
      </w:r>
      <w:r>
        <w:rPr>
          <w:b/>
        </w:rPr>
        <w:t xml:space="preserve">he final costs and in-service status of some of these projects </w:t>
      </w:r>
      <w:r w:rsidR="0019105B">
        <w:rPr>
          <w:b/>
        </w:rPr>
        <w:t>are</w:t>
      </w:r>
      <w:r>
        <w:rPr>
          <w:b/>
        </w:rPr>
        <w:t xml:space="preserve"> not known before the conclusion of this proceeding, how does Pacific Power propose to address this issue?</w:t>
      </w:r>
    </w:p>
    <w:p w:rsidR="00E91385" w:rsidRDefault="000606C7" w:rsidP="000606C7">
      <w:pPr>
        <w:pStyle w:val="Answer"/>
        <w:widowControl w:val="0"/>
        <w:jc w:val="left"/>
      </w:pPr>
      <w:r w:rsidRPr="00C63B21">
        <w:t>A.</w:t>
      </w:r>
      <w:r>
        <w:tab/>
        <w:t xml:space="preserve">The Company will provide an attestation </w:t>
      </w:r>
      <w:r w:rsidR="002064B8">
        <w:t xml:space="preserve">in late 2016 or early 2017, well </w:t>
      </w:r>
      <w:r>
        <w:t>before the May 1, 2017 rate increase</w:t>
      </w:r>
      <w:r w:rsidR="00881D9B">
        <w:t>,</w:t>
      </w:r>
      <w:r>
        <w:t xml:space="preserve"> verifying the final costs of the investments and that the investments are in</w:t>
      </w:r>
      <w:r w:rsidR="00A56B79">
        <w:t xml:space="preserve"> </w:t>
      </w:r>
      <w:r>
        <w:t>service.</w:t>
      </w:r>
      <w:r w:rsidR="00BE2B91">
        <w:t xml:space="preserve">  Pacific Power’s general trend of earnings attrition supports a two-year rate plan, but these four particular items </w:t>
      </w:r>
      <w:r w:rsidR="009A453D">
        <w:t>demonstrate</w:t>
      </w:r>
      <w:r w:rsidR="00BE2B91">
        <w:t xml:space="preserve"> the Company’s need for the second rate increase.  The attestation </w:t>
      </w:r>
      <w:r w:rsidR="00403759">
        <w:t>will provide verifiable evidence that the projects are used and useful</w:t>
      </w:r>
      <w:r w:rsidR="00BE2B91">
        <w:t xml:space="preserve">, providing benefits to Washington </w:t>
      </w:r>
      <w:r w:rsidR="00A56B79">
        <w:t>customers</w:t>
      </w:r>
      <w:r w:rsidR="00BE2B91">
        <w:t xml:space="preserve">, and known and measureable.  </w:t>
      </w:r>
      <w:r w:rsidR="00E91385">
        <w:t xml:space="preserve">This means the May 1, 2017 rate increase is based on the same criteria the Commissions use for any capital investments, whether it is part of a two-year rate plan or a </w:t>
      </w:r>
      <w:r w:rsidR="00A56B79">
        <w:t>general rate case</w:t>
      </w:r>
      <w:r w:rsidR="00E91385">
        <w:t>.</w:t>
      </w:r>
      <w:r w:rsidR="00997BA4" w:rsidRPr="0060374D">
        <w:rPr>
          <w:vertAlign w:val="superscript"/>
        </w:rPr>
        <w:footnoteReference w:id="34"/>
      </w:r>
      <w:r w:rsidR="00997BA4" w:rsidRPr="0060374D">
        <w:t xml:space="preserve">  </w:t>
      </w:r>
    </w:p>
    <w:p w:rsidR="00E91385" w:rsidRPr="00C611A7" w:rsidRDefault="00E91385" w:rsidP="00E91385">
      <w:pPr>
        <w:pStyle w:val="Answer"/>
        <w:widowControl w:val="0"/>
        <w:jc w:val="left"/>
        <w:rPr>
          <w:b/>
        </w:rPr>
      </w:pPr>
      <w:r w:rsidRPr="00C611A7">
        <w:rPr>
          <w:b/>
        </w:rPr>
        <w:t>Q.</w:t>
      </w:r>
      <w:r w:rsidRPr="00C611A7">
        <w:rPr>
          <w:b/>
        </w:rPr>
        <w:tab/>
      </w:r>
      <w:r>
        <w:rPr>
          <w:b/>
        </w:rPr>
        <w:t>Are there any other reasons an attestation is appropriate for the Jim Bridger Unit 4 investment?</w:t>
      </w:r>
    </w:p>
    <w:p w:rsidR="000606C7" w:rsidRDefault="00E91385" w:rsidP="00E91385">
      <w:pPr>
        <w:pStyle w:val="Answer"/>
        <w:widowControl w:val="0"/>
        <w:jc w:val="left"/>
      </w:pPr>
      <w:r w:rsidRPr="00C63B21">
        <w:t>A.</w:t>
      </w:r>
      <w:r>
        <w:tab/>
        <w:t xml:space="preserve">Yes.  </w:t>
      </w:r>
      <w:r w:rsidR="009A453D">
        <w:t xml:space="preserve">The Jim Bridger Units 3 and 4 overhauls are </w:t>
      </w:r>
      <w:r w:rsidR="00F96D97">
        <w:t>similar in scope, purpose, and expense</w:t>
      </w:r>
      <w:r w:rsidR="002064B8">
        <w:t>, and the work on both has occurred concurrently</w:t>
      </w:r>
      <w:r w:rsidR="00F96D97">
        <w:t>.</w:t>
      </w:r>
      <w:r w:rsidR="002064B8">
        <w:t xml:space="preserve">  The timing of the </w:t>
      </w:r>
      <w:r w:rsidR="009A453D">
        <w:t xml:space="preserve">investments was designed to </w:t>
      </w:r>
      <w:r w:rsidR="002064B8">
        <w:t>coincide with major plant overhauls, one in 2015 and one in 2016, to minimize costs and maximize reliability.</w:t>
      </w:r>
      <w:r w:rsidR="00F96D97">
        <w:t xml:space="preserve">  If the Jim Bridger Unit 3 project is </w:t>
      </w:r>
      <w:r w:rsidR="009A453D">
        <w:t>being evaluated for prudence in this proceeding</w:t>
      </w:r>
      <w:r w:rsidR="00F96D97">
        <w:t xml:space="preserve">, it is reasonable that the </w:t>
      </w:r>
      <w:r w:rsidR="00420DC0">
        <w:t xml:space="preserve">parallel </w:t>
      </w:r>
      <w:r w:rsidR="00F96D97">
        <w:t>project for Jim Bridger Unit 4 should be treated similarly.</w:t>
      </w:r>
      <w:r w:rsidR="00420DC0">
        <w:t xml:space="preserve">  It is efficient to review both of the project</w:t>
      </w:r>
      <w:r w:rsidR="00CE14A7">
        <w:t>s</w:t>
      </w:r>
      <w:r w:rsidR="00420DC0">
        <w:t xml:space="preserve"> at the same time in this proceeding.  Also, Pacific Power’s goal in making this filing and consistent with the Commission’s direction in the PSE ERF proceeding, is to avoid a continuous string of </w:t>
      </w:r>
      <w:r w:rsidR="00A56B79">
        <w:t>general rate case</w:t>
      </w:r>
      <w:r w:rsidR="00420DC0">
        <w:t>s.</w:t>
      </w:r>
      <w:r w:rsidR="00420DC0" w:rsidRPr="00420DC0">
        <w:rPr>
          <w:rFonts w:ascii="Times" w:eastAsia="Times" w:hAnsi="Times"/>
          <w:szCs w:val="20"/>
          <w:vertAlign w:val="superscript"/>
        </w:rPr>
        <w:footnoteReference w:id="35"/>
      </w:r>
      <w:r w:rsidR="00420DC0">
        <w:t xml:space="preserve">  The Commission’s approval of the May 1, 2017 rate increase</w:t>
      </w:r>
      <w:r w:rsidR="00614243">
        <w:t>,</w:t>
      </w:r>
      <w:r w:rsidR="00420DC0">
        <w:t xml:space="preserve"> based on earnings attrition and the four projects highlighted</w:t>
      </w:r>
      <w:r w:rsidR="009A453D">
        <w:t xml:space="preserve"> </w:t>
      </w:r>
      <w:r w:rsidR="00420DC0">
        <w:t xml:space="preserve">above, would result in the avoidance of a </w:t>
      </w:r>
      <w:r w:rsidR="00A56B79">
        <w:t xml:space="preserve">general rate case </w:t>
      </w:r>
      <w:r w:rsidR="00420DC0">
        <w:t xml:space="preserve">in 2016 to address the Jim Bridger Unit 4 </w:t>
      </w:r>
      <w:r w:rsidR="009A453D">
        <w:t>investment</w:t>
      </w:r>
      <w:r w:rsidR="00CE14A7">
        <w:t>.</w:t>
      </w:r>
      <w:r w:rsidR="00420DC0">
        <w:t xml:space="preserve"> </w:t>
      </w:r>
      <w:r w:rsidR="00420DC0" w:rsidRPr="00420DC0">
        <w:rPr>
          <w:rFonts w:ascii="Times" w:eastAsia="Times" w:hAnsi="Times"/>
          <w:szCs w:val="20"/>
        </w:rPr>
        <w:t xml:space="preserve"> </w:t>
      </w:r>
    </w:p>
    <w:p w:rsidR="00420DC0" w:rsidRPr="00C611A7" w:rsidRDefault="00420DC0" w:rsidP="00420DC0">
      <w:pPr>
        <w:pStyle w:val="Answer"/>
        <w:widowControl w:val="0"/>
        <w:jc w:val="left"/>
        <w:rPr>
          <w:b/>
        </w:rPr>
      </w:pPr>
      <w:r w:rsidRPr="00C611A7">
        <w:rPr>
          <w:b/>
        </w:rPr>
        <w:t>Q.</w:t>
      </w:r>
      <w:r w:rsidRPr="00C611A7">
        <w:rPr>
          <w:b/>
        </w:rPr>
        <w:tab/>
      </w:r>
      <w:r w:rsidR="0019105B">
        <w:rPr>
          <w:b/>
        </w:rPr>
        <w:t>Is the</w:t>
      </w:r>
      <w:r>
        <w:rPr>
          <w:b/>
        </w:rPr>
        <w:t xml:space="preserve"> Company ma</w:t>
      </w:r>
      <w:r w:rsidR="0019105B">
        <w:rPr>
          <w:b/>
        </w:rPr>
        <w:t xml:space="preserve">king </w:t>
      </w:r>
      <w:r>
        <w:rPr>
          <w:b/>
        </w:rPr>
        <w:t>any commitments linked to the two-year rate plan?</w:t>
      </w:r>
    </w:p>
    <w:p w:rsidR="00F91224" w:rsidRDefault="00420DC0" w:rsidP="00420DC0">
      <w:pPr>
        <w:pStyle w:val="Answer"/>
        <w:widowControl w:val="0"/>
        <w:jc w:val="left"/>
      </w:pPr>
      <w:r w:rsidRPr="00C63B21">
        <w:t>A.</w:t>
      </w:r>
      <w:r>
        <w:tab/>
        <w:t>Yes.</w:t>
      </w:r>
      <w:r w:rsidR="00F91224">
        <w:t xml:space="preserve">  The Company </w:t>
      </w:r>
      <w:r w:rsidR="009A453D">
        <w:t>is offering</w:t>
      </w:r>
      <w:r w:rsidR="0019105B">
        <w:t xml:space="preserve"> </w:t>
      </w:r>
      <w:r w:rsidR="00F91224">
        <w:t>several commitments that protect customers.</w:t>
      </w:r>
      <w:r>
        <w:t xml:space="preserve">  </w:t>
      </w:r>
      <w:r w:rsidR="0019105B">
        <w:t xml:space="preserve">First, </w:t>
      </w:r>
      <w:r>
        <w:t xml:space="preserve">Pacific Power will not file a </w:t>
      </w:r>
      <w:r w:rsidR="00C25FE4">
        <w:t xml:space="preserve">general rate case </w:t>
      </w:r>
      <w:r w:rsidR="002064B8">
        <w:t xml:space="preserve">(or another ERF) </w:t>
      </w:r>
      <w:r>
        <w:t>with a</w:t>
      </w:r>
      <w:r w:rsidR="009A453D">
        <w:t xml:space="preserve"> rate</w:t>
      </w:r>
      <w:r>
        <w:t xml:space="preserve"> effective date </w:t>
      </w:r>
      <w:r w:rsidR="009A453D">
        <w:t xml:space="preserve">earlier than </w:t>
      </w:r>
      <w:r w:rsidR="0019105B">
        <w:t>April 1</w:t>
      </w:r>
      <w:r>
        <w:t>, 2018.</w:t>
      </w:r>
      <w:r w:rsidRPr="00420DC0">
        <w:rPr>
          <w:rFonts w:ascii="Times" w:eastAsia="Times" w:hAnsi="Times"/>
          <w:szCs w:val="20"/>
          <w:vertAlign w:val="superscript"/>
        </w:rPr>
        <w:footnoteReference w:id="36"/>
      </w:r>
      <w:r w:rsidRPr="00420DC0">
        <w:rPr>
          <w:rFonts w:ascii="Times" w:eastAsia="Times" w:hAnsi="Times"/>
          <w:szCs w:val="20"/>
        </w:rPr>
        <w:t xml:space="preserve"> </w:t>
      </w:r>
      <w:r w:rsidR="008A1227">
        <w:t xml:space="preserve"> </w:t>
      </w:r>
      <w:r>
        <w:t xml:space="preserve">The Company’s commitment to a “stay-out provision” provides the Commission and customers a break </w:t>
      </w:r>
      <w:r w:rsidR="00F91224">
        <w:t>from</w:t>
      </w:r>
      <w:r>
        <w:t xml:space="preserve"> </w:t>
      </w:r>
      <w:r w:rsidR="00C25FE4">
        <w:t>general rate case</w:t>
      </w:r>
      <w:r>
        <w:t>s for a defined period of time.</w:t>
      </w:r>
      <w:r w:rsidR="0034500F">
        <w:t xml:space="preserve">  Pacific Power will have even more incentive to control costs because the Company will not be able to file a </w:t>
      </w:r>
      <w:r w:rsidR="00C25FE4">
        <w:t xml:space="preserve">general rate case </w:t>
      </w:r>
      <w:r w:rsidR="0034500F">
        <w:t>and the second</w:t>
      </w:r>
      <w:r w:rsidR="0019105B">
        <w:t>-</w:t>
      </w:r>
      <w:r w:rsidR="0034500F">
        <w:t xml:space="preserve">year rate increase is capped at </w:t>
      </w:r>
      <w:r w:rsidR="00F91224">
        <w:t xml:space="preserve">under </w:t>
      </w:r>
      <w:r w:rsidR="00BE4337">
        <w:t>three</w:t>
      </w:r>
      <w:r w:rsidR="00F91224">
        <w:t xml:space="preserve"> percent.</w:t>
      </w:r>
    </w:p>
    <w:p w:rsidR="008A1227" w:rsidRDefault="00F91224" w:rsidP="00F17AF4">
      <w:pPr>
        <w:pStyle w:val="Answer"/>
        <w:widowControl w:val="0"/>
        <w:jc w:val="left"/>
      </w:pPr>
      <w:r>
        <w:tab/>
      </w:r>
      <w:r>
        <w:tab/>
      </w:r>
      <w:r w:rsidR="0019105B">
        <w:t>Second, t</w:t>
      </w:r>
      <w:r>
        <w:t>he Company</w:t>
      </w:r>
      <w:r w:rsidR="00881D9B">
        <w:t xml:space="preserve"> agrees that </w:t>
      </w:r>
      <w:r>
        <w:t xml:space="preserve">its </w:t>
      </w:r>
      <w:r w:rsidR="00DE59E0">
        <w:t xml:space="preserve">five-year </w:t>
      </w:r>
      <w:r w:rsidRPr="005571C7">
        <w:t xml:space="preserve">LIBA </w:t>
      </w:r>
      <w:r w:rsidR="00DE59E0">
        <w:t>plan</w:t>
      </w:r>
      <w:r w:rsidR="00DE59E0" w:rsidRPr="005571C7">
        <w:t xml:space="preserve"> </w:t>
      </w:r>
      <w:r w:rsidR="00881D9B">
        <w:t xml:space="preserve">will cover </w:t>
      </w:r>
      <w:r w:rsidR="0019105B">
        <w:t>both the 2016 and 2017 rate increases</w:t>
      </w:r>
      <w:r>
        <w:t xml:space="preserve">.  In 2012, </w:t>
      </w:r>
      <w:r w:rsidR="005B623D">
        <w:t>the Commission approved a LIBA p</w:t>
      </w:r>
      <w:r w:rsidR="00DE59E0">
        <w:t>lan</w:t>
      </w:r>
      <w:r w:rsidR="005B623D">
        <w:t xml:space="preserve"> for </w:t>
      </w:r>
      <w:r>
        <w:t xml:space="preserve">Pacific Power that established funding and the certification process </w:t>
      </w:r>
      <w:r w:rsidR="005B623D">
        <w:t>for five years</w:t>
      </w:r>
      <w:r>
        <w:t>.</w:t>
      </w:r>
      <w:r w:rsidRPr="00F91224">
        <w:rPr>
          <w:rFonts w:ascii="Times" w:eastAsia="Times" w:hAnsi="Times"/>
          <w:szCs w:val="20"/>
          <w:vertAlign w:val="superscript"/>
        </w:rPr>
        <w:footnoteReference w:id="37"/>
      </w:r>
      <w:r w:rsidR="00BE4337">
        <w:t xml:space="preserve">   Pacific </w:t>
      </w:r>
      <w:r w:rsidR="00CE444F">
        <w:t xml:space="preserve">Power </w:t>
      </w:r>
      <w:r w:rsidR="00BE4337">
        <w:t xml:space="preserve">will </w:t>
      </w:r>
      <w:r w:rsidR="005B623D">
        <w:t xml:space="preserve">treat each of the rate increases in this filing like </w:t>
      </w:r>
      <w:r w:rsidR="00C25FE4">
        <w:t>general rate case</w:t>
      </w:r>
      <w:r w:rsidR="005B623D">
        <w:t xml:space="preserve">s under the </w:t>
      </w:r>
      <w:r w:rsidR="00DE59E0">
        <w:t xml:space="preserve">five-year </w:t>
      </w:r>
      <w:r w:rsidR="005B623D">
        <w:t>LIBA p</w:t>
      </w:r>
      <w:r w:rsidR="00DE59E0">
        <w:t>lan</w:t>
      </w:r>
      <w:r w:rsidR="005B623D">
        <w:t xml:space="preserve">, </w:t>
      </w:r>
      <w:r w:rsidR="00BE4337">
        <w:t>increas</w:t>
      </w:r>
      <w:r w:rsidR="005B623D">
        <w:t>ing</w:t>
      </w:r>
      <w:r w:rsidR="00BE4337">
        <w:t xml:space="preserve"> LIBA benefits </w:t>
      </w:r>
      <w:r w:rsidR="00CE444F">
        <w:t>by two times the residential rate increases in both 2016 an</w:t>
      </w:r>
      <w:r w:rsidR="004B3456">
        <w:t>d 2017, which is approximately six</w:t>
      </w:r>
      <w:r w:rsidR="00CE444F">
        <w:t xml:space="preserve"> percent annually.</w:t>
      </w:r>
      <w:r w:rsidR="00CE444F" w:rsidRPr="00F91224">
        <w:rPr>
          <w:rFonts w:ascii="Times" w:eastAsia="Times" w:hAnsi="Times"/>
          <w:szCs w:val="20"/>
          <w:vertAlign w:val="superscript"/>
        </w:rPr>
        <w:footnoteReference w:id="38"/>
      </w:r>
      <w:r w:rsidR="00CE444F">
        <w:t xml:space="preserve">  The Company will also increase the Schedule 91 residential surcharge to reflect the increased LIBA funding.</w:t>
      </w:r>
      <w:r w:rsidR="00CE444F" w:rsidRPr="00F91224">
        <w:rPr>
          <w:rFonts w:ascii="Times" w:eastAsia="Times" w:hAnsi="Times"/>
          <w:szCs w:val="20"/>
          <w:vertAlign w:val="superscript"/>
        </w:rPr>
        <w:footnoteReference w:id="39"/>
      </w:r>
      <w:r w:rsidR="002A323A">
        <w:t xml:space="preserve">  Pacific Power </w:t>
      </w:r>
      <w:r w:rsidR="00965421">
        <w:t xml:space="preserve">also </w:t>
      </w:r>
      <w:r w:rsidR="005B623D">
        <w:t>intends to engage with the parties</w:t>
      </w:r>
      <w:r w:rsidR="002A323A">
        <w:t xml:space="preserve"> on the best way to </w:t>
      </w:r>
      <w:r w:rsidR="009A453D">
        <w:t xml:space="preserve">address potential modifications to </w:t>
      </w:r>
      <w:r w:rsidR="002A323A">
        <w:t>the LIBA program</w:t>
      </w:r>
      <w:r w:rsidR="005B623D">
        <w:t xml:space="preserve"> upon completion of the </w:t>
      </w:r>
      <w:r w:rsidR="00DE59E0">
        <w:t xml:space="preserve">five-year LIBA </w:t>
      </w:r>
      <w:r w:rsidR="005B623D">
        <w:t>plan</w:t>
      </w:r>
      <w:r w:rsidR="002A323A">
        <w:t xml:space="preserve">. </w:t>
      </w:r>
      <w:r w:rsidR="00CE444F">
        <w:t xml:space="preserve"> </w:t>
      </w:r>
    </w:p>
    <w:p w:rsidR="00C25FE4" w:rsidRDefault="002A323A" w:rsidP="00F17AF4">
      <w:pPr>
        <w:pStyle w:val="Answer"/>
        <w:widowControl w:val="0"/>
        <w:jc w:val="left"/>
      </w:pPr>
      <w:r>
        <w:tab/>
      </w:r>
      <w:r w:rsidR="008A1227">
        <w:tab/>
      </w:r>
      <w:r w:rsidR="0019105B">
        <w:t xml:space="preserve">Third, </w:t>
      </w:r>
      <w:r>
        <w:t xml:space="preserve">Pacific Power will file </w:t>
      </w:r>
      <w:r w:rsidR="009C2C81">
        <w:t>mid-year</w:t>
      </w:r>
      <w:r>
        <w:t xml:space="preserve"> </w:t>
      </w:r>
      <w:r w:rsidR="009A453D">
        <w:t>Commission Basis Report</w:t>
      </w:r>
      <w:r>
        <w:t xml:space="preserve">s to provide as much transparency and accountability as possible.  </w:t>
      </w:r>
      <w:r w:rsidR="0019105B">
        <w:t xml:space="preserve">These reports will allow the Commission and other stakeholders to </w:t>
      </w:r>
      <w:r w:rsidR="00304F53">
        <w:t xml:space="preserve">closely </w:t>
      </w:r>
      <w:r w:rsidR="0019105B">
        <w:t>monitor the rate plan</w:t>
      </w:r>
      <w:r w:rsidR="00304F53">
        <w:t xml:space="preserve"> to ensure that it is meeting the Commission’s objectives</w:t>
      </w:r>
      <w:r w:rsidR="0019105B">
        <w:t xml:space="preserve">. </w:t>
      </w:r>
    </w:p>
    <w:p w:rsidR="005B623D" w:rsidRDefault="005B623D" w:rsidP="005D797B">
      <w:pPr>
        <w:pStyle w:val="Answer"/>
        <w:widowControl w:val="0"/>
        <w:jc w:val="left"/>
        <w:rPr>
          <w:b/>
        </w:rPr>
      </w:pPr>
      <w:r>
        <w:rPr>
          <w:b/>
        </w:rPr>
        <w:t>Q.</w:t>
      </w:r>
      <w:r>
        <w:rPr>
          <w:b/>
        </w:rPr>
        <w:tab/>
      </w:r>
      <w:r w:rsidR="004103EC">
        <w:rPr>
          <w:b/>
        </w:rPr>
        <w:t>D</w:t>
      </w:r>
      <w:r>
        <w:rPr>
          <w:b/>
        </w:rPr>
        <w:t xml:space="preserve">oes </w:t>
      </w:r>
      <w:r w:rsidR="0034775E">
        <w:rPr>
          <w:b/>
        </w:rPr>
        <w:t>the rate plan align with ongoing discussions on the Company’s inter</w:t>
      </w:r>
      <w:r w:rsidR="004103EC">
        <w:rPr>
          <w:b/>
        </w:rPr>
        <w:t>-</w:t>
      </w:r>
      <w:r w:rsidR="0034775E">
        <w:rPr>
          <w:b/>
        </w:rPr>
        <w:t>jur</w:t>
      </w:r>
      <w:r w:rsidR="004103EC">
        <w:rPr>
          <w:b/>
        </w:rPr>
        <w:t>isdictional allocation method</w:t>
      </w:r>
      <w:r w:rsidR="0034775E">
        <w:rPr>
          <w:b/>
        </w:rPr>
        <w:t xml:space="preserve">? </w:t>
      </w:r>
    </w:p>
    <w:p w:rsidR="0034775E" w:rsidRPr="0034775E" w:rsidRDefault="0034775E" w:rsidP="005D797B">
      <w:pPr>
        <w:pStyle w:val="Answer"/>
        <w:widowControl w:val="0"/>
        <w:jc w:val="left"/>
      </w:pPr>
      <w:r>
        <w:t>A.</w:t>
      </w:r>
      <w:r>
        <w:tab/>
      </w:r>
      <w:r w:rsidR="004103EC">
        <w:t xml:space="preserve">Yes.  </w:t>
      </w:r>
      <w:r>
        <w:t>The C</w:t>
      </w:r>
      <w:r w:rsidR="004103EC">
        <w:t xml:space="preserve">ompany recently reached an interim agreement with stakeholders to extend the current method (with some modifications) for two years.  This 2017 Protocol is designed to allow parties time to study a range of allocation alternatives, including </w:t>
      </w:r>
      <w:r w:rsidR="009C2C81">
        <w:t xml:space="preserve">consideration of corporate structure alternatives, </w:t>
      </w:r>
      <w:r w:rsidR="004103EC">
        <w:t>division</w:t>
      </w:r>
      <w:r w:rsidR="009C2C81">
        <w:t>al</w:t>
      </w:r>
      <w:r w:rsidR="004103EC">
        <w:t xml:space="preserve"> allocation</w:t>
      </w:r>
      <w:r w:rsidR="009C2C81">
        <w:t xml:space="preserve"> methodologies, and potential implications of the EPA Clean Power Plan</w:t>
      </w:r>
      <w:r w:rsidR="004103EC">
        <w:t xml:space="preserve">.  The rate plan covers the same </w:t>
      </w:r>
      <w:r w:rsidR="00473F35">
        <w:t xml:space="preserve">general </w:t>
      </w:r>
      <w:r w:rsidR="004103EC">
        <w:t xml:space="preserve">period as the 2017 Protocol, and provides a bridge until a more comprehensive solution on multi-state allocation is available for Commission review.   </w:t>
      </w:r>
    </w:p>
    <w:p w:rsidR="005D797B" w:rsidRPr="00C611A7" w:rsidRDefault="005D797B" w:rsidP="005D797B">
      <w:pPr>
        <w:pStyle w:val="Answer"/>
        <w:widowControl w:val="0"/>
        <w:jc w:val="left"/>
        <w:rPr>
          <w:b/>
        </w:rPr>
      </w:pPr>
      <w:r w:rsidRPr="00C611A7">
        <w:rPr>
          <w:b/>
        </w:rPr>
        <w:t>Q.</w:t>
      </w:r>
      <w:r w:rsidRPr="00C611A7">
        <w:rPr>
          <w:b/>
        </w:rPr>
        <w:tab/>
      </w:r>
      <w:r>
        <w:rPr>
          <w:b/>
        </w:rPr>
        <w:t>Has the Commission approved proposals similar to Pacific Power’s in the past?</w:t>
      </w:r>
    </w:p>
    <w:p w:rsidR="00C25FE4" w:rsidRDefault="005D797B" w:rsidP="009C2C81">
      <w:pPr>
        <w:pStyle w:val="Answer"/>
        <w:widowControl w:val="0"/>
        <w:jc w:val="left"/>
      </w:pPr>
      <w:r w:rsidRPr="00C63B21">
        <w:t>A.</w:t>
      </w:r>
      <w:r>
        <w:tab/>
        <w:t xml:space="preserve">Yes.  The Commission approved </w:t>
      </w:r>
      <w:r w:rsidR="009C2C81">
        <w:t xml:space="preserve">the </w:t>
      </w:r>
      <w:r>
        <w:t>PSE ERF, which included a multi-year rate plan.</w:t>
      </w:r>
      <w:r w:rsidRPr="005D797B">
        <w:rPr>
          <w:rFonts w:ascii="Times" w:eastAsia="Times" w:hAnsi="Times"/>
          <w:vertAlign w:val="superscript"/>
        </w:rPr>
        <w:footnoteReference w:id="40"/>
      </w:r>
      <w:r w:rsidR="009C2C81">
        <w:t xml:space="preserve">  </w:t>
      </w:r>
      <w:r>
        <w:t>Pacific Power’s proposal</w:t>
      </w:r>
      <w:r w:rsidR="00A50053">
        <w:t>, l</w:t>
      </w:r>
      <w:r>
        <w:t xml:space="preserve">ike </w:t>
      </w:r>
      <w:r w:rsidR="009C2C81">
        <w:t xml:space="preserve">the </w:t>
      </w:r>
      <w:r>
        <w:t>PSE ERF rate plan,</w:t>
      </w:r>
      <w:r w:rsidR="00A50053">
        <w:t xml:space="preserve"> addresses the Company’s earnings attrition while </w:t>
      </w:r>
      <w:r>
        <w:t>strik</w:t>
      </w:r>
      <w:r w:rsidR="00A50053">
        <w:t>ing</w:t>
      </w:r>
      <w:r>
        <w:t xml:space="preserve"> a reasonable balance</w:t>
      </w:r>
      <w:r w:rsidR="007B0B94">
        <w:t xml:space="preserve"> between customers and the Company. </w:t>
      </w:r>
      <w:r w:rsidR="00C25FE4">
        <w:t xml:space="preserve"> </w:t>
      </w:r>
      <w:r w:rsidR="007B0B94">
        <w:t>The resulting r</w:t>
      </w:r>
      <w:r>
        <w:t>ates are fair</w:t>
      </w:r>
      <w:r w:rsidR="007B0B94">
        <w:t xml:space="preserve">, </w:t>
      </w:r>
      <w:r w:rsidR="009C2C81">
        <w:t xml:space="preserve">providing </w:t>
      </w:r>
      <w:r w:rsidR="007B0B94">
        <w:t xml:space="preserve">Pacific Power with an improved opportunity to earn its authorized return while protecting customers by creating </w:t>
      </w:r>
      <w:r w:rsidR="009C2C81">
        <w:t xml:space="preserve">an </w:t>
      </w:r>
      <w:r w:rsidR="007B0B94">
        <w:t xml:space="preserve">incentive to control costs, increasing low-income funding, making rate increases predictable and stable, and </w:t>
      </w:r>
      <w:r w:rsidR="009C2C81">
        <w:t xml:space="preserve">providing an extended </w:t>
      </w:r>
      <w:r w:rsidR="00C25FE4">
        <w:t xml:space="preserve">general rate case </w:t>
      </w:r>
      <w:r w:rsidR="009C2C81">
        <w:t>stay-out period</w:t>
      </w:r>
      <w:r w:rsidR="007B0B94">
        <w:t>.</w:t>
      </w:r>
      <w:r w:rsidR="002F4C16">
        <w:tab/>
      </w:r>
    </w:p>
    <w:p w:rsidR="00420DC0" w:rsidRDefault="002F4C16" w:rsidP="007B04BC">
      <w:pPr>
        <w:pStyle w:val="Answer"/>
        <w:widowControl w:val="0"/>
        <w:ind w:firstLine="720"/>
        <w:jc w:val="left"/>
      </w:pPr>
      <w:r>
        <w:t>In Avista Corp</w:t>
      </w:r>
      <w:r w:rsidR="009C2C81">
        <w:t>oration</w:t>
      </w:r>
      <w:r>
        <w:t xml:space="preserve">’s (Avista) 2012 </w:t>
      </w:r>
      <w:r w:rsidR="00C25FE4">
        <w:t>general rate case</w:t>
      </w:r>
      <w:r>
        <w:t>, the Commission was presented with the same problem of earnings attrition.</w:t>
      </w:r>
      <w:r w:rsidRPr="00606FD6">
        <w:rPr>
          <w:rFonts w:ascii="Times" w:eastAsia="Times" w:hAnsi="Times"/>
          <w:vertAlign w:val="superscript"/>
        </w:rPr>
        <w:footnoteReference w:id="41"/>
      </w:r>
      <w:r>
        <w:t xml:space="preserve">  The Commission determined that the attrition trend was pronounced enough to justify a rate plan.  Pacific Power has a ten-year earnings attrition trend, which demonstrates the necessity of a rate plan.  Furthermore, the Company has provided extensi</w:t>
      </w:r>
      <w:r w:rsidR="009C2C81">
        <w:t>ve</w:t>
      </w:r>
      <w:r>
        <w:t xml:space="preserve"> documentation and analysis in support of the 2016 cost drivers.  Pacific Power’s deteriorating earnings and inability to earn its authorized rate of return is not speculation, but is based on evidence.  </w:t>
      </w:r>
      <w:r w:rsidR="00D83FC9">
        <w:t xml:space="preserve">Finally, the Company will provide an attestation showing the projects driving the rate plan are in service, used and useful, providing benefits to Washington customers, and known and measureable. </w:t>
      </w:r>
      <w:r w:rsidR="00606FD6">
        <w:t xml:space="preserve"> </w:t>
      </w:r>
    </w:p>
    <w:p w:rsidR="00944DD2" w:rsidRPr="00DA0E7C" w:rsidRDefault="00944DD2" w:rsidP="00DA0E7C">
      <w:pPr>
        <w:pStyle w:val="Heading1"/>
      </w:pPr>
      <w:bookmarkStart w:id="9" w:name="_Toc436040513"/>
      <w:r w:rsidRPr="00DA0E7C">
        <w:t>DECOUPLING MECHANISM</w:t>
      </w:r>
      <w:bookmarkEnd w:id="9"/>
    </w:p>
    <w:p w:rsidR="00BC0946" w:rsidRDefault="00944DD2" w:rsidP="00BC0946">
      <w:pPr>
        <w:pStyle w:val="Answer"/>
        <w:widowControl w:val="0"/>
        <w:jc w:val="left"/>
        <w:rPr>
          <w:b/>
        </w:rPr>
      </w:pPr>
      <w:r w:rsidRPr="007C0943">
        <w:rPr>
          <w:b/>
        </w:rPr>
        <w:t>Q.</w:t>
      </w:r>
      <w:r w:rsidRPr="007C0943">
        <w:rPr>
          <w:b/>
        </w:rPr>
        <w:tab/>
        <w:t>Wh</w:t>
      </w:r>
      <w:r>
        <w:rPr>
          <w:b/>
        </w:rPr>
        <w:t>y is the Company proposing a decoupling mechanism</w:t>
      </w:r>
      <w:r w:rsidRPr="007C0943">
        <w:rPr>
          <w:b/>
        </w:rPr>
        <w:t>?</w:t>
      </w:r>
    </w:p>
    <w:p w:rsidR="00BC0946" w:rsidRPr="00BC0946" w:rsidRDefault="00944DD2" w:rsidP="00BC0946">
      <w:pPr>
        <w:pStyle w:val="Answer"/>
        <w:widowControl w:val="0"/>
        <w:jc w:val="left"/>
        <w:rPr>
          <w:rFonts w:eastAsia="SimSun"/>
          <w:szCs w:val="20"/>
          <w:lang w:eastAsia="zh-CN"/>
        </w:rPr>
      </w:pPr>
      <w:r w:rsidRPr="00C63B21">
        <w:t>A.</w:t>
      </w:r>
      <w:r w:rsidR="00BC0946">
        <w:tab/>
        <w:t xml:space="preserve">Pacific Power is </w:t>
      </w:r>
      <w:r w:rsidR="00BC0946" w:rsidRPr="00BC0946">
        <w:rPr>
          <w:rFonts w:eastAsia="SimSun"/>
          <w:szCs w:val="20"/>
          <w:lang w:eastAsia="zh-CN"/>
        </w:rPr>
        <w:t xml:space="preserve">proposing </w:t>
      </w:r>
      <w:r w:rsidR="00BC0946">
        <w:rPr>
          <w:rFonts w:eastAsia="SimSun"/>
          <w:szCs w:val="20"/>
          <w:lang w:eastAsia="zh-CN"/>
        </w:rPr>
        <w:t>a</w:t>
      </w:r>
      <w:r w:rsidR="00BF7A34">
        <w:rPr>
          <w:rFonts w:eastAsia="SimSun"/>
          <w:szCs w:val="20"/>
          <w:lang w:eastAsia="zh-CN"/>
        </w:rPr>
        <w:t xml:space="preserve"> </w:t>
      </w:r>
      <w:r w:rsidR="00BC0946" w:rsidRPr="00BC0946">
        <w:rPr>
          <w:rFonts w:eastAsia="SimSun"/>
          <w:szCs w:val="20"/>
          <w:lang w:eastAsia="zh-CN"/>
        </w:rPr>
        <w:t xml:space="preserve">decoupling mechanism to </w:t>
      </w:r>
      <w:r w:rsidR="00BC0946">
        <w:rPr>
          <w:rFonts w:eastAsia="SimSun"/>
          <w:szCs w:val="20"/>
          <w:lang w:eastAsia="zh-CN"/>
        </w:rPr>
        <w:t xml:space="preserve">continue to </w:t>
      </w:r>
      <w:r w:rsidR="00BC0946" w:rsidRPr="00BC0946">
        <w:rPr>
          <w:rFonts w:eastAsia="SimSun"/>
          <w:szCs w:val="20"/>
          <w:lang w:eastAsia="zh-CN"/>
        </w:rPr>
        <w:t xml:space="preserve">encourage </w:t>
      </w:r>
      <w:r w:rsidR="00BC0946">
        <w:rPr>
          <w:rFonts w:eastAsia="SimSun"/>
          <w:szCs w:val="20"/>
          <w:lang w:eastAsia="zh-CN"/>
        </w:rPr>
        <w:t xml:space="preserve">the Company to </w:t>
      </w:r>
      <w:r w:rsidR="00BC0946" w:rsidRPr="00BC0946">
        <w:rPr>
          <w:rFonts w:eastAsia="SimSun"/>
          <w:szCs w:val="20"/>
          <w:lang w:eastAsia="zh-CN"/>
        </w:rPr>
        <w:t>aggressive</w:t>
      </w:r>
      <w:r w:rsidR="00BC0946">
        <w:rPr>
          <w:rFonts w:eastAsia="SimSun"/>
          <w:szCs w:val="20"/>
          <w:lang w:eastAsia="zh-CN"/>
        </w:rPr>
        <w:t>ly</w:t>
      </w:r>
      <w:r w:rsidR="00BC0946" w:rsidRPr="00BC0946">
        <w:rPr>
          <w:rFonts w:eastAsia="SimSun"/>
          <w:szCs w:val="20"/>
          <w:lang w:eastAsia="zh-CN"/>
        </w:rPr>
        <w:t xml:space="preserve"> pursu</w:t>
      </w:r>
      <w:r w:rsidR="00BC0946">
        <w:rPr>
          <w:rFonts w:eastAsia="SimSun"/>
          <w:szCs w:val="20"/>
          <w:lang w:eastAsia="zh-CN"/>
        </w:rPr>
        <w:t>e</w:t>
      </w:r>
      <w:r w:rsidR="00BC0946" w:rsidRPr="00BC0946">
        <w:rPr>
          <w:rFonts w:eastAsia="SimSun"/>
          <w:szCs w:val="20"/>
          <w:lang w:eastAsia="zh-CN"/>
        </w:rPr>
        <w:t xml:space="preserve"> energy conservation by breaking t</w:t>
      </w:r>
      <w:r w:rsidR="00A10B78">
        <w:rPr>
          <w:rFonts w:eastAsia="SimSun"/>
          <w:szCs w:val="20"/>
          <w:lang w:eastAsia="zh-CN"/>
        </w:rPr>
        <w:t xml:space="preserve">he link between </w:t>
      </w:r>
      <w:r w:rsidR="00BC0946">
        <w:rPr>
          <w:rFonts w:eastAsia="SimSun"/>
          <w:szCs w:val="20"/>
          <w:lang w:eastAsia="zh-CN"/>
        </w:rPr>
        <w:t xml:space="preserve">Pacific Power’s </w:t>
      </w:r>
      <w:r w:rsidR="00A10B78">
        <w:rPr>
          <w:rFonts w:eastAsia="SimSun"/>
          <w:szCs w:val="20"/>
          <w:lang w:eastAsia="zh-CN"/>
        </w:rPr>
        <w:t xml:space="preserve">recovery of its </w:t>
      </w:r>
      <w:r w:rsidR="00BC0946" w:rsidRPr="00BC0946">
        <w:rPr>
          <w:rFonts w:eastAsia="SimSun"/>
          <w:szCs w:val="20"/>
          <w:lang w:eastAsia="zh-CN"/>
        </w:rPr>
        <w:t xml:space="preserve">authorized delivery-related revenue and the amount of energy it sells.  </w:t>
      </w:r>
    </w:p>
    <w:p w:rsidR="0072623D" w:rsidRDefault="00BC0946" w:rsidP="0072623D">
      <w:pPr>
        <w:widowControl w:val="0"/>
        <w:spacing w:line="480" w:lineRule="auto"/>
        <w:ind w:left="720" w:hanging="720"/>
        <w:jc w:val="left"/>
      </w:pPr>
      <w:r w:rsidRPr="00BC0946">
        <w:rPr>
          <w:rFonts w:eastAsia="SimSun"/>
          <w:szCs w:val="20"/>
          <w:lang w:eastAsia="zh-CN"/>
        </w:rPr>
        <w:tab/>
      </w:r>
      <w:r w:rsidR="00A10B78">
        <w:rPr>
          <w:rFonts w:eastAsia="SimSun"/>
          <w:szCs w:val="20"/>
          <w:lang w:eastAsia="zh-CN"/>
        </w:rPr>
        <w:tab/>
        <w:t xml:space="preserve">In 2010, the Commission issued </w:t>
      </w:r>
      <w:r w:rsidR="00A5417D">
        <w:rPr>
          <w:rFonts w:eastAsia="SimSun"/>
          <w:szCs w:val="20"/>
          <w:lang w:eastAsia="zh-CN"/>
        </w:rPr>
        <w:t>its</w:t>
      </w:r>
      <w:r w:rsidR="00A10B78">
        <w:t xml:space="preserve"> Decoupling Policy Statement</w:t>
      </w:r>
      <w:r w:rsidR="00A5417D">
        <w:t xml:space="preserve"> and offered </w:t>
      </w:r>
      <w:r w:rsidR="00A10B78">
        <w:t>extensive guidance on what a decoupling mechanism</w:t>
      </w:r>
      <w:r w:rsidR="00A5417D">
        <w:t xml:space="preserve"> proposal</w:t>
      </w:r>
      <w:r w:rsidR="00A10B78">
        <w:t xml:space="preserve"> should include,</w:t>
      </w:r>
      <w:r w:rsidR="009B2C1B" w:rsidRPr="00C76FA2">
        <w:rPr>
          <w:rStyle w:val="FootnoteReference"/>
        </w:rPr>
        <w:footnoteReference w:id="42"/>
      </w:r>
      <w:r w:rsidR="00A10B78">
        <w:t xml:space="preserve"> and</w:t>
      </w:r>
      <w:r w:rsidR="00A5417D">
        <w:t xml:space="preserve"> the</w:t>
      </w:r>
      <w:r w:rsidR="00A10B78">
        <w:t xml:space="preserve"> criteria that could </w:t>
      </w:r>
      <w:r w:rsidR="009B2C1B">
        <w:t>demonstrate</w:t>
      </w:r>
      <w:r w:rsidR="00A10B78">
        <w:t xml:space="preserve"> that the decoupling proposal was in the public interest.</w:t>
      </w:r>
      <w:r w:rsidR="009B2C1B" w:rsidRPr="00C76FA2">
        <w:rPr>
          <w:rStyle w:val="FootnoteReference"/>
        </w:rPr>
        <w:footnoteReference w:id="43"/>
      </w:r>
      <w:r w:rsidR="009B2C1B">
        <w:t xml:space="preserve">  </w:t>
      </w:r>
      <w:r w:rsidR="0072623D">
        <w:t>The Company’s decoupling proposal is b</w:t>
      </w:r>
      <w:r w:rsidR="009B2C1B">
        <w:t xml:space="preserve">ased </w:t>
      </w:r>
      <w:r w:rsidR="00BF7A34">
        <w:t xml:space="preserve">on </w:t>
      </w:r>
      <w:r w:rsidR="009B2C1B">
        <w:t>the Decoupling Policy Statement, as well as the Commission’s decision</w:t>
      </w:r>
      <w:r w:rsidR="00E31A2A">
        <w:t>s</w:t>
      </w:r>
      <w:r w:rsidR="009B2C1B">
        <w:t xml:space="preserve"> in the PSE ERF</w:t>
      </w:r>
      <w:r w:rsidR="0072623D">
        <w:t xml:space="preserve"> case</w:t>
      </w:r>
      <w:r w:rsidR="00965421" w:rsidRPr="00965421">
        <w:rPr>
          <w:rFonts w:ascii="Times" w:eastAsia="Times" w:hAnsi="Times"/>
          <w:szCs w:val="20"/>
          <w:vertAlign w:val="superscript"/>
        </w:rPr>
        <w:footnoteReference w:id="44"/>
      </w:r>
      <w:r w:rsidR="00965421" w:rsidRPr="00965421">
        <w:rPr>
          <w:rFonts w:ascii="Times" w:eastAsia="Times" w:hAnsi="Times"/>
          <w:szCs w:val="20"/>
        </w:rPr>
        <w:t xml:space="preserve"> </w:t>
      </w:r>
      <w:r w:rsidR="009B2C1B">
        <w:t xml:space="preserve">and the </w:t>
      </w:r>
      <w:r w:rsidR="0072623D">
        <w:t xml:space="preserve">2014 Avista </w:t>
      </w:r>
      <w:r w:rsidR="00C25FE4">
        <w:t>general rate case</w:t>
      </w:r>
      <w:r w:rsidR="0072623D">
        <w:t>.</w:t>
      </w:r>
      <w:r w:rsidR="00965421" w:rsidRPr="00965421">
        <w:rPr>
          <w:rFonts w:ascii="Times" w:eastAsia="Times" w:hAnsi="Times"/>
          <w:szCs w:val="20"/>
          <w:vertAlign w:val="superscript"/>
        </w:rPr>
        <w:footnoteReference w:id="45"/>
      </w:r>
      <w:r w:rsidR="00BF1B1A">
        <w:t xml:space="preserve"> </w:t>
      </w:r>
      <w:r w:rsidR="00473F35">
        <w:t xml:space="preserve">The Company also reviewed its decoupling proposal with key stakeholders in advance of this filing. </w:t>
      </w:r>
    </w:p>
    <w:p w:rsidR="00BC0946" w:rsidRPr="00BC0946" w:rsidRDefault="0072623D" w:rsidP="000E68AE">
      <w:pPr>
        <w:widowControl w:val="0"/>
        <w:spacing w:line="480" w:lineRule="auto"/>
        <w:ind w:left="720" w:firstLine="720"/>
        <w:jc w:val="left"/>
        <w:rPr>
          <w:rFonts w:eastAsia="SimSun"/>
          <w:szCs w:val="20"/>
          <w:lang w:eastAsia="zh-CN"/>
        </w:rPr>
      </w:pPr>
      <w:r>
        <w:rPr>
          <w:rFonts w:eastAsia="SimSun"/>
          <w:szCs w:val="20"/>
          <w:lang w:eastAsia="zh-CN"/>
        </w:rPr>
        <w:t>The Commission should approv</w:t>
      </w:r>
      <w:r w:rsidR="00E31A2A">
        <w:rPr>
          <w:rFonts w:eastAsia="SimSun"/>
          <w:szCs w:val="20"/>
          <w:lang w:eastAsia="zh-CN"/>
        </w:rPr>
        <w:t>e</w:t>
      </w:r>
      <w:r>
        <w:rPr>
          <w:rFonts w:eastAsia="SimSun"/>
          <w:szCs w:val="20"/>
          <w:lang w:eastAsia="zh-CN"/>
        </w:rPr>
        <w:t xml:space="preserve"> Pacific Power’s proposal because it is appropriate to address </w:t>
      </w:r>
      <w:r w:rsidR="00BF7A34">
        <w:rPr>
          <w:rFonts w:eastAsia="SimSun"/>
          <w:szCs w:val="20"/>
          <w:lang w:eastAsia="zh-CN"/>
        </w:rPr>
        <w:t>“</w:t>
      </w:r>
      <w:r w:rsidR="00BC0946" w:rsidRPr="00BC0946">
        <w:rPr>
          <w:rFonts w:eastAsia="SimSun"/>
          <w:szCs w:val="20"/>
          <w:lang w:eastAsia="zh-CN"/>
        </w:rPr>
        <w:t>declines in revenues due to utility-sponsored conservation</w:t>
      </w:r>
      <w:r w:rsidR="00BF7A34">
        <w:rPr>
          <w:rFonts w:eastAsia="SimSun"/>
          <w:szCs w:val="20"/>
          <w:lang w:eastAsia="zh-CN"/>
        </w:rPr>
        <w:t>”</w:t>
      </w:r>
      <w:r w:rsidR="00BC0946" w:rsidRPr="00BC0946">
        <w:rPr>
          <w:rFonts w:eastAsia="SimSun"/>
          <w:position w:val="6"/>
          <w:sz w:val="16"/>
          <w:szCs w:val="20"/>
          <w:lang w:eastAsia="zh-CN"/>
        </w:rPr>
        <w:footnoteReference w:id="46"/>
      </w:r>
      <w:r w:rsidR="004E630E">
        <w:rPr>
          <w:rFonts w:eastAsia="SimSun"/>
          <w:szCs w:val="20"/>
          <w:lang w:eastAsia="zh-CN"/>
        </w:rPr>
        <w:t xml:space="preserve"> </w:t>
      </w:r>
      <w:r>
        <w:rPr>
          <w:rFonts w:eastAsia="SimSun"/>
          <w:szCs w:val="20"/>
          <w:lang w:eastAsia="zh-CN"/>
        </w:rPr>
        <w:t xml:space="preserve">that impact </w:t>
      </w:r>
      <w:r w:rsidR="004E630E">
        <w:rPr>
          <w:rFonts w:eastAsia="SimSun"/>
          <w:szCs w:val="20"/>
          <w:lang w:eastAsia="zh-CN"/>
        </w:rPr>
        <w:t>a utility’s earnings</w:t>
      </w:r>
      <w:r w:rsidR="00BC0946" w:rsidRPr="00BC0946">
        <w:rPr>
          <w:rFonts w:eastAsia="SimSun"/>
          <w:szCs w:val="20"/>
          <w:lang w:eastAsia="zh-CN"/>
        </w:rPr>
        <w:t>.</w:t>
      </w:r>
      <w:r w:rsidR="00BC0946" w:rsidRPr="00BC0946">
        <w:rPr>
          <w:rFonts w:eastAsia="SimSun"/>
          <w:position w:val="6"/>
          <w:sz w:val="16"/>
          <w:szCs w:val="20"/>
          <w:lang w:eastAsia="zh-CN"/>
        </w:rPr>
        <w:footnoteReference w:id="47"/>
      </w:r>
      <w:r w:rsidR="00BC0946" w:rsidRPr="00BC0946">
        <w:rPr>
          <w:rFonts w:eastAsia="SimSun"/>
          <w:szCs w:val="20"/>
          <w:lang w:eastAsia="zh-CN"/>
        </w:rPr>
        <w:t xml:space="preserve">  </w:t>
      </w:r>
      <w:r w:rsidR="004E630E">
        <w:rPr>
          <w:rFonts w:eastAsia="SimSun"/>
          <w:szCs w:val="20"/>
          <w:lang w:eastAsia="zh-CN"/>
        </w:rPr>
        <w:t xml:space="preserve">Also, under Pacific Power’s </w:t>
      </w:r>
      <w:r w:rsidR="00BC0946" w:rsidRPr="00BC0946">
        <w:rPr>
          <w:rFonts w:eastAsia="SimSun"/>
          <w:szCs w:val="20"/>
          <w:lang w:eastAsia="zh-CN"/>
        </w:rPr>
        <w:t xml:space="preserve">current rate structure, the Company </w:t>
      </w:r>
      <w:r w:rsidR="004E630E">
        <w:rPr>
          <w:rFonts w:eastAsia="SimSun"/>
          <w:szCs w:val="20"/>
          <w:lang w:eastAsia="zh-CN"/>
        </w:rPr>
        <w:t>relies</w:t>
      </w:r>
      <w:r w:rsidR="00BC0946" w:rsidRPr="00BC0946">
        <w:rPr>
          <w:rFonts w:eastAsia="SimSun"/>
          <w:szCs w:val="20"/>
          <w:lang w:eastAsia="zh-CN"/>
        </w:rPr>
        <w:t xml:space="preserve"> on volumetric rates to recover a substantial portion of its fixed delivery costs.  </w:t>
      </w:r>
      <w:r w:rsidR="004E630E">
        <w:rPr>
          <w:rFonts w:eastAsia="SimSun"/>
          <w:szCs w:val="20"/>
          <w:lang w:eastAsia="zh-CN"/>
        </w:rPr>
        <w:t>C</w:t>
      </w:r>
      <w:r w:rsidR="004E630E" w:rsidRPr="00BC0946">
        <w:rPr>
          <w:rFonts w:eastAsia="SimSun"/>
          <w:szCs w:val="20"/>
          <w:lang w:eastAsia="zh-CN"/>
        </w:rPr>
        <w:t xml:space="preserve">ustomers use less energy </w:t>
      </w:r>
      <w:r w:rsidR="004E630E">
        <w:rPr>
          <w:rFonts w:eastAsia="SimSun"/>
          <w:szCs w:val="20"/>
          <w:lang w:eastAsia="zh-CN"/>
        </w:rPr>
        <w:t>as a result of Pacific Power successfully promoting</w:t>
      </w:r>
      <w:r w:rsidR="00BC0946" w:rsidRPr="00BC0946">
        <w:rPr>
          <w:rFonts w:eastAsia="SimSun"/>
          <w:szCs w:val="20"/>
          <w:lang w:eastAsia="zh-CN"/>
        </w:rPr>
        <w:t xml:space="preserve"> conservation, and </w:t>
      </w:r>
      <w:r w:rsidR="004E630E">
        <w:rPr>
          <w:rFonts w:eastAsia="SimSun"/>
          <w:szCs w:val="20"/>
          <w:lang w:eastAsia="zh-CN"/>
        </w:rPr>
        <w:t xml:space="preserve">this hampers the Company’s </w:t>
      </w:r>
      <w:r w:rsidR="00BC0946" w:rsidRPr="00BC0946">
        <w:rPr>
          <w:rFonts w:eastAsia="SimSun"/>
          <w:szCs w:val="20"/>
          <w:lang w:eastAsia="zh-CN"/>
        </w:rPr>
        <w:t xml:space="preserve">ability to fully recover embedded fixed costs through volumetric rates.  </w:t>
      </w:r>
      <w:r w:rsidR="004E630E">
        <w:rPr>
          <w:rFonts w:eastAsia="SimSun"/>
          <w:szCs w:val="20"/>
          <w:lang w:eastAsia="zh-CN"/>
        </w:rPr>
        <w:t>This means the</w:t>
      </w:r>
      <w:r w:rsidR="00BC0946" w:rsidRPr="00BC0946">
        <w:rPr>
          <w:rFonts w:eastAsia="SimSun"/>
          <w:szCs w:val="20"/>
          <w:lang w:eastAsia="zh-CN"/>
        </w:rPr>
        <w:t xml:space="preserve"> growth in load is reduced to cover new fixed costs</w:t>
      </w:r>
      <w:r w:rsidR="004E630E">
        <w:rPr>
          <w:rFonts w:eastAsia="SimSun"/>
          <w:szCs w:val="20"/>
          <w:lang w:eastAsia="zh-CN"/>
        </w:rPr>
        <w:t xml:space="preserve"> and </w:t>
      </w:r>
      <w:r w:rsidR="00BC0946" w:rsidRPr="00BC0946">
        <w:rPr>
          <w:rFonts w:eastAsia="SimSun"/>
          <w:szCs w:val="20"/>
          <w:lang w:eastAsia="zh-CN"/>
        </w:rPr>
        <w:t xml:space="preserve">creates a throughput incentive, which </w:t>
      </w:r>
      <w:r w:rsidR="004E630E">
        <w:rPr>
          <w:rFonts w:eastAsia="SimSun"/>
          <w:szCs w:val="20"/>
          <w:lang w:eastAsia="zh-CN"/>
        </w:rPr>
        <w:t xml:space="preserve">undermines the goal of </w:t>
      </w:r>
      <w:r w:rsidR="00BC0946" w:rsidRPr="00BC0946">
        <w:rPr>
          <w:rFonts w:eastAsia="SimSun"/>
          <w:szCs w:val="20"/>
          <w:lang w:eastAsia="zh-CN"/>
        </w:rPr>
        <w:t xml:space="preserve">conservation.  </w:t>
      </w:r>
      <w:r w:rsidR="000E68AE">
        <w:rPr>
          <w:rFonts w:eastAsia="SimSun"/>
          <w:szCs w:val="20"/>
          <w:lang w:eastAsia="zh-CN"/>
        </w:rPr>
        <w:t xml:space="preserve">Pacific Power’s </w:t>
      </w:r>
      <w:r w:rsidR="00BC0946" w:rsidRPr="00BC0946">
        <w:rPr>
          <w:rFonts w:eastAsia="SimSun"/>
          <w:szCs w:val="20"/>
          <w:lang w:eastAsia="zh-CN"/>
        </w:rPr>
        <w:t>decoupling mechanism address</w:t>
      </w:r>
      <w:r w:rsidR="000E68AE">
        <w:rPr>
          <w:rFonts w:eastAsia="SimSun"/>
          <w:szCs w:val="20"/>
          <w:lang w:eastAsia="zh-CN"/>
        </w:rPr>
        <w:t>e</w:t>
      </w:r>
      <w:r w:rsidR="00E31A2A">
        <w:rPr>
          <w:rFonts w:eastAsia="SimSun"/>
          <w:szCs w:val="20"/>
          <w:lang w:eastAsia="zh-CN"/>
        </w:rPr>
        <w:t>s</w:t>
      </w:r>
      <w:r w:rsidR="00BC0946" w:rsidRPr="00BC0946">
        <w:rPr>
          <w:rFonts w:eastAsia="SimSun"/>
          <w:szCs w:val="20"/>
          <w:lang w:eastAsia="zh-CN"/>
        </w:rPr>
        <w:t xml:space="preserve"> these </w:t>
      </w:r>
      <w:r w:rsidR="000E68AE">
        <w:rPr>
          <w:rFonts w:eastAsia="SimSun"/>
          <w:szCs w:val="20"/>
          <w:lang w:eastAsia="zh-CN"/>
        </w:rPr>
        <w:t>c</w:t>
      </w:r>
      <w:r w:rsidR="00BC0946" w:rsidRPr="00BC0946">
        <w:rPr>
          <w:rFonts w:eastAsia="SimSun"/>
          <w:szCs w:val="20"/>
          <w:lang w:eastAsia="zh-CN"/>
        </w:rPr>
        <w:t xml:space="preserve">oncerns.  </w:t>
      </w:r>
    </w:p>
    <w:p w:rsidR="00944DD2" w:rsidRPr="007C0943" w:rsidRDefault="00944DD2" w:rsidP="00944DD2">
      <w:pPr>
        <w:pStyle w:val="Answer"/>
        <w:widowControl w:val="0"/>
        <w:jc w:val="left"/>
        <w:rPr>
          <w:b/>
        </w:rPr>
      </w:pPr>
      <w:r w:rsidRPr="007C0943">
        <w:rPr>
          <w:b/>
        </w:rPr>
        <w:t>Q.</w:t>
      </w:r>
      <w:r w:rsidRPr="007C0943">
        <w:rPr>
          <w:b/>
        </w:rPr>
        <w:tab/>
      </w:r>
      <w:r w:rsidR="00CA1AB2">
        <w:rPr>
          <w:b/>
        </w:rPr>
        <w:t xml:space="preserve">Does the </w:t>
      </w:r>
      <w:r w:rsidR="000E68AE">
        <w:rPr>
          <w:b/>
        </w:rPr>
        <w:t xml:space="preserve">decoupling mechanism </w:t>
      </w:r>
      <w:r w:rsidR="00CA1AB2">
        <w:rPr>
          <w:b/>
        </w:rPr>
        <w:t xml:space="preserve">operate independently of the </w:t>
      </w:r>
      <w:r w:rsidR="000E68AE">
        <w:rPr>
          <w:b/>
        </w:rPr>
        <w:t>ERF and the rate plan?</w:t>
      </w:r>
    </w:p>
    <w:p w:rsidR="0047355C" w:rsidRDefault="00944DD2" w:rsidP="00944DD2">
      <w:pPr>
        <w:pStyle w:val="Answer"/>
        <w:widowControl w:val="0"/>
        <w:jc w:val="left"/>
      </w:pPr>
      <w:r w:rsidRPr="00C63B21">
        <w:t>A.</w:t>
      </w:r>
      <w:r w:rsidR="000E68AE">
        <w:tab/>
        <w:t>Yes.  The decoupling mechanism operates independently from the</w:t>
      </w:r>
      <w:r w:rsidR="00CA1AB2">
        <w:t xml:space="preserve"> other</w:t>
      </w:r>
      <w:r w:rsidR="000E68AE">
        <w:t xml:space="preserve"> rate increases</w:t>
      </w:r>
      <w:r w:rsidR="00CA1AB2">
        <w:t xml:space="preserve">.  The only link is that the </w:t>
      </w:r>
      <w:r w:rsidR="000E68AE">
        <w:t>base revenues for the decoupling mechanism will be updated to reflect the second-year</w:t>
      </w:r>
      <w:r w:rsidR="00CA1AB2">
        <w:t xml:space="preserve"> rate increase in 2017. </w:t>
      </w:r>
    </w:p>
    <w:p w:rsidR="0047355C" w:rsidRPr="007C0943" w:rsidRDefault="0047355C" w:rsidP="0047355C">
      <w:pPr>
        <w:pStyle w:val="Answer"/>
        <w:widowControl w:val="0"/>
        <w:jc w:val="left"/>
        <w:rPr>
          <w:b/>
        </w:rPr>
      </w:pPr>
      <w:r w:rsidRPr="007C0943">
        <w:rPr>
          <w:b/>
        </w:rPr>
        <w:t>Q.</w:t>
      </w:r>
      <w:r w:rsidRPr="007C0943">
        <w:rPr>
          <w:b/>
        </w:rPr>
        <w:tab/>
      </w:r>
      <w:r w:rsidR="00304F53">
        <w:rPr>
          <w:b/>
        </w:rPr>
        <w:t xml:space="preserve">Please </w:t>
      </w:r>
      <w:r>
        <w:rPr>
          <w:b/>
        </w:rPr>
        <w:t xml:space="preserve">provide </w:t>
      </w:r>
      <w:r w:rsidR="00304F53">
        <w:rPr>
          <w:b/>
        </w:rPr>
        <w:t>additional</w:t>
      </w:r>
      <w:r>
        <w:rPr>
          <w:b/>
        </w:rPr>
        <w:t xml:space="preserve"> detail regarding the Company’</w:t>
      </w:r>
      <w:r w:rsidR="00304F53">
        <w:rPr>
          <w:b/>
        </w:rPr>
        <w:t xml:space="preserve">s decoupling mechanism proposal. </w:t>
      </w:r>
    </w:p>
    <w:p w:rsidR="00E31A2A" w:rsidRDefault="0047355C" w:rsidP="0047355C">
      <w:pPr>
        <w:pStyle w:val="Answer"/>
        <w:widowControl w:val="0"/>
        <w:jc w:val="left"/>
      </w:pPr>
      <w:r w:rsidRPr="00C63B21">
        <w:t>A.</w:t>
      </w:r>
      <w:r>
        <w:tab/>
        <w:t>I will highlight a few aspects of the proposal that</w:t>
      </w:r>
      <w:r w:rsidR="000224F5">
        <w:t xml:space="preserve"> reflect on the overall filing.  </w:t>
      </w:r>
      <w:r w:rsidR="00304F53">
        <w:t xml:space="preserve">The testimony of </w:t>
      </w:r>
      <w:r w:rsidR="00C25FE4">
        <w:t xml:space="preserve">Ms. </w:t>
      </w:r>
      <w:r w:rsidR="000224F5">
        <w:t xml:space="preserve">Joelle R. Steward will provide </w:t>
      </w:r>
      <w:r w:rsidR="00304F53">
        <w:t xml:space="preserve">additional </w:t>
      </w:r>
      <w:r w:rsidR="000224F5">
        <w:t xml:space="preserve">detail on how the decoupling mechanism will </w:t>
      </w:r>
      <w:r w:rsidR="00364AA9">
        <w:t>w</w:t>
      </w:r>
      <w:r w:rsidR="000224F5">
        <w:t xml:space="preserve">ork.  </w:t>
      </w:r>
    </w:p>
    <w:p w:rsidR="00A411EC" w:rsidRDefault="000224F5" w:rsidP="007B04BC">
      <w:pPr>
        <w:pStyle w:val="Answer"/>
        <w:widowControl w:val="0"/>
        <w:ind w:firstLine="720"/>
        <w:jc w:val="left"/>
      </w:pPr>
      <w:r>
        <w:t xml:space="preserve">The Company’s decoupling proposal has an earnings test that will be based on Pacific Power’s </w:t>
      </w:r>
      <w:r w:rsidR="00C25FE4">
        <w:t>Commission Basis Report</w:t>
      </w:r>
      <w:r w:rsidR="00A411EC">
        <w:t xml:space="preserve"> as explained in the direct testimony of Ms. McCoy</w:t>
      </w:r>
      <w:r>
        <w:t xml:space="preserve">. </w:t>
      </w:r>
      <w:r w:rsidR="00614243">
        <w:t xml:space="preserve"> </w:t>
      </w:r>
    </w:p>
    <w:p w:rsidR="007B04BC" w:rsidRDefault="007B04BC" w:rsidP="007B04BC">
      <w:pPr>
        <w:pStyle w:val="ListParagraph"/>
        <w:spacing w:line="480" w:lineRule="auto"/>
        <w:ind w:firstLine="720"/>
        <w:jc w:val="left"/>
      </w:pPr>
      <w:r w:rsidRPr="006E1888">
        <w:t>If the return on equity exceeds the most recently authorized return on equity</w:t>
      </w:r>
      <w:r>
        <w:t>:</w:t>
      </w:r>
    </w:p>
    <w:p w:rsidR="007B04BC" w:rsidRDefault="007B04BC" w:rsidP="00DA0E7C">
      <w:pPr>
        <w:pStyle w:val="ListParagraph"/>
        <w:numPr>
          <w:ilvl w:val="0"/>
          <w:numId w:val="25"/>
        </w:numPr>
        <w:ind w:left="1800"/>
        <w:jc w:val="left"/>
      </w:pPr>
      <w:r w:rsidRPr="006E1888">
        <w:t>any proposed decoupling surcharge will be reduced or eliminated</w:t>
      </w:r>
      <w:r>
        <w:t xml:space="preserve"> by up to 50 </w:t>
      </w:r>
      <w:r w:rsidRPr="006E1888">
        <w:t>percent of the excess earnings</w:t>
      </w:r>
      <w:r>
        <w:t>;</w:t>
      </w:r>
    </w:p>
    <w:p w:rsidR="00DA0E7C" w:rsidRDefault="00DA0E7C" w:rsidP="00DA0E7C">
      <w:pPr>
        <w:pStyle w:val="ListParagraph"/>
        <w:suppressLineNumbers/>
        <w:ind w:left="1800"/>
        <w:jc w:val="left"/>
      </w:pPr>
    </w:p>
    <w:p w:rsidR="007B04BC" w:rsidRDefault="007B04BC" w:rsidP="00DA0E7C">
      <w:pPr>
        <w:pStyle w:val="ListParagraph"/>
        <w:numPr>
          <w:ilvl w:val="0"/>
          <w:numId w:val="25"/>
        </w:numPr>
        <w:ind w:left="1800"/>
        <w:jc w:val="left"/>
      </w:pPr>
      <w:r w:rsidRPr="006E1888">
        <w:t xml:space="preserve">any </w:t>
      </w:r>
      <w:r>
        <w:t xml:space="preserve">proposed </w:t>
      </w:r>
      <w:r w:rsidRPr="006E1888">
        <w:t>decoupling surcredit will be retu</w:t>
      </w:r>
      <w:r>
        <w:t>rned to customers as well as 50 </w:t>
      </w:r>
      <w:r w:rsidRPr="006E1888">
        <w:t xml:space="preserve">percent of the excess earnings.  </w:t>
      </w:r>
    </w:p>
    <w:p w:rsidR="00DA0E7C" w:rsidRDefault="00DA0E7C" w:rsidP="00DA0E7C">
      <w:pPr>
        <w:pStyle w:val="ListParagraph"/>
        <w:suppressLineNumbers/>
        <w:ind w:left="1800"/>
        <w:jc w:val="left"/>
      </w:pPr>
    </w:p>
    <w:p w:rsidR="007B04BC" w:rsidRDefault="007B04BC" w:rsidP="007B04BC">
      <w:pPr>
        <w:pStyle w:val="Answer"/>
        <w:widowControl w:val="0"/>
        <w:ind w:firstLine="720"/>
        <w:jc w:val="left"/>
      </w:pPr>
      <w:r w:rsidRPr="00181E5A">
        <w:t>If the return on equity is less than the most recently authori</w:t>
      </w:r>
      <w:r w:rsidRPr="008C5366">
        <w:t>zed return on equity, no adjustment is made to any decoupling surcharge or surcredit</w:t>
      </w:r>
    </w:p>
    <w:p w:rsidR="00364AA9" w:rsidRDefault="000224F5" w:rsidP="00A411EC">
      <w:pPr>
        <w:pStyle w:val="Answer"/>
        <w:widowControl w:val="0"/>
        <w:ind w:firstLine="720"/>
        <w:jc w:val="left"/>
      </w:pPr>
      <w:r>
        <w:t xml:space="preserve">Additionally, </w:t>
      </w:r>
      <w:r w:rsidR="00A411EC">
        <w:t xml:space="preserve">any annual </w:t>
      </w:r>
      <w:r>
        <w:t xml:space="preserve">rate increase from </w:t>
      </w:r>
      <w:r w:rsidR="00A411EC">
        <w:t>decoupling</w:t>
      </w:r>
      <w:r>
        <w:t xml:space="preserve"> </w:t>
      </w:r>
      <w:r w:rsidR="00A411EC">
        <w:t xml:space="preserve">will not </w:t>
      </w:r>
      <w:r>
        <w:t>exceed three percent in any year, with any excessive amounts carrying over to a future year.  The three percent cap is important because the Company’s filing is designed to</w:t>
      </w:r>
      <w:r w:rsidR="00CC5652">
        <w:t xml:space="preserve"> avoid the threshold for a </w:t>
      </w:r>
      <w:r w:rsidR="00C25FE4">
        <w:t>general rate case</w:t>
      </w:r>
      <w:r w:rsidR="00A411EC">
        <w:t xml:space="preserve"> and provide protection for customers.</w:t>
      </w:r>
    </w:p>
    <w:p w:rsidR="00944DD2" w:rsidRDefault="00364AA9" w:rsidP="0047355C">
      <w:pPr>
        <w:pStyle w:val="Answer"/>
        <w:widowControl w:val="0"/>
        <w:jc w:val="left"/>
      </w:pPr>
      <w:r>
        <w:tab/>
      </w:r>
      <w:r>
        <w:tab/>
        <w:t xml:space="preserve">Furthermore, the decoupling mechanism will be evaluated after three years to review the effectiveness of the mechanism.  This review will provide the Commission and stakeholders another opportunity to evaluate the mechanism after it has </w:t>
      </w:r>
      <w:r w:rsidR="00E31A2A">
        <w:t>gone into operation</w:t>
      </w:r>
      <w:r w:rsidR="008A1227">
        <w:t xml:space="preserve">.  </w:t>
      </w:r>
    </w:p>
    <w:p w:rsidR="001A0A36" w:rsidRDefault="001A0A36" w:rsidP="0047355C">
      <w:pPr>
        <w:pStyle w:val="Answer"/>
        <w:widowControl w:val="0"/>
        <w:jc w:val="left"/>
      </w:pPr>
      <w:r w:rsidRPr="00473F35">
        <w:rPr>
          <w:b/>
        </w:rPr>
        <w:t>Q.</w:t>
      </w:r>
      <w:r w:rsidRPr="00473F35">
        <w:rPr>
          <w:b/>
        </w:rPr>
        <w:tab/>
        <w:t xml:space="preserve">Is it necessary for the Commission to adjust the Company’s </w:t>
      </w:r>
      <w:r w:rsidR="00C25FE4">
        <w:rPr>
          <w:b/>
        </w:rPr>
        <w:t>cost of capital</w:t>
      </w:r>
      <w:r w:rsidRPr="00473F35">
        <w:rPr>
          <w:b/>
        </w:rPr>
        <w:t xml:space="preserve"> in this case if it adopts decoupling</w:t>
      </w:r>
      <w:r>
        <w:t xml:space="preserve">? </w:t>
      </w:r>
    </w:p>
    <w:p w:rsidR="001A0A36" w:rsidRPr="00C63B21" w:rsidRDefault="001A0A36" w:rsidP="0047355C">
      <w:pPr>
        <w:pStyle w:val="Answer"/>
        <w:widowControl w:val="0"/>
        <w:jc w:val="left"/>
      </w:pPr>
      <w:r>
        <w:t>A.</w:t>
      </w:r>
      <w:r>
        <w:tab/>
        <w:t xml:space="preserve">No.  As noted above, the Company’s </w:t>
      </w:r>
      <w:r w:rsidR="00C25FE4">
        <w:t>cost of capital</w:t>
      </w:r>
      <w:r>
        <w:t xml:space="preserve"> is already lower than the other Washington utilities that have decoupling. </w:t>
      </w:r>
      <w:r w:rsidR="00894AD3">
        <w:t xml:space="preserve"> </w:t>
      </w:r>
      <w:r w:rsidR="00B142BB">
        <w:t xml:space="preserve">In addition, similar to the PSE ERF proceeding, Pacific Power’s decoupling proposal is being presented as part of an ERF, rate plan </w:t>
      </w:r>
      <w:r w:rsidR="00513EE9">
        <w:t xml:space="preserve">and decoupling </w:t>
      </w:r>
      <w:r w:rsidR="00B142BB">
        <w:t xml:space="preserve">proposal that in combination supports maintaining the same </w:t>
      </w:r>
      <w:r w:rsidR="00C25FE4">
        <w:t>cost of capital</w:t>
      </w:r>
      <w:r w:rsidR="00B142BB">
        <w:t>.</w:t>
      </w:r>
      <w:r w:rsidR="00B142BB">
        <w:rPr>
          <w:rStyle w:val="FootnoteReference"/>
        </w:rPr>
        <w:footnoteReference w:id="48"/>
      </w:r>
      <w:r w:rsidR="00B142BB">
        <w:t xml:space="preserve">  </w:t>
      </w:r>
      <w:r w:rsidR="004B0CCD">
        <w:t xml:space="preserve">Mr. Strunk addresses this issue in more detail in his testimony. </w:t>
      </w:r>
      <w:r w:rsidR="00B142BB">
        <w:t xml:space="preserve">   </w:t>
      </w:r>
    </w:p>
    <w:p w:rsidR="00897DDD" w:rsidRDefault="00897DDD" w:rsidP="00F97F5F">
      <w:pPr>
        <w:pStyle w:val="Heading1"/>
      </w:pPr>
      <w:bookmarkStart w:id="10" w:name="_Toc386630093"/>
      <w:bookmarkStart w:id="11" w:name="_Toc436040514"/>
      <w:r>
        <w:t>CONCLUSION</w:t>
      </w:r>
      <w:bookmarkEnd w:id="10"/>
      <w:bookmarkEnd w:id="11"/>
    </w:p>
    <w:p w:rsidR="00897DDD" w:rsidRDefault="00897DDD" w:rsidP="00897DDD">
      <w:pPr>
        <w:pStyle w:val="Answer"/>
        <w:keepNext/>
        <w:widowControl w:val="0"/>
        <w:rPr>
          <w:b/>
        </w:rPr>
      </w:pPr>
      <w:r>
        <w:rPr>
          <w:b/>
        </w:rPr>
        <w:t>Q.</w:t>
      </w:r>
      <w:r>
        <w:rPr>
          <w:b/>
        </w:rPr>
        <w:tab/>
      </w:r>
      <w:r w:rsidR="00F97F5F">
        <w:rPr>
          <w:b/>
        </w:rPr>
        <w:t>Please summarize your testimony.</w:t>
      </w:r>
    </w:p>
    <w:p w:rsidR="003B758D" w:rsidRPr="00C01DF4" w:rsidRDefault="00F97F5F" w:rsidP="001F3B0A">
      <w:pPr>
        <w:pStyle w:val="Answer"/>
        <w:widowControl w:val="0"/>
        <w:jc w:val="left"/>
      </w:pPr>
      <w:r>
        <w:t>A.</w:t>
      </w:r>
      <w:r>
        <w:tab/>
        <w:t>The Company</w:t>
      </w:r>
      <w:r w:rsidR="00E10A43">
        <w:t xml:space="preserve">’s filing carefully balances the </w:t>
      </w:r>
      <w:r w:rsidR="001F3B0A">
        <w:t xml:space="preserve">impact on customers, the Commission’s instruction to file creative ratemaking solutions that avoid </w:t>
      </w:r>
      <w:r w:rsidR="00C25FE4">
        <w:t>general rate case</w:t>
      </w:r>
      <w:r w:rsidR="001F3B0A">
        <w:t xml:space="preserve">s, and </w:t>
      </w:r>
      <w:r w:rsidR="00EA7DB6">
        <w:t>t</w:t>
      </w:r>
      <w:r w:rsidR="001F3B0A">
        <w:t>he needs of the Company.  Collectively, the ERF, rate plan, and decoupling proposal provide relief and protection to customers, while allowing the Company to continue to p</w:t>
      </w:r>
      <w:r>
        <w:t>rovid</w:t>
      </w:r>
      <w:r w:rsidR="001F3B0A">
        <w:t xml:space="preserve">e </w:t>
      </w:r>
      <w:r>
        <w:t>safe, reliable, and efficient electric service to Washington customers and to earn a reasonable return.</w:t>
      </w:r>
      <w:bookmarkStart w:id="12" w:name="_Toc386469982"/>
      <w:r w:rsidR="001F3B0A">
        <w:t xml:space="preserve">  Pacific Power’s proposal </w:t>
      </w:r>
      <w:bookmarkEnd w:id="12"/>
      <w:r w:rsidR="00304F53">
        <w:t xml:space="preserve">supports the Company’s efforts to </w:t>
      </w:r>
      <w:r w:rsidR="001F3B0A">
        <w:t>effectively and efficiently respond to a challenging and transforming electric energy regulatory environment.</w:t>
      </w:r>
    </w:p>
    <w:p w:rsidR="003B758D" w:rsidRPr="002B505A" w:rsidRDefault="003B758D" w:rsidP="003B758D">
      <w:pPr>
        <w:pStyle w:val="Answer"/>
        <w:keepNext/>
        <w:widowControl w:val="0"/>
        <w:jc w:val="left"/>
        <w:rPr>
          <w:b/>
        </w:rPr>
      </w:pPr>
      <w:r>
        <w:rPr>
          <w:b/>
        </w:rPr>
        <w:t>Q.</w:t>
      </w:r>
      <w:r>
        <w:rPr>
          <w:b/>
        </w:rPr>
        <w:tab/>
      </w:r>
      <w:r w:rsidRPr="002B505A">
        <w:rPr>
          <w:b/>
        </w:rPr>
        <w:t xml:space="preserve">Does this conclude your </w:t>
      </w:r>
      <w:r w:rsidR="00AE2C5B">
        <w:rPr>
          <w:b/>
        </w:rPr>
        <w:t xml:space="preserve">direct </w:t>
      </w:r>
      <w:r w:rsidRPr="002B505A">
        <w:rPr>
          <w:b/>
        </w:rPr>
        <w:t>testimony?</w:t>
      </w:r>
    </w:p>
    <w:p w:rsidR="003B758D" w:rsidRPr="00410A71" w:rsidRDefault="003B758D" w:rsidP="003B758D">
      <w:pPr>
        <w:pStyle w:val="Answer"/>
        <w:widowControl w:val="0"/>
        <w:jc w:val="left"/>
      </w:pPr>
      <w:r>
        <w:t>A.</w:t>
      </w:r>
      <w:r>
        <w:tab/>
        <w:t>Yes.</w:t>
      </w:r>
    </w:p>
    <w:p w:rsidR="003B758D" w:rsidRPr="00410A71" w:rsidRDefault="003B758D" w:rsidP="00AE2C5B">
      <w:pPr>
        <w:pStyle w:val="Answer"/>
        <w:widowControl w:val="0"/>
        <w:suppressLineNumbers/>
        <w:jc w:val="left"/>
      </w:pPr>
    </w:p>
    <w:sectPr w:rsidR="003B758D" w:rsidRPr="00410A71" w:rsidSect="005773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D776D" w15:done="0"/>
  <w15:commentEx w15:paraId="37FB61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EF" w:rsidRDefault="00CF03EF">
      <w:r>
        <w:separator/>
      </w:r>
    </w:p>
  </w:endnote>
  <w:endnote w:type="continuationSeparator" w:id="0">
    <w:p w:rsidR="00CF03EF" w:rsidRDefault="00C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E3" w:rsidRDefault="00947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BC" w:rsidRDefault="007B04BC" w:rsidP="008E085A">
    <w:pPr>
      <w:pStyle w:val="Footer"/>
      <w:tabs>
        <w:tab w:val="clear" w:pos="8640"/>
        <w:tab w:val="right" w:pos="9000"/>
      </w:tabs>
    </w:pPr>
    <w:r>
      <w:t>Direct Testimony of R. Bryce Dalley</w:t>
    </w:r>
    <w:r>
      <w:tab/>
    </w:r>
    <w:r>
      <w:tab/>
      <w:t xml:space="preserve">Exhibit No. </w:t>
    </w:r>
    <w:r w:rsidRPr="007B3542">
      <w:t>RBD-1T</w:t>
    </w:r>
  </w:p>
  <w:p w:rsidR="007B04BC" w:rsidRPr="007B3542" w:rsidRDefault="007B04BC" w:rsidP="007B3542">
    <w:pPr>
      <w:pStyle w:val="Footer"/>
      <w:jc w:val="right"/>
    </w:pPr>
    <w:r>
      <w:t xml:space="preserve">Page </w:t>
    </w:r>
    <w:r>
      <w:fldChar w:fldCharType="begin"/>
    </w:r>
    <w:r>
      <w:instrText xml:space="preserve"> PAGE   \* MERGEFORMAT </w:instrText>
    </w:r>
    <w:r>
      <w:fldChar w:fldCharType="separate"/>
    </w:r>
    <w:r w:rsidR="009479E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936981"/>
      <w:docPartObj>
        <w:docPartGallery w:val="Page Numbers (Bottom of Page)"/>
        <w:docPartUnique/>
      </w:docPartObj>
    </w:sdtPr>
    <w:sdtEndPr>
      <w:rPr>
        <w:noProof/>
      </w:rPr>
    </w:sdtEndPr>
    <w:sdtContent>
      <w:p w:rsidR="00FF5DEE" w:rsidRDefault="00FF5DEE" w:rsidP="00FF5DEE">
        <w:pPr>
          <w:pStyle w:val="Footer"/>
          <w:tabs>
            <w:tab w:val="clear" w:pos="8640"/>
            <w:tab w:val="right" w:pos="9000"/>
          </w:tabs>
          <w:rPr>
            <w:rStyle w:val="PageNumber"/>
            <w:rFonts w:eastAsiaTheme="minorEastAsia"/>
          </w:rPr>
        </w:pPr>
        <w:r>
          <w:rPr>
            <w:rStyle w:val="PageNumber"/>
            <w:rFonts w:eastAsiaTheme="minorEastAsia"/>
          </w:rPr>
          <w:t xml:space="preserve">Direct Testimony of </w:t>
        </w:r>
        <w:r w:rsidR="009F7AF9">
          <w:rPr>
            <w:rStyle w:val="PageNumber"/>
            <w:rFonts w:eastAsiaTheme="minorEastAsia"/>
          </w:rPr>
          <w:t xml:space="preserve">R. Bryce Dalley </w:t>
        </w:r>
        <w:r w:rsidR="009F7AF9">
          <w:rPr>
            <w:rStyle w:val="PageNumber"/>
            <w:rFonts w:eastAsiaTheme="minorEastAsia"/>
          </w:rPr>
          <w:tab/>
        </w:r>
        <w:r w:rsidR="009F7AF9">
          <w:rPr>
            <w:rStyle w:val="PageNumber"/>
            <w:rFonts w:eastAsiaTheme="minorEastAsia"/>
          </w:rPr>
          <w:tab/>
          <w:t>Exhibit No. RBD-1T</w:t>
        </w:r>
      </w:p>
      <w:p w:rsidR="00577308" w:rsidRDefault="00FF5DEE" w:rsidP="00577308">
        <w:pPr>
          <w:pStyle w:val="Footer"/>
          <w:jc w:val="right"/>
        </w:pPr>
        <w:r>
          <w:tab/>
        </w:r>
        <w:r>
          <w:tab/>
          <w:t>Page 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EF" w:rsidRDefault="00CF03EF">
      <w:r>
        <w:separator/>
      </w:r>
    </w:p>
  </w:footnote>
  <w:footnote w:type="continuationSeparator" w:id="0">
    <w:p w:rsidR="00CF03EF" w:rsidRDefault="00CF03EF">
      <w:r>
        <w:continuationSeparator/>
      </w:r>
    </w:p>
  </w:footnote>
  <w:footnote w:id="1">
    <w:p w:rsidR="007B04BC" w:rsidRDefault="007B04BC" w:rsidP="007B04BC">
      <w:pPr>
        <w:pStyle w:val="FootnoteText"/>
        <w:jc w:val="left"/>
      </w:pPr>
      <w:r>
        <w:rPr>
          <w:rStyle w:val="FootnoteReference"/>
        </w:rPr>
        <w:footnoteRef/>
      </w:r>
      <w:r>
        <w:t xml:space="preserve"> </w:t>
      </w:r>
      <w:r w:rsidR="009C785D">
        <w:rPr>
          <w:rFonts w:eastAsia="Times"/>
          <w:i/>
        </w:rPr>
        <w:t>Wash. Utils. &amp; Transp. Comm’n</w:t>
      </w:r>
      <w:r w:rsidRPr="001538E3">
        <w:rPr>
          <w:rFonts w:eastAsia="Times"/>
          <w:i/>
        </w:rPr>
        <w:t xml:space="preserve"> v. Puget Sound Energy, Inc</w:t>
      </w:r>
      <w:r w:rsidRPr="001538E3">
        <w:rPr>
          <w:rFonts w:eastAsia="Times"/>
        </w:rPr>
        <w:t xml:space="preserve">., Dockets UE-130137 and UG-130138 (consolidated) </w:t>
      </w:r>
      <w:r w:rsidRPr="001538E3">
        <w:rPr>
          <w:rFonts w:eastAsia="Times"/>
          <w:i/>
        </w:rPr>
        <w:t>et al.</w:t>
      </w:r>
      <w:r w:rsidRPr="001538E3">
        <w:rPr>
          <w:rFonts w:eastAsia="Times"/>
        </w:rPr>
        <w:t>, Order 07</w:t>
      </w:r>
      <w:r>
        <w:rPr>
          <w:rFonts w:eastAsia="Times"/>
        </w:rPr>
        <w:t xml:space="preserve"> at i</w:t>
      </w:r>
      <w:r w:rsidRPr="001538E3">
        <w:rPr>
          <w:rFonts w:eastAsia="Times"/>
        </w:rPr>
        <w:t xml:space="preserve"> (June 25, 2013).</w:t>
      </w:r>
    </w:p>
  </w:footnote>
  <w:footnote w:id="2">
    <w:p w:rsidR="007B04BC" w:rsidRDefault="007B04BC" w:rsidP="007B04BC">
      <w:pPr>
        <w:pStyle w:val="FootnoteText"/>
        <w:jc w:val="left"/>
      </w:pPr>
      <w:r>
        <w:rPr>
          <w:rStyle w:val="FootnoteReference"/>
        </w:rPr>
        <w:footnoteRef/>
      </w:r>
      <w:r>
        <w:t xml:space="preserve"> </w:t>
      </w:r>
      <w:r w:rsidRPr="00600BA3">
        <w:rPr>
          <w:i/>
        </w:rPr>
        <w:t>See</w:t>
      </w:r>
      <w:r>
        <w:t xml:space="preserve"> </w:t>
      </w:r>
      <w:r w:rsidRPr="00600BA3">
        <w:rPr>
          <w:i/>
        </w:rPr>
        <w:t>In the Matter of the Washington Utilities and Transportation Commission’s Investigation into Energy Conservation Incentives</w:t>
      </w:r>
      <w:r>
        <w:t xml:space="preserve">, Docket U-100522, </w:t>
      </w:r>
      <w:r>
        <w:rPr>
          <w:szCs w:val="24"/>
        </w:rPr>
        <w:t>Report and Policy Statement on Regulatory Mechanisms, Including Decoupling, to Encourage Utilities to Meet or Exceed their Conservation Targets (Nov. 4, 2010).</w:t>
      </w:r>
    </w:p>
  </w:footnote>
  <w:footnote w:id="3">
    <w:p w:rsidR="007B04BC" w:rsidRDefault="007B04BC" w:rsidP="007B04BC">
      <w:pPr>
        <w:pStyle w:val="FootnoteText"/>
        <w:jc w:val="left"/>
      </w:pPr>
      <w:r>
        <w:rPr>
          <w:rStyle w:val="FootnoteReference"/>
        </w:rPr>
        <w:footnoteRef/>
      </w:r>
      <w:r>
        <w:t xml:space="preserve">Dockets UE-130137 and UG-130138 (consolidated) </w:t>
      </w:r>
      <w:r w:rsidRPr="00AC43AA">
        <w:rPr>
          <w:i/>
        </w:rPr>
        <w:t>et al.</w:t>
      </w:r>
      <w:r>
        <w:t xml:space="preserve">, Order 07; </w:t>
      </w:r>
      <w:r w:rsidR="009C785D" w:rsidRPr="000F5932">
        <w:rPr>
          <w:i/>
        </w:rPr>
        <w:t>Wash. Utils. &amp; Transp. Comm’n</w:t>
      </w:r>
      <w:r>
        <w:rPr>
          <w:i/>
        </w:rPr>
        <w:t xml:space="preserve"> v. Avista Corp.</w:t>
      </w:r>
      <w:r>
        <w:t xml:space="preserve">, Dockets </w:t>
      </w:r>
      <w:r w:rsidR="009C785D">
        <w:br/>
      </w:r>
      <w:r>
        <w:t>UE-140188 &amp; UG-140189, Order 05 (Nov. 25, 2014).</w:t>
      </w:r>
    </w:p>
  </w:footnote>
  <w:footnote w:id="4">
    <w:p w:rsidR="007B04BC" w:rsidRPr="000D7DD4" w:rsidRDefault="007B04BC" w:rsidP="00C25FE4">
      <w:pPr>
        <w:pStyle w:val="FootnoteText"/>
        <w:jc w:val="left"/>
      </w:pPr>
      <w:r w:rsidRPr="000D7DD4">
        <w:rPr>
          <w:rStyle w:val="FootnoteReference"/>
        </w:rPr>
        <w:footnoteRef/>
      </w:r>
      <w:r w:rsidRPr="000D7DD4">
        <w:t xml:space="preserve"> RCW 80.80.005(1)(d).</w:t>
      </w:r>
    </w:p>
  </w:footnote>
  <w:footnote w:id="5">
    <w:p w:rsidR="007B04BC" w:rsidRPr="008B6153" w:rsidRDefault="007B04BC" w:rsidP="00C25FE4">
      <w:pPr>
        <w:pStyle w:val="FootnoteText"/>
        <w:jc w:val="left"/>
        <w:rPr>
          <w:b/>
        </w:rPr>
      </w:pPr>
      <w:r w:rsidRPr="000D7DD4">
        <w:rPr>
          <w:rStyle w:val="FootnoteReference"/>
        </w:rPr>
        <w:footnoteRef/>
      </w:r>
      <w:r w:rsidRPr="000D7DD4">
        <w:t xml:space="preserve"> RCW 70.235.005(1).</w:t>
      </w:r>
    </w:p>
  </w:footnote>
  <w:footnote w:id="6">
    <w:p w:rsidR="007B04BC" w:rsidRPr="000D7DD4" w:rsidRDefault="007B04BC" w:rsidP="00C25FE4">
      <w:pPr>
        <w:pStyle w:val="FootnoteText"/>
        <w:jc w:val="left"/>
      </w:pPr>
      <w:r w:rsidRPr="000D7DD4">
        <w:rPr>
          <w:rStyle w:val="FootnoteReference"/>
        </w:rPr>
        <w:footnoteRef/>
      </w:r>
      <w:r w:rsidRPr="000D7DD4">
        <w:t xml:space="preserve"> RCW 43.21F.088(1)(g).</w:t>
      </w:r>
    </w:p>
  </w:footnote>
  <w:footnote w:id="7">
    <w:p w:rsidR="007B04BC" w:rsidRPr="000D7DD4" w:rsidRDefault="007B04BC" w:rsidP="00C25FE4">
      <w:pPr>
        <w:pStyle w:val="FootnoteText"/>
        <w:jc w:val="left"/>
      </w:pPr>
      <w:r w:rsidRPr="000D7DD4">
        <w:rPr>
          <w:rStyle w:val="FootnoteReference"/>
        </w:rPr>
        <w:footnoteRef/>
      </w:r>
      <w:r w:rsidRPr="000D7DD4">
        <w:t xml:space="preserve"> Laws of 2013, ch. 6.</w:t>
      </w:r>
    </w:p>
  </w:footnote>
  <w:footnote w:id="8">
    <w:p w:rsidR="007B04BC" w:rsidRDefault="007B04BC" w:rsidP="00F70EFD">
      <w:pPr>
        <w:pStyle w:val="FootnoteText"/>
        <w:jc w:val="left"/>
      </w:pPr>
      <w:r>
        <w:rPr>
          <w:rStyle w:val="FootnoteReference"/>
        </w:rPr>
        <w:footnoteRef/>
      </w:r>
      <w:r>
        <w:t xml:space="preserve"> </w:t>
      </w:r>
      <w:r w:rsidR="009C785D" w:rsidRPr="000F5932">
        <w:rPr>
          <w:i/>
        </w:rPr>
        <w:t>Wash. Utils. &amp; Transp. Comm’n</w:t>
      </w:r>
      <w:r>
        <w:rPr>
          <w:i/>
        </w:rPr>
        <w:t xml:space="preserve"> v. Pacific Power &amp; Light Co.</w:t>
      </w:r>
      <w:r>
        <w:t xml:space="preserve">, Dockets UE-140762 </w:t>
      </w:r>
      <w:r>
        <w:rPr>
          <w:i/>
        </w:rPr>
        <w:t>et al.</w:t>
      </w:r>
      <w:r>
        <w:t>, Order 08 (Mar. 25, 2015).</w:t>
      </w:r>
    </w:p>
  </w:footnote>
  <w:footnote w:id="9">
    <w:p w:rsidR="007B04BC" w:rsidRDefault="007B04BC" w:rsidP="00F70EFD">
      <w:pPr>
        <w:pStyle w:val="FootnoteText"/>
        <w:jc w:val="left"/>
      </w:pPr>
      <w:r>
        <w:rPr>
          <w:rStyle w:val="FootnoteReference"/>
        </w:rPr>
        <w:footnoteRef/>
      </w:r>
      <w:r>
        <w:t xml:space="preserve"> Dockets UE-130137 and UG-130138 (consolidated) </w:t>
      </w:r>
      <w:r w:rsidRPr="00BF6DED">
        <w:rPr>
          <w:i/>
        </w:rPr>
        <w:t>et al.</w:t>
      </w:r>
      <w:r>
        <w:t>, Order 07 at 17-21, ¶¶ 39-48.</w:t>
      </w:r>
    </w:p>
  </w:footnote>
  <w:footnote w:id="10">
    <w:p w:rsidR="007B04BC" w:rsidRDefault="007B04BC" w:rsidP="00F70EFD">
      <w:pPr>
        <w:pStyle w:val="FootnoteText"/>
        <w:jc w:val="left"/>
      </w:pPr>
      <w:r>
        <w:rPr>
          <w:rStyle w:val="FootnoteReference"/>
        </w:rPr>
        <w:footnoteRef/>
      </w:r>
      <w:r>
        <w:t xml:space="preserve"> </w:t>
      </w:r>
      <w:r w:rsidR="009C785D" w:rsidRPr="000F5932">
        <w:rPr>
          <w:i/>
        </w:rPr>
        <w:t>Wash. Utils. &amp; Transp. Comm’n</w:t>
      </w:r>
      <w:r w:rsidRPr="00BD4299">
        <w:rPr>
          <w:i/>
        </w:rPr>
        <w:t xml:space="preserve"> v. PacifiCorp</w:t>
      </w:r>
      <w:r w:rsidRPr="00BD4299">
        <w:t>, Docket UE-130043, Testimony of Deborah J. Reynolds</w:t>
      </w:r>
      <w:r w:rsidR="00E11081">
        <w:t xml:space="preserve"> Exh. No. DJR-1T</w:t>
      </w:r>
      <w:r w:rsidRPr="00BD4299">
        <w:t xml:space="preserve"> at 10-13 (June 21, 2013).</w:t>
      </w:r>
    </w:p>
  </w:footnote>
  <w:footnote w:id="11">
    <w:p w:rsidR="007B04BC" w:rsidRDefault="007B04BC" w:rsidP="00F70EFD">
      <w:pPr>
        <w:pStyle w:val="FootnoteText"/>
        <w:jc w:val="left"/>
      </w:pPr>
      <w:r>
        <w:rPr>
          <w:rStyle w:val="FootnoteReference"/>
        </w:rPr>
        <w:footnoteRef/>
      </w:r>
      <w:r>
        <w:t xml:space="preserve"> </w:t>
      </w:r>
      <w:r w:rsidR="00E11081" w:rsidRPr="00E11081">
        <w:rPr>
          <w:i/>
        </w:rPr>
        <w:t>Id.</w:t>
      </w:r>
    </w:p>
  </w:footnote>
  <w:footnote w:id="12">
    <w:p w:rsidR="007B04BC" w:rsidRDefault="007B04BC" w:rsidP="00F70EFD">
      <w:pPr>
        <w:pStyle w:val="FootnoteText"/>
        <w:jc w:val="left"/>
      </w:pPr>
      <w:r>
        <w:rPr>
          <w:rStyle w:val="FootnoteReference"/>
        </w:rPr>
        <w:footnoteRef/>
      </w:r>
      <w:r>
        <w:t xml:space="preserve"> </w:t>
      </w:r>
      <w:r w:rsidR="00E11081" w:rsidRPr="00E11081">
        <w:rPr>
          <w:i/>
        </w:rPr>
        <w:t>Id.</w:t>
      </w:r>
      <w:r w:rsidR="00E11081">
        <w:rPr>
          <w:i/>
        </w:rPr>
        <w:t xml:space="preserve">  </w:t>
      </w:r>
      <w:r>
        <w:t xml:space="preserve">Cross Answering Testimony of James R. Dittmer Regarding Expedited Rate Filing Conditions, </w:t>
      </w:r>
      <w:r w:rsidR="009C785D">
        <w:br/>
      </w:r>
      <w:r>
        <w:t>Exh</w:t>
      </w:r>
      <w:r w:rsidR="009C785D">
        <w:t>ibit</w:t>
      </w:r>
      <w:r w:rsidR="00DA0E7C">
        <w:t xml:space="preserve"> No. </w:t>
      </w:r>
      <w:r>
        <w:t>JRD-5T at 2</w:t>
      </w:r>
      <w:r w:rsidR="00E11081">
        <w:t>-3</w:t>
      </w:r>
      <w:r>
        <w:t xml:space="preserve"> (Aug. 2, 2013).  </w:t>
      </w:r>
    </w:p>
  </w:footnote>
  <w:footnote w:id="13">
    <w:p w:rsidR="007B04BC" w:rsidRDefault="007B04BC" w:rsidP="00F70EFD">
      <w:pPr>
        <w:pStyle w:val="FootnoteText"/>
        <w:jc w:val="left"/>
      </w:pPr>
      <w:r>
        <w:rPr>
          <w:rStyle w:val="FootnoteReference"/>
        </w:rPr>
        <w:footnoteRef/>
      </w:r>
      <w:r w:rsidR="00E11081" w:rsidRPr="00E11081">
        <w:rPr>
          <w:i/>
        </w:rPr>
        <w:t>Id.</w:t>
      </w:r>
      <w:r w:rsidR="00E11081">
        <w:rPr>
          <w:i/>
        </w:rPr>
        <w:t xml:space="preserve"> </w:t>
      </w:r>
      <w:r>
        <w:rPr>
          <w:i/>
        </w:rPr>
        <w:t xml:space="preserve"> </w:t>
      </w:r>
      <w:r w:rsidRPr="00046B8B">
        <w:t xml:space="preserve">Docket UE-130043, Order 05 at </w:t>
      </w:r>
      <w:r>
        <w:t>84</w:t>
      </w:r>
      <w:r w:rsidRPr="00046B8B">
        <w:t xml:space="preserve">, ¶ </w:t>
      </w:r>
      <w:r>
        <w:t>217</w:t>
      </w:r>
      <w:r w:rsidRPr="00046B8B">
        <w:t xml:space="preserve"> (Dec. 4, 2013).</w:t>
      </w:r>
    </w:p>
  </w:footnote>
  <w:footnote w:id="14">
    <w:p w:rsidR="007B04BC" w:rsidRDefault="007B04BC" w:rsidP="00F70EFD">
      <w:pPr>
        <w:pStyle w:val="FootnoteText"/>
        <w:jc w:val="left"/>
      </w:pPr>
      <w:r>
        <w:rPr>
          <w:rStyle w:val="FootnoteReference"/>
        </w:rPr>
        <w:footnoteRef/>
      </w:r>
      <w:r>
        <w:t xml:space="preserve"> </w:t>
      </w:r>
      <w:r w:rsidR="00E11081">
        <w:rPr>
          <w:i/>
        </w:rPr>
        <w:t xml:space="preserve">See </w:t>
      </w:r>
      <w:r w:rsidRPr="00C76FA2">
        <w:t xml:space="preserve">Dockets UE-130137 and UG-130138 (consolidated) </w:t>
      </w:r>
      <w:r w:rsidRPr="00C76FA2">
        <w:rPr>
          <w:i/>
        </w:rPr>
        <w:t>et al.</w:t>
      </w:r>
      <w:r w:rsidRPr="00C76FA2">
        <w:t>, Order 07</w:t>
      </w:r>
      <w:r w:rsidR="00E11081">
        <w:t xml:space="preserve"> </w:t>
      </w:r>
      <w:r>
        <w:t xml:space="preserve">and </w:t>
      </w:r>
      <w:r w:rsidRPr="00046B8B">
        <w:t>Order 1</w:t>
      </w:r>
      <w:r>
        <w:t>5</w:t>
      </w:r>
      <w:r w:rsidRPr="00046B8B">
        <w:t>/1</w:t>
      </w:r>
      <w:r>
        <w:t xml:space="preserve">4 </w:t>
      </w:r>
      <w:r w:rsidRPr="00046B8B">
        <w:t>(June 29, 201</w:t>
      </w:r>
      <w:r>
        <w:t>5</w:t>
      </w:r>
      <w:r w:rsidRPr="00046B8B">
        <w:t>).</w:t>
      </w:r>
      <w:r>
        <w:t xml:space="preserve">  </w:t>
      </w:r>
    </w:p>
  </w:footnote>
  <w:footnote w:id="15">
    <w:p w:rsidR="007B04BC" w:rsidRDefault="007B04BC" w:rsidP="00F70EFD">
      <w:pPr>
        <w:pStyle w:val="FootnoteText"/>
        <w:jc w:val="left"/>
      </w:pPr>
      <w:r>
        <w:rPr>
          <w:rStyle w:val="FootnoteReference"/>
        </w:rPr>
        <w:footnoteRef/>
      </w:r>
      <w:r>
        <w:t xml:space="preserve"> </w:t>
      </w:r>
      <w:r w:rsidR="00E11081" w:rsidRPr="00E11081">
        <w:rPr>
          <w:i/>
        </w:rPr>
        <w:t>Id.</w:t>
      </w:r>
      <w:r w:rsidR="00E11081">
        <w:rPr>
          <w:i/>
        </w:rPr>
        <w:t xml:space="preserve">  </w:t>
      </w:r>
      <w:r>
        <w:t>Order 07 at 21,</w:t>
      </w:r>
      <w:r w:rsidRPr="00F6104F">
        <w:t xml:space="preserve"> </w:t>
      </w:r>
      <w:r w:rsidR="00305957">
        <w:t>¶ 48</w:t>
      </w:r>
      <w:r>
        <w:t>.</w:t>
      </w:r>
    </w:p>
  </w:footnote>
  <w:footnote w:id="16">
    <w:p w:rsidR="007B04BC" w:rsidRDefault="007B04BC" w:rsidP="00F70EFD">
      <w:pPr>
        <w:pStyle w:val="FootnoteText"/>
        <w:jc w:val="left"/>
      </w:pPr>
      <w:r>
        <w:rPr>
          <w:rStyle w:val="FootnoteReference"/>
        </w:rPr>
        <w:footnoteRef/>
      </w:r>
      <w:r>
        <w:t xml:space="preserve"> </w:t>
      </w:r>
      <w:r w:rsidR="00E11081" w:rsidRPr="00E11081">
        <w:rPr>
          <w:i/>
        </w:rPr>
        <w:t>Id.</w:t>
      </w:r>
      <w:r w:rsidR="00E11081">
        <w:rPr>
          <w:i/>
        </w:rPr>
        <w:t xml:space="preserve">  </w:t>
      </w:r>
      <w:r>
        <w:t>Order 07 at 19-21,</w:t>
      </w:r>
      <w:r w:rsidRPr="00F6104F">
        <w:t xml:space="preserve"> </w:t>
      </w:r>
      <w:r w:rsidR="00305957">
        <w:t>¶¶ 45-48</w:t>
      </w:r>
      <w:r>
        <w:t>.</w:t>
      </w:r>
    </w:p>
  </w:footnote>
  <w:footnote w:id="17">
    <w:p w:rsidR="007B04BC" w:rsidRDefault="007B04BC" w:rsidP="00F70EFD">
      <w:pPr>
        <w:pStyle w:val="FootnoteText"/>
        <w:jc w:val="left"/>
      </w:pPr>
      <w:r>
        <w:rPr>
          <w:rStyle w:val="FootnoteReference"/>
        </w:rPr>
        <w:footnoteRef/>
      </w:r>
      <w:r>
        <w:t xml:space="preserve"> </w:t>
      </w:r>
      <w:r w:rsidRPr="00046B8B">
        <w:t xml:space="preserve">Docket UE-130043, Order 05 at </w:t>
      </w:r>
      <w:r>
        <w:t xml:space="preserve">72, </w:t>
      </w:r>
      <w:r w:rsidRPr="00046B8B">
        <w:t xml:space="preserve">¶ </w:t>
      </w:r>
      <w:r>
        <w:t>184</w:t>
      </w:r>
      <w:r w:rsidRPr="00046B8B">
        <w:t>.</w:t>
      </w:r>
    </w:p>
  </w:footnote>
  <w:footnote w:id="18">
    <w:p w:rsidR="007B04BC" w:rsidRPr="008B6153" w:rsidRDefault="007B04BC" w:rsidP="00C25FE4">
      <w:pPr>
        <w:pStyle w:val="FootnoteText"/>
        <w:jc w:val="left"/>
        <w:rPr>
          <w:b/>
        </w:rPr>
      </w:pPr>
      <w:r w:rsidRPr="000D7DD4">
        <w:rPr>
          <w:rStyle w:val="FootnoteReference"/>
        </w:rPr>
        <w:footnoteRef/>
      </w:r>
      <w:r w:rsidRPr="000D7DD4">
        <w:t xml:space="preserve"> </w:t>
      </w:r>
      <w:r>
        <w:t xml:space="preserve">The cover letters and summary sheets from each of the Company’s Commission </w:t>
      </w:r>
      <w:r w:rsidR="00305957">
        <w:t>Basis R</w:t>
      </w:r>
      <w:r>
        <w:t>eports for the years 2006 through 2014 are attached as Exhibit No</w:t>
      </w:r>
      <w:r w:rsidR="00DA0E7C">
        <w:t>. RBD-2</w:t>
      </w:r>
      <w:r>
        <w:t>.</w:t>
      </w:r>
    </w:p>
  </w:footnote>
  <w:footnote w:id="19">
    <w:p w:rsidR="007B04BC" w:rsidRPr="00C611A7" w:rsidRDefault="007B04BC" w:rsidP="00C25FE4">
      <w:pPr>
        <w:pStyle w:val="FootnoteText"/>
        <w:jc w:val="left"/>
      </w:pPr>
      <w:r>
        <w:rPr>
          <w:rStyle w:val="FootnoteReference"/>
        </w:rPr>
        <w:footnoteRef/>
      </w:r>
      <w:r>
        <w:t xml:space="preserve"> The Company filed GRCs in 2005, 2006, 2008, </w:t>
      </w:r>
      <w:r w:rsidR="00305957">
        <w:t>2009, 2010, 2011, 2013, and 2014</w:t>
      </w:r>
      <w:r>
        <w:t xml:space="preserve">.  </w:t>
      </w:r>
      <w:r w:rsidRPr="00D07F6D">
        <w:rPr>
          <w:i/>
        </w:rPr>
        <w:t>See</w:t>
      </w:r>
      <w:r>
        <w:t xml:space="preserve"> Docket UE-050684, UE-061546; Docket UE-080220l; Docket UE-090205; Docket UE-100749; Docket UE-111190; Docket </w:t>
      </w:r>
      <w:r w:rsidR="009C785D">
        <w:br/>
      </w:r>
      <w:r>
        <w:t>UE-130043; Docket UE-140762.</w:t>
      </w:r>
    </w:p>
  </w:footnote>
  <w:footnote w:id="20">
    <w:p w:rsidR="007B04BC" w:rsidRDefault="007B04BC" w:rsidP="007B04BC">
      <w:pPr>
        <w:pStyle w:val="FootnoteText"/>
        <w:jc w:val="left"/>
      </w:pPr>
      <w:r>
        <w:rPr>
          <w:rStyle w:val="FootnoteReference"/>
        </w:rPr>
        <w:footnoteRef/>
      </w:r>
      <w:r>
        <w:t xml:space="preserve"> Docket UE-130043, Order 05 at</w:t>
      </w:r>
      <w:r w:rsidR="00305957">
        <w:t xml:space="preserve"> 81-82, ¶ 207-209</w:t>
      </w:r>
      <w:r>
        <w:t>.</w:t>
      </w:r>
    </w:p>
  </w:footnote>
  <w:footnote w:id="21">
    <w:p w:rsidR="007B04BC" w:rsidRDefault="007B04BC">
      <w:pPr>
        <w:pStyle w:val="FootnoteText"/>
      </w:pPr>
      <w:r>
        <w:rPr>
          <w:rStyle w:val="FootnoteReference"/>
        </w:rPr>
        <w:footnoteRef/>
      </w:r>
      <w:r>
        <w:t xml:space="preserve"> </w:t>
      </w:r>
      <w:r w:rsidRPr="007B04BC">
        <w:rPr>
          <w:i/>
        </w:rPr>
        <w:t>In the Matter of PacifiCorp d/b/a Pacific Power Petition to File Preliminary Depreciation Study</w:t>
      </w:r>
      <w:r>
        <w:t>, Docket U</w:t>
      </w:r>
      <w:r w:rsidR="00305957">
        <w:t>M 1329, Order No. 08-427 (Aug.</w:t>
      </w:r>
      <w:r>
        <w:t xml:space="preserve"> 20, 2008).</w:t>
      </w:r>
    </w:p>
  </w:footnote>
  <w:footnote w:id="22">
    <w:p w:rsidR="007B04BC" w:rsidRPr="00305957" w:rsidRDefault="007B04BC" w:rsidP="00305957">
      <w:pPr>
        <w:pStyle w:val="Default"/>
        <w:rPr>
          <w:sz w:val="20"/>
          <w:szCs w:val="20"/>
        </w:rPr>
      </w:pPr>
      <w:r w:rsidRPr="007B04BC">
        <w:rPr>
          <w:rStyle w:val="FootnoteReference"/>
          <w:sz w:val="20"/>
          <w:szCs w:val="20"/>
        </w:rPr>
        <w:footnoteRef/>
      </w:r>
      <w:r w:rsidRPr="007B04BC">
        <w:rPr>
          <w:sz w:val="20"/>
          <w:szCs w:val="20"/>
        </w:rPr>
        <w:t xml:space="preserve"> </w:t>
      </w:r>
      <w:r w:rsidRPr="007B04BC">
        <w:rPr>
          <w:i/>
          <w:sz w:val="20"/>
          <w:szCs w:val="20"/>
        </w:rPr>
        <w:t>In the Matter of the Petition of PacifiCorp</w:t>
      </w:r>
      <w:r w:rsidR="00305957">
        <w:rPr>
          <w:i/>
          <w:sz w:val="20"/>
          <w:szCs w:val="20"/>
        </w:rPr>
        <w:t>,</w:t>
      </w:r>
      <w:r w:rsidRPr="007B04BC">
        <w:rPr>
          <w:i/>
          <w:sz w:val="20"/>
          <w:szCs w:val="20"/>
        </w:rPr>
        <w:t xml:space="preserve"> d/b/a Pacific Power for An Order Authorizing a Revision to Depreciation Rates</w:t>
      </w:r>
      <w:r w:rsidRPr="007B04BC">
        <w:rPr>
          <w:sz w:val="20"/>
          <w:szCs w:val="20"/>
        </w:rPr>
        <w:t>, Docket UE-071795, Order 01. (April 10, 2008).</w:t>
      </w:r>
    </w:p>
  </w:footnote>
  <w:footnote w:id="23">
    <w:p w:rsidR="007B04BC" w:rsidRPr="00046B8B" w:rsidRDefault="007B04BC" w:rsidP="007B04BC">
      <w:pPr>
        <w:pStyle w:val="FootnoteText"/>
        <w:jc w:val="left"/>
      </w:pPr>
      <w:r w:rsidRPr="00046B8B">
        <w:rPr>
          <w:rStyle w:val="FootnoteReference"/>
        </w:rPr>
        <w:footnoteRef/>
      </w:r>
      <w:r w:rsidRPr="00046B8B">
        <w:t xml:space="preserve"> </w:t>
      </w:r>
      <w:r w:rsidRPr="00046B8B">
        <w:rPr>
          <w:i/>
        </w:rPr>
        <w:t xml:space="preserve">In the Matter of </w:t>
      </w:r>
      <w:r w:rsidR="00305957">
        <w:rPr>
          <w:i/>
        </w:rPr>
        <w:t>the Petition of PacifiCorp, d/b/a</w:t>
      </w:r>
      <w:r w:rsidRPr="00046B8B">
        <w:rPr>
          <w:i/>
        </w:rPr>
        <w:t xml:space="preserve">, For an Accounting Order Authorizing a </w:t>
      </w:r>
      <w:r w:rsidR="00305957">
        <w:rPr>
          <w:i/>
        </w:rPr>
        <w:t>Change in</w:t>
      </w:r>
      <w:r w:rsidRPr="00046B8B">
        <w:rPr>
          <w:i/>
        </w:rPr>
        <w:t xml:space="preserve"> Depreciation Rates</w:t>
      </w:r>
      <w:r w:rsidR="00305957">
        <w:rPr>
          <w:i/>
        </w:rPr>
        <w:t xml:space="preserve"> Applicable to Electric Property</w:t>
      </w:r>
      <w:r w:rsidRPr="00046B8B">
        <w:rPr>
          <w:i/>
        </w:rPr>
        <w:t>,</w:t>
      </w:r>
      <w:r w:rsidRPr="00046B8B">
        <w:t xml:space="preserve"> Docket UE-130052, Petition of PacifiCorp (Jan. 11, 2013)</w:t>
      </w:r>
      <w:r>
        <w:t xml:space="preserve">; </w:t>
      </w:r>
      <w:r w:rsidRPr="00046B8B">
        <w:t>Direct Testimony K. Ian Andrews</w:t>
      </w:r>
      <w:r w:rsidR="00305957">
        <w:t xml:space="preserve"> Exh. No. KIA-1T</w:t>
      </w:r>
      <w:r w:rsidRPr="00046B8B">
        <w:t xml:space="preserve"> at 7 (Jan. 11, 2013).</w:t>
      </w:r>
      <w:r>
        <w:t xml:space="preserve"> </w:t>
      </w:r>
    </w:p>
  </w:footnote>
  <w:footnote w:id="24">
    <w:p w:rsidR="007B04BC" w:rsidRPr="002A0748" w:rsidRDefault="007B04BC" w:rsidP="007B04BC">
      <w:pPr>
        <w:pStyle w:val="FootnoteText"/>
        <w:jc w:val="left"/>
        <w:rPr>
          <w:rFonts w:eastAsia="Times"/>
        </w:rPr>
      </w:pPr>
      <w:r>
        <w:rPr>
          <w:rStyle w:val="FootnoteReference"/>
        </w:rPr>
        <w:footnoteRef/>
      </w:r>
      <w:r>
        <w:t xml:space="preserve"> </w:t>
      </w:r>
      <w:r w:rsidRPr="002A0748">
        <w:rPr>
          <w:rFonts w:eastAsia="Times"/>
        </w:rPr>
        <w:t xml:space="preserve">Dockets UE-140762 </w:t>
      </w:r>
      <w:r w:rsidRPr="002A0748">
        <w:rPr>
          <w:rFonts w:eastAsia="Times"/>
          <w:i/>
        </w:rPr>
        <w:t>et al.</w:t>
      </w:r>
      <w:r>
        <w:rPr>
          <w:rFonts w:eastAsia="Times"/>
        </w:rPr>
        <w:t xml:space="preserve">, Order 08.  The Company sought judicial review of this order and then sought a stay of the appeal pending resolution of the Company’s request for judicial review of the 2013 </w:t>
      </w:r>
      <w:r w:rsidR="00A5200F">
        <w:rPr>
          <w:rFonts w:eastAsia="Times"/>
        </w:rPr>
        <w:t>Rate Case</w:t>
      </w:r>
      <w:r>
        <w:rPr>
          <w:rFonts w:eastAsia="Times"/>
        </w:rPr>
        <w:t xml:space="preserve"> final order.  </w:t>
      </w:r>
      <w:r>
        <w:t>If either of the 2013 or 2014 orders are remanded, the impact on the rate plan will be determined during the remand proceeding.</w:t>
      </w:r>
    </w:p>
  </w:footnote>
  <w:footnote w:id="25">
    <w:p w:rsidR="007B04BC" w:rsidRDefault="007B04BC" w:rsidP="007B04BC">
      <w:pPr>
        <w:pStyle w:val="FootnoteText"/>
        <w:jc w:val="left"/>
      </w:pPr>
      <w:r>
        <w:rPr>
          <w:rStyle w:val="FootnoteReference"/>
        </w:rPr>
        <w:footnoteRef/>
      </w:r>
      <w:r>
        <w:t xml:space="preserve"> Dockets UE-130137 and UG-130138 (consolidated) </w:t>
      </w:r>
      <w:r w:rsidRPr="00BF6DED">
        <w:rPr>
          <w:i/>
        </w:rPr>
        <w:t>et al.</w:t>
      </w:r>
      <w:r w:rsidR="00305957">
        <w:t>, Order 07 at 80, ¶ 187</w:t>
      </w:r>
      <w:r>
        <w:t>.</w:t>
      </w:r>
    </w:p>
  </w:footnote>
  <w:footnote w:id="26">
    <w:p w:rsidR="007B04BC" w:rsidRDefault="007B04BC">
      <w:pPr>
        <w:pStyle w:val="FootnoteText"/>
      </w:pPr>
      <w:r>
        <w:rPr>
          <w:rStyle w:val="FootnoteReference"/>
        </w:rPr>
        <w:footnoteRef/>
      </w:r>
      <w:r>
        <w:t xml:space="preserve"> If the Commission rejects the Company’s request for an ERF and treats the petition as a general rate case filing with a full cost of capital review, then the Company reserves its right to seek the higher ROE supported by Mr. Strunk’s testimony.</w:t>
      </w:r>
    </w:p>
  </w:footnote>
  <w:footnote w:id="27">
    <w:p w:rsidR="00305957" w:rsidRPr="00305957" w:rsidRDefault="00305957">
      <w:pPr>
        <w:pStyle w:val="FootnoteText"/>
      </w:pPr>
      <w:r>
        <w:rPr>
          <w:rStyle w:val="FootnoteReference"/>
        </w:rPr>
        <w:footnoteRef/>
      </w:r>
      <w:r>
        <w:t xml:space="preserve"> </w:t>
      </w:r>
      <w:r>
        <w:rPr>
          <w:i/>
        </w:rPr>
        <w:t>See</w:t>
      </w:r>
      <w:r>
        <w:t xml:space="preserve"> Dockets UE-140762 </w:t>
      </w:r>
      <w:r>
        <w:rPr>
          <w:i/>
        </w:rPr>
        <w:t>et al.,</w:t>
      </w:r>
      <w:r>
        <w:t xml:space="preserve"> Order 08, 76-77, ¶ 181.</w:t>
      </w:r>
    </w:p>
  </w:footnote>
  <w:footnote w:id="28">
    <w:p w:rsidR="007B04BC" w:rsidRDefault="007B04BC" w:rsidP="007B04BC">
      <w:pPr>
        <w:pStyle w:val="FootnoteText"/>
        <w:jc w:val="left"/>
      </w:pPr>
      <w:r>
        <w:rPr>
          <w:rStyle w:val="FootnoteReference"/>
        </w:rPr>
        <w:footnoteRef/>
      </w:r>
      <w:r>
        <w:t xml:space="preserve"> Dockets UE-130137 and UG-130138 (consolidated) </w:t>
      </w:r>
      <w:r w:rsidRPr="00CF6386">
        <w:rPr>
          <w:i/>
        </w:rPr>
        <w:t>et al.</w:t>
      </w:r>
      <w:r>
        <w:t>, Order 15/14 at 12, ¶ 21, fn. 18.</w:t>
      </w:r>
    </w:p>
  </w:footnote>
  <w:footnote w:id="29">
    <w:p w:rsidR="00305957" w:rsidRPr="00305957" w:rsidRDefault="00305957">
      <w:pPr>
        <w:pStyle w:val="FootnoteText"/>
        <w:rPr>
          <w:i/>
        </w:rPr>
      </w:pPr>
      <w:r>
        <w:rPr>
          <w:rStyle w:val="FootnoteReference"/>
        </w:rPr>
        <w:footnoteRef/>
      </w:r>
      <w:r>
        <w:t xml:space="preserve"> </w:t>
      </w:r>
      <w:r>
        <w:rPr>
          <w:i/>
        </w:rPr>
        <w:t>Id.</w:t>
      </w:r>
    </w:p>
  </w:footnote>
  <w:footnote w:id="30">
    <w:p w:rsidR="007B04BC" w:rsidRDefault="007B04BC" w:rsidP="002F146E">
      <w:pPr>
        <w:pStyle w:val="FootnoteText"/>
      </w:pPr>
      <w:r>
        <w:rPr>
          <w:rStyle w:val="FootnoteReference"/>
        </w:rPr>
        <w:footnoteRef/>
      </w:r>
      <w:r>
        <w:t xml:space="preserve"> The specific components of cost of capital in Docket UE-140188</w:t>
      </w:r>
      <w:r w:rsidRPr="00EF3409">
        <w:t xml:space="preserve"> </w:t>
      </w:r>
      <w:r>
        <w:t>were unspecified.  A 7.32 percent rate of return, however, was reflected in the stipulation to be used for allowance for funds used during construction and other purposes.</w:t>
      </w:r>
    </w:p>
  </w:footnote>
  <w:footnote w:id="31">
    <w:p w:rsidR="007B04BC" w:rsidRDefault="007B04BC" w:rsidP="00BB0BF0">
      <w:pPr>
        <w:pStyle w:val="FootnoteText"/>
        <w:jc w:val="left"/>
      </w:pPr>
      <w:r>
        <w:rPr>
          <w:rStyle w:val="FootnoteReference"/>
        </w:rPr>
        <w:footnoteRef/>
      </w:r>
      <w:r>
        <w:t xml:space="preserve"> Dockets UE-130137 and UG-130138 (consolidated)</w:t>
      </w:r>
      <w:r w:rsidRPr="00652708">
        <w:rPr>
          <w:i/>
        </w:rPr>
        <w:t xml:space="preserve"> </w:t>
      </w:r>
      <w:r w:rsidRPr="00CF6386">
        <w:rPr>
          <w:i/>
        </w:rPr>
        <w:t>et al.</w:t>
      </w:r>
      <w:r>
        <w:t>, Order 07 at 80, ¶ 187.</w:t>
      </w:r>
    </w:p>
  </w:footnote>
  <w:footnote w:id="32">
    <w:p w:rsidR="007B04BC" w:rsidRDefault="007B04BC" w:rsidP="00BB0BF0">
      <w:pPr>
        <w:pStyle w:val="FootnoteText"/>
        <w:jc w:val="left"/>
      </w:pPr>
      <w:r>
        <w:rPr>
          <w:rStyle w:val="FootnoteReference"/>
        </w:rPr>
        <w:footnoteRef/>
      </w:r>
      <w:r>
        <w:t xml:space="preserve"> </w:t>
      </w:r>
      <w:r w:rsidRPr="00027869">
        <w:t>WAC 480-07-110(1)</w:t>
      </w:r>
      <w:r>
        <w:t xml:space="preserve">.  If necessary, the Company will respond in briefing and/or testimony to arguments that Pacific Power’s filing is a </w:t>
      </w:r>
      <w:r w:rsidR="00A5200F">
        <w:t>general rate case</w:t>
      </w:r>
      <w:r>
        <w:t>.</w:t>
      </w:r>
    </w:p>
  </w:footnote>
  <w:footnote w:id="33">
    <w:p w:rsidR="007B04BC" w:rsidRPr="008F17D3" w:rsidRDefault="007B04BC" w:rsidP="00C25FE4">
      <w:pPr>
        <w:autoSpaceDE w:val="0"/>
        <w:autoSpaceDN w:val="0"/>
        <w:adjustRightInd w:val="0"/>
        <w:jc w:val="left"/>
        <w:rPr>
          <w:sz w:val="20"/>
          <w:szCs w:val="20"/>
        </w:rPr>
      </w:pPr>
      <w:r w:rsidRPr="008F17D3">
        <w:rPr>
          <w:rStyle w:val="FootnoteReference"/>
          <w:sz w:val="20"/>
          <w:szCs w:val="20"/>
        </w:rPr>
        <w:footnoteRef/>
      </w:r>
      <w:r w:rsidRPr="008F17D3">
        <w:rPr>
          <w:sz w:val="20"/>
          <w:szCs w:val="20"/>
        </w:rPr>
        <w:t xml:space="preserve"> The stipulation provides that “the earliest proposed rate </w:t>
      </w:r>
      <w:r>
        <w:rPr>
          <w:sz w:val="20"/>
          <w:szCs w:val="20"/>
        </w:rPr>
        <w:t>effective date for the Company’s</w:t>
      </w:r>
      <w:r w:rsidRPr="008F17D3">
        <w:rPr>
          <w:sz w:val="20"/>
          <w:szCs w:val="20"/>
        </w:rPr>
        <w:t xml:space="preserve"> next general rate case filing will be January 1, 2016.</w:t>
      </w:r>
      <w:r>
        <w:rPr>
          <w:sz w:val="20"/>
          <w:szCs w:val="20"/>
        </w:rPr>
        <w:t xml:space="preserve">”  </w:t>
      </w:r>
      <w:r>
        <w:rPr>
          <w:i/>
          <w:sz w:val="20"/>
          <w:szCs w:val="20"/>
        </w:rPr>
        <w:t>In the Matter of PacifiCorp d/b/a Pacific Power Request for a General Rate Revision</w:t>
      </w:r>
      <w:r w:rsidR="00DA0E7C">
        <w:rPr>
          <w:sz w:val="20"/>
          <w:szCs w:val="20"/>
        </w:rPr>
        <w:t>, Docket UE 263, Order</w:t>
      </w:r>
      <w:r>
        <w:rPr>
          <w:sz w:val="20"/>
          <w:szCs w:val="20"/>
        </w:rPr>
        <w:t xml:space="preserve"> 13-474, Appendix A at 6 (Dec.18, 2013).</w:t>
      </w:r>
    </w:p>
  </w:footnote>
  <w:footnote w:id="34">
    <w:p w:rsidR="007B04BC" w:rsidRPr="00046B8B" w:rsidRDefault="007B04BC" w:rsidP="007B04BC">
      <w:pPr>
        <w:pStyle w:val="FootnoteText"/>
        <w:jc w:val="left"/>
      </w:pPr>
      <w:r w:rsidRPr="00046B8B">
        <w:rPr>
          <w:rStyle w:val="FootnoteReference"/>
        </w:rPr>
        <w:footnoteRef/>
      </w:r>
      <w:r w:rsidRPr="00046B8B">
        <w:t xml:space="preserve"> Docket UE-130043, Order 05 at 81-82, ¶ 207-209.</w:t>
      </w:r>
    </w:p>
  </w:footnote>
  <w:footnote w:id="35">
    <w:p w:rsidR="007B04BC" w:rsidRDefault="007B04BC" w:rsidP="007B04BC">
      <w:pPr>
        <w:pStyle w:val="FootnoteText"/>
        <w:jc w:val="left"/>
      </w:pPr>
      <w:r>
        <w:rPr>
          <w:rStyle w:val="FootnoteReference"/>
        </w:rPr>
        <w:footnoteRef/>
      </w:r>
      <w:r>
        <w:t xml:space="preserve"> Dockets UE-130137 and UG-130138 (consolidated)</w:t>
      </w:r>
      <w:r w:rsidRPr="00B26F94">
        <w:rPr>
          <w:i/>
        </w:rPr>
        <w:t xml:space="preserve"> </w:t>
      </w:r>
      <w:r>
        <w:rPr>
          <w:i/>
        </w:rPr>
        <w:t>et al.</w:t>
      </w:r>
      <w:r>
        <w:t xml:space="preserve">, Order 07 at 13, ¶ 32.   </w:t>
      </w:r>
      <w:r w:rsidRPr="00600BA3">
        <w:rPr>
          <w:i/>
        </w:rPr>
        <w:t>See also,</w:t>
      </w:r>
      <w:r>
        <w:t xml:space="preserve"> Decoupling Policy Statement at 16-17, ¶ 27.</w:t>
      </w:r>
    </w:p>
  </w:footnote>
  <w:footnote w:id="36">
    <w:p w:rsidR="007B04BC" w:rsidRDefault="007B04BC" w:rsidP="007B04BC">
      <w:pPr>
        <w:pStyle w:val="FootnoteText"/>
        <w:jc w:val="left"/>
      </w:pPr>
      <w:r>
        <w:rPr>
          <w:rStyle w:val="FootnoteReference"/>
        </w:rPr>
        <w:footnoteRef/>
      </w:r>
      <w:r>
        <w:t xml:space="preserve"> As noted above, </w:t>
      </w:r>
      <w:r w:rsidRPr="00594B23">
        <w:t xml:space="preserve">Pacific Power’s ERF/rate plan is subject to any adjustments that may be necessary to implement a final order in the Company’s 2013 </w:t>
      </w:r>
      <w:r>
        <w:t>and 2014 general rate cases</w:t>
      </w:r>
      <w:r w:rsidRPr="00594B23">
        <w:t xml:space="preserve"> that </w:t>
      </w:r>
      <w:r>
        <w:t>are</w:t>
      </w:r>
      <w:r w:rsidRPr="00594B23">
        <w:t xml:space="preserve"> currently on appeal.</w:t>
      </w:r>
      <w:r>
        <w:t xml:space="preserve">   In addition, the Company will retain the right to </w:t>
      </w:r>
      <w:r w:rsidRPr="00BC2B20">
        <w:rPr>
          <w:szCs w:val="24"/>
        </w:rPr>
        <w:t xml:space="preserve">file for deferrals during the </w:t>
      </w:r>
      <w:r>
        <w:rPr>
          <w:szCs w:val="24"/>
        </w:rPr>
        <w:t xml:space="preserve">general rate case </w:t>
      </w:r>
      <w:r w:rsidRPr="00BC2B20">
        <w:rPr>
          <w:szCs w:val="24"/>
        </w:rPr>
        <w:t xml:space="preserve">stay-out period, subject to the Commission’s </w:t>
      </w:r>
      <w:r>
        <w:rPr>
          <w:szCs w:val="24"/>
        </w:rPr>
        <w:t>review</w:t>
      </w:r>
      <w:r w:rsidRPr="00BC2B20">
        <w:rPr>
          <w:szCs w:val="24"/>
        </w:rPr>
        <w:t xml:space="preserve">.  This </w:t>
      </w:r>
      <w:r>
        <w:rPr>
          <w:szCs w:val="24"/>
        </w:rPr>
        <w:t xml:space="preserve">stay-out </w:t>
      </w:r>
      <w:r w:rsidRPr="00BC2B20">
        <w:rPr>
          <w:szCs w:val="24"/>
        </w:rPr>
        <w:t xml:space="preserve">will not alter the operation or application of existing or new rate adjustment mechanisms authorized by the Commission, including the </w:t>
      </w:r>
      <w:r>
        <w:rPr>
          <w:szCs w:val="24"/>
        </w:rPr>
        <w:t>Company’s PCAM and deferrals under the EPS</w:t>
      </w:r>
      <w:r w:rsidRPr="00BC2B20">
        <w:rPr>
          <w:szCs w:val="24"/>
        </w:rPr>
        <w:t>.</w:t>
      </w:r>
    </w:p>
  </w:footnote>
  <w:footnote w:id="37">
    <w:p w:rsidR="007B04BC" w:rsidRDefault="007B04BC" w:rsidP="007B04BC">
      <w:pPr>
        <w:pStyle w:val="FootnoteText"/>
        <w:jc w:val="left"/>
      </w:pPr>
      <w:r>
        <w:rPr>
          <w:rStyle w:val="FootnoteReference"/>
        </w:rPr>
        <w:footnoteRef/>
      </w:r>
      <w:r>
        <w:t xml:space="preserve"> </w:t>
      </w:r>
      <w:r w:rsidRPr="00600BA3">
        <w:rPr>
          <w:i/>
        </w:rPr>
        <w:t xml:space="preserve">See </w:t>
      </w:r>
      <w:r w:rsidR="00DA0E7C" w:rsidRPr="000F5932">
        <w:rPr>
          <w:i/>
        </w:rPr>
        <w:t>Wash. Utils. &amp; Transp. Comm’n</w:t>
      </w:r>
      <w:r w:rsidRPr="00600BA3">
        <w:rPr>
          <w:i/>
        </w:rPr>
        <w:t xml:space="preserve"> v. PacifiCorp</w:t>
      </w:r>
      <w:r>
        <w:rPr>
          <w:i/>
        </w:rPr>
        <w:t>,</w:t>
      </w:r>
      <w:r w:rsidRPr="00600BA3">
        <w:t xml:space="preserve"> Docket</w:t>
      </w:r>
      <w:r>
        <w:t xml:space="preserve"> UE-111190, Order 07 at 8-9, ¶¶ 17-18 (Mar. 30, 2012); Direct Testim</w:t>
      </w:r>
      <w:r w:rsidR="00BF1B1A">
        <w:t>ony of Deborah Reynolds, Exh.</w:t>
      </w:r>
      <w:r>
        <w:t xml:space="preserve"> </w:t>
      </w:r>
      <w:r w:rsidR="00BF1B1A">
        <w:t>No. DJR-1T at 13-19 and Exh.</w:t>
      </w:r>
      <w:r w:rsidR="00DA0E7C">
        <w:t xml:space="preserve"> No. </w:t>
      </w:r>
      <w:r>
        <w:t>DJR-3 (Jan. 6, 2012); Direct Testimony of Ch</w:t>
      </w:r>
      <w:r w:rsidR="00BF1B1A">
        <w:t>arles Eberdt, Exh. CME-1T and Exh.</w:t>
      </w:r>
      <w:r>
        <w:t xml:space="preserve"> </w:t>
      </w:r>
      <w:r w:rsidR="00DA0E7C">
        <w:t xml:space="preserve">No. </w:t>
      </w:r>
      <w:r>
        <w:t xml:space="preserve">CME-3 (Jan. 6, 2012). </w:t>
      </w:r>
    </w:p>
  </w:footnote>
  <w:footnote w:id="38">
    <w:p w:rsidR="007B04BC" w:rsidRDefault="007B04BC" w:rsidP="007B04BC">
      <w:pPr>
        <w:pStyle w:val="FootnoteText"/>
        <w:jc w:val="left"/>
      </w:pPr>
      <w:r>
        <w:rPr>
          <w:rStyle w:val="FootnoteReference"/>
        </w:rPr>
        <w:footnoteRef/>
      </w:r>
      <w:r>
        <w:t xml:space="preserve"> </w:t>
      </w:r>
      <w:r w:rsidRPr="00600BA3">
        <w:rPr>
          <w:i/>
        </w:rPr>
        <w:t>See</w:t>
      </w:r>
      <w:r w:rsidR="00BF1B1A">
        <w:rPr>
          <w:i/>
        </w:rPr>
        <w:t xml:space="preserve"> id.</w:t>
      </w:r>
      <w:r w:rsidRPr="00600BA3">
        <w:t xml:space="preserve"> Docket</w:t>
      </w:r>
      <w:r>
        <w:t xml:space="preserve"> UE-111190, Order 07 at 8, ¶ 17</w:t>
      </w:r>
      <w:r w:rsidR="00AE2C5B">
        <w:t>.</w:t>
      </w:r>
      <w:r>
        <w:t xml:space="preserve"> (“Benefits to each participating customer will grow by an average of 10 percent, with additional increases of two times the percentage increase of any future residential general rate inc</w:t>
      </w:r>
      <w:r w:rsidR="00AE2C5B">
        <w:t>reases between 2013 and 2016.”)</w:t>
      </w:r>
    </w:p>
  </w:footnote>
  <w:footnote w:id="39">
    <w:p w:rsidR="007B04BC" w:rsidRPr="00F17AF4" w:rsidRDefault="007B04BC" w:rsidP="007B04BC">
      <w:pPr>
        <w:pStyle w:val="FootnoteText"/>
        <w:jc w:val="left"/>
      </w:pPr>
      <w:r>
        <w:rPr>
          <w:rStyle w:val="FootnoteReference"/>
        </w:rPr>
        <w:footnoteRef/>
      </w:r>
      <w:r>
        <w:t xml:space="preserve"> </w:t>
      </w:r>
      <w:r w:rsidRPr="00600BA3">
        <w:rPr>
          <w:i/>
        </w:rPr>
        <w:t xml:space="preserve">See </w:t>
      </w:r>
      <w:r w:rsidR="00BF1B1A">
        <w:rPr>
          <w:i/>
        </w:rPr>
        <w:t>id.</w:t>
      </w:r>
      <w:r w:rsidRPr="00600BA3">
        <w:t xml:space="preserve"> </w:t>
      </w:r>
      <w:r w:rsidRPr="00F17AF4">
        <w:t>(“The Schedule 91 residential surcharge, which funds the LIBA program, will increase from $0.55 to $0.63 per month, and the Company will file for an increase (absent a general rate case filing) annually, around May 1, to reflect the increased funding requirements described above.  The Schedule 91 surcharge increases will be applied on an equal percentage basis to all rate schedules. The parties agree to support the Company’s annual May 1 Schedule 91 filings and that such filings will be limited in scope to implemen</w:t>
      </w:r>
      <w:r w:rsidR="00AE2C5B">
        <w:t>ting the Five-Year LIBA Plan.”)</w:t>
      </w:r>
    </w:p>
  </w:footnote>
  <w:footnote w:id="40">
    <w:p w:rsidR="007B04BC" w:rsidRDefault="007B04BC" w:rsidP="007B04BC">
      <w:pPr>
        <w:pStyle w:val="FootnoteText"/>
        <w:jc w:val="left"/>
      </w:pPr>
      <w:r>
        <w:rPr>
          <w:rStyle w:val="FootnoteReference"/>
        </w:rPr>
        <w:footnoteRef/>
      </w:r>
      <w:r>
        <w:t xml:space="preserve"> Dockets UE-130137 and UG-130138 (consolidated) </w:t>
      </w:r>
      <w:r w:rsidRPr="00BF6DED">
        <w:rPr>
          <w:i/>
        </w:rPr>
        <w:t>et al.</w:t>
      </w:r>
      <w:r>
        <w:t>, Order 07 at 74-75, ¶¶ 171-173.</w:t>
      </w:r>
    </w:p>
  </w:footnote>
  <w:footnote w:id="41">
    <w:p w:rsidR="007B04BC" w:rsidRDefault="007B04BC" w:rsidP="007B04BC">
      <w:pPr>
        <w:pStyle w:val="FootnoteText"/>
        <w:jc w:val="left"/>
      </w:pPr>
      <w:r>
        <w:rPr>
          <w:rStyle w:val="FootnoteReference"/>
        </w:rPr>
        <w:footnoteRef/>
      </w:r>
      <w:r>
        <w:t xml:space="preserve"> </w:t>
      </w:r>
      <w:r w:rsidR="00DA0E7C" w:rsidRPr="000F5932">
        <w:rPr>
          <w:i/>
        </w:rPr>
        <w:t>Wash. Utils. &amp; Transp. Comm’n</w:t>
      </w:r>
      <w:r w:rsidRPr="00606FD6">
        <w:rPr>
          <w:rFonts w:eastAsia="Times"/>
          <w:i/>
        </w:rPr>
        <w:t xml:space="preserve"> v. Avista</w:t>
      </w:r>
      <w:r w:rsidRPr="00606FD6">
        <w:rPr>
          <w:rFonts w:eastAsia="Times"/>
        </w:rPr>
        <w:t xml:space="preserve">, Dockets UE-120436 and UG 120437 (consolidated) </w:t>
      </w:r>
      <w:r w:rsidRPr="00606FD6">
        <w:rPr>
          <w:rFonts w:eastAsia="Times"/>
          <w:i/>
        </w:rPr>
        <w:t>et al.</w:t>
      </w:r>
      <w:r w:rsidRPr="00606FD6">
        <w:rPr>
          <w:rFonts w:eastAsia="Times"/>
        </w:rPr>
        <w:t>, Order 09/14 at 26-30, ¶¶ 70-78 (Dec. 26, 2012).</w:t>
      </w:r>
    </w:p>
  </w:footnote>
  <w:footnote w:id="42">
    <w:p w:rsidR="007B04BC" w:rsidRPr="00C76FA2" w:rsidRDefault="007B04BC" w:rsidP="007B04BC">
      <w:pPr>
        <w:pStyle w:val="FootnoteText"/>
        <w:jc w:val="left"/>
      </w:pPr>
      <w:r w:rsidRPr="00C76FA2">
        <w:rPr>
          <w:rStyle w:val="FootnoteReference"/>
        </w:rPr>
        <w:footnoteRef/>
      </w:r>
      <w:r w:rsidRPr="00C76FA2">
        <w:t xml:space="preserve"> Decoupling Policy Statement </w:t>
      </w:r>
      <w:r>
        <w:t xml:space="preserve">at 17, </w:t>
      </w:r>
      <w:r w:rsidRPr="00C76FA2">
        <w:t>¶ 28.</w:t>
      </w:r>
    </w:p>
  </w:footnote>
  <w:footnote w:id="43">
    <w:p w:rsidR="007B04BC" w:rsidRPr="00C76FA2" w:rsidRDefault="007B04BC" w:rsidP="007B04BC">
      <w:pPr>
        <w:pStyle w:val="FootnoteText"/>
        <w:jc w:val="left"/>
      </w:pPr>
      <w:r w:rsidRPr="00C76FA2">
        <w:rPr>
          <w:rStyle w:val="FootnoteReference"/>
        </w:rPr>
        <w:footnoteRef/>
      </w:r>
      <w:r w:rsidRPr="00C76FA2">
        <w:t xml:space="preserve"> </w:t>
      </w:r>
      <w:r w:rsidR="00BF1B1A">
        <w:rPr>
          <w:i/>
        </w:rPr>
        <w:t xml:space="preserve">Id. </w:t>
      </w:r>
      <w:r>
        <w:t xml:space="preserve">at 18, </w:t>
      </w:r>
      <w:r w:rsidRPr="00C76FA2">
        <w:t>¶ 28.</w:t>
      </w:r>
    </w:p>
  </w:footnote>
  <w:footnote w:id="44">
    <w:p w:rsidR="007B04BC" w:rsidRDefault="007B04BC" w:rsidP="007B04BC">
      <w:pPr>
        <w:pStyle w:val="FootnoteText"/>
        <w:jc w:val="left"/>
      </w:pPr>
      <w:r>
        <w:rPr>
          <w:rStyle w:val="FootnoteReference"/>
        </w:rPr>
        <w:footnoteRef/>
      </w:r>
      <w:r>
        <w:t xml:space="preserve"> </w:t>
      </w:r>
      <w:r w:rsidR="00BF1B1A">
        <w:rPr>
          <w:i/>
        </w:rPr>
        <w:t xml:space="preserve">See </w:t>
      </w:r>
      <w:r>
        <w:t xml:space="preserve">Dockets UE-130137 and UG-130138 (consolidated) </w:t>
      </w:r>
      <w:r w:rsidRPr="00AC43AA">
        <w:rPr>
          <w:i/>
        </w:rPr>
        <w:t>et al.</w:t>
      </w:r>
      <w:r w:rsidR="00BF1B1A">
        <w:t>, Order 07</w:t>
      </w:r>
      <w:r>
        <w:t>.</w:t>
      </w:r>
    </w:p>
  </w:footnote>
  <w:footnote w:id="45">
    <w:p w:rsidR="007B04BC" w:rsidRDefault="007B04BC" w:rsidP="007B04BC">
      <w:pPr>
        <w:pStyle w:val="FootnoteText"/>
        <w:jc w:val="left"/>
      </w:pPr>
      <w:r>
        <w:rPr>
          <w:rStyle w:val="FootnoteReference"/>
        </w:rPr>
        <w:footnoteRef/>
      </w:r>
      <w:r>
        <w:t xml:space="preserve"> </w:t>
      </w:r>
      <w:r w:rsidR="00BF1B1A">
        <w:rPr>
          <w:i/>
        </w:rPr>
        <w:t>See</w:t>
      </w:r>
      <w:r>
        <w:t xml:space="preserve"> Dockets UE-140188 &amp; UG-</w:t>
      </w:r>
      <w:r w:rsidR="00BF1B1A">
        <w:t>140189, Order 05</w:t>
      </w:r>
      <w:r>
        <w:t>.</w:t>
      </w:r>
    </w:p>
  </w:footnote>
  <w:footnote w:id="46">
    <w:p w:rsidR="007B04BC" w:rsidRDefault="007B04BC" w:rsidP="007B04BC">
      <w:pPr>
        <w:pStyle w:val="FootnoteText"/>
        <w:jc w:val="left"/>
      </w:pPr>
      <w:r>
        <w:rPr>
          <w:rStyle w:val="FootnoteReference"/>
        </w:rPr>
        <w:footnoteRef/>
      </w:r>
      <w:r>
        <w:t xml:space="preserve"> </w:t>
      </w:r>
      <w:r>
        <w:rPr>
          <w:i/>
        </w:rPr>
        <w:t xml:space="preserve">See </w:t>
      </w:r>
      <w:r>
        <w:t>Decoupling Policy Statement 1, ¶ 1.</w:t>
      </w:r>
    </w:p>
  </w:footnote>
  <w:footnote w:id="47">
    <w:p w:rsidR="007B04BC" w:rsidRDefault="007B04BC" w:rsidP="007B04BC">
      <w:pPr>
        <w:pStyle w:val="FootnoteText"/>
        <w:jc w:val="left"/>
      </w:pPr>
      <w:r>
        <w:rPr>
          <w:rStyle w:val="FootnoteReference"/>
        </w:rPr>
        <w:footnoteRef/>
      </w:r>
      <w:r>
        <w:t xml:space="preserve"> RCW 80.28.260(3).</w:t>
      </w:r>
    </w:p>
  </w:footnote>
  <w:footnote w:id="48">
    <w:p w:rsidR="007B04BC" w:rsidRDefault="007B04BC" w:rsidP="007B04BC">
      <w:pPr>
        <w:pStyle w:val="FootnoteText"/>
        <w:jc w:val="left"/>
      </w:pPr>
      <w:r>
        <w:rPr>
          <w:rStyle w:val="FootnoteReference"/>
        </w:rPr>
        <w:footnoteRef/>
      </w:r>
      <w:r>
        <w:t xml:space="preserve"> Dockets UE-130137 and UG-130138 (consolidated)</w:t>
      </w:r>
      <w:r w:rsidRPr="00DE00F2">
        <w:rPr>
          <w:i/>
        </w:rPr>
        <w:t xml:space="preserve"> </w:t>
      </w:r>
      <w:r w:rsidRPr="00CF6386">
        <w:rPr>
          <w:i/>
        </w:rPr>
        <w:t>et al.</w:t>
      </w:r>
      <w:r>
        <w:t>, Order 15/14 at 69-70, ¶ 156.</w:t>
      </w:r>
      <w:r w:rsidRPr="00B142BB">
        <w:t xml:space="preserve"> </w:t>
      </w:r>
      <w:r>
        <w:t xml:space="preserve">The Commission decided that decoupling did not warrant a change to PSE’s </w:t>
      </w:r>
      <w:r w:rsidR="00BF1B1A">
        <w:t>cost of capital</w:t>
      </w:r>
      <w:r>
        <w:t xml:space="preserve"> because PSE had agreed to a stay-out provision that capped increases at 3.00 percent, proposed an earnings sharing mechanism, and agreed to conservation goals.  Pacific Power’s filing includes similar mitigating factors as PSE’s ERF filing, and this provides additional support for the Commission not adjusting Pacific Power’s </w:t>
      </w:r>
      <w:r w:rsidR="00BF1B1A">
        <w:t>authorized return on equity or rate of return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E3" w:rsidRDefault="00947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E3" w:rsidRDefault="00947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E3" w:rsidRDefault="00947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07B83"/>
    <w:multiLevelType w:val="hybridMultilevel"/>
    <w:tmpl w:val="E214CE74"/>
    <w:lvl w:ilvl="0" w:tplc="C2C8F14A">
      <w:start w:val="1"/>
      <w:numFmt w:val="decimal"/>
      <w:lvlText w:val="%1."/>
      <w:lvlJc w:val="left"/>
      <w:pPr>
        <w:ind w:left="12246" w:hanging="360"/>
      </w:pPr>
      <w:rPr>
        <w:rFonts w:ascii="Times New Roman" w:hAnsi="Times New Roman" w:hint="default"/>
        <w:b w:val="0"/>
        <w:i/>
        <w:sz w:val="24"/>
      </w:rPr>
    </w:lvl>
    <w:lvl w:ilvl="1" w:tplc="04090019">
      <w:start w:val="1"/>
      <w:numFmt w:val="lowerLetter"/>
      <w:lvlText w:val="%2."/>
      <w:lvlJc w:val="left"/>
      <w:pPr>
        <w:ind w:left="12966" w:hanging="360"/>
      </w:pPr>
    </w:lvl>
    <w:lvl w:ilvl="2" w:tplc="0409001B" w:tentative="1">
      <w:start w:val="1"/>
      <w:numFmt w:val="lowerRoman"/>
      <w:lvlText w:val="%3."/>
      <w:lvlJc w:val="right"/>
      <w:pPr>
        <w:ind w:left="13686" w:hanging="180"/>
      </w:pPr>
    </w:lvl>
    <w:lvl w:ilvl="3" w:tplc="0409000F" w:tentative="1">
      <w:start w:val="1"/>
      <w:numFmt w:val="decimal"/>
      <w:lvlText w:val="%4."/>
      <w:lvlJc w:val="left"/>
      <w:pPr>
        <w:ind w:left="14406" w:hanging="360"/>
      </w:pPr>
    </w:lvl>
    <w:lvl w:ilvl="4" w:tplc="04090019" w:tentative="1">
      <w:start w:val="1"/>
      <w:numFmt w:val="lowerLetter"/>
      <w:lvlText w:val="%5."/>
      <w:lvlJc w:val="left"/>
      <w:pPr>
        <w:ind w:left="15126" w:hanging="360"/>
      </w:pPr>
    </w:lvl>
    <w:lvl w:ilvl="5" w:tplc="0409001B" w:tentative="1">
      <w:start w:val="1"/>
      <w:numFmt w:val="lowerRoman"/>
      <w:lvlText w:val="%6."/>
      <w:lvlJc w:val="right"/>
      <w:pPr>
        <w:ind w:left="15846" w:hanging="180"/>
      </w:pPr>
    </w:lvl>
    <w:lvl w:ilvl="6" w:tplc="0409000F" w:tentative="1">
      <w:start w:val="1"/>
      <w:numFmt w:val="decimal"/>
      <w:lvlText w:val="%7."/>
      <w:lvlJc w:val="left"/>
      <w:pPr>
        <w:ind w:left="16566" w:hanging="360"/>
      </w:pPr>
    </w:lvl>
    <w:lvl w:ilvl="7" w:tplc="04090019" w:tentative="1">
      <w:start w:val="1"/>
      <w:numFmt w:val="lowerLetter"/>
      <w:lvlText w:val="%8."/>
      <w:lvlJc w:val="left"/>
      <w:pPr>
        <w:ind w:left="17286" w:hanging="360"/>
      </w:pPr>
    </w:lvl>
    <w:lvl w:ilvl="8" w:tplc="0409001B" w:tentative="1">
      <w:start w:val="1"/>
      <w:numFmt w:val="lowerRoman"/>
      <w:lvlText w:val="%9."/>
      <w:lvlJc w:val="right"/>
      <w:pPr>
        <w:ind w:left="18006" w:hanging="180"/>
      </w:pPr>
    </w:lvl>
  </w:abstractNum>
  <w:abstractNum w:abstractNumId="12">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6690A"/>
    <w:multiLevelType w:val="hybridMultilevel"/>
    <w:tmpl w:val="E75E8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8">
    <w:nsid w:val="48CA35DE"/>
    <w:multiLevelType w:val="hybridMultilevel"/>
    <w:tmpl w:val="740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1">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2">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2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9"/>
  </w:num>
  <w:num w:numId="18">
    <w:abstractNumId w:val="10"/>
  </w:num>
  <w:num w:numId="19">
    <w:abstractNumId w:val="15"/>
  </w:num>
  <w:num w:numId="20">
    <w:abstractNumId w:val="24"/>
  </w:num>
  <w:num w:numId="21">
    <w:abstractNumId w:val="12"/>
  </w:num>
  <w:num w:numId="22">
    <w:abstractNumId w:val="11"/>
  </w:num>
  <w:num w:numId="23">
    <w:abstractNumId w:val="14"/>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16DA"/>
    <w:rsid w:val="00001BC9"/>
    <w:rsid w:val="00003FAC"/>
    <w:rsid w:val="000045C5"/>
    <w:rsid w:val="000051B8"/>
    <w:rsid w:val="00006CE5"/>
    <w:rsid w:val="00010042"/>
    <w:rsid w:val="00011270"/>
    <w:rsid w:val="000133C4"/>
    <w:rsid w:val="000137A9"/>
    <w:rsid w:val="00014C14"/>
    <w:rsid w:val="00016109"/>
    <w:rsid w:val="000167A1"/>
    <w:rsid w:val="00017D99"/>
    <w:rsid w:val="00020550"/>
    <w:rsid w:val="00020B67"/>
    <w:rsid w:val="0002138A"/>
    <w:rsid w:val="00021457"/>
    <w:rsid w:val="000224F5"/>
    <w:rsid w:val="00024672"/>
    <w:rsid w:val="00025528"/>
    <w:rsid w:val="00026137"/>
    <w:rsid w:val="0002642B"/>
    <w:rsid w:val="0002692B"/>
    <w:rsid w:val="00026EE2"/>
    <w:rsid w:val="00026FA1"/>
    <w:rsid w:val="000275B7"/>
    <w:rsid w:val="0003006A"/>
    <w:rsid w:val="0003142F"/>
    <w:rsid w:val="000339D1"/>
    <w:rsid w:val="00034979"/>
    <w:rsid w:val="00044931"/>
    <w:rsid w:val="00046F53"/>
    <w:rsid w:val="00052601"/>
    <w:rsid w:val="00052F07"/>
    <w:rsid w:val="00053E88"/>
    <w:rsid w:val="00056EC9"/>
    <w:rsid w:val="000576E2"/>
    <w:rsid w:val="000579A1"/>
    <w:rsid w:val="000604C1"/>
    <w:rsid w:val="000606C7"/>
    <w:rsid w:val="00060F01"/>
    <w:rsid w:val="000612FD"/>
    <w:rsid w:val="00062303"/>
    <w:rsid w:val="00063D8B"/>
    <w:rsid w:val="00063E30"/>
    <w:rsid w:val="000641A2"/>
    <w:rsid w:val="00064289"/>
    <w:rsid w:val="00064531"/>
    <w:rsid w:val="000647DF"/>
    <w:rsid w:val="00067C4E"/>
    <w:rsid w:val="0007097D"/>
    <w:rsid w:val="000734BE"/>
    <w:rsid w:val="00073FF0"/>
    <w:rsid w:val="00074DDD"/>
    <w:rsid w:val="0007672B"/>
    <w:rsid w:val="00077537"/>
    <w:rsid w:val="00077EA3"/>
    <w:rsid w:val="0008131C"/>
    <w:rsid w:val="000817CE"/>
    <w:rsid w:val="000831F1"/>
    <w:rsid w:val="00083A29"/>
    <w:rsid w:val="00084F13"/>
    <w:rsid w:val="000858D3"/>
    <w:rsid w:val="00086814"/>
    <w:rsid w:val="0008721E"/>
    <w:rsid w:val="00087EAF"/>
    <w:rsid w:val="0009005F"/>
    <w:rsid w:val="0009140F"/>
    <w:rsid w:val="00091B09"/>
    <w:rsid w:val="00091EF7"/>
    <w:rsid w:val="00093B5B"/>
    <w:rsid w:val="00093C59"/>
    <w:rsid w:val="000951CD"/>
    <w:rsid w:val="000978BB"/>
    <w:rsid w:val="000A059F"/>
    <w:rsid w:val="000A3368"/>
    <w:rsid w:val="000A49D1"/>
    <w:rsid w:val="000A4B4F"/>
    <w:rsid w:val="000A4BD9"/>
    <w:rsid w:val="000A5264"/>
    <w:rsid w:val="000A6377"/>
    <w:rsid w:val="000A7191"/>
    <w:rsid w:val="000A75FA"/>
    <w:rsid w:val="000B0A23"/>
    <w:rsid w:val="000B1623"/>
    <w:rsid w:val="000B2679"/>
    <w:rsid w:val="000B5CDD"/>
    <w:rsid w:val="000B7A65"/>
    <w:rsid w:val="000C08C0"/>
    <w:rsid w:val="000C08CA"/>
    <w:rsid w:val="000C3FA5"/>
    <w:rsid w:val="000C4959"/>
    <w:rsid w:val="000C57FB"/>
    <w:rsid w:val="000C597B"/>
    <w:rsid w:val="000C73A5"/>
    <w:rsid w:val="000D058F"/>
    <w:rsid w:val="000D3C05"/>
    <w:rsid w:val="000D49B6"/>
    <w:rsid w:val="000D7090"/>
    <w:rsid w:val="000D7282"/>
    <w:rsid w:val="000D733D"/>
    <w:rsid w:val="000E13F8"/>
    <w:rsid w:val="000E4224"/>
    <w:rsid w:val="000E68AE"/>
    <w:rsid w:val="000E6DE0"/>
    <w:rsid w:val="000F0F56"/>
    <w:rsid w:val="000F1107"/>
    <w:rsid w:val="000F1156"/>
    <w:rsid w:val="000F59EA"/>
    <w:rsid w:val="000F73AB"/>
    <w:rsid w:val="001004B6"/>
    <w:rsid w:val="00102329"/>
    <w:rsid w:val="00104615"/>
    <w:rsid w:val="00105EBF"/>
    <w:rsid w:val="0010676F"/>
    <w:rsid w:val="00107C02"/>
    <w:rsid w:val="00110811"/>
    <w:rsid w:val="00111679"/>
    <w:rsid w:val="00115383"/>
    <w:rsid w:val="0011579F"/>
    <w:rsid w:val="00116594"/>
    <w:rsid w:val="00116686"/>
    <w:rsid w:val="00116A61"/>
    <w:rsid w:val="00120AE8"/>
    <w:rsid w:val="00120F8A"/>
    <w:rsid w:val="001229D5"/>
    <w:rsid w:val="00124669"/>
    <w:rsid w:val="00125B0C"/>
    <w:rsid w:val="00126E87"/>
    <w:rsid w:val="00127A42"/>
    <w:rsid w:val="001301B0"/>
    <w:rsid w:val="0013033E"/>
    <w:rsid w:val="001316F2"/>
    <w:rsid w:val="00131D77"/>
    <w:rsid w:val="00132923"/>
    <w:rsid w:val="00133C14"/>
    <w:rsid w:val="001350A8"/>
    <w:rsid w:val="00135851"/>
    <w:rsid w:val="00136214"/>
    <w:rsid w:val="00137ED4"/>
    <w:rsid w:val="00141071"/>
    <w:rsid w:val="00142195"/>
    <w:rsid w:val="00143AE5"/>
    <w:rsid w:val="00144108"/>
    <w:rsid w:val="0014433E"/>
    <w:rsid w:val="00144D82"/>
    <w:rsid w:val="001459D0"/>
    <w:rsid w:val="0015007D"/>
    <w:rsid w:val="00152B79"/>
    <w:rsid w:val="001533E1"/>
    <w:rsid w:val="001538E3"/>
    <w:rsid w:val="00153BB5"/>
    <w:rsid w:val="001604CE"/>
    <w:rsid w:val="0016090F"/>
    <w:rsid w:val="00160A98"/>
    <w:rsid w:val="0016195B"/>
    <w:rsid w:val="00161BB2"/>
    <w:rsid w:val="0016334B"/>
    <w:rsid w:val="00164FB3"/>
    <w:rsid w:val="001652DD"/>
    <w:rsid w:val="001653DD"/>
    <w:rsid w:val="001701E5"/>
    <w:rsid w:val="001734C3"/>
    <w:rsid w:val="001749D5"/>
    <w:rsid w:val="001759AC"/>
    <w:rsid w:val="001759CC"/>
    <w:rsid w:val="00175DBA"/>
    <w:rsid w:val="00176215"/>
    <w:rsid w:val="00176F45"/>
    <w:rsid w:val="00176F46"/>
    <w:rsid w:val="00181ADD"/>
    <w:rsid w:val="00183A00"/>
    <w:rsid w:val="001854A6"/>
    <w:rsid w:val="0019105B"/>
    <w:rsid w:val="001913B3"/>
    <w:rsid w:val="00193774"/>
    <w:rsid w:val="00194042"/>
    <w:rsid w:val="00194DD9"/>
    <w:rsid w:val="00197ADD"/>
    <w:rsid w:val="001A0A36"/>
    <w:rsid w:val="001A29AC"/>
    <w:rsid w:val="001A354F"/>
    <w:rsid w:val="001A3907"/>
    <w:rsid w:val="001A506B"/>
    <w:rsid w:val="001A5D0F"/>
    <w:rsid w:val="001B0484"/>
    <w:rsid w:val="001B1CB3"/>
    <w:rsid w:val="001B286B"/>
    <w:rsid w:val="001B5FFD"/>
    <w:rsid w:val="001B707E"/>
    <w:rsid w:val="001C4E25"/>
    <w:rsid w:val="001C5028"/>
    <w:rsid w:val="001C547E"/>
    <w:rsid w:val="001C5546"/>
    <w:rsid w:val="001C6B87"/>
    <w:rsid w:val="001D06B6"/>
    <w:rsid w:val="001D41DC"/>
    <w:rsid w:val="001D45E2"/>
    <w:rsid w:val="001D4D86"/>
    <w:rsid w:val="001D5443"/>
    <w:rsid w:val="001E379A"/>
    <w:rsid w:val="001E37E1"/>
    <w:rsid w:val="001E5A2D"/>
    <w:rsid w:val="001E709B"/>
    <w:rsid w:val="001F0CC6"/>
    <w:rsid w:val="001F0DB7"/>
    <w:rsid w:val="001F3378"/>
    <w:rsid w:val="001F3B0A"/>
    <w:rsid w:val="001F5220"/>
    <w:rsid w:val="002005A9"/>
    <w:rsid w:val="00200EB7"/>
    <w:rsid w:val="00202386"/>
    <w:rsid w:val="002033A6"/>
    <w:rsid w:val="00203ABB"/>
    <w:rsid w:val="002054DD"/>
    <w:rsid w:val="00205C76"/>
    <w:rsid w:val="002064B8"/>
    <w:rsid w:val="002079BD"/>
    <w:rsid w:val="00210050"/>
    <w:rsid w:val="0021189B"/>
    <w:rsid w:val="002128A6"/>
    <w:rsid w:val="00213FFC"/>
    <w:rsid w:val="00215FD3"/>
    <w:rsid w:val="00217743"/>
    <w:rsid w:val="00217819"/>
    <w:rsid w:val="00217A7B"/>
    <w:rsid w:val="002216C4"/>
    <w:rsid w:val="00222355"/>
    <w:rsid w:val="002225BA"/>
    <w:rsid w:val="00223CCA"/>
    <w:rsid w:val="00224D16"/>
    <w:rsid w:val="00230765"/>
    <w:rsid w:val="00230782"/>
    <w:rsid w:val="002307E4"/>
    <w:rsid w:val="00230B44"/>
    <w:rsid w:val="0023147E"/>
    <w:rsid w:val="0023233B"/>
    <w:rsid w:val="00232E26"/>
    <w:rsid w:val="00234B0D"/>
    <w:rsid w:val="00234E26"/>
    <w:rsid w:val="00235E1F"/>
    <w:rsid w:val="00236375"/>
    <w:rsid w:val="00237866"/>
    <w:rsid w:val="00237FBC"/>
    <w:rsid w:val="00240E92"/>
    <w:rsid w:val="0024139D"/>
    <w:rsid w:val="002414F6"/>
    <w:rsid w:val="00242E2F"/>
    <w:rsid w:val="00243149"/>
    <w:rsid w:val="002431CC"/>
    <w:rsid w:val="00247330"/>
    <w:rsid w:val="0024740D"/>
    <w:rsid w:val="00250448"/>
    <w:rsid w:val="00250D66"/>
    <w:rsid w:val="0025184C"/>
    <w:rsid w:val="00251A3C"/>
    <w:rsid w:val="00253521"/>
    <w:rsid w:val="00253D21"/>
    <w:rsid w:val="002551FE"/>
    <w:rsid w:val="002557D9"/>
    <w:rsid w:val="00255D8C"/>
    <w:rsid w:val="00256405"/>
    <w:rsid w:val="002566EE"/>
    <w:rsid w:val="00256C4D"/>
    <w:rsid w:val="0026092C"/>
    <w:rsid w:val="00260BBA"/>
    <w:rsid w:val="00261A6D"/>
    <w:rsid w:val="002656B0"/>
    <w:rsid w:val="00265710"/>
    <w:rsid w:val="00265ABF"/>
    <w:rsid w:val="00265DEA"/>
    <w:rsid w:val="002723E4"/>
    <w:rsid w:val="002732BE"/>
    <w:rsid w:val="00274739"/>
    <w:rsid w:val="00274EAF"/>
    <w:rsid w:val="002755A6"/>
    <w:rsid w:val="00276792"/>
    <w:rsid w:val="00280E0E"/>
    <w:rsid w:val="0028408C"/>
    <w:rsid w:val="00284C4A"/>
    <w:rsid w:val="00284D42"/>
    <w:rsid w:val="002853F2"/>
    <w:rsid w:val="00285A58"/>
    <w:rsid w:val="00285F78"/>
    <w:rsid w:val="002865EA"/>
    <w:rsid w:val="00291CE6"/>
    <w:rsid w:val="002947F0"/>
    <w:rsid w:val="00294E60"/>
    <w:rsid w:val="00295B5F"/>
    <w:rsid w:val="002A0748"/>
    <w:rsid w:val="002A1165"/>
    <w:rsid w:val="002A1E06"/>
    <w:rsid w:val="002A2104"/>
    <w:rsid w:val="002A323A"/>
    <w:rsid w:val="002A371C"/>
    <w:rsid w:val="002A3BB1"/>
    <w:rsid w:val="002A4CD8"/>
    <w:rsid w:val="002B1E51"/>
    <w:rsid w:val="002B26B5"/>
    <w:rsid w:val="002B2D84"/>
    <w:rsid w:val="002B499C"/>
    <w:rsid w:val="002B50A0"/>
    <w:rsid w:val="002B53CA"/>
    <w:rsid w:val="002B5650"/>
    <w:rsid w:val="002B79FC"/>
    <w:rsid w:val="002B7A77"/>
    <w:rsid w:val="002C2269"/>
    <w:rsid w:val="002C28E6"/>
    <w:rsid w:val="002C304C"/>
    <w:rsid w:val="002C46CE"/>
    <w:rsid w:val="002C4970"/>
    <w:rsid w:val="002C4EF6"/>
    <w:rsid w:val="002C53EC"/>
    <w:rsid w:val="002C58D0"/>
    <w:rsid w:val="002C7638"/>
    <w:rsid w:val="002D11BE"/>
    <w:rsid w:val="002D3F4F"/>
    <w:rsid w:val="002D420E"/>
    <w:rsid w:val="002D6ADD"/>
    <w:rsid w:val="002E0911"/>
    <w:rsid w:val="002E0ED6"/>
    <w:rsid w:val="002E152F"/>
    <w:rsid w:val="002E3322"/>
    <w:rsid w:val="002E3D2C"/>
    <w:rsid w:val="002E3DB1"/>
    <w:rsid w:val="002E55FC"/>
    <w:rsid w:val="002E5966"/>
    <w:rsid w:val="002E5A27"/>
    <w:rsid w:val="002E7D3D"/>
    <w:rsid w:val="002F022A"/>
    <w:rsid w:val="002F11AE"/>
    <w:rsid w:val="002F146E"/>
    <w:rsid w:val="002F1479"/>
    <w:rsid w:val="002F1FF5"/>
    <w:rsid w:val="002F305D"/>
    <w:rsid w:val="002F3A67"/>
    <w:rsid w:val="002F3DF0"/>
    <w:rsid w:val="002F4B1C"/>
    <w:rsid w:val="002F4C16"/>
    <w:rsid w:val="002F668B"/>
    <w:rsid w:val="00300A0A"/>
    <w:rsid w:val="00301393"/>
    <w:rsid w:val="00302A23"/>
    <w:rsid w:val="00304887"/>
    <w:rsid w:val="00304F53"/>
    <w:rsid w:val="00305957"/>
    <w:rsid w:val="00305CCF"/>
    <w:rsid w:val="00305DAC"/>
    <w:rsid w:val="0030634F"/>
    <w:rsid w:val="00307B8B"/>
    <w:rsid w:val="00311692"/>
    <w:rsid w:val="00313BFD"/>
    <w:rsid w:val="00314277"/>
    <w:rsid w:val="00315543"/>
    <w:rsid w:val="003177A3"/>
    <w:rsid w:val="003219E5"/>
    <w:rsid w:val="003228A3"/>
    <w:rsid w:val="003231D0"/>
    <w:rsid w:val="003256E7"/>
    <w:rsid w:val="003258BF"/>
    <w:rsid w:val="00325D6B"/>
    <w:rsid w:val="003267CD"/>
    <w:rsid w:val="00326A03"/>
    <w:rsid w:val="003314FB"/>
    <w:rsid w:val="00334533"/>
    <w:rsid w:val="0033456E"/>
    <w:rsid w:val="00335BF8"/>
    <w:rsid w:val="00337AF5"/>
    <w:rsid w:val="00340AAA"/>
    <w:rsid w:val="00340CAA"/>
    <w:rsid w:val="003414F4"/>
    <w:rsid w:val="00341E4A"/>
    <w:rsid w:val="00342C9A"/>
    <w:rsid w:val="00343793"/>
    <w:rsid w:val="0034432B"/>
    <w:rsid w:val="00344AB9"/>
    <w:rsid w:val="0034500F"/>
    <w:rsid w:val="0034775E"/>
    <w:rsid w:val="00350162"/>
    <w:rsid w:val="00352074"/>
    <w:rsid w:val="00355B1F"/>
    <w:rsid w:val="003608FF"/>
    <w:rsid w:val="00360A87"/>
    <w:rsid w:val="003624D9"/>
    <w:rsid w:val="00363366"/>
    <w:rsid w:val="00363AC7"/>
    <w:rsid w:val="00363B7A"/>
    <w:rsid w:val="00363D50"/>
    <w:rsid w:val="003644A6"/>
    <w:rsid w:val="00364AA9"/>
    <w:rsid w:val="00365631"/>
    <w:rsid w:val="00367764"/>
    <w:rsid w:val="00373C60"/>
    <w:rsid w:val="00376287"/>
    <w:rsid w:val="00376FFA"/>
    <w:rsid w:val="0037737D"/>
    <w:rsid w:val="003779C9"/>
    <w:rsid w:val="00377E44"/>
    <w:rsid w:val="00383F84"/>
    <w:rsid w:val="00386B2E"/>
    <w:rsid w:val="00387CBA"/>
    <w:rsid w:val="00390024"/>
    <w:rsid w:val="003903DF"/>
    <w:rsid w:val="00390699"/>
    <w:rsid w:val="003916B2"/>
    <w:rsid w:val="00391E6A"/>
    <w:rsid w:val="0039333F"/>
    <w:rsid w:val="00393526"/>
    <w:rsid w:val="00394A03"/>
    <w:rsid w:val="00394F3B"/>
    <w:rsid w:val="00395D7E"/>
    <w:rsid w:val="003965CB"/>
    <w:rsid w:val="003971E5"/>
    <w:rsid w:val="003A006C"/>
    <w:rsid w:val="003A08BF"/>
    <w:rsid w:val="003A10C4"/>
    <w:rsid w:val="003A1B53"/>
    <w:rsid w:val="003A1D86"/>
    <w:rsid w:val="003A215A"/>
    <w:rsid w:val="003A27ED"/>
    <w:rsid w:val="003A2BF5"/>
    <w:rsid w:val="003A3A99"/>
    <w:rsid w:val="003A5815"/>
    <w:rsid w:val="003A61A6"/>
    <w:rsid w:val="003A67F6"/>
    <w:rsid w:val="003B0C80"/>
    <w:rsid w:val="003B133A"/>
    <w:rsid w:val="003B2249"/>
    <w:rsid w:val="003B233F"/>
    <w:rsid w:val="003B253A"/>
    <w:rsid w:val="003B2B11"/>
    <w:rsid w:val="003B37C8"/>
    <w:rsid w:val="003B456E"/>
    <w:rsid w:val="003B49E3"/>
    <w:rsid w:val="003B558F"/>
    <w:rsid w:val="003B681D"/>
    <w:rsid w:val="003B7486"/>
    <w:rsid w:val="003B758D"/>
    <w:rsid w:val="003C0B33"/>
    <w:rsid w:val="003C203D"/>
    <w:rsid w:val="003C2F98"/>
    <w:rsid w:val="003C2FB3"/>
    <w:rsid w:val="003C415D"/>
    <w:rsid w:val="003C4510"/>
    <w:rsid w:val="003C4B10"/>
    <w:rsid w:val="003C4B4B"/>
    <w:rsid w:val="003C530C"/>
    <w:rsid w:val="003C5A24"/>
    <w:rsid w:val="003C790A"/>
    <w:rsid w:val="003D0827"/>
    <w:rsid w:val="003D17E5"/>
    <w:rsid w:val="003D334B"/>
    <w:rsid w:val="003D3608"/>
    <w:rsid w:val="003D3AF1"/>
    <w:rsid w:val="003E14B8"/>
    <w:rsid w:val="003E2005"/>
    <w:rsid w:val="003E259A"/>
    <w:rsid w:val="003E3A16"/>
    <w:rsid w:val="003E4535"/>
    <w:rsid w:val="003E4F6A"/>
    <w:rsid w:val="003F03D4"/>
    <w:rsid w:val="003F484E"/>
    <w:rsid w:val="003F5EF3"/>
    <w:rsid w:val="003F6192"/>
    <w:rsid w:val="003F7830"/>
    <w:rsid w:val="004002A9"/>
    <w:rsid w:val="00400B2C"/>
    <w:rsid w:val="00403759"/>
    <w:rsid w:val="004057CE"/>
    <w:rsid w:val="00405B31"/>
    <w:rsid w:val="0040619F"/>
    <w:rsid w:val="004066BD"/>
    <w:rsid w:val="004073F7"/>
    <w:rsid w:val="004103EC"/>
    <w:rsid w:val="00410A71"/>
    <w:rsid w:val="004132EB"/>
    <w:rsid w:val="004148B3"/>
    <w:rsid w:val="00417DDE"/>
    <w:rsid w:val="00420DC0"/>
    <w:rsid w:val="00420E0F"/>
    <w:rsid w:val="0042103E"/>
    <w:rsid w:val="004213C1"/>
    <w:rsid w:val="00421F2E"/>
    <w:rsid w:val="00422C1E"/>
    <w:rsid w:val="00423399"/>
    <w:rsid w:val="00424F48"/>
    <w:rsid w:val="004267A5"/>
    <w:rsid w:val="00427402"/>
    <w:rsid w:val="0043013D"/>
    <w:rsid w:val="00430148"/>
    <w:rsid w:val="00431206"/>
    <w:rsid w:val="00433A9E"/>
    <w:rsid w:val="0043593A"/>
    <w:rsid w:val="004361E5"/>
    <w:rsid w:val="00436639"/>
    <w:rsid w:val="00437853"/>
    <w:rsid w:val="00442406"/>
    <w:rsid w:val="00443C88"/>
    <w:rsid w:val="0044464C"/>
    <w:rsid w:val="004475AA"/>
    <w:rsid w:val="00447AEF"/>
    <w:rsid w:val="00447D89"/>
    <w:rsid w:val="0045122B"/>
    <w:rsid w:val="0045149E"/>
    <w:rsid w:val="00452712"/>
    <w:rsid w:val="00453A85"/>
    <w:rsid w:val="004558B0"/>
    <w:rsid w:val="0045640F"/>
    <w:rsid w:val="00456BE6"/>
    <w:rsid w:val="00456FEF"/>
    <w:rsid w:val="00457228"/>
    <w:rsid w:val="0046014A"/>
    <w:rsid w:val="0046281C"/>
    <w:rsid w:val="00465C1D"/>
    <w:rsid w:val="004669FF"/>
    <w:rsid w:val="004678CF"/>
    <w:rsid w:val="004709EA"/>
    <w:rsid w:val="00471086"/>
    <w:rsid w:val="0047125C"/>
    <w:rsid w:val="00472361"/>
    <w:rsid w:val="0047309C"/>
    <w:rsid w:val="0047355C"/>
    <w:rsid w:val="00473F35"/>
    <w:rsid w:val="00473FFC"/>
    <w:rsid w:val="0047417A"/>
    <w:rsid w:val="004757CC"/>
    <w:rsid w:val="00476089"/>
    <w:rsid w:val="0047641A"/>
    <w:rsid w:val="0048153F"/>
    <w:rsid w:val="00481E04"/>
    <w:rsid w:val="00482567"/>
    <w:rsid w:val="004839E1"/>
    <w:rsid w:val="00483F0B"/>
    <w:rsid w:val="004840CB"/>
    <w:rsid w:val="00484EBA"/>
    <w:rsid w:val="0048578C"/>
    <w:rsid w:val="0048613A"/>
    <w:rsid w:val="004903AE"/>
    <w:rsid w:val="00491368"/>
    <w:rsid w:val="00491C17"/>
    <w:rsid w:val="00495C36"/>
    <w:rsid w:val="00495EBF"/>
    <w:rsid w:val="0049666E"/>
    <w:rsid w:val="00496954"/>
    <w:rsid w:val="004A058C"/>
    <w:rsid w:val="004A0601"/>
    <w:rsid w:val="004A0DAE"/>
    <w:rsid w:val="004A3CB0"/>
    <w:rsid w:val="004A698D"/>
    <w:rsid w:val="004A6CE2"/>
    <w:rsid w:val="004A7243"/>
    <w:rsid w:val="004A7748"/>
    <w:rsid w:val="004A7858"/>
    <w:rsid w:val="004B0CCD"/>
    <w:rsid w:val="004B3456"/>
    <w:rsid w:val="004B39F3"/>
    <w:rsid w:val="004B5C0B"/>
    <w:rsid w:val="004B6199"/>
    <w:rsid w:val="004B69CE"/>
    <w:rsid w:val="004B6F88"/>
    <w:rsid w:val="004B78BE"/>
    <w:rsid w:val="004B7B16"/>
    <w:rsid w:val="004B7D52"/>
    <w:rsid w:val="004C1DB1"/>
    <w:rsid w:val="004C29BF"/>
    <w:rsid w:val="004C3348"/>
    <w:rsid w:val="004C549F"/>
    <w:rsid w:val="004C6534"/>
    <w:rsid w:val="004C6866"/>
    <w:rsid w:val="004C719D"/>
    <w:rsid w:val="004C7731"/>
    <w:rsid w:val="004C77DA"/>
    <w:rsid w:val="004D012E"/>
    <w:rsid w:val="004D3B8B"/>
    <w:rsid w:val="004D43E0"/>
    <w:rsid w:val="004D567A"/>
    <w:rsid w:val="004D60F2"/>
    <w:rsid w:val="004D70B8"/>
    <w:rsid w:val="004D747A"/>
    <w:rsid w:val="004D77EA"/>
    <w:rsid w:val="004E0857"/>
    <w:rsid w:val="004E2C77"/>
    <w:rsid w:val="004E370C"/>
    <w:rsid w:val="004E395C"/>
    <w:rsid w:val="004E5750"/>
    <w:rsid w:val="004E58B0"/>
    <w:rsid w:val="004E5B50"/>
    <w:rsid w:val="004E630E"/>
    <w:rsid w:val="004F2A74"/>
    <w:rsid w:val="004F2D66"/>
    <w:rsid w:val="004F4847"/>
    <w:rsid w:val="004F5149"/>
    <w:rsid w:val="004F5259"/>
    <w:rsid w:val="004F6BB0"/>
    <w:rsid w:val="004F74A6"/>
    <w:rsid w:val="004F78BB"/>
    <w:rsid w:val="004F7B30"/>
    <w:rsid w:val="00500C92"/>
    <w:rsid w:val="00503D92"/>
    <w:rsid w:val="00504BCC"/>
    <w:rsid w:val="00506F66"/>
    <w:rsid w:val="005073D7"/>
    <w:rsid w:val="00510835"/>
    <w:rsid w:val="00510E31"/>
    <w:rsid w:val="00512531"/>
    <w:rsid w:val="00512FCB"/>
    <w:rsid w:val="00513614"/>
    <w:rsid w:val="00513EE9"/>
    <w:rsid w:val="00514B24"/>
    <w:rsid w:val="00517E65"/>
    <w:rsid w:val="00523E6E"/>
    <w:rsid w:val="005246B9"/>
    <w:rsid w:val="0052484B"/>
    <w:rsid w:val="00525966"/>
    <w:rsid w:val="00526670"/>
    <w:rsid w:val="00527311"/>
    <w:rsid w:val="00527743"/>
    <w:rsid w:val="00527DAE"/>
    <w:rsid w:val="005308EA"/>
    <w:rsid w:val="00532885"/>
    <w:rsid w:val="00532974"/>
    <w:rsid w:val="00533548"/>
    <w:rsid w:val="00533927"/>
    <w:rsid w:val="00533E3D"/>
    <w:rsid w:val="005347AF"/>
    <w:rsid w:val="005359D3"/>
    <w:rsid w:val="005366FB"/>
    <w:rsid w:val="00536D87"/>
    <w:rsid w:val="00540392"/>
    <w:rsid w:val="00540FE6"/>
    <w:rsid w:val="00541C46"/>
    <w:rsid w:val="00543D37"/>
    <w:rsid w:val="0055067B"/>
    <w:rsid w:val="005509A8"/>
    <w:rsid w:val="0055139D"/>
    <w:rsid w:val="0055169C"/>
    <w:rsid w:val="0055194E"/>
    <w:rsid w:val="0055320C"/>
    <w:rsid w:val="0055385B"/>
    <w:rsid w:val="00555010"/>
    <w:rsid w:val="005558A3"/>
    <w:rsid w:val="0055671E"/>
    <w:rsid w:val="0055679C"/>
    <w:rsid w:val="0055698B"/>
    <w:rsid w:val="00556BEE"/>
    <w:rsid w:val="0055785E"/>
    <w:rsid w:val="005578EC"/>
    <w:rsid w:val="0056145D"/>
    <w:rsid w:val="00561F65"/>
    <w:rsid w:val="0056289C"/>
    <w:rsid w:val="0056317C"/>
    <w:rsid w:val="005637E9"/>
    <w:rsid w:val="00563F9E"/>
    <w:rsid w:val="00565489"/>
    <w:rsid w:val="00565EE4"/>
    <w:rsid w:val="005664BB"/>
    <w:rsid w:val="00572776"/>
    <w:rsid w:val="0057662D"/>
    <w:rsid w:val="00577308"/>
    <w:rsid w:val="00577B04"/>
    <w:rsid w:val="00577DE9"/>
    <w:rsid w:val="00580520"/>
    <w:rsid w:val="005808C7"/>
    <w:rsid w:val="005841B2"/>
    <w:rsid w:val="005844BC"/>
    <w:rsid w:val="00584769"/>
    <w:rsid w:val="0058744F"/>
    <w:rsid w:val="00592FD6"/>
    <w:rsid w:val="005932AA"/>
    <w:rsid w:val="0059377C"/>
    <w:rsid w:val="0059424E"/>
    <w:rsid w:val="005943B2"/>
    <w:rsid w:val="00594E9E"/>
    <w:rsid w:val="00597DA2"/>
    <w:rsid w:val="005A2288"/>
    <w:rsid w:val="005A246D"/>
    <w:rsid w:val="005A28D5"/>
    <w:rsid w:val="005A30BA"/>
    <w:rsid w:val="005A31DC"/>
    <w:rsid w:val="005A4CAF"/>
    <w:rsid w:val="005A7126"/>
    <w:rsid w:val="005A723B"/>
    <w:rsid w:val="005A735C"/>
    <w:rsid w:val="005A7F30"/>
    <w:rsid w:val="005B35C0"/>
    <w:rsid w:val="005B623D"/>
    <w:rsid w:val="005C02EF"/>
    <w:rsid w:val="005C394F"/>
    <w:rsid w:val="005C4463"/>
    <w:rsid w:val="005C597A"/>
    <w:rsid w:val="005C59FD"/>
    <w:rsid w:val="005C6B32"/>
    <w:rsid w:val="005C71E6"/>
    <w:rsid w:val="005C7820"/>
    <w:rsid w:val="005D0960"/>
    <w:rsid w:val="005D2748"/>
    <w:rsid w:val="005D2B0B"/>
    <w:rsid w:val="005D3759"/>
    <w:rsid w:val="005D39D0"/>
    <w:rsid w:val="005D747F"/>
    <w:rsid w:val="005D769E"/>
    <w:rsid w:val="005D797B"/>
    <w:rsid w:val="005E0C1C"/>
    <w:rsid w:val="005E26B4"/>
    <w:rsid w:val="005E297C"/>
    <w:rsid w:val="005E2BA9"/>
    <w:rsid w:val="005E33DD"/>
    <w:rsid w:val="005E4259"/>
    <w:rsid w:val="005E4B68"/>
    <w:rsid w:val="005E5207"/>
    <w:rsid w:val="005E5651"/>
    <w:rsid w:val="005E57AE"/>
    <w:rsid w:val="005E5B3A"/>
    <w:rsid w:val="005E6146"/>
    <w:rsid w:val="005E7952"/>
    <w:rsid w:val="005F0920"/>
    <w:rsid w:val="005F0A75"/>
    <w:rsid w:val="005F0DB9"/>
    <w:rsid w:val="005F0EED"/>
    <w:rsid w:val="005F1D7D"/>
    <w:rsid w:val="005F434A"/>
    <w:rsid w:val="005F4B42"/>
    <w:rsid w:val="005F6219"/>
    <w:rsid w:val="005F7EB1"/>
    <w:rsid w:val="006032DF"/>
    <w:rsid w:val="00606FB1"/>
    <w:rsid w:val="00606FD6"/>
    <w:rsid w:val="006121D6"/>
    <w:rsid w:val="00614243"/>
    <w:rsid w:val="00616C58"/>
    <w:rsid w:val="00617B34"/>
    <w:rsid w:val="00620424"/>
    <w:rsid w:val="006223A4"/>
    <w:rsid w:val="00624B04"/>
    <w:rsid w:val="00625166"/>
    <w:rsid w:val="00625AA7"/>
    <w:rsid w:val="006314EA"/>
    <w:rsid w:val="00631808"/>
    <w:rsid w:val="006336F3"/>
    <w:rsid w:val="006343B5"/>
    <w:rsid w:val="00636412"/>
    <w:rsid w:val="006365E9"/>
    <w:rsid w:val="00636DDA"/>
    <w:rsid w:val="006378CA"/>
    <w:rsid w:val="00640CF1"/>
    <w:rsid w:val="00640E35"/>
    <w:rsid w:val="00641841"/>
    <w:rsid w:val="00641C04"/>
    <w:rsid w:val="006429E3"/>
    <w:rsid w:val="00643255"/>
    <w:rsid w:val="00647491"/>
    <w:rsid w:val="006478BB"/>
    <w:rsid w:val="00650017"/>
    <w:rsid w:val="006514FE"/>
    <w:rsid w:val="00654FA2"/>
    <w:rsid w:val="006553BE"/>
    <w:rsid w:val="00660C91"/>
    <w:rsid w:val="006632E8"/>
    <w:rsid w:val="006654BC"/>
    <w:rsid w:val="006667AC"/>
    <w:rsid w:val="006678F2"/>
    <w:rsid w:val="00670506"/>
    <w:rsid w:val="006732A9"/>
    <w:rsid w:val="00673621"/>
    <w:rsid w:val="00673684"/>
    <w:rsid w:val="00673AD8"/>
    <w:rsid w:val="006745B4"/>
    <w:rsid w:val="00674E05"/>
    <w:rsid w:val="00680AA6"/>
    <w:rsid w:val="00680F57"/>
    <w:rsid w:val="00683134"/>
    <w:rsid w:val="006844B6"/>
    <w:rsid w:val="006849F8"/>
    <w:rsid w:val="00686194"/>
    <w:rsid w:val="00687C84"/>
    <w:rsid w:val="00690BCC"/>
    <w:rsid w:val="00691917"/>
    <w:rsid w:val="00691A81"/>
    <w:rsid w:val="00691D5F"/>
    <w:rsid w:val="00692517"/>
    <w:rsid w:val="00692AF5"/>
    <w:rsid w:val="006936A9"/>
    <w:rsid w:val="00694ACB"/>
    <w:rsid w:val="006A0F03"/>
    <w:rsid w:val="006A1776"/>
    <w:rsid w:val="006A1B5E"/>
    <w:rsid w:val="006A4324"/>
    <w:rsid w:val="006A5F0C"/>
    <w:rsid w:val="006A6DCF"/>
    <w:rsid w:val="006B0BE6"/>
    <w:rsid w:val="006B3996"/>
    <w:rsid w:val="006B7462"/>
    <w:rsid w:val="006B77BF"/>
    <w:rsid w:val="006C1604"/>
    <w:rsid w:val="006C2575"/>
    <w:rsid w:val="006C2815"/>
    <w:rsid w:val="006C37BE"/>
    <w:rsid w:val="006C4429"/>
    <w:rsid w:val="006C6C2D"/>
    <w:rsid w:val="006C6C52"/>
    <w:rsid w:val="006C6DB0"/>
    <w:rsid w:val="006C7C7B"/>
    <w:rsid w:val="006C7D9D"/>
    <w:rsid w:val="006D03ED"/>
    <w:rsid w:val="006D13B7"/>
    <w:rsid w:val="006D36E5"/>
    <w:rsid w:val="006D46B6"/>
    <w:rsid w:val="006D4DE9"/>
    <w:rsid w:val="006D5E03"/>
    <w:rsid w:val="006D64F6"/>
    <w:rsid w:val="006D79B7"/>
    <w:rsid w:val="006D7D82"/>
    <w:rsid w:val="006E0F94"/>
    <w:rsid w:val="006E1072"/>
    <w:rsid w:val="006E11CE"/>
    <w:rsid w:val="006E11DF"/>
    <w:rsid w:val="006E169B"/>
    <w:rsid w:val="006E3893"/>
    <w:rsid w:val="006E7B99"/>
    <w:rsid w:val="006E7CDB"/>
    <w:rsid w:val="006F14FB"/>
    <w:rsid w:val="006F1A90"/>
    <w:rsid w:val="006F3BA2"/>
    <w:rsid w:val="006F45B1"/>
    <w:rsid w:val="006F6375"/>
    <w:rsid w:val="006F7715"/>
    <w:rsid w:val="00700542"/>
    <w:rsid w:val="0070176F"/>
    <w:rsid w:val="007018A5"/>
    <w:rsid w:val="0070250D"/>
    <w:rsid w:val="00702C78"/>
    <w:rsid w:val="007032B6"/>
    <w:rsid w:val="00703667"/>
    <w:rsid w:val="007041ED"/>
    <w:rsid w:val="007055AC"/>
    <w:rsid w:val="00705DAA"/>
    <w:rsid w:val="007061A1"/>
    <w:rsid w:val="00706D42"/>
    <w:rsid w:val="0071158C"/>
    <w:rsid w:val="0071160C"/>
    <w:rsid w:val="00711D2F"/>
    <w:rsid w:val="007126D1"/>
    <w:rsid w:val="00712D5E"/>
    <w:rsid w:val="007137D5"/>
    <w:rsid w:val="007138C1"/>
    <w:rsid w:val="00717955"/>
    <w:rsid w:val="0072623D"/>
    <w:rsid w:val="0073062A"/>
    <w:rsid w:val="00732036"/>
    <w:rsid w:val="0073318E"/>
    <w:rsid w:val="00733862"/>
    <w:rsid w:val="00734AE9"/>
    <w:rsid w:val="00736FAE"/>
    <w:rsid w:val="0073713D"/>
    <w:rsid w:val="007400E2"/>
    <w:rsid w:val="007411C6"/>
    <w:rsid w:val="007450F9"/>
    <w:rsid w:val="007477E6"/>
    <w:rsid w:val="007502A6"/>
    <w:rsid w:val="00750948"/>
    <w:rsid w:val="00750B9B"/>
    <w:rsid w:val="00751187"/>
    <w:rsid w:val="007517BF"/>
    <w:rsid w:val="00751AC1"/>
    <w:rsid w:val="0075405B"/>
    <w:rsid w:val="00757988"/>
    <w:rsid w:val="00757B70"/>
    <w:rsid w:val="007600D1"/>
    <w:rsid w:val="00760FE7"/>
    <w:rsid w:val="007611FB"/>
    <w:rsid w:val="00761FAB"/>
    <w:rsid w:val="00762F27"/>
    <w:rsid w:val="00763769"/>
    <w:rsid w:val="00763E92"/>
    <w:rsid w:val="007650A7"/>
    <w:rsid w:val="00765784"/>
    <w:rsid w:val="00765AA4"/>
    <w:rsid w:val="00766B5A"/>
    <w:rsid w:val="00766E34"/>
    <w:rsid w:val="00766FDD"/>
    <w:rsid w:val="0076736D"/>
    <w:rsid w:val="007679A0"/>
    <w:rsid w:val="00770000"/>
    <w:rsid w:val="007703C8"/>
    <w:rsid w:val="00770578"/>
    <w:rsid w:val="007708AB"/>
    <w:rsid w:val="00770DA4"/>
    <w:rsid w:val="00770DBF"/>
    <w:rsid w:val="00772415"/>
    <w:rsid w:val="007734A5"/>
    <w:rsid w:val="007749AC"/>
    <w:rsid w:val="00774EAC"/>
    <w:rsid w:val="00775993"/>
    <w:rsid w:val="00775BD0"/>
    <w:rsid w:val="00775D27"/>
    <w:rsid w:val="00775D6B"/>
    <w:rsid w:val="007771F3"/>
    <w:rsid w:val="00777CF3"/>
    <w:rsid w:val="007804ED"/>
    <w:rsid w:val="007820AC"/>
    <w:rsid w:val="00782C7A"/>
    <w:rsid w:val="0078449D"/>
    <w:rsid w:val="00785C32"/>
    <w:rsid w:val="00787C84"/>
    <w:rsid w:val="00793AA7"/>
    <w:rsid w:val="0079408F"/>
    <w:rsid w:val="00794C81"/>
    <w:rsid w:val="0079683B"/>
    <w:rsid w:val="007A1F10"/>
    <w:rsid w:val="007A21DB"/>
    <w:rsid w:val="007A369B"/>
    <w:rsid w:val="007A7136"/>
    <w:rsid w:val="007A72E4"/>
    <w:rsid w:val="007A76E8"/>
    <w:rsid w:val="007A7CAC"/>
    <w:rsid w:val="007B046A"/>
    <w:rsid w:val="007B04BC"/>
    <w:rsid w:val="007B0B94"/>
    <w:rsid w:val="007B0ECA"/>
    <w:rsid w:val="007B115C"/>
    <w:rsid w:val="007B3542"/>
    <w:rsid w:val="007B5CF8"/>
    <w:rsid w:val="007B6416"/>
    <w:rsid w:val="007B7B37"/>
    <w:rsid w:val="007C0943"/>
    <w:rsid w:val="007C101E"/>
    <w:rsid w:val="007C1311"/>
    <w:rsid w:val="007C170A"/>
    <w:rsid w:val="007C1DBE"/>
    <w:rsid w:val="007C2E15"/>
    <w:rsid w:val="007C4ECC"/>
    <w:rsid w:val="007C612F"/>
    <w:rsid w:val="007C62B3"/>
    <w:rsid w:val="007C7ECA"/>
    <w:rsid w:val="007C7FF0"/>
    <w:rsid w:val="007D210E"/>
    <w:rsid w:val="007D488C"/>
    <w:rsid w:val="007D5379"/>
    <w:rsid w:val="007D63D1"/>
    <w:rsid w:val="007D7ACA"/>
    <w:rsid w:val="007E4217"/>
    <w:rsid w:val="007E6D72"/>
    <w:rsid w:val="007E73CD"/>
    <w:rsid w:val="007F2A00"/>
    <w:rsid w:val="007F5582"/>
    <w:rsid w:val="007F6181"/>
    <w:rsid w:val="007F6C18"/>
    <w:rsid w:val="007F6FEE"/>
    <w:rsid w:val="007F7980"/>
    <w:rsid w:val="007F7BAB"/>
    <w:rsid w:val="00800117"/>
    <w:rsid w:val="0080061E"/>
    <w:rsid w:val="00800C10"/>
    <w:rsid w:val="008020CB"/>
    <w:rsid w:val="00802237"/>
    <w:rsid w:val="00802508"/>
    <w:rsid w:val="00802775"/>
    <w:rsid w:val="00802FDA"/>
    <w:rsid w:val="00804216"/>
    <w:rsid w:val="00804632"/>
    <w:rsid w:val="00804B9A"/>
    <w:rsid w:val="00804C22"/>
    <w:rsid w:val="00804D22"/>
    <w:rsid w:val="00807631"/>
    <w:rsid w:val="008077B3"/>
    <w:rsid w:val="0081012C"/>
    <w:rsid w:val="00810B3F"/>
    <w:rsid w:val="0081339B"/>
    <w:rsid w:val="00813C83"/>
    <w:rsid w:val="00815C53"/>
    <w:rsid w:val="008168FD"/>
    <w:rsid w:val="00817F63"/>
    <w:rsid w:val="0082029B"/>
    <w:rsid w:val="00820906"/>
    <w:rsid w:val="00821661"/>
    <w:rsid w:val="00821713"/>
    <w:rsid w:val="00823EDD"/>
    <w:rsid w:val="00831D77"/>
    <w:rsid w:val="00832E4D"/>
    <w:rsid w:val="00835215"/>
    <w:rsid w:val="00837CE7"/>
    <w:rsid w:val="00837DBA"/>
    <w:rsid w:val="00840FC4"/>
    <w:rsid w:val="00841928"/>
    <w:rsid w:val="00843902"/>
    <w:rsid w:val="00843F59"/>
    <w:rsid w:val="0084452C"/>
    <w:rsid w:val="0084710E"/>
    <w:rsid w:val="00847649"/>
    <w:rsid w:val="00850F50"/>
    <w:rsid w:val="00852047"/>
    <w:rsid w:val="008532B9"/>
    <w:rsid w:val="00856031"/>
    <w:rsid w:val="00856A2B"/>
    <w:rsid w:val="0085757D"/>
    <w:rsid w:val="00860056"/>
    <w:rsid w:val="0086165B"/>
    <w:rsid w:val="00861936"/>
    <w:rsid w:val="00862C4D"/>
    <w:rsid w:val="008631E9"/>
    <w:rsid w:val="00863205"/>
    <w:rsid w:val="00863375"/>
    <w:rsid w:val="00863CBF"/>
    <w:rsid w:val="00863D08"/>
    <w:rsid w:val="008725AE"/>
    <w:rsid w:val="008747E5"/>
    <w:rsid w:val="00874A52"/>
    <w:rsid w:val="00877092"/>
    <w:rsid w:val="00880788"/>
    <w:rsid w:val="00881D9B"/>
    <w:rsid w:val="00881E49"/>
    <w:rsid w:val="008832A4"/>
    <w:rsid w:val="00883AAF"/>
    <w:rsid w:val="0088428E"/>
    <w:rsid w:val="00885F3E"/>
    <w:rsid w:val="00892FB6"/>
    <w:rsid w:val="008930F0"/>
    <w:rsid w:val="008942A5"/>
    <w:rsid w:val="00894AD3"/>
    <w:rsid w:val="00894F15"/>
    <w:rsid w:val="00895C40"/>
    <w:rsid w:val="00896224"/>
    <w:rsid w:val="00896BFA"/>
    <w:rsid w:val="00897166"/>
    <w:rsid w:val="00897DDD"/>
    <w:rsid w:val="008A101F"/>
    <w:rsid w:val="008A1227"/>
    <w:rsid w:val="008A2F36"/>
    <w:rsid w:val="008A3161"/>
    <w:rsid w:val="008A344B"/>
    <w:rsid w:val="008A4ABF"/>
    <w:rsid w:val="008A5D17"/>
    <w:rsid w:val="008B0EA6"/>
    <w:rsid w:val="008B163B"/>
    <w:rsid w:val="008B23BB"/>
    <w:rsid w:val="008B2A52"/>
    <w:rsid w:val="008B2FB9"/>
    <w:rsid w:val="008B4FD1"/>
    <w:rsid w:val="008B5FF1"/>
    <w:rsid w:val="008B6A2F"/>
    <w:rsid w:val="008B7847"/>
    <w:rsid w:val="008C105C"/>
    <w:rsid w:val="008C151F"/>
    <w:rsid w:val="008C15BE"/>
    <w:rsid w:val="008C259C"/>
    <w:rsid w:val="008C2BE2"/>
    <w:rsid w:val="008C3D02"/>
    <w:rsid w:val="008C4E45"/>
    <w:rsid w:val="008C73CD"/>
    <w:rsid w:val="008D00BA"/>
    <w:rsid w:val="008D0409"/>
    <w:rsid w:val="008D1DB2"/>
    <w:rsid w:val="008D520E"/>
    <w:rsid w:val="008D5A0F"/>
    <w:rsid w:val="008D6874"/>
    <w:rsid w:val="008D72B2"/>
    <w:rsid w:val="008D72ED"/>
    <w:rsid w:val="008D7BDC"/>
    <w:rsid w:val="008E085A"/>
    <w:rsid w:val="008E3BAC"/>
    <w:rsid w:val="008E41EB"/>
    <w:rsid w:val="008E5512"/>
    <w:rsid w:val="008E55E5"/>
    <w:rsid w:val="008E5EA0"/>
    <w:rsid w:val="008E72DC"/>
    <w:rsid w:val="008F031E"/>
    <w:rsid w:val="008F14E6"/>
    <w:rsid w:val="008F17D3"/>
    <w:rsid w:val="008F28BD"/>
    <w:rsid w:val="008F4183"/>
    <w:rsid w:val="008F5DB6"/>
    <w:rsid w:val="008F6BC1"/>
    <w:rsid w:val="0090047B"/>
    <w:rsid w:val="00902F83"/>
    <w:rsid w:val="0090339E"/>
    <w:rsid w:val="009051CF"/>
    <w:rsid w:val="00905B24"/>
    <w:rsid w:val="00907491"/>
    <w:rsid w:val="00907607"/>
    <w:rsid w:val="00907E46"/>
    <w:rsid w:val="00911C10"/>
    <w:rsid w:val="009120EF"/>
    <w:rsid w:val="00912A14"/>
    <w:rsid w:val="00912B9F"/>
    <w:rsid w:val="00915190"/>
    <w:rsid w:val="00916400"/>
    <w:rsid w:val="00917A4E"/>
    <w:rsid w:val="00920952"/>
    <w:rsid w:val="00920BE1"/>
    <w:rsid w:val="0092139A"/>
    <w:rsid w:val="009233A8"/>
    <w:rsid w:val="00925E2B"/>
    <w:rsid w:val="00926798"/>
    <w:rsid w:val="00927EC4"/>
    <w:rsid w:val="009313DC"/>
    <w:rsid w:val="00931501"/>
    <w:rsid w:val="00932485"/>
    <w:rsid w:val="00932DAF"/>
    <w:rsid w:val="00935305"/>
    <w:rsid w:val="00935610"/>
    <w:rsid w:val="00935997"/>
    <w:rsid w:val="00935FE7"/>
    <w:rsid w:val="0093733A"/>
    <w:rsid w:val="0093789A"/>
    <w:rsid w:val="00937B03"/>
    <w:rsid w:val="00943B6D"/>
    <w:rsid w:val="00944C93"/>
    <w:rsid w:val="00944CF5"/>
    <w:rsid w:val="00944DD2"/>
    <w:rsid w:val="00945286"/>
    <w:rsid w:val="009475DC"/>
    <w:rsid w:val="009479E3"/>
    <w:rsid w:val="00951B11"/>
    <w:rsid w:val="0095440D"/>
    <w:rsid w:val="0095486F"/>
    <w:rsid w:val="00955E1E"/>
    <w:rsid w:val="00956570"/>
    <w:rsid w:val="00960D44"/>
    <w:rsid w:val="00961CF4"/>
    <w:rsid w:val="009623C8"/>
    <w:rsid w:val="00962DF8"/>
    <w:rsid w:val="00965421"/>
    <w:rsid w:val="00967D90"/>
    <w:rsid w:val="00970CB5"/>
    <w:rsid w:val="00970DD8"/>
    <w:rsid w:val="00971E74"/>
    <w:rsid w:val="009724DD"/>
    <w:rsid w:val="009729AF"/>
    <w:rsid w:val="00976AF0"/>
    <w:rsid w:val="00976BD9"/>
    <w:rsid w:val="00977026"/>
    <w:rsid w:val="009772D3"/>
    <w:rsid w:val="00977736"/>
    <w:rsid w:val="00980331"/>
    <w:rsid w:val="009821FA"/>
    <w:rsid w:val="00983AAA"/>
    <w:rsid w:val="009844E5"/>
    <w:rsid w:val="009858AC"/>
    <w:rsid w:val="0098599D"/>
    <w:rsid w:val="00986136"/>
    <w:rsid w:val="009901BB"/>
    <w:rsid w:val="0099152F"/>
    <w:rsid w:val="00991804"/>
    <w:rsid w:val="0099260A"/>
    <w:rsid w:val="00994706"/>
    <w:rsid w:val="009950C9"/>
    <w:rsid w:val="00995D74"/>
    <w:rsid w:val="00997BA4"/>
    <w:rsid w:val="009A03C0"/>
    <w:rsid w:val="009A045F"/>
    <w:rsid w:val="009A156C"/>
    <w:rsid w:val="009A453D"/>
    <w:rsid w:val="009B03E6"/>
    <w:rsid w:val="009B1EBF"/>
    <w:rsid w:val="009B2B16"/>
    <w:rsid w:val="009B2C1B"/>
    <w:rsid w:val="009B2D3A"/>
    <w:rsid w:val="009B3FFA"/>
    <w:rsid w:val="009B47ED"/>
    <w:rsid w:val="009B4AB2"/>
    <w:rsid w:val="009B4DD6"/>
    <w:rsid w:val="009B60EC"/>
    <w:rsid w:val="009B7167"/>
    <w:rsid w:val="009C1C7E"/>
    <w:rsid w:val="009C2133"/>
    <w:rsid w:val="009C2C81"/>
    <w:rsid w:val="009C4F0D"/>
    <w:rsid w:val="009C776C"/>
    <w:rsid w:val="009C785D"/>
    <w:rsid w:val="009D0482"/>
    <w:rsid w:val="009D1226"/>
    <w:rsid w:val="009D3F2D"/>
    <w:rsid w:val="009D4141"/>
    <w:rsid w:val="009D42CE"/>
    <w:rsid w:val="009D4B6F"/>
    <w:rsid w:val="009D5718"/>
    <w:rsid w:val="009D57F2"/>
    <w:rsid w:val="009D67C2"/>
    <w:rsid w:val="009D7C9D"/>
    <w:rsid w:val="009E069D"/>
    <w:rsid w:val="009E1C9F"/>
    <w:rsid w:val="009E39AB"/>
    <w:rsid w:val="009E3C8A"/>
    <w:rsid w:val="009E4853"/>
    <w:rsid w:val="009E78A8"/>
    <w:rsid w:val="009F32CA"/>
    <w:rsid w:val="009F3DF3"/>
    <w:rsid w:val="009F476E"/>
    <w:rsid w:val="009F7887"/>
    <w:rsid w:val="009F7AF9"/>
    <w:rsid w:val="00A01B62"/>
    <w:rsid w:val="00A0239C"/>
    <w:rsid w:val="00A027B7"/>
    <w:rsid w:val="00A02D32"/>
    <w:rsid w:val="00A03F2D"/>
    <w:rsid w:val="00A07373"/>
    <w:rsid w:val="00A10B78"/>
    <w:rsid w:val="00A1175C"/>
    <w:rsid w:val="00A1298C"/>
    <w:rsid w:val="00A12CCA"/>
    <w:rsid w:val="00A1546B"/>
    <w:rsid w:val="00A20417"/>
    <w:rsid w:val="00A20D22"/>
    <w:rsid w:val="00A21D77"/>
    <w:rsid w:val="00A22758"/>
    <w:rsid w:val="00A22AEC"/>
    <w:rsid w:val="00A22C3C"/>
    <w:rsid w:val="00A237DD"/>
    <w:rsid w:val="00A23E53"/>
    <w:rsid w:val="00A251D9"/>
    <w:rsid w:val="00A257A7"/>
    <w:rsid w:val="00A26473"/>
    <w:rsid w:val="00A2653A"/>
    <w:rsid w:val="00A26F72"/>
    <w:rsid w:val="00A27F7A"/>
    <w:rsid w:val="00A30D03"/>
    <w:rsid w:val="00A31EA9"/>
    <w:rsid w:val="00A324A6"/>
    <w:rsid w:val="00A32DBA"/>
    <w:rsid w:val="00A34469"/>
    <w:rsid w:val="00A35139"/>
    <w:rsid w:val="00A36676"/>
    <w:rsid w:val="00A37A56"/>
    <w:rsid w:val="00A40C1E"/>
    <w:rsid w:val="00A411EC"/>
    <w:rsid w:val="00A41674"/>
    <w:rsid w:val="00A421E4"/>
    <w:rsid w:val="00A4343D"/>
    <w:rsid w:val="00A43C77"/>
    <w:rsid w:val="00A459C8"/>
    <w:rsid w:val="00A45FF0"/>
    <w:rsid w:val="00A46FCB"/>
    <w:rsid w:val="00A50053"/>
    <w:rsid w:val="00A51E88"/>
    <w:rsid w:val="00A5200F"/>
    <w:rsid w:val="00A52A6D"/>
    <w:rsid w:val="00A53BCB"/>
    <w:rsid w:val="00A5417D"/>
    <w:rsid w:val="00A556C7"/>
    <w:rsid w:val="00A56B79"/>
    <w:rsid w:val="00A56C31"/>
    <w:rsid w:val="00A60994"/>
    <w:rsid w:val="00A61AEB"/>
    <w:rsid w:val="00A61CBD"/>
    <w:rsid w:val="00A61F3A"/>
    <w:rsid w:val="00A63062"/>
    <w:rsid w:val="00A63914"/>
    <w:rsid w:val="00A63D5E"/>
    <w:rsid w:val="00A64CBA"/>
    <w:rsid w:val="00A664D8"/>
    <w:rsid w:val="00A66893"/>
    <w:rsid w:val="00A66A80"/>
    <w:rsid w:val="00A67403"/>
    <w:rsid w:val="00A707D5"/>
    <w:rsid w:val="00A714BD"/>
    <w:rsid w:val="00A715C9"/>
    <w:rsid w:val="00A716B4"/>
    <w:rsid w:val="00A732B5"/>
    <w:rsid w:val="00A74111"/>
    <w:rsid w:val="00A75BA7"/>
    <w:rsid w:val="00A760E5"/>
    <w:rsid w:val="00A7769E"/>
    <w:rsid w:val="00A81375"/>
    <w:rsid w:val="00A8297D"/>
    <w:rsid w:val="00A82C6F"/>
    <w:rsid w:val="00A833E5"/>
    <w:rsid w:val="00A8445B"/>
    <w:rsid w:val="00A86F4D"/>
    <w:rsid w:val="00A87699"/>
    <w:rsid w:val="00A905DF"/>
    <w:rsid w:val="00A913F6"/>
    <w:rsid w:val="00A915C1"/>
    <w:rsid w:val="00A92753"/>
    <w:rsid w:val="00AA0007"/>
    <w:rsid w:val="00AA0288"/>
    <w:rsid w:val="00AA0A75"/>
    <w:rsid w:val="00AA0C7E"/>
    <w:rsid w:val="00AA2135"/>
    <w:rsid w:val="00AA2961"/>
    <w:rsid w:val="00AA2D38"/>
    <w:rsid w:val="00AA3669"/>
    <w:rsid w:val="00AA63A0"/>
    <w:rsid w:val="00AA6998"/>
    <w:rsid w:val="00AB2CA4"/>
    <w:rsid w:val="00AB31E7"/>
    <w:rsid w:val="00AB491C"/>
    <w:rsid w:val="00AB4D3F"/>
    <w:rsid w:val="00AB5550"/>
    <w:rsid w:val="00AB6D9E"/>
    <w:rsid w:val="00AB7245"/>
    <w:rsid w:val="00AC0172"/>
    <w:rsid w:val="00AC0C1F"/>
    <w:rsid w:val="00AC539F"/>
    <w:rsid w:val="00AC6AD2"/>
    <w:rsid w:val="00AD28DF"/>
    <w:rsid w:val="00AD318B"/>
    <w:rsid w:val="00AD4456"/>
    <w:rsid w:val="00AD5F6C"/>
    <w:rsid w:val="00AD60D4"/>
    <w:rsid w:val="00AD7783"/>
    <w:rsid w:val="00AD7F28"/>
    <w:rsid w:val="00AE0A50"/>
    <w:rsid w:val="00AE2C5B"/>
    <w:rsid w:val="00AE2EBC"/>
    <w:rsid w:val="00AE3C65"/>
    <w:rsid w:val="00AE445B"/>
    <w:rsid w:val="00AE7042"/>
    <w:rsid w:val="00AE731B"/>
    <w:rsid w:val="00AE73BA"/>
    <w:rsid w:val="00AF31BD"/>
    <w:rsid w:val="00AF3ABD"/>
    <w:rsid w:val="00AF506C"/>
    <w:rsid w:val="00AF6767"/>
    <w:rsid w:val="00AF7F61"/>
    <w:rsid w:val="00B02446"/>
    <w:rsid w:val="00B02B50"/>
    <w:rsid w:val="00B03466"/>
    <w:rsid w:val="00B0431B"/>
    <w:rsid w:val="00B044DD"/>
    <w:rsid w:val="00B04EF5"/>
    <w:rsid w:val="00B106B8"/>
    <w:rsid w:val="00B1110D"/>
    <w:rsid w:val="00B11DBE"/>
    <w:rsid w:val="00B130AF"/>
    <w:rsid w:val="00B142BB"/>
    <w:rsid w:val="00B14D3A"/>
    <w:rsid w:val="00B14ED0"/>
    <w:rsid w:val="00B14FFC"/>
    <w:rsid w:val="00B16AC7"/>
    <w:rsid w:val="00B2422C"/>
    <w:rsid w:val="00B24680"/>
    <w:rsid w:val="00B24DB8"/>
    <w:rsid w:val="00B24EEF"/>
    <w:rsid w:val="00B256B7"/>
    <w:rsid w:val="00B32115"/>
    <w:rsid w:val="00B3255D"/>
    <w:rsid w:val="00B32EBC"/>
    <w:rsid w:val="00B3312B"/>
    <w:rsid w:val="00B33A97"/>
    <w:rsid w:val="00B34D63"/>
    <w:rsid w:val="00B40504"/>
    <w:rsid w:val="00B41287"/>
    <w:rsid w:val="00B42F38"/>
    <w:rsid w:val="00B432BE"/>
    <w:rsid w:val="00B436B7"/>
    <w:rsid w:val="00B445A4"/>
    <w:rsid w:val="00B44EFB"/>
    <w:rsid w:val="00B45165"/>
    <w:rsid w:val="00B45DEF"/>
    <w:rsid w:val="00B467AA"/>
    <w:rsid w:val="00B47656"/>
    <w:rsid w:val="00B47B11"/>
    <w:rsid w:val="00B5048A"/>
    <w:rsid w:val="00B50A35"/>
    <w:rsid w:val="00B5112C"/>
    <w:rsid w:val="00B51196"/>
    <w:rsid w:val="00B51987"/>
    <w:rsid w:val="00B51B40"/>
    <w:rsid w:val="00B526F0"/>
    <w:rsid w:val="00B529F8"/>
    <w:rsid w:val="00B52E58"/>
    <w:rsid w:val="00B53B35"/>
    <w:rsid w:val="00B53D05"/>
    <w:rsid w:val="00B543D0"/>
    <w:rsid w:val="00B57DEE"/>
    <w:rsid w:val="00B61584"/>
    <w:rsid w:val="00B6217B"/>
    <w:rsid w:val="00B63B78"/>
    <w:rsid w:val="00B63FCE"/>
    <w:rsid w:val="00B6447B"/>
    <w:rsid w:val="00B658C9"/>
    <w:rsid w:val="00B66088"/>
    <w:rsid w:val="00B67461"/>
    <w:rsid w:val="00B677FE"/>
    <w:rsid w:val="00B71040"/>
    <w:rsid w:val="00B71610"/>
    <w:rsid w:val="00B7360E"/>
    <w:rsid w:val="00B74219"/>
    <w:rsid w:val="00B808EE"/>
    <w:rsid w:val="00B82211"/>
    <w:rsid w:val="00B83FE5"/>
    <w:rsid w:val="00B91138"/>
    <w:rsid w:val="00B94A26"/>
    <w:rsid w:val="00B95474"/>
    <w:rsid w:val="00B96B8B"/>
    <w:rsid w:val="00B974CF"/>
    <w:rsid w:val="00BA00DF"/>
    <w:rsid w:val="00BA01C3"/>
    <w:rsid w:val="00BA0A1B"/>
    <w:rsid w:val="00BA189C"/>
    <w:rsid w:val="00BA21C3"/>
    <w:rsid w:val="00BA2BF0"/>
    <w:rsid w:val="00BA3EDA"/>
    <w:rsid w:val="00BA4B9B"/>
    <w:rsid w:val="00BA572B"/>
    <w:rsid w:val="00BA5EDE"/>
    <w:rsid w:val="00BA6931"/>
    <w:rsid w:val="00BA6CAF"/>
    <w:rsid w:val="00BB0BF0"/>
    <w:rsid w:val="00BB0E0B"/>
    <w:rsid w:val="00BB1360"/>
    <w:rsid w:val="00BB13C5"/>
    <w:rsid w:val="00BB1ADC"/>
    <w:rsid w:val="00BB22CE"/>
    <w:rsid w:val="00BB4772"/>
    <w:rsid w:val="00BB49A2"/>
    <w:rsid w:val="00BB4AB0"/>
    <w:rsid w:val="00BB557D"/>
    <w:rsid w:val="00BB60DE"/>
    <w:rsid w:val="00BB6E31"/>
    <w:rsid w:val="00BB7183"/>
    <w:rsid w:val="00BC0946"/>
    <w:rsid w:val="00BC0EA2"/>
    <w:rsid w:val="00BC271D"/>
    <w:rsid w:val="00BC3866"/>
    <w:rsid w:val="00BC53EC"/>
    <w:rsid w:val="00BC6638"/>
    <w:rsid w:val="00BC668C"/>
    <w:rsid w:val="00BD49BE"/>
    <w:rsid w:val="00BD5148"/>
    <w:rsid w:val="00BD6099"/>
    <w:rsid w:val="00BD655B"/>
    <w:rsid w:val="00BE0A63"/>
    <w:rsid w:val="00BE1D6C"/>
    <w:rsid w:val="00BE2B91"/>
    <w:rsid w:val="00BE3BF6"/>
    <w:rsid w:val="00BE4337"/>
    <w:rsid w:val="00BE5E71"/>
    <w:rsid w:val="00BE7F52"/>
    <w:rsid w:val="00BF1B1A"/>
    <w:rsid w:val="00BF20EE"/>
    <w:rsid w:val="00BF7A34"/>
    <w:rsid w:val="00BF7DA2"/>
    <w:rsid w:val="00C00078"/>
    <w:rsid w:val="00C01D31"/>
    <w:rsid w:val="00C03BF2"/>
    <w:rsid w:val="00C04239"/>
    <w:rsid w:val="00C05090"/>
    <w:rsid w:val="00C06F43"/>
    <w:rsid w:val="00C11338"/>
    <w:rsid w:val="00C11806"/>
    <w:rsid w:val="00C11F1B"/>
    <w:rsid w:val="00C1268F"/>
    <w:rsid w:val="00C13E98"/>
    <w:rsid w:val="00C13FA0"/>
    <w:rsid w:val="00C1703E"/>
    <w:rsid w:val="00C212B3"/>
    <w:rsid w:val="00C2209D"/>
    <w:rsid w:val="00C2279B"/>
    <w:rsid w:val="00C24017"/>
    <w:rsid w:val="00C25FE4"/>
    <w:rsid w:val="00C270DC"/>
    <w:rsid w:val="00C3080F"/>
    <w:rsid w:val="00C30A5E"/>
    <w:rsid w:val="00C31D22"/>
    <w:rsid w:val="00C31F19"/>
    <w:rsid w:val="00C3365E"/>
    <w:rsid w:val="00C3580C"/>
    <w:rsid w:val="00C36E97"/>
    <w:rsid w:val="00C402C6"/>
    <w:rsid w:val="00C40B29"/>
    <w:rsid w:val="00C413C1"/>
    <w:rsid w:val="00C47713"/>
    <w:rsid w:val="00C50D82"/>
    <w:rsid w:val="00C51198"/>
    <w:rsid w:val="00C55511"/>
    <w:rsid w:val="00C56CCC"/>
    <w:rsid w:val="00C611A7"/>
    <w:rsid w:val="00C618F9"/>
    <w:rsid w:val="00C625E0"/>
    <w:rsid w:val="00C63B21"/>
    <w:rsid w:val="00C644EC"/>
    <w:rsid w:val="00C6499D"/>
    <w:rsid w:val="00C65BC9"/>
    <w:rsid w:val="00C67CEF"/>
    <w:rsid w:val="00C701FC"/>
    <w:rsid w:val="00C70BC2"/>
    <w:rsid w:val="00C72BA5"/>
    <w:rsid w:val="00C72D82"/>
    <w:rsid w:val="00C733B6"/>
    <w:rsid w:val="00C73A06"/>
    <w:rsid w:val="00C74C2F"/>
    <w:rsid w:val="00C74C72"/>
    <w:rsid w:val="00C77AAF"/>
    <w:rsid w:val="00C8088A"/>
    <w:rsid w:val="00C81222"/>
    <w:rsid w:val="00C82408"/>
    <w:rsid w:val="00C82BC4"/>
    <w:rsid w:val="00C835AF"/>
    <w:rsid w:val="00C86737"/>
    <w:rsid w:val="00C86C40"/>
    <w:rsid w:val="00C87562"/>
    <w:rsid w:val="00C87983"/>
    <w:rsid w:val="00C91D65"/>
    <w:rsid w:val="00C92AD3"/>
    <w:rsid w:val="00C949DA"/>
    <w:rsid w:val="00C95224"/>
    <w:rsid w:val="00C97527"/>
    <w:rsid w:val="00CA0BCA"/>
    <w:rsid w:val="00CA1AB2"/>
    <w:rsid w:val="00CA4180"/>
    <w:rsid w:val="00CA4B9F"/>
    <w:rsid w:val="00CA5D9A"/>
    <w:rsid w:val="00CA6660"/>
    <w:rsid w:val="00CA68D7"/>
    <w:rsid w:val="00CA6E5C"/>
    <w:rsid w:val="00CA72CC"/>
    <w:rsid w:val="00CA7697"/>
    <w:rsid w:val="00CA7BF0"/>
    <w:rsid w:val="00CA7DDE"/>
    <w:rsid w:val="00CB0136"/>
    <w:rsid w:val="00CB0B63"/>
    <w:rsid w:val="00CB1A31"/>
    <w:rsid w:val="00CB3005"/>
    <w:rsid w:val="00CB3347"/>
    <w:rsid w:val="00CB3AD9"/>
    <w:rsid w:val="00CB3E3A"/>
    <w:rsid w:val="00CB4CAC"/>
    <w:rsid w:val="00CB596B"/>
    <w:rsid w:val="00CB5EBA"/>
    <w:rsid w:val="00CB6F2B"/>
    <w:rsid w:val="00CB7218"/>
    <w:rsid w:val="00CC17B2"/>
    <w:rsid w:val="00CC2293"/>
    <w:rsid w:val="00CC2E90"/>
    <w:rsid w:val="00CC35F1"/>
    <w:rsid w:val="00CC43E4"/>
    <w:rsid w:val="00CC5652"/>
    <w:rsid w:val="00CC649D"/>
    <w:rsid w:val="00CC68B5"/>
    <w:rsid w:val="00CD0CBE"/>
    <w:rsid w:val="00CD0EB1"/>
    <w:rsid w:val="00CD106E"/>
    <w:rsid w:val="00CD2DD8"/>
    <w:rsid w:val="00CD3750"/>
    <w:rsid w:val="00CD465F"/>
    <w:rsid w:val="00CD5AC2"/>
    <w:rsid w:val="00CD643F"/>
    <w:rsid w:val="00CD6C4E"/>
    <w:rsid w:val="00CD7390"/>
    <w:rsid w:val="00CE00CF"/>
    <w:rsid w:val="00CE05F2"/>
    <w:rsid w:val="00CE14A7"/>
    <w:rsid w:val="00CE25D8"/>
    <w:rsid w:val="00CE444F"/>
    <w:rsid w:val="00CE67DE"/>
    <w:rsid w:val="00CF03EF"/>
    <w:rsid w:val="00CF0C9D"/>
    <w:rsid w:val="00CF15B9"/>
    <w:rsid w:val="00CF1C9D"/>
    <w:rsid w:val="00CF2880"/>
    <w:rsid w:val="00CF38F2"/>
    <w:rsid w:val="00CF5A45"/>
    <w:rsid w:val="00CF6C01"/>
    <w:rsid w:val="00CF74A7"/>
    <w:rsid w:val="00D01C64"/>
    <w:rsid w:val="00D02961"/>
    <w:rsid w:val="00D02B6F"/>
    <w:rsid w:val="00D03729"/>
    <w:rsid w:val="00D03BB7"/>
    <w:rsid w:val="00D05A75"/>
    <w:rsid w:val="00D06060"/>
    <w:rsid w:val="00D07F6D"/>
    <w:rsid w:val="00D07FE3"/>
    <w:rsid w:val="00D11D0A"/>
    <w:rsid w:val="00D123E3"/>
    <w:rsid w:val="00D14107"/>
    <w:rsid w:val="00D14E95"/>
    <w:rsid w:val="00D16FE4"/>
    <w:rsid w:val="00D2064C"/>
    <w:rsid w:val="00D208EB"/>
    <w:rsid w:val="00D21B75"/>
    <w:rsid w:val="00D24A29"/>
    <w:rsid w:val="00D25832"/>
    <w:rsid w:val="00D27923"/>
    <w:rsid w:val="00D27E75"/>
    <w:rsid w:val="00D30E52"/>
    <w:rsid w:val="00D3310F"/>
    <w:rsid w:val="00D353D7"/>
    <w:rsid w:val="00D4018E"/>
    <w:rsid w:val="00D4043D"/>
    <w:rsid w:val="00D4104C"/>
    <w:rsid w:val="00D41D6C"/>
    <w:rsid w:val="00D42C78"/>
    <w:rsid w:val="00D43D05"/>
    <w:rsid w:val="00D44127"/>
    <w:rsid w:val="00D448BA"/>
    <w:rsid w:val="00D451DA"/>
    <w:rsid w:val="00D47B7A"/>
    <w:rsid w:val="00D504A9"/>
    <w:rsid w:val="00D51362"/>
    <w:rsid w:val="00D51CCC"/>
    <w:rsid w:val="00D5297E"/>
    <w:rsid w:val="00D5553D"/>
    <w:rsid w:val="00D5557E"/>
    <w:rsid w:val="00D557FC"/>
    <w:rsid w:val="00D56CA2"/>
    <w:rsid w:val="00D56F00"/>
    <w:rsid w:val="00D574DA"/>
    <w:rsid w:val="00D62A5F"/>
    <w:rsid w:val="00D62F87"/>
    <w:rsid w:val="00D63653"/>
    <w:rsid w:val="00D63EF9"/>
    <w:rsid w:val="00D6420A"/>
    <w:rsid w:val="00D67D00"/>
    <w:rsid w:val="00D702CC"/>
    <w:rsid w:val="00D713CD"/>
    <w:rsid w:val="00D71638"/>
    <w:rsid w:val="00D71E76"/>
    <w:rsid w:val="00D72041"/>
    <w:rsid w:val="00D72953"/>
    <w:rsid w:val="00D7457C"/>
    <w:rsid w:val="00D752F3"/>
    <w:rsid w:val="00D778FA"/>
    <w:rsid w:val="00D8070E"/>
    <w:rsid w:val="00D824FA"/>
    <w:rsid w:val="00D82574"/>
    <w:rsid w:val="00D82925"/>
    <w:rsid w:val="00D83F6A"/>
    <w:rsid w:val="00D83FC9"/>
    <w:rsid w:val="00D843FF"/>
    <w:rsid w:val="00D8463F"/>
    <w:rsid w:val="00D91DDF"/>
    <w:rsid w:val="00D92FAF"/>
    <w:rsid w:val="00D93DAA"/>
    <w:rsid w:val="00D9410B"/>
    <w:rsid w:val="00D96EEE"/>
    <w:rsid w:val="00D97BED"/>
    <w:rsid w:val="00DA0E7C"/>
    <w:rsid w:val="00DA1B41"/>
    <w:rsid w:val="00DA2A37"/>
    <w:rsid w:val="00DA6741"/>
    <w:rsid w:val="00DA6907"/>
    <w:rsid w:val="00DA6FA6"/>
    <w:rsid w:val="00DA7691"/>
    <w:rsid w:val="00DB2048"/>
    <w:rsid w:val="00DB3A80"/>
    <w:rsid w:val="00DB4315"/>
    <w:rsid w:val="00DB491C"/>
    <w:rsid w:val="00DB748B"/>
    <w:rsid w:val="00DC15C6"/>
    <w:rsid w:val="00DC73A6"/>
    <w:rsid w:val="00DD273B"/>
    <w:rsid w:val="00DD44B1"/>
    <w:rsid w:val="00DD57D3"/>
    <w:rsid w:val="00DD58EC"/>
    <w:rsid w:val="00DD6DA3"/>
    <w:rsid w:val="00DD700A"/>
    <w:rsid w:val="00DD7766"/>
    <w:rsid w:val="00DE07A3"/>
    <w:rsid w:val="00DE0FB4"/>
    <w:rsid w:val="00DE24ED"/>
    <w:rsid w:val="00DE36D3"/>
    <w:rsid w:val="00DE3A7E"/>
    <w:rsid w:val="00DE3E47"/>
    <w:rsid w:val="00DE4D45"/>
    <w:rsid w:val="00DE55E5"/>
    <w:rsid w:val="00DE563A"/>
    <w:rsid w:val="00DE59E0"/>
    <w:rsid w:val="00DE6FE5"/>
    <w:rsid w:val="00DE7422"/>
    <w:rsid w:val="00DE75EE"/>
    <w:rsid w:val="00DE787A"/>
    <w:rsid w:val="00DE7BBA"/>
    <w:rsid w:val="00DF02A6"/>
    <w:rsid w:val="00DF093D"/>
    <w:rsid w:val="00DF2E5A"/>
    <w:rsid w:val="00DF2E8E"/>
    <w:rsid w:val="00DF52ED"/>
    <w:rsid w:val="00DF597C"/>
    <w:rsid w:val="00DF6519"/>
    <w:rsid w:val="00DF6BA6"/>
    <w:rsid w:val="00E017F5"/>
    <w:rsid w:val="00E01876"/>
    <w:rsid w:val="00E02CDB"/>
    <w:rsid w:val="00E05661"/>
    <w:rsid w:val="00E058F2"/>
    <w:rsid w:val="00E0634B"/>
    <w:rsid w:val="00E079D7"/>
    <w:rsid w:val="00E10A43"/>
    <w:rsid w:val="00E11081"/>
    <w:rsid w:val="00E11AA5"/>
    <w:rsid w:val="00E11F75"/>
    <w:rsid w:val="00E14669"/>
    <w:rsid w:val="00E14718"/>
    <w:rsid w:val="00E14907"/>
    <w:rsid w:val="00E15D27"/>
    <w:rsid w:val="00E162B9"/>
    <w:rsid w:val="00E1702A"/>
    <w:rsid w:val="00E238B5"/>
    <w:rsid w:val="00E25ACF"/>
    <w:rsid w:val="00E25DDD"/>
    <w:rsid w:val="00E26CA7"/>
    <w:rsid w:val="00E277A1"/>
    <w:rsid w:val="00E306C6"/>
    <w:rsid w:val="00E31A2A"/>
    <w:rsid w:val="00E31F37"/>
    <w:rsid w:val="00E33A2D"/>
    <w:rsid w:val="00E344FF"/>
    <w:rsid w:val="00E36237"/>
    <w:rsid w:val="00E3698C"/>
    <w:rsid w:val="00E409FE"/>
    <w:rsid w:val="00E40CD6"/>
    <w:rsid w:val="00E42E61"/>
    <w:rsid w:val="00E42FB3"/>
    <w:rsid w:val="00E438ED"/>
    <w:rsid w:val="00E45B3E"/>
    <w:rsid w:val="00E47410"/>
    <w:rsid w:val="00E501E3"/>
    <w:rsid w:val="00E51362"/>
    <w:rsid w:val="00E51479"/>
    <w:rsid w:val="00E52122"/>
    <w:rsid w:val="00E5295D"/>
    <w:rsid w:val="00E5384E"/>
    <w:rsid w:val="00E540C3"/>
    <w:rsid w:val="00E54E5D"/>
    <w:rsid w:val="00E60065"/>
    <w:rsid w:val="00E614C7"/>
    <w:rsid w:val="00E61CD0"/>
    <w:rsid w:val="00E61ED6"/>
    <w:rsid w:val="00E62A24"/>
    <w:rsid w:val="00E635C8"/>
    <w:rsid w:val="00E66062"/>
    <w:rsid w:val="00E6770F"/>
    <w:rsid w:val="00E708D8"/>
    <w:rsid w:val="00E710F7"/>
    <w:rsid w:val="00E730AB"/>
    <w:rsid w:val="00E73166"/>
    <w:rsid w:val="00E7344C"/>
    <w:rsid w:val="00E73A49"/>
    <w:rsid w:val="00E8036A"/>
    <w:rsid w:val="00E81627"/>
    <w:rsid w:val="00E81637"/>
    <w:rsid w:val="00E8228F"/>
    <w:rsid w:val="00E8297D"/>
    <w:rsid w:val="00E831FC"/>
    <w:rsid w:val="00E91385"/>
    <w:rsid w:val="00E91F03"/>
    <w:rsid w:val="00E92086"/>
    <w:rsid w:val="00E923F1"/>
    <w:rsid w:val="00E94E64"/>
    <w:rsid w:val="00E952A0"/>
    <w:rsid w:val="00E9732D"/>
    <w:rsid w:val="00E976AF"/>
    <w:rsid w:val="00EA1465"/>
    <w:rsid w:val="00EA2E44"/>
    <w:rsid w:val="00EA2F9C"/>
    <w:rsid w:val="00EA3474"/>
    <w:rsid w:val="00EA4AD0"/>
    <w:rsid w:val="00EA65BC"/>
    <w:rsid w:val="00EA748C"/>
    <w:rsid w:val="00EA7DB6"/>
    <w:rsid w:val="00EB01C9"/>
    <w:rsid w:val="00EB04B7"/>
    <w:rsid w:val="00EB239D"/>
    <w:rsid w:val="00EB3AFD"/>
    <w:rsid w:val="00EB5DC7"/>
    <w:rsid w:val="00EB6E27"/>
    <w:rsid w:val="00EC13B0"/>
    <w:rsid w:val="00EC30A8"/>
    <w:rsid w:val="00EC3F55"/>
    <w:rsid w:val="00EC4808"/>
    <w:rsid w:val="00EC5426"/>
    <w:rsid w:val="00EC5F9B"/>
    <w:rsid w:val="00EC7685"/>
    <w:rsid w:val="00EC7D16"/>
    <w:rsid w:val="00ED0366"/>
    <w:rsid w:val="00ED3D08"/>
    <w:rsid w:val="00ED428D"/>
    <w:rsid w:val="00ED4B56"/>
    <w:rsid w:val="00ED4D4A"/>
    <w:rsid w:val="00ED6ACC"/>
    <w:rsid w:val="00ED6D70"/>
    <w:rsid w:val="00EE012E"/>
    <w:rsid w:val="00EE09A7"/>
    <w:rsid w:val="00EE108C"/>
    <w:rsid w:val="00EE1E66"/>
    <w:rsid w:val="00EE49CD"/>
    <w:rsid w:val="00EE5239"/>
    <w:rsid w:val="00EE5A99"/>
    <w:rsid w:val="00EE62B3"/>
    <w:rsid w:val="00EE66BF"/>
    <w:rsid w:val="00EE7852"/>
    <w:rsid w:val="00EF0A02"/>
    <w:rsid w:val="00EF0E3D"/>
    <w:rsid w:val="00EF1289"/>
    <w:rsid w:val="00EF16B1"/>
    <w:rsid w:val="00EF1B55"/>
    <w:rsid w:val="00EF3409"/>
    <w:rsid w:val="00EF3DE7"/>
    <w:rsid w:val="00EF49E2"/>
    <w:rsid w:val="00EF6484"/>
    <w:rsid w:val="00EF6520"/>
    <w:rsid w:val="00EF72D0"/>
    <w:rsid w:val="00F002E6"/>
    <w:rsid w:val="00F004A3"/>
    <w:rsid w:val="00F0286D"/>
    <w:rsid w:val="00F03B32"/>
    <w:rsid w:val="00F04CA2"/>
    <w:rsid w:val="00F061BD"/>
    <w:rsid w:val="00F07420"/>
    <w:rsid w:val="00F10BDD"/>
    <w:rsid w:val="00F11CF3"/>
    <w:rsid w:val="00F16EA2"/>
    <w:rsid w:val="00F17AF4"/>
    <w:rsid w:val="00F17D66"/>
    <w:rsid w:val="00F2036E"/>
    <w:rsid w:val="00F20D28"/>
    <w:rsid w:val="00F2170E"/>
    <w:rsid w:val="00F21BD7"/>
    <w:rsid w:val="00F22D01"/>
    <w:rsid w:val="00F23950"/>
    <w:rsid w:val="00F30876"/>
    <w:rsid w:val="00F31004"/>
    <w:rsid w:val="00F311C6"/>
    <w:rsid w:val="00F31CCD"/>
    <w:rsid w:val="00F3670B"/>
    <w:rsid w:val="00F367C2"/>
    <w:rsid w:val="00F36D40"/>
    <w:rsid w:val="00F3717E"/>
    <w:rsid w:val="00F3731B"/>
    <w:rsid w:val="00F37865"/>
    <w:rsid w:val="00F40183"/>
    <w:rsid w:val="00F41F48"/>
    <w:rsid w:val="00F42518"/>
    <w:rsid w:val="00F42E9F"/>
    <w:rsid w:val="00F441A8"/>
    <w:rsid w:val="00F4543A"/>
    <w:rsid w:val="00F4615E"/>
    <w:rsid w:val="00F47466"/>
    <w:rsid w:val="00F5012F"/>
    <w:rsid w:val="00F5047E"/>
    <w:rsid w:val="00F5082F"/>
    <w:rsid w:val="00F509D2"/>
    <w:rsid w:val="00F52169"/>
    <w:rsid w:val="00F5250C"/>
    <w:rsid w:val="00F53CAD"/>
    <w:rsid w:val="00F55948"/>
    <w:rsid w:val="00F57241"/>
    <w:rsid w:val="00F6104F"/>
    <w:rsid w:val="00F61834"/>
    <w:rsid w:val="00F66819"/>
    <w:rsid w:val="00F6759B"/>
    <w:rsid w:val="00F70510"/>
    <w:rsid w:val="00F70898"/>
    <w:rsid w:val="00F70BAD"/>
    <w:rsid w:val="00F70EFD"/>
    <w:rsid w:val="00F7113C"/>
    <w:rsid w:val="00F71EA6"/>
    <w:rsid w:val="00F750FC"/>
    <w:rsid w:val="00F7520C"/>
    <w:rsid w:val="00F75756"/>
    <w:rsid w:val="00F75B16"/>
    <w:rsid w:val="00F75D09"/>
    <w:rsid w:val="00F76544"/>
    <w:rsid w:val="00F77038"/>
    <w:rsid w:val="00F80C68"/>
    <w:rsid w:val="00F80F9F"/>
    <w:rsid w:val="00F81D7C"/>
    <w:rsid w:val="00F8295B"/>
    <w:rsid w:val="00F83D1F"/>
    <w:rsid w:val="00F84CEC"/>
    <w:rsid w:val="00F8509C"/>
    <w:rsid w:val="00F854B9"/>
    <w:rsid w:val="00F86209"/>
    <w:rsid w:val="00F86DA4"/>
    <w:rsid w:val="00F90199"/>
    <w:rsid w:val="00F91224"/>
    <w:rsid w:val="00F913F6"/>
    <w:rsid w:val="00F915E2"/>
    <w:rsid w:val="00F91BAE"/>
    <w:rsid w:val="00F92D1A"/>
    <w:rsid w:val="00F93455"/>
    <w:rsid w:val="00F934C9"/>
    <w:rsid w:val="00F935EA"/>
    <w:rsid w:val="00F93F21"/>
    <w:rsid w:val="00F94B81"/>
    <w:rsid w:val="00F955D1"/>
    <w:rsid w:val="00F96D97"/>
    <w:rsid w:val="00F9738A"/>
    <w:rsid w:val="00F97F5F"/>
    <w:rsid w:val="00FA04D7"/>
    <w:rsid w:val="00FA08DC"/>
    <w:rsid w:val="00FA0BB6"/>
    <w:rsid w:val="00FA0C65"/>
    <w:rsid w:val="00FA13E5"/>
    <w:rsid w:val="00FA192E"/>
    <w:rsid w:val="00FA2383"/>
    <w:rsid w:val="00FA2FA7"/>
    <w:rsid w:val="00FA313B"/>
    <w:rsid w:val="00FA4598"/>
    <w:rsid w:val="00FA5F89"/>
    <w:rsid w:val="00FA661F"/>
    <w:rsid w:val="00FA76CB"/>
    <w:rsid w:val="00FA7C19"/>
    <w:rsid w:val="00FB203E"/>
    <w:rsid w:val="00FB27FA"/>
    <w:rsid w:val="00FB2FCD"/>
    <w:rsid w:val="00FB71CA"/>
    <w:rsid w:val="00FC06E1"/>
    <w:rsid w:val="00FC2733"/>
    <w:rsid w:val="00FC2D5B"/>
    <w:rsid w:val="00FC348B"/>
    <w:rsid w:val="00FC3681"/>
    <w:rsid w:val="00FC59ED"/>
    <w:rsid w:val="00FC68D8"/>
    <w:rsid w:val="00FD07CA"/>
    <w:rsid w:val="00FD38BC"/>
    <w:rsid w:val="00FD3EE9"/>
    <w:rsid w:val="00FD40A9"/>
    <w:rsid w:val="00FD42EE"/>
    <w:rsid w:val="00FD69F1"/>
    <w:rsid w:val="00FD6BAD"/>
    <w:rsid w:val="00FD6BBF"/>
    <w:rsid w:val="00FD6EB5"/>
    <w:rsid w:val="00FE0246"/>
    <w:rsid w:val="00FE0D5C"/>
    <w:rsid w:val="00FE1824"/>
    <w:rsid w:val="00FE1CED"/>
    <w:rsid w:val="00FE30D8"/>
    <w:rsid w:val="00FE5D9F"/>
    <w:rsid w:val="00FE6484"/>
    <w:rsid w:val="00FE69CC"/>
    <w:rsid w:val="00FE74E3"/>
    <w:rsid w:val="00FF1DC9"/>
    <w:rsid w:val="00FF4D0C"/>
    <w:rsid w:val="00FF5DEE"/>
    <w:rsid w:val="00FF67A1"/>
    <w:rsid w:val="00FF747D"/>
    <w:rsid w:val="00FF7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unhideWhenUsed="0"/>
    <w:lsdException w:name="header" w:unhideWhenUsed="0"/>
    <w:lsdException w:name="footer" w:uiPriority="0" w:unhideWhenUsed="0"/>
    <w:lsdException w:name="caption" w:uiPriority="35" w:qFormat="1"/>
    <w:lsdException w:name="footnote reference" w:unhideWhenUsed="0" w:qFormat="1"/>
    <w:lsdException w:name="annotation reference" w:uiPriority="0" w:unhideWhenUsed="0"/>
    <w:lsdException w:name="line number" w:unhideWhenUsed="0"/>
    <w:lsdException w:name="page number"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rsid w:val="00683134"/>
    <w:pPr>
      <w:tabs>
        <w:tab w:val="center" w:pos="4320"/>
        <w:tab w:val="right" w:pos="8640"/>
      </w:tabs>
    </w:pPr>
  </w:style>
  <w:style w:type="character" w:customStyle="1" w:styleId="FooterChar">
    <w:name w:val="Footer Char"/>
    <w:basedOn w:val="DefaultParagraphFont"/>
    <w:link w:val="Footer"/>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character" w:customStyle="1" w:styleId="ListParagraphChar">
    <w:name w:val="List Paragraph Char"/>
    <w:basedOn w:val="DefaultParagraphFont"/>
    <w:link w:val="ListParagraph"/>
    <w:uiPriority w:val="34"/>
    <w:rsid w:val="003B758D"/>
    <w:rPr>
      <w:sz w:val="24"/>
      <w:szCs w:val="24"/>
    </w:rPr>
  </w:style>
  <w:style w:type="paragraph" w:customStyle="1" w:styleId="WAPara">
    <w:name w:val="WA Para"/>
    <w:basedOn w:val="ListParagraph"/>
    <w:link w:val="WAParaChar"/>
    <w:qFormat/>
    <w:rsid w:val="00B14D3A"/>
    <w:pPr>
      <w:tabs>
        <w:tab w:val="left" w:pos="720"/>
        <w:tab w:val="num" w:pos="2880"/>
      </w:tabs>
      <w:spacing w:line="480" w:lineRule="auto"/>
      <w:ind w:left="3240" w:hanging="720"/>
      <w:contextualSpacing w:val="0"/>
      <w:jc w:val="left"/>
    </w:pPr>
    <w:rPr>
      <w:rFonts w:eastAsia="Times"/>
      <w:bCs/>
      <w:iCs/>
      <w:color w:val="000000"/>
    </w:rPr>
  </w:style>
  <w:style w:type="character" w:customStyle="1" w:styleId="WAParaChar">
    <w:name w:val="WA Para Char"/>
    <w:basedOn w:val="ListParagraphChar"/>
    <w:link w:val="WAPara"/>
    <w:rsid w:val="00B14D3A"/>
    <w:rPr>
      <w:rFonts w:eastAsia="Times"/>
      <w:bCs/>
      <w:iCs/>
      <w:color w:val="000000"/>
      <w:sz w:val="24"/>
      <w:szCs w:val="24"/>
    </w:rPr>
  </w:style>
  <w:style w:type="character" w:customStyle="1" w:styleId="answerChar10">
    <w:name w:val="answer Char1"/>
    <w:basedOn w:val="DefaultParagraphFont"/>
    <w:uiPriority w:val="99"/>
    <w:locked/>
    <w:rsid w:val="00BC0946"/>
    <w:rPr>
      <w:rFonts w:cs="Times New Roman"/>
      <w:sz w:val="24"/>
      <w:lang w:val="en-US" w:eastAsia="zh-CN" w:bidi="ar-SA"/>
    </w:rPr>
  </w:style>
  <w:style w:type="paragraph" w:customStyle="1" w:styleId="Default">
    <w:name w:val="Default"/>
    <w:rsid w:val="00F81D7C"/>
    <w:pPr>
      <w:autoSpaceDE w:val="0"/>
      <w:autoSpaceDN w:val="0"/>
      <w:adjustRightInd w:val="0"/>
    </w:pPr>
    <w:rPr>
      <w:color w:val="000000"/>
      <w:sz w:val="24"/>
      <w:szCs w:val="24"/>
    </w:rPr>
  </w:style>
  <w:style w:type="paragraph" w:customStyle="1" w:styleId="QAAnswer">
    <w:name w:val="Q&amp;AAnswer"/>
    <w:basedOn w:val="Normal"/>
    <w:next w:val="Normal"/>
    <w:rsid w:val="00EF3409"/>
    <w:pPr>
      <w:spacing w:after="140" w:line="360" w:lineRule="auto"/>
      <w:ind w:left="360" w:hanging="360"/>
    </w:pPr>
    <w:rPr>
      <w:szCs w:val="20"/>
    </w:rPr>
  </w:style>
  <w:style w:type="paragraph" w:customStyle="1" w:styleId="question0">
    <w:name w:val="question"/>
    <w:basedOn w:val="Normal"/>
    <w:next w:val="answer0"/>
    <w:link w:val="questionChar0"/>
    <w:uiPriority w:val="99"/>
    <w:rsid w:val="00EF3409"/>
    <w:pPr>
      <w:spacing w:before="240" w:after="120" w:line="480" w:lineRule="auto"/>
      <w:ind w:left="720" w:hanging="720"/>
      <w:jc w:val="left"/>
    </w:pPr>
    <w:rPr>
      <w:rFonts w:ascii="CG Times (WN)" w:hAnsi="CG Times (WN)"/>
      <w:b/>
      <w:szCs w:val="20"/>
      <w:lang w:eastAsia="zh-CN"/>
    </w:rPr>
  </w:style>
  <w:style w:type="character" w:customStyle="1" w:styleId="questionChar0">
    <w:name w:val="question Char"/>
    <w:link w:val="question0"/>
    <w:uiPriority w:val="99"/>
    <w:locked/>
    <w:rsid w:val="00EF3409"/>
    <w:rPr>
      <w:rFonts w:ascii="CG Times (WN)" w:hAnsi="CG Times (WN)"/>
      <w:b/>
      <w:sz w:val="24"/>
      <w:szCs w:val="20"/>
      <w:lang w:eastAsia="zh-CN"/>
    </w:rPr>
  </w:style>
  <w:style w:type="numbering" w:customStyle="1" w:styleId="Style2">
    <w:name w:val="Style2"/>
    <w:uiPriority w:val="99"/>
    <w:rsid w:val="007B04BC"/>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iPriority="0" w:unhideWhenUsed="0"/>
    <w:lsdException w:name="header" w:unhideWhenUsed="0"/>
    <w:lsdException w:name="footer" w:uiPriority="0" w:unhideWhenUsed="0"/>
    <w:lsdException w:name="caption" w:uiPriority="35" w:qFormat="1"/>
    <w:lsdException w:name="footnote reference" w:unhideWhenUsed="0" w:qFormat="1"/>
    <w:lsdException w:name="annotation reference" w:uiPriority="0" w:unhideWhenUsed="0"/>
    <w:lsdException w:name="line number" w:unhideWhenUsed="0"/>
    <w:lsdException w:name="page number" w:uiPriority="0"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683134"/>
    <w:rPr>
      <w:sz w:val="16"/>
      <w:szCs w:val="16"/>
    </w:rPr>
  </w:style>
  <w:style w:type="paragraph" w:styleId="CommentText">
    <w:name w:val="annotation text"/>
    <w:basedOn w:val="Normal"/>
    <w:link w:val="CommentTextChar"/>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rsid w:val="00683134"/>
    <w:pPr>
      <w:tabs>
        <w:tab w:val="center" w:pos="4320"/>
        <w:tab w:val="right" w:pos="8640"/>
      </w:tabs>
    </w:pPr>
  </w:style>
  <w:style w:type="character" w:customStyle="1" w:styleId="FooterChar">
    <w:name w:val="Footer Char"/>
    <w:basedOn w:val="DefaultParagraphFont"/>
    <w:link w:val="Footer"/>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9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character" w:customStyle="1" w:styleId="ListParagraphChar">
    <w:name w:val="List Paragraph Char"/>
    <w:basedOn w:val="DefaultParagraphFont"/>
    <w:link w:val="ListParagraph"/>
    <w:uiPriority w:val="34"/>
    <w:rsid w:val="003B758D"/>
    <w:rPr>
      <w:sz w:val="24"/>
      <w:szCs w:val="24"/>
    </w:rPr>
  </w:style>
  <w:style w:type="paragraph" w:customStyle="1" w:styleId="WAPara">
    <w:name w:val="WA Para"/>
    <w:basedOn w:val="ListParagraph"/>
    <w:link w:val="WAParaChar"/>
    <w:qFormat/>
    <w:rsid w:val="00B14D3A"/>
    <w:pPr>
      <w:tabs>
        <w:tab w:val="left" w:pos="720"/>
        <w:tab w:val="num" w:pos="2880"/>
      </w:tabs>
      <w:spacing w:line="480" w:lineRule="auto"/>
      <w:ind w:left="3240" w:hanging="720"/>
      <w:contextualSpacing w:val="0"/>
      <w:jc w:val="left"/>
    </w:pPr>
    <w:rPr>
      <w:rFonts w:eastAsia="Times"/>
      <w:bCs/>
      <w:iCs/>
      <w:color w:val="000000"/>
    </w:rPr>
  </w:style>
  <w:style w:type="character" w:customStyle="1" w:styleId="WAParaChar">
    <w:name w:val="WA Para Char"/>
    <w:basedOn w:val="ListParagraphChar"/>
    <w:link w:val="WAPara"/>
    <w:rsid w:val="00B14D3A"/>
    <w:rPr>
      <w:rFonts w:eastAsia="Times"/>
      <w:bCs/>
      <w:iCs/>
      <w:color w:val="000000"/>
      <w:sz w:val="24"/>
      <w:szCs w:val="24"/>
    </w:rPr>
  </w:style>
  <w:style w:type="character" w:customStyle="1" w:styleId="answerChar10">
    <w:name w:val="answer Char1"/>
    <w:basedOn w:val="DefaultParagraphFont"/>
    <w:uiPriority w:val="99"/>
    <w:locked/>
    <w:rsid w:val="00BC0946"/>
    <w:rPr>
      <w:rFonts w:cs="Times New Roman"/>
      <w:sz w:val="24"/>
      <w:lang w:val="en-US" w:eastAsia="zh-CN" w:bidi="ar-SA"/>
    </w:rPr>
  </w:style>
  <w:style w:type="paragraph" w:customStyle="1" w:styleId="Default">
    <w:name w:val="Default"/>
    <w:rsid w:val="00F81D7C"/>
    <w:pPr>
      <w:autoSpaceDE w:val="0"/>
      <w:autoSpaceDN w:val="0"/>
      <w:adjustRightInd w:val="0"/>
    </w:pPr>
    <w:rPr>
      <w:color w:val="000000"/>
      <w:sz w:val="24"/>
      <w:szCs w:val="24"/>
    </w:rPr>
  </w:style>
  <w:style w:type="paragraph" w:customStyle="1" w:styleId="QAAnswer">
    <w:name w:val="Q&amp;AAnswer"/>
    <w:basedOn w:val="Normal"/>
    <w:next w:val="Normal"/>
    <w:rsid w:val="00EF3409"/>
    <w:pPr>
      <w:spacing w:after="140" w:line="360" w:lineRule="auto"/>
      <w:ind w:left="360" w:hanging="360"/>
    </w:pPr>
    <w:rPr>
      <w:szCs w:val="20"/>
    </w:rPr>
  </w:style>
  <w:style w:type="paragraph" w:customStyle="1" w:styleId="question0">
    <w:name w:val="question"/>
    <w:basedOn w:val="Normal"/>
    <w:next w:val="answer0"/>
    <w:link w:val="questionChar0"/>
    <w:uiPriority w:val="99"/>
    <w:rsid w:val="00EF3409"/>
    <w:pPr>
      <w:spacing w:before="240" w:after="120" w:line="480" w:lineRule="auto"/>
      <w:ind w:left="720" w:hanging="720"/>
      <w:jc w:val="left"/>
    </w:pPr>
    <w:rPr>
      <w:rFonts w:ascii="CG Times (WN)" w:hAnsi="CG Times (WN)"/>
      <w:b/>
      <w:szCs w:val="20"/>
      <w:lang w:eastAsia="zh-CN"/>
    </w:rPr>
  </w:style>
  <w:style w:type="character" w:customStyle="1" w:styleId="questionChar0">
    <w:name w:val="question Char"/>
    <w:link w:val="question0"/>
    <w:uiPriority w:val="99"/>
    <w:locked/>
    <w:rsid w:val="00EF3409"/>
    <w:rPr>
      <w:rFonts w:ascii="CG Times (WN)" w:hAnsi="CG Times (WN)"/>
      <w:b/>
      <w:sz w:val="24"/>
      <w:szCs w:val="20"/>
      <w:lang w:eastAsia="zh-CN"/>
    </w:rPr>
  </w:style>
  <w:style w:type="numbering" w:customStyle="1" w:styleId="Style2">
    <w:name w:val="Style2"/>
    <w:uiPriority w:val="99"/>
    <w:rsid w:val="007B04B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8762">
      <w:bodyDiv w:val="1"/>
      <w:marLeft w:val="0"/>
      <w:marRight w:val="0"/>
      <w:marTop w:val="0"/>
      <w:marBottom w:val="0"/>
      <w:divBdr>
        <w:top w:val="none" w:sz="0" w:space="0" w:color="auto"/>
        <w:left w:val="none" w:sz="0" w:space="0" w:color="auto"/>
        <w:bottom w:val="none" w:sz="0" w:space="0" w:color="auto"/>
        <w:right w:val="none" w:sz="0" w:space="0" w:color="auto"/>
      </w:divBdr>
    </w:div>
    <w:div w:id="608200875">
      <w:bodyDiv w:val="1"/>
      <w:marLeft w:val="0"/>
      <w:marRight w:val="0"/>
      <w:marTop w:val="0"/>
      <w:marBottom w:val="0"/>
      <w:divBdr>
        <w:top w:val="none" w:sz="0" w:space="0" w:color="auto"/>
        <w:left w:val="none" w:sz="0" w:space="0" w:color="auto"/>
        <w:bottom w:val="none" w:sz="0" w:space="0" w:color="auto"/>
        <w:right w:val="none" w:sz="0" w:space="0" w:color="auto"/>
      </w:divBdr>
    </w:div>
    <w:div w:id="684017679">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028482944">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66A98-D117-4CCA-9D48-0F0816694B00}"/>
</file>

<file path=customXml/itemProps2.xml><?xml version="1.0" encoding="utf-8"?>
<ds:datastoreItem xmlns:ds="http://schemas.openxmlformats.org/officeDocument/2006/customXml" ds:itemID="{F1F150E0-2CF1-445B-9C2E-F59265FD7F2E}"/>
</file>

<file path=customXml/itemProps3.xml><?xml version="1.0" encoding="utf-8"?>
<ds:datastoreItem xmlns:ds="http://schemas.openxmlformats.org/officeDocument/2006/customXml" ds:itemID="{09821086-88E3-4702-A161-63477D7C9434}"/>
</file>

<file path=customXml/itemProps4.xml><?xml version="1.0" encoding="utf-8"?>
<ds:datastoreItem xmlns:ds="http://schemas.openxmlformats.org/officeDocument/2006/customXml" ds:itemID="{AFD71EF2-1AF7-44F7-917D-FB157804660E}"/>
</file>

<file path=docProps/app.xml><?xml version="1.0" encoding="utf-8"?>
<Properties xmlns="http://schemas.openxmlformats.org/officeDocument/2006/extended-properties" xmlns:vt="http://schemas.openxmlformats.org/officeDocument/2006/docPropsVTypes">
  <Template>Normal.dotm</Template>
  <TotalTime>0</TotalTime>
  <Pages>25</Pages>
  <Words>5523</Words>
  <Characters>31483</Characters>
  <Application>Microsoft Office Word</Application>
  <DocSecurity>0</DocSecurity>
  <Lines>262</Lines>
  <Paragraphs>73</Paragraphs>
  <ScaleCrop>false</ScaleCrop>
  <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2015-11-25T01:35:00Z</dcterms:created>
  <dcterms:modified xsi:type="dcterms:W3CDTF">2015-11-25T01:35:00Z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