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1AAEF" w14:textId="7704188C" w:rsidR="000E03CA" w:rsidRPr="00AD4D61" w:rsidRDefault="000E03CA" w:rsidP="000E03CA">
      <w:pPr>
        <w:rPr>
          <w:rFonts w:ascii="Times New Roman" w:hAnsi="Times New Roman"/>
        </w:rPr>
      </w:pPr>
      <w:bookmarkStart w:id="0" w:name="_GoBack"/>
      <w:bookmarkEnd w:id="0"/>
      <w:r w:rsidRPr="00AD4D61">
        <w:rPr>
          <w:rFonts w:ascii="Times New Roman" w:hAnsi="Times New Roman"/>
        </w:rPr>
        <w:t>Agenda Date:</w:t>
      </w:r>
      <w:r w:rsidRPr="00AD4D61">
        <w:rPr>
          <w:rFonts w:ascii="Times New Roman" w:hAnsi="Times New Roman"/>
        </w:rPr>
        <w:tab/>
      </w:r>
      <w:r>
        <w:rPr>
          <w:rFonts w:ascii="Times New Roman" w:hAnsi="Times New Roman"/>
        </w:rPr>
        <w:tab/>
      </w:r>
      <w:r w:rsidR="00742060">
        <w:rPr>
          <w:rFonts w:ascii="Times New Roman" w:hAnsi="Times New Roman"/>
        </w:rPr>
        <w:t>December 21</w:t>
      </w:r>
      <w:r>
        <w:rPr>
          <w:rFonts w:ascii="Times New Roman" w:hAnsi="Times New Roman"/>
        </w:rPr>
        <w:t>, 2012</w:t>
      </w:r>
    </w:p>
    <w:p w14:paraId="0031AAF0" w14:textId="225C2835" w:rsidR="000E03CA" w:rsidRPr="00AD4D61" w:rsidRDefault="000E03CA" w:rsidP="003A447A">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620468">
        <w:rPr>
          <w:rFonts w:ascii="Times New Roman" w:hAnsi="Times New Roman"/>
        </w:rPr>
        <w:t>D2</w:t>
      </w:r>
    </w:p>
    <w:p w14:paraId="0031AAF1" w14:textId="77777777" w:rsidR="000E03CA" w:rsidRPr="00AD4D61" w:rsidRDefault="000E03CA" w:rsidP="000E03CA">
      <w:pPr>
        <w:rPr>
          <w:rFonts w:ascii="Times New Roman" w:hAnsi="Times New Roman"/>
        </w:rPr>
      </w:pPr>
    </w:p>
    <w:p w14:paraId="0031AAF2" w14:textId="25259D82" w:rsidR="000E03CA" w:rsidRPr="00AD4D61" w:rsidRDefault="000E03CA" w:rsidP="000E03CA">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742060">
        <w:rPr>
          <w:rFonts w:ascii="Times New Roman" w:hAnsi="Times New Roman"/>
          <w:b/>
          <w:bCs/>
        </w:rPr>
        <w:t>UG-111880</w:t>
      </w:r>
    </w:p>
    <w:p w14:paraId="0031AAF3" w14:textId="020326C1" w:rsidR="000E03CA" w:rsidRDefault="000E03CA" w:rsidP="000E03CA">
      <w:pPr>
        <w:rPr>
          <w:rFonts w:ascii="Times New Roman" w:hAnsi="Times New Roman"/>
        </w:rPr>
      </w:pPr>
      <w:r w:rsidRPr="00AD4D61">
        <w:rPr>
          <w:rFonts w:ascii="Times New Roman" w:hAnsi="Times New Roman"/>
        </w:rPr>
        <w:t>Company:</w:t>
      </w:r>
      <w:r w:rsidRPr="00AD4D61">
        <w:rPr>
          <w:rFonts w:ascii="Times New Roman" w:hAnsi="Times New Roman"/>
        </w:rPr>
        <w:tab/>
      </w:r>
      <w:r w:rsidRPr="00AD4D61">
        <w:rPr>
          <w:rFonts w:ascii="Times New Roman" w:hAnsi="Times New Roman"/>
        </w:rPr>
        <w:tab/>
      </w:r>
      <w:r w:rsidR="00742060">
        <w:rPr>
          <w:rFonts w:ascii="Times New Roman" w:hAnsi="Times New Roman"/>
        </w:rPr>
        <w:t>Pacific Power and Light Company</w:t>
      </w:r>
    </w:p>
    <w:p w14:paraId="0031AAF4" w14:textId="77777777" w:rsidR="00C02A77" w:rsidRPr="00AD4D61" w:rsidRDefault="00C02A77" w:rsidP="000E03CA">
      <w:pPr>
        <w:rPr>
          <w:rFonts w:ascii="Times New Roman" w:hAnsi="Times New Roman"/>
        </w:rPr>
      </w:pPr>
    </w:p>
    <w:p w14:paraId="0031AAF5" w14:textId="77777777" w:rsidR="000E03CA" w:rsidRDefault="00766124" w:rsidP="00766124">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sidR="000E03CA" w:rsidRPr="00AD4D61">
        <w:rPr>
          <w:rFonts w:ascii="Times New Roman" w:hAnsi="Times New Roman"/>
        </w:rPr>
        <w:t xml:space="preserve"> </w:t>
      </w:r>
      <w:r>
        <w:rPr>
          <w:rFonts w:ascii="Times New Roman" w:hAnsi="Times New Roman"/>
        </w:rPr>
        <w:tab/>
      </w:r>
      <w:r w:rsidR="000E03CA">
        <w:rPr>
          <w:rFonts w:ascii="Times New Roman" w:hAnsi="Times New Roman"/>
        </w:rPr>
        <w:t>Chris McGuire, Regulatory Analyst</w:t>
      </w:r>
    </w:p>
    <w:p w14:paraId="62090320" w14:textId="732E9F81" w:rsidR="00766CE4" w:rsidRDefault="00766CE4" w:rsidP="0076612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0031AAF6" w14:textId="77777777" w:rsidR="000911D5" w:rsidRDefault="000911D5" w:rsidP="000E03CA">
      <w:pPr>
        <w:rPr>
          <w:rFonts w:ascii="Times New Roman" w:hAnsi="Times New Roman"/>
          <w:b/>
          <w:bCs/>
          <w:u w:val="single"/>
        </w:rPr>
      </w:pPr>
    </w:p>
    <w:p w14:paraId="0031AAF7" w14:textId="77777777" w:rsidR="000E03CA" w:rsidRPr="00AD4D61" w:rsidRDefault="000E03CA" w:rsidP="000E03CA">
      <w:pPr>
        <w:rPr>
          <w:rFonts w:ascii="Times New Roman" w:hAnsi="Times New Roman"/>
          <w:b/>
          <w:bCs/>
          <w:u w:val="single"/>
        </w:rPr>
      </w:pPr>
      <w:r w:rsidRPr="00AD4D61">
        <w:rPr>
          <w:rFonts w:ascii="Times New Roman" w:hAnsi="Times New Roman"/>
          <w:b/>
          <w:bCs/>
          <w:u w:val="single"/>
        </w:rPr>
        <w:t>Recommendation</w:t>
      </w:r>
    </w:p>
    <w:p w14:paraId="0031AAF8" w14:textId="77777777" w:rsidR="000E03CA" w:rsidRDefault="000E03CA" w:rsidP="000E03CA">
      <w:pPr>
        <w:rPr>
          <w:rFonts w:ascii="Times New Roman" w:hAnsi="Times New Roman"/>
        </w:rPr>
      </w:pPr>
    </w:p>
    <w:p w14:paraId="0031AAF9" w14:textId="477F9F51" w:rsidR="000E03CA" w:rsidRPr="00AD4D61" w:rsidRDefault="002036F1" w:rsidP="000E03CA">
      <w:pPr>
        <w:rPr>
          <w:rFonts w:ascii="Times New Roman" w:hAnsi="Times New Roman"/>
        </w:rPr>
      </w:pPr>
      <w:r w:rsidRPr="007248E1">
        <w:rPr>
          <w:rFonts w:ascii="Times New Roman" w:hAnsi="Times New Roman"/>
        </w:rPr>
        <w:t xml:space="preserve">Take no action, </w:t>
      </w:r>
      <w:r w:rsidR="00762F93" w:rsidRPr="00762F93">
        <w:rPr>
          <w:rFonts w:ascii="Times New Roman" w:hAnsi="Times New Roman"/>
        </w:rPr>
        <w:t>ackn</w:t>
      </w:r>
      <w:r w:rsidR="00F70E3F">
        <w:rPr>
          <w:rFonts w:ascii="Times New Roman" w:hAnsi="Times New Roman"/>
        </w:rPr>
        <w:t>owledging the timely receipt of PacifiCorp’s revised 2012-</w:t>
      </w:r>
      <w:r w:rsidR="00762F93" w:rsidRPr="00762F93">
        <w:rPr>
          <w:rFonts w:ascii="Times New Roman" w:hAnsi="Times New Roman"/>
        </w:rPr>
        <w:t xml:space="preserve">2013 </w:t>
      </w:r>
      <w:r w:rsidR="00F70E3F">
        <w:rPr>
          <w:rFonts w:ascii="Times New Roman" w:hAnsi="Times New Roman"/>
        </w:rPr>
        <w:t>Demand-Side Management Business P</w:t>
      </w:r>
      <w:r w:rsidR="00762F93" w:rsidRPr="00762F93">
        <w:rPr>
          <w:rFonts w:ascii="Times New Roman" w:hAnsi="Times New Roman"/>
        </w:rPr>
        <w:t>lan on November 1, 2012</w:t>
      </w:r>
      <w:r w:rsidR="00CC399B">
        <w:rPr>
          <w:rFonts w:ascii="Times New Roman" w:hAnsi="Times New Roman"/>
        </w:rPr>
        <w:t>,</w:t>
      </w:r>
      <w:r w:rsidR="00762F93" w:rsidRPr="00762F93">
        <w:rPr>
          <w:rFonts w:ascii="Times New Roman" w:hAnsi="Times New Roman"/>
        </w:rPr>
        <w:t xml:space="preserve"> in Docket UE-111880.</w:t>
      </w:r>
    </w:p>
    <w:p w14:paraId="0031AAFA" w14:textId="77777777" w:rsidR="000E03CA" w:rsidRDefault="000E03CA" w:rsidP="000E03CA">
      <w:pPr>
        <w:rPr>
          <w:rFonts w:ascii="Times New Roman" w:hAnsi="Times New Roman"/>
          <w:b/>
          <w:u w:val="single"/>
        </w:rPr>
      </w:pPr>
    </w:p>
    <w:p w14:paraId="0031AAFB" w14:textId="77777777" w:rsidR="000E03CA" w:rsidRPr="00AD4D61" w:rsidRDefault="000E03CA" w:rsidP="000E03CA">
      <w:pPr>
        <w:rPr>
          <w:rFonts w:ascii="Times New Roman" w:hAnsi="Times New Roman"/>
          <w:b/>
          <w:u w:val="single"/>
        </w:rPr>
      </w:pPr>
      <w:r>
        <w:rPr>
          <w:rFonts w:ascii="Times New Roman" w:hAnsi="Times New Roman"/>
          <w:b/>
          <w:u w:val="single"/>
        </w:rPr>
        <w:t>Background</w:t>
      </w:r>
    </w:p>
    <w:p w14:paraId="0031AAFC" w14:textId="77777777" w:rsidR="000E03CA" w:rsidRDefault="000E03CA" w:rsidP="000E03CA">
      <w:pPr>
        <w:rPr>
          <w:rFonts w:ascii="Times New Roman" w:hAnsi="Times New Roman"/>
        </w:rPr>
      </w:pPr>
    </w:p>
    <w:p w14:paraId="5F09DE0A" w14:textId="2183955F" w:rsidR="005963ED" w:rsidRDefault="0024414B" w:rsidP="005963ED">
      <w:pPr>
        <w:rPr>
          <w:rFonts w:ascii="Times New Roman" w:hAnsi="Times New Roman"/>
        </w:rPr>
      </w:pPr>
      <w:r>
        <w:rPr>
          <w:rFonts w:ascii="Times New Roman" w:hAnsi="Times New Roman"/>
        </w:rPr>
        <w:t>Pacific Power and Light Company (PacifiCorp or company)</w:t>
      </w:r>
      <w:r w:rsidR="00D86920">
        <w:rPr>
          <w:rFonts w:ascii="Times New Roman" w:hAnsi="Times New Roman"/>
        </w:rPr>
        <w:t xml:space="preserve"> is currently operating its energy efficiency programs under conditions approved by the Washington Utilities and Transportation Commission (commission) in Order 01 of Docket UE-111880. </w:t>
      </w:r>
      <w:r w:rsidR="005963ED">
        <w:rPr>
          <w:rFonts w:ascii="Times New Roman" w:hAnsi="Times New Roman"/>
        </w:rPr>
        <w:t xml:space="preserve">As outlined in Condition (5) of that Order, PacifiCorp is required to maintain its conservation tariffs on file with the Commission. Program details about specific measures, incentives and eligibility requirements must be filed as tariff attachments or as revisions to PacifiCorp’s Demand-Side Management (DSM) Business Plan. PacifiCorp’s </w:t>
      </w:r>
      <w:r w:rsidR="00FC08B1">
        <w:rPr>
          <w:rFonts w:ascii="Times New Roman" w:hAnsi="Times New Roman"/>
        </w:rPr>
        <w:t>2012-2013 DSM Business Plan was originally provided as Appendix 7 in its Ten-year Achievable Conservation Potential and Biennial Conservation Target for 2012 and 2013 filed with the commission on January 31, 2012</w:t>
      </w:r>
      <w:r w:rsidR="00BF5FF2">
        <w:rPr>
          <w:rFonts w:ascii="Times New Roman" w:hAnsi="Times New Roman"/>
        </w:rPr>
        <w:t xml:space="preserve"> in this docket</w:t>
      </w:r>
      <w:r w:rsidR="00FF6C6D">
        <w:rPr>
          <w:rFonts w:ascii="Times New Roman" w:hAnsi="Times New Roman"/>
        </w:rPr>
        <w:t>. The 2012-2013 DSM Business Plan was</w:t>
      </w:r>
      <w:r w:rsidR="00FC08B1">
        <w:rPr>
          <w:rFonts w:ascii="Times New Roman" w:hAnsi="Times New Roman"/>
        </w:rPr>
        <w:t xml:space="preserve"> revised on June</w:t>
      </w:r>
      <w:r w:rsidR="00FF6C6D">
        <w:rPr>
          <w:rFonts w:ascii="Times New Roman" w:hAnsi="Times New Roman"/>
        </w:rPr>
        <w:t xml:space="preserve"> 4, 2012.</w:t>
      </w:r>
    </w:p>
    <w:p w14:paraId="6798FFD4" w14:textId="40D2D5CA" w:rsidR="0024414B" w:rsidRDefault="0024414B" w:rsidP="000E03CA">
      <w:pPr>
        <w:rPr>
          <w:rFonts w:ascii="Times New Roman" w:hAnsi="Times New Roman"/>
        </w:rPr>
      </w:pPr>
    </w:p>
    <w:p w14:paraId="447F46CE" w14:textId="77777777" w:rsidR="00620468" w:rsidRDefault="006020E2" w:rsidP="008965BA">
      <w:pPr>
        <w:rPr>
          <w:rFonts w:ascii="Times New Roman" w:hAnsi="Times New Roman"/>
        </w:rPr>
      </w:pPr>
      <w:r>
        <w:rPr>
          <w:rFonts w:ascii="Times New Roman" w:hAnsi="Times New Roman"/>
        </w:rPr>
        <w:t xml:space="preserve">As outlined in Condition (8)(b) of Order 01 in Docket UE-111880, </w:t>
      </w:r>
      <w:r w:rsidRPr="00725F6C">
        <w:rPr>
          <w:rFonts w:ascii="Times New Roman" w:hAnsi="Times New Roman"/>
        </w:rPr>
        <w:t>Paci</w:t>
      </w:r>
      <w:r>
        <w:rPr>
          <w:rFonts w:ascii="Times New Roman" w:hAnsi="Times New Roman"/>
        </w:rPr>
        <w:t>fiCorp must file b</w:t>
      </w:r>
      <w:r w:rsidRPr="006020E2">
        <w:rPr>
          <w:rFonts w:ascii="Times New Roman" w:hAnsi="Times New Roman"/>
        </w:rPr>
        <w:t xml:space="preserve">y November 1, 2012, any proposed revisions to the </w:t>
      </w:r>
      <w:r w:rsidR="00F70E3F">
        <w:rPr>
          <w:rFonts w:ascii="Times New Roman" w:hAnsi="Times New Roman"/>
        </w:rPr>
        <w:t>2012-</w:t>
      </w:r>
      <w:r w:rsidRPr="006020E2">
        <w:rPr>
          <w:rFonts w:ascii="Times New Roman" w:hAnsi="Times New Roman"/>
        </w:rPr>
        <w:t xml:space="preserve">2013 DSM Business Plan. </w:t>
      </w:r>
      <w:r>
        <w:rPr>
          <w:rFonts w:ascii="Times New Roman" w:hAnsi="Times New Roman"/>
        </w:rPr>
        <w:t xml:space="preserve">On </w:t>
      </w:r>
    </w:p>
    <w:p w14:paraId="7F4E6B83" w14:textId="13073F6A" w:rsidR="008965BA" w:rsidRPr="005963ED" w:rsidRDefault="006020E2" w:rsidP="008965BA">
      <w:pPr>
        <w:rPr>
          <w:rFonts w:ascii="Times New Roman" w:hAnsi="Times New Roman"/>
        </w:rPr>
      </w:pPr>
      <w:r>
        <w:rPr>
          <w:rFonts w:ascii="Times New Roman" w:hAnsi="Times New Roman"/>
        </w:rPr>
        <w:t>November 1, 2012, the company timely filed its revised 2012-2013 DSM Business Plan. Through this filing, PacifiCorp</w:t>
      </w:r>
      <w:r w:rsidR="005E0FD7">
        <w:rPr>
          <w:rFonts w:ascii="Times New Roman" w:hAnsi="Times New Roman"/>
        </w:rPr>
        <w:t xml:space="preserve"> is documenting</w:t>
      </w:r>
      <w:r w:rsidR="0026778F">
        <w:rPr>
          <w:rFonts w:ascii="Times New Roman" w:hAnsi="Times New Roman"/>
        </w:rPr>
        <w:t xml:space="preserve"> changes to </w:t>
      </w:r>
      <w:r w:rsidR="005E0FD7">
        <w:rPr>
          <w:rFonts w:ascii="Times New Roman" w:hAnsi="Times New Roman"/>
        </w:rPr>
        <w:t>its electric conservation programs</w:t>
      </w:r>
      <w:r w:rsidR="00FB71DC">
        <w:rPr>
          <w:rFonts w:ascii="Times New Roman" w:hAnsi="Times New Roman"/>
        </w:rPr>
        <w:t xml:space="preserve">. </w:t>
      </w:r>
      <w:r w:rsidR="008965BA" w:rsidRPr="005963ED">
        <w:rPr>
          <w:rFonts w:ascii="Times New Roman" w:hAnsi="Times New Roman"/>
        </w:rPr>
        <w:t xml:space="preserve">The company developed the Business Plan </w:t>
      </w:r>
      <w:r w:rsidR="00130815">
        <w:rPr>
          <w:rFonts w:ascii="Times New Roman" w:hAnsi="Times New Roman"/>
        </w:rPr>
        <w:t>and a course of action for its</w:t>
      </w:r>
      <w:r w:rsidR="008965BA" w:rsidRPr="005963ED">
        <w:rPr>
          <w:rFonts w:ascii="Times New Roman" w:hAnsi="Times New Roman"/>
        </w:rPr>
        <w:t xml:space="preserve"> conservation pro</w:t>
      </w:r>
      <w:r w:rsidR="00130815">
        <w:rPr>
          <w:rFonts w:ascii="Times New Roman" w:hAnsi="Times New Roman"/>
        </w:rPr>
        <w:t>grams in consultation with its</w:t>
      </w:r>
      <w:r w:rsidR="008965BA" w:rsidRPr="005963ED">
        <w:rPr>
          <w:rFonts w:ascii="Times New Roman" w:hAnsi="Times New Roman"/>
        </w:rPr>
        <w:t xml:space="preserve"> Advisory Group. </w:t>
      </w:r>
      <w:r w:rsidR="00C02018" w:rsidRPr="005963ED">
        <w:rPr>
          <w:rFonts w:ascii="Times New Roman" w:hAnsi="Times New Roman"/>
        </w:rPr>
        <w:t>PacifiCorp</w:t>
      </w:r>
      <w:r w:rsidR="008965BA" w:rsidRPr="005963ED">
        <w:rPr>
          <w:rFonts w:ascii="Times New Roman" w:hAnsi="Times New Roman"/>
        </w:rPr>
        <w:t xml:space="preserve">’s </w:t>
      </w:r>
      <w:r w:rsidR="005963ED">
        <w:rPr>
          <w:rFonts w:ascii="Times New Roman" w:hAnsi="Times New Roman"/>
        </w:rPr>
        <w:t xml:space="preserve">revised DSM </w:t>
      </w:r>
      <w:r w:rsidR="008965BA" w:rsidRPr="005963ED">
        <w:rPr>
          <w:rFonts w:ascii="Times New Roman" w:hAnsi="Times New Roman"/>
        </w:rPr>
        <w:t xml:space="preserve">Business Plan includes minor changes to program details, and an annual budget with reasonable program detail that shows planned expenses and the resulting projected energy savings. </w:t>
      </w:r>
      <w:r w:rsidR="005963ED">
        <w:rPr>
          <w:rFonts w:ascii="Times New Roman" w:hAnsi="Times New Roman"/>
        </w:rPr>
        <w:t>The company’s biennial 2012-2013 electric conservation target range is 76,291 to 79,322 megawatt-hours.</w:t>
      </w:r>
    </w:p>
    <w:p w14:paraId="5D3F0D2E" w14:textId="77777777" w:rsidR="008965BA" w:rsidRDefault="008965BA" w:rsidP="000E03CA">
      <w:pPr>
        <w:rPr>
          <w:rFonts w:ascii="Times New Roman" w:hAnsi="Times New Roman"/>
        </w:rPr>
      </w:pPr>
    </w:p>
    <w:p w14:paraId="5457D75B" w14:textId="77777777" w:rsidR="00571518" w:rsidRDefault="00F70E3F" w:rsidP="00571518">
      <w:pPr>
        <w:rPr>
          <w:rFonts w:ascii="Times New Roman" w:hAnsi="Times New Roman"/>
          <w:b/>
          <w:u w:val="single"/>
        </w:rPr>
      </w:pPr>
      <w:r w:rsidRPr="00F70E3F">
        <w:rPr>
          <w:rFonts w:ascii="Times New Roman" w:hAnsi="Times New Roman"/>
          <w:b/>
          <w:u w:val="single"/>
        </w:rPr>
        <w:t>Discussion</w:t>
      </w:r>
    </w:p>
    <w:p w14:paraId="5C6235D0" w14:textId="77777777" w:rsidR="00571518" w:rsidRDefault="00571518" w:rsidP="00571518">
      <w:pPr>
        <w:rPr>
          <w:rFonts w:ascii="Times New Roman" w:hAnsi="Times New Roman"/>
          <w:b/>
          <w:u w:val="single"/>
        </w:rPr>
      </w:pPr>
    </w:p>
    <w:p w14:paraId="4F509281" w14:textId="1A331B3A" w:rsidR="008965BA" w:rsidRPr="00571518" w:rsidRDefault="00E220D7" w:rsidP="00571518">
      <w:pPr>
        <w:rPr>
          <w:rFonts w:ascii="Times New Roman" w:hAnsi="Times New Roman"/>
          <w:b/>
          <w:u w:val="single"/>
        </w:rPr>
      </w:pPr>
      <w:r>
        <w:rPr>
          <w:rFonts w:ascii="Times New Roman" w:hAnsi="Times New Roman"/>
        </w:rPr>
        <w:t xml:space="preserve">In this revised 2012-2013 DSM Business Plan, </w:t>
      </w:r>
      <w:r w:rsidR="002F4CB6" w:rsidRPr="00571518">
        <w:rPr>
          <w:rFonts w:ascii="Times New Roman" w:hAnsi="Times New Roman"/>
        </w:rPr>
        <w:t xml:space="preserve">PacifiCorp is proposing a 1.4 percent increase in its 2013 conservation budget, increasing from $9,969,561 to $9,983,410. The company is also revising its estimated 2012 expenditures downward from $10,491,396 to $9,861,211, a 6 percent decrease in </w:t>
      </w:r>
      <w:r>
        <w:rPr>
          <w:rFonts w:ascii="Times New Roman" w:hAnsi="Times New Roman"/>
        </w:rPr>
        <w:t xml:space="preserve">2012 </w:t>
      </w:r>
      <w:r w:rsidR="002F4CB6" w:rsidRPr="00571518">
        <w:rPr>
          <w:rFonts w:ascii="Times New Roman" w:hAnsi="Times New Roman"/>
        </w:rPr>
        <w:t>conservation portfolio costs. Overall, the company is reporting a $616,336, or 3.0 percent, reduction in estimated expenditures for the 2012-2013 biennium</w:t>
      </w:r>
      <w:r>
        <w:rPr>
          <w:rFonts w:ascii="Times New Roman" w:hAnsi="Times New Roman"/>
        </w:rPr>
        <w:t>, relative to its June 3, 2012, plan update</w:t>
      </w:r>
      <w:r w:rsidR="002F4CB6" w:rsidRPr="00571518">
        <w:rPr>
          <w:rFonts w:ascii="Times New Roman" w:hAnsi="Times New Roman"/>
        </w:rPr>
        <w:t>.</w:t>
      </w:r>
      <w:r>
        <w:rPr>
          <w:rFonts w:ascii="Times New Roman" w:hAnsi="Times New Roman"/>
        </w:rPr>
        <w:t xml:space="preserve"> The company also proposes a 6.6 percent decrease in 2013 conservation expenditures, relative to 2012.</w:t>
      </w:r>
    </w:p>
    <w:p w14:paraId="2E0FD4BF" w14:textId="77777777" w:rsidR="008930DD" w:rsidRPr="00571518" w:rsidRDefault="008930DD" w:rsidP="008930DD">
      <w:pPr>
        <w:rPr>
          <w:rFonts w:ascii="Times New Roman" w:hAnsi="Times New Roman"/>
        </w:rPr>
      </w:pPr>
    </w:p>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168"/>
        <w:gridCol w:w="1620"/>
        <w:gridCol w:w="1710"/>
        <w:gridCol w:w="1710"/>
        <w:gridCol w:w="1368"/>
      </w:tblGrid>
      <w:tr w:rsidR="002F4CB6" w:rsidRPr="008930DD" w14:paraId="54671E1E" w14:textId="77777777" w:rsidTr="002F4CB6">
        <w:trPr>
          <w:trHeight w:val="279"/>
        </w:trPr>
        <w:tc>
          <w:tcPr>
            <w:tcW w:w="3168" w:type="dxa"/>
            <w:tcBorders>
              <w:bottom w:val="single" w:sz="12" w:space="0" w:color="000000"/>
            </w:tcBorders>
            <w:shd w:val="clear" w:color="auto" w:fill="auto"/>
          </w:tcPr>
          <w:p w14:paraId="50063015" w14:textId="77777777" w:rsidR="00984B8A" w:rsidRDefault="00984B8A" w:rsidP="008930DD">
            <w:pPr>
              <w:rPr>
                <w:rFonts w:ascii="Times New Roman" w:hAnsi="Times New Roman"/>
                <w:b/>
                <w:bCs/>
                <w:color w:val="000000" w:themeColor="text1"/>
              </w:rPr>
            </w:pPr>
          </w:p>
          <w:p w14:paraId="30617F7A" w14:textId="77777777" w:rsidR="002F4CB6" w:rsidRPr="008930DD" w:rsidRDefault="002F4CB6" w:rsidP="008930DD">
            <w:pPr>
              <w:rPr>
                <w:rFonts w:ascii="Times New Roman" w:hAnsi="Times New Roman"/>
                <w:b/>
                <w:bCs/>
                <w:color w:val="000080"/>
              </w:rPr>
            </w:pPr>
            <w:r w:rsidRPr="008930DD">
              <w:rPr>
                <w:rFonts w:ascii="Times New Roman" w:hAnsi="Times New Roman"/>
                <w:b/>
                <w:bCs/>
                <w:color w:val="000000" w:themeColor="text1"/>
              </w:rPr>
              <w:t>Program Budgets</w:t>
            </w:r>
          </w:p>
        </w:tc>
        <w:tc>
          <w:tcPr>
            <w:tcW w:w="1620" w:type="dxa"/>
            <w:tcBorders>
              <w:bottom w:val="single" w:sz="12" w:space="0" w:color="000000"/>
            </w:tcBorders>
          </w:tcPr>
          <w:p w14:paraId="276427DD" w14:textId="77777777" w:rsidR="002F4CB6" w:rsidRPr="008930DD" w:rsidRDefault="002F4CB6" w:rsidP="00E220D7">
            <w:pPr>
              <w:rPr>
                <w:rFonts w:ascii="Times New Roman" w:hAnsi="Times New Roman"/>
                <w:b/>
                <w:bCs/>
                <w:color w:val="000000" w:themeColor="text1"/>
              </w:rPr>
            </w:pPr>
            <w:r w:rsidRPr="008930DD">
              <w:rPr>
                <w:rFonts w:ascii="Times New Roman" w:hAnsi="Times New Roman"/>
                <w:b/>
                <w:bCs/>
                <w:color w:val="000000" w:themeColor="text1"/>
              </w:rPr>
              <w:t>2012 Budget</w:t>
            </w:r>
            <w:r w:rsidRPr="008930DD">
              <w:rPr>
                <w:rStyle w:val="FootnoteReference"/>
                <w:rFonts w:ascii="Times New Roman" w:hAnsi="Times New Roman"/>
                <w:b/>
                <w:bCs/>
                <w:color w:val="000000" w:themeColor="text1"/>
              </w:rPr>
              <w:footnoteReference w:id="2"/>
            </w:r>
          </w:p>
        </w:tc>
        <w:tc>
          <w:tcPr>
            <w:tcW w:w="1710" w:type="dxa"/>
            <w:tcBorders>
              <w:bottom w:val="single" w:sz="12" w:space="0" w:color="000000"/>
            </w:tcBorders>
          </w:tcPr>
          <w:p w14:paraId="1A579690" w14:textId="01CBE0A4" w:rsidR="002F4CB6" w:rsidRPr="008930DD" w:rsidRDefault="002F4CB6" w:rsidP="008930DD">
            <w:pPr>
              <w:jc w:val="right"/>
              <w:rPr>
                <w:rFonts w:ascii="Times New Roman" w:hAnsi="Times New Roman"/>
                <w:b/>
                <w:bCs/>
                <w:color w:val="000000" w:themeColor="text1"/>
              </w:rPr>
            </w:pPr>
            <w:r w:rsidRPr="008930DD">
              <w:rPr>
                <w:rFonts w:ascii="Times New Roman" w:hAnsi="Times New Roman"/>
                <w:b/>
                <w:bCs/>
                <w:color w:val="000000" w:themeColor="text1"/>
              </w:rPr>
              <w:t>2013 Budget</w:t>
            </w:r>
            <w:r>
              <w:rPr>
                <w:rStyle w:val="FootnoteReference"/>
                <w:rFonts w:ascii="Times New Roman" w:hAnsi="Times New Roman"/>
                <w:b/>
                <w:bCs/>
                <w:color w:val="000000" w:themeColor="text1"/>
              </w:rPr>
              <w:footnoteReference w:id="3"/>
            </w:r>
            <w:r w:rsidRPr="008930DD">
              <w:rPr>
                <w:rFonts w:ascii="Times New Roman" w:hAnsi="Times New Roman"/>
                <w:b/>
                <w:bCs/>
                <w:color w:val="000000" w:themeColor="text1"/>
              </w:rPr>
              <w:t xml:space="preserve"> </w:t>
            </w:r>
          </w:p>
        </w:tc>
        <w:tc>
          <w:tcPr>
            <w:tcW w:w="1710" w:type="dxa"/>
            <w:tcBorders>
              <w:bottom w:val="single" w:sz="12" w:space="0" w:color="000000"/>
            </w:tcBorders>
          </w:tcPr>
          <w:p w14:paraId="485A1A22" w14:textId="11E37663" w:rsidR="002F4CB6" w:rsidRPr="008930DD" w:rsidRDefault="002F4CB6" w:rsidP="008930DD">
            <w:pPr>
              <w:jc w:val="right"/>
              <w:rPr>
                <w:rFonts w:ascii="Times New Roman" w:hAnsi="Times New Roman"/>
                <w:b/>
                <w:bCs/>
                <w:color w:val="000000" w:themeColor="text1"/>
              </w:rPr>
            </w:pPr>
            <w:r w:rsidRPr="008930DD">
              <w:rPr>
                <w:rFonts w:ascii="Times New Roman" w:hAnsi="Times New Roman"/>
                <w:b/>
                <w:bCs/>
                <w:color w:val="000000" w:themeColor="text1"/>
              </w:rPr>
              <w:t xml:space="preserve">2013 </w:t>
            </w:r>
            <w:r>
              <w:rPr>
                <w:rFonts w:ascii="Times New Roman" w:hAnsi="Times New Roman"/>
                <w:b/>
                <w:bCs/>
                <w:color w:val="000000" w:themeColor="text1"/>
              </w:rPr>
              <w:t xml:space="preserve">Revised </w:t>
            </w:r>
            <w:r w:rsidRPr="008930DD">
              <w:rPr>
                <w:rFonts w:ascii="Times New Roman" w:hAnsi="Times New Roman"/>
                <w:b/>
                <w:bCs/>
                <w:color w:val="000000" w:themeColor="text1"/>
              </w:rPr>
              <w:t xml:space="preserve">Budget </w:t>
            </w:r>
          </w:p>
        </w:tc>
        <w:tc>
          <w:tcPr>
            <w:tcW w:w="1368" w:type="dxa"/>
            <w:tcBorders>
              <w:bottom w:val="single" w:sz="12" w:space="0" w:color="000000"/>
            </w:tcBorders>
            <w:shd w:val="clear" w:color="auto" w:fill="auto"/>
          </w:tcPr>
          <w:p w14:paraId="43A963D1" w14:textId="349A71E3" w:rsidR="002F4CB6" w:rsidRPr="008930DD" w:rsidRDefault="002F4CB6" w:rsidP="008930DD">
            <w:pPr>
              <w:jc w:val="right"/>
              <w:rPr>
                <w:rFonts w:ascii="Times New Roman" w:hAnsi="Times New Roman"/>
                <w:b/>
                <w:bCs/>
                <w:color w:val="000000" w:themeColor="text1"/>
              </w:rPr>
            </w:pPr>
            <w:r>
              <w:rPr>
                <w:rFonts w:ascii="Times New Roman" w:hAnsi="Times New Roman"/>
                <w:b/>
                <w:bCs/>
                <w:color w:val="000000" w:themeColor="text1"/>
              </w:rPr>
              <w:t>2012-2013</w:t>
            </w:r>
            <w:r w:rsidRPr="008930DD">
              <w:rPr>
                <w:rFonts w:ascii="Times New Roman" w:hAnsi="Times New Roman"/>
                <w:b/>
                <w:bCs/>
                <w:color w:val="000000" w:themeColor="text1"/>
              </w:rPr>
              <w:t xml:space="preserve"> Change</w:t>
            </w:r>
          </w:p>
        </w:tc>
      </w:tr>
      <w:tr w:rsidR="002F4CB6" w:rsidRPr="008930DD" w14:paraId="1AD2E043" w14:textId="77777777" w:rsidTr="002F4CB6">
        <w:trPr>
          <w:trHeight w:val="291"/>
        </w:trPr>
        <w:tc>
          <w:tcPr>
            <w:tcW w:w="3168" w:type="dxa"/>
            <w:shd w:val="clear" w:color="auto" w:fill="auto"/>
          </w:tcPr>
          <w:p w14:paraId="12FB52E5" w14:textId="77777777" w:rsidR="002F4CB6" w:rsidRPr="008930DD" w:rsidRDefault="002F4CB6" w:rsidP="008930DD">
            <w:pPr>
              <w:rPr>
                <w:rFonts w:ascii="Times New Roman" w:hAnsi="Times New Roman"/>
              </w:rPr>
            </w:pPr>
            <w:r w:rsidRPr="008930DD">
              <w:rPr>
                <w:rFonts w:ascii="Times New Roman" w:hAnsi="Times New Roman"/>
              </w:rPr>
              <w:t xml:space="preserve">Residential </w:t>
            </w:r>
          </w:p>
        </w:tc>
        <w:tc>
          <w:tcPr>
            <w:tcW w:w="1620" w:type="dxa"/>
          </w:tcPr>
          <w:p w14:paraId="4EA7E78B" w14:textId="77777777" w:rsidR="002F4CB6" w:rsidRPr="008930DD" w:rsidRDefault="002F4CB6" w:rsidP="008930DD">
            <w:pPr>
              <w:jc w:val="right"/>
              <w:rPr>
                <w:rFonts w:ascii="Times New Roman" w:hAnsi="Times New Roman"/>
                <w:highlight w:val="yellow"/>
              </w:rPr>
            </w:pPr>
            <w:r w:rsidRPr="008930DD">
              <w:rPr>
                <w:rFonts w:ascii="Times New Roman" w:hAnsi="Times New Roman"/>
              </w:rPr>
              <w:t>$ 2,694,825</w:t>
            </w:r>
          </w:p>
        </w:tc>
        <w:tc>
          <w:tcPr>
            <w:tcW w:w="1710" w:type="dxa"/>
          </w:tcPr>
          <w:p w14:paraId="50C27B82" w14:textId="0F79AB52" w:rsidR="002F4CB6" w:rsidRPr="008930DD" w:rsidRDefault="002F4CB6" w:rsidP="008930DD">
            <w:pPr>
              <w:jc w:val="right"/>
              <w:rPr>
                <w:rFonts w:ascii="Times New Roman" w:hAnsi="Times New Roman"/>
              </w:rPr>
            </w:pPr>
            <w:r>
              <w:rPr>
                <w:rFonts w:ascii="Times New Roman" w:hAnsi="Times New Roman"/>
              </w:rPr>
              <w:t>$ 3,086,335</w:t>
            </w:r>
          </w:p>
        </w:tc>
        <w:tc>
          <w:tcPr>
            <w:tcW w:w="1710" w:type="dxa"/>
          </w:tcPr>
          <w:p w14:paraId="1A6A9CDC" w14:textId="622E9699" w:rsidR="002F4CB6" w:rsidRPr="008930DD" w:rsidRDefault="002F4CB6" w:rsidP="008930DD">
            <w:pPr>
              <w:jc w:val="right"/>
              <w:rPr>
                <w:rFonts w:ascii="Times New Roman" w:hAnsi="Times New Roman"/>
              </w:rPr>
            </w:pPr>
            <w:r w:rsidRPr="008930DD">
              <w:rPr>
                <w:rFonts w:ascii="Times New Roman" w:hAnsi="Times New Roman"/>
              </w:rPr>
              <w:t>$ 2,821,615</w:t>
            </w:r>
          </w:p>
        </w:tc>
        <w:tc>
          <w:tcPr>
            <w:tcW w:w="1368" w:type="dxa"/>
            <w:shd w:val="clear" w:color="auto" w:fill="auto"/>
          </w:tcPr>
          <w:p w14:paraId="071063D7" w14:textId="387EC977" w:rsidR="002F4CB6" w:rsidRPr="008930DD" w:rsidRDefault="002F4CB6" w:rsidP="008930DD">
            <w:pPr>
              <w:jc w:val="right"/>
              <w:rPr>
                <w:rFonts w:ascii="Times New Roman" w:hAnsi="Times New Roman"/>
              </w:rPr>
            </w:pPr>
            <w:r>
              <w:rPr>
                <w:rFonts w:ascii="Times New Roman" w:hAnsi="Times New Roman"/>
              </w:rPr>
              <w:t>5</w:t>
            </w:r>
            <w:r w:rsidRPr="008930DD">
              <w:rPr>
                <w:rFonts w:ascii="Times New Roman" w:hAnsi="Times New Roman"/>
              </w:rPr>
              <w:t>%</w:t>
            </w:r>
          </w:p>
        </w:tc>
      </w:tr>
      <w:tr w:rsidR="002F4CB6" w:rsidRPr="008930DD" w14:paraId="22E10AD9" w14:textId="77777777" w:rsidTr="002F4CB6">
        <w:trPr>
          <w:trHeight w:val="304"/>
        </w:trPr>
        <w:tc>
          <w:tcPr>
            <w:tcW w:w="3168" w:type="dxa"/>
            <w:shd w:val="clear" w:color="auto" w:fill="auto"/>
          </w:tcPr>
          <w:p w14:paraId="26F223D0" w14:textId="77777777" w:rsidR="002F4CB6" w:rsidRPr="008930DD" w:rsidRDefault="002F4CB6" w:rsidP="008930DD">
            <w:pPr>
              <w:rPr>
                <w:rFonts w:ascii="Times New Roman" w:hAnsi="Times New Roman"/>
              </w:rPr>
            </w:pPr>
            <w:r w:rsidRPr="008930DD">
              <w:rPr>
                <w:rFonts w:ascii="Times New Roman" w:hAnsi="Times New Roman"/>
              </w:rPr>
              <w:t xml:space="preserve">Commercial </w:t>
            </w:r>
          </w:p>
        </w:tc>
        <w:tc>
          <w:tcPr>
            <w:tcW w:w="1620" w:type="dxa"/>
          </w:tcPr>
          <w:p w14:paraId="3254A241" w14:textId="77777777" w:rsidR="002F4CB6" w:rsidRPr="008930DD" w:rsidRDefault="002F4CB6" w:rsidP="008930DD">
            <w:pPr>
              <w:jc w:val="right"/>
              <w:rPr>
                <w:rFonts w:ascii="Times New Roman" w:hAnsi="Times New Roman"/>
              </w:rPr>
            </w:pPr>
            <w:r w:rsidRPr="008930DD">
              <w:rPr>
                <w:rFonts w:ascii="Times New Roman" w:hAnsi="Times New Roman"/>
              </w:rPr>
              <w:t>$ 1,555,000</w:t>
            </w:r>
          </w:p>
        </w:tc>
        <w:tc>
          <w:tcPr>
            <w:tcW w:w="1710" w:type="dxa"/>
          </w:tcPr>
          <w:p w14:paraId="08324C38" w14:textId="49AE2029" w:rsidR="002F4CB6" w:rsidRPr="008930DD" w:rsidRDefault="002F4CB6" w:rsidP="008930DD">
            <w:pPr>
              <w:jc w:val="right"/>
              <w:rPr>
                <w:rFonts w:ascii="Times New Roman" w:hAnsi="Times New Roman"/>
              </w:rPr>
            </w:pPr>
            <w:r>
              <w:rPr>
                <w:rFonts w:ascii="Times New Roman" w:hAnsi="Times New Roman"/>
              </w:rPr>
              <w:t>$ 1,543,241</w:t>
            </w:r>
          </w:p>
        </w:tc>
        <w:tc>
          <w:tcPr>
            <w:tcW w:w="1710" w:type="dxa"/>
          </w:tcPr>
          <w:p w14:paraId="73E15A39" w14:textId="2BF811E8" w:rsidR="002F4CB6" w:rsidRPr="008930DD" w:rsidRDefault="002F4CB6" w:rsidP="008930DD">
            <w:pPr>
              <w:jc w:val="right"/>
              <w:rPr>
                <w:rFonts w:ascii="Times New Roman" w:hAnsi="Times New Roman"/>
              </w:rPr>
            </w:pPr>
            <w:r w:rsidRPr="008930DD">
              <w:rPr>
                <w:rFonts w:ascii="Times New Roman" w:hAnsi="Times New Roman"/>
              </w:rPr>
              <w:t>$ 2,112,327</w:t>
            </w:r>
          </w:p>
        </w:tc>
        <w:tc>
          <w:tcPr>
            <w:tcW w:w="1368" w:type="dxa"/>
            <w:shd w:val="clear" w:color="auto" w:fill="auto"/>
          </w:tcPr>
          <w:p w14:paraId="274F28E8" w14:textId="69B582CA" w:rsidR="002F4CB6" w:rsidRPr="008930DD" w:rsidRDefault="002F4CB6" w:rsidP="008930DD">
            <w:pPr>
              <w:jc w:val="right"/>
              <w:rPr>
                <w:rFonts w:ascii="Times New Roman" w:hAnsi="Times New Roman"/>
              </w:rPr>
            </w:pPr>
            <w:r>
              <w:rPr>
                <w:rFonts w:ascii="Times New Roman" w:hAnsi="Times New Roman"/>
              </w:rPr>
              <w:t>35</w:t>
            </w:r>
            <w:r w:rsidRPr="008930DD">
              <w:rPr>
                <w:rFonts w:ascii="Times New Roman" w:hAnsi="Times New Roman"/>
              </w:rPr>
              <w:t>%</w:t>
            </w:r>
          </w:p>
        </w:tc>
      </w:tr>
      <w:tr w:rsidR="002F4CB6" w:rsidRPr="008930DD" w14:paraId="5675E1C2" w14:textId="77777777" w:rsidTr="002F4CB6">
        <w:trPr>
          <w:trHeight w:val="291"/>
        </w:trPr>
        <w:tc>
          <w:tcPr>
            <w:tcW w:w="3168" w:type="dxa"/>
            <w:shd w:val="clear" w:color="auto" w:fill="auto"/>
          </w:tcPr>
          <w:p w14:paraId="2E69F402" w14:textId="77777777" w:rsidR="002F4CB6" w:rsidRPr="008930DD" w:rsidRDefault="002F4CB6" w:rsidP="008930DD">
            <w:pPr>
              <w:rPr>
                <w:rFonts w:ascii="Times New Roman" w:hAnsi="Times New Roman"/>
              </w:rPr>
            </w:pPr>
            <w:r w:rsidRPr="008930DD">
              <w:rPr>
                <w:rFonts w:ascii="Times New Roman" w:hAnsi="Times New Roman"/>
              </w:rPr>
              <w:t>Industrial</w:t>
            </w:r>
          </w:p>
        </w:tc>
        <w:tc>
          <w:tcPr>
            <w:tcW w:w="1620" w:type="dxa"/>
          </w:tcPr>
          <w:p w14:paraId="31C2CE03" w14:textId="77777777" w:rsidR="002F4CB6" w:rsidRPr="008930DD" w:rsidRDefault="002F4CB6" w:rsidP="008930DD">
            <w:pPr>
              <w:jc w:val="right"/>
              <w:rPr>
                <w:rFonts w:ascii="Times New Roman" w:hAnsi="Times New Roman"/>
              </w:rPr>
            </w:pPr>
            <w:r w:rsidRPr="008930DD">
              <w:rPr>
                <w:rFonts w:ascii="Times New Roman" w:hAnsi="Times New Roman"/>
              </w:rPr>
              <w:t>$ 2,689,000</w:t>
            </w:r>
          </w:p>
        </w:tc>
        <w:tc>
          <w:tcPr>
            <w:tcW w:w="1710" w:type="dxa"/>
          </w:tcPr>
          <w:p w14:paraId="5749C2F0" w14:textId="3814A7A7" w:rsidR="002F4CB6" w:rsidRPr="008930DD" w:rsidRDefault="002F4CB6" w:rsidP="008930DD">
            <w:pPr>
              <w:jc w:val="right"/>
              <w:rPr>
                <w:rFonts w:ascii="Times New Roman" w:hAnsi="Times New Roman"/>
              </w:rPr>
            </w:pPr>
            <w:r>
              <w:rPr>
                <w:rFonts w:ascii="Times New Roman" w:hAnsi="Times New Roman"/>
              </w:rPr>
              <w:t>$ 3,122,229</w:t>
            </w:r>
          </w:p>
        </w:tc>
        <w:tc>
          <w:tcPr>
            <w:tcW w:w="1710" w:type="dxa"/>
          </w:tcPr>
          <w:p w14:paraId="19662867" w14:textId="6612F6B5" w:rsidR="002F4CB6" w:rsidRPr="008930DD" w:rsidRDefault="002F4CB6" w:rsidP="008930DD">
            <w:pPr>
              <w:jc w:val="right"/>
              <w:rPr>
                <w:rFonts w:ascii="Times New Roman" w:hAnsi="Times New Roman"/>
              </w:rPr>
            </w:pPr>
            <w:r w:rsidRPr="008930DD">
              <w:rPr>
                <w:rFonts w:ascii="Times New Roman" w:hAnsi="Times New Roman"/>
              </w:rPr>
              <w:t>$ 2,970,716</w:t>
            </w:r>
          </w:p>
        </w:tc>
        <w:tc>
          <w:tcPr>
            <w:tcW w:w="1368" w:type="dxa"/>
            <w:shd w:val="clear" w:color="auto" w:fill="auto"/>
          </w:tcPr>
          <w:p w14:paraId="7F28ACB0" w14:textId="6D1844E6" w:rsidR="002F4CB6" w:rsidRPr="008930DD" w:rsidRDefault="002F4CB6" w:rsidP="008930DD">
            <w:pPr>
              <w:jc w:val="right"/>
              <w:rPr>
                <w:rFonts w:ascii="Times New Roman" w:hAnsi="Times New Roman"/>
              </w:rPr>
            </w:pPr>
            <w:r>
              <w:rPr>
                <w:rFonts w:ascii="Times New Roman" w:hAnsi="Times New Roman"/>
              </w:rPr>
              <w:t>10</w:t>
            </w:r>
            <w:r w:rsidRPr="008930DD">
              <w:rPr>
                <w:rFonts w:ascii="Times New Roman" w:hAnsi="Times New Roman"/>
              </w:rPr>
              <w:t>%</w:t>
            </w:r>
          </w:p>
        </w:tc>
      </w:tr>
      <w:tr w:rsidR="002F4CB6" w:rsidRPr="008930DD" w14:paraId="7DD55AEC" w14:textId="77777777" w:rsidTr="002F4CB6">
        <w:trPr>
          <w:trHeight w:val="291"/>
        </w:trPr>
        <w:tc>
          <w:tcPr>
            <w:tcW w:w="3168" w:type="dxa"/>
            <w:shd w:val="clear" w:color="auto" w:fill="auto"/>
          </w:tcPr>
          <w:p w14:paraId="0362B934" w14:textId="77777777" w:rsidR="002F4CB6" w:rsidRPr="008930DD" w:rsidRDefault="002F4CB6" w:rsidP="008930DD">
            <w:pPr>
              <w:rPr>
                <w:rFonts w:ascii="Times New Roman" w:hAnsi="Times New Roman"/>
              </w:rPr>
            </w:pPr>
            <w:r w:rsidRPr="008930DD">
              <w:rPr>
                <w:rFonts w:ascii="Times New Roman" w:hAnsi="Times New Roman"/>
              </w:rPr>
              <w:t xml:space="preserve">NEEA </w:t>
            </w:r>
          </w:p>
        </w:tc>
        <w:tc>
          <w:tcPr>
            <w:tcW w:w="1620" w:type="dxa"/>
          </w:tcPr>
          <w:p w14:paraId="7D67BEAD" w14:textId="77777777" w:rsidR="002F4CB6" w:rsidRPr="008930DD" w:rsidRDefault="002F4CB6" w:rsidP="008930DD">
            <w:pPr>
              <w:jc w:val="right"/>
              <w:rPr>
                <w:rFonts w:ascii="Times New Roman" w:hAnsi="Times New Roman"/>
              </w:rPr>
            </w:pPr>
            <w:r w:rsidRPr="008930DD">
              <w:rPr>
                <w:rFonts w:ascii="Times New Roman" w:hAnsi="Times New Roman"/>
              </w:rPr>
              <w:t>$ 1,157,000</w:t>
            </w:r>
          </w:p>
        </w:tc>
        <w:tc>
          <w:tcPr>
            <w:tcW w:w="1710" w:type="dxa"/>
          </w:tcPr>
          <w:p w14:paraId="757D4284" w14:textId="0B707495" w:rsidR="002F4CB6" w:rsidRPr="008930DD" w:rsidRDefault="002F4CB6" w:rsidP="008930DD">
            <w:pPr>
              <w:jc w:val="right"/>
              <w:rPr>
                <w:rFonts w:ascii="Times New Roman" w:hAnsi="Times New Roman"/>
              </w:rPr>
            </w:pPr>
            <w:r>
              <w:rPr>
                <w:rFonts w:ascii="Times New Roman" w:hAnsi="Times New Roman"/>
              </w:rPr>
              <w:t>$ 1,212,456</w:t>
            </w:r>
          </w:p>
        </w:tc>
        <w:tc>
          <w:tcPr>
            <w:tcW w:w="1710" w:type="dxa"/>
          </w:tcPr>
          <w:p w14:paraId="100AFB4C" w14:textId="19C389FE" w:rsidR="002F4CB6" w:rsidRPr="008930DD" w:rsidRDefault="002F4CB6" w:rsidP="008930DD">
            <w:pPr>
              <w:jc w:val="right"/>
              <w:rPr>
                <w:rFonts w:ascii="Times New Roman" w:hAnsi="Times New Roman"/>
              </w:rPr>
            </w:pPr>
            <w:r w:rsidRPr="008930DD">
              <w:rPr>
                <w:rFonts w:ascii="Times New Roman" w:hAnsi="Times New Roman"/>
              </w:rPr>
              <w:t>$ 1,212,456</w:t>
            </w:r>
          </w:p>
        </w:tc>
        <w:tc>
          <w:tcPr>
            <w:tcW w:w="1368" w:type="dxa"/>
            <w:shd w:val="clear" w:color="auto" w:fill="auto"/>
          </w:tcPr>
          <w:p w14:paraId="10573D3F" w14:textId="0571F5F3" w:rsidR="002F4CB6" w:rsidRPr="008930DD" w:rsidRDefault="002F4CB6" w:rsidP="008930DD">
            <w:pPr>
              <w:jc w:val="right"/>
              <w:rPr>
                <w:rFonts w:ascii="Times New Roman" w:hAnsi="Times New Roman"/>
              </w:rPr>
            </w:pPr>
            <w:r>
              <w:rPr>
                <w:rFonts w:ascii="Times New Roman" w:hAnsi="Times New Roman"/>
              </w:rPr>
              <w:t>5</w:t>
            </w:r>
            <w:r w:rsidRPr="008930DD">
              <w:rPr>
                <w:rFonts w:ascii="Times New Roman" w:hAnsi="Times New Roman"/>
              </w:rPr>
              <w:t>%</w:t>
            </w:r>
          </w:p>
        </w:tc>
      </w:tr>
      <w:tr w:rsidR="002F4CB6" w:rsidRPr="008930DD" w14:paraId="54BAE843" w14:textId="77777777" w:rsidTr="002F4CB6">
        <w:trPr>
          <w:trHeight w:val="291"/>
        </w:trPr>
        <w:tc>
          <w:tcPr>
            <w:tcW w:w="3168" w:type="dxa"/>
            <w:shd w:val="clear" w:color="auto" w:fill="auto"/>
          </w:tcPr>
          <w:p w14:paraId="7D0E030C" w14:textId="77777777" w:rsidR="002F4CB6" w:rsidRPr="008930DD" w:rsidRDefault="002F4CB6" w:rsidP="008930DD">
            <w:pPr>
              <w:rPr>
                <w:rFonts w:ascii="Times New Roman" w:hAnsi="Times New Roman"/>
              </w:rPr>
            </w:pPr>
            <w:r w:rsidRPr="008930DD">
              <w:rPr>
                <w:rFonts w:ascii="Times New Roman" w:hAnsi="Times New Roman"/>
              </w:rPr>
              <w:t>Other</w:t>
            </w:r>
          </w:p>
        </w:tc>
        <w:tc>
          <w:tcPr>
            <w:tcW w:w="1620" w:type="dxa"/>
          </w:tcPr>
          <w:p w14:paraId="1D97D22E" w14:textId="77777777" w:rsidR="002F4CB6" w:rsidRPr="008930DD" w:rsidRDefault="002F4CB6" w:rsidP="008930DD">
            <w:pPr>
              <w:jc w:val="right"/>
              <w:rPr>
                <w:rFonts w:ascii="Times New Roman" w:hAnsi="Times New Roman"/>
              </w:rPr>
            </w:pPr>
            <w:r w:rsidRPr="008930DD">
              <w:rPr>
                <w:rFonts w:ascii="Times New Roman" w:hAnsi="Times New Roman"/>
              </w:rPr>
              <w:t>$ 2,598,500</w:t>
            </w:r>
          </w:p>
        </w:tc>
        <w:tc>
          <w:tcPr>
            <w:tcW w:w="1710" w:type="dxa"/>
          </w:tcPr>
          <w:p w14:paraId="4740526C" w14:textId="74353378" w:rsidR="002F4CB6" w:rsidRPr="008930DD" w:rsidRDefault="002F4CB6" w:rsidP="008930DD">
            <w:pPr>
              <w:jc w:val="right"/>
              <w:rPr>
                <w:rFonts w:ascii="Times New Roman" w:hAnsi="Times New Roman"/>
              </w:rPr>
            </w:pPr>
            <w:r>
              <w:rPr>
                <w:rFonts w:ascii="Times New Roman" w:hAnsi="Times New Roman"/>
              </w:rPr>
              <w:t>$ 1,005,300</w:t>
            </w:r>
          </w:p>
        </w:tc>
        <w:tc>
          <w:tcPr>
            <w:tcW w:w="1710" w:type="dxa"/>
          </w:tcPr>
          <w:p w14:paraId="6466FB10" w14:textId="54463EC4" w:rsidR="002F4CB6" w:rsidRPr="008930DD" w:rsidRDefault="002F4CB6" w:rsidP="008930DD">
            <w:pPr>
              <w:jc w:val="right"/>
              <w:rPr>
                <w:rFonts w:ascii="Times New Roman" w:hAnsi="Times New Roman"/>
              </w:rPr>
            </w:pPr>
            <w:r w:rsidRPr="008930DD">
              <w:rPr>
                <w:rFonts w:ascii="Times New Roman" w:hAnsi="Times New Roman"/>
              </w:rPr>
              <w:t>$ 866,296</w:t>
            </w:r>
          </w:p>
        </w:tc>
        <w:tc>
          <w:tcPr>
            <w:tcW w:w="1368" w:type="dxa"/>
            <w:shd w:val="clear" w:color="auto" w:fill="auto"/>
          </w:tcPr>
          <w:p w14:paraId="5DBA722C" w14:textId="22BCDC15" w:rsidR="002F4CB6" w:rsidRPr="008930DD" w:rsidRDefault="002F4CB6" w:rsidP="008930DD">
            <w:pPr>
              <w:jc w:val="right"/>
              <w:rPr>
                <w:rFonts w:ascii="Times New Roman" w:hAnsi="Times New Roman"/>
              </w:rPr>
            </w:pPr>
            <w:r>
              <w:rPr>
                <w:rFonts w:ascii="Times New Roman" w:hAnsi="Times New Roman"/>
              </w:rPr>
              <w:t>- 66</w:t>
            </w:r>
            <w:r w:rsidRPr="008930DD">
              <w:rPr>
                <w:rFonts w:ascii="Times New Roman" w:hAnsi="Times New Roman"/>
              </w:rPr>
              <w:t>%</w:t>
            </w:r>
          </w:p>
        </w:tc>
      </w:tr>
      <w:tr w:rsidR="002F4CB6" w:rsidRPr="008930DD" w14:paraId="76878D8D" w14:textId="77777777" w:rsidTr="002F4CB6">
        <w:trPr>
          <w:trHeight w:val="291"/>
        </w:trPr>
        <w:tc>
          <w:tcPr>
            <w:tcW w:w="3168" w:type="dxa"/>
            <w:shd w:val="clear" w:color="auto" w:fill="auto"/>
          </w:tcPr>
          <w:p w14:paraId="216D29DC" w14:textId="77777777" w:rsidR="002F4CB6" w:rsidRPr="008930DD" w:rsidRDefault="002F4CB6" w:rsidP="008930DD">
            <w:pPr>
              <w:rPr>
                <w:rFonts w:ascii="Times New Roman" w:hAnsi="Times New Roman"/>
                <w:b/>
              </w:rPr>
            </w:pPr>
            <w:r w:rsidRPr="008930DD">
              <w:rPr>
                <w:rFonts w:ascii="Times New Roman" w:hAnsi="Times New Roman"/>
                <w:b/>
              </w:rPr>
              <w:t>Total</w:t>
            </w:r>
          </w:p>
        </w:tc>
        <w:tc>
          <w:tcPr>
            <w:tcW w:w="1620" w:type="dxa"/>
          </w:tcPr>
          <w:p w14:paraId="73EB9664" w14:textId="77777777" w:rsidR="002F4CB6" w:rsidRPr="008930DD" w:rsidRDefault="002F4CB6" w:rsidP="008930DD">
            <w:pPr>
              <w:jc w:val="right"/>
              <w:rPr>
                <w:rFonts w:ascii="Times New Roman" w:hAnsi="Times New Roman"/>
                <w:b/>
              </w:rPr>
            </w:pPr>
            <w:r w:rsidRPr="008930DD">
              <w:rPr>
                <w:rFonts w:ascii="Times New Roman" w:hAnsi="Times New Roman"/>
                <w:b/>
              </w:rPr>
              <w:t>$ 10,694,325</w:t>
            </w:r>
          </w:p>
        </w:tc>
        <w:tc>
          <w:tcPr>
            <w:tcW w:w="1710" w:type="dxa"/>
          </w:tcPr>
          <w:p w14:paraId="6243D752" w14:textId="3232E8E2" w:rsidR="002F4CB6" w:rsidRPr="008930DD" w:rsidRDefault="002F4CB6" w:rsidP="008930DD">
            <w:pPr>
              <w:jc w:val="right"/>
              <w:rPr>
                <w:rFonts w:ascii="Times New Roman" w:hAnsi="Times New Roman"/>
                <w:b/>
              </w:rPr>
            </w:pPr>
            <w:r>
              <w:rPr>
                <w:rFonts w:ascii="Times New Roman" w:hAnsi="Times New Roman"/>
                <w:b/>
              </w:rPr>
              <w:t xml:space="preserve">$ </w:t>
            </w:r>
            <w:r w:rsidR="00585366">
              <w:rPr>
                <w:rFonts w:ascii="Times New Roman" w:hAnsi="Times New Roman"/>
                <w:b/>
              </w:rPr>
              <w:t>9,969,561</w:t>
            </w:r>
          </w:p>
        </w:tc>
        <w:tc>
          <w:tcPr>
            <w:tcW w:w="1710" w:type="dxa"/>
          </w:tcPr>
          <w:p w14:paraId="2FF56062" w14:textId="085A4891" w:rsidR="002F4CB6" w:rsidRPr="008930DD" w:rsidRDefault="002F4CB6" w:rsidP="008930DD">
            <w:pPr>
              <w:jc w:val="right"/>
              <w:rPr>
                <w:rFonts w:ascii="Times New Roman" w:hAnsi="Times New Roman"/>
                <w:b/>
              </w:rPr>
            </w:pPr>
            <w:r w:rsidRPr="008930DD">
              <w:rPr>
                <w:rFonts w:ascii="Times New Roman" w:hAnsi="Times New Roman"/>
                <w:b/>
              </w:rPr>
              <w:t>$ 9,983,410</w:t>
            </w:r>
          </w:p>
        </w:tc>
        <w:tc>
          <w:tcPr>
            <w:tcW w:w="1368" w:type="dxa"/>
            <w:shd w:val="clear" w:color="auto" w:fill="auto"/>
          </w:tcPr>
          <w:p w14:paraId="737F525C" w14:textId="77777777" w:rsidR="002F4CB6" w:rsidRPr="008930DD" w:rsidRDefault="002F4CB6" w:rsidP="008930DD">
            <w:pPr>
              <w:jc w:val="right"/>
              <w:rPr>
                <w:rFonts w:ascii="Times New Roman" w:hAnsi="Times New Roman"/>
                <w:b/>
              </w:rPr>
            </w:pPr>
            <w:r w:rsidRPr="008930DD">
              <w:rPr>
                <w:rFonts w:ascii="Times New Roman" w:hAnsi="Times New Roman"/>
                <w:b/>
              </w:rPr>
              <w:t>- 6.6%</w:t>
            </w:r>
          </w:p>
        </w:tc>
      </w:tr>
    </w:tbl>
    <w:p w14:paraId="494E5D6C" w14:textId="77777777" w:rsidR="008930DD" w:rsidRDefault="008930DD" w:rsidP="008930DD"/>
    <w:p w14:paraId="7F4346D6" w14:textId="48A45B42" w:rsidR="00571518" w:rsidRDefault="00571518" w:rsidP="00571518">
      <w:pPr>
        <w:pStyle w:val="NoSpacing"/>
        <w:rPr>
          <w:rFonts w:eastAsia="Times New Roman"/>
          <w:szCs w:val="24"/>
        </w:rPr>
      </w:pPr>
      <w:r>
        <w:rPr>
          <w:rFonts w:eastAsia="Times New Roman"/>
          <w:szCs w:val="24"/>
        </w:rPr>
        <w:t xml:space="preserve">The lower estimated portfolio-level expenditures </w:t>
      </w:r>
      <w:r w:rsidR="00E220D7">
        <w:rPr>
          <w:rFonts w:eastAsia="Times New Roman"/>
          <w:szCs w:val="24"/>
        </w:rPr>
        <w:t xml:space="preserve">in this revised plan </w:t>
      </w:r>
      <w:r>
        <w:rPr>
          <w:rFonts w:eastAsia="Times New Roman"/>
          <w:szCs w:val="24"/>
        </w:rPr>
        <w:t xml:space="preserve">are driven by reductions in expenditures across several programs, including Low-income Weatherization, Home Energy Savings, industrial-sector Energy FinAnswer and Distribution and Production Efficiency. The most substantial increase in estimated 2012-2013 expenditures </w:t>
      </w:r>
      <w:r w:rsidR="00AB4610">
        <w:rPr>
          <w:rFonts w:eastAsia="Times New Roman"/>
          <w:szCs w:val="24"/>
        </w:rPr>
        <w:t>is</w:t>
      </w:r>
      <w:r>
        <w:rPr>
          <w:rFonts w:eastAsia="Times New Roman"/>
          <w:szCs w:val="24"/>
        </w:rPr>
        <w:t xml:space="preserve"> for commercial Energy FinAnswer Express which increased by $1.2 million due to an acceleration of commercial lighting projects.</w:t>
      </w:r>
    </w:p>
    <w:p w14:paraId="7CAFEBFC" w14:textId="77777777" w:rsidR="00571518" w:rsidRDefault="00571518" w:rsidP="00571518">
      <w:pPr>
        <w:pStyle w:val="NoSpacing"/>
        <w:rPr>
          <w:rFonts w:eastAsia="Times New Roman"/>
          <w:szCs w:val="24"/>
        </w:rPr>
      </w:pPr>
    </w:p>
    <w:p w14:paraId="7D48CD0D" w14:textId="13CD12C0" w:rsidR="00A44AF1" w:rsidRPr="00571518" w:rsidRDefault="00571518" w:rsidP="00585DA6">
      <w:pPr>
        <w:pStyle w:val="NoSpacing"/>
        <w:rPr>
          <w:rFonts w:eastAsia="Times New Roman"/>
          <w:b/>
          <w:i/>
          <w:szCs w:val="24"/>
        </w:rPr>
      </w:pPr>
      <w:r>
        <w:rPr>
          <w:rFonts w:eastAsia="Times New Roman"/>
          <w:szCs w:val="24"/>
        </w:rPr>
        <w:t>PacifiCorp is also increasing its gross savings estimates for 2012 and 2013</w:t>
      </w:r>
      <w:r w:rsidR="00130815">
        <w:rPr>
          <w:rFonts w:eastAsia="Times New Roman"/>
          <w:szCs w:val="24"/>
        </w:rPr>
        <w:t>, relative to its</w:t>
      </w:r>
      <w:r w:rsidR="00D96653">
        <w:rPr>
          <w:rFonts w:eastAsia="Times New Roman"/>
          <w:szCs w:val="24"/>
        </w:rPr>
        <w:t xml:space="preserve"> last business plan update</w:t>
      </w:r>
      <w:r>
        <w:rPr>
          <w:rFonts w:eastAsia="Times New Roman"/>
          <w:szCs w:val="24"/>
        </w:rPr>
        <w:t>. The savings estimate for 2013 has increased by 17.9 percent, from 46,153 MWh to 54,431 MWh, and the savings estimate for 2012 has increased by 11.1 percent, from 39,457 MWh to 43,836 MWh. Overall, the company is reporting a 12,657 MWh (or 15.2 percent) increase in estimated savings for the 2012-2013 biennium.</w:t>
      </w:r>
      <w:r w:rsidR="009D0CF9">
        <w:rPr>
          <w:rFonts w:eastAsia="Times New Roman"/>
          <w:szCs w:val="24"/>
        </w:rPr>
        <w:t xml:space="preserve"> Relative to the goals established in its Biennial Conservation Plan (BCP)</w:t>
      </w:r>
      <w:r w:rsidR="009D0CF9">
        <w:rPr>
          <w:rStyle w:val="FootnoteReference"/>
          <w:rFonts w:eastAsia="Times New Roman"/>
          <w:szCs w:val="24"/>
        </w:rPr>
        <w:footnoteReference w:id="4"/>
      </w:r>
      <w:r w:rsidR="00AB4610">
        <w:rPr>
          <w:rFonts w:eastAsia="Times New Roman"/>
          <w:szCs w:val="24"/>
        </w:rPr>
        <w:t xml:space="preserve">, </w:t>
      </w:r>
      <w:r w:rsidR="009D0CF9">
        <w:rPr>
          <w:rFonts w:eastAsia="Times New Roman"/>
          <w:szCs w:val="24"/>
        </w:rPr>
        <w:t xml:space="preserve">PacifiCorp is on track to achieve 115 percent if its 2012 target and it expects to achieve 124 percent of its 2012-2013 biennial target. The company also provided staff with </w:t>
      </w:r>
      <w:r w:rsidR="00744818">
        <w:rPr>
          <w:rFonts w:eastAsia="Times New Roman"/>
          <w:szCs w:val="24"/>
        </w:rPr>
        <w:t>detail of its year-to-date progress through September 2012 demonstrating that the company is on track to exceed its 2012 target.</w:t>
      </w:r>
    </w:p>
    <w:p w14:paraId="6CEF55AB" w14:textId="77777777" w:rsidR="00A44AF1" w:rsidRDefault="00A44AF1" w:rsidP="00585DA6">
      <w:pPr>
        <w:pStyle w:val="NoSpacing"/>
        <w:rPr>
          <w:rFonts w:eastAsia="Times New Roman"/>
          <w:szCs w:val="24"/>
        </w:rPr>
      </w:pPr>
    </w:p>
    <w:tbl>
      <w:tblPr>
        <w:tblW w:w="957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3085"/>
        <w:gridCol w:w="1433"/>
        <w:gridCol w:w="1710"/>
        <w:gridCol w:w="1620"/>
        <w:gridCol w:w="1728"/>
      </w:tblGrid>
      <w:tr w:rsidR="00A44AF1" w:rsidRPr="00A44AF1" w14:paraId="1DCBA16A" w14:textId="77777777" w:rsidTr="00A44AF1">
        <w:trPr>
          <w:trHeight w:val="279"/>
        </w:trPr>
        <w:tc>
          <w:tcPr>
            <w:tcW w:w="3085" w:type="dxa"/>
            <w:tcBorders>
              <w:bottom w:val="single" w:sz="12" w:space="0" w:color="000000"/>
            </w:tcBorders>
            <w:shd w:val="clear" w:color="auto" w:fill="auto"/>
          </w:tcPr>
          <w:p w14:paraId="2E6ED4BF" w14:textId="77777777" w:rsidR="00984B8A" w:rsidRDefault="00984B8A" w:rsidP="00A44AF1">
            <w:pPr>
              <w:rPr>
                <w:rFonts w:ascii="Times New Roman" w:hAnsi="Times New Roman"/>
                <w:b/>
                <w:bCs/>
                <w:color w:val="000000" w:themeColor="text1"/>
              </w:rPr>
            </w:pPr>
          </w:p>
          <w:p w14:paraId="09DC1E51" w14:textId="77777777" w:rsidR="00A44AF1" w:rsidRPr="00A44AF1" w:rsidRDefault="00A44AF1" w:rsidP="00A44AF1">
            <w:pPr>
              <w:rPr>
                <w:rFonts w:ascii="Times New Roman" w:hAnsi="Times New Roman"/>
                <w:b/>
                <w:bCs/>
                <w:color w:val="000080"/>
              </w:rPr>
            </w:pPr>
            <w:r w:rsidRPr="00A44AF1">
              <w:rPr>
                <w:rFonts w:ascii="Times New Roman" w:hAnsi="Times New Roman"/>
                <w:b/>
                <w:bCs/>
                <w:color w:val="000000" w:themeColor="text1"/>
              </w:rPr>
              <w:t>Electric Conservation</w:t>
            </w:r>
          </w:p>
        </w:tc>
        <w:tc>
          <w:tcPr>
            <w:tcW w:w="1433" w:type="dxa"/>
            <w:tcBorders>
              <w:bottom w:val="single" w:sz="12" w:space="0" w:color="000000"/>
            </w:tcBorders>
          </w:tcPr>
          <w:p w14:paraId="5C83C644" w14:textId="77777777" w:rsidR="00A44AF1" w:rsidRPr="00A44AF1" w:rsidRDefault="00A44AF1" w:rsidP="00A44AF1">
            <w:pPr>
              <w:jc w:val="right"/>
              <w:rPr>
                <w:rFonts w:ascii="Times New Roman" w:hAnsi="Times New Roman"/>
                <w:b/>
                <w:bCs/>
                <w:color w:val="000000" w:themeColor="text1"/>
              </w:rPr>
            </w:pPr>
            <w:r w:rsidRPr="00A44AF1">
              <w:rPr>
                <w:rFonts w:ascii="Times New Roman" w:hAnsi="Times New Roman"/>
                <w:b/>
                <w:bCs/>
                <w:color w:val="000000" w:themeColor="text1"/>
              </w:rPr>
              <w:t>BCP Target</w:t>
            </w:r>
          </w:p>
        </w:tc>
        <w:tc>
          <w:tcPr>
            <w:tcW w:w="1710" w:type="dxa"/>
            <w:tcBorders>
              <w:bottom w:val="single" w:sz="12" w:space="0" w:color="000000"/>
            </w:tcBorders>
          </w:tcPr>
          <w:p w14:paraId="465A0B6D" w14:textId="7375ED3C" w:rsidR="00A44AF1" w:rsidRPr="00A44AF1" w:rsidRDefault="00A44AF1" w:rsidP="0046724E">
            <w:pPr>
              <w:jc w:val="right"/>
              <w:rPr>
                <w:rFonts w:ascii="Times New Roman" w:hAnsi="Times New Roman"/>
                <w:b/>
                <w:bCs/>
                <w:color w:val="000000" w:themeColor="text1"/>
              </w:rPr>
            </w:pPr>
            <w:r w:rsidRPr="00A44AF1">
              <w:rPr>
                <w:rFonts w:ascii="Times New Roman" w:hAnsi="Times New Roman"/>
                <w:b/>
                <w:bCs/>
                <w:color w:val="000000" w:themeColor="text1"/>
              </w:rPr>
              <w:t>Projected Savings</w:t>
            </w:r>
          </w:p>
        </w:tc>
        <w:tc>
          <w:tcPr>
            <w:tcW w:w="1620" w:type="dxa"/>
            <w:tcBorders>
              <w:bottom w:val="single" w:sz="12" w:space="0" w:color="000000"/>
            </w:tcBorders>
          </w:tcPr>
          <w:p w14:paraId="07751D95" w14:textId="77777777" w:rsidR="00A44AF1" w:rsidRPr="00A44AF1" w:rsidRDefault="00A44AF1" w:rsidP="00A44AF1">
            <w:pPr>
              <w:jc w:val="right"/>
              <w:rPr>
                <w:rFonts w:ascii="Times New Roman" w:hAnsi="Times New Roman"/>
                <w:b/>
                <w:bCs/>
                <w:color w:val="000000" w:themeColor="text1"/>
              </w:rPr>
            </w:pPr>
            <w:r w:rsidRPr="00A44AF1">
              <w:rPr>
                <w:rFonts w:ascii="Times New Roman" w:hAnsi="Times New Roman"/>
                <w:b/>
                <w:bCs/>
                <w:color w:val="000000" w:themeColor="text1"/>
              </w:rPr>
              <w:t>Percent of Target</w:t>
            </w:r>
          </w:p>
        </w:tc>
        <w:tc>
          <w:tcPr>
            <w:tcW w:w="1728" w:type="dxa"/>
            <w:tcBorders>
              <w:bottom w:val="single" w:sz="12" w:space="0" w:color="000000"/>
            </w:tcBorders>
            <w:shd w:val="clear" w:color="auto" w:fill="auto"/>
          </w:tcPr>
          <w:p w14:paraId="6CE46D7D" w14:textId="77777777" w:rsidR="00984B8A" w:rsidRDefault="00984B8A" w:rsidP="00A44AF1">
            <w:pPr>
              <w:jc w:val="right"/>
              <w:rPr>
                <w:rFonts w:ascii="Times New Roman" w:hAnsi="Times New Roman"/>
                <w:b/>
                <w:bCs/>
                <w:color w:val="000000" w:themeColor="text1"/>
              </w:rPr>
            </w:pPr>
          </w:p>
          <w:p w14:paraId="32FC8D75" w14:textId="77777777" w:rsidR="00A44AF1" w:rsidRPr="00A44AF1" w:rsidRDefault="00A44AF1" w:rsidP="00A44AF1">
            <w:pPr>
              <w:jc w:val="right"/>
              <w:rPr>
                <w:rFonts w:ascii="Times New Roman" w:hAnsi="Times New Roman"/>
                <w:b/>
                <w:bCs/>
                <w:color w:val="000000" w:themeColor="text1"/>
              </w:rPr>
            </w:pPr>
            <w:r w:rsidRPr="00A44AF1">
              <w:rPr>
                <w:rFonts w:ascii="Times New Roman" w:hAnsi="Times New Roman"/>
                <w:b/>
                <w:bCs/>
                <w:color w:val="000000" w:themeColor="text1"/>
              </w:rPr>
              <w:t>ACP Target</w:t>
            </w:r>
          </w:p>
        </w:tc>
      </w:tr>
      <w:tr w:rsidR="00A44AF1" w:rsidRPr="00A44AF1" w14:paraId="4935805A" w14:textId="77777777" w:rsidTr="00A44AF1">
        <w:trPr>
          <w:trHeight w:val="291"/>
        </w:trPr>
        <w:tc>
          <w:tcPr>
            <w:tcW w:w="3085" w:type="dxa"/>
            <w:shd w:val="clear" w:color="auto" w:fill="auto"/>
          </w:tcPr>
          <w:p w14:paraId="27FC262B" w14:textId="77777777" w:rsidR="00A44AF1" w:rsidRPr="00A44AF1" w:rsidRDefault="00A44AF1" w:rsidP="00A44AF1">
            <w:pPr>
              <w:rPr>
                <w:rFonts w:ascii="Times New Roman" w:hAnsi="Times New Roman"/>
              </w:rPr>
            </w:pPr>
            <w:r w:rsidRPr="00A44AF1">
              <w:rPr>
                <w:rFonts w:ascii="Times New Roman" w:hAnsi="Times New Roman"/>
              </w:rPr>
              <w:t>2012</w:t>
            </w:r>
          </w:p>
        </w:tc>
        <w:tc>
          <w:tcPr>
            <w:tcW w:w="1433" w:type="dxa"/>
          </w:tcPr>
          <w:p w14:paraId="0F50FE1D" w14:textId="769C2553" w:rsidR="00A44AF1" w:rsidRPr="00A44AF1" w:rsidRDefault="007D166D" w:rsidP="00A44AF1">
            <w:pPr>
              <w:jc w:val="right"/>
              <w:rPr>
                <w:rFonts w:ascii="Times New Roman" w:hAnsi="Times New Roman"/>
                <w:highlight w:val="yellow"/>
              </w:rPr>
            </w:pPr>
            <w:r>
              <w:rPr>
                <w:rFonts w:ascii="Times New Roman" w:hAnsi="Times New Roman"/>
              </w:rPr>
              <w:t>4.36</w:t>
            </w:r>
            <w:r w:rsidR="00A44AF1" w:rsidRPr="00A44AF1">
              <w:rPr>
                <w:rFonts w:ascii="Times New Roman" w:hAnsi="Times New Roman"/>
              </w:rPr>
              <w:t xml:space="preserve"> aMW</w:t>
            </w:r>
          </w:p>
        </w:tc>
        <w:tc>
          <w:tcPr>
            <w:tcW w:w="1710" w:type="dxa"/>
          </w:tcPr>
          <w:p w14:paraId="313164BF" w14:textId="1DB263E1" w:rsidR="00A44AF1" w:rsidRPr="00A44AF1" w:rsidRDefault="007D166D" w:rsidP="00A44AF1">
            <w:pPr>
              <w:jc w:val="right"/>
              <w:rPr>
                <w:rFonts w:ascii="Times New Roman" w:hAnsi="Times New Roman"/>
              </w:rPr>
            </w:pPr>
            <w:r>
              <w:rPr>
                <w:rFonts w:ascii="Times New Roman" w:hAnsi="Times New Roman"/>
              </w:rPr>
              <w:t>5.00</w:t>
            </w:r>
            <w:r w:rsidR="00A44AF1" w:rsidRPr="00A44AF1">
              <w:rPr>
                <w:rFonts w:ascii="Times New Roman" w:hAnsi="Times New Roman"/>
              </w:rPr>
              <w:t xml:space="preserve"> aMW</w:t>
            </w:r>
          </w:p>
        </w:tc>
        <w:tc>
          <w:tcPr>
            <w:tcW w:w="1620" w:type="dxa"/>
          </w:tcPr>
          <w:p w14:paraId="4EF2AE6E" w14:textId="472D7C16" w:rsidR="00A44AF1" w:rsidRPr="00A44AF1" w:rsidRDefault="009D0CF9" w:rsidP="00A44AF1">
            <w:pPr>
              <w:jc w:val="right"/>
              <w:rPr>
                <w:rFonts w:ascii="Times New Roman" w:hAnsi="Times New Roman"/>
              </w:rPr>
            </w:pPr>
            <w:r>
              <w:rPr>
                <w:rFonts w:ascii="Times New Roman" w:hAnsi="Times New Roman"/>
              </w:rPr>
              <w:t>115</w:t>
            </w:r>
            <w:r w:rsidR="00A44AF1" w:rsidRPr="00A44AF1">
              <w:rPr>
                <w:rFonts w:ascii="Times New Roman" w:hAnsi="Times New Roman"/>
              </w:rPr>
              <w:t>%</w:t>
            </w:r>
          </w:p>
        </w:tc>
        <w:tc>
          <w:tcPr>
            <w:tcW w:w="1728" w:type="dxa"/>
            <w:shd w:val="clear" w:color="auto" w:fill="auto"/>
          </w:tcPr>
          <w:p w14:paraId="4F1A90E5" w14:textId="36FE223F" w:rsidR="00A44AF1" w:rsidRPr="00A44AF1" w:rsidRDefault="009D0CF9" w:rsidP="00A44AF1">
            <w:pPr>
              <w:jc w:val="right"/>
              <w:rPr>
                <w:rFonts w:ascii="Times New Roman" w:hAnsi="Times New Roman"/>
              </w:rPr>
            </w:pPr>
            <w:r>
              <w:rPr>
                <w:rFonts w:ascii="Times New Roman" w:hAnsi="Times New Roman"/>
              </w:rPr>
              <w:t>5.00 aMW</w:t>
            </w:r>
          </w:p>
        </w:tc>
      </w:tr>
      <w:tr w:rsidR="00A44AF1" w:rsidRPr="00A44AF1" w14:paraId="33EBD6FF" w14:textId="77777777" w:rsidTr="00A44AF1">
        <w:trPr>
          <w:trHeight w:val="291"/>
        </w:trPr>
        <w:tc>
          <w:tcPr>
            <w:tcW w:w="3085" w:type="dxa"/>
            <w:shd w:val="clear" w:color="auto" w:fill="auto"/>
          </w:tcPr>
          <w:p w14:paraId="2489CA66" w14:textId="77777777" w:rsidR="00A44AF1" w:rsidRPr="00A44AF1" w:rsidRDefault="00A44AF1" w:rsidP="00A44AF1">
            <w:pPr>
              <w:rPr>
                <w:rFonts w:ascii="Times New Roman" w:hAnsi="Times New Roman"/>
              </w:rPr>
            </w:pPr>
            <w:r w:rsidRPr="00A44AF1">
              <w:rPr>
                <w:rFonts w:ascii="Times New Roman" w:hAnsi="Times New Roman"/>
              </w:rPr>
              <w:t xml:space="preserve">2013 </w:t>
            </w:r>
          </w:p>
        </w:tc>
        <w:tc>
          <w:tcPr>
            <w:tcW w:w="1433" w:type="dxa"/>
          </w:tcPr>
          <w:p w14:paraId="55266C64" w14:textId="6C73FDCB" w:rsidR="00A44AF1" w:rsidRPr="00A44AF1" w:rsidRDefault="007D166D" w:rsidP="00A44AF1">
            <w:pPr>
              <w:jc w:val="right"/>
              <w:rPr>
                <w:rFonts w:ascii="Times New Roman" w:hAnsi="Times New Roman"/>
              </w:rPr>
            </w:pPr>
            <w:r>
              <w:rPr>
                <w:rFonts w:ascii="Times New Roman" w:hAnsi="Times New Roman"/>
              </w:rPr>
              <w:t>4.70</w:t>
            </w:r>
            <w:r w:rsidR="00A44AF1" w:rsidRPr="00A44AF1">
              <w:rPr>
                <w:rFonts w:ascii="Times New Roman" w:hAnsi="Times New Roman"/>
              </w:rPr>
              <w:t xml:space="preserve"> aMW</w:t>
            </w:r>
          </w:p>
        </w:tc>
        <w:tc>
          <w:tcPr>
            <w:tcW w:w="1710" w:type="dxa"/>
          </w:tcPr>
          <w:p w14:paraId="3E192127" w14:textId="77777777" w:rsidR="00A44AF1" w:rsidRPr="00A44AF1" w:rsidRDefault="00A44AF1" w:rsidP="00A44AF1">
            <w:pPr>
              <w:jc w:val="right"/>
              <w:rPr>
                <w:rFonts w:ascii="Times New Roman" w:hAnsi="Times New Roman"/>
              </w:rPr>
            </w:pPr>
          </w:p>
        </w:tc>
        <w:tc>
          <w:tcPr>
            <w:tcW w:w="1620" w:type="dxa"/>
          </w:tcPr>
          <w:p w14:paraId="6519B36D" w14:textId="77777777" w:rsidR="00A44AF1" w:rsidRPr="00A44AF1" w:rsidRDefault="00A44AF1" w:rsidP="00A44AF1">
            <w:pPr>
              <w:jc w:val="right"/>
              <w:rPr>
                <w:rFonts w:ascii="Times New Roman" w:hAnsi="Times New Roman"/>
              </w:rPr>
            </w:pPr>
          </w:p>
        </w:tc>
        <w:tc>
          <w:tcPr>
            <w:tcW w:w="1728" w:type="dxa"/>
            <w:shd w:val="clear" w:color="auto" w:fill="auto"/>
          </w:tcPr>
          <w:p w14:paraId="260549C5" w14:textId="7B7AEF60" w:rsidR="00A44AF1" w:rsidRPr="00A44AF1" w:rsidRDefault="007D166D" w:rsidP="00A44AF1">
            <w:pPr>
              <w:jc w:val="right"/>
              <w:rPr>
                <w:rFonts w:ascii="Times New Roman" w:hAnsi="Times New Roman"/>
              </w:rPr>
            </w:pPr>
            <w:r>
              <w:rPr>
                <w:rFonts w:ascii="Times New Roman" w:hAnsi="Times New Roman"/>
              </w:rPr>
              <w:t>6.21</w:t>
            </w:r>
            <w:r w:rsidR="00A44AF1" w:rsidRPr="00A44AF1">
              <w:rPr>
                <w:rFonts w:ascii="Times New Roman" w:hAnsi="Times New Roman"/>
              </w:rPr>
              <w:t xml:space="preserve"> aMW</w:t>
            </w:r>
          </w:p>
        </w:tc>
      </w:tr>
      <w:tr w:rsidR="00A44AF1" w:rsidRPr="00A44AF1" w14:paraId="6894DAE6" w14:textId="77777777" w:rsidTr="00A44AF1">
        <w:trPr>
          <w:trHeight w:val="291"/>
        </w:trPr>
        <w:tc>
          <w:tcPr>
            <w:tcW w:w="3085" w:type="dxa"/>
            <w:shd w:val="clear" w:color="auto" w:fill="auto"/>
          </w:tcPr>
          <w:p w14:paraId="79A3B299" w14:textId="77777777" w:rsidR="00A44AF1" w:rsidRPr="00A44AF1" w:rsidRDefault="00A44AF1" w:rsidP="00A44AF1">
            <w:pPr>
              <w:rPr>
                <w:rFonts w:ascii="Times New Roman" w:hAnsi="Times New Roman"/>
              </w:rPr>
            </w:pPr>
            <w:r w:rsidRPr="00A44AF1">
              <w:rPr>
                <w:rFonts w:ascii="Times New Roman" w:hAnsi="Times New Roman"/>
              </w:rPr>
              <w:t>2012-2013 Biennium</w:t>
            </w:r>
          </w:p>
        </w:tc>
        <w:tc>
          <w:tcPr>
            <w:tcW w:w="1433" w:type="dxa"/>
          </w:tcPr>
          <w:p w14:paraId="1807A01B" w14:textId="72D9D0A4" w:rsidR="00A44AF1" w:rsidRPr="00A44AF1" w:rsidRDefault="007D166D" w:rsidP="00A44AF1">
            <w:pPr>
              <w:jc w:val="right"/>
              <w:rPr>
                <w:rFonts w:ascii="Times New Roman" w:hAnsi="Times New Roman"/>
              </w:rPr>
            </w:pPr>
            <w:r>
              <w:rPr>
                <w:rFonts w:ascii="Times New Roman" w:hAnsi="Times New Roman"/>
              </w:rPr>
              <w:t>9.06</w:t>
            </w:r>
            <w:r w:rsidR="00A44AF1" w:rsidRPr="00A44AF1">
              <w:rPr>
                <w:rFonts w:ascii="Times New Roman" w:hAnsi="Times New Roman"/>
              </w:rPr>
              <w:t xml:space="preserve"> aMW</w:t>
            </w:r>
          </w:p>
        </w:tc>
        <w:tc>
          <w:tcPr>
            <w:tcW w:w="1710" w:type="dxa"/>
          </w:tcPr>
          <w:p w14:paraId="7795DD7C" w14:textId="77777777" w:rsidR="00A44AF1" w:rsidRPr="00A44AF1" w:rsidRDefault="00A44AF1" w:rsidP="00A44AF1">
            <w:pPr>
              <w:jc w:val="right"/>
              <w:rPr>
                <w:rFonts w:ascii="Times New Roman" w:hAnsi="Times New Roman"/>
              </w:rPr>
            </w:pPr>
          </w:p>
        </w:tc>
        <w:tc>
          <w:tcPr>
            <w:tcW w:w="1620" w:type="dxa"/>
          </w:tcPr>
          <w:p w14:paraId="4B5EC84B" w14:textId="77777777" w:rsidR="00A44AF1" w:rsidRPr="00A44AF1" w:rsidRDefault="00A44AF1" w:rsidP="00A44AF1">
            <w:pPr>
              <w:jc w:val="right"/>
              <w:rPr>
                <w:rFonts w:ascii="Times New Roman" w:hAnsi="Times New Roman"/>
              </w:rPr>
            </w:pPr>
          </w:p>
        </w:tc>
        <w:tc>
          <w:tcPr>
            <w:tcW w:w="1728" w:type="dxa"/>
            <w:shd w:val="clear" w:color="auto" w:fill="auto"/>
          </w:tcPr>
          <w:p w14:paraId="0E36D4F8" w14:textId="4E74A4F3" w:rsidR="00A44AF1" w:rsidRPr="00A44AF1" w:rsidRDefault="009D0CF9" w:rsidP="00A44AF1">
            <w:pPr>
              <w:jc w:val="right"/>
              <w:rPr>
                <w:rFonts w:ascii="Times New Roman" w:hAnsi="Times New Roman"/>
              </w:rPr>
            </w:pPr>
            <w:r>
              <w:rPr>
                <w:rFonts w:ascii="Times New Roman" w:hAnsi="Times New Roman"/>
              </w:rPr>
              <w:t>11.21 aMW</w:t>
            </w:r>
          </w:p>
        </w:tc>
      </w:tr>
    </w:tbl>
    <w:p w14:paraId="34B67B55" w14:textId="77777777" w:rsidR="00A44AF1" w:rsidRDefault="00A44AF1" w:rsidP="00585DA6">
      <w:pPr>
        <w:pStyle w:val="NoSpacing"/>
        <w:rPr>
          <w:rFonts w:eastAsia="Times New Roman"/>
          <w:szCs w:val="24"/>
        </w:rPr>
      </w:pPr>
    </w:p>
    <w:p w14:paraId="4FCA1D38" w14:textId="35FEF8EC" w:rsidR="00585DA6" w:rsidRPr="00585DA6" w:rsidRDefault="00EA3667" w:rsidP="00585DA6">
      <w:pPr>
        <w:pStyle w:val="NoSpacing"/>
        <w:rPr>
          <w:rFonts w:eastAsia="Times New Roman"/>
          <w:szCs w:val="24"/>
        </w:rPr>
      </w:pPr>
      <w:r w:rsidRPr="00585DA6">
        <w:rPr>
          <w:rFonts w:eastAsia="Times New Roman"/>
        </w:rPr>
        <w:t xml:space="preserve">The sector-specific </w:t>
      </w:r>
      <w:r w:rsidR="00824048" w:rsidRPr="00585DA6">
        <w:t xml:space="preserve">2013 </w:t>
      </w:r>
      <w:r w:rsidRPr="00585DA6">
        <w:rPr>
          <w:rFonts w:eastAsia="Times New Roman"/>
        </w:rPr>
        <w:t>energy savings expe</w:t>
      </w:r>
      <w:r w:rsidR="00585DA6" w:rsidRPr="00585DA6">
        <w:t>ctations have increased 44.1</w:t>
      </w:r>
      <w:r w:rsidRPr="00585DA6">
        <w:rPr>
          <w:rFonts w:eastAsia="Times New Roman"/>
        </w:rPr>
        <w:t xml:space="preserve"> percent for nonresidential </w:t>
      </w:r>
      <w:r w:rsidR="00824048" w:rsidRPr="00585DA6">
        <w:t>programs</w:t>
      </w:r>
      <w:r w:rsidR="00585DA6" w:rsidRPr="00585DA6">
        <w:t>, and have</w:t>
      </w:r>
      <w:r w:rsidR="00824048" w:rsidRPr="00585DA6">
        <w:t xml:space="preserve"> decreased 1.9</w:t>
      </w:r>
      <w:r w:rsidRPr="00585DA6">
        <w:rPr>
          <w:rFonts w:eastAsia="Times New Roman"/>
        </w:rPr>
        <w:t xml:space="preserve"> percent for residential programs. </w:t>
      </w:r>
      <w:r w:rsidR="00EE20F5">
        <w:rPr>
          <w:rFonts w:eastAsia="Times New Roman"/>
        </w:rPr>
        <w:t xml:space="preserve">The largest drivers of the increase in savings estimates were the commercial-sector Energy FinAnswer </w:t>
      </w:r>
      <w:r w:rsidR="00EE20F5">
        <w:rPr>
          <w:rFonts w:eastAsia="Times New Roman"/>
        </w:rPr>
        <w:lastRenderedPageBreak/>
        <w:t xml:space="preserve">Express and the industrial-sector Energy FinAnswer programs, the estimated savings of which were revised upward by 5,694 MWh and 7,271 MWh, respectively. </w:t>
      </w:r>
      <w:r w:rsidR="00585DA6">
        <w:rPr>
          <w:rFonts w:eastAsia="Times New Roman"/>
        </w:rPr>
        <w:t>The company has also revised its</w:t>
      </w:r>
      <w:r w:rsidR="001B4E13">
        <w:rPr>
          <w:rFonts w:eastAsia="Times New Roman"/>
        </w:rPr>
        <w:t xml:space="preserve"> estimated 2013 savings from the Northwest Energy Efficiency Alliance (NEEA) upward from 8,349 MWh to 9,592 MWh</w:t>
      </w:r>
      <w:r w:rsidR="00585DA6">
        <w:rPr>
          <w:rFonts w:eastAsia="Times New Roman"/>
        </w:rPr>
        <w:t xml:space="preserve"> </w:t>
      </w:r>
      <w:r w:rsidR="001B4E13">
        <w:rPr>
          <w:rFonts w:eastAsia="Times New Roman"/>
        </w:rPr>
        <w:t>and its estimated 2013 savings from distribution efficiency downward from 2,059 MWh to 1,128 MWh.</w:t>
      </w:r>
    </w:p>
    <w:p w14:paraId="19BA2082" w14:textId="77777777" w:rsidR="00585DA6" w:rsidRDefault="00585DA6" w:rsidP="00EA3667">
      <w:pPr>
        <w:rPr>
          <w:rFonts w:ascii="Times New Roman" w:hAnsi="Times New Roman"/>
          <w:color w:val="95B3D7" w:themeColor="accent1" w:themeTint="99"/>
        </w:rPr>
      </w:pPr>
    </w:p>
    <w:p w14:paraId="6FF1ACA5" w14:textId="77777777" w:rsidR="00620468" w:rsidRDefault="00F4011B" w:rsidP="008965BA">
      <w:pPr>
        <w:pStyle w:val="NoSpacing"/>
        <w:rPr>
          <w:rFonts w:eastAsia="Times New Roman"/>
          <w:szCs w:val="24"/>
        </w:rPr>
      </w:pPr>
      <w:r>
        <w:rPr>
          <w:rFonts w:eastAsia="Times New Roman"/>
          <w:szCs w:val="24"/>
        </w:rPr>
        <w:t xml:space="preserve">This filing also provides information on two changes to program offerings. The first is a change to the company’s Energy FinAnswer program, reflecting program changes in response to Order 02 of Docket UE-111880 which directed the company </w:t>
      </w:r>
      <w:r w:rsidR="00D67A48">
        <w:rPr>
          <w:rFonts w:eastAsia="Times New Roman"/>
          <w:szCs w:val="24"/>
        </w:rPr>
        <w:t xml:space="preserve">to investigate conservation program design for large industrial customers and implement changes to the company’s program no later than November 1, 2012. The </w:t>
      </w:r>
      <w:r w:rsidR="00366471">
        <w:rPr>
          <w:rFonts w:eastAsia="Times New Roman"/>
          <w:szCs w:val="24"/>
        </w:rPr>
        <w:t xml:space="preserve">company’s </w:t>
      </w:r>
      <w:r w:rsidR="00D67A48">
        <w:rPr>
          <w:rFonts w:eastAsia="Times New Roman"/>
          <w:szCs w:val="24"/>
        </w:rPr>
        <w:t xml:space="preserve">proposal was filed with the commission on </w:t>
      </w:r>
    </w:p>
    <w:p w14:paraId="09DA9084" w14:textId="257939D1" w:rsidR="00D67A48" w:rsidRDefault="00D67A48" w:rsidP="008965BA">
      <w:pPr>
        <w:pStyle w:val="NoSpacing"/>
        <w:rPr>
          <w:rFonts w:eastAsia="Times New Roman"/>
          <w:szCs w:val="24"/>
        </w:rPr>
      </w:pPr>
      <w:r>
        <w:rPr>
          <w:rFonts w:eastAsia="Times New Roman"/>
          <w:szCs w:val="24"/>
        </w:rPr>
        <w:t xml:space="preserve">November 1, 2012, under Docket UE-121756 and the program changes became effective December 1, 2012. </w:t>
      </w:r>
    </w:p>
    <w:p w14:paraId="50A131EF" w14:textId="77777777" w:rsidR="00D67A48" w:rsidRDefault="00D67A48" w:rsidP="008965BA">
      <w:pPr>
        <w:pStyle w:val="NoSpacing"/>
        <w:rPr>
          <w:rFonts w:eastAsia="Times New Roman"/>
          <w:szCs w:val="24"/>
        </w:rPr>
      </w:pPr>
    </w:p>
    <w:p w14:paraId="25CFA4C7" w14:textId="6F2710B7" w:rsidR="00F4011B" w:rsidRDefault="00D67A48" w:rsidP="008965BA">
      <w:pPr>
        <w:pStyle w:val="NoSpacing"/>
        <w:rPr>
          <w:rFonts w:eastAsia="Times New Roman"/>
          <w:szCs w:val="24"/>
        </w:rPr>
      </w:pPr>
      <w:r>
        <w:rPr>
          <w:rFonts w:eastAsia="Times New Roman"/>
          <w:szCs w:val="24"/>
        </w:rPr>
        <w:t>The second change is the addi</w:t>
      </w:r>
      <w:r w:rsidR="00EA2BD2">
        <w:rPr>
          <w:rFonts w:eastAsia="Times New Roman"/>
          <w:szCs w:val="24"/>
        </w:rPr>
        <w:t xml:space="preserve">tion of a new program to </w:t>
      </w:r>
      <w:r>
        <w:rPr>
          <w:rFonts w:eastAsia="Times New Roman"/>
          <w:szCs w:val="24"/>
        </w:rPr>
        <w:t>replace Schedule 113, the Energy Education in Schools program, which was cancelled following the 2011-2012 school year. The new Energy Education in Schools program i</w:t>
      </w:r>
      <w:r w:rsidR="00F14738">
        <w:rPr>
          <w:rFonts w:eastAsia="Times New Roman"/>
          <w:szCs w:val="24"/>
        </w:rPr>
        <w:t>s</w:t>
      </w:r>
      <w:r>
        <w:rPr>
          <w:rFonts w:eastAsia="Times New Roman"/>
          <w:szCs w:val="24"/>
        </w:rPr>
        <w:t xml:space="preserve"> positioned as an education-only program</w:t>
      </w:r>
      <w:r w:rsidR="00E505A8">
        <w:rPr>
          <w:rFonts w:eastAsia="Times New Roman"/>
          <w:szCs w:val="24"/>
        </w:rPr>
        <w:t xml:space="preserve"> and the company will be claiming no conservation savings for </w:t>
      </w:r>
      <w:r w:rsidR="00366471">
        <w:rPr>
          <w:rFonts w:eastAsia="Times New Roman"/>
          <w:szCs w:val="24"/>
        </w:rPr>
        <w:t xml:space="preserve">the </w:t>
      </w:r>
      <w:r w:rsidR="00E505A8">
        <w:rPr>
          <w:rFonts w:eastAsia="Times New Roman"/>
          <w:szCs w:val="24"/>
        </w:rPr>
        <w:t>2013</w:t>
      </w:r>
      <w:r w:rsidR="00366471">
        <w:rPr>
          <w:rFonts w:eastAsia="Times New Roman"/>
          <w:szCs w:val="24"/>
        </w:rPr>
        <w:t>-2014 school year</w:t>
      </w:r>
      <w:r w:rsidR="00E505A8">
        <w:rPr>
          <w:rFonts w:eastAsia="Times New Roman"/>
          <w:szCs w:val="24"/>
        </w:rPr>
        <w:t xml:space="preserve">. Program costs for this program are compliant with Paragraph (7)(d) in Order 01 of Docket UE-111880, which allows the company to spend up to 10 percent of its conservation budget on programs whose savings impact has not yet been measured, as long as the overall portfolio of conservation passes the Total Resource Cost (TRC) test. The </w:t>
      </w:r>
      <w:r w:rsidR="00F14738">
        <w:rPr>
          <w:rFonts w:eastAsia="Times New Roman"/>
          <w:szCs w:val="24"/>
        </w:rPr>
        <w:t xml:space="preserve">expected </w:t>
      </w:r>
      <w:r w:rsidR="00E505A8">
        <w:rPr>
          <w:rFonts w:eastAsia="Times New Roman"/>
          <w:szCs w:val="24"/>
        </w:rPr>
        <w:t>TRC for PacifiCorp’s 2012</w:t>
      </w:r>
      <w:r w:rsidR="00A1072D">
        <w:rPr>
          <w:rFonts w:eastAsia="Times New Roman"/>
          <w:szCs w:val="24"/>
        </w:rPr>
        <w:t>-2013 conservation portfolio is</w:t>
      </w:r>
      <w:r w:rsidR="00EF2B28">
        <w:rPr>
          <w:rFonts w:eastAsia="Times New Roman"/>
          <w:szCs w:val="24"/>
        </w:rPr>
        <w:t xml:space="preserve"> 2.0.</w:t>
      </w:r>
    </w:p>
    <w:p w14:paraId="7C93131C" w14:textId="77777777" w:rsidR="00D67A48" w:rsidRDefault="00D67A48" w:rsidP="008965BA">
      <w:pPr>
        <w:pStyle w:val="NoSpacing"/>
        <w:rPr>
          <w:rFonts w:eastAsia="Times New Roman"/>
          <w:szCs w:val="24"/>
        </w:rPr>
      </w:pPr>
    </w:p>
    <w:p w14:paraId="4F5FB55D" w14:textId="77777777" w:rsidR="00081B9D" w:rsidRDefault="00EE20F5" w:rsidP="00081B9D">
      <w:pPr>
        <w:pStyle w:val="NoSpacing"/>
        <w:rPr>
          <w:rFonts w:eastAsia="Times New Roman"/>
          <w:szCs w:val="24"/>
        </w:rPr>
      </w:pPr>
      <w:r>
        <w:rPr>
          <w:rFonts w:eastAsia="Times New Roman"/>
          <w:szCs w:val="24"/>
        </w:rPr>
        <w:t xml:space="preserve">The overall increase in savings estimates coupled with a decrease in expected expenditures has led to improved portfolio economics for PacifiCorp for the 2012-2013 biennium. Staff believes that </w:t>
      </w:r>
      <w:r w:rsidR="00081B9D">
        <w:rPr>
          <w:rFonts w:eastAsia="Times New Roman"/>
          <w:szCs w:val="24"/>
        </w:rPr>
        <w:t>savings and expenditures estimates are fairly presented in PacifiCorp’s DSM Business Plan, and that the programmatic revisions have been designed appropriately and are accurately captured in this revised DSM Business Plan. Therefore, staff recommends that the commission acknowledge this revised business plan as filed.</w:t>
      </w:r>
    </w:p>
    <w:p w14:paraId="41F28C42" w14:textId="77777777" w:rsidR="00620468" w:rsidRDefault="00620468" w:rsidP="00081B9D">
      <w:pPr>
        <w:pStyle w:val="NoSpacing"/>
        <w:rPr>
          <w:rFonts w:eastAsia="Times New Roman"/>
          <w:szCs w:val="24"/>
        </w:rPr>
      </w:pPr>
    </w:p>
    <w:p w14:paraId="0031AB11" w14:textId="25BD9976" w:rsidR="009D44E7" w:rsidRPr="00081B9D" w:rsidRDefault="009D44E7" w:rsidP="00081B9D">
      <w:pPr>
        <w:pStyle w:val="NoSpacing"/>
        <w:rPr>
          <w:rFonts w:eastAsia="Times New Roman"/>
          <w:szCs w:val="24"/>
        </w:rPr>
      </w:pPr>
      <w:r w:rsidRPr="007248E1">
        <w:rPr>
          <w:b/>
          <w:u w:val="single"/>
        </w:rPr>
        <w:t>Conclusion</w:t>
      </w:r>
    </w:p>
    <w:p w14:paraId="0031AB12" w14:textId="77777777" w:rsidR="00B46546" w:rsidRDefault="00B46546" w:rsidP="000E03CA">
      <w:pPr>
        <w:rPr>
          <w:rFonts w:ascii="Times New Roman" w:hAnsi="Times New Roman"/>
        </w:rPr>
      </w:pPr>
    </w:p>
    <w:p w14:paraId="197B216E" w14:textId="77777777" w:rsidR="00571518" w:rsidRPr="00AD4D61" w:rsidRDefault="00571518" w:rsidP="00571518">
      <w:pPr>
        <w:rPr>
          <w:rFonts w:ascii="Times New Roman" w:hAnsi="Times New Roman"/>
        </w:rPr>
      </w:pPr>
      <w:r w:rsidRPr="007248E1">
        <w:rPr>
          <w:rFonts w:ascii="Times New Roman" w:hAnsi="Times New Roman"/>
        </w:rPr>
        <w:t xml:space="preserve">Take no action, </w:t>
      </w:r>
      <w:r w:rsidRPr="00762F93">
        <w:rPr>
          <w:rFonts w:ascii="Times New Roman" w:hAnsi="Times New Roman"/>
        </w:rPr>
        <w:t>ackn</w:t>
      </w:r>
      <w:r>
        <w:rPr>
          <w:rFonts w:ascii="Times New Roman" w:hAnsi="Times New Roman"/>
        </w:rPr>
        <w:t>owledging the timely receipt of PacifiCorp’s revised 2012-</w:t>
      </w:r>
      <w:r w:rsidRPr="00762F93">
        <w:rPr>
          <w:rFonts w:ascii="Times New Roman" w:hAnsi="Times New Roman"/>
        </w:rPr>
        <w:t xml:space="preserve">2013 </w:t>
      </w:r>
      <w:r>
        <w:rPr>
          <w:rFonts w:ascii="Times New Roman" w:hAnsi="Times New Roman"/>
        </w:rPr>
        <w:t>Demand-Side Management Business P</w:t>
      </w:r>
      <w:r w:rsidRPr="00762F93">
        <w:rPr>
          <w:rFonts w:ascii="Times New Roman" w:hAnsi="Times New Roman"/>
        </w:rPr>
        <w:t>lan on November 1, 2012</w:t>
      </w:r>
      <w:r>
        <w:rPr>
          <w:rFonts w:ascii="Times New Roman" w:hAnsi="Times New Roman"/>
        </w:rPr>
        <w:t>,</w:t>
      </w:r>
      <w:r w:rsidRPr="00762F93">
        <w:rPr>
          <w:rFonts w:ascii="Times New Roman" w:hAnsi="Times New Roman"/>
        </w:rPr>
        <w:t xml:space="preserve"> in Docket UE-111880.</w:t>
      </w:r>
    </w:p>
    <w:p w14:paraId="0031AB14" w14:textId="77777777" w:rsidR="00D76BBF" w:rsidRPr="00386DC4" w:rsidRDefault="00D76BBF" w:rsidP="000E03CA">
      <w:pPr>
        <w:rPr>
          <w:rFonts w:ascii="Times New Roman" w:hAnsi="Times New Roman"/>
        </w:rPr>
      </w:pPr>
    </w:p>
    <w:p w14:paraId="0031AB15" w14:textId="77777777" w:rsidR="000E03CA" w:rsidRDefault="000E03CA"/>
    <w:p w14:paraId="79AB6EB8" w14:textId="77777777" w:rsidR="00FB71DC" w:rsidRDefault="00FB71DC"/>
    <w:p w14:paraId="27762E3B" w14:textId="77777777" w:rsidR="00FB71DC" w:rsidRPr="00725F6C" w:rsidRDefault="00FB71DC" w:rsidP="00FB71DC">
      <w:pPr>
        <w:autoSpaceDE w:val="0"/>
        <w:autoSpaceDN w:val="0"/>
        <w:adjustRightInd w:val="0"/>
        <w:rPr>
          <w:rFonts w:eastAsiaTheme="minorHAnsi" w:cs="Palatino Linotype"/>
          <w:color w:val="000000"/>
        </w:rPr>
      </w:pPr>
    </w:p>
    <w:p w14:paraId="08BE5539" w14:textId="77777777" w:rsidR="00FF09AD" w:rsidRDefault="00FF09AD"/>
    <w:p w14:paraId="47EF1092" w14:textId="77777777" w:rsidR="00386DC4" w:rsidRDefault="00386DC4"/>
    <w:sectPr w:rsidR="00386DC4" w:rsidSect="00856AC8">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422F2" w14:textId="77777777" w:rsidR="009D0CF9" w:rsidRDefault="009D0CF9" w:rsidP="000E03CA">
      <w:r>
        <w:separator/>
      </w:r>
    </w:p>
  </w:endnote>
  <w:endnote w:type="continuationSeparator" w:id="0">
    <w:p w14:paraId="0C2B71E5" w14:textId="77777777" w:rsidR="009D0CF9" w:rsidRDefault="009D0CF9" w:rsidP="000E03CA">
      <w:r>
        <w:continuationSeparator/>
      </w:r>
    </w:p>
  </w:endnote>
  <w:endnote w:type="continuationNotice" w:id="1">
    <w:p w14:paraId="655E7EA9" w14:textId="77777777" w:rsidR="009D0CF9" w:rsidRDefault="009D0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ECD7D" w14:textId="77777777" w:rsidR="009D0CF9" w:rsidRDefault="009D0CF9" w:rsidP="000E03CA">
      <w:r>
        <w:separator/>
      </w:r>
    </w:p>
  </w:footnote>
  <w:footnote w:type="continuationSeparator" w:id="0">
    <w:p w14:paraId="52CD4B22" w14:textId="77777777" w:rsidR="009D0CF9" w:rsidRDefault="009D0CF9" w:rsidP="000E03CA">
      <w:r>
        <w:continuationSeparator/>
      </w:r>
    </w:p>
  </w:footnote>
  <w:footnote w:type="continuationNotice" w:id="1">
    <w:p w14:paraId="264171E0" w14:textId="77777777" w:rsidR="009D0CF9" w:rsidRDefault="009D0CF9"/>
  </w:footnote>
  <w:footnote w:id="2">
    <w:p w14:paraId="5E62D42B" w14:textId="3D5FDCB4" w:rsidR="009D0CF9" w:rsidRDefault="009D0CF9" w:rsidP="002F4CB6">
      <w:pPr>
        <w:pStyle w:val="FootnoteText"/>
      </w:pPr>
      <w:r>
        <w:rPr>
          <w:rStyle w:val="FootnoteReference"/>
        </w:rPr>
        <w:footnoteRef/>
      </w:r>
      <w:r>
        <w:t xml:space="preserve"> Docket UE-111880, Pacific Power and Light Company, January 31, 2012, “2012-2013 Biennial Conservation Plan,”  Table 1, 2012 – 2013 Biennial Target Savings and Budget Projections by Program.</w:t>
      </w:r>
    </w:p>
  </w:footnote>
  <w:footnote w:id="3">
    <w:p w14:paraId="0575A9C1" w14:textId="0E4BED83" w:rsidR="009D0CF9" w:rsidRDefault="009D0CF9">
      <w:pPr>
        <w:pStyle w:val="FootnoteText"/>
      </w:pPr>
      <w:r>
        <w:rPr>
          <w:rStyle w:val="FootnoteReference"/>
        </w:rPr>
        <w:footnoteRef/>
      </w:r>
      <w:r>
        <w:t xml:space="preserve"> Docket UE-111880, Pacific Power and Light Company, “Demand-side Management 2012-2013 Business Plan – Washington,” Revision 1, June 4, 2012, Table 1, 2012 – 2013 Biennial Target Savings and Budget Projections by Program.</w:t>
      </w:r>
    </w:p>
  </w:footnote>
  <w:footnote w:id="4">
    <w:p w14:paraId="5E757CA0" w14:textId="25D51816" w:rsidR="009D0CF9" w:rsidRDefault="009D0CF9">
      <w:pPr>
        <w:pStyle w:val="FootnoteText"/>
      </w:pPr>
      <w:r>
        <w:rPr>
          <w:rStyle w:val="FootnoteReference"/>
        </w:rPr>
        <w:footnoteRef/>
      </w:r>
      <w:r>
        <w:t xml:space="preserve"> Filed September 14, 2011, in Docket UE-111880.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1AB1A" w14:textId="44E79FA2" w:rsidR="009D0CF9" w:rsidRPr="00856AC8" w:rsidRDefault="009D0CF9">
    <w:pPr>
      <w:pStyle w:val="Header"/>
      <w:rPr>
        <w:rFonts w:ascii="Times New Roman" w:hAnsi="Times New Roman"/>
        <w:sz w:val="20"/>
        <w:szCs w:val="20"/>
      </w:rPr>
    </w:pPr>
    <w:r>
      <w:rPr>
        <w:rFonts w:ascii="Times New Roman" w:hAnsi="Times New Roman"/>
        <w:sz w:val="20"/>
        <w:szCs w:val="20"/>
      </w:rPr>
      <w:t>DOCKET UG-111880</w:t>
    </w:r>
  </w:p>
  <w:p w14:paraId="0031AB1B" w14:textId="7D3F2F8C" w:rsidR="009D0CF9" w:rsidRPr="00856AC8" w:rsidRDefault="009D0CF9">
    <w:pPr>
      <w:pStyle w:val="Header"/>
      <w:rPr>
        <w:rFonts w:ascii="Times New Roman" w:hAnsi="Times New Roman"/>
        <w:sz w:val="20"/>
        <w:szCs w:val="20"/>
      </w:rPr>
    </w:pPr>
    <w:r>
      <w:rPr>
        <w:rFonts w:ascii="Times New Roman" w:hAnsi="Times New Roman"/>
        <w:sz w:val="20"/>
        <w:szCs w:val="20"/>
      </w:rPr>
      <w:t>December 21</w:t>
    </w:r>
    <w:r w:rsidRPr="00856AC8">
      <w:rPr>
        <w:rFonts w:ascii="Times New Roman" w:hAnsi="Times New Roman"/>
        <w:sz w:val="20"/>
        <w:szCs w:val="20"/>
      </w:rPr>
      <w:t>, 2012</w:t>
    </w:r>
  </w:p>
  <w:p w14:paraId="0031AB1C" w14:textId="0D7AC356" w:rsidR="009D0CF9" w:rsidRDefault="009D0CF9">
    <w:pPr>
      <w:pStyle w:val="Header"/>
      <w:rPr>
        <w:rFonts w:ascii="Times New Roman" w:hAnsi="Times New Roman"/>
        <w:sz w:val="20"/>
        <w:szCs w:val="20"/>
      </w:rPr>
    </w:pPr>
    <w:r w:rsidRPr="00856AC8">
      <w:rPr>
        <w:rFonts w:ascii="Times New Roman" w:hAnsi="Times New Roman"/>
        <w:sz w:val="20"/>
        <w:szCs w:val="20"/>
      </w:rPr>
      <w:t xml:space="preserve">Page </w:t>
    </w:r>
    <w:r w:rsidRPr="00620468">
      <w:rPr>
        <w:rFonts w:ascii="Times New Roman" w:hAnsi="Times New Roman"/>
        <w:sz w:val="20"/>
        <w:szCs w:val="20"/>
      </w:rPr>
      <w:fldChar w:fldCharType="begin"/>
    </w:r>
    <w:r w:rsidRPr="00620468">
      <w:rPr>
        <w:rFonts w:ascii="Times New Roman" w:hAnsi="Times New Roman"/>
        <w:sz w:val="20"/>
        <w:szCs w:val="20"/>
      </w:rPr>
      <w:instrText xml:space="preserve"> PAGE   \* MERGEFORMAT </w:instrText>
    </w:r>
    <w:r w:rsidRPr="00620468">
      <w:rPr>
        <w:rFonts w:ascii="Times New Roman" w:hAnsi="Times New Roman"/>
        <w:sz w:val="20"/>
        <w:szCs w:val="20"/>
      </w:rPr>
      <w:fldChar w:fldCharType="separate"/>
    </w:r>
    <w:r w:rsidR="007273B9">
      <w:rPr>
        <w:rFonts w:ascii="Times New Roman" w:hAnsi="Times New Roman"/>
        <w:noProof/>
        <w:sz w:val="20"/>
        <w:szCs w:val="20"/>
      </w:rPr>
      <w:t>3</w:t>
    </w:r>
    <w:r w:rsidRPr="00620468">
      <w:rPr>
        <w:rFonts w:ascii="Times New Roman" w:hAnsi="Times New Roman"/>
        <w:noProof/>
        <w:sz w:val="20"/>
        <w:szCs w:val="20"/>
      </w:rPr>
      <w:fldChar w:fldCharType="end"/>
    </w:r>
  </w:p>
  <w:p w14:paraId="28342DEC" w14:textId="77777777" w:rsidR="009D0CF9" w:rsidRDefault="009D0CF9">
    <w:pPr>
      <w:pStyle w:val="Header"/>
      <w:rPr>
        <w:rFonts w:ascii="Times New Roman" w:hAnsi="Times New Roman"/>
        <w:sz w:val="20"/>
        <w:szCs w:val="20"/>
      </w:rPr>
    </w:pPr>
  </w:p>
  <w:p w14:paraId="0031AB1D" w14:textId="77777777" w:rsidR="009D0CF9" w:rsidRPr="00856AC8" w:rsidRDefault="009D0CF9">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7095"/>
    <w:multiLevelType w:val="hybridMultilevel"/>
    <w:tmpl w:val="8568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B715A"/>
    <w:multiLevelType w:val="hybridMultilevel"/>
    <w:tmpl w:val="D48479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CA"/>
    <w:rsid w:val="00031596"/>
    <w:rsid w:val="00055548"/>
    <w:rsid w:val="00081B9D"/>
    <w:rsid w:val="000911D5"/>
    <w:rsid w:val="000A2A1B"/>
    <w:rsid w:val="000A70A9"/>
    <w:rsid w:val="000C6703"/>
    <w:rsid w:val="000D59A5"/>
    <w:rsid w:val="000D7EC8"/>
    <w:rsid w:val="000E03CA"/>
    <w:rsid w:val="00130815"/>
    <w:rsid w:val="00131B07"/>
    <w:rsid w:val="0015380C"/>
    <w:rsid w:val="00183499"/>
    <w:rsid w:val="001B4E13"/>
    <w:rsid w:val="001C269A"/>
    <w:rsid w:val="001C77C6"/>
    <w:rsid w:val="001E575B"/>
    <w:rsid w:val="002036F1"/>
    <w:rsid w:val="00205760"/>
    <w:rsid w:val="00222DD6"/>
    <w:rsid w:val="0024414B"/>
    <w:rsid w:val="0026778F"/>
    <w:rsid w:val="0027493C"/>
    <w:rsid w:val="002E3E4D"/>
    <w:rsid w:val="002F2D86"/>
    <w:rsid w:val="002F4CB6"/>
    <w:rsid w:val="002F522E"/>
    <w:rsid w:val="00320691"/>
    <w:rsid w:val="00321B43"/>
    <w:rsid w:val="0034209B"/>
    <w:rsid w:val="00344CC6"/>
    <w:rsid w:val="00366471"/>
    <w:rsid w:val="00384633"/>
    <w:rsid w:val="00386DC4"/>
    <w:rsid w:val="00397C47"/>
    <w:rsid w:val="003A447A"/>
    <w:rsid w:val="003D59E4"/>
    <w:rsid w:val="003F2FDB"/>
    <w:rsid w:val="00402353"/>
    <w:rsid w:val="00415AB6"/>
    <w:rsid w:val="00423F74"/>
    <w:rsid w:val="00425399"/>
    <w:rsid w:val="00443C4A"/>
    <w:rsid w:val="0046724E"/>
    <w:rsid w:val="004905B9"/>
    <w:rsid w:val="0050529E"/>
    <w:rsid w:val="00505DF2"/>
    <w:rsid w:val="00571518"/>
    <w:rsid w:val="00585366"/>
    <w:rsid w:val="00585DA6"/>
    <w:rsid w:val="005963ED"/>
    <w:rsid w:val="005E0FD7"/>
    <w:rsid w:val="00600924"/>
    <w:rsid w:val="006020E2"/>
    <w:rsid w:val="006119FE"/>
    <w:rsid w:val="00620468"/>
    <w:rsid w:val="00666701"/>
    <w:rsid w:val="0067251E"/>
    <w:rsid w:val="00690455"/>
    <w:rsid w:val="006B0D4D"/>
    <w:rsid w:val="006B17CF"/>
    <w:rsid w:val="00707663"/>
    <w:rsid w:val="00725F6C"/>
    <w:rsid w:val="007273B9"/>
    <w:rsid w:val="00742060"/>
    <w:rsid w:val="00744818"/>
    <w:rsid w:val="007454B6"/>
    <w:rsid w:val="00746FBF"/>
    <w:rsid w:val="00762F93"/>
    <w:rsid w:val="0076430E"/>
    <w:rsid w:val="00766124"/>
    <w:rsid w:val="00766CE4"/>
    <w:rsid w:val="0077214D"/>
    <w:rsid w:val="007A025C"/>
    <w:rsid w:val="007C7C2F"/>
    <w:rsid w:val="007D166D"/>
    <w:rsid w:val="007F6C29"/>
    <w:rsid w:val="007F765D"/>
    <w:rsid w:val="00810D39"/>
    <w:rsid w:val="00811F53"/>
    <w:rsid w:val="00816449"/>
    <w:rsid w:val="00824048"/>
    <w:rsid w:val="00856AC8"/>
    <w:rsid w:val="008740F3"/>
    <w:rsid w:val="008930DD"/>
    <w:rsid w:val="008965BA"/>
    <w:rsid w:val="008A264B"/>
    <w:rsid w:val="008B2B7E"/>
    <w:rsid w:val="00915A42"/>
    <w:rsid w:val="009377DD"/>
    <w:rsid w:val="00944C1D"/>
    <w:rsid w:val="00957947"/>
    <w:rsid w:val="0096146B"/>
    <w:rsid w:val="00962CA0"/>
    <w:rsid w:val="00967D16"/>
    <w:rsid w:val="00980C07"/>
    <w:rsid w:val="00984B8A"/>
    <w:rsid w:val="009A6D5E"/>
    <w:rsid w:val="009B5F3F"/>
    <w:rsid w:val="009C2F6D"/>
    <w:rsid w:val="009D0CF9"/>
    <w:rsid w:val="009D44E7"/>
    <w:rsid w:val="009E63EA"/>
    <w:rsid w:val="00A056EF"/>
    <w:rsid w:val="00A1072D"/>
    <w:rsid w:val="00A2656C"/>
    <w:rsid w:val="00A44AF1"/>
    <w:rsid w:val="00A51444"/>
    <w:rsid w:val="00A63258"/>
    <w:rsid w:val="00A66D93"/>
    <w:rsid w:val="00A817F3"/>
    <w:rsid w:val="00A84D62"/>
    <w:rsid w:val="00A92E84"/>
    <w:rsid w:val="00AB214D"/>
    <w:rsid w:val="00AB4610"/>
    <w:rsid w:val="00AF5E5B"/>
    <w:rsid w:val="00B32FCC"/>
    <w:rsid w:val="00B3604D"/>
    <w:rsid w:val="00B46546"/>
    <w:rsid w:val="00B5115B"/>
    <w:rsid w:val="00BC11DC"/>
    <w:rsid w:val="00BF5FF2"/>
    <w:rsid w:val="00C02018"/>
    <w:rsid w:val="00C02A77"/>
    <w:rsid w:val="00C3081A"/>
    <w:rsid w:val="00C35217"/>
    <w:rsid w:val="00C503E6"/>
    <w:rsid w:val="00CA7938"/>
    <w:rsid w:val="00CC0869"/>
    <w:rsid w:val="00CC399B"/>
    <w:rsid w:val="00CE3C01"/>
    <w:rsid w:val="00CE44A4"/>
    <w:rsid w:val="00D27307"/>
    <w:rsid w:val="00D439BF"/>
    <w:rsid w:val="00D65729"/>
    <w:rsid w:val="00D67A48"/>
    <w:rsid w:val="00D74E52"/>
    <w:rsid w:val="00D76BBF"/>
    <w:rsid w:val="00D86920"/>
    <w:rsid w:val="00D96653"/>
    <w:rsid w:val="00DC5524"/>
    <w:rsid w:val="00DD6A8A"/>
    <w:rsid w:val="00DF0B2B"/>
    <w:rsid w:val="00E056C3"/>
    <w:rsid w:val="00E1436A"/>
    <w:rsid w:val="00E220D7"/>
    <w:rsid w:val="00E22217"/>
    <w:rsid w:val="00E2265A"/>
    <w:rsid w:val="00E23EC2"/>
    <w:rsid w:val="00E45F7C"/>
    <w:rsid w:val="00E505A8"/>
    <w:rsid w:val="00E73F28"/>
    <w:rsid w:val="00EA0E40"/>
    <w:rsid w:val="00EA2BD2"/>
    <w:rsid w:val="00EA3667"/>
    <w:rsid w:val="00EC19DC"/>
    <w:rsid w:val="00EE20F5"/>
    <w:rsid w:val="00EF2B28"/>
    <w:rsid w:val="00F0651A"/>
    <w:rsid w:val="00F14738"/>
    <w:rsid w:val="00F311DB"/>
    <w:rsid w:val="00F32FD2"/>
    <w:rsid w:val="00F4011B"/>
    <w:rsid w:val="00F44817"/>
    <w:rsid w:val="00F50725"/>
    <w:rsid w:val="00F61160"/>
    <w:rsid w:val="00F70E3F"/>
    <w:rsid w:val="00F71965"/>
    <w:rsid w:val="00F75559"/>
    <w:rsid w:val="00FB71DC"/>
    <w:rsid w:val="00FC08B1"/>
    <w:rsid w:val="00FD72C6"/>
    <w:rsid w:val="00FE6AD2"/>
    <w:rsid w:val="00FE71EB"/>
    <w:rsid w:val="00FF09AD"/>
    <w:rsid w:val="00FF6C6D"/>
    <w:rsid w:val="00FF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8965BA"/>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03CA"/>
    <w:rPr>
      <w:rFonts w:ascii="Times New Roman" w:hAnsi="Times New Roman"/>
      <w:sz w:val="20"/>
      <w:szCs w:val="20"/>
    </w:rPr>
  </w:style>
  <w:style w:type="character" w:customStyle="1" w:styleId="FootnoteTextChar">
    <w:name w:val="Footnote Text Char"/>
    <w:basedOn w:val="DefaultParagraphFont"/>
    <w:link w:val="FootnoteText"/>
    <w:uiPriority w:val="99"/>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uiPriority w:val="99"/>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 w:type="paragraph" w:customStyle="1" w:styleId="Default">
    <w:name w:val="Default"/>
    <w:rsid w:val="008164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965BA"/>
    <w:pPr>
      <w:spacing w:after="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rsid w:val="008965BA"/>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CA"/>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8965BA"/>
    <w:pPr>
      <w:spacing w:before="240" w:after="240"/>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03CA"/>
    <w:rPr>
      <w:rFonts w:ascii="Times New Roman" w:hAnsi="Times New Roman"/>
      <w:sz w:val="20"/>
      <w:szCs w:val="20"/>
    </w:rPr>
  </w:style>
  <w:style w:type="character" w:customStyle="1" w:styleId="FootnoteTextChar">
    <w:name w:val="Footnote Text Char"/>
    <w:basedOn w:val="DefaultParagraphFont"/>
    <w:link w:val="FootnoteText"/>
    <w:uiPriority w:val="99"/>
    <w:rsid w:val="000E03CA"/>
    <w:rPr>
      <w:rFonts w:ascii="Times New Roman" w:eastAsia="Times New Roman" w:hAnsi="Times New Roman" w:cs="Times New Roman"/>
      <w:sz w:val="20"/>
      <w:szCs w:val="20"/>
    </w:rPr>
  </w:style>
  <w:style w:type="paragraph" w:styleId="ListParagraph">
    <w:name w:val="List Paragraph"/>
    <w:basedOn w:val="Normal"/>
    <w:uiPriority w:val="34"/>
    <w:qFormat/>
    <w:rsid w:val="000E03CA"/>
    <w:pPr>
      <w:ind w:left="720"/>
      <w:contextualSpacing/>
    </w:pPr>
    <w:rPr>
      <w:rFonts w:ascii="Calibri" w:eastAsia="Calibri" w:hAnsi="Calibri"/>
      <w:sz w:val="22"/>
      <w:szCs w:val="22"/>
    </w:rPr>
  </w:style>
  <w:style w:type="character" w:styleId="FootnoteReference">
    <w:name w:val="footnote reference"/>
    <w:uiPriority w:val="99"/>
    <w:rsid w:val="000E03CA"/>
    <w:rPr>
      <w:vertAlign w:val="superscript"/>
    </w:rPr>
  </w:style>
  <w:style w:type="paragraph" w:styleId="Header">
    <w:name w:val="header"/>
    <w:basedOn w:val="Normal"/>
    <w:link w:val="HeaderChar"/>
    <w:uiPriority w:val="99"/>
    <w:unhideWhenUsed/>
    <w:rsid w:val="00D76BBF"/>
    <w:pPr>
      <w:tabs>
        <w:tab w:val="center" w:pos="4680"/>
        <w:tab w:val="right" w:pos="9360"/>
      </w:tabs>
    </w:pPr>
  </w:style>
  <w:style w:type="character" w:customStyle="1" w:styleId="HeaderChar">
    <w:name w:val="Header Char"/>
    <w:basedOn w:val="DefaultParagraphFont"/>
    <w:link w:val="Header"/>
    <w:uiPriority w:val="99"/>
    <w:rsid w:val="00D76BBF"/>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D76BBF"/>
    <w:pPr>
      <w:tabs>
        <w:tab w:val="center" w:pos="4680"/>
        <w:tab w:val="right" w:pos="9360"/>
      </w:tabs>
    </w:pPr>
  </w:style>
  <w:style w:type="character" w:customStyle="1" w:styleId="FooterChar">
    <w:name w:val="Footer Char"/>
    <w:basedOn w:val="DefaultParagraphFont"/>
    <w:link w:val="Footer"/>
    <w:uiPriority w:val="99"/>
    <w:rsid w:val="00D76BBF"/>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944C1D"/>
    <w:rPr>
      <w:rFonts w:ascii="Tahoma" w:hAnsi="Tahoma" w:cs="Tahoma"/>
      <w:sz w:val="16"/>
      <w:szCs w:val="16"/>
    </w:rPr>
  </w:style>
  <w:style w:type="character" w:customStyle="1" w:styleId="BalloonTextChar">
    <w:name w:val="Balloon Text Char"/>
    <w:basedOn w:val="DefaultParagraphFont"/>
    <w:link w:val="BalloonText"/>
    <w:uiPriority w:val="99"/>
    <w:semiHidden/>
    <w:rsid w:val="00944C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0B2B"/>
    <w:rPr>
      <w:sz w:val="16"/>
      <w:szCs w:val="16"/>
    </w:rPr>
  </w:style>
  <w:style w:type="paragraph" w:styleId="CommentText">
    <w:name w:val="annotation text"/>
    <w:basedOn w:val="Normal"/>
    <w:link w:val="CommentTextChar"/>
    <w:uiPriority w:val="99"/>
    <w:semiHidden/>
    <w:unhideWhenUsed/>
    <w:rsid w:val="00DF0B2B"/>
    <w:rPr>
      <w:sz w:val="20"/>
      <w:szCs w:val="20"/>
    </w:rPr>
  </w:style>
  <w:style w:type="character" w:customStyle="1" w:styleId="CommentTextChar">
    <w:name w:val="Comment Text Char"/>
    <w:basedOn w:val="DefaultParagraphFont"/>
    <w:link w:val="CommentText"/>
    <w:uiPriority w:val="99"/>
    <w:semiHidden/>
    <w:rsid w:val="00DF0B2B"/>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F0B2B"/>
    <w:rPr>
      <w:b/>
      <w:bCs/>
    </w:rPr>
  </w:style>
  <w:style w:type="character" w:customStyle="1" w:styleId="CommentSubjectChar">
    <w:name w:val="Comment Subject Char"/>
    <w:basedOn w:val="CommentTextChar"/>
    <w:link w:val="CommentSubject"/>
    <w:uiPriority w:val="99"/>
    <w:semiHidden/>
    <w:rsid w:val="00DF0B2B"/>
    <w:rPr>
      <w:rFonts w:ascii="Palatino Linotype" w:eastAsia="Times New Roman" w:hAnsi="Palatino Linotype" w:cs="Times New Roman"/>
      <w:b/>
      <w:bCs/>
      <w:sz w:val="20"/>
      <w:szCs w:val="20"/>
    </w:rPr>
  </w:style>
  <w:style w:type="paragraph" w:customStyle="1" w:styleId="Default">
    <w:name w:val="Default"/>
    <w:rsid w:val="008164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965BA"/>
    <w:pPr>
      <w:spacing w:after="0" w:line="240" w:lineRule="auto"/>
    </w:pPr>
    <w:rPr>
      <w:rFonts w:ascii="Times New Roman" w:eastAsia="Calibri" w:hAnsi="Times New Roman" w:cs="Times New Roman"/>
      <w:sz w:val="24"/>
    </w:rPr>
  </w:style>
  <w:style w:type="character" w:customStyle="1" w:styleId="Heading1Char">
    <w:name w:val="Heading 1 Char"/>
    <w:basedOn w:val="DefaultParagraphFont"/>
    <w:link w:val="Heading1"/>
    <w:rsid w:val="008965BA"/>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6470">
      <w:bodyDiv w:val="1"/>
      <w:marLeft w:val="0"/>
      <w:marRight w:val="0"/>
      <w:marTop w:val="0"/>
      <w:marBottom w:val="0"/>
      <w:divBdr>
        <w:top w:val="none" w:sz="0" w:space="0" w:color="auto"/>
        <w:left w:val="none" w:sz="0" w:space="0" w:color="auto"/>
        <w:bottom w:val="none" w:sz="0" w:space="0" w:color="auto"/>
        <w:right w:val="none" w:sz="0" w:space="0" w:color="auto"/>
      </w:divBdr>
    </w:div>
    <w:div w:id="591083234">
      <w:bodyDiv w:val="1"/>
      <w:marLeft w:val="0"/>
      <w:marRight w:val="0"/>
      <w:marTop w:val="0"/>
      <w:marBottom w:val="0"/>
      <w:divBdr>
        <w:top w:val="none" w:sz="0" w:space="0" w:color="auto"/>
        <w:left w:val="none" w:sz="0" w:space="0" w:color="auto"/>
        <w:bottom w:val="none" w:sz="0" w:space="0" w:color="auto"/>
        <w:right w:val="none" w:sz="0" w:space="0" w:color="auto"/>
      </w:divBdr>
    </w:div>
    <w:div w:id="1520660478">
      <w:bodyDiv w:val="1"/>
      <w:marLeft w:val="0"/>
      <w:marRight w:val="0"/>
      <w:marTop w:val="0"/>
      <w:marBottom w:val="0"/>
      <w:divBdr>
        <w:top w:val="none" w:sz="0" w:space="0" w:color="auto"/>
        <w:left w:val="none" w:sz="0" w:space="0" w:color="auto"/>
        <w:bottom w:val="none" w:sz="0" w:space="0" w:color="auto"/>
        <w:right w:val="none" w:sz="0" w:space="0" w:color="auto"/>
      </w:divBdr>
    </w:div>
    <w:div w:id="15452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2012-12-21T08:00:00+00:00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A36EE-16A3-4098-B992-B5849AC4A220}"/>
</file>

<file path=customXml/itemProps2.xml><?xml version="1.0" encoding="utf-8"?>
<ds:datastoreItem xmlns:ds="http://schemas.openxmlformats.org/officeDocument/2006/customXml" ds:itemID="{8F3C71BF-BFA8-409F-986B-DB8274228C48}"/>
</file>

<file path=customXml/itemProps3.xml><?xml version="1.0" encoding="utf-8"?>
<ds:datastoreItem xmlns:ds="http://schemas.openxmlformats.org/officeDocument/2006/customXml" ds:itemID="{835851B4-8732-4529-AD17-CF86DFED6196}"/>
</file>

<file path=customXml/itemProps4.xml><?xml version="1.0" encoding="utf-8"?>
<ds:datastoreItem xmlns:ds="http://schemas.openxmlformats.org/officeDocument/2006/customXml" ds:itemID="{5913805B-1ABA-47BC-98C5-DCD9F441BF03}"/>
</file>

<file path=customXml/itemProps5.xml><?xml version="1.0" encoding="utf-8"?>
<ds:datastoreItem xmlns:ds="http://schemas.openxmlformats.org/officeDocument/2006/customXml" ds:itemID="{49D8C358-C218-4B5F-AFAB-1C8E7F002463}"/>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UE-111880 memo</vt:lpstr>
    </vt:vector>
  </TitlesOfParts>
  <Company>Washington Utilities and Transportation Commission</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UE-111880 memo</dc:title>
  <dc:creator>CMcGuire@utc.wa.gov</dc:creator>
  <cp:lastModifiedBy>Lisa Wyse, Records Manager</cp:lastModifiedBy>
  <cp:revision>2</cp:revision>
  <cp:lastPrinted>2012-12-10T16:55:00Z</cp:lastPrinted>
  <dcterms:created xsi:type="dcterms:W3CDTF">2012-12-17T19:03:00Z</dcterms:created>
  <dcterms:modified xsi:type="dcterms:W3CDTF">2012-12-17T19:03:00Z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