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E3ECD" w:rsidRDefault="0088373F" w:rsidP="00655ACB">
      <w:pPr>
        <w:pStyle w:val="single"/>
        <w:widowControl w:val="0"/>
        <w:spacing w:before="0" w:line="240" w:lineRule="auto"/>
        <w:ind w:left="4320" w:firstLine="0"/>
        <w:rPr>
          <w:rStyle w:val="Strong"/>
          <w:rFonts w:ascii="Times New Roman" w:hAnsi="Times New Roman"/>
        </w:rPr>
      </w:pPr>
      <w:r w:rsidRPr="00EE3ECD">
        <w:rPr>
          <w:rStyle w:val="Strong"/>
          <w:rFonts w:ascii="Times New Roman" w:hAnsi="Times New Roman"/>
        </w:rPr>
        <w:t>EXHIBIT NO</w:t>
      </w:r>
      <w:proofErr w:type="gramStart"/>
      <w:r w:rsidRPr="00EE3ECD">
        <w:rPr>
          <w:rStyle w:val="Strong"/>
          <w:rFonts w:ascii="Times New Roman" w:hAnsi="Times New Roman"/>
        </w:rPr>
        <w:t>. </w:t>
      </w:r>
      <w:proofErr w:type="gramEnd"/>
      <w:r w:rsidRPr="00EE3ECD">
        <w:rPr>
          <w:rStyle w:val="Strong"/>
          <w:rFonts w:ascii="Times New Roman" w:hAnsi="Times New Roman"/>
        </w:rPr>
        <w:t>___(</w:t>
      </w:r>
      <w:r w:rsidR="00DF0A93" w:rsidRPr="00EE3ECD">
        <w:rPr>
          <w:rStyle w:val="Strong"/>
          <w:rFonts w:ascii="Times New Roman" w:hAnsi="Times New Roman"/>
        </w:rPr>
        <w:t>DAD</w:t>
      </w:r>
      <w:r w:rsidRPr="00EE3ECD">
        <w:rPr>
          <w:rStyle w:val="Strong"/>
          <w:rFonts w:ascii="Times New Roman" w:hAnsi="Times New Roman"/>
        </w:rPr>
        <w:t>-</w:t>
      </w:r>
      <w:r w:rsidR="00DF0A93" w:rsidRPr="00EE3ECD">
        <w:rPr>
          <w:rStyle w:val="Strong"/>
          <w:rFonts w:ascii="Times New Roman" w:hAnsi="Times New Roman"/>
        </w:rPr>
        <w:t>4</w:t>
      </w:r>
      <w:r w:rsidRPr="00EE3ECD">
        <w:rPr>
          <w:rStyle w:val="Strong"/>
          <w:rFonts w:ascii="Times New Roman" w:hAnsi="Times New Roman"/>
        </w:rPr>
        <w:t>T)</w:t>
      </w:r>
      <w:r w:rsidRPr="00EE3ECD">
        <w:rPr>
          <w:rStyle w:val="Strong"/>
          <w:rFonts w:ascii="Times New Roman" w:hAnsi="Times New Roman"/>
        </w:rPr>
        <w:br/>
        <w:t>DOCKET NO</w:t>
      </w:r>
      <w:proofErr w:type="gramStart"/>
      <w:r w:rsidRPr="00EE3ECD">
        <w:rPr>
          <w:rStyle w:val="Strong"/>
          <w:rFonts w:ascii="Times New Roman" w:hAnsi="Times New Roman"/>
        </w:rPr>
        <w:t>. </w:t>
      </w:r>
      <w:proofErr w:type="gramEnd"/>
      <w:r w:rsidRPr="00EE3ECD">
        <w:rPr>
          <w:rStyle w:val="Strong"/>
          <w:rFonts w:ascii="Times New Roman" w:hAnsi="Times New Roman"/>
        </w:rPr>
        <w:t>UE-121697/UG-121705</w:t>
      </w:r>
      <w:r w:rsidRPr="00EE3ECD">
        <w:rPr>
          <w:rStyle w:val="Strong"/>
          <w:rFonts w:ascii="Times New Roman" w:hAnsi="Times New Roman"/>
        </w:rPr>
        <w:br/>
        <w:t>DOCKET NO</w:t>
      </w:r>
      <w:proofErr w:type="gramStart"/>
      <w:r w:rsidRPr="00EE3ECD">
        <w:rPr>
          <w:rStyle w:val="Strong"/>
          <w:rFonts w:ascii="Times New Roman" w:hAnsi="Times New Roman"/>
        </w:rPr>
        <w:t>. </w:t>
      </w:r>
      <w:proofErr w:type="gramEnd"/>
      <w:r w:rsidRPr="00EE3ECD">
        <w:rPr>
          <w:rStyle w:val="Strong"/>
          <w:rFonts w:ascii="Times New Roman" w:hAnsi="Times New Roman"/>
        </w:rPr>
        <w:t>UE-130137/</w:t>
      </w:r>
      <w:r w:rsidR="004735DD">
        <w:rPr>
          <w:rStyle w:val="Strong"/>
          <w:rFonts w:ascii="Times New Roman" w:hAnsi="Times New Roman"/>
        </w:rPr>
        <w:t>UG-</w:t>
      </w:r>
      <w:r w:rsidRPr="00EE3ECD">
        <w:rPr>
          <w:rStyle w:val="Strong"/>
          <w:rFonts w:ascii="Times New Roman" w:hAnsi="Times New Roman"/>
        </w:rPr>
        <w:t>130138</w:t>
      </w:r>
      <w:r w:rsidRPr="00EE3ECD">
        <w:rPr>
          <w:rStyle w:val="Strong"/>
          <w:rFonts w:ascii="Times New Roman" w:hAnsi="Times New Roman"/>
        </w:rPr>
        <w:br/>
        <w:t>WITNESS:  </w:t>
      </w:r>
      <w:r w:rsidR="00DF0A93" w:rsidRPr="00EE3ECD">
        <w:rPr>
          <w:rStyle w:val="Strong"/>
          <w:rFonts w:ascii="Times New Roman" w:hAnsi="Times New Roman"/>
        </w:rPr>
        <w:t>DANIEL A. DOYLE</w:t>
      </w: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BEFORE THE</w:t>
      </w: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WASHINGTON UTILITIES AND TRANSPORTATION COMMISSION</w:t>
      </w:r>
    </w:p>
    <w:p w:rsidR="0088373F" w:rsidRPr="00EE3ECD" w:rsidRDefault="0088373F" w:rsidP="00655ACB">
      <w:pPr>
        <w:pStyle w:val="center"/>
        <w:keepLines w:val="0"/>
        <w:widowControl w:val="0"/>
        <w:spacing w:before="0" w:line="240" w:lineRule="auto"/>
        <w:rPr>
          <w:rFonts w:ascii="Times New Roman" w:hAnsi="Times New Roman"/>
          <w:b/>
        </w:rPr>
      </w:pPr>
    </w:p>
    <w:p w:rsidR="007678F0" w:rsidRPr="00EE3ECD" w:rsidRDefault="007678F0" w:rsidP="00655ACB">
      <w:pPr>
        <w:pStyle w:val="center"/>
        <w:keepLines w:val="0"/>
        <w:widowControl w:val="0"/>
        <w:spacing w:before="0" w:line="240" w:lineRule="auto"/>
        <w:rPr>
          <w:rFonts w:ascii="Times New Roman" w:hAnsi="Times New Roman"/>
          <w:b/>
        </w:rPr>
      </w:pPr>
    </w:p>
    <w:p w:rsidR="00625D99" w:rsidRPr="00EE3ECD"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E3ECD" w:rsidTr="00625D99">
        <w:tc>
          <w:tcPr>
            <w:tcW w:w="4536" w:type="dxa"/>
            <w:tcBorders>
              <w:top w:val="nil"/>
              <w:left w:val="nil"/>
            </w:tcBorders>
          </w:tcPr>
          <w:p w:rsidR="00625D99" w:rsidRPr="00EE3ECD" w:rsidRDefault="00625D99" w:rsidP="00AA5FC5">
            <w:pPr>
              <w:spacing w:line="240" w:lineRule="auto"/>
              <w:ind w:firstLine="0"/>
            </w:pPr>
            <w:r w:rsidRPr="00EE3ECD">
              <w:t>WASHINGTON UTILITIES AND TRANSPORTATION COMMISSION,</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Complainant,</w:t>
            </w:r>
          </w:p>
          <w:p w:rsidR="00625D99" w:rsidRPr="00EE3ECD" w:rsidRDefault="00625D99" w:rsidP="00AA5FC5">
            <w:pPr>
              <w:spacing w:line="240" w:lineRule="auto"/>
              <w:ind w:left="1440" w:firstLine="0"/>
            </w:pPr>
          </w:p>
          <w:p w:rsidR="00625D99" w:rsidRPr="00EE3ECD" w:rsidRDefault="00625D99" w:rsidP="00AA5FC5">
            <w:pPr>
              <w:spacing w:line="240" w:lineRule="auto"/>
              <w:ind w:left="1440" w:firstLine="0"/>
            </w:pPr>
            <w:proofErr w:type="gramStart"/>
            <w:r w:rsidRPr="00EE3ECD">
              <w:t>v</w:t>
            </w:r>
            <w:proofErr w:type="gramEnd"/>
            <w:r w:rsidRPr="00EE3ECD">
              <w:t>.</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 xml:space="preserve">PUGET SOUND ENERGY, INC., </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r>
            <w:proofErr w:type="gramStart"/>
            <w:r w:rsidRPr="00EE3ECD">
              <w:t>Respondent.</w:t>
            </w:r>
            <w:proofErr w:type="gramEnd"/>
          </w:p>
          <w:p w:rsidR="00625D99" w:rsidRPr="00EE3ECD" w:rsidRDefault="00625D99" w:rsidP="00AA5FC5">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24" w:firstLine="0"/>
            </w:pPr>
            <w:r w:rsidRPr="00EE3ECD">
              <w:t>DOCKET NOS</w:t>
            </w:r>
            <w:proofErr w:type="gramStart"/>
            <w:r w:rsidRPr="00EE3ECD">
              <w:t xml:space="preserve">. </w:t>
            </w:r>
            <w:proofErr w:type="gramEnd"/>
            <w:r w:rsidRPr="00EE3ECD">
              <w:t>UE-121697</w:t>
            </w:r>
            <w:r w:rsidRPr="00EE3ECD">
              <w:br/>
              <w:t>and UG-121705 (</w:t>
            </w:r>
            <w:r w:rsidRPr="00EE3ECD">
              <w:rPr>
                <w:i/>
              </w:rPr>
              <w:t>consolidated</w:t>
            </w:r>
            <w:r w:rsidRPr="00EE3ECD">
              <w:t>)</w:t>
            </w:r>
          </w:p>
          <w:p w:rsidR="00625D99" w:rsidRPr="00EE3ECD" w:rsidRDefault="00625D99" w:rsidP="00655ACB">
            <w:pPr>
              <w:keepNext/>
              <w:keepLines/>
              <w:spacing w:line="240" w:lineRule="auto"/>
              <w:ind w:left="324" w:firstLine="0"/>
            </w:pPr>
          </w:p>
        </w:tc>
      </w:tr>
      <w:tr w:rsidR="00625D99" w:rsidRPr="00EE3ECD" w:rsidTr="007B7904">
        <w:tc>
          <w:tcPr>
            <w:tcW w:w="4536" w:type="dxa"/>
            <w:tcBorders>
              <w:left w:val="nil"/>
            </w:tcBorders>
          </w:tcPr>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WASHINGTON UTILITIES AND TRANSPORTATION COMMISSION,</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Complainant,</w:t>
            </w:r>
          </w:p>
          <w:p w:rsidR="00625D99" w:rsidRPr="00EE3ECD" w:rsidRDefault="00625D99" w:rsidP="00655ACB">
            <w:pPr>
              <w:spacing w:line="240" w:lineRule="auto"/>
              <w:ind w:left="1440" w:firstLine="0"/>
            </w:pPr>
          </w:p>
          <w:p w:rsidR="00625D99" w:rsidRPr="00EE3ECD" w:rsidRDefault="00625D99" w:rsidP="00655ACB">
            <w:pPr>
              <w:spacing w:line="240" w:lineRule="auto"/>
              <w:ind w:left="1440" w:firstLine="0"/>
            </w:pPr>
            <w:proofErr w:type="gramStart"/>
            <w:r w:rsidRPr="00EE3ECD">
              <w:t>v</w:t>
            </w:r>
            <w:proofErr w:type="gramEnd"/>
            <w:r w:rsidRPr="00EE3ECD">
              <w:t>.</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 xml:space="preserve">PUGET SOUND ENERGY, INC., </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r>
            <w:proofErr w:type="gramStart"/>
            <w:r w:rsidRPr="00EE3ECD">
              <w:t>Respondent.</w:t>
            </w:r>
            <w:proofErr w:type="gramEnd"/>
          </w:p>
          <w:p w:rsidR="00625D99" w:rsidRPr="00EE3ECD" w:rsidRDefault="00625D99" w:rsidP="00655ACB">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31" w:firstLine="0"/>
            </w:pPr>
            <w:r w:rsidRPr="00EE3ECD">
              <w:t>DOCKET NOS</w:t>
            </w:r>
            <w:proofErr w:type="gramStart"/>
            <w:r w:rsidRPr="00EE3ECD">
              <w:t xml:space="preserve">. </w:t>
            </w:r>
            <w:proofErr w:type="gramEnd"/>
            <w:r w:rsidRPr="00EE3ECD">
              <w:t>UE-130137</w:t>
            </w:r>
            <w:r w:rsidRPr="00EE3ECD">
              <w:br/>
              <w:t>and UG-130138 (</w:t>
            </w:r>
            <w:r w:rsidRPr="00EE3ECD">
              <w:rPr>
                <w:i/>
              </w:rPr>
              <w:t>consolidated</w:t>
            </w:r>
            <w:r w:rsidRPr="00EE3ECD">
              <w:t>)</w:t>
            </w:r>
          </w:p>
          <w:p w:rsidR="00625D99" w:rsidRPr="00EE3ECD" w:rsidRDefault="00625D99" w:rsidP="00655ACB">
            <w:pPr>
              <w:keepNext/>
              <w:keepLines/>
              <w:spacing w:line="240" w:lineRule="auto"/>
              <w:ind w:left="324" w:firstLine="0"/>
            </w:pPr>
          </w:p>
        </w:tc>
      </w:tr>
    </w:tbl>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roofErr w:type="spellStart"/>
      <w:r w:rsidRPr="00EE3ECD">
        <w:rPr>
          <w:rFonts w:ascii="Times New Roman" w:hAnsi="Times New Roman"/>
          <w:b/>
        </w:rPr>
        <w:t>PREFILED</w:t>
      </w:r>
      <w:proofErr w:type="spellEnd"/>
      <w:r w:rsidRPr="00EE3ECD">
        <w:rPr>
          <w:rFonts w:ascii="Times New Roman" w:hAnsi="Times New Roman"/>
          <w:b/>
        </w:rPr>
        <w:t xml:space="preserve"> </w:t>
      </w:r>
      <w:r w:rsidR="00625D99" w:rsidRPr="00EE3ECD">
        <w:rPr>
          <w:rFonts w:ascii="Times New Roman" w:hAnsi="Times New Roman"/>
          <w:b/>
        </w:rPr>
        <w:t>DIRECT</w:t>
      </w:r>
      <w:r w:rsidRPr="00EE3ECD">
        <w:rPr>
          <w:rFonts w:ascii="Times New Roman" w:hAnsi="Times New Roman"/>
          <w:b/>
        </w:rPr>
        <w:t xml:space="preserve"> TESTIMONY (</w:t>
      </w:r>
      <w:proofErr w:type="spellStart"/>
      <w:r w:rsidRPr="00EE3ECD">
        <w:rPr>
          <w:rFonts w:ascii="Times New Roman" w:hAnsi="Times New Roman"/>
          <w:b/>
        </w:rPr>
        <w:t>NONCONFIDENTIAL</w:t>
      </w:r>
      <w:proofErr w:type="spellEnd"/>
      <w:r w:rsidRPr="00EE3ECD">
        <w:rPr>
          <w:rFonts w:ascii="Times New Roman" w:hAnsi="Times New Roman"/>
          <w:b/>
        </w:rPr>
        <w:t>) OF</w:t>
      </w:r>
    </w:p>
    <w:p w:rsidR="0088373F" w:rsidRPr="00EE3ECD" w:rsidRDefault="00DF0A93" w:rsidP="00655ACB">
      <w:pPr>
        <w:pStyle w:val="center"/>
        <w:keepLines w:val="0"/>
        <w:widowControl w:val="0"/>
        <w:spacing w:before="0" w:line="240" w:lineRule="auto"/>
        <w:rPr>
          <w:rFonts w:ascii="Times New Roman" w:hAnsi="Times New Roman"/>
          <w:b/>
        </w:rPr>
      </w:pPr>
      <w:proofErr w:type="gramStart"/>
      <w:r w:rsidRPr="00EE3ECD">
        <w:rPr>
          <w:rStyle w:val="Strong"/>
          <w:rFonts w:ascii="Times New Roman" w:hAnsi="Times New Roman"/>
        </w:rPr>
        <w:t>DANIEL A. DOYLE</w:t>
      </w:r>
      <w:r w:rsidR="0088373F" w:rsidRPr="00EE3ECD">
        <w:rPr>
          <w:rFonts w:ascii="Times New Roman" w:hAnsi="Times New Roman"/>
          <w:b/>
          <w:bCs/>
          <w:szCs w:val="24"/>
        </w:rPr>
        <w:br/>
      </w:r>
      <w:r w:rsidR="0088373F" w:rsidRPr="00EE3ECD">
        <w:rPr>
          <w:rFonts w:ascii="Times New Roman" w:hAnsi="Times New Roman"/>
          <w:b/>
        </w:rPr>
        <w:t>ON BEHALF OF PUGET SOUND ENERGY, INC.</w:t>
      </w:r>
      <w:proofErr w:type="gramEnd"/>
    </w:p>
    <w:p w:rsidR="001A259E" w:rsidRPr="00EE3ECD" w:rsidRDefault="001A259E"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625D99" w:rsidRPr="00EE3ECD" w:rsidRDefault="00625D99" w:rsidP="00655ACB">
      <w:pPr>
        <w:pStyle w:val="center"/>
        <w:keepLines w:val="0"/>
        <w:widowControl w:val="0"/>
        <w:spacing w:before="0" w:line="240" w:lineRule="auto"/>
        <w:rPr>
          <w:rFonts w:ascii="Times New Roman" w:hAnsi="Times New Roman"/>
          <w:b/>
          <w:bCs/>
          <w:i/>
          <w:szCs w:val="24"/>
        </w:rPr>
      </w:pPr>
    </w:p>
    <w:p w:rsidR="0088373F" w:rsidRPr="00EE3ECD" w:rsidRDefault="00625D99" w:rsidP="00655ACB">
      <w:pPr>
        <w:pStyle w:val="center"/>
        <w:keepLines w:val="0"/>
        <w:widowControl w:val="0"/>
        <w:spacing w:before="0" w:line="240" w:lineRule="auto"/>
        <w:rPr>
          <w:rFonts w:ascii="Times New Roman" w:hAnsi="Times New Roman"/>
          <w:b/>
          <w:bCs/>
          <w:szCs w:val="24"/>
        </w:rPr>
      </w:pPr>
      <w:r w:rsidRPr="00EE3ECD">
        <w:rPr>
          <w:rFonts w:ascii="Times New Roman" w:hAnsi="Times New Roman"/>
          <w:b/>
        </w:rPr>
        <w:t>NOVEMBER 5</w:t>
      </w:r>
      <w:r w:rsidR="0088373F" w:rsidRPr="00EE3ECD">
        <w:rPr>
          <w:rFonts w:ascii="Times New Roman" w:hAnsi="Times New Roman"/>
          <w:b/>
        </w:rPr>
        <w:t>, 201</w:t>
      </w:r>
      <w:r w:rsidRPr="00EE3ECD">
        <w:rPr>
          <w:rFonts w:ascii="Times New Roman" w:hAnsi="Times New Roman"/>
          <w:b/>
        </w:rPr>
        <w:t>4</w:t>
      </w:r>
    </w:p>
    <w:p w:rsidR="0088373F" w:rsidRPr="00EE3ECD" w:rsidRDefault="0088373F" w:rsidP="000F4005">
      <w:pPr>
        <w:widowControl w:val="0"/>
        <w:spacing w:line="240" w:lineRule="auto"/>
        <w:ind w:firstLine="0"/>
        <w:jc w:val="center"/>
        <w:rPr>
          <w:b/>
          <w:bCs/>
          <w:szCs w:val="24"/>
        </w:rPr>
        <w:sectPr w:rsidR="0088373F" w:rsidRPr="00EE3ECD">
          <w:headerReference w:type="default" r:id="rId13"/>
          <w:footerReference w:type="default" r:id="rId14"/>
          <w:pgSz w:w="12240" w:h="15840" w:code="1"/>
          <w:pgMar w:top="1440" w:right="1440" w:bottom="1440" w:left="2160" w:header="720" w:footer="864" w:gutter="0"/>
          <w:pgNumType w:start="1"/>
          <w:cols w:space="720"/>
          <w:rtlGutter/>
        </w:sectPr>
      </w:pP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lastRenderedPageBreak/>
        <w:t>PUGET SOUND ENERGY, INC.</w:t>
      </w:r>
    </w:p>
    <w:p w:rsidR="0088373F" w:rsidRPr="00EE3ECD" w:rsidRDefault="0088373F" w:rsidP="00742234">
      <w:pPr>
        <w:keepNext/>
        <w:keepLines/>
        <w:spacing w:before="240" w:after="240" w:line="240" w:lineRule="auto"/>
        <w:ind w:left="547" w:right="547" w:firstLine="0"/>
        <w:jc w:val="center"/>
        <w:rPr>
          <w:b/>
          <w:bCs/>
          <w:szCs w:val="24"/>
        </w:rPr>
      </w:pPr>
      <w:proofErr w:type="spellStart"/>
      <w:r w:rsidRPr="00EE3ECD">
        <w:rPr>
          <w:b/>
          <w:bCs/>
          <w:szCs w:val="24"/>
        </w:rPr>
        <w:t>PREFILED</w:t>
      </w:r>
      <w:proofErr w:type="spellEnd"/>
      <w:r w:rsidRPr="00EE3ECD">
        <w:rPr>
          <w:b/>
          <w:bCs/>
          <w:szCs w:val="24"/>
        </w:rPr>
        <w:t xml:space="preserve"> </w:t>
      </w:r>
      <w:r w:rsidR="007678F0" w:rsidRPr="00EE3ECD">
        <w:rPr>
          <w:b/>
          <w:bCs/>
          <w:szCs w:val="24"/>
        </w:rPr>
        <w:t>DIRECT</w:t>
      </w:r>
      <w:r w:rsidRPr="00EE3ECD">
        <w:rPr>
          <w:b/>
          <w:bCs/>
          <w:szCs w:val="24"/>
        </w:rPr>
        <w:t xml:space="preserve"> TESTIMONY </w:t>
      </w:r>
      <w:r w:rsidRPr="00EE3ECD">
        <w:rPr>
          <w:b/>
          <w:bCs/>
          <w:szCs w:val="24"/>
        </w:rPr>
        <w:br/>
        <w:t>(</w:t>
      </w:r>
      <w:proofErr w:type="spellStart"/>
      <w:r w:rsidRPr="00EE3ECD">
        <w:rPr>
          <w:b/>
          <w:bCs/>
          <w:szCs w:val="24"/>
        </w:rPr>
        <w:t>NONCONFIDENTIAL</w:t>
      </w:r>
      <w:proofErr w:type="spellEnd"/>
      <w:r w:rsidRPr="00EE3ECD">
        <w:rPr>
          <w:b/>
          <w:bCs/>
          <w:szCs w:val="24"/>
        </w:rPr>
        <w:t xml:space="preserve">) OF </w:t>
      </w:r>
      <w:bookmarkStart w:id="0" w:name="TOCTitle"/>
      <w:r w:rsidR="00DF0A93" w:rsidRPr="00EE3ECD">
        <w:rPr>
          <w:rStyle w:val="Strong"/>
        </w:rPr>
        <w:t>DANIEL A. DOYLE</w:t>
      </w:r>
    </w:p>
    <w:p w:rsidR="0088373F" w:rsidRPr="00EE3ECD" w:rsidRDefault="0088373F" w:rsidP="006E0E79">
      <w:pPr>
        <w:keepNext/>
        <w:keepLines/>
        <w:spacing w:before="240" w:after="360" w:line="240" w:lineRule="auto"/>
        <w:ind w:left="547" w:right="547" w:firstLine="0"/>
        <w:jc w:val="center"/>
        <w:rPr>
          <w:b/>
          <w:bCs/>
          <w:szCs w:val="24"/>
        </w:rPr>
      </w:pPr>
      <w:r w:rsidRPr="00EE3ECD">
        <w:rPr>
          <w:b/>
          <w:bCs/>
        </w:rPr>
        <w:t>CONTENTS</w:t>
      </w:r>
      <w:bookmarkEnd w:id="0"/>
    </w:p>
    <w:p w:rsidR="00A14EBD" w:rsidRPr="00A14EBD" w:rsidRDefault="0088373F">
      <w:pPr>
        <w:pStyle w:val="TOC1"/>
        <w:rPr>
          <w:rFonts w:asciiTheme="minorHAnsi" w:eastAsiaTheme="minorEastAsia" w:hAnsiTheme="minorHAnsi" w:cstheme="minorBidi"/>
          <w:color w:val="auto"/>
          <w:sz w:val="22"/>
          <w:szCs w:val="22"/>
          <w:lang w:eastAsia="en-US"/>
        </w:rPr>
      </w:pPr>
      <w:r w:rsidRPr="00A14EBD">
        <w:rPr>
          <w:rFonts w:ascii="Times New Roman" w:hAnsi="Times New Roman"/>
          <w:bCs/>
          <w:color w:val="auto"/>
        </w:rPr>
        <w:fldChar w:fldCharType="begin"/>
      </w:r>
      <w:r w:rsidRPr="00A14EBD">
        <w:rPr>
          <w:rFonts w:ascii="Times New Roman" w:hAnsi="Times New Roman"/>
          <w:bCs/>
          <w:color w:val="auto"/>
        </w:rPr>
        <w:instrText xml:space="preserve"> TOC \o "1-5" \h \z \u </w:instrText>
      </w:r>
      <w:r w:rsidRPr="00A14EBD">
        <w:rPr>
          <w:rFonts w:ascii="Times New Roman" w:hAnsi="Times New Roman"/>
          <w:bCs/>
          <w:color w:val="auto"/>
        </w:rPr>
        <w:fldChar w:fldCharType="separate"/>
      </w:r>
      <w:hyperlink w:anchor="_Toc402867745" w:history="1">
        <w:r w:rsidR="00A14EBD" w:rsidRPr="00A14EBD">
          <w:rPr>
            <w:rStyle w:val="Hyperlink"/>
            <w:rFonts w:ascii="Times New Roman" w:hAnsi="Times New Roman"/>
            <w:color w:val="auto"/>
          </w:rPr>
          <w:t>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INTRODUCTION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_Toc402867745 \h </w:instrText>
        </w:r>
        <w:r w:rsidR="00A14EBD" w:rsidRPr="00A14EBD">
          <w:rPr>
            <w:webHidden/>
            <w:color w:val="auto"/>
          </w:rPr>
        </w:r>
        <w:r w:rsidR="00A14EBD" w:rsidRPr="00A14EBD">
          <w:rPr>
            <w:webHidden/>
            <w:color w:val="auto"/>
          </w:rPr>
          <w:fldChar w:fldCharType="separate"/>
        </w:r>
        <w:r w:rsidR="00A14EBD" w:rsidRPr="00A14EBD">
          <w:rPr>
            <w:webHidden/>
            <w:color w:val="auto"/>
          </w:rPr>
          <w:t>1</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6" w:history="1">
        <w:r w:rsidR="00A14EBD" w:rsidRPr="00A14EBD">
          <w:rPr>
            <w:rStyle w:val="Hyperlink"/>
            <w:rFonts w:ascii="Times New Roman" w:hAnsi="Times New Roman"/>
            <w:color w:val="auto"/>
          </w:rPr>
          <w:t>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BACKGROUND AND OVERVIEW OF THIS REMAND PROCEEDING</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_Toc402867746 \h </w:instrText>
        </w:r>
        <w:r w:rsidR="00A14EBD" w:rsidRPr="00A14EBD">
          <w:rPr>
            <w:webHidden/>
            <w:color w:val="auto"/>
          </w:rPr>
        </w:r>
        <w:r w:rsidR="00A14EBD" w:rsidRPr="00A14EBD">
          <w:rPr>
            <w:webHidden/>
            <w:color w:val="auto"/>
          </w:rPr>
          <w:fldChar w:fldCharType="separate"/>
        </w:r>
        <w:r w:rsidR="00A14EBD" w:rsidRPr="00A14EBD">
          <w:rPr>
            <w:webHidden/>
            <w:color w:val="auto"/>
          </w:rPr>
          <w:t>2</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7" w:history="1">
        <w:r w:rsidR="00A14EBD" w:rsidRPr="00A14EBD">
          <w:rPr>
            <w:rStyle w:val="Hyperlink"/>
            <w:rFonts w:ascii="Times New Roman" w:hAnsi="Times New Roman"/>
            <w:color w:val="auto"/>
          </w:rPr>
          <w:t>III.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OVERVIEW OF THE AUTHORIZED RATE OF RETURN THAT PSE IS REQUESTING IN THIS PROCEEDING</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_Toc402867747 \h </w:instrText>
        </w:r>
        <w:r w:rsidR="00A14EBD" w:rsidRPr="00A14EBD">
          <w:rPr>
            <w:webHidden/>
            <w:color w:val="auto"/>
          </w:rPr>
        </w:r>
        <w:r w:rsidR="00A14EBD" w:rsidRPr="00A14EBD">
          <w:rPr>
            <w:webHidden/>
            <w:color w:val="auto"/>
          </w:rPr>
          <w:fldChar w:fldCharType="separate"/>
        </w:r>
        <w:r w:rsidR="00A14EBD" w:rsidRPr="00A14EBD">
          <w:rPr>
            <w:webHidden/>
            <w:color w:val="auto"/>
          </w:rPr>
          <w:t>9</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8" w:history="1">
        <w:r w:rsidR="00A14EBD" w:rsidRPr="00A14EBD">
          <w:rPr>
            <w:rStyle w:val="Hyperlink"/>
            <w:rFonts w:ascii="Times New Roman" w:hAnsi="Times New Roman"/>
            <w:color w:val="auto"/>
          </w:rPr>
          <w:t>IV.</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PSE CONTINUES TO UNDER-EARN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_Toc402867748 \h </w:instrText>
        </w:r>
        <w:r w:rsidR="00A14EBD" w:rsidRPr="00A14EBD">
          <w:rPr>
            <w:webHidden/>
            <w:color w:val="auto"/>
          </w:rPr>
        </w:r>
        <w:r w:rsidR="00A14EBD" w:rsidRPr="00A14EBD">
          <w:rPr>
            <w:webHidden/>
            <w:color w:val="auto"/>
          </w:rPr>
          <w:fldChar w:fldCharType="separate"/>
        </w:r>
        <w:r w:rsidR="00A14EBD" w:rsidRPr="00A14EBD">
          <w:rPr>
            <w:webHidden/>
            <w:color w:val="auto"/>
          </w:rPr>
          <w:t>17</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9" w:history="1">
        <w:r w:rsidR="00A14EBD" w:rsidRPr="00A14EBD">
          <w:rPr>
            <w:rStyle w:val="Hyperlink"/>
            <w:rFonts w:ascii="Times New Roman" w:hAnsi="Times New Roman"/>
            <w:color w:val="auto"/>
          </w:rPr>
          <w:t>V.</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EFFECTS OF THE EARNINGS SHARING PROVISION ON RETURN ON EQUITY</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_Toc402867749 \h </w:instrText>
        </w:r>
        <w:r w:rsidR="00A14EBD" w:rsidRPr="00A14EBD">
          <w:rPr>
            <w:webHidden/>
            <w:color w:val="auto"/>
          </w:rPr>
        </w:r>
        <w:r w:rsidR="00A14EBD" w:rsidRPr="00A14EBD">
          <w:rPr>
            <w:webHidden/>
            <w:color w:val="auto"/>
          </w:rPr>
          <w:fldChar w:fldCharType="separate"/>
        </w:r>
        <w:r w:rsidR="00A14EBD" w:rsidRPr="00A14EBD">
          <w:rPr>
            <w:webHidden/>
            <w:color w:val="auto"/>
          </w:rPr>
          <w:t>18</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50" w:history="1">
        <w:r w:rsidR="00A14EBD" w:rsidRPr="00A14EBD">
          <w:rPr>
            <w:rStyle w:val="Hyperlink"/>
            <w:rFonts w:ascii="Times New Roman" w:hAnsi="Times New Roman"/>
            <w:color w:val="auto"/>
          </w:rPr>
          <w:t>VI.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IMPACTS OF DECOUPLING ON COST OF CAPITAL</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_Toc402867750 \h </w:instrText>
        </w:r>
        <w:r w:rsidR="00A14EBD" w:rsidRPr="00A14EBD">
          <w:rPr>
            <w:webHidden/>
            <w:color w:val="auto"/>
          </w:rPr>
        </w:r>
        <w:r w:rsidR="00A14EBD" w:rsidRPr="00A14EBD">
          <w:rPr>
            <w:webHidden/>
            <w:color w:val="auto"/>
          </w:rPr>
          <w:fldChar w:fldCharType="separate"/>
        </w:r>
        <w:r w:rsidR="00A14EBD" w:rsidRPr="00A14EBD">
          <w:rPr>
            <w:webHidden/>
            <w:color w:val="auto"/>
          </w:rPr>
          <w:t>22</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51" w:history="1">
        <w:r w:rsidR="00A14EBD" w:rsidRPr="00A14EBD">
          <w:rPr>
            <w:rStyle w:val="Hyperlink"/>
            <w:rFonts w:ascii="Times New Roman" w:hAnsi="Times New Roman"/>
            <w:color w:val="auto"/>
          </w:rPr>
          <w:t>VII.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CONCLUSION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_Toc402867751 \h </w:instrText>
        </w:r>
        <w:r w:rsidR="00A14EBD" w:rsidRPr="00A14EBD">
          <w:rPr>
            <w:webHidden/>
            <w:color w:val="auto"/>
          </w:rPr>
        </w:r>
        <w:r w:rsidR="00A14EBD" w:rsidRPr="00A14EBD">
          <w:rPr>
            <w:webHidden/>
            <w:color w:val="auto"/>
          </w:rPr>
          <w:fldChar w:fldCharType="separate"/>
        </w:r>
        <w:r w:rsidR="00A14EBD" w:rsidRPr="00A14EBD">
          <w:rPr>
            <w:webHidden/>
            <w:color w:val="auto"/>
          </w:rPr>
          <w:t>28</w:t>
        </w:r>
        <w:r w:rsidR="00A14EBD" w:rsidRPr="00A14EBD">
          <w:rPr>
            <w:webHidden/>
            <w:color w:val="auto"/>
          </w:rPr>
          <w:fldChar w:fldCharType="end"/>
        </w:r>
      </w:hyperlink>
    </w:p>
    <w:p w:rsidR="0088373F" w:rsidRPr="00EE3ECD" w:rsidRDefault="0088373F" w:rsidP="000F4005">
      <w:pPr>
        <w:widowControl w:val="0"/>
        <w:spacing w:before="240" w:after="240" w:line="480" w:lineRule="auto"/>
        <w:ind w:left="720" w:right="720" w:firstLine="0"/>
        <w:jc w:val="center"/>
        <w:rPr>
          <w:bCs/>
        </w:rPr>
      </w:pPr>
      <w:r w:rsidRPr="00A14EBD">
        <w:rPr>
          <w:bCs/>
        </w:rPr>
        <w:fldChar w:fldCharType="end"/>
      </w:r>
    </w:p>
    <w:p w:rsidR="0088373F" w:rsidRPr="00EE3ECD" w:rsidRDefault="0088373F" w:rsidP="000F4005">
      <w:pPr>
        <w:widowControl w:val="0"/>
        <w:spacing w:before="240" w:after="240" w:line="480" w:lineRule="auto"/>
        <w:ind w:left="720" w:right="720" w:firstLine="0"/>
        <w:jc w:val="center"/>
        <w:rPr>
          <w:b/>
          <w:bCs/>
          <w:szCs w:val="24"/>
        </w:rPr>
        <w:sectPr w:rsidR="0088373F" w:rsidRPr="00EE3ECD"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EE3ECD" w:rsidRDefault="0088373F" w:rsidP="006E0E79">
      <w:pPr>
        <w:keepNext/>
        <w:keepLines/>
        <w:spacing w:before="240" w:after="360" w:line="240" w:lineRule="auto"/>
        <w:ind w:left="547" w:right="547" w:firstLine="0"/>
        <w:jc w:val="center"/>
        <w:rPr>
          <w:b/>
          <w:bCs/>
          <w:szCs w:val="24"/>
        </w:rPr>
      </w:pPr>
      <w:r w:rsidRPr="00EE3ECD">
        <w:rPr>
          <w:b/>
          <w:bCs/>
          <w:szCs w:val="24"/>
        </w:rPr>
        <w:lastRenderedPageBreak/>
        <w:t>PUGET SOUND ENERGY, INC.</w:t>
      </w:r>
    </w:p>
    <w:p w:rsidR="0088373F" w:rsidRPr="00EE3ECD" w:rsidRDefault="00EE3ECD" w:rsidP="006E0E79">
      <w:pPr>
        <w:keepNext/>
        <w:keepLines/>
        <w:spacing w:before="240" w:after="360" w:line="240" w:lineRule="auto"/>
        <w:ind w:left="547" w:right="547" w:firstLine="0"/>
        <w:jc w:val="center"/>
        <w:rPr>
          <w:b/>
          <w:bCs/>
          <w:szCs w:val="24"/>
        </w:rPr>
      </w:pPr>
      <w:proofErr w:type="spellStart"/>
      <w:r w:rsidRPr="00EE3ECD">
        <w:rPr>
          <w:b/>
          <w:bCs/>
          <w:szCs w:val="24"/>
        </w:rPr>
        <w:t>PREFILED</w:t>
      </w:r>
      <w:proofErr w:type="spellEnd"/>
      <w:r w:rsidRPr="00EE3ECD">
        <w:rPr>
          <w:b/>
          <w:bCs/>
          <w:szCs w:val="24"/>
        </w:rPr>
        <w:t xml:space="preserve"> DIRECT TESTIMONY (</w:t>
      </w:r>
      <w:proofErr w:type="spellStart"/>
      <w:r w:rsidRPr="00EE3ECD">
        <w:rPr>
          <w:b/>
          <w:bCs/>
          <w:szCs w:val="24"/>
        </w:rPr>
        <w:t>NONCONFIDENTIAL</w:t>
      </w:r>
      <w:proofErr w:type="spellEnd"/>
      <w:r w:rsidRPr="00EE3ECD">
        <w:rPr>
          <w:b/>
          <w:bCs/>
          <w:szCs w:val="24"/>
        </w:rPr>
        <w:t>) OF</w:t>
      </w:r>
      <w:r w:rsidRPr="00EE3ECD">
        <w:rPr>
          <w:b/>
          <w:bCs/>
          <w:szCs w:val="24"/>
        </w:rPr>
        <w:br/>
      </w:r>
      <w:r w:rsidRPr="00EE3ECD">
        <w:rPr>
          <w:rFonts w:eastAsia="SimSun"/>
          <w:b/>
        </w:rPr>
        <w:t>DANIEL A. DOYLE</w:t>
      </w:r>
    </w:p>
    <w:p w:rsidR="00DF0A93" w:rsidRPr="00EE3ECD" w:rsidRDefault="00DF0A93" w:rsidP="00DF0A93">
      <w:pPr>
        <w:pStyle w:val="Heading1"/>
        <w:spacing w:after="360" w:line="240" w:lineRule="auto"/>
        <w:rPr>
          <w:rFonts w:ascii="Times New Roman" w:eastAsia="SimSun" w:hAnsi="Times New Roman"/>
        </w:rPr>
      </w:pPr>
      <w:bookmarkStart w:id="1" w:name="_Toc402867745"/>
      <w:r w:rsidRPr="00EE3ECD">
        <w:rPr>
          <w:rFonts w:ascii="Times New Roman" w:eastAsia="SimSun" w:hAnsi="Times New Roman"/>
        </w:rPr>
        <w:t>I.</w:t>
      </w:r>
      <w:r w:rsidRPr="00EE3ECD">
        <w:rPr>
          <w:rFonts w:ascii="Times New Roman" w:eastAsia="SimSun" w:hAnsi="Times New Roman"/>
        </w:rPr>
        <w:tab/>
        <w:t>INTRODUCTION</w:t>
      </w:r>
      <w:bookmarkEnd w:id="1"/>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Are you the same Daniel A. Doyle who provided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rebuttal testimony and supporting exhibits on behalf of Puget Sound Energy, Inc. (</w:t>
      </w:r>
      <w:r w:rsidR="00A14EBD">
        <w:rPr>
          <w:rFonts w:ascii="Times New Roman" w:eastAsia="SimSun" w:hAnsi="Times New Roman"/>
        </w:rPr>
        <w:t>“</w:t>
      </w: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 in these proceedings?</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Yes, I filed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rebuttal testimony, Exhibit No</w:t>
      </w:r>
      <w:proofErr w:type="gramStart"/>
      <w:r w:rsidRPr="00EE3ECD">
        <w:rPr>
          <w:rFonts w:ascii="Times New Roman" w:eastAsia="SimSun" w:hAnsi="Times New Roman"/>
        </w:rPr>
        <w:t>.</w:t>
      </w:r>
      <w:r w:rsidR="00D503D6">
        <w:rPr>
          <w:rFonts w:ascii="Times New Roman" w:eastAsia="SimSun" w:hAnsi="Times New Roman"/>
        </w:rPr>
        <w:t> </w:t>
      </w:r>
      <w:proofErr w:type="gramEnd"/>
      <w:r w:rsidRPr="00EE3ECD">
        <w:rPr>
          <w:rFonts w:ascii="Times New Roman" w:eastAsia="SimSun" w:hAnsi="Times New Roman"/>
        </w:rPr>
        <w:t>___(DAD-1T), and two supporting exhibits, Exhibit No</w:t>
      </w:r>
      <w:proofErr w:type="gramStart"/>
      <w:r w:rsidRPr="00EE3ECD">
        <w:rPr>
          <w:rFonts w:ascii="Times New Roman" w:eastAsia="SimSun" w:hAnsi="Times New Roman"/>
        </w:rPr>
        <w:t>.</w:t>
      </w:r>
      <w:r w:rsidR="00EE3ECD" w:rsidRPr="00EE3ECD">
        <w:rPr>
          <w:rFonts w:ascii="Times New Roman" w:eastAsia="SimSun" w:hAnsi="Times New Roman"/>
        </w:rPr>
        <w:t> </w:t>
      </w:r>
      <w:proofErr w:type="gramEnd"/>
      <w:r w:rsidRPr="00EE3ECD">
        <w:rPr>
          <w:rFonts w:ascii="Times New Roman" w:eastAsia="SimSun" w:hAnsi="Times New Roman"/>
        </w:rPr>
        <w:t xml:space="preserve">___(DAD-2) </w:t>
      </w:r>
      <w:r w:rsidR="00227CBB">
        <w:rPr>
          <w:rFonts w:ascii="Times New Roman" w:eastAsia="SimSun" w:hAnsi="Times New Roman"/>
        </w:rPr>
        <w:t>and</w:t>
      </w:r>
      <w:r w:rsidRPr="00EE3ECD">
        <w:rPr>
          <w:rFonts w:ascii="Times New Roman" w:eastAsia="SimSun" w:hAnsi="Times New Roman"/>
        </w:rPr>
        <w:t xml:space="preserve"> Exhibit No</w:t>
      </w:r>
      <w:proofErr w:type="gramStart"/>
      <w:r w:rsidRPr="00EE3ECD">
        <w:rPr>
          <w:rFonts w:ascii="Times New Roman" w:eastAsia="SimSun" w:hAnsi="Times New Roman"/>
        </w:rPr>
        <w:t>.</w:t>
      </w:r>
      <w:r w:rsidR="00EE3ECD" w:rsidRPr="00EE3ECD">
        <w:rPr>
          <w:rFonts w:ascii="Times New Roman" w:eastAsia="SimSun" w:hAnsi="Times New Roman"/>
        </w:rPr>
        <w:t> </w:t>
      </w:r>
      <w:proofErr w:type="gramEnd"/>
      <w:r w:rsidRPr="00EE3ECD">
        <w:rPr>
          <w:rFonts w:ascii="Times New Roman" w:eastAsia="SimSun" w:hAnsi="Times New Roman"/>
        </w:rPr>
        <w:t>__</w:t>
      </w:r>
      <w:proofErr w:type="gramStart"/>
      <w:r w:rsidRPr="00EE3ECD">
        <w:rPr>
          <w:rFonts w:ascii="Times New Roman" w:eastAsia="SimSun" w:hAnsi="Times New Roman"/>
        </w:rPr>
        <w:t>_(</w:t>
      </w:r>
      <w:proofErr w:type="gramEnd"/>
      <w:r w:rsidRPr="00EE3ECD">
        <w:rPr>
          <w:rFonts w:ascii="Times New Roman" w:eastAsia="SimSun" w:hAnsi="Times New Roman"/>
        </w:rPr>
        <w:t>DAD-3)</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is the purpose of your testimony?</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F57A62">
        <w:rPr>
          <w:rFonts w:ascii="Times New Roman" w:eastAsia="SimSun" w:hAnsi="Times New Roman"/>
        </w:rPr>
        <w:t>First, my testimony provides a background and overview of this remand proceeding, including PSE</w:t>
      </w:r>
      <w:r w:rsidR="00A14EBD">
        <w:rPr>
          <w:rFonts w:ascii="Times New Roman" w:eastAsia="SimSun" w:hAnsi="Times New Roman"/>
        </w:rPr>
        <w:t>’</w:t>
      </w:r>
      <w:r w:rsidR="009F2EED">
        <w:rPr>
          <w:rFonts w:ascii="Times New Roman" w:eastAsia="SimSun" w:hAnsi="Times New Roman"/>
        </w:rPr>
        <w:t>s</w:t>
      </w:r>
      <w:r w:rsidR="00F57A62">
        <w:rPr>
          <w:rFonts w:ascii="Times New Roman" w:eastAsia="SimSun" w:hAnsi="Times New Roman"/>
        </w:rPr>
        <w:t xml:space="preserve"> view as to the issues that the Commission should address on remand.  Second, my testimony provides a summary of the authorized rate of return that is currently in effect and that PSE requests the Commission approve in this proceeding</w:t>
      </w:r>
      <w:r w:rsidR="00D503D6">
        <w:rPr>
          <w:rFonts w:ascii="Times New Roman" w:eastAsia="SimSun" w:hAnsi="Times New Roman"/>
        </w:rPr>
        <w:t>.</w:t>
      </w:r>
      <w:r w:rsidR="00F57A62">
        <w:rPr>
          <w:rFonts w:ascii="Times New Roman" w:eastAsia="SimSun" w:hAnsi="Times New Roman"/>
        </w:rPr>
        <w:t xml:space="preserve">  Third, my testimony addresses the under-earning that PSE continues to face</w:t>
      </w:r>
      <w:r w:rsidR="00BA0C4B">
        <w:rPr>
          <w:rFonts w:ascii="Times New Roman" w:eastAsia="SimSun" w:hAnsi="Times New Roman"/>
        </w:rPr>
        <w:t xml:space="preserve">, which is a risk the Commission should consider when setting </w:t>
      </w:r>
      <w:r w:rsidR="00334DFB">
        <w:rPr>
          <w:rFonts w:ascii="Times New Roman" w:eastAsia="SimSun" w:hAnsi="Times New Roman"/>
        </w:rPr>
        <w:t>return on equity (</w:t>
      </w:r>
      <w:r w:rsidR="00A14EBD">
        <w:rPr>
          <w:rFonts w:ascii="Times New Roman" w:eastAsia="SimSun" w:hAnsi="Times New Roman"/>
        </w:rPr>
        <w:t>“</w:t>
      </w:r>
      <w:r w:rsidR="00BA0C4B">
        <w:rPr>
          <w:rFonts w:ascii="Times New Roman" w:eastAsia="SimSun" w:hAnsi="Times New Roman"/>
        </w:rPr>
        <w:t>ROE</w:t>
      </w:r>
      <w:r w:rsidR="00A14EBD">
        <w:rPr>
          <w:rFonts w:ascii="Times New Roman" w:eastAsia="SimSun" w:hAnsi="Times New Roman"/>
        </w:rPr>
        <w:t>”</w:t>
      </w:r>
      <w:r w:rsidR="00334DFB">
        <w:rPr>
          <w:rFonts w:ascii="Times New Roman" w:eastAsia="SimSun" w:hAnsi="Times New Roman"/>
        </w:rPr>
        <w:t>)</w:t>
      </w:r>
      <w:r w:rsidR="00F57A62">
        <w:rPr>
          <w:rFonts w:ascii="Times New Roman" w:eastAsia="SimSun" w:hAnsi="Times New Roman"/>
        </w:rPr>
        <w:t>.  Fourth, I discuss the earnings sharing provision and the impact it has on PSE</w:t>
      </w:r>
      <w:r w:rsidR="00A14EBD">
        <w:rPr>
          <w:rFonts w:ascii="Times New Roman" w:eastAsia="SimSun" w:hAnsi="Times New Roman"/>
        </w:rPr>
        <w:t>’</w:t>
      </w:r>
      <w:r w:rsidR="00F57A62">
        <w:rPr>
          <w:rFonts w:ascii="Times New Roman" w:eastAsia="SimSun" w:hAnsi="Times New Roman"/>
        </w:rPr>
        <w:t xml:space="preserve">s ability to earn its authorized return on equity.  Finally, I address factors the Commission should consider with respect to cost of capital and decoupling, if the Commission determines this is an appropriate subject matter for this limited </w:t>
      </w:r>
      <w:r w:rsidR="00BD183D">
        <w:rPr>
          <w:rFonts w:ascii="Times New Roman" w:eastAsia="SimSun" w:hAnsi="Times New Roman"/>
        </w:rPr>
        <w:t>remand proceeding.</w:t>
      </w:r>
    </w:p>
    <w:p w:rsidR="00DF0A93" w:rsidRPr="00EE3ECD" w:rsidRDefault="00DF0A93" w:rsidP="00DF0A93">
      <w:pPr>
        <w:pStyle w:val="Heading1"/>
        <w:spacing w:after="360" w:line="240" w:lineRule="auto"/>
        <w:rPr>
          <w:rFonts w:ascii="Times New Roman" w:eastAsia="SimSun" w:hAnsi="Times New Roman"/>
        </w:rPr>
      </w:pPr>
      <w:bookmarkStart w:id="2" w:name="_Toc402867746"/>
      <w:r w:rsidRPr="00EE3ECD">
        <w:rPr>
          <w:rFonts w:ascii="Times New Roman" w:eastAsia="SimSun" w:hAnsi="Times New Roman"/>
        </w:rPr>
        <w:lastRenderedPageBreak/>
        <w:t>II.</w:t>
      </w:r>
      <w:r w:rsidRPr="00EE3ECD">
        <w:rPr>
          <w:rFonts w:ascii="Times New Roman" w:eastAsia="SimSun" w:hAnsi="Times New Roman"/>
        </w:rPr>
        <w:tab/>
        <w:t>BACKGROUND AND OVERVIEW OF THIS REMAND PROCEEDING</w:t>
      </w:r>
      <w:bookmarkEnd w:id="2"/>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is the purpose of PSE</w:t>
      </w:r>
      <w:r w:rsidR="00A14EBD">
        <w:rPr>
          <w:rFonts w:ascii="Times New Roman" w:eastAsia="SimSun" w:hAnsi="Times New Roman"/>
        </w:rPr>
        <w:t>’</w:t>
      </w:r>
      <w:r w:rsidRPr="00EE3ECD">
        <w:rPr>
          <w:rFonts w:ascii="Times New Roman" w:eastAsia="SimSun" w:hAnsi="Times New Roman"/>
        </w:rPr>
        <w:t xml:space="preserve">s filing in this </w:t>
      </w:r>
      <w:r w:rsidR="00D503D6">
        <w:rPr>
          <w:rFonts w:ascii="Times New Roman" w:eastAsia="SimSun" w:hAnsi="Times New Roman"/>
        </w:rPr>
        <w:t>phase of the proceeding</w:t>
      </w:r>
      <w:r w:rsidRPr="00EE3ECD">
        <w:rPr>
          <w:rFonts w:ascii="Times New Roman" w:eastAsia="SimSun" w:hAnsi="Times New Roman"/>
        </w:rPr>
        <w:t>?</w:t>
      </w:r>
    </w:p>
    <w:p w:rsidR="003957AC"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PSE</w:t>
      </w:r>
      <w:r w:rsidR="00A14EBD">
        <w:rPr>
          <w:rFonts w:ascii="Times New Roman" w:eastAsia="SimSun" w:hAnsi="Times New Roman"/>
        </w:rPr>
        <w:t>’</w:t>
      </w:r>
      <w:r w:rsidRPr="00EE3ECD">
        <w:rPr>
          <w:rFonts w:ascii="Times New Roman" w:eastAsia="SimSun" w:hAnsi="Times New Roman"/>
        </w:rPr>
        <w:t xml:space="preserve">s filing provides substantial evidence </w:t>
      </w:r>
      <w:r w:rsidR="0090740D">
        <w:rPr>
          <w:rFonts w:ascii="Times New Roman" w:eastAsia="SimSun" w:hAnsi="Times New Roman"/>
        </w:rPr>
        <w:t>demonstrating that</w:t>
      </w:r>
      <w:r w:rsidR="0090740D" w:rsidRPr="00EE3ECD">
        <w:rPr>
          <w:rFonts w:ascii="Times New Roman" w:eastAsia="SimSun" w:hAnsi="Times New Roman"/>
        </w:rPr>
        <w:t xml:space="preserve"> </w:t>
      </w:r>
      <w:r w:rsidRPr="00EE3ECD">
        <w:rPr>
          <w:rFonts w:ascii="Times New Roman" w:eastAsia="SimSun" w:hAnsi="Times New Roman"/>
        </w:rPr>
        <w:t xml:space="preserve">the </w:t>
      </w:r>
      <w:r w:rsidR="00D503D6">
        <w:rPr>
          <w:rFonts w:ascii="Times New Roman" w:eastAsia="SimSun" w:hAnsi="Times New Roman"/>
        </w:rPr>
        <w:t xml:space="preserve">ROE </w:t>
      </w:r>
      <w:r w:rsidR="00D503D6" w:rsidRPr="00D503D6">
        <w:rPr>
          <w:rFonts w:ascii="Times New Roman" w:eastAsia="SimSun" w:hAnsi="Times New Roman"/>
        </w:rPr>
        <w:t>of 9.8</w:t>
      </w:r>
      <w:r w:rsidR="00E342C3">
        <w:rPr>
          <w:rFonts w:ascii="Times New Roman" w:eastAsia="SimSun" w:hAnsi="Times New Roman"/>
        </w:rPr>
        <w:t xml:space="preserve"> percent </w:t>
      </w:r>
      <w:r w:rsidR="00D503D6" w:rsidRPr="00D503D6">
        <w:rPr>
          <w:rFonts w:ascii="Times New Roman" w:eastAsia="SimSun" w:hAnsi="Times New Roman"/>
        </w:rPr>
        <w:t xml:space="preserve">authorized by the </w:t>
      </w:r>
      <w:r w:rsidR="00D503D6">
        <w:rPr>
          <w:rFonts w:ascii="Times New Roman" w:eastAsia="SimSun" w:hAnsi="Times New Roman"/>
        </w:rPr>
        <w:t xml:space="preserve">Washington Utilities and Transportation </w:t>
      </w:r>
      <w:r w:rsidR="00D503D6" w:rsidRPr="00EE3ECD">
        <w:rPr>
          <w:rFonts w:ascii="Times New Roman" w:eastAsia="SimSun" w:hAnsi="Times New Roman"/>
        </w:rPr>
        <w:t xml:space="preserve">Commission </w:t>
      </w:r>
      <w:r w:rsidR="00D503D6">
        <w:rPr>
          <w:rFonts w:ascii="Times New Roman" w:eastAsia="SimSun" w:hAnsi="Times New Roman"/>
        </w:rPr>
        <w:t>(</w:t>
      </w:r>
      <w:proofErr w:type="gramStart"/>
      <w:r w:rsidR="00D503D6">
        <w:rPr>
          <w:rFonts w:ascii="Times New Roman" w:eastAsia="SimSun" w:hAnsi="Times New Roman"/>
        </w:rPr>
        <w:t>the</w:t>
      </w:r>
      <w:r w:rsidR="003957AC">
        <w:rPr>
          <w:rFonts w:ascii="Times New Roman" w:eastAsia="SimSun" w:hAnsi="Times New Roman"/>
        </w:rPr>
        <w:t> </w:t>
      </w:r>
      <w:r w:rsidR="00A14EBD">
        <w:rPr>
          <w:rFonts w:ascii="Times New Roman" w:eastAsia="SimSun" w:hAnsi="Times New Roman"/>
        </w:rPr>
        <w:t>”</w:t>
      </w:r>
      <w:proofErr w:type="gramEnd"/>
      <w:r w:rsidR="00D503D6" w:rsidRPr="00EE3ECD">
        <w:rPr>
          <w:rFonts w:ascii="Times New Roman" w:eastAsia="SimSun" w:hAnsi="Times New Roman"/>
        </w:rPr>
        <w:t>Commission</w:t>
      </w:r>
      <w:r w:rsidR="00A14EBD">
        <w:rPr>
          <w:rFonts w:ascii="Times New Roman" w:eastAsia="SimSun" w:hAnsi="Times New Roman"/>
        </w:rPr>
        <w:t>”</w:t>
      </w:r>
      <w:r w:rsidR="00D503D6">
        <w:rPr>
          <w:rFonts w:ascii="Times New Roman" w:eastAsia="SimSun" w:hAnsi="Times New Roman"/>
        </w:rPr>
        <w:t xml:space="preserve">) </w:t>
      </w:r>
      <w:r w:rsidR="00D503D6" w:rsidRPr="00D503D6">
        <w:rPr>
          <w:rFonts w:ascii="Times New Roman" w:eastAsia="SimSun" w:hAnsi="Times New Roman"/>
        </w:rPr>
        <w:t>in Order</w:t>
      </w:r>
      <w:r w:rsidR="003957AC">
        <w:rPr>
          <w:rFonts w:ascii="Times New Roman" w:eastAsia="SimSun" w:hAnsi="Times New Roman"/>
        </w:rPr>
        <w:t> </w:t>
      </w:r>
      <w:r w:rsidR="00D503D6" w:rsidRPr="00D503D6">
        <w:rPr>
          <w:rFonts w:ascii="Times New Roman" w:eastAsia="SimSun" w:hAnsi="Times New Roman"/>
        </w:rPr>
        <w:t>08 in Dockets</w:t>
      </w:r>
      <w:r w:rsidR="003957AC">
        <w:rPr>
          <w:rFonts w:ascii="Times New Roman" w:eastAsia="SimSun" w:hAnsi="Times New Roman"/>
        </w:rPr>
        <w:t> </w:t>
      </w:r>
      <w:r w:rsidR="001566B3">
        <w:rPr>
          <w:rFonts w:ascii="Times New Roman" w:eastAsia="SimSun" w:hAnsi="Times New Roman"/>
        </w:rPr>
        <w:t>UE-111048 and UG-111049</w:t>
      </w:r>
      <w:r w:rsidR="00D503D6" w:rsidRPr="00D503D6">
        <w:rPr>
          <w:rFonts w:ascii="Times New Roman" w:eastAsia="SimSun" w:hAnsi="Times New Roman"/>
        </w:rPr>
        <w:t xml:space="preserve"> remained within the range of reasonableness when the Commission issued Order</w:t>
      </w:r>
      <w:r w:rsidR="003957AC">
        <w:rPr>
          <w:rFonts w:ascii="Times New Roman" w:eastAsia="SimSun" w:hAnsi="Times New Roman"/>
        </w:rPr>
        <w:t> </w:t>
      </w:r>
      <w:r w:rsidR="00D503D6" w:rsidRPr="00D503D6">
        <w:rPr>
          <w:rFonts w:ascii="Times New Roman" w:eastAsia="SimSun" w:hAnsi="Times New Roman"/>
        </w:rPr>
        <w:t>07</w:t>
      </w:r>
      <w:r w:rsidR="009F2EED">
        <w:rPr>
          <w:rStyle w:val="FootnoteReference"/>
          <w:rFonts w:ascii="Times New Roman" w:eastAsia="SimSun" w:hAnsi="Times New Roman"/>
        </w:rPr>
        <w:footnoteReference w:id="2"/>
      </w:r>
      <w:r w:rsidR="00D503D6" w:rsidRPr="00D503D6">
        <w:rPr>
          <w:rFonts w:ascii="Times New Roman" w:eastAsia="SimSun" w:hAnsi="Times New Roman"/>
        </w:rPr>
        <w:t xml:space="preserve"> in these proceedings and remains within the range of reasonableness </w:t>
      </w:r>
      <w:r w:rsidR="002B6819">
        <w:rPr>
          <w:rFonts w:ascii="Times New Roman" w:eastAsia="SimSun" w:hAnsi="Times New Roman"/>
        </w:rPr>
        <w:t>under current market conditions</w:t>
      </w:r>
      <w:r w:rsidR="00D503D6">
        <w:rPr>
          <w:rFonts w:ascii="Times New Roman" w:eastAsia="SimSun" w:hAnsi="Times New Roman"/>
        </w:rPr>
        <w:t>.</w:t>
      </w:r>
    </w:p>
    <w:p w:rsidR="00DF0A93" w:rsidRDefault="00DF0A93" w:rsidP="003957AC">
      <w:pPr>
        <w:pStyle w:val="answer"/>
        <w:ind w:firstLine="0"/>
        <w:rPr>
          <w:rFonts w:ascii="Times New Roman" w:eastAsia="SimSun" w:hAnsi="Times New Roman"/>
        </w:rPr>
      </w:pP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 filing also demonstrates that the Commission should not adjust PSE</w:t>
      </w:r>
      <w:r w:rsidR="00A14EBD">
        <w:rPr>
          <w:rFonts w:ascii="Times New Roman" w:eastAsia="SimSun" w:hAnsi="Times New Roman"/>
        </w:rPr>
        <w:t>’</w:t>
      </w:r>
      <w:r w:rsidRPr="00EE3ECD">
        <w:rPr>
          <w:rFonts w:ascii="Times New Roman" w:eastAsia="SimSun" w:hAnsi="Times New Roman"/>
        </w:rPr>
        <w:t xml:space="preserve">s </w:t>
      </w:r>
      <w:r w:rsidR="003957AC">
        <w:rPr>
          <w:rFonts w:ascii="Times New Roman" w:eastAsia="SimSun" w:hAnsi="Times New Roman"/>
        </w:rPr>
        <w:t xml:space="preserve">authorized </w:t>
      </w:r>
      <w:r w:rsidRPr="00EE3ECD">
        <w:rPr>
          <w:rFonts w:ascii="Times New Roman" w:eastAsia="SimSun" w:hAnsi="Times New Roman"/>
        </w:rPr>
        <w:t xml:space="preserve">capital structure or </w:t>
      </w:r>
      <w:r w:rsidR="003957AC">
        <w:rPr>
          <w:rFonts w:ascii="Times New Roman" w:eastAsia="SimSun" w:hAnsi="Times New Roman"/>
        </w:rPr>
        <w:t>authorized</w:t>
      </w:r>
      <w:r w:rsidRPr="00EE3ECD">
        <w:rPr>
          <w:rFonts w:ascii="Times New Roman" w:eastAsia="SimSun" w:hAnsi="Times New Roman"/>
        </w:rPr>
        <w:t xml:space="preserve"> rate of return to adjust for a hypothetical but unproven reduction of risk related to decoupling.  The studies undertaken on this topic do not support </w:t>
      </w:r>
      <w:r w:rsidR="003957AC">
        <w:rPr>
          <w:rFonts w:ascii="Times New Roman" w:eastAsia="SimSun" w:hAnsi="Times New Roman"/>
        </w:rPr>
        <w:t xml:space="preserve">the premise </w:t>
      </w:r>
      <w:r w:rsidRPr="00EE3ECD">
        <w:rPr>
          <w:rFonts w:ascii="Times New Roman" w:eastAsia="SimSun" w:hAnsi="Times New Roman"/>
        </w:rPr>
        <w:t>that decoupling reduces cost of capital.  Moreover, the majority of commissions in other jurisdictions have not adjusted utilities</w:t>
      </w:r>
      <w:r w:rsidR="00A14EBD">
        <w:rPr>
          <w:rFonts w:ascii="Times New Roman" w:eastAsia="SimSun" w:hAnsi="Times New Roman"/>
        </w:rPr>
        <w:t>’</w:t>
      </w:r>
      <w:r w:rsidRPr="00EE3ECD">
        <w:rPr>
          <w:rFonts w:ascii="Times New Roman" w:eastAsia="SimSun" w:hAnsi="Times New Roman"/>
        </w:rPr>
        <w:t xml:space="preserve"> </w:t>
      </w:r>
      <w:proofErr w:type="spellStart"/>
      <w:r w:rsidR="003957AC">
        <w:rPr>
          <w:rFonts w:ascii="Times New Roman" w:eastAsia="SimSun" w:hAnsi="Times New Roman"/>
        </w:rPr>
        <w:t>ROEs</w:t>
      </w:r>
      <w:proofErr w:type="spellEnd"/>
      <w:r w:rsidR="003957AC">
        <w:rPr>
          <w:rFonts w:ascii="Times New Roman" w:eastAsia="SimSun" w:hAnsi="Times New Roman"/>
        </w:rPr>
        <w:t xml:space="preserve"> </w:t>
      </w:r>
      <w:r w:rsidRPr="00EE3ECD">
        <w:rPr>
          <w:rFonts w:ascii="Times New Roman" w:eastAsia="SimSun" w:hAnsi="Times New Roman"/>
        </w:rPr>
        <w:t>or capital structure</w:t>
      </w:r>
      <w:r w:rsidR="003957AC">
        <w:rPr>
          <w:rFonts w:ascii="Times New Roman" w:eastAsia="SimSun" w:hAnsi="Times New Roman"/>
        </w:rPr>
        <w:t>s</w:t>
      </w:r>
      <w:r w:rsidRPr="00EE3ECD">
        <w:rPr>
          <w:rFonts w:ascii="Times New Roman" w:eastAsia="SimSun" w:hAnsi="Times New Roman"/>
        </w:rPr>
        <w:t xml:space="preserve"> when approving decoupling.</w:t>
      </w:r>
      <w:r w:rsidR="004B5A29">
        <w:rPr>
          <w:rFonts w:ascii="Times New Roman" w:eastAsia="SimSun" w:hAnsi="Times New Roman"/>
        </w:rPr>
        <w:t xml:space="preserve">  Since 2011, only one commission order resulted in a utility</w:t>
      </w:r>
      <w:r w:rsidR="00A14EBD">
        <w:rPr>
          <w:rFonts w:ascii="Times New Roman" w:eastAsia="SimSun" w:hAnsi="Times New Roman"/>
        </w:rPr>
        <w:t>’</w:t>
      </w:r>
      <w:r w:rsidR="004B5A29">
        <w:rPr>
          <w:rFonts w:ascii="Times New Roman" w:eastAsia="SimSun" w:hAnsi="Times New Roman"/>
        </w:rPr>
        <w:t>s ROE being redu</w:t>
      </w:r>
      <w:r w:rsidR="00BD183D">
        <w:rPr>
          <w:rFonts w:ascii="Times New Roman" w:eastAsia="SimSun" w:hAnsi="Times New Roman"/>
        </w:rPr>
        <w:t xml:space="preserve">ced </w:t>
      </w:r>
      <w:proofErr w:type="gramStart"/>
      <w:r w:rsidR="00BD183D">
        <w:rPr>
          <w:rFonts w:ascii="Times New Roman" w:eastAsia="SimSun" w:hAnsi="Times New Roman"/>
        </w:rPr>
        <w:t>as a result</w:t>
      </w:r>
      <w:proofErr w:type="gramEnd"/>
      <w:r w:rsidR="00BD183D">
        <w:rPr>
          <w:rFonts w:ascii="Times New Roman" w:eastAsia="SimSun" w:hAnsi="Times New Roman"/>
        </w:rPr>
        <w:t xml:space="preserve"> of decoupling.</w:t>
      </w:r>
    </w:p>
    <w:p w:rsidR="00AA0FB5" w:rsidRDefault="00BA5602" w:rsidP="003957AC">
      <w:pPr>
        <w:pStyle w:val="answer"/>
        <w:ind w:firstLine="0"/>
        <w:rPr>
          <w:rFonts w:ascii="Times New Roman" w:eastAsia="SimSun" w:hAnsi="Times New Roman"/>
        </w:rPr>
      </w:pPr>
      <w:r>
        <w:rPr>
          <w:rFonts w:ascii="Times New Roman" w:eastAsia="SimSun" w:hAnsi="Times New Roman"/>
        </w:rPr>
        <w:t xml:space="preserve">There are conflicting views as to the scope of the evidence to </w:t>
      </w:r>
      <w:proofErr w:type="gramStart"/>
      <w:r>
        <w:rPr>
          <w:rFonts w:ascii="Times New Roman" w:eastAsia="SimSun" w:hAnsi="Times New Roman"/>
        </w:rPr>
        <w:t>be presented</w:t>
      </w:r>
      <w:proofErr w:type="gramEnd"/>
      <w:r>
        <w:rPr>
          <w:rFonts w:ascii="Times New Roman" w:eastAsia="SimSun" w:hAnsi="Times New Roman"/>
        </w:rPr>
        <w:t xml:space="preserve"> in this remand proceeding.  It is PSE</w:t>
      </w:r>
      <w:r w:rsidR="00A14EBD">
        <w:rPr>
          <w:rFonts w:ascii="Times New Roman" w:eastAsia="SimSun" w:hAnsi="Times New Roman"/>
        </w:rPr>
        <w:t>’</w:t>
      </w:r>
      <w:r>
        <w:rPr>
          <w:rFonts w:ascii="Times New Roman" w:eastAsia="SimSun" w:hAnsi="Times New Roman"/>
        </w:rPr>
        <w:t>s view that the Commission should limit its review to the return on equity component of the cost of capital, as set forth in the Thurston County Superior Court order</w:t>
      </w:r>
      <w:r w:rsidR="00AA0FB5">
        <w:rPr>
          <w:rFonts w:ascii="Times New Roman" w:eastAsia="SimSun" w:hAnsi="Times New Roman"/>
        </w:rPr>
        <w:t xml:space="preserve">, and PSE requests that the Commission </w:t>
      </w:r>
      <w:r w:rsidR="00AA0FB5">
        <w:rPr>
          <w:rFonts w:ascii="Times New Roman" w:eastAsia="SimSun" w:hAnsi="Times New Roman"/>
        </w:rPr>
        <w:lastRenderedPageBreak/>
        <w:t>limit its review to that issue</w:t>
      </w:r>
      <w:r>
        <w:rPr>
          <w:rFonts w:ascii="Times New Roman" w:eastAsia="SimSun" w:hAnsi="Times New Roman"/>
        </w:rPr>
        <w:t xml:space="preserve">.  However, because other parties </w:t>
      </w:r>
      <w:r w:rsidR="00AA0FB5">
        <w:rPr>
          <w:rFonts w:ascii="Times New Roman" w:eastAsia="SimSun" w:hAnsi="Times New Roman"/>
        </w:rPr>
        <w:t>take</w:t>
      </w:r>
      <w:r>
        <w:rPr>
          <w:rFonts w:ascii="Times New Roman" w:eastAsia="SimSun" w:hAnsi="Times New Roman"/>
        </w:rPr>
        <w:t xml:space="preserve"> the position that the Commission should also consider more broadly PSE</w:t>
      </w:r>
      <w:r w:rsidR="00A14EBD">
        <w:rPr>
          <w:rFonts w:ascii="Times New Roman" w:eastAsia="SimSun" w:hAnsi="Times New Roman"/>
        </w:rPr>
        <w:t>’</w:t>
      </w:r>
      <w:r>
        <w:rPr>
          <w:rFonts w:ascii="Times New Roman" w:eastAsia="SimSun" w:hAnsi="Times New Roman"/>
        </w:rPr>
        <w:t>s capital structure, PSE is presenting evidence to demonstrate its current capital structure was reasonable in 2013 and remains reasonable</w:t>
      </w:r>
      <w:r w:rsidR="00AA0FB5">
        <w:rPr>
          <w:rFonts w:ascii="Times New Roman" w:eastAsia="SimSun" w:hAnsi="Times New Roman"/>
        </w:rPr>
        <w:t xml:space="preserve"> </w:t>
      </w:r>
      <w:proofErr w:type="gramStart"/>
      <w:r w:rsidR="00AA0FB5">
        <w:rPr>
          <w:rFonts w:ascii="Times New Roman" w:eastAsia="SimSun" w:hAnsi="Times New Roman"/>
        </w:rPr>
        <w:t>at the present time</w:t>
      </w:r>
      <w:proofErr w:type="gramEnd"/>
      <w:r w:rsidR="00AA0FB5">
        <w:rPr>
          <w:rFonts w:ascii="Times New Roman" w:eastAsia="SimSun" w:hAnsi="Times New Roman"/>
        </w:rPr>
        <w:t>.  PSE provides this evidence to avoid any later claims that PSE has not met its burden of proof</w:t>
      </w:r>
      <w:r w:rsidR="007845E6">
        <w:rPr>
          <w:rFonts w:ascii="Times New Roman" w:eastAsia="SimSun" w:hAnsi="Times New Roman"/>
        </w:rPr>
        <w:t xml:space="preserve"> </w:t>
      </w:r>
      <w:r w:rsidR="00AA0FB5">
        <w:rPr>
          <w:rFonts w:ascii="Times New Roman" w:eastAsia="SimSun" w:hAnsi="Times New Roman"/>
        </w:rPr>
        <w:t>because it presented evidence on return on equity only and not on cost of capital.</w:t>
      </w:r>
    </w:p>
    <w:p w:rsidR="0090740D" w:rsidRDefault="003957AC" w:rsidP="003957AC">
      <w:pPr>
        <w:pStyle w:val="answer"/>
        <w:ind w:firstLine="0"/>
        <w:rPr>
          <w:rFonts w:ascii="Times New Roman" w:eastAsia="SimSun" w:hAnsi="Times New Roman"/>
        </w:rPr>
      </w:pPr>
      <w:r w:rsidRPr="003957AC">
        <w:rPr>
          <w:rFonts w:ascii="Times New Roman" w:eastAsia="SimSun" w:hAnsi="Times New Roman"/>
        </w:rPr>
        <w:t xml:space="preserve">As discussed in more detail in my testimony and the testimony of other PSE witnesses, the evidence from the first half of 2013 supports a higher cost of capital than what PSE agreed to in the 2013 proceeding.  The evidence supports </w:t>
      </w:r>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 </w:t>
      </w:r>
      <w:r w:rsidRPr="003957AC">
        <w:rPr>
          <w:rFonts w:ascii="Times New Roman" w:eastAsia="SimSun" w:hAnsi="Times New Roman"/>
        </w:rPr>
        <w:t>a</w:t>
      </w:r>
      <w:r>
        <w:rPr>
          <w:rFonts w:ascii="Times New Roman" w:eastAsia="SimSun" w:hAnsi="Times New Roman"/>
        </w:rPr>
        <w:t xml:space="preserve">n ROE in excess of </w:t>
      </w:r>
      <w:r w:rsidRPr="003957AC">
        <w:rPr>
          <w:rFonts w:ascii="Times New Roman" w:eastAsia="SimSun" w:hAnsi="Times New Roman"/>
        </w:rPr>
        <w:t>9.8</w:t>
      </w:r>
      <w:r>
        <w:rPr>
          <w:rFonts w:ascii="Times New Roman" w:eastAsia="SimSun" w:hAnsi="Times New Roman"/>
        </w:rPr>
        <w:t> </w:t>
      </w:r>
      <w:r w:rsidRPr="003957AC">
        <w:rPr>
          <w:rFonts w:ascii="Times New Roman" w:eastAsia="SimSun" w:hAnsi="Times New Roman"/>
        </w:rPr>
        <w:t>percent</w:t>
      </w:r>
      <w:r>
        <w:rPr>
          <w:rFonts w:ascii="Times New Roman" w:eastAsia="SimSun" w:hAnsi="Times New Roman"/>
        </w:rPr>
        <w:t xml:space="preserve"> and (ii) </w:t>
      </w:r>
      <w:r w:rsidRPr="003957AC">
        <w:rPr>
          <w:rFonts w:ascii="Times New Roman" w:eastAsia="SimSun" w:hAnsi="Times New Roman"/>
        </w:rPr>
        <w:t xml:space="preserve">a capital structure </w:t>
      </w:r>
      <w:r>
        <w:rPr>
          <w:rFonts w:ascii="Times New Roman" w:eastAsia="SimSun" w:hAnsi="Times New Roman"/>
        </w:rPr>
        <w:t xml:space="preserve">including an equity ratio and a long-term debt ratio </w:t>
      </w:r>
      <w:r w:rsidR="00C11AA7">
        <w:rPr>
          <w:rFonts w:ascii="Times New Roman" w:eastAsia="SimSun" w:hAnsi="Times New Roman"/>
        </w:rPr>
        <w:t xml:space="preserve">both </w:t>
      </w:r>
      <w:r w:rsidRPr="003957AC">
        <w:rPr>
          <w:rFonts w:ascii="Times New Roman" w:eastAsia="SimSun" w:hAnsi="Times New Roman"/>
        </w:rPr>
        <w:t>in excess of 48</w:t>
      </w:r>
      <w:r>
        <w:rPr>
          <w:rFonts w:ascii="Times New Roman" w:eastAsia="SimSun" w:hAnsi="Times New Roman"/>
        </w:rPr>
        <w:t> </w:t>
      </w:r>
      <w:r w:rsidRPr="003957AC">
        <w:rPr>
          <w:rFonts w:ascii="Times New Roman" w:eastAsia="SimSun" w:hAnsi="Times New Roman"/>
        </w:rPr>
        <w:t>percent.</w:t>
      </w:r>
    </w:p>
    <w:p w:rsidR="003957AC" w:rsidRPr="00EE3ECD" w:rsidRDefault="003957AC" w:rsidP="003957AC">
      <w:pPr>
        <w:pStyle w:val="answer"/>
        <w:ind w:firstLine="0"/>
        <w:rPr>
          <w:rFonts w:ascii="Times New Roman" w:eastAsia="SimSun" w:hAnsi="Times New Roman"/>
        </w:rPr>
      </w:pPr>
      <w:r w:rsidRPr="003957AC">
        <w:rPr>
          <w:rFonts w:ascii="Times New Roman" w:eastAsia="SimSun" w:hAnsi="Times New Roman"/>
        </w:rPr>
        <w:t>Despite this evidence justifying a higher cost of capital, PSE is committed to the terms it proposed to the Commission in its 2013 filings</w:t>
      </w:r>
      <w:r>
        <w:rPr>
          <w:rFonts w:ascii="Times New Roman" w:eastAsia="SimSun" w:hAnsi="Times New Roman"/>
        </w:rPr>
        <w:t>—</w:t>
      </w:r>
      <w:r w:rsidRPr="003957AC">
        <w:rPr>
          <w:rFonts w:ascii="Times New Roman" w:eastAsia="SimSun" w:hAnsi="Times New Roman"/>
        </w:rPr>
        <w:t xml:space="preserve">a multi-year rate plan with decoupling </w:t>
      </w:r>
      <w:r>
        <w:rPr>
          <w:rFonts w:ascii="Times New Roman" w:eastAsia="SimSun" w:hAnsi="Times New Roman"/>
        </w:rPr>
        <w:t xml:space="preserve">based upon an authorized ROE </w:t>
      </w:r>
      <w:r w:rsidRPr="003957AC">
        <w:rPr>
          <w:rFonts w:ascii="Times New Roman" w:eastAsia="SimSun" w:hAnsi="Times New Roman"/>
        </w:rPr>
        <w:t>of 9.8</w:t>
      </w:r>
      <w:r>
        <w:rPr>
          <w:rFonts w:ascii="Times New Roman" w:eastAsia="SimSun" w:hAnsi="Times New Roman"/>
        </w:rPr>
        <w:t> </w:t>
      </w:r>
      <w:r w:rsidRPr="003957AC">
        <w:rPr>
          <w:rFonts w:ascii="Times New Roman" w:eastAsia="SimSun" w:hAnsi="Times New Roman"/>
        </w:rPr>
        <w:t>percent</w:t>
      </w:r>
      <w:r w:rsidR="0090740D">
        <w:rPr>
          <w:rFonts w:ascii="Times New Roman" w:eastAsia="SimSun" w:hAnsi="Times New Roman"/>
        </w:rPr>
        <w:t xml:space="preserve"> and</w:t>
      </w:r>
      <w:r w:rsidRPr="003957AC">
        <w:rPr>
          <w:rFonts w:ascii="Times New Roman" w:eastAsia="SimSun" w:hAnsi="Times New Roman"/>
        </w:rPr>
        <w:t xml:space="preserve"> </w:t>
      </w:r>
      <w:r>
        <w:rPr>
          <w:rFonts w:ascii="Times New Roman" w:eastAsia="SimSun" w:hAnsi="Times New Roman"/>
        </w:rPr>
        <w:t>an authorized</w:t>
      </w:r>
      <w:r w:rsidRPr="003957AC">
        <w:rPr>
          <w:rFonts w:ascii="Times New Roman" w:eastAsia="SimSun" w:hAnsi="Times New Roman"/>
        </w:rPr>
        <w:t xml:space="preserve"> rate of return of 7.77</w:t>
      </w:r>
      <w:r>
        <w:rPr>
          <w:rFonts w:ascii="Times New Roman" w:eastAsia="SimSun" w:hAnsi="Times New Roman"/>
        </w:rPr>
        <w:t> </w:t>
      </w:r>
      <w:r w:rsidRPr="003957AC">
        <w:rPr>
          <w:rFonts w:ascii="Times New Roman" w:eastAsia="SimSun" w:hAnsi="Times New Roman"/>
        </w:rPr>
        <w:t>percent</w:t>
      </w:r>
      <w:r w:rsidR="0090740D">
        <w:rPr>
          <w:rFonts w:ascii="Times New Roman" w:eastAsia="SimSun" w:hAnsi="Times New Roman"/>
        </w:rPr>
        <w:t xml:space="preserve"> that includes</w:t>
      </w:r>
      <w:r>
        <w:rPr>
          <w:rFonts w:ascii="Times New Roman" w:eastAsia="SimSun" w:hAnsi="Times New Roman"/>
        </w:rPr>
        <w:t xml:space="preserve"> an equity ratio of </w:t>
      </w:r>
      <w:r w:rsidRPr="003957AC">
        <w:rPr>
          <w:rFonts w:ascii="Times New Roman" w:eastAsia="SimSun" w:hAnsi="Times New Roman"/>
        </w:rPr>
        <w:t>48</w:t>
      </w:r>
      <w:r>
        <w:rPr>
          <w:rFonts w:ascii="Times New Roman" w:eastAsia="SimSun" w:hAnsi="Times New Roman"/>
        </w:rPr>
        <w:t> </w:t>
      </w:r>
      <w:r w:rsidRPr="003957AC">
        <w:rPr>
          <w:rFonts w:ascii="Times New Roman" w:eastAsia="SimSun" w:hAnsi="Times New Roman"/>
        </w:rPr>
        <w:t>percent</w:t>
      </w:r>
      <w:r>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Please briefly explain the events le</w:t>
      </w:r>
      <w:r w:rsidR="003957AC">
        <w:rPr>
          <w:rFonts w:ascii="Times New Roman" w:eastAsia="SimSun" w:hAnsi="Times New Roman"/>
        </w:rPr>
        <w:t>ading up to this filing.</w:t>
      </w:r>
    </w:p>
    <w:p w:rsidR="00C97284"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In the Commission</w:t>
      </w:r>
      <w:r w:rsidR="00A14EBD">
        <w:rPr>
          <w:rFonts w:ascii="Times New Roman" w:eastAsia="SimSun" w:hAnsi="Times New Roman"/>
        </w:rPr>
        <w:t>’</w:t>
      </w:r>
      <w:r w:rsidRPr="00EE3ECD">
        <w:rPr>
          <w:rFonts w:ascii="Times New Roman" w:eastAsia="SimSun" w:hAnsi="Times New Roman"/>
        </w:rPr>
        <w:t>s Order</w:t>
      </w:r>
      <w:r w:rsidR="003957AC">
        <w:rPr>
          <w:rFonts w:ascii="Times New Roman" w:eastAsia="SimSun" w:hAnsi="Times New Roman"/>
        </w:rPr>
        <w:t> </w:t>
      </w:r>
      <w:r w:rsidRPr="00EE3ECD">
        <w:rPr>
          <w:rFonts w:ascii="Times New Roman" w:eastAsia="SimSun" w:hAnsi="Times New Roman"/>
        </w:rPr>
        <w:t>07</w:t>
      </w:r>
      <w:r w:rsidR="003957AC">
        <w:rPr>
          <w:rFonts w:ascii="Times New Roman" w:eastAsia="SimSun" w:hAnsi="Times New Roman"/>
        </w:rPr>
        <w:t>,</w:t>
      </w:r>
      <w:r w:rsidRPr="00EE3ECD">
        <w:rPr>
          <w:rFonts w:ascii="Times New Roman" w:eastAsia="SimSun" w:hAnsi="Times New Roman"/>
        </w:rPr>
        <w:t xml:space="preserve"> the Commission approved an expedited rate filing, decoupling mechanisms and a multi-year rate plan that fairly balanced customers</w:t>
      </w:r>
      <w:r w:rsidR="00A14EBD">
        <w:rPr>
          <w:rFonts w:ascii="Times New Roman" w:eastAsia="SimSun" w:hAnsi="Times New Roman"/>
        </w:rPr>
        <w:t>’</w:t>
      </w:r>
      <w:r w:rsidRPr="00EE3ECD">
        <w:rPr>
          <w:rFonts w:ascii="Times New Roman" w:eastAsia="SimSun" w:hAnsi="Times New Roman"/>
        </w:rPr>
        <w:t xml:space="preserve"> interests and PSE</w:t>
      </w:r>
      <w:r w:rsidR="00A14EBD">
        <w:rPr>
          <w:rFonts w:ascii="Times New Roman" w:eastAsia="SimSun" w:hAnsi="Times New Roman"/>
        </w:rPr>
        <w:t>’</w:t>
      </w:r>
      <w:r w:rsidRPr="00EE3ECD">
        <w:rPr>
          <w:rFonts w:ascii="Times New Roman" w:eastAsia="SimSun" w:hAnsi="Times New Roman"/>
        </w:rPr>
        <w:t>s interests.</w:t>
      </w:r>
    </w:p>
    <w:p w:rsidR="00C97284" w:rsidRDefault="00DF0A93" w:rsidP="00C97284">
      <w:pPr>
        <w:pStyle w:val="answer"/>
        <w:ind w:firstLine="0"/>
        <w:rPr>
          <w:rFonts w:ascii="Times New Roman" w:eastAsia="SimSun" w:hAnsi="Times New Roman"/>
        </w:rPr>
      </w:pPr>
      <w:r w:rsidRPr="00EE3ECD">
        <w:rPr>
          <w:rFonts w:ascii="Times New Roman" w:eastAsia="SimSun" w:hAnsi="Times New Roman"/>
        </w:rPr>
        <w:t>There were several driving forces for the Commission</w:t>
      </w:r>
      <w:r w:rsidR="00A14EBD">
        <w:rPr>
          <w:rFonts w:ascii="Times New Roman" w:eastAsia="SimSun" w:hAnsi="Times New Roman"/>
        </w:rPr>
        <w:t>’</w:t>
      </w:r>
      <w:r w:rsidRPr="00EE3ECD">
        <w:rPr>
          <w:rFonts w:ascii="Times New Roman" w:eastAsia="SimSun" w:hAnsi="Times New Roman"/>
        </w:rPr>
        <w:t>s Order</w:t>
      </w:r>
      <w:r w:rsidR="00C97284">
        <w:rPr>
          <w:rFonts w:ascii="Times New Roman" w:eastAsia="SimSun" w:hAnsi="Times New Roman"/>
        </w:rPr>
        <w:t> </w:t>
      </w:r>
      <w:r w:rsidRPr="00EE3ECD">
        <w:rPr>
          <w:rFonts w:ascii="Times New Roman" w:eastAsia="SimSun" w:hAnsi="Times New Roman"/>
        </w:rPr>
        <w:t>07.  The evid</w:t>
      </w:r>
      <w:r w:rsidR="00C97284">
        <w:rPr>
          <w:rFonts w:ascii="Times New Roman" w:eastAsia="SimSun" w:hAnsi="Times New Roman"/>
        </w:rPr>
        <w:t xml:space="preserve">ence demonstrated that PSE has </w:t>
      </w:r>
      <w:r w:rsidRPr="00EE3ECD">
        <w:rPr>
          <w:rFonts w:ascii="Times New Roman" w:eastAsia="SimSun" w:hAnsi="Times New Roman"/>
        </w:rPr>
        <w:t>historically been unable to earn its authorized rate of return despite frequent rate case filing</w:t>
      </w:r>
      <w:r w:rsidR="00FE7779">
        <w:rPr>
          <w:rFonts w:ascii="Times New Roman" w:eastAsia="SimSun" w:hAnsi="Times New Roman"/>
        </w:rPr>
        <w:t>s</w:t>
      </w:r>
      <w:r w:rsidRPr="00EE3ECD">
        <w:rPr>
          <w:rFonts w:ascii="Times New Roman" w:eastAsia="SimSun" w:hAnsi="Times New Roman"/>
        </w:rPr>
        <w:t xml:space="preserve">, due in large part to regulatory lag and lost </w:t>
      </w:r>
      <w:r w:rsidRPr="00EE3ECD">
        <w:rPr>
          <w:rFonts w:ascii="Times New Roman" w:eastAsia="SimSun" w:hAnsi="Times New Roman"/>
        </w:rPr>
        <w:lastRenderedPageBreak/>
        <w:t xml:space="preserve">revenues resulting from </w:t>
      </w:r>
      <w:r w:rsidR="00C97284">
        <w:rPr>
          <w:rFonts w:ascii="Times New Roman" w:eastAsia="SimSun" w:hAnsi="Times New Roman"/>
        </w:rPr>
        <w:t>PSE</w:t>
      </w:r>
      <w:r w:rsidR="00A14EBD">
        <w:rPr>
          <w:rFonts w:ascii="Times New Roman" w:eastAsia="SimSun" w:hAnsi="Times New Roman"/>
        </w:rPr>
        <w:t>’</w:t>
      </w:r>
      <w:r w:rsidR="00C97284">
        <w:rPr>
          <w:rFonts w:ascii="Times New Roman" w:eastAsia="SimSun" w:hAnsi="Times New Roman"/>
        </w:rPr>
        <w:t xml:space="preserve">s </w:t>
      </w:r>
      <w:r w:rsidRPr="00EE3ECD">
        <w:rPr>
          <w:rFonts w:ascii="Times New Roman" w:eastAsia="SimSun" w:hAnsi="Times New Roman"/>
        </w:rPr>
        <w:t>energy efficiency efforts.  Additionally, the Commission had expressed a policy interest in utilities implementing full electric and natural gas decoupling mechanisms to remove barriers to conservation, including the throughput incentive.</w:t>
      </w:r>
    </w:p>
    <w:p w:rsidR="00C97284" w:rsidRDefault="00DF0A93" w:rsidP="00C97284">
      <w:pPr>
        <w:pStyle w:val="answer"/>
        <w:ind w:firstLine="0"/>
        <w:rPr>
          <w:rFonts w:ascii="Times New Roman" w:eastAsia="SimSun" w:hAnsi="Times New Roman"/>
        </w:rPr>
      </w:pPr>
      <w:r w:rsidRPr="00EE3ECD">
        <w:rPr>
          <w:rFonts w:ascii="Times New Roman" w:eastAsia="SimSun" w:hAnsi="Times New Roman"/>
        </w:rPr>
        <w:t>Order</w:t>
      </w:r>
      <w:r w:rsidR="00C97284">
        <w:rPr>
          <w:rFonts w:ascii="Times New Roman" w:eastAsia="SimSun" w:hAnsi="Times New Roman"/>
        </w:rPr>
        <w:t> </w:t>
      </w:r>
      <w:r w:rsidRPr="00EE3ECD">
        <w:rPr>
          <w:rFonts w:ascii="Times New Roman" w:eastAsia="SimSun" w:hAnsi="Times New Roman"/>
        </w:rPr>
        <w:t xml:space="preserve">07 </w:t>
      </w:r>
      <w:r w:rsidR="00C97284">
        <w:rPr>
          <w:rFonts w:ascii="Times New Roman" w:eastAsia="SimSun" w:hAnsi="Times New Roman"/>
        </w:rPr>
        <w:t xml:space="preserve">addressed </w:t>
      </w:r>
      <w:r w:rsidRPr="00EE3ECD">
        <w:rPr>
          <w:rFonts w:ascii="Times New Roman" w:eastAsia="SimSun" w:hAnsi="Times New Roman"/>
        </w:rPr>
        <w:t>all of the</w:t>
      </w:r>
      <w:r w:rsidR="00C97284">
        <w:rPr>
          <w:rFonts w:ascii="Times New Roman" w:eastAsia="SimSun" w:hAnsi="Times New Roman"/>
        </w:rPr>
        <w:t xml:space="preserve"> </w:t>
      </w:r>
      <w:r w:rsidRPr="00EE3ECD">
        <w:rPr>
          <w:rFonts w:ascii="Times New Roman" w:eastAsia="SimSun" w:hAnsi="Times New Roman"/>
        </w:rPr>
        <w:t>issues</w:t>
      </w:r>
      <w:r w:rsidR="00C97284">
        <w:rPr>
          <w:rFonts w:ascii="Times New Roman" w:eastAsia="SimSun" w:hAnsi="Times New Roman"/>
        </w:rPr>
        <w:t xml:space="preserve"> identified above</w:t>
      </w:r>
      <w:r w:rsidRPr="00EE3ECD">
        <w:rPr>
          <w:rFonts w:ascii="Times New Roman" w:eastAsia="SimSun" w:hAnsi="Times New Roman"/>
        </w:rPr>
        <w:t xml:space="preserve">.  </w:t>
      </w:r>
      <w:r w:rsidR="00C97284" w:rsidRPr="00EE3ECD">
        <w:rPr>
          <w:rFonts w:ascii="Times New Roman" w:eastAsia="SimSun" w:hAnsi="Times New Roman"/>
        </w:rPr>
        <w:t>Order</w:t>
      </w:r>
      <w:r w:rsidR="00C97284">
        <w:rPr>
          <w:rFonts w:ascii="Times New Roman" w:eastAsia="SimSun" w:hAnsi="Times New Roman"/>
        </w:rPr>
        <w:t> </w:t>
      </w:r>
      <w:r w:rsidR="00C97284" w:rsidRPr="00EE3ECD">
        <w:rPr>
          <w:rFonts w:ascii="Times New Roman" w:eastAsia="SimSun" w:hAnsi="Times New Roman"/>
        </w:rPr>
        <w:t xml:space="preserve">07 </w:t>
      </w:r>
      <w:r w:rsidRPr="00EE3ECD">
        <w:rPr>
          <w:rFonts w:ascii="Times New Roman" w:eastAsia="SimSun" w:hAnsi="Times New Roman"/>
        </w:rPr>
        <w:t xml:space="preserve">approved electric and natural gas decoupling mechanisms, a one-time expedited rate filing, and </w:t>
      </w:r>
      <w:r w:rsidR="00C97284">
        <w:rPr>
          <w:rFonts w:ascii="Times New Roman" w:eastAsia="SimSun" w:hAnsi="Times New Roman"/>
        </w:rPr>
        <w:t xml:space="preserve">a </w:t>
      </w:r>
      <w:r w:rsidRPr="00EE3ECD">
        <w:rPr>
          <w:rFonts w:ascii="Times New Roman" w:eastAsia="SimSun" w:hAnsi="Times New Roman"/>
        </w:rPr>
        <w:t>multi-year rate plan that allowed PSE a better opportunity to recover its fixed</w:t>
      </w:r>
      <w:r w:rsidR="00C97284">
        <w:rPr>
          <w:rFonts w:ascii="Times New Roman" w:eastAsia="SimSun" w:hAnsi="Times New Roman"/>
        </w:rPr>
        <w:t xml:space="preserve"> costs, reduce regulatory lag, </w:t>
      </w:r>
      <w:r w:rsidRPr="00EE3ECD">
        <w:rPr>
          <w:rFonts w:ascii="Times New Roman" w:eastAsia="SimSun" w:hAnsi="Times New Roman"/>
        </w:rPr>
        <w:t>and enhance the potential to earn its authorized rate of return</w:t>
      </w:r>
      <w:r w:rsidR="00C97284">
        <w:rPr>
          <w:rFonts w:ascii="Times New Roman" w:eastAsia="SimSun" w:hAnsi="Times New Roman"/>
        </w:rPr>
        <w:t xml:space="preserve">.  Order 07 </w:t>
      </w:r>
      <w:r w:rsidRPr="00EE3ECD">
        <w:rPr>
          <w:rFonts w:ascii="Times New Roman" w:eastAsia="SimSun" w:hAnsi="Times New Roman"/>
        </w:rPr>
        <w:t xml:space="preserve">also </w:t>
      </w:r>
      <w:r w:rsidR="00AA0FB5" w:rsidRPr="00EE3ECD">
        <w:rPr>
          <w:rFonts w:ascii="Times New Roman" w:eastAsia="SimSun" w:hAnsi="Times New Roman"/>
        </w:rPr>
        <w:t>benefitt</w:t>
      </w:r>
      <w:r w:rsidR="00AA0FB5">
        <w:rPr>
          <w:rFonts w:ascii="Times New Roman" w:eastAsia="SimSun" w:hAnsi="Times New Roman"/>
        </w:rPr>
        <w:t>ed</w:t>
      </w:r>
      <w:r w:rsidR="00AA0FB5" w:rsidRPr="00EE3ECD">
        <w:rPr>
          <w:rFonts w:ascii="Times New Roman" w:eastAsia="SimSun" w:hAnsi="Times New Roman"/>
        </w:rPr>
        <w:t xml:space="preserve"> </w:t>
      </w:r>
      <w:r w:rsidRPr="00EE3ECD">
        <w:rPr>
          <w:rFonts w:ascii="Times New Roman" w:eastAsia="SimSun" w:hAnsi="Times New Roman"/>
        </w:rPr>
        <w:t xml:space="preserve">customers by limiting the amount of </w:t>
      </w:r>
      <w:r w:rsidR="00F81A2D">
        <w:rPr>
          <w:rFonts w:ascii="Times New Roman" w:eastAsia="SimSun" w:hAnsi="Times New Roman"/>
        </w:rPr>
        <w:t xml:space="preserve">annual </w:t>
      </w:r>
      <w:r w:rsidRPr="00EE3ECD">
        <w:rPr>
          <w:rFonts w:ascii="Times New Roman" w:eastAsia="SimSun" w:hAnsi="Times New Roman"/>
        </w:rPr>
        <w:t>rate increases during the course of the multi-year rate plan and allowing customers a new opportunity to share in any earnings above PSE</w:t>
      </w:r>
      <w:r w:rsidR="00A14EBD">
        <w:rPr>
          <w:rFonts w:ascii="Times New Roman" w:eastAsia="SimSun" w:hAnsi="Times New Roman"/>
        </w:rPr>
        <w:t>’</w:t>
      </w:r>
      <w:r w:rsidRPr="00EE3ECD">
        <w:rPr>
          <w:rFonts w:ascii="Times New Roman" w:eastAsia="SimSun" w:hAnsi="Times New Roman"/>
        </w:rPr>
        <w:t>s author</w:t>
      </w:r>
      <w:r w:rsidR="007845E6">
        <w:rPr>
          <w:rFonts w:ascii="Times New Roman" w:eastAsia="SimSun" w:hAnsi="Times New Roman"/>
        </w:rPr>
        <w:t>ized rate of return.</w:t>
      </w:r>
    </w:p>
    <w:p w:rsidR="001566B3" w:rsidRDefault="00B35BA4" w:rsidP="00B35BA4">
      <w:pPr>
        <w:pStyle w:val="answer"/>
        <w:ind w:firstLine="0"/>
        <w:rPr>
          <w:rFonts w:ascii="Times New Roman" w:eastAsia="SimSun" w:hAnsi="Times New Roman"/>
        </w:rPr>
      </w:pPr>
      <w:r>
        <w:rPr>
          <w:rFonts w:ascii="Times New Roman" w:eastAsia="SimSun" w:hAnsi="Times New Roman"/>
        </w:rPr>
        <w:t>With the implementation of</w:t>
      </w:r>
      <w:r w:rsidR="00DF0A93" w:rsidRPr="00EE3ECD">
        <w:rPr>
          <w:rFonts w:ascii="Times New Roman" w:eastAsia="SimSun" w:hAnsi="Times New Roman"/>
        </w:rPr>
        <w:t xml:space="preserve"> </w:t>
      </w:r>
      <w:r w:rsidRPr="00EE3ECD">
        <w:rPr>
          <w:rFonts w:ascii="Times New Roman" w:eastAsia="SimSun" w:hAnsi="Times New Roman"/>
        </w:rPr>
        <w:t>th</w:t>
      </w:r>
      <w:r>
        <w:rPr>
          <w:rFonts w:ascii="Times New Roman" w:eastAsia="SimSun" w:hAnsi="Times New Roman"/>
        </w:rPr>
        <w:t>ese</w:t>
      </w:r>
      <w:r w:rsidRPr="00EE3ECD">
        <w:rPr>
          <w:rFonts w:ascii="Times New Roman" w:eastAsia="SimSun" w:hAnsi="Times New Roman"/>
        </w:rPr>
        <w:t xml:space="preserve"> </w:t>
      </w:r>
      <w:r>
        <w:rPr>
          <w:rFonts w:ascii="Times New Roman" w:eastAsia="SimSun" w:hAnsi="Times New Roman"/>
        </w:rPr>
        <w:t xml:space="preserve">carefully </w:t>
      </w:r>
      <w:r w:rsidR="00DF0A93" w:rsidRPr="00EE3ECD">
        <w:rPr>
          <w:rFonts w:ascii="Times New Roman" w:eastAsia="SimSun" w:hAnsi="Times New Roman"/>
        </w:rPr>
        <w:t>balanced mechanism</w:t>
      </w:r>
      <w:r>
        <w:rPr>
          <w:rFonts w:ascii="Times New Roman" w:eastAsia="SimSun" w:hAnsi="Times New Roman"/>
        </w:rPr>
        <w:t>s</w:t>
      </w:r>
      <w:r w:rsidR="00DF0A93" w:rsidRPr="00EE3ECD">
        <w:rPr>
          <w:rFonts w:ascii="Times New Roman" w:eastAsia="SimSun" w:hAnsi="Times New Roman"/>
        </w:rPr>
        <w:t>, the Commission did not adjust PSE</w:t>
      </w:r>
      <w:r w:rsidR="00A14EBD">
        <w:rPr>
          <w:rFonts w:ascii="Times New Roman" w:eastAsia="SimSun" w:hAnsi="Times New Roman"/>
        </w:rPr>
        <w:t>’</w:t>
      </w:r>
      <w:r w:rsidR="00DF0A93" w:rsidRPr="00EE3ECD">
        <w:rPr>
          <w:rFonts w:ascii="Times New Roman" w:eastAsia="SimSun" w:hAnsi="Times New Roman"/>
        </w:rPr>
        <w:t xml:space="preserve">s authorized </w:t>
      </w:r>
      <w:r w:rsidR="00C97284">
        <w:rPr>
          <w:rFonts w:ascii="Times New Roman" w:eastAsia="SimSun" w:hAnsi="Times New Roman"/>
        </w:rPr>
        <w:t xml:space="preserve">ROE </w:t>
      </w:r>
      <w:r w:rsidR="00DF0A93" w:rsidRPr="00EE3ECD">
        <w:rPr>
          <w:rFonts w:ascii="Times New Roman" w:eastAsia="SimSun" w:hAnsi="Times New Roman"/>
        </w:rPr>
        <w:t>as part of the decoupling and expedited rate filing proceedings in 2013</w:t>
      </w:r>
      <w:r w:rsidR="001566B3">
        <w:rPr>
          <w:rFonts w:ascii="Times New Roman" w:eastAsia="SimSun" w:hAnsi="Times New Roman"/>
        </w:rPr>
        <w:t>.</w:t>
      </w:r>
    </w:p>
    <w:p w:rsidR="00C73260" w:rsidRPr="00EE3ECD" w:rsidRDefault="00DF0A93" w:rsidP="00C73260">
      <w:pPr>
        <w:pStyle w:val="answer"/>
        <w:ind w:firstLine="0"/>
        <w:rPr>
          <w:rFonts w:ascii="Times New Roman" w:eastAsia="SimSun" w:hAnsi="Times New Roman"/>
        </w:rPr>
      </w:pPr>
      <w:r w:rsidRPr="00EE3ECD">
        <w:rPr>
          <w:rFonts w:ascii="Times New Roman" w:eastAsia="SimSun" w:hAnsi="Times New Roman"/>
        </w:rPr>
        <w:t>The Public Counsel Section of the Attorney General</w:t>
      </w:r>
      <w:r w:rsidR="00A14EBD">
        <w:rPr>
          <w:rFonts w:ascii="Times New Roman" w:eastAsia="SimSun" w:hAnsi="Times New Roman"/>
        </w:rPr>
        <w:t>’</w:t>
      </w:r>
      <w:r w:rsidRPr="00EE3ECD">
        <w:rPr>
          <w:rFonts w:ascii="Times New Roman" w:eastAsia="SimSun" w:hAnsi="Times New Roman"/>
        </w:rPr>
        <w:t>s Office (</w:t>
      </w:r>
      <w:r w:rsidR="00A14EBD">
        <w:rPr>
          <w:rFonts w:ascii="Times New Roman" w:eastAsia="SimSun" w:hAnsi="Times New Roman"/>
        </w:rPr>
        <w:t>“</w:t>
      </w:r>
      <w:r w:rsidRPr="00EE3ECD">
        <w:rPr>
          <w:rFonts w:ascii="Times New Roman" w:eastAsia="SimSun" w:hAnsi="Times New Roman"/>
        </w:rPr>
        <w:t>Public Counsel</w:t>
      </w:r>
      <w:r w:rsidR="00A14EBD">
        <w:rPr>
          <w:rFonts w:ascii="Times New Roman" w:eastAsia="SimSun" w:hAnsi="Times New Roman"/>
        </w:rPr>
        <w:t>”</w:t>
      </w:r>
      <w:r w:rsidRPr="00EE3ECD">
        <w:rPr>
          <w:rFonts w:ascii="Times New Roman" w:eastAsia="SimSun" w:hAnsi="Times New Roman"/>
        </w:rPr>
        <w:t>) and the Industrial Customers of Northwest Utilities (</w:t>
      </w:r>
      <w:r w:rsidR="00A14EBD">
        <w:rPr>
          <w:rFonts w:ascii="Times New Roman" w:eastAsia="SimSun" w:hAnsi="Times New Roman"/>
        </w:rPr>
        <w:t>“</w:t>
      </w:r>
      <w:proofErr w:type="spellStart"/>
      <w:r w:rsidRPr="00EE3ECD">
        <w:rPr>
          <w:rFonts w:ascii="Times New Roman" w:eastAsia="SimSun" w:hAnsi="Times New Roman"/>
        </w:rPr>
        <w:t>ICNU</w:t>
      </w:r>
      <w:proofErr w:type="spellEnd"/>
      <w:r w:rsidR="00A14EBD">
        <w:rPr>
          <w:rFonts w:ascii="Times New Roman" w:eastAsia="SimSun" w:hAnsi="Times New Roman"/>
        </w:rPr>
        <w:t>”</w:t>
      </w:r>
      <w:r w:rsidRPr="00EE3ECD">
        <w:rPr>
          <w:rFonts w:ascii="Times New Roman" w:eastAsia="SimSun" w:hAnsi="Times New Roman"/>
        </w:rPr>
        <w:t>) filed petitions for judicial review challenging several aspects of Order</w:t>
      </w:r>
      <w:r w:rsidR="00C97284">
        <w:rPr>
          <w:rFonts w:ascii="Times New Roman" w:eastAsia="SimSun" w:hAnsi="Times New Roman"/>
        </w:rPr>
        <w:t> </w:t>
      </w:r>
      <w:r w:rsidRPr="00EE3ECD">
        <w:rPr>
          <w:rFonts w:ascii="Times New Roman" w:eastAsia="SimSun" w:hAnsi="Times New Roman"/>
        </w:rPr>
        <w:t xml:space="preserve">07 in Thurston County Superior Court.  In its final order, the </w:t>
      </w:r>
      <w:r w:rsidR="00C97284" w:rsidRPr="00EE3ECD">
        <w:rPr>
          <w:rFonts w:ascii="Times New Roman" w:eastAsia="SimSun" w:hAnsi="Times New Roman"/>
        </w:rPr>
        <w:t xml:space="preserve">Thurston County Superior Court </w:t>
      </w:r>
      <w:r w:rsidRPr="00EE3ECD">
        <w:rPr>
          <w:rFonts w:ascii="Times New Roman" w:eastAsia="SimSun" w:hAnsi="Times New Roman"/>
        </w:rPr>
        <w:t xml:space="preserve">rejected two of the three arguments made by Public Counsel and </w:t>
      </w:r>
      <w:proofErr w:type="spellStart"/>
      <w:r w:rsidRPr="00EE3ECD">
        <w:rPr>
          <w:rFonts w:ascii="Times New Roman" w:eastAsia="SimSun" w:hAnsi="Times New Roman"/>
        </w:rPr>
        <w:t>ICNU</w:t>
      </w:r>
      <w:proofErr w:type="spellEnd"/>
      <w:r w:rsidR="00C97284">
        <w:rPr>
          <w:rFonts w:ascii="Times New Roman" w:eastAsia="SimSun" w:hAnsi="Times New Roman"/>
        </w:rPr>
        <w:t xml:space="preserve"> </w:t>
      </w:r>
      <w:r w:rsidRPr="00EE3ECD">
        <w:rPr>
          <w:rFonts w:ascii="Times New Roman" w:eastAsia="SimSun" w:hAnsi="Times New Roman"/>
        </w:rPr>
        <w:t xml:space="preserve">but remanded one issue to the Commission.  </w:t>
      </w:r>
      <w:proofErr w:type="gramStart"/>
      <w:r w:rsidRPr="00EE3ECD">
        <w:rPr>
          <w:rFonts w:ascii="Times New Roman" w:eastAsia="SimSun" w:hAnsi="Times New Roman"/>
        </w:rPr>
        <w:t>Specifically, the court (</w:t>
      </w:r>
      <w:proofErr w:type="spellStart"/>
      <w:r w:rsidRPr="00EE3ECD">
        <w:rPr>
          <w:rFonts w:ascii="Times New Roman" w:eastAsia="SimSun" w:hAnsi="Times New Roman"/>
        </w:rPr>
        <w:t>i</w:t>
      </w:r>
      <w:proofErr w:type="spellEnd"/>
      <w:r w:rsidRPr="00EE3ECD">
        <w:rPr>
          <w:rFonts w:ascii="Times New Roman" w:eastAsia="SimSun" w:hAnsi="Times New Roman"/>
        </w:rPr>
        <w:t>)</w:t>
      </w:r>
      <w:r w:rsidR="00C97284">
        <w:rPr>
          <w:rFonts w:ascii="Times New Roman" w:eastAsia="SimSun" w:hAnsi="Times New Roman"/>
        </w:rPr>
        <w:t> </w:t>
      </w:r>
      <w:r w:rsidRPr="00EE3ECD">
        <w:rPr>
          <w:rFonts w:ascii="Times New Roman" w:eastAsia="SimSun" w:hAnsi="Times New Roman"/>
        </w:rPr>
        <w:t>affirmed the Commission</w:t>
      </w:r>
      <w:r w:rsidR="00A14EBD">
        <w:rPr>
          <w:rFonts w:ascii="Times New Roman" w:eastAsia="SimSun" w:hAnsi="Times New Roman"/>
        </w:rPr>
        <w:t>’</w:t>
      </w:r>
      <w:r w:rsidRPr="00EE3ECD">
        <w:rPr>
          <w:rFonts w:ascii="Times New Roman" w:eastAsia="SimSun" w:hAnsi="Times New Roman"/>
        </w:rPr>
        <w:t>s decision not to hold a general rate case in these dockets, (ii)</w:t>
      </w:r>
      <w:r w:rsidR="00C97284">
        <w:rPr>
          <w:rFonts w:ascii="Times New Roman" w:eastAsia="SimSun" w:hAnsi="Times New Roman"/>
        </w:rPr>
        <w:t> </w:t>
      </w:r>
      <w:r w:rsidRPr="00EE3ECD">
        <w:rPr>
          <w:rFonts w:ascii="Times New Roman" w:eastAsia="SimSun" w:hAnsi="Times New Roman"/>
        </w:rPr>
        <w:t>affirmed the Commission</w:t>
      </w:r>
      <w:r w:rsidR="00A14EBD">
        <w:rPr>
          <w:rFonts w:ascii="Times New Roman" w:eastAsia="SimSun" w:hAnsi="Times New Roman"/>
        </w:rPr>
        <w:t>’</w:t>
      </w:r>
      <w:r w:rsidRPr="00EE3ECD">
        <w:rPr>
          <w:rFonts w:ascii="Times New Roman" w:eastAsia="SimSun" w:hAnsi="Times New Roman"/>
        </w:rPr>
        <w:t xml:space="preserve">s use of an attrition adjustment (also referred to as K-factor or the </w:t>
      </w:r>
      <w:r w:rsidRPr="00EE3ECD">
        <w:rPr>
          <w:rFonts w:ascii="Times New Roman" w:eastAsia="SimSun" w:hAnsi="Times New Roman"/>
        </w:rPr>
        <w:lastRenderedPageBreak/>
        <w:t>rate plan), and (iii)</w:t>
      </w:r>
      <w:r w:rsidR="00C97284">
        <w:rPr>
          <w:rFonts w:ascii="Times New Roman" w:eastAsia="SimSun" w:hAnsi="Times New Roman"/>
        </w:rPr>
        <w:t> </w:t>
      </w:r>
      <w:r w:rsidRPr="00EE3ECD">
        <w:rPr>
          <w:rFonts w:ascii="Times New Roman" w:eastAsia="SimSun" w:hAnsi="Times New Roman"/>
        </w:rPr>
        <w:t>reversed the Commission</w:t>
      </w:r>
      <w:r w:rsidR="00A14EBD">
        <w:rPr>
          <w:rFonts w:ascii="Times New Roman" w:eastAsia="SimSun" w:hAnsi="Times New Roman"/>
        </w:rPr>
        <w:t>’</w:t>
      </w:r>
      <w:r w:rsidRPr="00EE3ECD">
        <w:rPr>
          <w:rFonts w:ascii="Times New Roman" w:eastAsia="SimSun" w:hAnsi="Times New Roman"/>
        </w:rPr>
        <w:t>s findings of fact with respect to the return on equity component of PSE</w:t>
      </w:r>
      <w:r w:rsidR="00A14EBD">
        <w:rPr>
          <w:rFonts w:ascii="Times New Roman" w:eastAsia="SimSun" w:hAnsi="Times New Roman"/>
        </w:rPr>
        <w:t>’</w:t>
      </w:r>
      <w:r w:rsidRPr="00EE3ECD">
        <w:rPr>
          <w:rFonts w:ascii="Times New Roman" w:eastAsia="SimSun" w:hAnsi="Times New Roman"/>
        </w:rPr>
        <w:t>s cost of capital in the context of a multi-year rate plan.</w:t>
      </w:r>
      <w:proofErr w:type="gramEnd"/>
      <w:r w:rsidRPr="00EE3ECD">
        <w:rPr>
          <w:rFonts w:ascii="Times New Roman" w:eastAsia="SimSun" w:hAnsi="Times New Roman"/>
        </w:rPr>
        <w:t xml:space="preserve"> </w:t>
      </w:r>
      <w:r w:rsidR="00C97284">
        <w:rPr>
          <w:rFonts w:ascii="Times New Roman" w:eastAsia="SimSun" w:hAnsi="Times New Roman"/>
        </w:rPr>
        <w:t xml:space="preserve"> </w:t>
      </w:r>
      <w:r w:rsidRPr="00EE3ECD">
        <w:rPr>
          <w:rFonts w:ascii="Times New Roman" w:eastAsia="SimSun" w:hAnsi="Times New Roman"/>
        </w:rPr>
        <w:t>The court remanded the case to the Commission to determine whether substantial evidence supports the Commission</w:t>
      </w:r>
      <w:r w:rsidR="00A14EBD">
        <w:rPr>
          <w:rFonts w:ascii="Times New Roman" w:eastAsia="SimSun" w:hAnsi="Times New Roman"/>
        </w:rPr>
        <w:t>’</w:t>
      </w:r>
      <w:r w:rsidRPr="00EE3ECD">
        <w:rPr>
          <w:rFonts w:ascii="Times New Roman" w:eastAsia="SimSun" w:hAnsi="Times New Roman"/>
        </w:rPr>
        <w:t xml:space="preserve">s determination that the </w:t>
      </w:r>
      <w:r w:rsidR="00C97284">
        <w:rPr>
          <w:rFonts w:ascii="Times New Roman" w:eastAsia="SimSun" w:hAnsi="Times New Roman"/>
        </w:rPr>
        <w:t xml:space="preserve">authorized ROE of </w:t>
      </w:r>
      <w:r w:rsidRPr="00EE3ECD">
        <w:rPr>
          <w:rFonts w:ascii="Times New Roman" w:eastAsia="SimSun" w:hAnsi="Times New Roman"/>
        </w:rPr>
        <w:t>9.8</w:t>
      </w:r>
      <w:r w:rsidR="00C97284">
        <w:rPr>
          <w:rFonts w:ascii="Times New Roman" w:eastAsia="SimSun" w:hAnsi="Times New Roman"/>
        </w:rPr>
        <w:t> </w:t>
      </w:r>
      <w:r w:rsidRPr="00EE3ECD">
        <w:rPr>
          <w:rFonts w:ascii="Times New Roman" w:eastAsia="SimSun" w:hAnsi="Times New Roman"/>
        </w:rPr>
        <w:t>percent remains within a range of reasonableness.</w:t>
      </w:r>
    </w:p>
    <w:p w:rsidR="00C97284" w:rsidRPr="00EE3ECD" w:rsidRDefault="00C97284" w:rsidP="00C73260">
      <w:pPr>
        <w:pStyle w:val="answer"/>
        <w:ind w:firstLine="0"/>
        <w:rPr>
          <w:rFonts w:ascii="Times New Roman" w:eastAsia="SimSun" w:hAnsi="Times New Roman"/>
        </w:rPr>
      </w:pP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 xml:space="preserve">s filing in this remand proceeding provides substantial evidence </w:t>
      </w:r>
      <w:r w:rsidR="007548F1">
        <w:rPr>
          <w:rFonts w:ascii="Times New Roman" w:eastAsia="SimSun" w:hAnsi="Times New Roman"/>
        </w:rPr>
        <w:t>demonstrating that</w:t>
      </w:r>
      <w:r w:rsidRPr="00EE3ECD">
        <w:rPr>
          <w:rFonts w:ascii="Times New Roman" w:eastAsia="SimSun" w:hAnsi="Times New Roman"/>
        </w:rPr>
        <w:t xml:space="preserve"> the </w:t>
      </w:r>
      <w:r>
        <w:rPr>
          <w:rFonts w:ascii="Times New Roman" w:eastAsia="SimSun" w:hAnsi="Times New Roman"/>
        </w:rPr>
        <w:t xml:space="preserve">ROE </w:t>
      </w:r>
      <w:r w:rsidRPr="00D503D6">
        <w:rPr>
          <w:rFonts w:ascii="Times New Roman" w:eastAsia="SimSun" w:hAnsi="Times New Roman"/>
        </w:rPr>
        <w:t>of 9.8</w:t>
      </w:r>
      <w:r w:rsidR="00E342C3">
        <w:rPr>
          <w:rFonts w:ascii="Times New Roman" w:eastAsia="SimSun" w:hAnsi="Times New Roman"/>
        </w:rPr>
        <w:t> percent</w:t>
      </w:r>
      <w:r w:rsidRPr="00D503D6">
        <w:rPr>
          <w:rFonts w:ascii="Times New Roman" w:eastAsia="SimSun" w:hAnsi="Times New Roman"/>
        </w:rPr>
        <w:t xml:space="preserve"> authorized by the </w:t>
      </w:r>
      <w:r w:rsidRPr="00EE3ECD">
        <w:rPr>
          <w:rFonts w:ascii="Times New Roman" w:eastAsia="SimSun" w:hAnsi="Times New Roman"/>
        </w:rPr>
        <w:t>Commission</w:t>
      </w:r>
      <w:r>
        <w:rPr>
          <w:rFonts w:ascii="Times New Roman" w:eastAsia="SimSun" w:hAnsi="Times New Roman"/>
        </w:rPr>
        <w:t xml:space="preserve"> </w:t>
      </w:r>
      <w:r w:rsidRPr="00D503D6">
        <w:rPr>
          <w:rFonts w:ascii="Times New Roman" w:eastAsia="SimSun" w:hAnsi="Times New Roman"/>
        </w:rPr>
        <w:t>in Order</w:t>
      </w:r>
      <w:r>
        <w:rPr>
          <w:rFonts w:ascii="Times New Roman" w:eastAsia="SimSun" w:hAnsi="Times New Roman"/>
        </w:rPr>
        <w:t> </w:t>
      </w:r>
      <w:r w:rsidRPr="00D503D6">
        <w:rPr>
          <w:rFonts w:ascii="Times New Roman" w:eastAsia="SimSun" w:hAnsi="Times New Roman"/>
        </w:rPr>
        <w:t>08 in Dockets</w:t>
      </w:r>
      <w:r>
        <w:rPr>
          <w:rFonts w:ascii="Times New Roman" w:eastAsia="SimSun" w:hAnsi="Times New Roman"/>
        </w:rPr>
        <w:t xml:space="preserve"> UE-111048 and UG-111049 </w:t>
      </w:r>
      <w:r w:rsidRPr="00D503D6">
        <w:rPr>
          <w:rFonts w:ascii="Times New Roman" w:eastAsia="SimSun" w:hAnsi="Times New Roman"/>
        </w:rPr>
        <w:t>remained within the range of reasonableness when the Commission issued its Order</w:t>
      </w:r>
      <w:r>
        <w:rPr>
          <w:rFonts w:ascii="Times New Roman" w:eastAsia="SimSun" w:hAnsi="Times New Roman"/>
        </w:rPr>
        <w:t xml:space="preserve"> 07 in these proceedings </w:t>
      </w:r>
      <w:r w:rsidRPr="00D503D6">
        <w:rPr>
          <w:rFonts w:ascii="Times New Roman" w:eastAsia="SimSun" w:hAnsi="Times New Roman"/>
        </w:rPr>
        <w:t xml:space="preserve">and remains within the range of reasonableness </w:t>
      </w:r>
      <w:r w:rsidR="007548F1">
        <w:rPr>
          <w:rFonts w:ascii="Times New Roman" w:eastAsia="SimSun" w:hAnsi="Times New Roman"/>
        </w:rPr>
        <w:t>under current market conditions</w:t>
      </w:r>
      <w:r>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evidence is PSE providing in this remand proceeding with respect to the return on equity?</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PSE is proffering the </w:t>
      </w:r>
      <w:proofErr w:type="spellStart"/>
      <w:r w:rsidR="00BE6864" w:rsidRPr="00EE3ECD">
        <w:rPr>
          <w:rFonts w:ascii="Times New Roman" w:eastAsia="SimSun" w:hAnsi="Times New Roman"/>
        </w:rPr>
        <w:t>Prefiled</w:t>
      </w:r>
      <w:proofErr w:type="spellEnd"/>
      <w:r w:rsidR="00BE6864" w:rsidRPr="00EE3ECD">
        <w:rPr>
          <w:rFonts w:ascii="Times New Roman" w:eastAsia="SimSun" w:hAnsi="Times New Roman"/>
        </w:rPr>
        <w:t xml:space="preserve"> Direct Testimony </w:t>
      </w:r>
      <w:r w:rsidR="00BE6864">
        <w:rPr>
          <w:rFonts w:ascii="Times New Roman" w:eastAsia="SimSun" w:hAnsi="Times New Roman"/>
        </w:rPr>
        <w:t>of Dr. Roger A. Morin, Exhibit No</w:t>
      </w:r>
      <w:proofErr w:type="gramStart"/>
      <w:r w:rsidR="00BE6864">
        <w:rPr>
          <w:rFonts w:ascii="Times New Roman" w:eastAsia="SimSun" w:hAnsi="Times New Roman"/>
        </w:rPr>
        <w:t>. ___(RAM-1T), and supporting exhibits thereto</w:t>
      </w:r>
      <w:r w:rsidR="00AF4DF6">
        <w:rPr>
          <w:rFonts w:ascii="Times New Roman" w:eastAsia="SimSun" w:hAnsi="Times New Roman"/>
        </w:rPr>
        <w:t>, which demonstrate</w:t>
      </w:r>
      <w:r w:rsidR="00BE6864">
        <w:rPr>
          <w:rFonts w:ascii="Times New Roman" w:eastAsia="SimSun" w:hAnsi="Times New Roman"/>
        </w:rPr>
        <w:t xml:space="preserve"> that the authorized ROE of </w:t>
      </w:r>
      <w:r w:rsidRPr="00EE3ECD">
        <w:rPr>
          <w:rFonts w:ascii="Times New Roman" w:eastAsia="SimSun" w:hAnsi="Times New Roman"/>
        </w:rPr>
        <w:t>9.8</w:t>
      </w:r>
      <w:r w:rsidR="00BE6864">
        <w:rPr>
          <w:rFonts w:ascii="Times New Roman" w:eastAsia="SimSun" w:hAnsi="Times New Roman"/>
        </w:rPr>
        <w:t> </w:t>
      </w:r>
      <w:r w:rsidRPr="00EE3ECD">
        <w:rPr>
          <w:rFonts w:ascii="Times New Roman" w:eastAsia="SimSun" w:hAnsi="Times New Roman"/>
        </w:rPr>
        <w:t>percent was within a range of reasonableness, albeit at the low end of the range, in the first half of the calendar year 2013 when the Commission issued Order 07, and that a</w:t>
      </w:r>
      <w:r w:rsidR="00BE6864">
        <w:rPr>
          <w:rFonts w:ascii="Times New Roman" w:eastAsia="SimSun" w:hAnsi="Times New Roman"/>
        </w:rPr>
        <w:t xml:space="preserve">n authorized ROE </w:t>
      </w:r>
      <w:r w:rsidRPr="00EE3ECD">
        <w:rPr>
          <w:rFonts w:ascii="Times New Roman" w:eastAsia="SimSun" w:hAnsi="Times New Roman"/>
        </w:rPr>
        <w:t>of 9.8</w:t>
      </w:r>
      <w:r w:rsidR="00BE6864">
        <w:rPr>
          <w:rFonts w:ascii="Times New Roman" w:eastAsia="SimSun" w:hAnsi="Times New Roman"/>
        </w:rPr>
        <w:t> </w:t>
      </w:r>
      <w:r w:rsidRPr="00EE3ECD">
        <w:rPr>
          <w:rFonts w:ascii="Times New Roman" w:eastAsia="SimSun" w:hAnsi="Times New Roman"/>
        </w:rPr>
        <w:t>percent remains in a range of reasonableness</w:t>
      </w:r>
      <w:r w:rsidR="007548F1">
        <w:rPr>
          <w:rFonts w:ascii="Times New Roman" w:eastAsia="SimSun" w:hAnsi="Times New Roman"/>
        </w:rPr>
        <w:t xml:space="preserve"> </w:t>
      </w:r>
      <w:r w:rsidRPr="00EE3ECD">
        <w:rPr>
          <w:rFonts w:ascii="Times New Roman" w:eastAsia="SimSun" w:hAnsi="Times New Roman"/>
        </w:rPr>
        <w:t>based</w:t>
      </w:r>
      <w:r w:rsidR="00C73260" w:rsidRPr="00EE3ECD">
        <w:rPr>
          <w:rFonts w:ascii="Times New Roman" w:eastAsia="SimSun" w:hAnsi="Times New Roman"/>
        </w:rPr>
        <w:t xml:space="preserve"> on current market conditions.</w:t>
      </w:r>
      <w:proofErr w:type="gramEnd"/>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Should the Commission address on remand the issue of whether PSE</w:t>
      </w:r>
      <w:r w:rsidR="00A14EBD">
        <w:rPr>
          <w:rFonts w:ascii="Times New Roman" w:eastAsia="SimSun" w:hAnsi="Times New Roman"/>
        </w:rPr>
        <w:t>’</w:t>
      </w:r>
      <w:r w:rsidRPr="00EE3ECD">
        <w:rPr>
          <w:rFonts w:ascii="Times New Roman" w:eastAsia="SimSun" w:hAnsi="Times New Roman"/>
        </w:rPr>
        <w:t xml:space="preserve">s </w:t>
      </w:r>
      <w:r w:rsidR="00BE6864">
        <w:rPr>
          <w:rFonts w:ascii="Times New Roman" w:eastAsia="SimSun" w:hAnsi="Times New Roman"/>
        </w:rPr>
        <w:t xml:space="preserve">cost of capital </w:t>
      </w:r>
      <w:proofErr w:type="gramStart"/>
      <w:r w:rsidRPr="00EE3ECD">
        <w:rPr>
          <w:rFonts w:ascii="Times New Roman" w:eastAsia="SimSun" w:hAnsi="Times New Roman"/>
        </w:rPr>
        <w:t>should be lowered</w:t>
      </w:r>
      <w:proofErr w:type="gramEnd"/>
      <w:r w:rsidRPr="00EE3ECD">
        <w:rPr>
          <w:rFonts w:ascii="Times New Roman" w:eastAsia="SimSun" w:hAnsi="Times New Roman"/>
        </w:rPr>
        <w:t xml:space="preserve"> due to the adoption of decoupling to reflect alleged reduced risk to PSE?</w:t>
      </w:r>
    </w:p>
    <w:p w:rsidR="00BE6864"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No</w:t>
      </w:r>
      <w:r w:rsidR="00BE6864">
        <w:rPr>
          <w:rFonts w:ascii="Times New Roman" w:eastAsia="SimSun" w:hAnsi="Times New Roman"/>
        </w:rPr>
        <w:t>.</w:t>
      </w:r>
      <w:proofErr w:type="gramEnd"/>
      <w:r w:rsidR="00BE6864">
        <w:rPr>
          <w:rFonts w:ascii="Times New Roman" w:eastAsia="SimSun" w:hAnsi="Times New Roman"/>
        </w:rPr>
        <w:t xml:space="preserve">  T</w:t>
      </w:r>
      <w:r w:rsidR="00BE6864" w:rsidRPr="00EE3ECD">
        <w:rPr>
          <w:rFonts w:ascii="Times New Roman" w:eastAsia="SimSun" w:hAnsi="Times New Roman"/>
        </w:rPr>
        <w:t xml:space="preserve">he Commission </w:t>
      </w:r>
      <w:r w:rsidR="00BE6864">
        <w:rPr>
          <w:rFonts w:ascii="Times New Roman" w:eastAsia="SimSun" w:hAnsi="Times New Roman"/>
        </w:rPr>
        <w:t xml:space="preserve">should not </w:t>
      </w:r>
      <w:r w:rsidR="00BE6864" w:rsidRPr="00EE3ECD">
        <w:rPr>
          <w:rFonts w:ascii="Times New Roman" w:eastAsia="SimSun" w:hAnsi="Times New Roman"/>
        </w:rPr>
        <w:t>address on remand the issue of whether PSE</w:t>
      </w:r>
      <w:r w:rsidR="00A14EBD">
        <w:rPr>
          <w:rFonts w:ascii="Times New Roman" w:eastAsia="SimSun" w:hAnsi="Times New Roman"/>
        </w:rPr>
        <w:t>’</w:t>
      </w:r>
      <w:r w:rsidR="00BE6864" w:rsidRPr="00EE3ECD">
        <w:rPr>
          <w:rFonts w:ascii="Times New Roman" w:eastAsia="SimSun" w:hAnsi="Times New Roman"/>
        </w:rPr>
        <w:t xml:space="preserve">s </w:t>
      </w:r>
      <w:r w:rsidR="00BE6864">
        <w:rPr>
          <w:rFonts w:ascii="Times New Roman" w:eastAsia="SimSun" w:hAnsi="Times New Roman"/>
        </w:rPr>
        <w:t xml:space="preserve">cost of capital </w:t>
      </w:r>
      <w:proofErr w:type="gramStart"/>
      <w:r w:rsidR="00BE6864" w:rsidRPr="00EE3ECD">
        <w:rPr>
          <w:rFonts w:ascii="Times New Roman" w:eastAsia="SimSun" w:hAnsi="Times New Roman"/>
        </w:rPr>
        <w:t>should be lowered</w:t>
      </w:r>
      <w:proofErr w:type="gramEnd"/>
      <w:r w:rsidR="00BE6864" w:rsidRPr="00EE3ECD">
        <w:rPr>
          <w:rFonts w:ascii="Times New Roman" w:eastAsia="SimSun" w:hAnsi="Times New Roman"/>
        </w:rPr>
        <w:t xml:space="preserve"> due to the adoption of decoupling to reflect alleged reduced risk to PSE</w:t>
      </w:r>
      <w:r w:rsidR="00BE6864">
        <w:rPr>
          <w:rFonts w:ascii="Times New Roman" w:eastAsia="SimSun" w:hAnsi="Times New Roman"/>
        </w:rPr>
        <w:t>.</w:t>
      </w:r>
    </w:p>
    <w:p w:rsidR="006C7734" w:rsidRDefault="00DF0A93" w:rsidP="00BE6864">
      <w:pPr>
        <w:pStyle w:val="answer"/>
        <w:ind w:firstLine="0"/>
        <w:rPr>
          <w:rFonts w:ascii="Times New Roman" w:eastAsia="SimSun" w:hAnsi="Times New Roman"/>
        </w:rPr>
      </w:pPr>
      <w:r w:rsidRPr="00EE3ECD">
        <w:rPr>
          <w:rFonts w:ascii="Times New Roman" w:eastAsia="SimSun" w:hAnsi="Times New Roman"/>
        </w:rPr>
        <w:t xml:space="preserve">In the 2012-2013 </w:t>
      </w:r>
      <w:r w:rsidR="006C7734">
        <w:rPr>
          <w:rFonts w:ascii="Times New Roman" w:eastAsia="SimSun" w:hAnsi="Times New Roman"/>
        </w:rPr>
        <w:t xml:space="preserve">phase of this </w:t>
      </w:r>
      <w:r w:rsidRPr="00EE3ECD">
        <w:rPr>
          <w:rFonts w:ascii="Times New Roman" w:eastAsia="SimSun" w:hAnsi="Times New Roman"/>
        </w:rPr>
        <w:t>proceeding, PSE and the NW</w:t>
      </w:r>
      <w:r w:rsidR="00BE6864">
        <w:rPr>
          <w:rFonts w:ascii="Times New Roman" w:eastAsia="SimSun" w:hAnsi="Times New Roman"/>
        </w:rPr>
        <w:t> </w:t>
      </w:r>
      <w:r w:rsidRPr="00EE3ECD">
        <w:rPr>
          <w:rFonts w:ascii="Times New Roman" w:eastAsia="SimSun" w:hAnsi="Times New Roman"/>
        </w:rPr>
        <w:t xml:space="preserve">Energy Coalition </w:t>
      </w:r>
      <w:r w:rsidR="00FE7779">
        <w:rPr>
          <w:rFonts w:ascii="Times New Roman" w:eastAsia="SimSun" w:hAnsi="Times New Roman"/>
        </w:rPr>
        <w:t>(</w:t>
      </w:r>
      <w:r w:rsidR="00A14EBD">
        <w:rPr>
          <w:rFonts w:ascii="Times New Roman" w:eastAsia="SimSun" w:hAnsi="Times New Roman"/>
        </w:rPr>
        <w:t>“</w:t>
      </w:r>
      <w:proofErr w:type="spellStart"/>
      <w:r w:rsidR="00FE7779">
        <w:rPr>
          <w:rFonts w:ascii="Times New Roman" w:eastAsia="SimSun" w:hAnsi="Times New Roman"/>
        </w:rPr>
        <w:t>NWEC</w:t>
      </w:r>
      <w:proofErr w:type="spellEnd"/>
      <w:r w:rsidR="00A14EBD">
        <w:rPr>
          <w:rFonts w:ascii="Times New Roman" w:eastAsia="SimSun" w:hAnsi="Times New Roman"/>
        </w:rPr>
        <w:t>”</w:t>
      </w:r>
      <w:r w:rsidR="00FE7779">
        <w:rPr>
          <w:rFonts w:ascii="Times New Roman" w:eastAsia="SimSun" w:hAnsi="Times New Roman"/>
        </w:rPr>
        <w:t xml:space="preserve">) </w:t>
      </w:r>
      <w:r w:rsidRPr="00EE3ECD">
        <w:rPr>
          <w:rFonts w:ascii="Times New Roman" w:eastAsia="SimSun" w:hAnsi="Times New Roman"/>
        </w:rPr>
        <w:t xml:space="preserve">demonstrated that there is no empirical evidence to support the premise that decoupling lowers risk such that </w:t>
      </w:r>
      <w:proofErr w:type="gramStart"/>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cost of capital should be lowered with the adoption of a decoupling mechanism.  The Commission considered this evidence and </w:t>
      </w:r>
      <w:r w:rsidR="006C7734" w:rsidRPr="006C7734">
        <w:rPr>
          <w:rFonts w:ascii="Times New Roman" w:eastAsia="SimSun" w:hAnsi="Times New Roman"/>
        </w:rPr>
        <w:t xml:space="preserve">determined that any reduction in the cost of debt would occur only prospectively and </w:t>
      </w:r>
      <w:proofErr w:type="gramStart"/>
      <w:r w:rsidR="006C7734" w:rsidRPr="006C7734">
        <w:rPr>
          <w:rFonts w:ascii="Times New Roman" w:eastAsia="SimSun" w:hAnsi="Times New Roman"/>
        </w:rPr>
        <w:t>should be evaluated</w:t>
      </w:r>
      <w:proofErr w:type="gramEnd"/>
      <w:r w:rsidR="006C7734" w:rsidRPr="006C7734">
        <w:rPr>
          <w:rFonts w:ascii="Times New Roman" w:eastAsia="SimSun" w:hAnsi="Times New Roman"/>
        </w:rPr>
        <w:t xml:space="preserve"> </w:t>
      </w:r>
      <w:r w:rsidR="006C7734">
        <w:rPr>
          <w:rFonts w:ascii="Times New Roman" w:eastAsia="SimSun" w:hAnsi="Times New Roman"/>
        </w:rPr>
        <w:t>in PSE</w:t>
      </w:r>
      <w:r w:rsidR="00A14EBD">
        <w:rPr>
          <w:rFonts w:ascii="Times New Roman" w:eastAsia="SimSun" w:hAnsi="Times New Roman"/>
        </w:rPr>
        <w:t>’</w:t>
      </w:r>
      <w:r w:rsidR="006C7734">
        <w:rPr>
          <w:rFonts w:ascii="Times New Roman" w:eastAsia="SimSun" w:hAnsi="Times New Roman"/>
        </w:rPr>
        <w:t>s next general rate case</w:t>
      </w:r>
      <w:r w:rsidR="006C7734" w:rsidRPr="006C7734">
        <w:rPr>
          <w:rFonts w:ascii="Times New Roman" w:eastAsia="SimSun" w:hAnsi="Times New Roman"/>
        </w:rPr>
        <w:t>:</w:t>
      </w:r>
    </w:p>
    <w:p w:rsidR="006C7734" w:rsidRDefault="006C7734" w:rsidP="006C7734">
      <w:pPr>
        <w:pStyle w:val="answer"/>
        <w:spacing w:after="280" w:line="240" w:lineRule="auto"/>
        <w:ind w:left="1440" w:right="720" w:firstLine="0"/>
        <w:rPr>
          <w:rFonts w:ascii="Times New Roman" w:eastAsia="SimSun" w:hAnsi="Times New Roman"/>
        </w:rPr>
      </w:pPr>
      <w:r w:rsidRPr="006C7734">
        <w:rPr>
          <w:rFonts w:ascii="Times New Roman" w:eastAsia="SimSun" w:hAnsi="Times New Roman"/>
        </w:rPr>
        <w:t xml:space="preserve">Experience going forward with decoupling in place for PSE as </w:t>
      </w:r>
      <w:proofErr w:type="gramStart"/>
      <w:r w:rsidRPr="006C7734">
        <w:rPr>
          <w:rFonts w:ascii="Times New Roman" w:eastAsia="SimSun" w:hAnsi="Times New Roman"/>
        </w:rPr>
        <w:t>various</w:t>
      </w:r>
      <w:proofErr w:type="gramEnd"/>
      <w:r w:rsidRPr="006C7734">
        <w:rPr>
          <w:rFonts w:ascii="Times New Roman" w:eastAsia="SimSun" w:hAnsi="Times New Roman"/>
        </w:rPr>
        <w:t xml:space="preserve"> of its debt instruments mature over the next several years will provide valuable information to the Commission.</w:t>
      </w:r>
      <w:r>
        <w:rPr>
          <w:rStyle w:val="FootnoteReference"/>
          <w:rFonts w:ascii="Times New Roman" w:eastAsia="SimSun" w:hAnsi="Times New Roman"/>
        </w:rPr>
        <w:footnoteReference w:id="3"/>
      </w:r>
    </w:p>
    <w:p w:rsidR="006C7734" w:rsidRPr="00EE3ECD" w:rsidRDefault="006C7734" w:rsidP="00BE6864">
      <w:pPr>
        <w:pStyle w:val="answer"/>
        <w:ind w:firstLine="0"/>
        <w:rPr>
          <w:rFonts w:ascii="Times New Roman" w:eastAsia="SimSun" w:hAnsi="Times New Roman"/>
        </w:rPr>
      </w:pPr>
      <w:r w:rsidRPr="006C7734">
        <w:rPr>
          <w:rFonts w:ascii="Times New Roman" w:eastAsia="SimSun" w:hAnsi="Times New Roman"/>
        </w:rPr>
        <w:t>Similarly, the Commission determined that parties could</w:t>
      </w:r>
      <w:r w:rsidR="00013512">
        <w:rPr>
          <w:rFonts w:ascii="Times New Roman" w:eastAsia="SimSun" w:hAnsi="Times New Roman"/>
        </w:rPr>
        <w:t xml:space="preserve"> </w:t>
      </w:r>
      <w:r w:rsidRPr="006C7734">
        <w:rPr>
          <w:rFonts w:ascii="Times New Roman" w:eastAsia="SimSun" w:hAnsi="Times New Roman"/>
        </w:rPr>
        <w:t xml:space="preserve">bring forth evidence </w:t>
      </w:r>
      <w:r w:rsidR="00013512" w:rsidRPr="006C7734">
        <w:rPr>
          <w:rFonts w:ascii="Times New Roman" w:eastAsia="SimSun" w:hAnsi="Times New Roman"/>
        </w:rPr>
        <w:t>in PSE</w:t>
      </w:r>
      <w:r w:rsidR="00A14EBD">
        <w:rPr>
          <w:rFonts w:ascii="Times New Roman" w:eastAsia="SimSun" w:hAnsi="Times New Roman"/>
        </w:rPr>
        <w:t>’</w:t>
      </w:r>
      <w:r w:rsidR="00013512">
        <w:rPr>
          <w:rFonts w:ascii="Times New Roman" w:eastAsia="SimSun" w:hAnsi="Times New Roman"/>
        </w:rPr>
        <w:t xml:space="preserve">s next general rate case </w:t>
      </w:r>
      <w:r w:rsidRPr="006C7734">
        <w:rPr>
          <w:rFonts w:ascii="Times New Roman" w:eastAsia="SimSun" w:hAnsi="Times New Roman"/>
        </w:rPr>
        <w:t xml:space="preserve">on the issue of whether equity markets respond to the implementation of decoupling </w:t>
      </w:r>
      <w:r w:rsidR="00013512" w:rsidRPr="00013512">
        <w:rPr>
          <w:rFonts w:ascii="Times New Roman" w:eastAsia="SimSun" w:hAnsi="Times New Roman"/>
        </w:rPr>
        <w:t>in the case of publicly traded companies</w:t>
      </w:r>
      <w:r>
        <w:rPr>
          <w:rFonts w:ascii="Times New Roman" w:eastAsia="SimSun" w:hAnsi="Times New Roman"/>
        </w:rPr>
        <w:t>.</w:t>
      </w:r>
      <w:r w:rsidR="00013512">
        <w:rPr>
          <w:rStyle w:val="FootnoteReference"/>
          <w:rFonts w:ascii="Times New Roman" w:eastAsia="SimSun" w:hAnsi="Times New Roman"/>
        </w:rPr>
        <w:footnoteReference w:id="4"/>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Is PSE presenting evidence with respect to the effect of decoupling on cost of capital in this proceeding?</w:t>
      </w:r>
    </w:p>
    <w:p w:rsidR="006C7734"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w:t>
      </w:r>
      <w:r w:rsidR="00DB57DE" w:rsidRPr="00DB57DE">
        <w:rPr>
          <w:rFonts w:ascii="Times New Roman" w:eastAsia="SimSun" w:hAnsi="Times New Roman"/>
        </w:rPr>
        <w:t xml:space="preserve">Although PSE believes </w:t>
      </w:r>
      <w:r w:rsidR="00DB57DE">
        <w:rPr>
          <w:rFonts w:ascii="Times New Roman" w:eastAsia="SimSun" w:hAnsi="Times New Roman"/>
        </w:rPr>
        <w:t xml:space="preserve">that </w:t>
      </w:r>
      <w:r w:rsidR="00DB57DE" w:rsidRPr="00DB57DE">
        <w:rPr>
          <w:rFonts w:ascii="Times New Roman" w:eastAsia="SimSun" w:hAnsi="Times New Roman"/>
        </w:rPr>
        <w:t>the Commission appropriately determined not to prospectively adjust cost of capital with the adoption of decoupling</w:t>
      </w:r>
      <w:r w:rsidRPr="00EE3ECD">
        <w:rPr>
          <w:rFonts w:ascii="Times New Roman" w:eastAsia="SimSun" w:hAnsi="Times New Roman"/>
        </w:rPr>
        <w:t xml:space="preserve">, there remains disagreement among the parties as to whether this issue falls within the scope of the remand.  </w:t>
      </w:r>
      <w:r w:rsidR="00662ED2">
        <w:rPr>
          <w:rFonts w:ascii="Times New Roman" w:eastAsia="SimSun" w:hAnsi="Times New Roman"/>
        </w:rPr>
        <w:t>Therefore</w:t>
      </w:r>
      <w:r w:rsidRPr="00EE3ECD">
        <w:rPr>
          <w:rFonts w:ascii="Times New Roman" w:eastAsia="SimSun" w:hAnsi="Times New Roman"/>
        </w:rPr>
        <w:t xml:space="preserve">, PSE is </w:t>
      </w:r>
      <w:r w:rsidR="00BE6864">
        <w:rPr>
          <w:rFonts w:ascii="Times New Roman" w:eastAsia="SimSun" w:hAnsi="Times New Roman"/>
        </w:rPr>
        <w:t xml:space="preserve">proffering the </w:t>
      </w:r>
      <w:proofErr w:type="spellStart"/>
      <w:r w:rsidR="00BE6864">
        <w:rPr>
          <w:rFonts w:ascii="Times New Roman" w:eastAsia="SimSun" w:hAnsi="Times New Roman"/>
        </w:rPr>
        <w:t>Prefiled</w:t>
      </w:r>
      <w:proofErr w:type="spellEnd"/>
      <w:r w:rsidR="00BE6864">
        <w:rPr>
          <w:rFonts w:ascii="Times New Roman" w:eastAsia="SimSun" w:hAnsi="Times New Roman"/>
        </w:rPr>
        <w:t xml:space="preserve"> Direct Testimony of Dr. Michael J. Vilbert, Exhibit No</w:t>
      </w:r>
      <w:proofErr w:type="gramStart"/>
      <w:r w:rsidR="00BE6864">
        <w:rPr>
          <w:rFonts w:ascii="Times New Roman" w:eastAsia="SimSun" w:hAnsi="Times New Roman"/>
        </w:rPr>
        <w:t>. </w:t>
      </w:r>
      <w:proofErr w:type="gramEnd"/>
      <w:r w:rsidR="00BE6864">
        <w:rPr>
          <w:rFonts w:ascii="Times New Roman" w:eastAsia="SimSun" w:hAnsi="Times New Roman"/>
        </w:rPr>
        <w:t>__</w:t>
      </w:r>
      <w:proofErr w:type="gramStart"/>
      <w:r w:rsidR="00BE6864">
        <w:rPr>
          <w:rFonts w:ascii="Times New Roman" w:eastAsia="SimSun" w:hAnsi="Times New Roman"/>
        </w:rPr>
        <w:t>_(</w:t>
      </w:r>
      <w:proofErr w:type="gramEnd"/>
      <w:r w:rsidR="00BE6864">
        <w:rPr>
          <w:rFonts w:ascii="Times New Roman" w:eastAsia="SimSun" w:hAnsi="Times New Roman"/>
        </w:rPr>
        <w:t xml:space="preserve">MJV-1T), </w:t>
      </w:r>
      <w:r w:rsidR="00AF4DF6">
        <w:rPr>
          <w:rFonts w:ascii="Times New Roman" w:eastAsia="SimSun" w:hAnsi="Times New Roman"/>
        </w:rPr>
        <w:t xml:space="preserve">and supporting exhibits thereto, </w:t>
      </w:r>
      <w:r w:rsidR="00BE6864">
        <w:rPr>
          <w:rFonts w:ascii="Times New Roman" w:eastAsia="SimSun" w:hAnsi="Times New Roman"/>
        </w:rPr>
        <w:t xml:space="preserve">which </w:t>
      </w:r>
      <w:r w:rsidR="00AF4DF6">
        <w:rPr>
          <w:rFonts w:ascii="Times New Roman" w:eastAsia="SimSun" w:hAnsi="Times New Roman"/>
        </w:rPr>
        <w:t>demonstrate</w:t>
      </w:r>
      <w:r w:rsidRPr="00EE3ECD">
        <w:rPr>
          <w:rFonts w:ascii="Times New Roman" w:eastAsia="SimSun" w:hAnsi="Times New Roman"/>
        </w:rPr>
        <w:t xml:space="preserve"> there is no empirical evidence </w:t>
      </w:r>
      <w:r w:rsidR="007548F1">
        <w:rPr>
          <w:rFonts w:ascii="Times New Roman" w:eastAsia="SimSun" w:hAnsi="Times New Roman"/>
        </w:rPr>
        <w:t>supporting the theory</w:t>
      </w:r>
      <w:r w:rsidRPr="00EE3ECD">
        <w:rPr>
          <w:rFonts w:ascii="Times New Roman" w:eastAsia="SimSun" w:hAnsi="Times New Roman"/>
        </w:rPr>
        <w:t xml:space="preserve"> that decoupling lowers the cost of capital.</w:t>
      </w:r>
    </w:p>
    <w:p w:rsidR="00DF0A93" w:rsidRPr="00EE3ECD" w:rsidRDefault="00BE6864" w:rsidP="006C7734">
      <w:pPr>
        <w:pStyle w:val="answer"/>
        <w:ind w:firstLine="0"/>
        <w:rPr>
          <w:rFonts w:ascii="Times New Roman" w:eastAsia="SimSun" w:hAnsi="Times New Roman"/>
        </w:rPr>
      </w:pPr>
      <w:r>
        <w:rPr>
          <w:rFonts w:ascii="Times New Roman" w:eastAsia="SimSun" w:hAnsi="Times New Roman"/>
        </w:rPr>
        <w:t xml:space="preserve">Dr. Vilbert and his colleagues at </w:t>
      </w:r>
      <w:r w:rsidR="00DF0A93" w:rsidRPr="00EE3ECD">
        <w:rPr>
          <w:rFonts w:ascii="Times New Roman" w:eastAsia="SimSun" w:hAnsi="Times New Roman"/>
        </w:rPr>
        <w:t>The Brattle Group ha</w:t>
      </w:r>
      <w:r>
        <w:rPr>
          <w:rFonts w:ascii="Times New Roman" w:eastAsia="SimSun" w:hAnsi="Times New Roman"/>
        </w:rPr>
        <w:t>ve</w:t>
      </w:r>
      <w:r w:rsidR="00DF0A93" w:rsidRPr="00EE3ECD">
        <w:rPr>
          <w:rFonts w:ascii="Times New Roman" w:eastAsia="SimSun" w:hAnsi="Times New Roman"/>
        </w:rPr>
        <w:t xml:space="preserve"> studied this issue extensively over the past several years</w:t>
      </w:r>
      <w:r>
        <w:rPr>
          <w:rFonts w:ascii="Times New Roman" w:eastAsia="SimSun" w:hAnsi="Times New Roman"/>
        </w:rPr>
        <w:t>,</w:t>
      </w:r>
      <w:r w:rsidR="00DF0A93" w:rsidRPr="00EE3ECD">
        <w:rPr>
          <w:rFonts w:ascii="Times New Roman" w:eastAsia="SimSun" w:hAnsi="Times New Roman"/>
        </w:rPr>
        <w:t xml:space="preserve"> and </w:t>
      </w:r>
      <w:r>
        <w:rPr>
          <w:rFonts w:ascii="Times New Roman" w:eastAsia="SimSun" w:hAnsi="Times New Roman"/>
        </w:rPr>
        <w:t>Dr. Vilbert</w:t>
      </w:r>
      <w:r w:rsidR="006C7734">
        <w:rPr>
          <w:rFonts w:ascii="Times New Roman" w:eastAsia="SimSun" w:hAnsi="Times New Roman"/>
        </w:rPr>
        <w:t xml:space="preserve"> </w:t>
      </w:r>
      <w:r w:rsidR="00DF0A93" w:rsidRPr="00EE3ECD">
        <w:rPr>
          <w:rFonts w:ascii="Times New Roman" w:eastAsia="SimSun" w:hAnsi="Times New Roman"/>
        </w:rPr>
        <w:t xml:space="preserve">testifies that decoupling </w:t>
      </w:r>
      <w:proofErr w:type="gramStart"/>
      <w:r w:rsidR="00DF0A93" w:rsidRPr="00EE3ECD">
        <w:rPr>
          <w:rFonts w:ascii="Times New Roman" w:eastAsia="SimSun" w:hAnsi="Times New Roman"/>
        </w:rPr>
        <w:t>is instituted</w:t>
      </w:r>
      <w:proofErr w:type="gramEnd"/>
      <w:r w:rsidR="00DF0A93" w:rsidRPr="00EE3ECD">
        <w:rPr>
          <w:rFonts w:ascii="Times New Roman" w:eastAsia="SimSun" w:hAnsi="Times New Roman"/>
        </w:rPr>
        <w:t xml:space="preserve"> as a policy response to support other regulatory goals, such as eliminating the throughput incentive.  Effective energy efficiency programs and distribut</w:t>
      </w:r>
      <w:r w:rsidR="00DB57DE">
        <w:rPr>
          <w:rFonts w:ascii="Times New Roman" w:eastAsia="SimSun" w:hAnsi="Times New Roman"/>
        </w:rPr>
        <w:t>ed</w:t>
      </w:r>
      <w:r w:rsidR="00DF0A93" w:rsidRPr="00EE3ECD">
        <w:rPr>
          <w:rFonts w:ascii="Times New Roman" w:eastAsia="SimSun" w:hAnsi="Times New Roman"/>
        </w:rPr>
        <w:t xml:space="preserve"> generation generally result in decreasing sales</w:t>
      </w:r>
      <w:r w:rsidR="006C7734">
        <w:rPr>
          <w:rFonts w:ascii="Times New Roman" w:eastAsia="SimSun" w:hAnsi="Times New Roman"/>
        </w:rPr>
        <w:t>,</w:t>
      </w:r>
      <w:r w:rsidR="00DF0A93" w:rsidRPr="00EE3ECD">
        <w:rPr>
          <w:rFonts w:ascii="Times New Roman" w:eastAsia="SimSun" w:hAnsi="Times New Roman"/>
        </w:rPr>
        <w:t xml:space="preserve"> which</w:t>
      </w:r>
      <w:r w:rsidR="006C7734">
        <w:rPr>
          <w:rFonts w:ascii="Times New Roman" w:eastAsia="SimSun" w:hAnsi="Times New Roman"/>
        </w:rPr>
        <w:t>,</w:t>
      </w:r>
      <w:r w:rsidR="00DF0A93" w:rsidRPr="00EE3ECD">
        <w:rPr>
          <w:rFonts w:ascii="Times New Roman" w:eastAsia="SimSun" w:hAnsi="Times New Roman"/>
        </w:rPr>
        <w:t xml:space="preserve"> in conjunction with volumetric rates</w:t>
      </w:r>
      <w:r w:rsidR="006C7734">
        <w:rPr>
          <w:rFonts w:ascii="Times New Roman" w:eastAsia="SimSun" w:hAnsi="Times New Roman"/>
        </w:rPr>
        <w:t>,</w:t>
      </w:r>
      <w:r w:rsidR="00DF0A93" w:rsidRPr="00EE3ECD">
        <w:rPr>
          <w:rFonts w:ascii="Times New Roman" w:eastAsia="SimSun" w:hAnsi="Times New Roman"/>
        </w:rPr>
        <w:t xml:space="preserve"> </w:t>
      </w:r>
      <w:r w:rsidR="007B43B0">
        <w:rPr>
          <w:rFonts w:ascii="Times New Roman" w:eastAsia="SimSun" w:hAnsi="Times New Roman"/>
        </w:rPr>
        <w:t>frustrate utilities</w:t>
      </w:r>
      <w:r w:rsidR="00A14EBD">
        <w:rPr>
          <w:rFonts w:ascii="Times New Roman" w:eastAsia="SimSun" w:hAnsi="Times New Roman"/>
        </w:rPr>
        <w:t>’</w:t>
      </w:r>
      <w:r w:rsidR="007B43B0">
        <w:rPr>
          <w:rFonts w:ascii="Times New Roman" w:eastAsia="SimSun" w:hAnsi="Times New Roman"/>
        </w:rPr>
        <w:t xml:space="preserve"> ability </w:t>
      </w:r>
      <w:proofErr w:type="gramStart"/>
      <w:r w:rsidR="007B43B0">
        <w:rPr>
          <w:rFonts w:ascii="Times New Roman" w:eastAsia="SimSun" w:hAnsi="Times New Roman"/>
        </w:rPr>
        <w:t>to fully recover</w:t>
      </w:r>
      <w:proofErr w:type="gramEnd"/>
      <w:r w:rsidR="007B43B0">
        <w:rPr>
          <w:rFonts w:ascii="Times New Roman" w:eastAsia="SimSun" w:hAnsi="Times New Roman"/>
        </w:rPr>
        <w:t xml:space="preserve"> their</w:t>
      </w:r>
      <w:r w:rsidR="00DF0A93" w:rsidRPr="00EE3ECD">
        <w:rPr>
          <w:rFonts w:ascii="Times New Roman" w:eastAsia="SimSun" w:hAnsi="Times New Roman"/>
        </w:rPr>
        <w:t xml:space="preserve"> fixed costs.</w:t>
      </w:r>
      <w:r w:rsidR="006C7734">
        <w:rPr>
          <w:rFonts w:ascii="Times New Roman" w:eastAsia="SimSun" w:hAnsi="Times New Roman"/>
        </w:rPr>
        <w:t xml:space="preserve">  </w:t>
      </w:r>
      <w:r w:rsidR="00DF0A93" w:rsidRPr="00EE3ECD">
        <w:rPr>
          <w:rFonts w:ascii="Times New Roman" w:eastAsia="SimSun" w:hAnsi="Times New Roman"/>
        </w:rPr>
        <w:t xml:space="preserve">The adoption of decoupling </w:t>
      </w:r>
      <w:r w:rsidR="004B5A29">
        <w:rPr>
          <w:rFonts w:ascii="Times New Roman" w:eastAsia="SimSun" w:hAnsi="Times New Roman"/>
        </w:rPr>
        <w:t>helps mitigate</w:t>
      </w:r>
      <w:r w:rsidR="00DF0A93" w:rsidRPr="00EE3ECD">
        <w:rPr>
          <w:rFonts w:ascii="Times New Roman" w:eastAsia="SimSun" w:hAnsi="Times New Roman"/>
        </w:rPr>
        <w:t xml:space="preserve"> this impact and is an important factor in aligning utility and public policy objectives.  This</w:t>
      </w:r>
      <w:r w:rsidR="006C7734">
        <w:rPr>
          <w:rFonts w:ascii="Times New Roman" w:eastAsia="SimSun" w:hAnsi="Times New Roman"/>
        </w:rPr>
        <w:t>,</w:t>
      </w:r>
      <w:r w:rsidR="00DF0A93" w:rsidRPr="00EE3ECD">
        <w:rPr>
          <w:rFonts w:ascii="Times New Roman" w:eastAsia="SimSun" w:hAnsi="Times New Roman"/>
        </w:rPr>
        <w:t xml:space="preserve"> in turn</w:t>
      </w:r>
      <w:r w:rsidR="006C7734">
        <w:rPr>
          <w:rFonts w:ascii="Times New Roman" w:eastAsia="SimSun" w:hAnsi="Times New Roman"/>
        </w:rPr>
        <w:t>,</w:t>
      </w:r>
      <w:r w:rsidR="00DF0A93" w:rsidRPr="00EE3ECD">
        <w:rPr>
          <w:rFonts w:ascii="Times New Roman" w:eastAsia="SimSun" w:hAnsi="Times New Roman"/>
        </w:rPr>
        <w:t xml:space="preserve"> is important as </w:t>
      </w:r>
      <w:r w:rsidR="006C7734">
        <w:rPr>
          <w:rFonts w:ascii="Times New Roman" w:eastAsia="SimSun" w:hAnsi="Times New Roman"/>
        </w:rPr>
        <w:t xml:space="preserve">electric and gas </w:t>
      </w:r>
      <w:r w:rsidR="00DF0A93" w:rsidRPr="00EE3ECD">
        <w:rPr>
          <w:rFonts w:ascii="Times New Roman" w:eastAsia="SimSun" w:hAnsi="Times New Roman"/>
        </w:rPr>
        <w:t>utilities seek to provide safe and reliable service, while also being a change agent in society</w:t>
      </w:r>
      <w:r w:rsidR="00A14EBD">
        <w:rPr>
          <w:rFonts w:ascii="Times New Roman" w:eastAsia="SimSun" w:hAnsi="Times New Roman"/>
        </w:rPr>
        <w:t>’</w:t>
      </w:r>
      <w:r w:rsidR="006C7734">
        <w:rPr>
          <w:rFonts w:ascii="Times New Roman" w:eastAsia="SimSun" w:hAnsi="Times New Roman"/>
        </w:rPr>
        <w:t>s</w:t>
      </w:r>
      <w:r w:rsidR="00DF0A93" w:rsidRPr="00EE3ECD">
        <w:rPr>
          <w:rFonts w:ascii="Times New Roman" w:eastAsia="SimSun" w:hAnsi="Times New Roman"/>
        </w:rPr>
        <w:t xml:space="preserve"> move to </w:t>
      </w:r>
      <w:proofErr w:type="gramStart"/>
      <w:r w:rsidR="00DF0A93" w:rsidRPr="00EE3ECD">
        <w:rPr>
          <w:rFonts w:ascii="Times New Roman" w:eastAsia="SimSun" w:hAnsi="Times New Roman"/>
        </w:rPr>
        <w:t>ever greater</w:t>
      </w:r>
      <w:proofErr w:type="gramEnd"/>
      <w:r w:rsidR="00DF0A93" w:rsidRPr="00EE3ECD">
        <w:rPr>
          <w:rFonts w:ascii="Times New Roman" w:eastAsia="SimSun" w:hAnsi="Times New Roman"/>
        </w:rPr>
        <w:t xml:space="preserve"> efficiency, lower energy use, more renewable power, </w:t>
      </w:r>
      <w:r w:rsidR="00F81A2D">
        <w:rPr>
          <w:rFonts w:ascii="Times New Roman" w:eastAsia="SimSun" w:hAnsi="Times New Roman"/>
        </w:rPr>
        <w:t>and remain</w:t>
      </w:r>
      <w:r w:rsidR="00DF0A93" w:rsidRPr="00EE3ECD">
        <w:rPr>
          <w:rFonts w:ascii="Times New Roman" w:eastAsia="SimSun" w:hAnsi="Times New Roman"/>
        </w:rPr>
        <w:t xml:space="preserve"> fi</w:t>
      </w:r>
      <w:r w:rsidR="00BD183D">
        <w:rPr>
          <w:rFonts w:ascii="Times New Roman" w:eastAsia="SimSun" w:hAnsi="Times New Roman"/>
        </w:rPr>
        <w:t>nancially sound in the process.</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lastRenderedPageBreak/>
        <w:t>Q.</w:t>
      </w:r>
      <w:r w:rsidRPr="00EE3ECD">
        <w:rPr>
          <w:rFonts w:ascii="Times New Roman" w:eastAsia="SimSun" w:hAnsi="Times New Roman"/>
        </w:rPr>
        <w:tab/>
      </w:r>
      <w:r w:rsidR="007B43B0">
        <w:rPr>
          <w:rFonts w:ascii="Times New Roman" w:eastAsia="SimSun" w:hAnsi="Times New Roman"/>
        </w:rPr>
        <w:t>Please summarize the findings and conclus</w:t>
      </w:r>
      <w:r w:rsidR="009F2EED">
        <w:rPr>
          <w:rFonts w:ascii="Times New Roman" w:eastAsia="SimSun" w:hAnsi="Times New Roman"/>
        </w:rPr>
        <w:t xml:space="preserve">ions in Dr. </w:t>
      </w:r>
      <w:proofErr w:type="spellStart"/>
      <w:r w:rsidR="009F2EED">
        <w:rPr>
          <w:rFonts w:ascii="Times New Roman" w:eastAsia="SimSun" w:hAnsi="Times New Roman"/>
        </w:rPr>
        <w:t>Vilbert</w:t>
      </w:r>
      <w:r w:rsidR="00A14EBD">
        <w:rPr>
          <w:rFonts w:ascii="Times New Roman" w:eastAsia="SimSun" w:hAnsi="Times New Roman"/>
        </w:rPr>
        <w:t>’</w:t>
      </w:r>
      <w:r w:rsidR="009F2EED">
        <w:rPr>
          <w:rFonts w:ascii="Times New Roman" w:eastAsia="SimSun" w:hAnsi="Times New Roman"/>
        </w:rPr>
        <w:t>s</w:t>
      </w:r>
      <w:proofErr w:type="spellEnd"/>
      <w:r w:rsidR="009F2EED">
        <w:rPr>
          <w:rFonts w:ascii="Times New Roman" w:eastAsia="SimSun" w:hAnsi="Times New Roman"/>
        </w:rPr>
        <w:t xml:space="preserve"> testimony</w:t>
      </w:r>
      <w:r w:rsidRPr="00EE3ECD">
        <w:rPr>
          <w:rFonts w:ascii="Times New Roman" w:eastAsia="SimSun" w:hAnsi="Times New Roman"/>
        </w:rPr>
        <w:t>?</w:t>
      </w:r>
      <w:proofErr w:type="gramEnd"/>
    </w:p>
    <w:p w:rsidR="00AF4DF6" w:rsidRDefault="00DF0A93" w:rsidP="00BD183D">
      <w:pPr>
        <w:pStyle w:val="answer"/>
        <w:keepNext/>
        <w:keepLines/>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9F2EED">
        <w:rPr>
          <w:rFonts w:ascii="Times New Roman" w:eastAsia="SimSun" w:hAnsi="Times New Roman"/>
        </w:rPr>
        <w:t xml:space="preserve">The </w:t>
      </w:r>
      <w:proofErr w:type="spellStart"/>
      <w:r w:rsidR="009F2EED">
        <w:rPr>
          <w:rFonts w:ascii="Times New Roman" w:eastAsia="SimSun" w:hAnsi="Times New Roman"/>
        </w:rPr>
        <w:t>Prefiled</w:t>
      </w:r>
      <w:proofErr w:type="spellEnd"/>
      <w:r w:rsidR="009F2EED">
        <w:rPr>
          <w:rFonts w:ascii="Times New Roman" w:eastAsia="SimSun" w:hAnsi="Times New Roman"/>
        </w:rPr>
        <w:t xml:space="preserve"> Direct Testimony of </w:t>
      </w:r>
      <w:r w:rsidR="00AF4DF6">
        <w:rPr>
          <w:rFonts w:ascii="Times New Roman" w:eastAsia="SimSun" w:hAnsi="Times New Roman"/>
        </w:rPr>
        <w:t>Dr. </w:t>
      </w:r>
      <w:r w:rsidR="009F2EED">
        <w:rPr>
          <w:rFonts w:ascii="Times New Roman" w:eastAsia="SimSun" w:hAnsi="Times New Roman"/>
        </w:rPr>
        <w:t>Michael J.</w:t>
      </w:r>
      <w:r w:rsidR="00AF4DF6">
        <w:rPr>
          <w:rFonts w:ascii="Times New Roman" w:eastAsia="SimSun" w:hAnsi="Times New Roman"/>
        </w:rPr>
        <w:t xml:space="preserve"> Vilbert</w:t>
      </w:r>
      <w:r w:rsidR="009F2EED">
        <w:rPr>
          <w:rFonts w:ascii="Times New Roman" w:eastAsia="SimSun" w:hAnsi="Times New Roman"/>
        </w:rPr>
        <w:t>, Exhibit No</w:t>
      </w:r>
      <w:proofErr w:type="gramStart"/>
      <w:r w:rsidR="009F2EED">
        <w:rPr>
          <w:rFonts w:ascii="Times New Roman" w:eastAsia="SimSun" w:hAnsi="Times New Roman"/>
        </w:rPr>
        <w:t>. </w:t>
      </w:r>
      <w:proofErr w:type="gramEnd"/>
      <w:r w:rsidR="009F2EED">
        <w:rPr>
          <w:rFonts w:ascii="Times New Roman" w:eastAsia="SimSun" w:hAnsi="Times New Roman"/>
        </w:rPr>
        <w:t>__</w:t>
      </w:r>
      <w:proofErr w:type="gramStart"/>
      <w:r w:rsidR="009F2EED">
        <w:rPr>
          <w:rFonts w:ascii="Times New Roman" w:eastAsia="SimSun" w:hAnsi="Times New Roman"/>
        </w:rPr>
        <w:t>_(</w:t>
      </w:r>
      <w:proofErr w:type="gramEnd"/>
      <w:r w:rsidR="009F2EED">
        <w:rPr>
          <w:rFonts w:ascii="Times New Roman" w:eastAsia="SimSun" w:hAnsi="Times New Roman"/>
        </w:rPr>
        <w:t xml:space="preserve">MJV-1T), </w:t>
      </w:r>
      <w:r w:rsidRPr="00EE3ECD">
        <w:rPr>
          <w:rFonts w:ascii="Times New Roman" w:eastAsia="SimSun" w:hAnsi="Times New Roman"/>
        </w:rPr>
        <w:t>demonstrat</w:t>
      </w:r>
      <w:r w:rsidR="00AF4DF6">
        <w:rPr>
          <w:rFonts w:ascii="Times New Roman" w:eastAsia="SimSun" w:hAnsi="Times New Roman"/>
        </w:rPr>
        <w:t>e</w:t>
      </w:r>
      <w:r w:rsidR="001541BE">
        <w:rPr>
          <w:rFonts w:ascii="Times New Roman" w:eastAsia="SimSun" w:hAnsi="Times New Roman"/>
        </w:rPr>
        <w:t>s</w:t>
      </w:r>
      <w:r w:rsidR="00AF4DF6">
        <w:rPr>
          <w:rFonts w:ascii="Times New Roman" w:eastAsia="SimSun" w:hAnsi="Times New Roman"/>
        </w:rPr>
        <w:t xml:space="preserve"> </w:t>
      </w:r>
      <w:r w:rsidRPr="00EE3ECD">
        <w:rPr>
          <w:rFonts w:ascii="Times New Roman" w:eastAsia="SimSun" w:hAnsi="Times New Roman"/>
        </w:rPr>
        <w:t xml:space="preserve">that: </w:t>
      </w:r>
    </w:p>
    <w:p w:rsidR="00AF4DF6"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(1</w:t>
      </w:r>
      <w:r w:rsidR="00DF0A93" w:rsidRPr="00EE3ECD">
        <w:rPr>
          <w:rFonts w:ascii="Times New Roman" w:eastAsia="SimSun" w:hAnsi="Times New Roman"/>
        </w:rPr>
        <w:t>)</w:t>
      </w:r>
      <w:r>
        <w:rPr>
          <w:rFonts w:ascii="Times New Roman" w:eastAsia="SimSun" w:hAnsi="Times New Roman"/>
        </w:rPr>
        <w:tab/>
      </w:r>
      <w:proofErr w:type="gramStart"/>
      <w:r w:rsidR="00DF0A93" w:rsidRPr="00EE3ECD">
        <w:rPr>
          <w:rFonts w:ascii="Times New Roman" w:eastAsia="SimSun" w:hAnsi="Times New Roman"/>
        </w:rPr>
        <w:t>statistical</w:t>
      </w:r>
      <w:proofErr w:type="gramEnd"/>
      <w:r w:rsidR="00DF0A93" w:rsidRPr="00EE3ECD">
        <w:rPr>
          <w:rFonts w:ascii="Times New Roman" w:eastAsia="SimSun" w:hAnsi="Times New Roman"/>
        </w:rPr>
        <w:t xml:space="preserve"> studies have been performed on both the gas and electric </w:t>
      </w:r>
      <w:r>
        <w:rPr>
          <w:rFonts w:ascii="Times New Roman" w:eastAsia="SimSun" w:hAnsi="Times New Roman"/>
        </w:rPr>
        <w:t xml:space="preserve">industries </w:t>
      </w:r>
      <w:r w:rsidR="00DF0A93" w:rsidRPr="00EE3ECD">
        <w:rPr>
          <w:rFonts w:ascii="Times New Roman" w:eastAsia="SimSun" w:hAnsi="Times New Roman"/>
        </w:rPr>
        <w:t>and do not support the contention that decoupling reduces cost of capital;</w:t>
      </w:r>
    </w:p>
    <w:p w:rsidR="00AF4DF6"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w:t>
      </w:r>
      <w:r w:rsidR="00DF0A93" w:rsidRPr="00EE3ECD">
        <w:rPr>
          <w:rFonts w:ascii="Times New Roman" w:eastAsia="SimSun" w:hAnsi="Times New Roman"/>
        </w:rPr>
        <w:t>2)</w:t>
      </w:r>
      <w:r>
        <w:rPr>
          <w:rFonts w:ascii="Times New Roman" w:eastAsia="SimSun" w:hAnsi="Times New Roman"/>
        </w:rPr>
        <w:tab/>
      </w:r>
      <w:r w:rsidR="00DF0A93" w:rsidRPr="00EE3ECD">
        <w:rPr>
          <w:rFonts w:ascii="Times New Roman" w:eastAsia="SimSun" w:hAnsi="Times New Roman"/>
        </w:rPr>
        <w:t>any measurable impact of decoupling on cost of capital</w:t>
      </w:r>
      <w:r>
        <w:rPr>
          <w:rFonts w:ascii="Times New Roman" w:eastAsia="SimSun" w:hAnsi="Times New Roman"/>
        </w:rPr>
        <w:t>, if any,</w:t>
      </w:r>
      <w:r w:rsidR="00DF0A93" w:rsidRPr="00EE3ECD">
        <w:rPr>
          <w:rFonts w:ascii="Times New Roman" w:eastAsia="SimSun" w:hAnsi="Times New Roman"/>
        </w:rPr>
        <w:t xml:space="preserve"> cannot be distinguished or allocated in any factual manner between the cost of debt and the cost of equity that comprise the overall cost of capital; </w:t>
      </w:r>
    </w:p>
    <w:p w:rsidR="004B5A29"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w:t>
      </w:r>
      <w:r w:rsidR="00DF0A93" w:rsidRPr="00EE3ECD">
        <w:rPr>
          <w:rFonts w:ascii="Times New Roman" w:eastAsia="SimSun" w:hAnsi="Times New Roman"/>
        </w:rPr>
        <w:t>3)</w:t>
      </w:r>
      <w:r>
        <w:rPr>
          <w:rFonts w:ascii="Times New Roman" w:eastAsia="SimSun" w:hAnsi="Times New Roman"/>
        </w:rPr>
        <w:tab/>
      </w:r>
      <w:r w:rsidR="00DF0A93" w:rsidRPr="00EE3ECD">
        <w:rPr>
          <w:rFonts w:ascii="Times New Roman" w:eastAsia="SimSun" w:hAnsi="Times New Roman"/>
        </w:rPr>
        <w:t>decoupling mechanisms, as well as other alternative forms of ratemaking, are common among electric and natural gas utilities, including the peer group</w:t>
      </w:r>
      <w:r>
        <w:rPr>
          <w:rFonts w:ascii="Times New Roman" w:eastAsia="SimSun" w:hAnsi="Times New Roman"/>
        </w:rPr>
        <w:t>s</w:t>
      </w:r>
      <w:r w:rsidR="00DF0A93" w:rsidRPr="00EE3ECD">
        <w:rPr>
          <w:rFonts w:ascii="Times New Roman" w:eastAsia="SimSun" w:hAnsi="Times New Roman"/>
        </w:rPr>
        <w:t xml:space="preserve"> that Dr.</w:t>
      </w:r>
      <w:r>
        <w:rPr>
          <w:rFonts w:ascii="Times New Roman" w:eastAsia="SimSun" w:hAnsi="Times New Roman"/>
        </w:rPr>
        <w:t> </w:t>
      </w:r>
      <w:r w:rsidR="00DF0A93" w:rsidRPr="00EE3ECD">
        <w:rPr>
          <w:rFonts w:ascii="Times New Roman" w:eastAsia="SimSun" w:hAnsi="Times New Roman"/>
        </w:rPr>
        <w:t>Morin uses in his cost of capital stud</w:t>
      </w:r>
      <w:r>
        <w:rPr>
          <w:rFonts w:ascii="Times New Roman" w:eastAsia="SimSun" w:hAnsi="Times New Roman"/>
        </w:rPr>
        <w:t>ies</w:t>
      </w:r>
      <w:r w:rsidR="004B5A29">
        <w:rPr>
          <w:rFonts w:ascii="Times New Roman" w:eastAsia="SimSun" w:hAnsi="Times New Roman"/>
        </w:rPr>
        <w:t xml:space="preserve">; </w:t>
      </w:r>
      <w:r w:rsidR="004B5A29" w:rsidRPr="00EE3ECD">
        <w:rPr>
          <w:rFonts w:ascii="Times New Roman" w:eastAsia="SimSun" w:hAnsi="Times New Roman"/>
        </w:rPr>
        <w:t>and</w:t>
      </w:r>
    </w:p>
    <w:p w:rsidR="00AF4DF6" w:rsidRDefault="004B5A29" w:rsidP="00AF4DF6">
      <w:pPr>
        <w:pStyle w:val="answer"/>
        <w:spacing w:after="280" w:line="240" w:lineRule="auto"/>
        <w:ind w:left="2160" w:right="720"/>
        <w:rPr>
          <w:rFonts w:ascii="Times New Roman" w:eastAsia="SimSun" w:hAnsi="Times New Roman"/>
        </w:rPr>
      </w:pPr>
      <w:r>
        <w:rPr>
          <w:rFonts w:ascii="Times New Roman" w:eastAsia="SimSun" w:hAnsi="Times New Roman"/>
        </w:rPr>
        <w:t>(4)</w:t>
      </w:r>
      <w:r>
        <w:rPr>
          <w:rFonts w:ascii="Times New Roman" w:eastAsia="SimSun" w:hAnsi="Times New Roman"/>
        </w:rPr>
        <w:tab/>
      </w:r>
      <w:proofErr w:type="gramStart"/>
      <w:r>
        <w:rPr>
          <w:rFonts w:ascii="Times New Roman" w:eastAsia="SimSun" w:hAnsi="Times New Roman"/>
        </w:rPr>
        <w:t>since</w:t>
      </w:r>
      <w:proofErr w:type="gramEnd"/>
      <w:r>
        <w:rPr>
          <w:rFonts w:ascii="Times New Roman" w:eastAsia="SimSun" w:hAnsi="Times New Roman"/>
        </w:rPr>
        <w:t xml:space="preserve"> 2011, only one commission order resulted in a utility</w:t>
      </w:r>
      <w:r w:rsidR="00A14EBD">
        <w:rPr>
          <w:rFonts w:ascii="Times New Roman" w:eastAsia="SimSun" w:hAnsi="Times New Roman"/>
        </w:rPr>
        <w:t>’</w:t>
      </w:r>
      <w:r>
        <w:rPr>
          <w:rFonts w:ascii="Times New Roman" w:eastAsia="SimSun" w:hAnsi="Times New Roman"/>
        </w:rPr>
        <w:t>s ROE being reduced as a result of decoupling</w:t>
      </w:r>
      <w:r w:rsidR="00BD183D">
        <w:rPr>
          <w:rFonts w:ascii="Times New Roman" w:eastAsia="SimSun" w:hAnsi="Times New Roman"/>
        </w:rPr>
        <w:t>.</w:t>
      </w:r>
    </w:p>
    <w:p w:rsidR="00DF0A93" w:rsidRPr="00EE3ECD" w:rsidRDefault="00DF0A93" w:rsidP="00AF4DF6">
      <w:pPr>
        <w:pStyle w:val="answer"/>
        <w:ind w:firstLine="0"/>
        <w:rPr>
          <w:rFonts w:ascii="Times New Roman" w:eastAsia="SimSun" w:hAnsi="Times New Roman"/>
        </w:rPr>
      </w:pPr>
      <w:r w:rsidRPr="00EE3ECD">
        <w:rPr>
          <w:rFonts w:ascii="Times New Roman" w:eastAsia="SimSun" w:hAnsi="Times New Roman"/>
        </w:rPr>
        <w:t xml:space="preserve">Regarding </w:t>
      </w:r>
      <w:r w:rsidR="00357CD7">
        <w:rPr>
          <w:rFonts w:ascii="Times New Roman" w:eastAsia="SimSun" w:hAnsi="Times New Roman"/>
        </w:rPr>
        <w:t xml:space="preserve">point </w:t>
      </w:r>
      <w:r w:rsidR="00AD1325">
        <w:rPr>
          <w:rFonts w:ascii="Times New Roman" w:eastAsia="SimSun" w:hAnsi="Times New Roman"/>
        </w:rPr>
        <w:t xml:space="preserve">(3) </w:t>
      </w:r>
      <w:r w:rsidRPr="00EE3ECD">
        <w:rPr>
          <w:rFonts w:ascii="Times New Roman" w:eastAsia="SimSun" w:hAnsi="Times New Roman"/>
        </w:rPr>
        <w:t xml:space="preserve">above, it would be inappropriate </w:t>
      </w:r>
      <w:proofErr w:type="gramStart"/>
      <w:r w:rsidRPr="00EE3ECD">
        <w:rPr>
          <w:rFonts w:ascii="Times New Roman" w:eastAsia="SimSun" w:hAnsi="Times New Roman"/>
        </w:rPr>
        <w:t>double</w:t>
      </w:r>
      <w:r w:rsidR="00AF4DF6">
        <w:rPr>
          <w:rFonts w:ascii="Times New Roman" w:eastAsia="SimSun" w:hAnsi="Times New Roman"/>
        </w:rPr>
        <w:t>-</w:t>
      </w:r>
      <w:r w:rsidRPr="00EE3ECD">
        <w:rPr>
          <w:rFonts w:ascii="Times New Roman" w:eastAsia="SimSun" w:hAnsi="Times New Roman"/>
        </w:rPr>
        <w:t>counting</w:t>
      </w:r>
      <w:proofErr w:type="gramEnd"/>
      <w:r w:rsidRPr="00EE3ECD">
        <w:rPr>
          <w:rFonts w:ascii="Times New Roman" w:eastAsia="SimSun" w:hAnsi="Times New Roman"/>
        </w:rPr>
        <w:t xml:space="preserve"> to include an additional decrement in </w:t>
      </w:r>
      <w:r w:rsidR="00AF4DF6">
        <w:rPr>
          <w:rFonts w:ascii="Times New Roman" w:eastAsia="SimSun" w:hAnsi="Times New Roman"/>
        </w:rPr>
        <w:t xml:space="preserve">cost of capital </w:t>
      </w:r>
      <w:r w:rsidRPr="00EE3ECD">
        <w:rPr>
          <w:rFonts w:ascii="Times New Roman" w:eastAsia="SimSun" w:hAnsi="Times New Roman"/>
        </w:rPr>
        <w:t xml:space="preserve">for decoupling, when decoupling and these other alternative rate making mechanisms are already factored into the results of the </w:t>
      </w:r>
      <w:r w:rsidR="00AF4DF6">
        <w:rPr>
          <w:rFonts w:ascii="Times New Roman" w:eastAsia="SimSun" w:hAnsi="Times New Roman"/>
        </w:rPr>
        <w:t>overall cost of capital study.</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Please</w:t>
      </w:r>
      <w:proofErr w:type="gramEnd"/>
      <w:r w:rsidRPr="00EE3ECD">
        <w:rPr>
          <w:rFonts w:ascii="Times New Roman" w:eastAsia="SimSun" w:hAnsi="Times New Roman"/>
        </w:rPr>
        <w:t xml:space="preserve"> introduce the other witnesses who are </w:t>
      </w:r>
      <w:r w:rsidR="00357CD7" w:rsidRPr="00EE3ECD">
        <w:rPr>
          <w:rFonts w:ascii="Times New Roman" w:eastAsia="SimSun" w:hAnsi="Times New Roman"/>
        </w:rPr>
        <w:t>present</w:t>
      </w:r>
      <w:r w:rsidR="00357CD7">
        <w:rPr>
          <w:rFonts w:ascii="Times New Roman" w:eastAsia="SimSun" w:hAnsi="Times New Roman"/>
        </w:rPr>
        <w:t>ing</w:t>
      </w:r>
      <w:r w:rsidR="00357CD7" w:rsidRPr="00EE3ECD">
        <w:rPr>
          <w:rFonts w:ascii="Times New Roman" w:eastAsia="SimSun" w:hAnsi="Times New Roman"/>
        </w:rPr>
        <w:t xml:space="preserve"> </w:t>
      </w:r>
      <w:r w:rsidRPr="00EE3ECD">
        <w:rPr>
          <w:rFonts w:ascii="Times New Roman" w:eastAsia="SimSun" w:hAnsi="Times New Roman"/>
        </w:rPr>
        <w:t>testimony in this case.</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B623C5">
        <w:rPr>
          <w:rFonts w:ascii="Times New Roman" w:eastAsia="SimSun" w:hAnsi="Times New Roman"/>
        </w:rPr>
        <w:t>In addition to Dr. Morin and Dr. Vilbert, PSE is prof</w:t>
      </w:r>
      <w:r w:rsidR="00357CD7">
        <w:rPr>
          <w:rFonts w:ascii="Times New Roman" w:eastAsia="SimSun" w:hAnsi="Times New Roman"/>
        </w:rPr>
        <w:t>f</w:t>
      </w:r>
      <w:r w:rsidR="00B623C5">
        <w:rPr>
          <w:rFonts w:ascii="Times New Roman" w:eastAsia="SimSun" w:hAnsi="Times New Roman"/>
        </w:rPr>
        <w:t xml:space="preserve">ering the </w:t>
      </w:r>
      <w:proofErr w:type="spellStart"/>
      <w:r w:rsidR="00B623C5">
        <w:rPr>
          <w:rFonts w:ascii="Times New Roman" w:eastAsia="SimSun" w:hAnsi="Times New Roman"/>
        </w:rPr>
        <w:t>Prefiled</w:t>
      </w:r>
      <w:proofErr w:type="spellEnd"/>
      <w:r w:rsidR="00B623C5">
        <w:rPr>
          <w:rFonts w:ascii="Times New Roman" w:eastAsia="SimSun" w:hAnsi="Times New Roman"/>
        </w:rPr>
        <w:t xml:space="preserve"> Direct Testimony of Mr. </w:t>
      </w:r>
      <w:r w:rsidRPr="00EE3ECD">
        <w:rPr>
          <w:rFonts w:ascii="Times New Roman" w:eastAsia="SimSun" w:hAnsi="Times New Roman"/>
        </w:rPr>
        <w:t>Brandon</w:t>
      </w:r>
      <w:r w:rsidR="00B623C5">
        <w:rPr>
          <w:rFonts w:ascii="Times New Roman" w:eastAsia="SimSun" w:hAnsi="Times New Roman"/>
        </w:rPr>
        <w:t xml:space="preserve"> J. </w:t>
      </w:r>
      <w:r w:rsidRPr="00EE3ECD">
        <w:rPr>
          <w:rFonts w:ascii="Times New Roman" w:eastAsia="SimSun" w:hAnsi="Times New Roman"/>
        </w:rPr>
        <w:t xml:space="preserve">Lohse, </w:t>
      </w:r>
      <w:r w:rsidR="00B623C5">
        <w:rPr>
          <w:rFonts w:ascii="Times New Roman" w:eastAsia="SimSun" w:hAnsi="Times New Roman"/>
        </w:rPr>
        <w:t>Exhibit No</w:t>
      </w:r>
      <w:proofErr w:type="gramStart"/>
      <w:r w:rsidR="00B623C5">
        <w:rPr>
          <w:rFonts w:ascii="Times New Roman" w:eastAsia="SimSun" w:hAnsi="Times New Roman"/>
        </w:rPr>
        <w:t>. </w:t>
      </w:r>
      <w:proofErr w:type="gramEnd"/>
      <w:r w:rsidR="00B623C5">
        <w:rPr>
          <w:rFonts w:ascii="Times New Roman" w:eastAsia="SimSun" w:hAnsi="Times New Roman"/>
        </w:rPr>
        <w:t>__</w:t>
      </w:r>
      <w:proofErr w:type="gramStart"/>
      <w:r w:rsidR="00B623C5">
        <w:rPr>
          <w:rFonts w:ascii="Times New Roman" w:eastAsia="SimSun" w:hAnsi="Times New Roman"/>
        </w:rPr>
        <w:t>_(</w:t>
      </w:r>
      <w:proofErr w:type="gramEnd"/>
      <w:r w:rsidR="00B623C5">
        <w:rPr>
          <w:rFonts w:ascii="Times New Roman" w:eastAsia="SimSun" w:hAnsi="Times New Roman"/>
        </w:rPr>
        <w:t xml:space="preserve">BJL-1T).  Mr. Lohse is </w:t>
      </w: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 Corporate Treasurer,</w:t>
      </w:r>
      <w:r w:rsidR="00B623C5">
        <w:rPr>
          <w:rFonts w:ascii="Times New Roman" w:eastAsia="SimSun" w:hAnsi="Times New Roman"/>
        </w:rPr>
        <w:t xml:space="preserve"> and his </w:t>
      </w:r>
      <w:r w:rsidRPr="00EE3ECD">
        <w:rPr>
          <w:rFonts w:ascii="Times New Roman" w:eastAsia="SimSun" w:hAnsi="Times New Roman"/>
        </w:rPr>
        <w:t xml:space="preserve">testimony and </w:t>
      </w:r>
      <w:r w:rsidR="00B623C5">
        <w:rPr>
          <w:rFonts w:ascii="Times New Roman" w:eastAsia="SimSun" w:hAnsi="Times New Roman"/>
        </w:rPr>
        <w:t xml:space="preserve">supporting </w:t>
      </w:r>
      <w:r w:rsidRPr="00EE3ECD">
        <w:rPr>
          <w:rFonts w:ascii="Times New Roman" w:eastAsia="SimSun" w:hAnsi="Times New Roman"/>
        </w:rPr>
        <w:t>exhibits demonstrat</w:t>
      </w:r>
      <w:r w:rsidR="00357CD7">
        <w:rPr>
          <w:rFonts w:ascii="Times New Roman" w:eastAsia="SimSun" w:hAnsi="Times New Roman"/>
        </w:rPr>
        <w:t>e</w:t>
      </w:r>
      <w:r w:rsidRPr="00EE3ECD">
        <w:rPr>
          <w:rFonts w:ascii="Times New Roman" w:eastAsia="SimSun" w:hAnsi="Times New Roman"/>
        </w:rPr>
        <w:t xml:space="preserve"> that the equity component in PSE</w:t>
      </w:r>
      <w:r w:rsidR="00A14EBD">
        <w:rPr>
          <w:rFonts w:ascii="Times New Roman" w:eastAsia="SimSun" w:hAnsi="Times New Roman"/>
        </w:rPr>
        <w:t>’</w:t>
      </w:r>
      <w:r w:rsidRPr="00EE3ECD">
        <w:rPr>
          <w:rFonts w:ascii="Times New Roman" w:eastAsia="SimSun" w:hAnsi="Times New Roman"/>
        </w:rPr>
        <w:t>s capital structure was above 48</w:t>
      </w:r>
      <w:r w:rsidR="00B623C5">
        <w:rPr>
          <w:rFonts w:ascii="Times New Roman" w:eastAsia="SimSun" w:hAnsi="Times New Roman"/>
        </w:rPr>
        <w:t> </w:t>
      </w:r>
      <w:r w:rsidRPr="00EE3ECD">
        <w:rPr>
          <w:rFonts w:ascii="Times New Roman" w:eastAsia="SimSun" w:hAnsi="Times New Roman"/>
        </w:rPr>
        <w:t>percent as of March</w:t>
      </w:r>
      <w:r w:rsidR="00B623C5">
        <w:rPr>
          <w:rFonts w:ascii="Times New Roman" w:eastAsia="SimSun" w:hAnsi="Times New Roman"/>
        </w:rPr>
        <w:t> </w:t>
      </w:r>
      <w:r w:rsidRPr="00EE3ECD">
        <w:rPr>
          <w:rFonts w:ascii="Times New Roman" w:eastAsia="SimSun" w:hAnsi="Times New Roman"/>
        </w:rPr>
        <w:t>31, 2013, and remains above 48</w:t>
      </w:r>
      <w:r w:rsidR="00B623C5">
        <w:rPr>
          <w:rFonts w:ascii="Times New Roman" w:eastAsia="SimSun" w:hAnsi="Times New Roman"/>
        </w:rPr>
        <w:t> </w:t>
      </w:r>
      <w:r w:rsidRPr="00EE3ECD">
        <w:rPr>
          <w:rFonts w:ascii="Times New Roman" w:eastAsia="SimSun" w:hAnsi="Times New Roman"/>
        </w:rPr>
        <w:t>percent at September</w:t>
      </w:r>
      <w:r w:rsidR="00B623C5">
        <w:rPr>
          <w:rFonts w:ascii="Times New Roman" w:eastAsia="SimSun" w:hAnsi="Times New Roman"/>
        </w:rPr>
        <w:t> </w:t>
      </w:r>
      <w:r w:rsidRPr="00EE3ECD">
        <w:rPr>
          <w:rFonts w:ascii="Times New Roman" w:eastAsia="SimSun" w:hAnsi="Times New Roman"/>
        </w:rPr>
        <w:t xml:space="preserve">30, </w:t>
      </w:r>
      <w:r w:rsidRPr="00EE3ECD">
        <w:rPr>
          <w:rFonts w:ascii="Times New Roman" w:eastAsia="SimSun" w:hAnsi="Times New Roman"/>
        </w:rPr>
        <w:lastRenderedPageBreak/>
        <w:t>2014.  Mr.</w:t>
      </w:r>
      <w:r w:rsidR="00B623C5">
        <w:rPr>
          <w:rFonts w:ascii="Times New Roman" w:eastAsia="SimSun" w:hAnsi="Times New Roman"/>
        </w:rPr>
        <w:t> </w:t>
      </w:r>
      <w:r w:rsidRPr="00EE3ECD">
        <w:rPr>
          <w:rFonts w:ascii="Times New Roman" w:eastAsia="SimSun" w:hAnsi="Times New Roman"/>
        </w:rPr>
        <w:t>Lohse also presents testimony with respect to PSE</w:t>
      </w:r>
      <w:r w:rsidR="00A14EBD">
        <w:rPr>
          <w:rFonts w:ascii="Times New Roman" w:eastAsia="SimSun" w:hAnsi="Times New Roman"/>
        </w:rPr>
        <w:t>’</w:t>
      </w:r>
      <w:r w:rsidRPr="00EE3ECD">
        <w:rPr>
          <w:rFonts w:ascii="Times New Roman" w:eastAsia="SimSun" w:hAnsi="Times New Roman"/>
        </w:rPr>
        <w:t xml:space="preserve">s debt costs, which PSE adjusted in 2013 to reflect the lower cost of debt for </w:t>
      </w:r>
      <w:proofErr w:type="gramStart"/>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refinanced </w:t>
      </w:r>
      <w:r w:rsidR="002B6819">
        <w:rPr>
          <w:rFonts w:ascii="Times New Roman" w:eastAsia="SimSun" w:hAnsi="Times New Roman"/>
        </w:rPr>
        <w:t>P</w:t>
      </w:r>
      <w:r w:rsidRPr="00EE3ECD">
        <w:rPr>
          <w:rFonts w:ascii="Times New Roman" w:eastAsia="SimSun" w:hAnsi="Times New Roman"/>
        </w:rPr>
        <w:t xml:space="preserve">ollution </w:t>
      </w:r>
      <w:r w:rsidR="002B6819">
        <w:rPr>
          <w:rFonts w:ascii="Times New Roman" w:eastAsia="SimSun" w:hAnsi="Times New Roman"/>
        </w:rPr>
        <w:t>C</w:t>
      </w:r>
      <w:r w:rsidRPr="00EE3ECD">
        <w:rPr>
          <w:rFonts w:ascii="Times New Roman" w:eastAsia="SimSun" w:hAnsi="Times New Roman"/>
        </w:rPr>
        <w:t xml:space="preserve">ontrol </w:t>
      </w:r>
      <w:r w:rsidR="002B6819">
        <w:rPr>
          <w:rFonts w:ascii="Times New Roman" w:eastAsia="SimSun" w:hAnsi="Times New Roman"/>
        </w:rPr>
        <w:t>B</w:t>
      </w:r>
      <w:r w:rsidRPr="00EE3ECD">
        <w:rPr>
          <w:rFonts w:ascii="Times New Roman" w:eastAsia="SimSun" w:hAnsi="Times New Roman"/>
        </w:rPr>
        <w:t xml:space="preserve">onds.  </w:t>
      </w:r>
      <w:r w:rsidR="00B623C5">
        <w:rPr>
          <w:rFonts w:ascii="Times New Roman" w:eastAsia="SimSun" w:hAnsi="Times New Roman"/>
        </w:rPr>
        <w:t xml:space="preserve">Finally, </w:t>
      </w:r>
      <w:r w:rsidRPr="00EE3ECD">
        <w:rPr>
          <w:rFonts w:ascii="Times New Roman" w:eastAsia="SimSun" w:hAnsi="Times New Roman"/>
        </w:rPr>
        <w:t>Mr.</w:t>
      </w:r>
      <w:r w:rsidR="00B623C5">
        <w:rPr>
          <w:rFonts w:ascii="Times New Roman" w:eastAsia="SimSun" w:hAnsi="Times New Roman"/>
        </w:rPr>
        <w:t> </w:t>
      </w:r>
      <w:r w:rsidRPr="00EE3ECD">
        <w:rPr>
          <w:rFonts w:ascii="Times New Roman" w:eastAsia="SimSun" w:hAnsi="Times New Roman"/>
        </w:rPr>
        <w:t xml:space="preserve">Lohse presents evidence in support of </w:t>
      </w:r>
      <w:r w:rsidR="00B623C5">
        <w:rPr>
          <w:rFonts w:ascii="Times New Roman" w:eastAsia="SimSun" w:hAnsi="Times New Roman"/>
        </w:rPr>
        <w:t>PSE</w:t>
      </w:r>
      <w:r w:rsidR="00A14EBD">
        <w:rPr>
          <w:rFonts w:ascii="Times New Roman" w:eastAsia="SimSun" w:hAnsi="Times New Roman"/>
        </w:rPr>
        <w:t>’</w:t>
      </w:r>
      <w:r w:rsidR="00B623C5">
        <w:rPr>
          <w:rFonts w:ascii="Times New Roman" w:eastAsia="SimSun" w:hAnsi="Times New Roman"/>
        </w:rPr>
        <w:t xml:space="preserve">s </w:t>
      </w:r>
      <w:r w:rsidRPr="00EE3ECD">
        <w:rPr>
          <w:rFonts w:ascii="Times New Roman" w:eastAsia="SimSun" w:hAnsi="Times New Roman"/>
        </w:rPr>
        <w:t xml:space="preserve">currently </w:t>
      </w:r>
      <w:r w:rsidR="00B623C5">
        <w:rPr>
          <w:rFonts w:ascii="Times New Roman" w:eastAsia="SimSun" w:hAnsi="Times New Roman"/>
        </w:rPr>
        <w:t xml:space="preserve">authorized </w:t>
      </w:r>
      <w:r w:rsidRPr="00EE3ECD">
        <w:rPr>
          <w:rFonts w:ascii="Times New Roman" w:eastAsia="SimSun" w:hAnsi="Times New Roman"/>
        </w:rPr>
        <w:t>rate of return of 7.77</w:t>
      </w:r>
      <w:r w:rsidR="00E342C3">
        <w:rPr>
          <w:rFonts w:ascii="Times New Roman" w:eastAsia="SimSun" w:hAnsi="Times New Roman"/>
        </w:rPr>
        <w:t> percent</w:t>
      </w:r>
      <w:r w:rsidRPr="00EE3ECD">
        <w:rPr>
          <w:rFonts w:ascii="Times New Roman" w:eastAsia="SimSun" w:hAnsi="Times New Roman"/>
        </w:rPr>
        <w:t xml:space="preserve">, which includes the </w:t>
      </w:r>
      <w:r w:rsidR="00B623C5">
        <w:rPr>
          <w:rFonts w:ascii="Times New Roman" w:eastAsia="SimSun" w:hAnsi="Times New Roman"/>
        </w:rPr>
        <w:t xml:space="preserve">authorized ROE of </w:t>
      </w:r>
      <w:r w:rsidRPr="00EE3ECD">
        <w:rPr>
          <w:rFonts w:ascii="Times New Roman" w:eastAsia="SimSun" w:hAnsi="Times New Roman"/>
        </w:rPr>
        <w:t>9.8</w:t>
      </w:r>
      <w:r w:rsidR="00B623C5">
        <w:rPr>
          <w:rFonts w:ascii="Times New Roman" w:eastAsia="SimSun" w:hAnsi="Times New Roman"/>
        </w:rPr>
        <w:t xml:space="preserve"> percent </w:t>
      </w:r>
      <w:r w:rsidRPr="00EE3ECD">
        <w:rPr>
          <w:rFonts w:ascii="Times New Roman" w:eastAsia="SimSun" w:hAnsi="Times New Roman"/>
        </w:rPr>
        <w:t xml:space="preserve">addressed in </w:t>
      </w:r>
      <w:r w:rsidR="00B623C5">
        <w:rPr>
          <w:rFonts w:ascii="Times New Roman" w:eastAsia="SimSun" w:hAnsi="Times New Roman"/>
        </w:rPr>
        <w:t>D</w:t>
      </w:r>
      <w:r w:rsidRPr="00EE3ECD">
        <w:rPr>
          <w:rFonts w:ascii="Times New Roman" w:eastAsia="SimSun" w:hAnsi="Times New Roman"/>
        </w:rPr>
        <w:t>r.</w:t>
      </w:r>
      <w:r w:rsidR="00B623C5">
        <w:rPr>
          <w:rFonts w:ascii="Times New Roman" w:eastAsia="SimSun" w:hAnsi="Times New Roman"/>
        </w:rPr>
        <w:t> </w:t>
      </w:r>
      <w:r w:rsidRPr="00EE3ECD">
        <w:rPr>
          <w:rFonts w:ascii="Times New Roman" w:eastAsia="SimSun" w:hAnsi="Times New Roman"/>
        </w:rPr>
        <w:t>Morin</w:t>
      </w:r>
      <w:r w:rsidR="00A14EBD">
        <w:rPr>
          <w:rFonts w:ascii="Times New Roman" w:eastAsia="SimSun" w:hAnsi="Times New Roman"/>
        </w:rPr>
        <w:t>’</w:t>
      </w:r>
      <w:r w:rsidRPr="00EE3ECD">
        <w:rPr>
          <w:rFonts w:ascii="Times New Roman" w:eastAsia="SimSun" w:hAnsi="Times New Roman"/>
        </w:rPr>
        <w:t>s testimony.</w:t>
      </w:r>
    </w:p>
    <w:p w:rsidR="00DF0A93" w:rsidRPr="00EE3ECD" w:rsidRDefault="00DF0A93" w:rsidP="00DF0A93">
      <w:pPr>
        <w:pStyle w:val="Heading1"/>
        <w:spacing w:after="360" w:line="240" w:lineRule="auto"/>
        <w:rPr>
          <w:rFonts w:ascii="Times New Roman" w:eastAsia="SimSun" w:hAnsi="Times New Roman"/>
        </w:rPr>
      </w:pPr>
      <w:bookmarkStart w:id="3" w:name="_Toc402867747"/>
      <w:r w:rsidRPr="00EE3ECD">
        <w:rPr>
          <w:rFonts w:ascii="Times New Roman" w:eastAsia="SimSun" w:hAnsi="Times New Roman"/>
        </w:rPr>
        <w:t>III.</w:t>
      </w:r>
      <w:r w:rsidRPr="00EE3ECD">
        <w:rPr>
          <w:rFonts w:ascii="Times New Roman" w:eastAsia="SimSun" w:hAnsi="Times New Roman"/>
        </w:rPr>
        <w:tab/>
        <w:t xml:space="preserve">OVERVIEW OF </w:t>
      </w:r>
      <w:r w:rsidR="00B623C5">
        <w:rPr>
          <w:rFonts w:ascii="Times New Roman" w:eastAsia="SimSun" w:hAnsi="Times New Roman"/>
        </w:rPr>
        <w:t xml:space="preserve">THE AUTHORIZED RATE OF RETURN THAT </w:t>
      </w:r>
      <w:r w:rsidRPr="00EE3ECD">
        <w:rPr>
          <w:rFonts w:ascii="Times New Roman" w:eastAsia="SimSun" w:hAnsi="Times New Roman"/>
        </w:rPr>
        <w:t>PSE IS REQUESTING IN THIS PROCEEDING</w:t>
      </w:r>
      <w:bookmarkEnd w:id="3"/>
    </w:p>
    <w:p w:rsidR="00A93F79" w:rsidRPr="007845E6"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r>
      <w:r w:rsidR="00A93F79">
        <w:rPr>
          <w:rFonts w:ascii="Times New Roman" w:eastAsia="SimSun" w:hAnsi="Times New Roman"/>
        </w:rPr>
        <w:t>What is PSE</w:t>
      </w:r>
      <w:r w:rsidR="00A14EBD">
        <w:rPr>
          <w:rFonts w:ascii="Times New Roman" w:eastAsia="SimSun" w:hAnsi="Times New Roman"/>
        </w:rPr>
        <w:t>’</w:t>
      </w:r>
      <w:r w:rsidR="00A93F79">
        <w:rPr>
          <w:rFonts w:ascii="Times New Roman" w:eastAsia="SimSun" w:hAnsi="Times New Roman"/>
        </w:rPr>
        <w:t>s overall authorized rate of return and return on equity?</w:t>
      </w:r>
    </w:p>
    <w:p w:rsidR="00A93F79" w:rsidRPr="00A93F79" w:rsidRDefault="00A93F79" w:rsidP="00A93F79">
      <w:pPr>
        <w:pStyle w:val="answer"/>
        <w:rPr>
          <w:rFonts w:eastAsia="SimSun"/>
        </w:rPr>
      </w:pPr>
      <w:r>
        <w:rPr>
          <w:rFonts w:eastAsia="SimSun"/>
        </w:rPr>
        <w:t>A.</w:t>
      </w:r>
      <w:r>
        <w:rPr>
          <w:rFonts w:eastAsia="SimSun"/>
        </w:rPr>
        <w:tab/>
        <w:t>PSE</w:t>
      </w:r>
      <w:r w:rsidR="00A14EBD">
        <w:rPr>
          <w:rFonts w:eastAsia="SimSun"/>
        </w:rPr>
        <w:t>’</w:t>
      </w:r>
      <w:r>
        <w:rPr>
          <w:rFonts w:eastAsia="SimSun"/>
        </w:rPr>
        <w:t xml:space="preserve">s authorized rate of return </w:t>
      </w:r>
      <w:r w:rsidR="00357CD7">
        <w:rPr>
          <w:rFonts w:eastAsia="SimSun"/>
        </w:rPr>
        <w:t>is 7.77 percent and its authorized return on equity is 9.80 percent.</w:t>
      </w:r>
    </w:p>
    <w:p w:rsidR="00DF0A93" w:rsidRPr="00EE3ECD" w:rsidRDefault="00A93F79" w:rsidP="00C73260">
      <w:pPr>
        <w:pStyle w:val="question"/>
        <w:keepNext/>
        <w:keepLines/>
        <w:spacing w:before="120"/>
        <w:rPr>
          <w:rFonts w:ascii="Times New Roman" w:hAnsi="Times New Roman"/>
        </w:rPr>
      </w:pPr>
      <w:r>
        <w:rPr>
          <w:rFonts w:ascii="Times New Roman" w:eastAsia="SimSun" w:hAnsi="Times New Roman"/>
        </w:rPr>
        <w:t>Q.</w:t>
      </w:r>
      <w:r>
        <w:rPr>
          <w:rFonts w:ascii="Times New Roman" w:eastAsia="SimSun" w:hAnsi="Times New Roman"/>
        </w:rPr>
        <w:tab/>
        <w:t>Is PSE</w:t>
      </w:r>
      <w:r w:rsidR="00357CD7">
        <w:rPr>
          <w:rFonts w:ascii="Times New Roman" w:eastAsia="SimSun" w:hAnsi="Times New Roman"/>
        </w:rPr>
        <w:t xml:space="preserve"> requesting a change to its authorized rate of return or return on equity</w:t>
      </w:r>
      <w:r w:rsidR="00DF0A93" w:rsidRPr="00EE3ECD">
        <w:rPr>
          <w:rFonts w:ascii="Times New Roman" w:eastAsia="SimSun" w:hAnsi="Times New Roman"/>
        </w:rPr>
        <w:t>?</w:t>
      </w:r>
    </w:p>
    <w:p w:rsidR="00DF0A93" w:rsidRDefault="00B623C5" w:rsidP="00C73260">
      <w:pPr>
        <w:pStyle w:val="answer"/>
        <w:rPr>
          <w:rFonts w:ascii="Times New Roman" w:eastAsia="SimSun" w:hAnsi="Times New Roman"/>
        </w:rPr>
      </w:pPr>
      <w:proofErr w:type="gramStart"/>
      <w:r>
        <w:rPr>
          <w:rFonts w:ascii="Times New Roman" w:eastAsia="SimSun" w:hAnsi="Times New Roman"/>
        </w:rPr>
        <w:t>A.</w:t>
      </w:r>
      <w:r>
        <w:rPr>
          <w:rFonts w:ascii="Times New Roman" w:eastAsia="SimSun" w:hAnsi="Times New Roman"/>
        </w:rPr>
        <w:tab/>
      </w:r>
      <w:r w:rsidR="00357CD7">
        <w:rPr>
          <w:rFonts w:ascii="Times New Roman" w:eastAsia="SimSun" w:hAnsi="Times New Roman"/>
        </w:rPr>
        <w:t>No</w:t>
      </w:r>
      <w:r w:rsidR="00A93F79">
        <w:rPr>
          <w:rFonts w:ascii="Times New Roman" w:eastAsia="SimSun" w:hAnsi="Times New Roman"/>
        </w:rPr>
        <w:t>.</w:t>
      </w:r>
      <w:proofErr w:type="gramEnd"/>
      <w:r w:rsidR="00A93F79">
        <w:rPr>
          <w:rFonts w:ascii="Times New Roman" w:eastAsia="SimSun" w:hAnsi="Times New Roman"/>
        </w:rPr>
        <w:t xml:space="preserve">  PSE is requesting that the Commission retain the current 7.77 percent rate of return and the 9.8 percent return on equity approved by the Commission</w:t>
      </w:r>
      <w:r w:rsidR="00C11AA7">
        <w:rPr>
          <w:rFonts w:ascii="Times New Roman" w:eastAsia="SimSun" w:hAnsi="Times New Roman"/>
        </w:rPr>
        <w:t>, although PSE</w:t>
      </w:r>
      <w:r w:rsidR="00A14EBD">
        <w:rPr>
          <w:rFonts w:ascii="Times New Roman" w:eastAsia="SimSun" w:hAnsi="Times New Roman"/>
        </w:rPr>
        <w:t>’</w:t>
      </w:r>
      <w:r w:rsidR="00C11AA7">
        <w:rPr>
          <w:rFonts w:ascii="Times New Roman" w:eastAsia="SimSun" w:hAnsi="Times New Roman"/>
        </w:rPr>
        <w:t>s actual capital structure and rate of return support a higher authorized cost of capital as discussed later in my testimony</w:t>
      </w:r>
      <w:r w:rsidR="007845E6">
        <w:rPr>
          <w:rFonts w:ascii="Times New Roman" w:eastAsia="SimSun" w:hAnsi="Times New Roman"/>
        </w:rPr>
        <w:t>.</w:t>
      </w:r>
    </w:p>
    <w:p w:rsidR="00A93F79" w:rsidRPr="00591ACF" w:rsidRDefault="00A93F79" w:rsidP="00591ACF">
      <w:pPr>
        <w:pStyle w:val="question"/>
        <w:keepNext/>
        <w:keepLines/>
        <w:spacing w:before="120"/>
        <w:rPr>
          <w:rFonts w:ascii="Times New Roman" w:hAnsi="Times New Roman"/>
        </w:rPr>
      </w:pPr>
      <w:r>
        <w:rPr>
          <w:rFonts w:eastAsia="SimSun"/>
        </w:rPr>
        <w:t>Q.</w:t>
      </w:r>
      <w:r>
        <w:rPr>
          <w:rFonts w:eastAsia="SimSun"/>
        </w:rPr>
        <w:tab/>
        <w:t>What was the basis for the currently authorized rate of return and return on equity?</w:t>
      </w:r>
    </w:p>
    <w:p w:rsidR="00A93F79" w:rsidRPr="00A93F79" w:rsidRDefault="00A93F79" w:rsidP="00A93F79">
      <w:pPr>
        <w:pStyle w:val="answer"/>
        <w:rPr>
          <w:rFonts w:eastAsia="SimSun"/>
        </w:rPr>
      </w:pPr>
      <w:r>
        <w:rPr>
          <w:rFonts w:eastAsia="SimSun"/>
        </w:rPr>
        <w:t>A.</w:t>
      </w:r>
      <w:r>
        <w:rPr>
          <w:rFonts w:eastAsia="SimSun"/>
        </w:rPr>
        <w:tab/>
      </w:r>
      <w:r w:rsidR="00357CD7">
        <w:rPr>
          <w:rFonts w:eastAsia="SimSun"/>
        </w:rPr>
        <w:t>The currently authorized rate of</w:t>
      </w:r>
      <w:r>
        <w:rPr>
          <w:rFonts w:eastAsia="SimSun"/>
        </w:rPr>
        <w:t xml:space="preserve"> </w:t>
      </w:r>
      <w:r w:rsidR="00357CD7">
        <w:rPr>
          <w:rFonts w:eastAsia="SimSun"/>
        </w:rPr>
        <w:t>return was set in PSE</w:t>
      </w:r>
      <w:r w:rsidR="00A14EBD">
        <w:rPr>
          <w:rFonts w:eastAsia="SimSun"/>
        </w:rPr>
        <w:t>’</w:t>
      </w:r>
      <w:r w:rsidR="00357CD7">
        <w:rPr>
          <w:rFonts w:eastAsia="SimSun"/>
        </w:rPr>
        <w:t xml:space="preserve">s </w:t>
      </w:r>
      <w:r>
        <w:rPr>
          <w:rFonts w:eastAsia="SimSun"/>
        </w:rPr>
        <w:t xml:space="preserve">2011-2012 </w:t>
      </w:r>
      <w:r w:rsidR="002B6819">
        <w:rPr>
          <w:rFonts w:eastAsia="SimSun"/>
        </w:rPr>
        <w:t>general rate case</w:t>
      </w:r>
      <w:r w:rsidR="007845E6">
        <w:rPr>
          <w:rFonts w:eastAsia="SimSun"/>
        </w:rPr>
        <w:t xml:space="preserve"> </w:t>
      </w:r>
      <w:r w:rsidR="000150E1">
        <w:rPr>
          <w:rFonts w:eastAsia="SimSun"/>
        </w:rPr>
        <w:t>and</w:t>
      </w:r>
      <w:r w:rsidR="00357CD7">
        <w:rPr>
          <w:rFonts w:eastAsia="SimSun"/>
        </w:rPr>
        <w:t xml:space="preserve"> was updated in May at the time of the hearing in this proceeding to reflect </w:t>
      </w:r>
      <w:r w:rsidR="0090740D">
        <w:rPr>
          <w:rFonts w:eastAsia="SimSun"/>
        </w:rPr>
        <w:t xml:space="preserve">a change in </w:t>
      </w:r>
      <w:r w:rsidR="00357CD7">
        <w:rPr>
          <w:rFonts w:eastAsia="SimSun"/>
        </w:rPr>
        <w:t>the cost of long-term debt--</w:t>
      </w:r>
      <w:r w:rsidR="0090740D">
        <w:rPr>
          <w:rFonts w:eastAsia="SimSun"/>
        </w:rPr>
        <w:t xml:space="preserve">specifically, </w:t>
      </w:r>
      <w:r w:rsidR="00357CD7">
        <w:rPr>
          <w:rFonts w:eastAsia="SimSun"/>
        </w:rPr>
        <w:t xml:space="preserve">Pollution Control Bonds that were being refinanced at the time of the hearing.  </w:t>
      </w:r>
      <w:r w:rsidR="007F774A">
        <w:rPr>
          <w:rFonts w:eastAsia="SimSun"/>
        </w:rPr>
        <w:t xml:space="preserve">Table 1 below shows </w:t>
      </w:r>
      <w:r w:rsidR="007F774A">
        <w:rPr>
          <w:rFonts w:eastAsia="SimSun"/>
        </w:rPr>
        <w:lastRenderedPageBreak/>
        <w:t>the capital structure and overall rate of return that was approved in the 2011 general rate case and adjusted for refinancing of Pollution Control Bonds in the 2</w:t>
      </w:r>
      <w:r w:rsidR="007845E6">
        <w:rPr>
          <w:rFonts w:eastAsia="SimSun"/>
        </w:rPr>
        <w:t xml:space="preserve">013 </w:t>
      </w:r>
      <w:proofErr w:type="spellStart"/>
      <w:r w:rsidR="007845E6">
        <w:rPr>
          <w:rFonts w:eastAsia="SimSun"/>
        </w:rPr>
        <w:t>ERF</w:t>
      </w:r>
      <w:proofErr w:type="spellEnd"/>
      <w:r w:rsidR="007845E6">
        <w:rPr>
          <w:rFonts w:eastAsia="SimSun"/>
        </w:rPr>
        <w:t>/Decoupling proceeding</w:t>
      </w:r>
      <w:r w:rsidR="00FE7779">
        <w:rPr>
          <w:rFonts w:eastAsia="SimSun"/>
        </w:rPr>
        <w:t xml:space="preserve">, as set forth in Mr. </w:t>
      </w:r>
      <w:proofErr w:type="spellStart"/>
      <w:r w:rsidR="00FE7779">
        <w:rPr>
          <w:rFonts w:eastAsia="SimSun"/>
        </w:rPr>
        <w:t>Lohse</w:t>
      </w:r>
      <w:r w:rsidR="00A14EBD">
        <w:rPr>
          <w:rFonts w:eastAsia="SimSun"/>
        </w:rPr>
        <w:t>’</w:t>
      </w:r>
      <w:r w:rsidR="00FE7779">
        <w:rPr>
          <w:rFonts w:eastAsia="SimSun"/>
        </w:rPr>
        <w:t>s</w:t>
      </w:r>
      <w:proofErr w:type="spellEnd"/>
      <w:r w:rsidR="00FE7779">
        <w:rPr>
          <w:rFonts w:eastAsia="SimSun"/>
        </w:rPr>
        <w:t xml:space="preserve"> testimony</w:t>
      </w:r>
      <w:r w:rsidR="007845E6">
        <w:rPr>
          <w:rFonts w:eastAsia="SimSun"/>
        </w:rPr>
        <w:t>.</w:t>
      </w:r>
    </w:p>
    <w:p w:rsidR="00DF0A93" w:rsidRPr="0087636B" w:rsidRDefault="00B623C5" w:rsidP="0087636B">
      <w:pPr>
        <w:keepNext/>
        <w:keepLines/>
        <w:spacing w:after="60" w:line="240" w:lineRule="auto"/>
        <w:ind w:firstLine="0"/>
        <w:jc w:val="center"/>
        <w:rPr>
          <w:rFonts w:eastAsia="SimSun"/>
          <w:b/>
        </w:rPr>
      </w:pPr>
      <w:proofErr w:type="gramStart"/>
      <w:r w:rsidRPr="0087636B">
        <w:rPr>
          <w:rFonts w:eastAsia="SimSun"/>
          <w:b/>
        </w:rPr>
        <w:t>Table 1.</w:t>
      </w:r>
      <w:proofErr w:type="gramEnd"/>
      <w:r w:rsidRPr="0087636B">
        <w:rPr>
          <w:rFonts w:eastAsia="SimSun"/>
          <w:b/>
        </w:rPr>
        <w:t xml:space="preserve">  Capital Structure and</w:t>
      </w:r>
      <w:r w:rsidRPr="0087636B">
        <w:rPr>
          <w:rFonts w:eastAsia="SimSun"/>
          <w:b/>
        </w:rPr>
        <w:br/>
        <w:t>Overall Rate of Return</w:t>
      </w:r>
    </w:p>
    <w:tbl>
      <w:tblPr>
        <w:tblStyle w:val="TableGrid"/>
        <w:tblW w:w="6007" w:type="dxa"/>
        <w:jc w:val="center"/>
        <w:tblLook w:val="04A0" w:firstRow="1" w:lastRow="0" w:firstColumn="1" w:lastColumn="0" w:noHBand="0" w:noVBand="1"/>
      </w:tblPr>
      <w:tblGrid>
        <w:gridCol w:w="2537"/>
        <w:gridCol w:w="1203"/>
        <w:gridCol w:w="947"/>
        <w:gridCol w:w="1320"/>
      </w:tblGrid>
      <w:tr w:rsidR="0087636B" w:rsidRPr="0016777A" w:rsidTr="00591ACF">
        <w:trPr>
          <w:jc w:val="center"/>
        </w:trPr>
        <w:tc>
          <w:tcPr>
            <w:tcW w:w="2537"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Capital Component</w:t>
            </w:r>
          </w:p>
        </w:tc>
        <w:tc>
          <w:tcPr>
            <w:tcW w:w="1203"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Capital</w:t>
            </w:r>
            <w:r w:rsidRPr="0016777A">
              <w:rPr>
                <w:rFonts w:eastAsia="SimSun"/>
                <w:b/>
              </w:rPr>
              <w:br/>
              <w:t>Structure</w:t>
            </w:r>
          </w:p>
        </w:tc>
        <w:tc>
          <w:tcPr>
            <w:tcW w:w="947"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Cost</w:t>
            </w:r>
            <w:r w:rsidRPr="0016777A">
              <w:rPr>
                <w:rFonts w:eastAsia="SimSun"/>
                <w:b/>
              </w:rPr>
              <w:br/>
              <w:t>Rate</w:t>
            </w:r>
          </w:p>
        </w:tc>
        <w:tc>
          <w:tcPr>
            <w:tcW w:w="1320"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Weighted</w:t>
            </w:r>
            <w:r w:rsidRPr="0016777A">
              <w:rPr>
                <w:rFonts w:eastAsia="SimSun"/>
                <w:b/>
              </w:rPr>
              <w:br/>
              <w:t>Cost</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Short-</w:t>
            </w:r>
            <w:r>
              <w:rPr>
                <w:rFonts w:eastAsia="SimSun"/>
              </w:rPr>
              <w:t>T</w:t>
            </w:r>
            <w:r w:rsidRPr="00EE3ECD">
              <w:rPr>
                <w:rFonts w:eastAsia="SimSun"/>
              </w:rPr>
              <w:t>erm Debt</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2.68%</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0.11%</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Long-</w:t>
            </w:r>
            <w:r>
              <w:rPr>
                <w:rFonts w:eastAsia="SimSun"/>
              </w:rPr>
              <w:t>T</w:t>
            </w:r>
            <w:r w:rsidRPr="00EE3ECD">
              <w:rPr>
                <w:rFonts w:eastAsia="SimSun"/>
              </w:rPr>
              <w:t>erm Debt</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48.0%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6.16%</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2.96%</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Common Equity</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48.0%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9.80%</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4.70%</w:t>
            </w:r>
          </w:p>
        </w:tc>
      </w:tr>
      <w:tr w:rsidR="0087636B" w:rsidTr="00591ACF">
        <w:trPr>
          <w:jc w:val="center"/>
        </w:trPr>
        <w:tc>
          <w:tcPr>
            <w:tcW w:w="2537" w:type="dxa"/>
          </w:tcPr>
          <w:p w:rsidR="0087636B" w:rsidRDefault="0087636B" w:rsidP="0087636B">
            <w:pPr>
              <w:spacing w:before="60" w:after="60" w:line="240" w:lineRule="auto"/>
              <w:ind w:firstLine="0"/>
              <w:rPr>
                <w:rFonts w:eastAsia="SimSun"/>
              </w:rPr>
            </w:pPr>
            <w:r w:rsidRPr="00EE3ECD">
              <w:rPr>
                <w:rFonts w:eastAsia="SimSun"/>
              </w:rPr>
              <w:t>Overall Rate Of Return</w:t>
            </w:r>
          </w:p>
        </w:tc>
        <w:tc>
          <w:tcPr>
            <w:tcW w:w="1203" w:type="dxa"/>
            <w:vAlign w:val="center"/>
          </w:tcPr>
          <w:p w:rsidR="0087636B" w:rsidRDefault="0087636B" w:rsidP="0087636B">
            <w:pPr>
              <w:spacing w:before="60" w:after="60" w:line="240" w:lineRule="auto"/>
              <w:ind w:firstLine="0"/>
              <w:jc w:val="center"/>
              <w:rPr>
                <w:rFonts w:eastAsia="SimSun"/>
              </w:rPr>
            </w:pPr>
            <w:r>
              <w:rPr>
                <w:rFonts w:eastAsia="SimSun"/>
              </w:rPr>
              <w:t>100.0%</w:t>
            </w:r>
          </w:p>
        </w:tc>
        <w:tc>
          <w:tcPr>
            <w:tcW w:w="947" w:type="dxa"/>
            <w:vAlign w:val="center"/>
          </w:tcPr>
          <w:p w:rsidR="0087636B" w:rsidRDefault="0087636B" w:rsidP="0087636B">
            <w:pPr>
              <w:spacing w:before="60" w:after="60" w:line="240" w:lineRule="auto"/>
              <w:ind w:firstLine="0"/>
              <w:jc w:val="center"/>
              <w:rPr>
                <w:rFonts w:eastAsia="SimSun"/>
              </w:rPr>
            </w:pPr>
            <w:r>
              <w:rPr>
                <w:rFonts w:eastAsia="SimSun"/>
              </w:rPr>
              <w:t>N/A</w:t>
            </w:r>
          </w:p>
        </w:tc>
        <w:tc>
          <w:tcPr>
            <w:tcW w:w="1320" w:type="dxa"/>
            <w:vAlign w:val="center"/>
          </w:tcPr>
          <w:p w:rsidR="0087636B" w:rsidRDefault="0087636B" w:rsidP="0087636B">
            <w:pPr>
              <w:spacing w:before="60" w:after="60" w:line="240" w:lineRule="auto"/>
              <w:ind w:firstLine="0"/>
              <w:jc w:val="center"/>
              <w:rPr>
                <w:rFonts w:eastAsia="SimSun"/>
              </w:rPr>
            </w:pPr>
            <w:r w:rsidRPr="00EE3ECD">
              <w:rPr>
                <w:rFonts w:eastAsia="SimSun"/>
              </w:rPr>
              <w:t>7.77%</w:t>
            </w:r>
          </w:p>
        </w:tc>
      </w:tr>
    </w:tbl>
    <w:p w:rsidR="009C3E59" w:rsidRPr="007845E6" w:rsidRDefault="00DF0A93" w:rsidP="007845E6">
      <w:pPr>
        <w:pStyle w:val="question"/>
        <w:keepNext/>
        <w:keepLines/>
        <w:spacing w:before="36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r>
      <w:r w:rsidR="009C3E59">
        <w:rPr>
          <w:rFonts w:ascii="Times New Roman" w:eastAsia="SimSun" w:hAnsi="Times New Roman"/>
        </w:rPr>
        <w:t>Have there been changes in PSE</w:t>
      </w:r>
      <w:r w:rsidR="00A14EBD">
        <w:rPr>
          <w:rFonts w:ascii="Times New Roman" w:eastAsia="SimSun" w:hAnsi="Times New Roman"/>
        </w:rPr>
        <w:t>’</w:t>
      </w:r>
      <w:r w:rsidR="009C3E59">
        <w:rPr>
          <w:rFonts w:ascii="Times New Roman" w:eastAsia="SimSun" w:hAnsi="Times New Roman"/>
        </w:rPr>
        <w:t>s</w:t>
      </w:r>
      <w:r w:rsidR="00967C41">
        <w:rPr>
          <w:rFonts w:ascii="Times New Roman" w:eastAsia="SimSun" w:hAnsi="Times New Roman"/>
        </w:rPr>
        <w:t xml:space="preserve"> actual </w:t>
      </w:r>
      <w:r w:rsidR="009C3E59">
        <w:rPr>
          <w:rFonts w:ascii="Times New Roman" w:eastAsia="SimSun" w:hAnsi="Times New Roman"/>
        </w:rPr>
        <w:t xml:space="preserve">capital structure and cost of capital since the 2011-2012 </w:t>
      </w:r>
      <w:r w:rsidR="002B6819">
        <w:rPr>
          <w:rFonts w:ascii="Times New Roman" w:eastAsia="SimSun" w:hAnsi="Times New Roman"/>
        </w:rPr>
        <w:t>general rate case</w:t>
      </w:r>
      <w:r w:rsidR="009C3E59">
        <w:rPr>
          <w:rFonts w:ascii="Times New Roman" w:eastAsia="SimSun" w:hAnsi="Times New Roman"/>
        </w:rPr>
        <w:t>?</w:t>
      </w:r>
    </w:p>
    <w:p w:rsidR="009C3E59" w:rsidRDefault="009C3E59" w:rsidP="009C3E59">
      <w:pPr>
        <w:pStyle w:val="answer"/>
        <w:rPr>
          <w:rFonts w:eastAsia="SimSun"/>
        </w:rPr>
      </w:pPr>
      <w:r>
        <w:rPr>
          <w:rFonts w:eastAsia="SimSun"/>
        </w:rPr>
        <w:t>A.</w:t>
      </w:r>
      <w:r>
        <w:rPr>
          <w:rFonts w:eastAsia="SimSun"/>
        </w:rPr>
        <w:tab/>
        <w:t xml:space="preserve">Yes, </w:t>
      </w:r>
      <w:r w:rsidR="0090740D">
        <w:rPr>
          <w:rFonts w:eastAsia="SimSun"/>
        </w:rPr>
        <w:t>PSE</w:t>
      </w:r>
      <w:r w:rsidR="00A14EBD">
        <w:rPr>
          <w:rFonts w:eastAsia="SimSun"/>
        </w:rPr>
        <w:t>’</w:t>
      </w:r>
      <w:r w:rsidR="0090740D">
        <w:rPr>
          <w:rFonts w:eastAsia="SimSun"/>
        </w:rPr>
        <w:t xml:space="preserve">s actual </w:t>
      </w:r>
      <w:r w:rsidR="00967C41">
        <w:rPr>
          <w:rFonts w:eastAsia="SimSun"/>
        </w:rPr>
        <w:t xml:space="preserve">mixture of long-term and </w:t>
      </w:r>
      <w:r w:rsidR="0090740D">
        <w:rPr>
          <w:rFonts w:eastAsia="SimSun"/>
        </w:rPr>
        <w:t xml:space="preserve">short-term debt is </w:t>
      </w:r>
      <w:r w:rsidR="00967C41">
        <w:rPr>
          <w:rFonts w:eastAsia="SimSun"/>
        </w:rPr>
        <w:t xml:space="preserve">different </w:t>
      </w:r>
      <w:proofErr w:type="gramStart"/>
      <w:r w:rsidR="00967C41">
        <w:rPr>
          <w:rFonts w:eastAsia="SimSun"/>
        </w:rPr>
        <w:t>than</w:t>
      </w:r>
      <w:proofErr w:type="gramEnd"/>
      <w:r w:rsidR="00967C41">
        <w:rPr>
          <w:rFonts w:eastAsia="SimSun"/>
        </w:rPr>
        <w:t xml:space="preserve"> </w:t>
      </w:r>
      <w:r w:rsidR="0090740D">
        <w:rPr>
          <w:rFonts w:eastAsia="SimSun"/>
        </w:rPr>
        <w:t xml:space="preserve">the level in the hypothetical capital structure </w:t>
      </w:r>
      <w:r w:rsidR="00967C41">
        <w:rPr>
          <w:rFonts w:eastAsia="SimSun"/>
        </w:rPr>
        <w:t>set</w:t>
      </w:r>
      <w:r w:rsidR="0090740D">
        <w:rPr>
          <w:rFonts w:eastAsia="SimSun"/>
        </w:rPr>
        <w:t xml:space="preserve"> May 2012.  A</w:t>
      </w:r>
      <w:r>
        <w:rPr>
          <w:rFonts w:eastAsia="SimSun"/>
        </w:rPr>
        <w:t xml:space="preserve">s demonstrated in Mr. </w:t>
      </w:r>
      <w:proofErr w:type="spellStart"/>
      <w:r>
        <w:rPr>
          <w:rFonts w:eastAsia="SimSun"/>
        </w:rPr>
        <w:t>Lohse</w:t>
      </w:r>
      <w:r w:rsidR="00A14EBD">
        <w:rPr>
          <w:rFonts w:eastAsia="SimSun"/>
        </w:rPr>
        <w:t>’</w:t>
      </w:r>
      <w:r>
        <w:rPr>
          <w:rFonts w:eastAsia="SimSun"/>
        </w:rPr>
        <w:t>s</w:t>
      </w:r>
      <w:proofErr w:type="spellEnd"/>
      <w:r>
        <w:rPr>
          <w:rFonts w:eastAsia="SimSun"/>
        </w:rPr>
        <w:t xml:space="preserve"> testimony, </w:t>
      </w:r>
      <w:r w:rsidR="007845E6">
        <w:rPr>
          <w:rFonts w:eastAsia="SimSun"/>
        </w:rPr>
        <w:t>PSE</w:t>
      </w:r>
      <w:r w:rsidR="00A14EBD">
        <w:rPr>
          <w:rFonts w:eastAsia="SimSun"/>
        </w:rPr>
        <w:t>’</w:t>
      </w:r>
      <w:r>
        <w:rPr>
          <w:rFonts w:eastAsia="SimSun"/>
        </w:rPr>
        <w:t xml:space="preserve">s </w:t>
      </w:r>
      <w:r w:rsidR="00967C41">
        <w:rPr>
          <w:rFonts w:eastAsia="SimSun"/>
        </w:rPr>
        <w:t xml:space="preserve">actual </w:t>
      </w:r>
      <w:r>
        <w:rPr>
          <w:rFonts w:eastAsia="SimSun"/>
        </w:rPr>
        <w:t xml:space="preserve">capital structure consisted of </w:t>
      </w:r>
      <w:r w:rsidR="007F774A">
        <w:rPr>
          <w:rFonts w:eastAsia="SimSun"/>
        </w:rPr>
        <w:t xml:space="preserve">1.37 </w:t>
      </w:r>
      <w:r>
        <w:rPr>
          <w:rFonts w:eastAsia="SimSun"/>
        </w:rPr>
        <w:t>percent short-term debt</w:t>
      </w:r>
      <w:r w:rsidR="007F774A">
        <w:rPr>
          <w:rFonts w:eastAsia="SimSun"/>
        </w:rPr>
        <w:t xml:space="preserve"> </w:t>
      </w:r>
      <w:r w:rsidR="0090740D">
        <w:rPr>
          <w:rFonts w:eastAsia="SimSun"/>
        </w:rPr>
        <w:t>as of</w:t>
      </w:r>
      <w:r w:rsidR="007F774A">
        <w:rPr>
          <w:rFonts w:eastAsia="SimSun"/>
        </w:rPr>
        <w:t xml:space="preserve"> March 31, 2013 and 1.02 percent short-term debt as of September</w:t>
      </w:r>
      <w:r w:rsidR="00BD183D">
        <w:rPr>
          <w:rFonts w:eastAsia="SimSun"/>
        </w:rPr>
        <w:t> </w:t>
      </w:r>
      <w:r w:rsidR="007F774A">
        <w:rPr>
          <w:rFonts w:eastAsia="SimSun"/>
        </w:rPr>
        <w:t xml:space="preserve">30, 2014.  </w:t>
      </w:r>
      <w:r w:rsidR="007845E6">
        <w:rPr>
          <w:rFonts w:eastAsia="SimSun"/>
        </w:rPr>
        <w:t>PSE</w:t>
      </w:r>
      <w:r w:rsidR="00A14EBD">
        <w:rPr>
          <w:rFonts w:eastAsia="SimSun"/>
        </w:rPr>
        <w:t>’</w:t>
      </w:r>
      <w:r w:rsidR="007845E6">
        <w:rPr>
          <w:rFonts w:eastAsia="SimSun"/>
        </w:rPr>
        <w:t xml:space="preserve">s </w:t>
      </w:r>
      <w:r w:rsidR="007F774A">
        <w:rPr>
          <w:rFonts w:eastAsia="SimSun"/>
        </w:rPr>
        <w:t xml:space="preserve">capital structure consisted of 50.19 percent </w:t>
      </w:r>
      <w:r>
        <w:rPr>
          <w:rFonts w:eastAsia="SimSun"/>
        </w:rPr>
        <w:t>long-term debt</w:t>
      </w:r>
      <w:r w:rsidR="007F774A">
        <w:rPr>
          <w:rFonts w:eastAsia="SimSun"/>
        </w:rPr>
        <w:t xml:space="preserve"> </w:t>
      </w:r>
      <w:r w:rsidR="0090740D">
        <w:rPr>
          <w:rFonts w:eastAsia="SimSun"/>
        </w:rPr>
        <w:t>as of March 31,</w:t>
      </w:r>
      <w:r w:rsidR="007F774A">
        <w:rPr>
          <w:rFonts w:eastAsia="SimSun"/>
        </w:rPr>
        <w:t xml:space="preserve"> 2013 and 50.90 percent long-term debt as of September 30, 2014.  Additionally</w:t>
      </w:r>
      <w:r>
        <w:rPr>
          <w:rFonts w:eastAsia="SimSun"/>
        </w:rPr>
        <w:t xml:space="preserve">, </w:t>
      </w:r>
      <w:r w:rsidR="007845E6">
        <w:rPr>
          <w:rFonts w:eastAsia="SimSun"/>
        </w:rPr>
        <w:t>PSE</w:t>
      </w:r>
      <w:r>
        <w:rPr>
          <w:rFonts w:eastAsia="SimSun"/>
        </w:rPr>
        <w:t xml:space="preserve"> has maintained its equity percentage at 48.0 percent</w:t>
      </w:r>
      <w:r w:rsidR="007F774A">
        <w:rPr>
          <w:rFonts w:eastAsia="SimSun"/>
        </w:rPr>
        <w:t xml:space="preserve"> for both of these </w:t>
      </w:r>
      <w:proofErr w:type="gramStart"/>
      <w:r w:rsidR="007F774A">
        <w:rPr>
          <w:rFonts w:eastAsia="SimSun"/>
        </w:rPr>
        <w:t>time periods</w:t>
      </w:r>
      <w:proofErr w:type="gramEnd"/>
      <w:r>
        <w:rPr>
          <w:rFonts w:eastAsia="SimSun"/>
        </w:rPr>
        <w:t xml:space="preserve">.  In addition to the refinancing of the </w:t>
      </w:r>
      <w:r w:rsidR="00227CBB">
        <w:rPr>
          <w:rFonts w:eastAsia="SimSun"/>
        </w:rPr>
        <w:t>Pollution Control Bonds</w:t>
      </w:r>
      <w:r>
        <w:rPr>
          <w:rFonts w:eastAsia="SimSun"/>
        </w:rPr>
        <w:t xml:space="preserve"> that was incorporated into Order 07 in this docket, </w:t>
      </w:r>
      <w:r w:rsidR="007845E6">
        <w:rPr>
          <w:rFonts w:eastAsia="SimSun"/>
        </w:rPr>
        <w:t>PSE</w:t>
      </w:r>
      <w:r>
        <w:rPr>
          <w:rFonts w:eastAsia="SimSun"/>
        </w:rPr>
        <w:t xml:space="preserve"> </w:t>
      </w:r>
      <w:r w:rsidR="00B77F80">
        <w:rPr>
          <w:rFonts w:eastAsia="SimSun"/>
        </w:rPr>
        <w:t>entered into two new five-year credit facilit</w:t>
      </w:r>
      <w:r w:rsidR="004E4625">
        <w:rPr>
          <w:rFonts w:eastAsia="SimSun"/>
        </w:rPr>
        <w:t>ies</w:t>
      </w:r>
      <w:r w:rsidR="00B77F80">
        <w:rPr>
          <w:rFonts w:eastAsia="SimSun"/>
        </w:rPr>
        <w:t xml:space="preserve"> totalin</w:t>
      </w:r>
      <w:r w:rsidR="007845E6">
        <w:rPr>
          <w:rFonts w:eastAsia="SimSun"/>
        </w:rPr>
        <w:t>g $1 billion in February 2013</w:t>
      </w:r>
      <w:r w:rsidR="00C11AA7">
        <w:rPr>
          <w:rFonts w:eastAsia="SimSun"/>
        </w:rPr>
        <w:t xml:space="preserve"> that are included in short-term debt</w:t>
      </w:r>
      <w:r w:rsidR="007845E6">
        <w:rPr>
          <w:rFonts w:eastAsia="SimSun"/>
        </w:rPr>
        <w:t>.</w:t>
      </w:r>
    </w:p>
    <w:p w:rsidR="009C3E59" w:rsidRPr="00591ACF" w:rsidRDefault="009C3E59" w:rsidP="00591ACF">
      <w:pPr>
        <w:pStyle w:val="question"/>
        <w:keepNext/>
        <w:keepLines/>
        <w:spacing w:before="120"/>
        <w:rPr>
          <w:rFonts w:ascii="Times New Roman" w:hAnsi="Times New Roman"/>
        </w:rPr>
      </w:pPr>
      <w:r>
        <w:rPr>
          <w:rFonts w:eastAsia="SimSun"/>
        </w:rPr>
        <w:lastRenderedPageBreak/>
        <w:t>Q.</w:t>
      </w:r>
      <w:r>
        <w:rPr>
          <w:rFonts w:eastAsia="SimSun"/>
        </w:rPr>
        <w:tab/>
        <w:t xml:space="preserve">Why is </w:t>
      </w:r>
      <w:r w:rsidR="00901C6F">
        <w:rPr>
          <w:rFonts w:eastAsia="SimSun"/>
        </w:rPr>
        <w:t>PSE</w:t>
      </w:r>
      <w:r>
        <w:rPr>
          <w:rFonts w:eastAsia="SimSun"/>
        </w:rPr>
        <w:t xml:space="preserve"> using less </w:t>
      </w:r>
      <w:r w:rsidR="003F1ABF">
        <w:rPr>
          <w:rFonts w:eastAsia="SimSun"/>
        </w:rPr>
        <w:t>short-</w:t>
      </w:r>
      <w:r>
        <w:rPr>
          <w:rFonts w:eastAsia="SimSun"/>
        </w:rPr>
        <w:t>term debt</w:t>
      </w:r>
      <w:r w:rsidR="003F1ABF">
        <w:rPr>
          <w:rFonts w:eastAsia="SimSun"/>
        </w:rPr>
        <w:t xml:space="preserve"> than the amount in the </w:t>
      </w:r>
      <w:r w:rsidR="00BA0C4B">
        <w:rPr>
          <w:rFonts w:eastAsia="SimSun"/>
        </w:rPr>
        <w:t>hypothetical</w:t>
      </w:r>
      <w:r w:rsidR="003F1ABF">
        <w:rPr>
          <w:rFonts w:eastAsia="SimSun"/>
        </w:rPr>
        <w:t xml:space="preserve"> capital structure approved in May 2012</w:t>
      </w:r>
      <w:r>
        <w:rPr>
          <w:rFonts w:eastAsia="SimSun"/>
        </w:rPr>
        <w:t>?</w:t>
      </w:r>
    </w:p>
    <w:p w:rsidR="00F81A2D" w:rsidRDefault="009C3E59" w:rsidP="009C3E59">
      <w:pPr>
        <w:pStyle w:val="answer"/>
        <w:rPr>
          <w:rFonts w:eastAsia="SimSun"/>
        </w:rPr>
      </w:pPr>
      <w:r>
        <w:rPr>
          <w:rFonts w:eastAsia="SimSun"/>
        </w:rPr>
        <w:t>A.</w:t>
      </w:r>
      <w:r>
        <w:rPr>
          <w:rFonts w:eastAsia="SimSun"/>
        </w:rPr>
        <w:tab/>
      </w:r>
      <w:r w:rsidR="007845E6">
        <w:rPr>
          <w:rFonts w:eastAsia="SimSun"/>
        </w:rPr>
        <w:t>PSE</w:t>
      </w:r>
      <w:r w:rsidR="00A14EBD">
        <w:rPr>
          <w:rFonts w:eastAsia="SimSun"/>
        </w:rPr>
        <w:t>’</w:t>
      </w:r>
      <w:r>
        <w:rPr>
          <w:rFonts w:eastAsia="SimSun"/>
        </w:rPr>
        <w:t xml:space="preserve">s cash-flow situation has changed </w:t>
      </w:r>
      <w:r w:rsidR="00901C6F">
        <w:rPr>
          <w:rFonts w:eastAsia="SimSun"/>
        </w:rPr>
        <w:t xml:space="preserve">significantly </w:t>
      </w:r>
      <w:r>
        <w:rPr>
          <w:rFonts w:eastAsia="SimSun"/>
        </w:rPr>
        <w:t xml:space="preserve">since </w:t>
      </w:r>
      <w:r w:rsidR="009700D6">
        <w:rPr>
          <w:rFonts w:eastAsia="SimSun"/>
        </w:rPr>
        <w:t xml:space="preserve">the </w:t>
      </w:r>
      <w:r w:rsidR="004E4625">
        <w:rPr>
          <w:rFonts w:eastAsia="SimSun"/>
        </w:rPr>
        <w:t xml:space="preserve">Final Order </w:t>
      </w:r>
      <w:proofErr w:type="gramStart"/>
      <w:r w:rsidR="004E4625">
        <w:rPr>
          <w:rFonts w:eastAsia="SimSun"/>
        </w:rPr>
        <w:t>was entered</w:t>
      </w:r>
      <w:proofErr w:type="gramEnd"/>
      <w:r w:rsidR="004E4625">
        <w:rPr>
          <w:rFonts w:eastAsia="SimSun"/>
        </w:rPr>
        <w:t xml:space="preserve"> in the </w:t>
      </w:r>
      <w:r w:rsidR="009700D6">
        <w:rPr>
          <w:rFonts w:eastAsia="SimSun"/>
        </w:rPr>
        <w:t>2011-12 general rate case in May 2012.  One of the drivers</w:t>
      </w:r>
      <w:r w:rsidR="00294D33">
        <w:rPr>
          <w:rFonts w:eastAsia="SimSun"/>
        </w:rPr>
        <w:t xml:space="preserve"> of this change</w:t>
      </w:r>
      <w:r w:rsidR="009700D6">
        <w:rPr>
          <w:rFonts w:eastAsia="SimSun"/>
        </w:rPr>
        <w:t xml:space="preserve"> is the Treasury Grants PSE </w:t>
      </w:r>
      <w:r w:rsidR="00294D33">
        <w:rPr>
          <w:rFonts w:eastAsia="SimSun"/>
        </w:rPr>
        <w:t xml:space="preserve">has </w:t>
      </w:r>
      <w:r w:rsidR="009700D6">
        <w:rPr>
          <w:rFonts w:eastAsia="SimSun"/>
        </w:rPr>
        <w:t xml:space="preserve">received over the past two years.  </w:t>
      </w:r>
      <w:r w:rsidR="007845E6">
        <w:rPr>
          <w:rFonts w:eastAsia="SimSun"/>
        </w:rPr>
        <w:t>PSE</w:t>
      </w:r>
      <w:r w:rsidR="009700D6">
        <w:rPr>
          <w:rFonts w:eastAsia="SimSun"/>
        </w:rPr>
        <w:t xml:space="preserve"> received </w:t>
      </w:r>
      <w:r w:rsidR="00FB52B9">
        <w:rPr>
          <w:rFonts w:eastAsia="SimSun"/>
        </w:rPr>
        <w:t>$</w:t>
      </w:r>
      <w:r w:rsidR="00DF1AF5">
        <w:rPr>
          <w:rFonts w:eastAsia="SimSun"/>
        </w:rPr>
        <w:t>205</w:t>
      </w:r>
      <w:r w:rsidR="00901C6F">
        <w:rPr>
          <w:rFonts w:eastAsia="SimSun"/>
        </w:rPr>
        <w:t xml:space="preserve"> million</w:t>
      </w:r>
      <w:r w:rsidR="009700D6">
        <w:rPr>
          <w:rFonts w:eastAsia="SimSun"/>
        </w:rPr>
        <w:t xml:space="preserve"> </w:t>
      </w:r>
      <w:r w:rsidR="00294D33">
        <w:rPr>
          <w:rFonts w:eastAsia="SimSun"/>
        </w:rPr>
        <w:t xml:space="preserve">in Treasury Grants </w:t>
      </w:r>
      <w:r w:rsidR="009700D6">
        <w:rPr>
          <w:rFonts w:eastAsia="SimSun"/>
        </w:rPr>
        <w:t xml:space="preserve">for </w:t>
      </w:r>
      <w:r w:rsidR="00294D33">
        <w:rPr>
          <w:rFonts w:eastAsia="SimSun"/>
        </w:rPr>
        <w:t xml:space="preserve">the </w:t>
      </w:r>
      <w:r w:rsidR="009700D6">
        <w:rPr>
          <w:rFonts w:eastAsia="SimSun"/>
        </w:rPr>
        <w:t>L</w:t>
      </w:r>
      <w:r w:rsidR="00294D33">
        <w:rPr>
          <w:rFonts w:eastAsia="SimSun"/>
        </w:rPr>
        <w:t xml:space="preserve">ower </w:t>
      </w:r>
      <w:r w:rsidR="009700D6">
        <w:rPr>
          <w:rFonts w:eastAsia="SimSun"/>
        </w:rPr>
        <w:t>S</w:t>
      </w:r>
      <w:r w:rsidR="00294D33">
        <w:rPr>
          <w:rFonts w:eastAsia="SimSun"/>
        </w:rPr>
        <w:t xml:space="preserve">nake </w:t>
      </w:r>
      <w:r w:rsidR="009700D6">
        <w:rPr>
          <w:rFonts w:eastAsia="SimSun"/>
        </w:rPr>
        <w:t>R</w:t>
      </w:r>
      <w:r w:rsidR="00294D33">
        <w:rPr>
          <w:rFonts w:eastAsia="SimSun"/>
        </w:rPr>
        <w:t>iver wind project,</w:t>
      </w:r>
      <w:r w:rsidR="009700D6">
        <w:rPr>
          <w:rFonts w:eastAsia="SimSun"/>
        </w:rPr>
        <w:t xml:space="preserve"> </w:t>
      </w:r>
      <w:r w:rsidR="00901C6F">
        <w:rPr>
          <w:rFonts w:eastAsia="SimSun"/>
        </w:rPr>
        <w:t>and PSE is passing</w:t>
      </w:r>
      <w:r w:rsidR="009700D6">
        <w:rPr>
          <w:rFonts w:eastAsia="SimSun"/>
        </w:rPr>
        <w:t xml:space="preserve"> back </w:t>
      </w:r>
      <w:r w:rsidR="00294D33">
        <w:rPr>
          <w:rFonts w:eastAsia="SimSun"/>
        </w:rPr>
        <w:t xml:space="preserve">to customers </w:t>
      </w:r>
      <w:r w:rsidR="00901C6F">
        <w:rPr>
          <w:rFonts w:eastAsia="SimSun"/>
        </w:rPr>
        <w:t xml:space="preserve">the proceeds from these Treasury Grants </w:t>
      </w:r>
      <w:r w:rsidR="009700D6">
        <w:rPr>
          <w:rFonts w:eastAsia="SimSun"/>
        </w:rPr>
        <w:t xml:space="preserve">over a ten-year period.  </w:t>
      </w:r>
      <w:r w:rsidR="00FE7779">
        <w:rPr>
          <w:rFonts w:eastAsia="SimSun"/>
        </w:rPr>
        <w:t>In addition, PSE received</w:t>
      </w:r>
      <w:r w:rsidR="00294D33">
        <w:rPr>
          <w:rFonts w:eastAsia="SimSun"/>
        </w:rPr>
        <w:t xml:space="preserve"> Treasury Gra</w:t>
      </w:r>
      <w:r w:rsidR="009700D6">
        <w:rPr>
          <w:rFonts w:eastAsia="SimSun"/>
        </w:rPr>
        <w:t xml:space="preserve">nts </w:t>
      </w:r>
      <w:r w:rsidR="00294D33">
        <w:rPr>
          <w:rFonts w:eastAsia="SimSun"/>
        </w:rPr>
        <w:t>for the Snoqualmie Falls</w:t>
      </w:r>
      <w:r w:rsidR="00521538">
        <w:rPr>
          <w:rFonts w:eastAsia="SimSun"/>
        </w:rPr>
        <w:t xml:space="preserve"> and Baker</w:t>
      </w:r>
      <w:r w:rsidR="009700D6">
        <w:rPr>
          <w:rFonts w:eastAsia="SimSun"/>
        </w:rPr>
        <w:t xml:space="preserve"> hydro</w:t>
      </w:r>
      <w:r w:rsidR="00294D33">
        <w:rPr>
          <w:rFonts w:eastAsia="SimSun"/>
        </w:rPr>
        <w:t>electric</w:t>
      </w:r>
      <w:r w:rsidR="009700D6">
        <w:rPr>
          <w:rFonts w:eastAsia="SimSun"/>
        </w:rPr>
        <w:t xml:space="preserve"> projects</w:t>
      </w:r>
      <w:r w:rsidR="00901C6F">
        <w:rPr>
          <w:rFonts w:eastAsia="SimSun"/>
        </w:rPr>
        <w:t xml:space="preserve"> in </w:t>
      </w:r>
      <w:r w:rsidR="00521538">
        <w:rPr>
          <w:rFonts w:eastAsia="SimSun"/>
        </w:rPr>
        <w:t xml:space="preserve">April and May </w:t>
      </w:r>
      <w:r w:rsidR="00901C6F">
        <w:rPr>
          <w:rFonts w:eastAsia="SimSun"/>
        </w:rPr>
        <w:t>2014</w:t>
      </w:r>
      <w:r w:rsidR="00294D33">
        <w:rPr>
          <w:rFonts w:eastAsia="SimSun"/>
        </w:rPr>
        <w:t xml:space="preserve">.  At </w:t>
      </w:r>
      <w:r w:rsidR="00FE7779">
        <w:rPr>
          <w:rFonts w:eastAsia="SimSun"/>
        </w:rPr>
        <w:t xml:space="preserve">Commission </w:t>
      </w:r>
      <w:r w:rsidR="00294D33">
        <w:rPr>
          <w:rFonts w:eastAsia="SimSun"/>
        </w:rPr>
        <w:t>Staff</w:t>
      </w:r>
      <w:r w:rsidR="00A14EBD">
        <w:rPr>
          <w:rFonts w:eastAsia="SimSun"/>
        </w:rPr>
        <w:t>’</w:t>
      </w:r>
      <w:r w:rsidR="00294D33">
        <w:rPr>
          <w:rFonts w:eastAsia="SimSun"/>
        </w:rPr>
        <w:t xml:space="preserve">s </w:t>
      </w:r>
      <w:r w:rsidR="00901C6F">
        <w:rPr>
          <w:rFonts w:eastAsia="SimSun"/>
        </w:rPr>
        <w:t>request</w:t>
      </w:r>
      <w:r w:rsidR="00294D33">
        <w:rPr>
          <w:rFonts w:eastAsia="SimSun"/>
        </w:rPr>
        <w:t xml:space="preserve">, the Treasury Grants for these two projects </w:t>
      </w:r>
      <w:r w:rsidR="009700D6">
        <w:rPr>
          <w:rFonts w:eastAsia="SimSun"/>
        </w:rPr>
        <w:t xml:space="preserve">are no longer included in a tracker but </w:t>
      </w:r>
      <w:proofErr w:type="gramStart"/>
      <w:r w:rsidR="009700D6">
        <w:rPr>
          <w:rFonts w:eastAsia="SimSun"/>
        </w:rPr>
        <w:t xml:space="preserve">are </w:t>
      </w:r>
      <w:r w:rsidR="00294D33">
        <w:rPr>
          <w:rFonts w:eastAsia="SimSun"/>
        </w:rPr>
        <w:t>treated</w:t>
      </w:r>
      <w:proofErr w:type="gramEnd"/>
      <w:r w:rsidR="00294D33">
        <w:rPr>
          <w:rFonts w:eastAsia="SimSun"/>
        </w:rPr>
        <w:t xml:space="preserve"> as </w:t>
      </w:r>
      <w:r w:rsidR="009700D6">
        <w:rPr>
          <w:rFonts w:eastAsia="SimSun"/>
        </w:rPr>
        <w:t xml:space="preserve">a reduction </w:t>
      </w:r>
      <w:r w:rsidR="00294D33">
        <w:rPr>
          <w:rFonts w:eastAsia="SimSun"/>
        </w:rPr>
        <w:t xml:space="preserve">to </w:t>
      </w:r>
      <w:r w:rsidR="007845E6">
        <w:rPr>
          <w:rFonts w:eastAsia="SimSun"/>
        </w:rPr>
        <w:t>PSE</w:t>
      </w:r>
      <w:r w:rsidR="00A14EBD">
        <w:rPr>
          <w:rFonts w:eastAsia="SimSun"/>
        </w:rPr>
        <w:t>’</w:t>
      </w:r>
      <w:r w:rsidR="009700D6">
        <w:rPr>
          <w:rFonts w:eastAsia="SimSun"/>
        </w:rPr>
        <w:t xml:space="preserve">s production rate base.  The </w:t>
      </w:r>
      <w:r w:rsidR="00294D33">
        <w:rPr>
          <w:rFonts w:eastAsia="SimSun"/>
        </w:rPr>
        <w:t>proceeds from the</w:t>
      </w:r>
      <w:r w:rsidR="009700D6">
        <w:rPr>
          <w:rFonts w:eastAsia="SimSun"/>
        </w:rPr>
        <w:t xml:space="preserve"> Treasury Grants associated with these </w:t>
      </w:r>
      <w:r w:rsidR="00A7773F">
        <w:rPr>
          <w:rFonts w:eastAsia="SimSun"/>
        </w:rPr>
        <w:t>hydroelectric</w:t>
      </w:r>
      <w:r w:rsidR="009700D6">
        <w:rPr>
          <w:rFonts w:eastAsia="SimSun"/>
        </w:rPr>
        <w:t xml:space="preserve"> projects </w:t>
      </w:r>
      <w:r w:rsidR="00294D33">
        <w:rPr>
          <w:rFonts w:eastAsia="SimSun"/>
        </w:rPr>
        <w:t xml:space="preserve">total </w:t>
      </w:r>
      <w:r w:rsidR="009700D6" w:rsidRPr="007548F1">
        <w:rPr>
          <w:rFonts w:eastAsia="SimSun"/>
        </w:rPr>
        <w:t>$</w:t>
      </w:r>
      <w:r w:rsidR="00521538">
        <w:rPr>
          <w:rFonts w:eastAsia="SimSun"/>
        </w:rPr>
        <w:t xml:space="preserve">108 </w:t>
      </w:r>
      <w:r w:rsidR="009700D6">
        <w:rPr>
          <w:rFonts w:eastAsia="SimSun"/>
        </w:rPr>
        <w:t xml:space="preserve">million </w:t>
      </w:r>
      <w:r w:rsidR="00294D33">
        <w:rPr>
          <w:rFonts w:eastAsia="SimSun"/>
        </w:rPr>
        <w:t xml:space="preserve">and </w:t>
      </w:r>
      <w:proofErr w:type="gramStart"/>
      <w:r w:rsidR="009700D6">
        <w:rPr>
          <w:rFonts w:eastAsia="SimSun"/>
        </w:rPr>
        <w:t>are being amortized</w:t>
      </w:r>
      <w:proofErr w:type="gramEnd"/>
      <w:r w:rsidR="009700D6">
        <w:rPr>
          <w:rFonts w:eastAsia="SimSun"/>
        </w:rPr>
        <w:t xml:space="preserve"> over the remaining life of the facilities</w:t>
      </w:r>
      <w:r w:rsidR="00294D33">
        <w:rPr>
          <w:rFonts w:eastAsia="SimSun"/>
        </w:rPr>
        <w:t>.  The a</w:t>
      </w:r>
      <w:r w:rsidR="00B77F80">
        <w:rPr>
          <w:rFonts w:eastAsia="SimSun"/>
        </w:rPr>
        <w:t xml:space="preserve">dditional cash </w:t>
      </w:r>
      <w:r w:rsidR="00294D33">
        <w:rPr>
          <w:rFonts w:eastAsia="SimSun"/>
        </w:rPr>
        <w:t>resulting from these Treasury Grants</w:t>
      </w:r>
      <w:r w:rsidR="00E84A8C">
        <w:rPr>
          <w:rFonts w:eastAsia="SimSun"/>
        </w:rPr>
        <w:t>—</w:t>
      </w:r>
      <w:r w:rsidR="00F04BE5">
        <w:rPr>
          <w:rFonts w:eastAsia="SimSun"/>
        </w:rPr>
        <w:t>as well as</w:t>
      </w:r>
      <w:r w:rsidR="00E84A8C">
        <w:rPr>
          <w:rFonts w:eastAsia="SimSun"/>
        </w:rPr>
        <w:t xml:space="preserve"> bonus depreciation and the sale of PSE</w:t>
      </w:r>
      <w:r w:rsidR="00A14EBD">
        <w:rPr>
          <w:rFonts w:eastAsia="SimSun"/>
        </w:rPr>
        <w:t>’</w:t>
      </w:r>
      <w:r w:rsidR="00E84A8C">
        <w:rPr>
          <w:rFonts w:eastAsia="SimSun"/>
        </w:rPr>
        <w:t>s Jefferson County service territory—have</w:t>
      </w:r>
      <w:r w:rsidR="007845E6">
        <w:rPr>
          <w:rFonts w:eastAsia="SimSun"/>
        </w:rPr>
        <w:t xml:space="preserve"> </w:t>
      </w:r>
      <w:r w:rsidR="00B77F80">
        <w:rPr>
          <w:rFonts w:eastAsia="SimSun"/>
        </w:rPr>
        <w:t>reduced PSE</w:t>
      </w:r>
      <w:r w:rsidR="00A14EBD">
        <w:rPr>
          <w:rFonts w:eastAsia="SimSun"/>
        </w:rPr>
        <w:t>’</w:t>
      </w:r>
      <w:r w:rsidR="00B77F80">
        <w:rPr>
          <w:rFonts w:eastAsia="SimSun"/>
        </w:rPr>
        <w:t>s need to utilize short-term borrowings</w:t>
      </w:r>
      <w:r w:rsidR="00E84A8C">
        <w:rPr>
          <w:rFonts w:eastAsia="SimSun"/>
        </w:rPr>
        <w:t xml:space="preserve"> </w:t>
      </w:r>
      <w:r w:rsidR="00B77F80">
        <w:rPr>
          <w:rFonts w:eastAsia="SimSun"/>
        </w:rPr>
        <w:t>since 2013 a</w:t>
      </w:r>
      <w:r w:rsidR="00294D33">
        <w:rPr>
          <w:rFonts w:eastAsia="SimSun"/>
        </w:rPr>
        <w:t xml:space="preserve">nd for the </w:t>
      </w:r>
      <w:proofErr w:type="gramStart"/>
      <w:r w:rsidR="00294D33">
        <w:rPr>
          <w:rFonts w:eastAsia="SimSun"/>
        </w:rPr>
        <w:t>foreseeable</w:t>
      </w:r>
      <w:proofErr w:type="gramEnd"/>
      <w:r w:rsidR="00294D33">
        <w:rPr>
          <w:rFonts w:eastAsia="SimSun"/>
        </w:rPr>
        <w:t xml:space="preserve"> future.  Therefore, </w:t>
      </w:r>
      <w:r w:rsidR="00F81A2D">
        <w:rPr>
          <w:rFonts w:eastAsia="SimSun"/>
        </w:rPr>
        <w:t>the level of short</w:t>
      </w:r>
      <w:r w:rsidR="00373E9C">
        <w:rPr>
          <w:rFonts w:eastAsia="SimSun"/>
        </w:rPr>
        <w:t>-</w:t>
      </w:r>
      <w:r w:rsidR="00F81A2D">
        <w:rPr>
          <w:rFonts w:eastAsia="SimSun"/>
        </w:rPr>
        <w:t>term debt as a component of PSE</w:t>
      </w:r>
      <w:r w:rsidR="00A14EBD">
        <w:rPr>
          <w:rFonts w:eastAsia="SimSun"/>
        </w:rPr>
        <w:t>’</w:t>
      </w:r>
      <w:r w:rsidR="00F81A2D">
        <w:rPr>
          <w:rFonts w:eastAsia="SimSun"/>
        </w:rPr>
        <w:t>s overall capital structure on an actual basis as of March 31, 2013 and September 30, 2014 is less than the level contemplated in the hypothetical capital structure set in the 2011 general rate case.</w:t>
      </w:r>
    </w:p>
    <w:p w:rsidR="00F81A2D" w:rsidRDefault="00F81A2D" w:rsidP="00F81A2D">
      <w:pPr>
        <w:pStyle w:val="question"/>
        <w:keepNext/>
        <w:keepLines/>
        <w:spacing w:before="360"/>
        <w:rPr>
          <w:rFonts w:ascii="Times New Roman" w:eastAsia="SimSun" w:hAnsi="Times New Roman"/>
        </w:rPr>
      </w:pPr>
      <w:r>
        <w:rPr>
          <w:rFonts w:ascii="Times New Roman" w:eastAsia="SimSun" w:hAnsi="Times New Roman"/>
        </w:rPr>
        <w:lastRenderedPageBreak/>
        <w:t>Q.</w:t>
      </w:r>
      <w:r>
        <w:rPr>
          <w:rFonts w:ascii="Times New Roman" w:eastAsia="SimSun" w:hAnsi="Times New Roman"/>
        </w:rPr>
        <w:tab/>
        <w:t xml:space="preserve">Please explain </w:t>
      </w:r>
      <w:proofErr w:type="gramStart"/>
      <w:r>
        <w:rPr>
          <w:rFonts w:ascii="Times New Roman" w:eastAsia="SimSun" w:hAnsi="Times New Roman"/>
        </w:rPr>
        <w:t>further</w:t>
      </w:r>
      <w:proofErr w:type="gramEnd"/>
      <w:r>
        <w:rPr>
          <w:rFonts w:ascii="Times New Roman" w:eastAsia="SimSun" w:hAnsi="Times New Roman"/>
        </w:rPr>
        <w:t xml:space="preserve"> why the actual short</w:t>
      </w:r>
      <w:r w:rsidR="00373E9C">
        <w:rPr>
          <w:rFonts w:ascii="Times New Roman" w:eastAsia="SimSun" w:hAnsi="Times New Roman"/>
        </w:rPr>
        <w:t>-</w:t>
      </w:r>
      <w:r>
        <w:rPr>
          <w:rFonts w:ascii="Times New Roman" w:eastAsia="SimSun" w:hAnsi="Times New Roman"/>
        </w:rPr>
        <w:t>term debt components of the capital structure and the actual cost rates changed from what was included in the hypothetical capital structure</w:t>
      </w:r>
      <w:r w:rsidR="002B6819">
        <w:rPr>
          <w:rFonts w:ascii="Times New Roman" w:eastAsia="SimSun" w:hAnsi="Times New Roman"/>
        </w:rPr>
        <w:t xml:space="preserve"> </w:t>
      </w:r>
      <w:r>
        <w:rPr>
          <w:rFonts w:ascii="Times New Roman" w:eastAsia="SimSun" w:hAnsi="Times New Roman"/>
        </w:rPr>
        <w:t>adopted and approved in the 2011 general rate case.</w:t>
      </w:r>
    </w:p>
    <w:p w:rsidR="00BD183D" w:rsidRDefault="00F81A2D" w:rsidP="00F81A2D">
      <w:pPr>
        <w:pStyle w:val="answer"/>
        <w:rPr>
          <w:rFonts w:ascii="Times New Roman" w:eastAsia="SimSun" w:hAnsi="Times New Roman"/>
        </w:rPr>
      </w:pPr>
      <w:proofErr w:type="gramStart"/>
      <w:r>
        <w:rPr>
          <w:rFonts w:eastAsia="SimSun"/>
        </w:rPr>
        <w:t>A.</w:t>
      </w:r>
      <w:r>
        <w:rPr>
          <w:rFonts w:eastAsia="SimSun"/>
        </w:rPr>
        <w:tab/>
        <w:t>Certainly.</w:t>
      </w:r>
      <w:proofErr w:type="gramEnd"/>
      <w:r>
        <w:rPr>
          <w:rFonts w:eastAsia="SimSun"/>
        </w:rPr>
        <w:t xml:space="preserve">  For starters, the short</w:t>
      </w:r>
      <w:r w:rsidR="00373E9C">
        <w:rPr>
          <w:rFonts w:eastAsia="SimSun"/>
        </w:rPr>
        <w:t>-</w:t>
      </w:r>
      <w:r>
        <w:rPr>
          <w:rFonts w:eastAsia="SimSun"/>
        </w:rPr>
        <w:t>term debt component of the capital structure and related cost rates tend to be dynamic and difficult to predict for several reasons</w:t>
      </w:r>
      <w:r w:rsidR="00BD183D">
        <w:rPr>
          <w:rFonts w:ascii="Times New Roman" w:eastAsia="SimSun" w:hAnsi="Times New Roman"/>
        </w:rPr>
        <w:t xml:space="preserve">.  </w:t>
      </w:r>
      <w:r>
        <w:rPr>
          <w:rFonts w:eastAsia="SimSun"/>
        </w:rPr>
        <w:t>First, short</w:t>
      </w:r>
      <w:r w:rsidR="00373E9C">
        <w:rPr>
          <w:rFonts w:eastAsia="SimSun"/>
        </w:rPr>
        <w:t>-</w:t>
      </w:r>
      <w:r>
        <w:rPr>
          <w:rFonts w:eastAsia="SimSun"/>
        </w:rPr>
        <w:t xml:space="preserve">term debt is the place where </w:t>
      </w:r>
      <w:r w:rsidR="00BD183D">
        <w:rPr>
          <w:rFonts w:eastAsia="SimSun"/>
        </w:rPr>
        <w:t>PSE</w:t>
      </w:r>
      <w:r w:rsidR="00A14EBD">
        <w:rPr>
          <w:rFonts w:eastAsia="SimSun"/>
        </w:rPr>
        <w:t>’</w:t>
      </w:r>
      <w:r>
        <w:rPr>
          <w:rFonts w:eastAsia="SimSun"/>
        </w:rPr>
        <w:t xml:space="preserve">s total cash flow </w:t>
      </w:r>
      <w:proofErr w:type="gramStart"/>
      <w:r>
        <w:rPr>
          <w:rFonts w:eastAsia="SimSun"/>
        </w:rPr>
        <w:t>is managed</w:t>
      </w:r>
      <w:proofErr w:type="gramEnd"/>
      <w:r>
        <w:rPr>
          <w:rFonts w:eastAsia="SimSun"/>
        </w:rPr>
        <w:t xml:space="preserve"> on the margin.  Large changes in cash inflows or outflows can swing the level of short</w:t>
      </w:r>
      <w:r w:rsidR="00373E9C">
        <w:rPr>
          <w:rFonts w:eastAsia="SimSun"/>
        </w:rPr>
        <w:t>-</w:t>
      </w:r>
      <w:r>
        <w:rPr>
          <w:rFonts w:eastAsia="SimSun"/>
        </w:rPr>
        <w:t xml:space="preserve">term debt dramatically.  Examples of these include the </w:t>
      </w:r>
      <w:r w:rsidR="00FE7779">
        <w:rPr>
          <w:rFonts w:eastAsia="SimSun"/>
        </w:rPr>
        <w:t>T</w:t>
      </w:r>
      <w:r>
        <w:rPr>
          <w:rFonts w:eastAsia="SimSun"/>
        </w:rPr>
        <w:t xml:space="preserve">reasury </w:t>
      </w:r>
      <w:r w:rsidR="00FE7779">
        <w:rPr>
          <w:rFonts w:eastAsia="SimSun"/>
        </w:rPr>
        <w:t>G</w:t>
      </w:r>
      <w:r>
        <w:rPr>
          <w:rFonts w:eastAsia="SimSun"/>
        </w:rPr>
        <w:t xml:space="preserve">rants and the sales proceeds from the Jefferson </w:t>
      </w:r>
      <w:r w:rsidR="002B6819">
        <w:rPr>
          <w:rFonts w:eastAsia="SimSun"/>
        </w:rPr>
        <w:t>C</w:t>
      </w:r>
      <w:r>
        <w:rPr>
          <w:rFonts w:eastAsia="SimSun"/>
        </w:rPr>
        <w:t>ounty transaction, discussed earlier</w:t>
      </w:r>
      <w:r w:rsidR="00BD183D">
        <w:rPr>
          <w:rFonts w:ascii="Times New Roman" w:eastAsia="SimSun" w:hAnsi="Times New Roman"/>
        </w:rPr>
        <w:t xml:space="preserve">.  </w:t>
      </w:r>
      <w:r>
        <w:rPr>
          <w:rFonts w:eastAsia="SimSun"/>
        </w:rPr>
        <w:t>This makes the level of short</w:t>
      </w:r>
      <w:r w:rsidR="00373E9C">
        <w:rPr>
          <w:rFonts w:eastAsia="SimSun"/>
        </w:rPr>
        <w:t>-</w:t>
      </w:r>
      <w:r>
        <w:rPr>
          <w:rFonts w:eastAsia="SimSun"/>
        </w:rPr>
        <w:t>term debt more difficult to predict</w:t>
      </w:r>
      <w:r w:rsidR="00BD183D">
        <w:rPr>
          <w:rFonts w:ascii="Times New Roman" w:eastAsia="SimSun" w:hAnsi="Times New Roman"/>
        </w:rPr>
        <w:t>.</w:t>
      </w:r>
    </w:p>
    <w:p w:rsidR="00BD183D" w:rsidRDefault="00F81A2D" w:rsidP="00BD183D">
      <w:pPr>
        <w:pStyle w:val="answer"/>
        <w:ind w:firstLine="0"/>
        <w:rPr>
          <w:rFonts w:eastAsia="SimSun"/>
        </w:rPr>
      </w:pPr>
      <w:r>
        <w:rPr>
          <w:rFonts w:eastAsia="SimSun"/>
        </w:rPr>
        <w:t>Second, short</w:t>
      </w:r>
      <w:r w:rsidR="00373E9C">
        <w:rPr>
          <w:rFonts w:eastAsia="SimSun"/>
        </w:rPr>
        <w:t>-</w:t>
      </w:r>
      <w:r>
        <w:rPr>
          <w:rFonts w:eastAsia="SimSun"/>
        </w:rPr>
        <w:t>term interest rates tend to be more volatile than longer</w:t>
      </w:r>
      <w:r w:rsidR="00373E9C">
        <w:rPr>
          <w:rFonts w:eastAsia="SimSun"/>
        </w:rPr>
        <w:t>-</w:t>
      </w:r>
      <w:r>
        <w:rPr>
          <w:rFonts w:eastAsia="SimSun"/>
        </w:rPr>
        <w:t>term rates due to the impacts of changing inflation, among others</w:t>
      </w:r>
      <w:r w:rsidR="00BD183D">
        <w:rPr>
          <w:rFonts w:ascii="Times New Roman" w:eastAsia="SimSun" w:hAnsi="Times New Roman"/>
        </w:rPr>
        <w:t xml:space="preserve">.  </w:t>
      </w:r>
      <w:r>
        <w:rPr>
          <w:rFonts w:eastAsia="SimSun"/>
        </w:rPr>
        <w:t>This presents added uncertainty in predicting the level of short</w:t>
      </w:r>
      <w:r w:rsidR="00373E9C">
        <w:rPr>
          <w:rFonts w:eastAsia="SimSun"/>
        </w:rPr>
        <w:t>-</w:t>
      </w:r>
      <w:r>
        <w:rPr>
          <w:rFonts w:eastAsia="SimSun"/>
        </w:rPr>
        <w:t>term interest rates and</w:t>
      </w:r>
      <w:r w:rsidR="00FE7779">
        <w:rPr>
          <w:rFonts w:eastAsia="SimSun"/>
        </w:rPr>
        <w:t>,</w:t>
      </w:r>
      <w:r>
        <w:rPr>
          <w:rFonts w:eastAsia="SimSun"/>
        </w:rPr>
        <w:t xml:space="preserve"> ultimately</w:t>
      </w:r>
      <w:r w:rsidR="00FE7779">
        <w:rPr>
          <w:rFonts w:eastAsia="SimSun"/>
        </w:rPr>
        <w:t>,</w:t>
      </w:r>
      <w:r>
        <w:rPr>
          <w:rFonts w:eastAsia="SimSun"/>
        </w:rPr>
        <w:t xml:space="preserve"> the overall cost rate for short</w:t>
      </w:r>
      <w:r w:rsidR="00373E9C">
        <w:rPr>
          <w:rFonts w:eastAsia="SimSun"/>
        </w:rPr>
        <w:t>-</w:t>
      </w:r>
      <w:r>
        <w:rPr>
          <w:rFonts w:eastAsia="SimSun"/>
        </w:rPr>
        <w:t>term debt.</w:t>
      </w:r>
    </w:p>
    <w:p w:rsidR="00F81A2D" w:rsidRPr="00B14594" w:rsidRDefault="00F81A2D" w:rsidP="00BD183D">
      <w:pPr>
        <w:pStyle w:val="answer"/>
        <w:ind w:firstLine="0"/>
        <w:rPr>
          <w:rFonts w:eastAsia="SimSun"/>
        </w:rPr>
      </w:pPr>
      <w:r>
        <w:rPr>
          <w:rFonts w:eastAsia="SimSun"/>
        </w:rPr>
        <w:t>Third, PSE like many other utilities finances short</w:t>
      </w:r>
      <w:r w:rsidR="00373E9C">
        <w:rPr>
          <w:rFonts w:eastAsia="SimSun"/>
        </w:rPr>
        <w:t>-</w:t>
      </w:r>
      <w:r>
        <w:rPr>
          <w:rFonts w:eastAsia="SimSun"/>
        </w:rPr>
        <w:t xml:space="preserve">term debt with both commercial paper and revolving lines of credit with banks and will generally use the least expensive vehicle at the time of borrowing.  However, commercial paper markets are very sensitive to economic turbulence and can become illiquid for </w:t>
      </w:r>
      <w:proofErr w:type="gramStart"/>
      <w:r>
        <w:rPr>
          <w:rFonts w:eastAsia="SimSun"/>
        </w:rPr>
        <w:t>periods of time</w:t>
      </w:r>
      <w:proofErr w:type="gramEnd"/>
      <w:r>
        <w:rPr>
          <w:rFonts w:eastAsia="SimSun"/>
        </w:rPr>
        <w:t xml:space="preserve"> making them impossible to access or more expensive than other forms of short</w:t>
      </w:r>
      <w:r w:rsidR="00373E9C">
        <w:rPr>
          <w:rFonts w:eastAsia="SimSun"/>
        </w:rPr>
        <w:t>-</w:t>
      </w:r>
      <w:r>
        <w:rPr>
          <w:rFonts w:eastAsia="SimSun"/>
        </w:rPr>
        <w:t xml:space="preserve">term borrowing.  Accordingly, it is not possible to predict with accuracy what vehicle </w:t>
      </w:r>
      <w:proofErr w:type="gramStart"/>
      <w:r>
        <w:rPr>
          <w:rFonts w:eastAsia="SimSun"/>
        </w:rPr>
        <w:t>will be used</w:t>
      </w:r>
      <w:proofErr w:type="gramEnd"/>
      <w:r>
        <w:rPr>
          <w:rFonts w:eastAsia="SimSun"/>
        </w:rPr>
        <w:t xml:space="preserve"> and at what levels.  A comparison of the assumptions used in setting the hypothetical capital structure relative to short</w:t>
      </w:r>
      <w:r w:rsidR="00373E9C">
        <w:rPr>
          <w:rFonts w:eastAsia="SimSun"/>
        </w:rPr>
        <w:t>-</w:t>
      </w:r>
      <w:r>
        <w:rPr>
          <w:rFonts w:eastAsia="SimSun"/>
        </w:rPr>
        <w:t xml:space="preserve">term </w:t>
      </w:r>
      <w:r>
        <w:rPr>
          <w:rFonts w:eastAsia="SimSun"/>
        </w:rPr>
        <w:lastRenderedPageBreak/>
        <w:t xml:space="preserve">debt to those that underpin actual results as of March 31, 2013 and September 30, 2014 make </w:t>
      </w:r>
      <w:r w:rsidR="00BD183D">
        <w:rPr>
          <w:rFonts w:eastAsia="SimSun"/>
        </w:rPr>
        <w:t xml:space="preserve">this point abundantly clear.  </w:t>
      </w:r>
      <w:r>
        <w:rPr>
          <w:rFonts w:eastAsia="SimSun"/>
        </w:rPr>
        <w:t xml:space="preserve">The commercial paper markets have remained </w:t>
      </w:r>
      <w:proofErr w:type="gramStart"/>
      <w:r>
        <w:rPr>
          <w:rFonts w:eastAsia="SimSun"/>
        </w:rPr>
        <w:t>very liquid</w:t>
      </w:r>
      <w:proofErr w:type="gramEnd"/>
      <w:r>
        <w:rPr>
          <w:rFonts w:eastAsia="SimSun"/>
        </w:rPr>
        <w:t xml:space="preserve"> and less expensive</w:t>
      </w:r>
      <w:r w:rsidR="00BD183D">
        <w:rPr>
          <w:rFonts w:eastAsia="SimSun"/>
        </w:rPr>
        <w:t>,</w:t>
      </w:r>
      <w:r>
        <w:rPr>
          <w:rFonts w:eastAsia="SimSun"/>
        </w:rPr>
        <w:t xml:space="preserve"> and</w:t>
      </w:r>
      <w:r w:rsidR="00BD183D">
        <w:rPr>
          <w:rFonts w:eastAsia="SimSun"/>
        </w:rPr>
        <w:t xml:space="preserve">, </w:t>
      </w:r>
      <w:r>
        <w:rPr>
          <w:rFonts w:eastAsia="SimSun"/>
        </w:rPr>
        <w:t>as such</w:t>
      </w:r>
      <w:r w:rsidR="00BD183D">
        <w:rPr>
          <w:rFonts w:eastAsia="SimSun"/>
        </w:rPr>
        <w:t>,</w:t>
      </w:r>
      <w:r>
        <w:rPr>
          <w:rFonts w:eastAsia="SimSun"/>
        </w:rPr>
        <w:t xml:space="preserve"> </w:t>
      </w:r>
      <w:r w:rsidR="00BD183D">
        <w:rPr>
          <w:rFonts w:eastAsia="SimSun"/>
        </w:rPr>
        <w:t xml:space="preserve">PSE </w:t>
      </w:r>
      <w:r>
        <w:rPr>
          <w:rFonts w:eastAsia="SimSun"/>
        </w:rPr>
        <w:t xml:space="preserve">has not accessed its revolving lines of credit with any frequency in recent times. </w:t>
      </w:r>
      <w:r w:rsidR="00BD183D">
        <w:rPr>
          <w:rFonts w:eastAsia="SimSun"/>
        </w:rPr>
        <w:t xml:space="preserve"> </w:t>
      </w:r>
      <w:r>
        <w:rPr>
          <w:rFonts w:eastAsia="SimSun"/>
        </w:rPr>
        <w:t>Last, relative to the cost rate aspect of the discussion, the all-in cost of short</w:t>
      </w:r>
      <w:r w:rsidR="00373E9C">
        <w:rPr>
          <w:rFonts w:eastAsia="SimSun"/>
        </w:rPr>
        <w:t>-</w:t>
      </w:r>
      <w:r>
        <w:rPr>
          <w:rFonts w:eastAsia="SimSun"/>
        </w:rPr>
        <w:t>term debt includes line of credit commitment fees and short</w:t>
      </w:r>
      <w:r w:rsidR="00373E9C">
        <w:rPr>
          <w:rFonts w:eastAsia="SimSun"/>
        </w:rPr>
        <w:t>-</w:t>
      </w:r>
      <w:r>
        <w:rPr>
          <w:rFonts w:eastAsia="SimSun"/>
        </w:rPr>
        <w:t xml:space="preserve">term debt related amortization schedules.  Because these amounts do not change with the level of borrowing, any reduction in actual borrowing versus assumed borrowing will, all else equal, result in an increase in the actual cost rate compared to the assumed cost rate.  Conversely, any increase in actual borrowing versus assumed borrowing will, </w:t>
      </w:r>
      <w:proofErr w:type="gramStart"/>
      <w:r>
        <w:rPr>
          <w:rFonts w:eastAsia="SimSun"/>
        </w:rPr>
        <w:t>all else</w:t>
      </w:r>
      <w:proofErr w:type="gramEnd"/>
      <w:r>
        <w:rPr>
          <w:rFonts w:eastAsia="SimSun"/>
        </w:rPr>
        <w:t xml:space="preserve"> equal, result in a decrease in the cost rate compared to the assumed cost rate.  A review of Mr. </w:t>
      </w:r>
      <w:proofErr w:type="spellStart"/>
      <w:r>
        <w:rPr>
          <w:rFonts w:eastAsia="SimSun"/>
        </w:rPr>
        <w:t>Lohse</w:t>
      </w:r>
      <w:r w:rsidR="00A14EBD">
        <w:rPr>
          <w:rFonts w:eastAsia="SimSun"/>
        </w:rPr>
        <w:t>’</w:t>
      </w:r>
      <w:r>
        <w:rPr>
          <w:rFonts w:eastAsia="SimSun"/>
        </w:rPr>
        <w:t>s</w:t>
      </w:r>
      <w:proofErr w:type="spellEnd"/>
      <w:r>
        <w:rPr>
          <w:rFonts w:eastAsia="SimSun"/>
        </w:rPr>
        <w:t xml:space="preserve"> calculations of the actual short</w:t>
      </w:r>
      <w:r w:rsidR="00373E9C">
        <w:rPr>
          <w:rFonts w:eastAsia="SimSun"/>
        </w:rPr>
        <w:t>-</w:t>
      </w:r>
      <w:r>
        <w:rPr>
          <w:rFonts w:eastAsia="SimSun"/>
        </w:rPr>
        <w:t>term debt cost rates as of March</w:t>
      </w:r>
      <w:r w:rsidR="00BD183D">
        <w:rPr>
          <w:rFonts w:eastAsia="SimSun"/>
        </w:rPr>
        <w:t> </w:t>
      </w:r>
      <w:r>
        <w:rPr>
          <w:rFonts w:eastAsia="SimSun"/>
        </w:rPr>
        <w:t xml:space="preserve">31, </w:t>
      </w:r>
      <w:r w:rsidR="006B12B2">
        <w:rPr>
          <w:rFonts w:eastAsia="SimSun"/>
        </w:rPr>
        <w:t>2013</w:t>
      </w:r>
      <w:r>
        <w:rPr>
          <w:rFonts w:eastAsia="SimSun"/>
        </w:rPr>
        <w:t xml:space="preserve"> and September 30, 2014 in comparison to the same calculations used in deriving the hypothetical capital structure in the 2011 general rate case are illustrative in this regard.  All of these factors work together to make the task of accurately predicting the percentage of short</w:t>
      </w:r>
      <w:r w:rsidR="00373E9C">
        <w:rPr>
          <w:rFonts w:eastAsia="SimSun"/>
        </w:rPr>
        <w:t>-</w:t>
      </w:r>
      <w:r>
        <w:rPr>
          <w:rFonts w:eastAsia="SimSun"/>
        </w:rPr>
        <w:t>term debt in the capital structure and related cost rates challenging, if not impossible.</w:t>
      </w:r>
    </w:p>
    <w:p w:rsidR="00DF0A93" w:rsidRPr="00EE3ECD" w:rsidRDefault="009C3E59" w:rsidP="007548F1">
      <w:pPr>
        <w:pStyle w:val="question"/>
      </w:pPr>
      <w:r>
        <w:rPr>
          <w:rFonts w:eastAsia="SimSun"/>
        </w:rPr>
        <w:t>Q.</w:t>
      </w:r>
      <w:r>
        <w:rPr>
          <w:rFonts w:eastAsia="SimSun"/>
        </w:rPr>
        <w:tab/>
      </w:r>
      <w:r w:rsidR="00DF0A93" w:rsidRPr="00EE3ECD">
        <w:rPr>
          <w:rFonts w:eastAsia="SimSun"/>
        </w:rPr>
        <w:t xml:space="preserve">What is the basis for </w:t>
      </w:r>
      <w:r w:rsidR="00FA5DBE">
        <w:rPr>
          <w:rFonts w:eastAsia="SimSun"/>
        </w:rPr>
        <w:t>PSE</w:t>
      </w:r>
      <w:r w:rsidR="00A14EBD">
        <w:rPr>
          <w:rFonts w:eastAsia="SimSun"/>
        </w:rPr>
        <w:t>’</w:t>
      </w:r>
      <w:r w:rsidR="00FA5DBE">
        <w:rPr>
          <w:rFonts w:eastAsia="SimSun"/>
        </w:rPr>
        <w:t xml:space="preserve">s proposal to maintain the 7.77 </w:t>
      </w:r>
      <w:r w:rsidR="002B6819">
        <w:rPr>
          <w:rFonts w:eastAsia="SimSun"/>
        </w:rPr>
        <w:t xml:space="preserve">percent </w:t>
      </w:r>
      <w:r w:rsidR="00FA5DBE">
        <w:rPr>
          <w:rFonts w:eastAsia="SimSun"/>
        </w:rPr>
        <w:t>overall rate of return</w:t>
      </w:r>
      <w:r w:rsidR="00DF0A93" w:rsidRPr="00EE3ECD">
        <w:rPr>
          <w:rFonts w:eastAsia="SimSun"/>
        </w:rPr>
        <w:t>?</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FA5DBE">
        <w:rPr>
          <w:rFonts w:ascii="Times New Roman" w:eastAsia="SimSun" w:hAnsi="Times New Roman"/>
        </w:rPr>
        <w:t xml:space="preserve">The authorized 7.77 </w:t>
      </w:r>
      <w:r w:rsidR="002B6819">
        <w:rPr>
          <w:rFonts w:ascii="Times New Roman" w:eastAsia="SimSun" w:hAnsi="Times New Roman"/>
        </w:rPr>
        <w:t xml:space="preserve">percent </w:t>
      </w:r>
      <w:r w:rsidR="00FA5DBE">
        <w:rPr>
          <w:rFonts w:ascii="Times New Roman" w:eastAsia="SimSun" w:hAnsi="Times New Roman"/>
        </w:rPr>
        <w:t>rate of return that has been in effect since July 1, 2013 is reasonable and, in fact, conservative in light of PSE</w:t>
      </w:r>
      <w:r w:rsidR="00A14EBD">
        <w:rPr>
          <w:rFonts w:ascii="Times New Roman" w:eastAsia="SimSun" w:hAnsi="Times New Roman"/>
        </w:rPr>
        <w:t>’</w:t>
      </w:r>
      <w:r w:rsidR="00C03420">
        <w:rPr>
          <w:rFonts w:ascii="Times New Roman" w:eastAsia="SimSun" w:hAnsi="Times New Roman"/>
        </w:rPr>
        <w:t xml:space="preserve">s </w:t>
      </w:r>
      <w:r w:rsidR="00FA5DBE">
        <w:rPr>
          <w:rFonts w:ascii="Times New Roman" w:eastAsia="SimSun" w:hAnsi="Times New Roman"/>
        </w:rPr>
        <w:t>actual capital structure</w:t>
      </w:r>
      <w:r w:rsidR="00C03420">
        <w:rPr>
          <w:rFonts w:ascii="Times New Roman" w:eastAsia="SimSun" w:hAnsi="Times New Roman"/>
        </w:rPr>
        <w:t>,</w:t>
      </w:r>
      <w:r w:rsidR="00FA5DBE">
        <w:rPr>
          <w:rFonts w:ascii="Times New Roman" w:eastAsia="SimSun" w:hAnsi="Times New Roman"/>
        </w:rPr>
        <w:t xml:space="preserve"> debt </w:t>
      </w:r>
      <w:proofErr w:type="gramStart"/>
      <w:r w:rsidR="00FA5DBE">
        <w:rPr>
          <w:rFonts w:ascii="Times New Roman" w:eastAsia="SimSun" w:hAnsi="Times New Roman"/>
        </w:rPr>
        <w:t>co</w:t>
      </w:r>
      <w:r w:rsidR="00BD183D">
        <w:rPr>
          <w:rFonts w:ascii="Times New Roman" w:eastAsia="SimSun" w:hAnsi="Times New Roman"/>
        </w:rPr>
        <w:t>sts</w:t>
      </w:r>
      <w:proofErr w:type="gramEnd"/>
      <w:r w:rsidR="00BD183D">
        <w:rPr>
          <w:rFonts w:ascii="Times New Roman" w:eastAsia="SimSun" w:hAnsi="Times New Roman"/>
        </w:rPr>
        <w:t xml:space="preserve"> and equity costs.</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 xml:space="preserve">Is the </w:t>
      </w:r>
      <w:r w:rsidR="004B56AB">
        <w:rPr>
          <w:rFonts w:ascii="Times New Roman" w:eastAsia="SimSun" w:hAnsi="Times New Roman"/>
        </w:rPr>
        <w:t xml:space="preserve">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sufficient for the remainder of the rate plan?</w:t>
      </w:r>
    </w:p>
    <w:p w:rsidR="00DF0A93" w:rsidRPr="00EE3ECD"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r>
      <w:r w:rsidR="004B56AB">
        <w:rPr>
          <w:rFonts w:ascii="Times New Roman" w:eastAsia="SimSun" w:hAnsi="Times New Roman"/>
        </w:rPr>
        <w:t xml:space="preserve">Although </w:t>
      </w:r>
      <w:r w:rsidRPr="00EE3ECD">
        <w:rPr>
          <w:rFonts w:ascii="Times New Roman" w:eastAsia="SimSun" w:hAnsi="Times New Roman"/>
        </w:rPr>
        <w:t>a</w:t>
      </w:r>
      <w:r w:rsidR="004B56AB">
        <w:rPr>
          <w:rFonts w:ascii="Times New Roman" w:eastAsia="SimSun" w:hAnsi="Times New Roman"/>
        </w:rPr>
        <w:t xml:space="preserve">n 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 xml:space="preserve">is currently below the average </w:t>
      </w:r>
      <w:r w:rsidR="004B56AB">
        <w:rPr>
          <w:rFonts w:ascii="Times New Roman" w:eastAsia="SimSun" w:hAnsi="Times New Roman"/>
        </w:rPr>
        <w:t xml:space="preserve">equity ratio authorized by state regulatory agencies in 2013 </w:t>
      </w:r>
      <w:r w:rsidRPr="00EE3ECD">
        <w:rPr>
          <w:rFonts w:ascii="Times New Roman" w:eastAsia="SimSun" w:hAnsi="Times New Roman"/>
        </w:rPr>
        <w:t xml:space="preserve">and a higher </w:t>
      </w:r>
      <w:r w:rsidR="004B56AB">
        <w:rPr>
          <w:rFonts w:ascii="Times New Roman" w:eastAsia="SimSun" w:hAnsi="Times New Roman"/>
        </w:rPr>
        <w:t xml:space="preserve">authorized </w:t>
      </w:r>
      <w:r w:rsidRPr="00EE3ECD">
        <w:rPr>
          <w:rFonts w:ascii="Times New Roman" w:eastAsia="SimSun" w:hAnsi="Times New Roman"/>
        </w:rPr>
        <w:t xml:space="preserve">equity ratio would undoubtedly improve </w:t>
      </w:r>
      <w:r w:rsidR="004B56AB">
        <w:rPr>
          <w:rFonts w:ascii="Times New Roman" w:eastAsia="SimSun" w:hAnsi="Times New Roman"/>
        </w:rPr>
        <w:t>PSE</w:t>
      </w:r>
      <w:r w:rsidR="00A14EBD">
        <w:rPr>
          <w:rFonts w:ascii="Times New Roman" w:eastAsia="SimSun" w:hAnsi="Times New Roman"/>
        </w:rPr>
        <w:t>’</w:t>
      </w:r>
      <w:r w:rsidR="004B56AB">
        <w:rPr>
          <w:rFonts w:ascii="Times New Roman" w:eastAsia="SimSun" w:hAnsi="Times New Roman"/>
        </w:rPr>
        <w:t xml:space="preserve">s </w:t>
      </w:r>
      <w:r w:rsidRPr="00EE3ECD">
        <w:rPr>
          <w:rFonts w:ascii="Times New Roman" w:eastAsia="SimSun" w:hAnsi="Times New Roman"/>
        </w:rPr>
        <w:t xml:space="preserve">overall financial profile and ability to raise capital, </w:t>
      </w:r>
      <w:r w:rsidR="004B56AB">
        <w:rPr>
          <w:rFonts w:ascii="Times New Roman" w:eastAsia="SimSun" w:hAnsi="Times New Roman"/>
        </w:rPr>
        <w:t xml:space="preserve">PSE </w:t>
      </w:r>
      <w:r w:rsidRPr="00EE3ECD">
        <w:rPr>
          <w:rFonts w:ascii="Times New Roman" w:eastAsia="SimSun" w:hAnsi="Times New Roman"/>
        </w:rPr>
        <w:t xml:space="preserve">proposes no change to the </w:t>
      </w:r>
      <w:r w:rsidR="004B56AB">
        <w:rPr>
          <w:rFonts w:ascii="Times New Roman" w:eastAsia="SimSun" w:hAnsi="Times New Roman"/>
        </w:rPr>
        <w:t xml:space="preserve">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 xml:space="preserve">embedded in </w:t>
      </w:r>
      <w:r w:rsidR="004B56AB">
        <w:rPr>
          <w:rFonts w:ascii="Times New Roman" w:eastAsia="SimSun" w:hAnsi="Times New Roman"/>
        </w:rPr>
        <w:t xml:space="preserve">the authorized rate of return of </w:t>
      </w:r>
      <w:r w:rsidRPr="00EE3ECD">
        <w:rPr>
          <w:rFonts w:ascii="Times New Roman" w:eastAsia="SimSun" w:hAnsi="Times New Roman"/>
        </w:rPr>
        <w:t>7.77</w:t>
      </w:r>
      <w:r w:rsidR="00E342C3">
        <w:rPr>
          <w:rFonts w:ascii="Times New Roman" w:eastAsia="SimSun" w:hAnsi="Times New Roman"/>
        </w:rPr>
        <w:t> percent</w:t>
      </w:r>
      <w:r w:rsidRPr="00EE3ECD">
        <w:rPr>
          <w:rFonts w:ascii="Times New Roman" w:eastAsia="SimSun" w:hAnsi="Times New Roman"/>
        </w:rPr>
        <w:t xml:space="preserve"> for the following reasons:</w:t>
      </w:r>
      <w:proofErr w:type="gramEnd"/>
    </w:p>
    <w:p w:rsidR="00C73260" w:rsidRPr="00EE3ECD" w:rsidRDefault="00C73260" w:rsidP="00C73260">
      <w:pPr>
        <w:spacing w:before="120" w:after="280" w:line="240" w:lineRule="auto"/>
        <w:ind w:left="2160" w:right="720" w:hanging="720"/>
        <w:rPr>
          <w:rFonts w:eastAsia="SimSun"/>
        </w:rPr>
      </w:pPr>
      <w:r w:rsidRPr="00EE3ECD">
        <w:rPr>
          <w:rFonts w:eastAsia="SimSun"/>
        </w:rPr>
        <w:t>(</w:t>
      </w:r>
      <w:proofErr w:type="spellStart"/>
      <w:r w:rsidRPr="00EE3ECD">
        <w:rPr>
          <w:rFonts w:eastAsia="SimSun"/>
        </w:rPr>
        <w:t>i</w:t>
      </w:r>
      <w:proofErr w:type="spellEnd"/>
      <w:r w:rsidRPr="00EE3ECD">
        <w:rPr>
          <w:rFonts w:eastAsia="SimSun"/>
        </w:rPr>
        <w:t>)</w:t>
      </w:r>
      <w:r w:rsidRPr="00EE3ECD">
        <w:rPr>
          <w:rFonts w:eastAsia="SimSun"/>
        </w:rPr>
        <w:tab/>
      </w:r>
      <w:r w:rsidR="00FE7779">
        <w:rPr>
          <w:rFonts w:eastAsia="SimSun"/>
        </w:rPr>
        <w:t xml:space="preserve">PSE </w:t>
      </w:r>
      <w:r w:rsidR="00FE7779" w:rsidRPr="00EE3ECD">
        <w:rPr>
          <w:rFonts w:eastAsia="SimSun"/>
        </w:rPr>
        <w:t>has maintained a</w:t>
      </w:r>
      <w:r w:rsidR="00FE7779">
        <w:rPr>
          <w:rFonts w:eastAsia="SimSun"/>
        </w:rPr>
        <w:t xml:space="preserve">n actual capital structure with an equity ratio at or above </w:t>
      </w:r>
      <w:r w:rsidR="00FE7779" w:rsidRPr="00EE3ECD">
        <w:rPr>
          <w:rFonts w:eastAsia="SimSun"/>
        </w:rPr>
        <w:t>48</w:t>
      </w:r>
      <w:r w:rsidR="00FE7779">
        <w:rPr>
          <w:rFonts w:eastAsia="SimSun"/>
        </w:rPr>
        <w:t> percent during 2013 and 2014</w:t>
      </w:r>
      <w:proofErr w:type="gramStart"/>
      <w:r w:rsidR="00FE7779">
        <w:rPr>
          <w:rFonts w:eastAsia="SimSun"/>
        </w:rPr>
        <w:t>;</w:t>
      </w:r>
      <w:proofErr w:type="gramEnd"/>
    </w:p>
    <w:p w:rsidR="00E342C3" w:rsidRDefault="00DF0A93" w:rsidP="00C73260">
      <w:pPr>
        <w:spacing w:before="120" w:after="280" w:line="240" w:lineRule="auto"/>
        <w:ind w:left="2160" w:right="720" w:hanging="720"/>
        <w:rPr>
          <w:rFonts w:eastAsia="SimSun"/>
        </w:rPr>
      </w:pPr>
      <w:r w:rsidRPr="00EE3ECD">
        <w:rPr>
          <w:rFonts w:eastAsia="SimSun"/>
        </w:rPr>
        <w:t>(ii)</w:t>
      </w:r>
      <w:r w:rsidR="00C73260" w:rsidRPr="00EE3ECD">
        <w:rPr>
          <w:rFonts w:eastAsia="SimSun"/>
        </w:rPr>
        <w:tab/>
      </w:r>
      <w:r w:rsidR="00FE7779">
        <w:rPr>
          <w:rFonts w:eastAsia="SimSun"/>
        </w:rPr>
        <w:t xml:space="preserve">PSE intends to </w:t>
      </w:r>
      <w:r w:rsidR="00FE7779" w:rsidRPr="00EE3ECD">
        <w:rPr>
          <w:rFonts w:eastAsia="SimSun"/>
        </w:rPr>
        <w:t>maintain a</w:t>
      </w:r>
      <w:r w:rsidR="00FE7779">
        <w:rPr>
          <w:rFonts w:eastAsia="SimSun"/>
        </w:rPr>
        <w:t xml:space="preserve">n actual capital structure with an equity ratio at or above </w:t>
      </w:r>
      <w:r w:rsidR="00FE7779" w:rsidRPr="00EE3ECD">
        <w:rPr>
          <w:rFonts w:eastAsia="SimSun"/>
        </w:rPr>
        <w:t>48</w:t>
      </w:r>
      <w:r w:rsidR="00FE7779">
        <w:rPr>
          <w:rFonts w:eastAsia="SimSun"/>
        </w:rPr>
        <w:t> percent at least for the remainder of the rate plan</w:t>
      </w:r>
      <w:proofErr w:type="gramStart"/>
      <w:r w:rsidR="00FE7779">
        <w:rPr>
          <w:rFonts w:eastAsia="SimSun"/>
        </w:rPr>
        <w:t>;</w:t>
      </w:r>
      <w:proofErr w:type="gramEnd"/>
      <w:r w:rsidR="00FE7779">
        <w:rPr>
          <w:rFonts w:eastAsia="SimSun"/>
        </w:rPr>
        <w:t xml:space="preserve"> </w:t>
      </w:r>
    </w:p>
    <w:p w:rsidR="00E342C3" w:rsidRDefault="00E342C3" w:rsidP="00E342C3">
      <w:pPr>
        <w:spacing w:before="120" w:after="280" w:line="240" w:lineRule="auto"/>
        <w:ind w:left="2160" w:right="720" w:hanging="720"/>
        <w:rPr>
          <w:rFonts w:eastAsia="SimSun"/>
        </w:rPr>
      </w:pPr>
      <w:r w:rsidRPr="00EE3ECD">
        <w:rPr>
          <w:rFonts w:eastAsia="SimSun"/>
        </w:rPr>
        <w:t>(</w:t>
      </w:r>
      <w:r>
        <w:rPr>
          <w:rFonts w:eastAsia="SimSun"/>
        </w:rPr>
        <w:t>i</w:t>
      </w:r>
      <w:r w:rsidRPr="00EE3ECD">
        <w:rPr>
          <w:rFonts w:eastAsia="SimSun"/>
        </w:rPr>
        <w:t>ii)</w:t>
      </w:r>
      <w:r w:rsidRPr="00EE3ECD">
        <w:rPr>
          <w:rFonts w:eastAsia="SimSun"/>
        </w:rPr>
        <w:tab/>
      </w:r>
      <w:r w:rsidR="00FE7779">
        <w:rPr>
          <w:rFonts w:eastAsia="SimSun"/>
        </w:rPr>
        <w:t xml:space="preserve">at an authorized ROE of </w:t>
      </w:r>
      <w:r w:rsidR="00FE7779" w:rsidRPr="00EE3ECD">
        <w:rPr>
          <w:rFonts w:eastAsia="SimSun"/>
        </w:rPr>
        <w:t>9.8</w:t>
      </w:r>
      <w:r w:rsidR="00FE7779">
        <w:rPr>
          <w:rFonts w:eastAsia="SimSun"/>
        </w:rPr>
        <w:t> percent</w:t>
      </w:r>
      <w:r w:rsidR="00FE7779" w:rsidRPr="00EE3ECD">
        <w:rPr>
          <w:rFonts w:eastAsia="SimSun"/>
        </w:rPr>
        <w:t xml:space="preserve">, and under normal and anticipated operating and economic conditions, </w:t>
      </w:r>
      <w:r w:rsidR="00FE7779">
        <w:rPr>
          <w:rFonts w:eastAsia="SimSun"/>
        </w:rPr>
        <w:t>PSE</w:t>
      </w:r>
      <w:r w:rsidR="00A14EBD">
        <w:rPr>
          <w:rFonts w:eastAsia="SimSun"/>
        </w:rPr>
        <w:t>’</w:t>
      </w:r>
      <w:r w:rsidR="00FE7779">
        <w:rPr>
          <w:rFonts w:eastAsia="SimSun"/>
        </w:rPr>
        <w:t xml:space="preserve">s </w:t>
      </w:r>
      <w:r w:rsidR="009639BB">
        <w:rPr>
          <w:rFonts w:eastAsia="SimSun"/>
        </w:rPr>
        <w:t>ability to access the capital markets should not be impaired</w:t>
      </w:r>
      <w:r w:rsidR="00FE7779" w:rsidRPr="00EE3ECD">
        <w:rPr>
          <w:rFonts w:eastAsia="SimSun"/>
        </w:rPr>
        <w:t xml:space="preserve"> for the remainder of the rate plan;</w:t>
      </w:r>
      <w:r w:rsidR="009639BB">
        <w:rPr>
          <w:rFonts w:eastAsia="SimSun"/>
        </w:rPr>
        <w:t xml:space="preserve"> and</w:t>
      </w:r>
    </w:p>
    <w:p w:rsidR="00DF0A93" w:rsidRPr="00EE3ECD" w:rsidRDefault="004B56AB" w:rsidP="00C73260">
      <w:pPr>
        <w:spacing w:before="120" w:after="280" w:line="240" w:lineRule="auto"/>
        <w:ind w:left="2160" w:right="720" w:hanging="720"/>
        <w:rPr>
          <w:rFonts w:eastAsia="SimSun"/>
        </w:rPr>
      </w:pPr>
      <w:r w:rsidRPr="004B56AB">
        <w:rPr>
          <w:rFonts w:eastAsia="SimSun"/>
        </w:rPr>
        <w:t>(iv)</w:t>
      </w:r>
      <w:r w:rsidR="00E342C3">
        <w:rPr>
          <w:rFonts w:eastAsia="SimSun"/>
        </w:rPr>
        <w:tab/>
      </w:r>
      <w:r w:rsidRPr="004B56AB">
        <w:rPr>
          <w:rFonts w:eastAsia="SimSun"/>
        </w:rPr>
        <w:t xml:space="preserve">PSE agreed to a multi-year rate plan with limited rate increases and an earnings cap based on the understanding that </w:t>
      </w:r>
      <w:proofErr w:type="gramStart"/>
      <w:r w:rsidRPr="004B56AB">
        <w:rPr>
          <w:rFonts w:eastAsia="SimSun"/>
        </w:rPr>
        <w:t>PSE</w:t>
      </w:r>
      <w:r w:rsidR="00A14EBD">
        <w:rPr>
          <w:rFonts w:eastAsia="SimSun"/>
        </w:rPr>
        <w:t>’</w:t>
      </w:r>
      <w:r w:rsidRPr="004B56AB">
        <w:rPr>
          <w:rFonts w:eastAsia="SimSun"/>
        </w:rPr>
        <w:t>s</w:t>
      </w:r>
      <w:proofErr w:type="gramEnd"/>
      <w:r w:rsidRPr="004B56AB">
        <w:rPr>
          <w:rFonts w:eastAsia="SimSun"/>
        </w:rPr>
        <w:t xml:space="preserve"> </w:t>
      </w:r>
      <w:r w:rsidR="00E342C3">
        <w:rPr>
          <w:rFonts w:eastAsia="SimSun"/>
        </w:rPr>
        <w:t xml:space="preserve">authorized </w:t>
      </w:r>
      <w:r w:rsidRPr="004B56AB">
        <w:rPr>
          <w:rFonts w:eastAsia="SimSun"/>
        </w:rPr>
        <w:t>ca</w:t>
      </w:r>
      <w:r w:rsidR="00E342C3">
        <w:rPr>
          <w:rFonts w:eastAsia="SimSun"/>
        </w:rPr>
        <w:t xml:space="preserve">pital structure would include an equity ratio of </w:t>
      </w:r>
      <w:r w:rsidRPr="004B56AB">
        <w:rPr>
          <w:rFonts w:eastAsia="SimSun"/>
        </w:rPr>
        <w:t>48</w:t>
      </w:r>
      <w:r w:rsidR="00E342C3">
        <w:rPr>
          <w:rFonts w:eastAsia="SimSun"/>
        </w:rPr>
        <w:t> </w:t>
      </w:r>
      <w:r w:rsidRPr="004B56AB">
        <w:rPr>
          <w:rFonts w:eastAsia="SimSun"/>
        </w:rPr>
        <w:t xml:space="preserve">percent </w:t>
      </w:r>
      <w:r w:rsidR="00E342C3">
        <w:rPr>
          <w:rFonts w:eastAsia="SimSun"/>
        </w:rPr>
        <w:t xml:space="preserve">and an authorized ROE of </w:t>
      </w:r>
      <w:r w:rsidRPr="004B56AB">
        <w:rPr>
          <w:rFonts w:eastAsia="SimSun"/>
        </w:rPr>
        <w:t>9.8</w:t>
      </w:r>
      <w:r w:rsidR="00E342C3">
        <w:rPr>
          <w:rFonts w:eastAsia="SimSun"/>
        </w:rPr>
        <w:t> percent</w:t>
      </w:r>
      <w:r w:rsidR="00DF0A93" w:rsidRPr="00EE3ECD">
        <w:rPr>
          <w:rFonts w:eastAsia="SimSu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If the </w:t>
      </w:r>
      <w:r w:rsidR="00E342C3">
        <w:rPr>
          <w:rFonts w:ascii="Times New Roman" w:eastAsia="SimSun" w:hAnsi="Times New Roman"/>
        </w:rPr>
        <w:t>C</w:t>
      </w:r>
      <w:r w:rsidRPr="00EE3ECD">
        <w:rPr>
          <w:rFonts w:ascii="Times New Roman" w:eastAsia="SimSun" w:hAnsi="Times New Roman"/>
        </w:rPr>
        <w:t xml:space="preserve">ommission </w:t>
      </w:r>
      <w:r w:rsidR="00E342C3">
        <w:rPr>
          <w:rFonts w:ascii="Times New Roman" w:eastAsia="SimSun" w:hAnsi="Times New Roman"/>
        </w:rPr>
        <w:t xml:space="preserve">were to </w:t>
      </w:r>
      <w:r w:rsidRPr="00EE3ECD">
        <w:rPr>
          <w:rFonts w:ascii="Times New Roman" w:eastAsia="SimSun" w:hAnsi="Times New Roman"/>
        </w:rPr>
        <w:t>reduc</w:t>
      </w:r>
      <w:r w:rsidR="00E342C3">
        <w:rPr>
          <w:rFonts w:ascii="Times New Roman" w:eastAsia="SimSun" w:hAnsi="Times New Roman"/>
        </w:rPr>
        <w:t>e</w:t>
      </w:r>
      <w:r w:rsidRPr="00EE3ECD">
        <w:rPr>
          <w:rFonts w:ascii="Times New Roman" w:eastAsia="SimSun" w:hAnsi="Times New Roman"/>
        </w:rPr>
        <w:t xml:space="preserve"> </w:t>
      </w:r>
      <w:proofErr w:type="gramStart"/>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s</w:t>
      </w:r>
      <w:proofErr w:type="gramEnd"/>
      <w:r w:rsidR="00E342C3">
        <w:rPr>
          <w:rFonts w:ascii="Times New Roman" w:eastAsia="SimSun" w:hAnsi="Times New Roman"/>
        </w:rPr>
        <w:t xml:space="preserve"> authorized ROE </w:t>
      </w:r>
      <w:r w:rsidRPr="00EE3ECD">
        <w:rPr>
          <w:rFonts w:ascii="Times New Roman" w:eastAsia="SimSun" w:hAnsi="Times New Roman"/>
        </w:rPr>
        <w:t xml:space="preserve">in this proceeding, should the </w:t>
      </w:r>
      <w:r w:rsidR="00E342C3">
        <w:rPr>
          <w:rFonts w:ascii="Times New Roman" w:eastAsia="SimSun" w:hAnsi="Times New Roman"/>
        </w:rPr>
        <w:t>Commission also adjust PSE</w:t>
      </w:r>
      <w:r w:rsidR="00A14EBD">
        <w:rPr>
          <w:rFonts w:ascii="Times New Roman" w:eastAsia="SimSun" w:hAnsi="Times New Roman"/>
        </w:rPr>
        <w:t>’</w:t>
      </w:r>
      <w:r w:rsidR="00E342C3">
        <w:rPr>
          <w:rFonts w:ascii="Times New Roman" w:eastAsia="SimSun" w:hAnsi="Times New Roman"/>
        </w:rPr>
        <w:t>s authorized capital structure</w:t>
      </w:r>
      <w:r w:rsidRPr="00EE3ECD">
        <w:rPr>
          <w:rFonts w:ascii="Times New Roman" w:eastAsia="SimSun" w:hAnsi="Times New Roman"/>
        </w:rPr>
        <w:t>?</w:t>
      </w:r>
    </w:p>
    <w:p w:rsidR="00C73260" w:rsidRPr="00EE3ECD" w:rsidRDefault="00C73260" w:rsidP="00C73260">
      <w:pPr>
        <w:pStyle w:val="answer"/>
        <w:rPr>
          <w:rFonts w:ascii="Times New Roman" w:eastAsia="SimSun" w:hAnsi="Times New Roman"/>
        </w:rPr>
      </w:pPr>
      <w:proofErr w:type="gramStart"/>
      <w:r w:rsidRPr="00EE3ECD">
        <w:rPr>
          <w:rFonts w:ascii="Times New Roman" w:eastAsia="SimSun" w:hAnsi="Times New Roman"/>
        </w:rPr>
        <w:t>A.</w:t>
      </w:r>
      <w:r w:rsidR="00DF0A93" w:rsidRPr="00EE3ECD">
        <w:rPr>
          <w:rFonts w:ascii="Times New Roman" w:eastAsia="SimSun" w:hAnsi="Times New Roman"/>
        </w:rPr>
        <w:tab/>
        <w:t>Yes.</w:t>
      </w:r>
      <w:proofErr w:type="gramEnd"/>
      <w:r w:rsidR="00DF0A93" w:rsidRPr="00EE3ECD">
        <w:rPr>
          <w:rFonts w:ascii="Times New Roman" w:eastAsia="SimSun" w:hAnsi="Times New Roman"/>
        </w:rPr>
        <w:t xml:space="preserve">  </w:t>
      </w:r>
      <w:r w:rsidR="00E342C3" w:rsidRPr="00EE3ECD">
        <w:rPr>
          <w:rFonts w:ascii="Times New Roman" w:eastAsia="SimSun" w:hAnsi="Times New Roman"/>
        </w:rPr>
        <w:t xml:space="preserve">If the </w:t>
      </w:r>
      <w:r w:rsidR="00E342C3">
        <w:rPr>
          <w:rFonts w:ascii="Times New Roman" w:eastAsia="SimSun" w:hAnsi="Times New Roman"/>
        </w:rPr>
        <w:t>C</w:t>
      </w:r>
      <w:r w:rsidR="00E342C3" w:rsidRPr="00EE3ECD">
        <w:rPr>
          <w:rFonts w:ascii="Times New Roman" w:eastAsia="SimSun" w:hAnsi="Times New Roman"/>
        </w:rPr>
        <w:t xml:space="preserve">ommission </w:t>
      </w:r>
      <w:proofErr w:type="gramStart"/>
      <w:r w:rsidR="00E342C3">
        <w:rPr>
          <w:rFonts w:ascii="Times New Roman" w:eastAsia="SimSun" w:hAnsi="Times New Roman"/>
        </w:rPr>
        <w:t>were</w:t>
      </w:r>
      <w:proofErr w:type="gramEnd"/>
      <w:r w:rsidR="00E342C3">
        <w:rPr>
          <w:rFonts w:ascii="Times New Roman" w:eastAsia="SimSun" w:hAnsi="Times New Roman"/>
        </w:rPr>
        <w:t xml:space="preserve"> to </w:t>
      </w:r>
      <w:r w:rsidR="00E342C3" w:rsidRPr="00EE3ECD">
        <w:rPr>
          <w:rFonts w:ascii="Times New Roman" w:eastAsia="SimSun" w:hAnsi="Times New Roman"/>
        </w:rPr>
        <w:t>reduc</w:t>
      </w:r>
      <w:r w:rsidR="00E342C3">
        <w:rPr>
          <w:rFonts w:ascii="Times New Roman" w:eastAsia="SimSun" w:hAnsi="Times New Roman"/>
        </w:rPr>
        <w:t>e</w:t>
      </w:r>
      <w:r w:rsidR="00E342C3" w:rsidRPr="00EE3ECD">
        <w:rPr>
          <w:rFonts w:ascii="Times New Roman" w:eastAsia="SimSun" w:hAnsi="Times New Roman"/>
        </w:rPr>
        <w:t xml:space="preserve">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authorized ROE </w:t>
      </w:r>
      <w:r w:rsidR="00E342C3" w:rsidRPr="00EE3ECD">
        <w:rPr>
          <w:rFonts w:ascii="Times New Roman" w:eastAsia="SimSun" w:hAnsi="Times New Roman"/>
        </w:rPr>
        <w:t xml:space="preserve">in this proceeding, </w:t>
      </w:r>
      <w:r w:rsidR="00E342C3">
        <w:rPr>
          <w:rFonts w:ascii="Times New Roman" w:eastAsia="SimSun" w:hAnsi="Times New Roman"/>
        </w:rPr>
        <w:t>the Commission should also adjust PSE</w:t>
      </w:r>
      <w:r w:rsidR="00A14EBD">
        <w:rPr>
          <w:rFonts w:ascii="Times New Roman" w:eastAsia="SimSun" w:hAnsi="Times New Roman"/>
        </w:rPr>
        <w:t>’</w:t>
      </w:r>
      <w:r w:rsidR="00E342C3">
        <w:rPr>
          <w:rFonts w:ascii="Times New Roman" w:eastAsia="SimSun" w:hAnsi="Times New Roman"/>
        </w:rPr>
        <w:t xml:space="preserve">s authorized capital structure, </w:t>
      </w:r>
      <w:r w:rsidR="00DF0A93" w:rsidRPr="00EE3ECD">
        <w:rPr>
          <w:rFonts w:ascii="Times New Roman" w:eastAsia="SimSun" w:hAnsi="Times New Roman"/>
        </w:rPr>
        <w:t>as necessary</w:t>
      </w:r>
      <w:r w:rsidR="00E342C3">
        <w:rPr>
          <w:rFonts w:ascii="Times New Roman" w:eastAsia="SimSun" w:hAnsi="Times New Roman"/>
        </w:rPr>
        <w:t xml:space="preserve">, </w:t>
      </w:r>
      <w:r w:rsidR="00DF0A93" w:rsidRPr="00EE3ECD">
        <w:rPr>
          <w:rFonts w:ascii="Times New Roman" w:eastAsia="SimSun" w:hAnsi="Times New Roman"/>
        </w:rPr>
        <w:t>to maintain a</w:t>
      </w:r>
      <w:r w:rsidR="00E342C3">
        <w:rPr>
          <w:rFonts w:ascii="Times New Roman" w:eastAsia="SimSun" w:hAnsi="Times New Roman"/>
        </w:rPr>
        <w:t>n authorized rate of return of</w:t>
      </w:r>
      <w:r w:rsidR="00DF0A93" w:rsidRPr="00EE3ECD">
        <w:rPr>
          <w:rFonts w:ascii="Times New Roman" w:eastAsia="SimSun" w:hAnsi="Times New Roman"/>
        </w:rPr>
        <w:t xml:space="preserve"> 7.77</w:t>
      </w:r>
      <w:r w:rsidR="00E342C3">
        <w:rPr>
          <w:rFonts w:ascii="Times New Roman" w:eastAsia="SimSun" w:hAnsi="Times New Roman"/>
        </w:rPr>
        <w:t> percent</w:t>
      </w:r>
      <w:r w:rsidR="00C03420">
        <w:rPr>
          <w:rFonts w:ascii="Times New Roman" w:eastAsia="SimSun" w:hAnsi="Times New Roman"/>
        </w:rPr>
        <w:t>,</w:t>
      </w:r>
      <w:r w:rsidR="00E342C3">
        <w:rPr>
          <w:rFonts w:ascii="Times New Roman" w:eastAsia="SimSun" w:hAnsi="Times New Roman"/>
        </w:rPr>
        <w:t xml:space="preserve"> to which PSE agreed in the first half of 2013 as part of the rate plan.  This authorized </w:t>
      </w:r>
      <w:r w:rsidR="00DF0A93" w:rsidRPr="00EE3ECD">
        <w:rPr>
          <w:rFonts w:ascii="Times New Roman" w:eastAsia="SimSun" w:hAnsi="Times New Roman"/>
        </w:rPr>
        <w:t xml:space="preserve">rate of </w:t>
      </w:r>
      <w:r w:rsidR="00DF0A93" w:rsidRPr="00EE3ECD">
        <w:rPr>
          <w:rFonts w:ascii="Times New Roman" w:eastAsia="SimSun" w:hAnsi="Times New Roman"/>
        </w:rPr>
        <w:lastRenderedPageBreak/>
        <w:t>return</w:t>
      </w:r>
      <w:r w:rsidR="00E342C3">
        <w:rPr>
          <w:rFonts w:ascii="Times New Roman" w:eastAsia="SimSun" w:hAnsi="Times New Roman"/>
        </w:rPr>
        <w:t xml:space="preserve"> should </w:t>
      </w:r>
      <w:r w:rsidR="00DF0A93" w:rsidRPr="00EE3ECD">
        <w:rPr>
          <w:rFonts w:ascii="Times New Roman" w:eastAsia="SimSun" w:hAnsi="Times New Roman"/>
        </w:rPr>
        <w:t xml:space="preserve">maintain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00DF0A93" w:rsidRPr="00EE3ECD">
        <w:rPr>
          <w:rFonts w:ascii="Times New Roman" w:eastAsia="SimSun" w:hAnsi="Times New Roman"/>
        </w:rPr>
        <w:t xml:space="preserve">financial profile and ability to raise capital during the </w:t>
      </w:r>
      <w:r w:rsidR="00E342C3">
        <w:rPr>
          <w:rFonts w:ascii="Times New Roman" w:eastAsia="SimSun" w:hAnsi="Times New Roman"/>
        </w:rPr>
        <w:t>remainder of the rate plan</w:t>
      </w:r>
      <w:r w:rsidR="00DF0A93" w:rsidRPr="00EE3ECD">
        <w:rPr>
          <w:rFonts w:ascii="Times New Roman" w:eastAsia="SimSun" w:hAnsi="Times New Roman"/>
        </w:rPr>
        <w:t>.</w:t>
      </w:r>
      <w:r w:rsidR="00BD183D">
        <w:rPr>
          <w:rFonts w:ascii="Times New Roman" w:eastAsia="SimSun" w:hAnsi="Times New Roman"/>
        </w:rPr>
        <w:t xml:space="preserve">  </w:t>
      </w:r>
      <w:r w:rsidR="00F81A2D">
        <w:rPr>
          <w:rFonts w:ascii="Times New Roman" w:eastAsia="SimSun" w:hAnsi="Times New Roman"/>
        </w:rPr>
        <w:t>Stated alternatively, maintaining the 7.77</w:t>
      </w:r>
      <w:r w:rsidR="00083C00">
        <w:rPr>
          <w:rFonts w:ascii="Times New Roman" w:eastAsia="SimSun" w:hAnsi="Times New Roman"/>
        </w:rPr>
        <w:t xml:space="preserve"> percent</w:t>
      </w:r>
      <w:r w:rsidR="00F81A2D">
        <w:rPr>
          <w:rFonts w:ascii="Times New Roman" w:eastAsia="SimSun" w:hAnsi="Times New Roman"/>
        </w:rPr>
        <w:t xml:space="preserve"> rate of return is consistent with PSE</w:t>
      </w:r>
      <w:r w:rsidR="00A14EBD">
        <w:rPr>
          <w:rFonts w:ascii="Times New Roman" w:eastAsia="SimSun" w:hAnsi="Times New Roman"/>
        </w:rPr>
        <w:t>’</w:t>
      </w:r>
      <w:r w:rsidR="00F81A2D">
        <w:rPr>
          <w:rFonts w:ascii="Times New Roman" w:eastAsia="SimSun" w:hAnsi="Times New Roman"/>
        </w:rPr>
        <w:t>s rationale for agreeing to the stay out component of rate plan.</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Does PSE recommend the same </w:t>
      </w:r>
      <w:r w:rsidR="00E342C3">
        <w:rPr>
          <w:rFonts w:ascii="Times New Roman" w:eastAsia="SimSun" w:hAnsi="Times New Roman"/>
        </w:rPr>
        <w:t xml:space="preserve">authorized </w:t>
      </w:r>
      <w:r w:rsidRPr="00EE3ECD">
        <w:rPr>
          <w:rFonts w:ascii="Times New Roman" w:eastAsia="SimSun" w:hAnsi="Times New Roman"/>
        </w:rPr>
        <w:t xml:space="preserve">rate of return for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Pr="00EE3ECD">
        <w:rPr>
          <w:rFonts w:ascii="Times New Roman" w:eastAsia="SimSun" w:hAnsi="Times New Roman"/>
        </w:rPr>
        <w:t>electric and natural gas operations?</w:t>
      </w:r>
    </w:p>
    <w:p w:rsidR="00DF0A93" w:rsidRPr="00EE3ECD" w:rsidRDefault="00DF0A93" w:rsidP="00B5529A">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w:t>
      </w:r>
      <w:r w:rsidR="00E342C3" w:rsidRPr="00EE3ECD">
        <w:rPr>
          <w:rFonts w:ascii="Times New Roman" w:eastAsia="SimSun" w:hAnsi="Times New Roman"/>
        </w:rPr>
        <w:t>PSE recommend</w:t>
      </w:r>
      <w:r w:rsidR="00E342C3">
        <w:rPr>
          <w:rFonts w:ascii="Times New Roman" w:eastAsia="SimSun" w:hAnsi="Times New Roman"/>
        </w:rPr>
        <w:t>s</w:t>
      </w:r>
      <w:r w:rsidR="00E342C3" w:rsidRPr="00EE3ECD">
        <w:rPr>
          <w:rFonts w:ascii="Times New Roman" w:eastAsia="SimSun" w:hAnsi="Times New Roman"/>
        </w:rPr>
        <w:t xml:space="preserve"> the same </w:t>
      </w:r>
      <w:r w:rsidR="00E342C3">
        <w:rPr>
          <w:rFonts w:ascii="Times New Roman" w:eastAsia="SimSun" w:hAnsi="Times New Roman"/>
        </w:rPr>
        <w:t xml:space="preserve">authorized </w:t>
      </w:r>
      <w:r w:rsidR="00E342C3" w:rsidRPr="00EE3ECD">
        <w:rPr>
          <w:rFonts w:ascii="Times New Roman" w:eastAsia="SimSun" w:hAnsi="Times New Roman"/>
        </w:rPr>
        <w:t xml:space="preserve">rate of return for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00E342C3" w:rsidRPr="00EE3ECD">
        <w:rPr>
          <w:rFonts w:ascii="Times New Roman" w:eastAsia="SimSun" w:hAnsi="Times New Roman"/>
        </w:rPr>
        <w:t>electric and natural gas operations</w:t>
      </w:r>
      <w:r w:rsidR="00E342C3">
        <w:rPr>
          <w:rFonts w:ascii="Times New Roman" w:eastAsia="SimSun" w:hAnsi="Times New Roman"/>
        </w:rPr>
        <w:t xml:space="preserve">.  </w:t>
      </w:r>
      <w:r w:rsidRPr="00EE3ECD">
        <w:rPr>
          <w:rFonts w:ascii="Times New Roman" w:eastAsia="SimSun" w:hAnsi="Times New Roman"/>
        </w:rPr>
        <w:t>PSE is an integrated electric and natural gas utility and does not run separate electric and natural gas divisions.  Capital acquired to finance PSE</w:t>
      </w:r>
      <w:r w:rsidR="00A14EBD">
        <w:rPr>
          <w:rFonts w:ascii="Times New Roman" w:eastAsia="SimSun" w:hAnsi="Times New Roman"/>
        </w:rPr>
        <w:t>’</w:t>
      </w:r>
      <w:r w:rsidRPr="00EE3ECD">
        <w:rPr>
          <w:rFonts w:ascii="Times New Roman" w:eastAsia="SimSun" w:hAnsi="Times New Roman"/>
        </w:rPr>
        <w:t xml:space="preserve">s activities </w:t>
      </w:r>
      <w:proofErr w:type="gramStart"/>
      <w:r w:rsidRPr="00EE3ECD">
        <w:rPr>
          <w:rFonts w:ascii="Times New Roman" w:eastAsia="SimSun" w:hAnsi="Times New Roman"/>
        </w:rPr>
        <w:t>is not earmarked</w:t>
      </w:r>
      <w:proofErr w:type="gramEnd"/>
      <w:r w:rsidRPr="00EE3ECD">
        <w:rPr>
          <w:rFonts w:ascii="Times New Roman" w:eastAsia="SimSun" w:hAnsi="Times New Roman"/>
        </w:rPr>
        <w:t xml:space="preserve"> for either electric or natural gas operations.  Therefore, it is appropriate for the Commission to set rates for PSE based on a single overall rate of return for electric and natural gas operations, an approach that </w:t>
      </w:r>
      <w:proofErr w:type="gramStart"/>
      <w:r w:rsidRPr="00EE3ECD">
        <w:rPr>
          <w:rFonts w:ascii="Times New Roman" w:eastAsia="SimSun" w:hAnsi="Times New Roman"/>
        </w:rPr>
        <w:t>has been followed</w:t>
      </w:r>
      <w:proofErr w:type="gramEnd"/>
      <w:r w:rsidRPr="00EE3ECD">
        <w:rPr>
          <w:rFonts w:ascii="Times New Roman" w:eastAsia="SimSun" w:hAnsi="Times New Roman"/>
        </w:rPr>
        <w:t xml:space="preserve"> consistently by the </w:t>
      </w:r>
      <w:r w:rsidR="00B5529A">
        <w:rPr>
          <w:rFonts w:ascii="Times New Roman" w:eastAsia="SimSun" w:hAnsi="Times New Roman"/>
        </w:rPr>
        <w:t>Commission</w:t>
      </w:r>
      <w:r w:rsidRPr="00EE3ECD">
        <w:rPr>
          <w:rFonts w:ascii="Times New Roman" w:eastAsia="SimSun" w:hAnsi="Times New Roman"/>
        </w:rPr>
        <w:t>.</w:t>
      </w:r>
      <w:r w:rsidR="00B5529A">
        <w:rPr>
          <w:rFonts w:ascii="Times New Roman" w:eastAsia="SimSun" w:hAnsi="Times New Roman"/>
        </w:rPr>
        <w:t xml:space="preserve">  </w:t>
      </w:r>
      <w:r w:rsidRPr="00EE3ECD">
        <w:rPr>
          <w:rFonts w:ascii="Times New Roman" w:eastAsia="SimSun" w:hAnsi="Times New Roman"/>
        </w:rPr>
        <w:t xml:space="preserve">Additionally, </w:t>
      </w:r>
      <w:r w:rsidR="00B5529A" w:rsidRPr="00EE3ECD">
        <w:rPr>
          <w:rFonts w:ascii="Times New Roman" w:eastAsia="SimSun" w:hAnsi="Times New Roman"/>
        </w:rPr>
        <w:t>Dr.</w:t>
      </w:r>
      <w:r w:rsidR="00B5529A">
        <w:rPr>
          <w:rFonts w:ascii="Times New Roman" w:eastAsia="SimSun" w:hAnsi="Times New Roman"/>
        </w:rPr>
        <w:t> </w:t>
      </w:r>
      <w:r w:rsidR="00B5529A" w:rsidRPr="00EE3ECD">
        <w:rPr>
          <w:rFonts w:ascii="Times New Roman" w:eastAsia="SimSun" w:hAnsi="Times New Roman"/>
        </w:rPr>
        <w:t>Morin</w:t>
      </w:r>
      <w:r w:rsidR="00B5529A">
        <w:rPr>
          <w:rFonts w:ascii="Times New Roman" w:eastAsia="SimSun" w:hAnsi="Times New Roman"/>
        </w:rPr>
        <w:t xml:space="preserve"> has based his cost of capital studies </w:t>
      </w:r>
      <w:r w:rsidRPr="00EE3ECD">
        <w:rPr>
          <w:rFonts w:ascii="Times New Roman" w:eastAsia="SimSun" w:hAnsi="Times New Roman"/>
        </w:rPr>
        <w:t>on PSE</w:t>
      </w:r>
      <w:r w:rsidR="00A14EBD">
        <w:rPr>
          <w:rFonts w:ascii="Times New Roman" w:eastAsia="SimSun" w:hAnsi="Times New Roman"/>
        </w:rPr>
        <w:t>’</w:t>
      </w:r>
      <w:r w:rsidRPr="00EE3ECD">
        <w:rPr>
          <w:rFonts w:ascii="Times New Roman" w:eastAsia="SimSun" w:hAnsi="Times New Roman"/>
        </w:rPr>
        <w:t>s integrated operations without any distinction between electric and natural gas operations</w:t>
      </w:r>
      <w:r w:rsidR="00B5529A">
        <w:rPr>
          <w:rFonts w:ascii="Times New Roman" w:eastAsia="SimSun" w:hAnsi="Times New Roman"/>
        </w:rPr>
        <w:t xml:space="preserve">, and Dr. Morin has specifically based his studies upon peer groups of similar </w:t>
      </w:r>
      <w:r w:rsidR="00B5529A" w:rsidRPr="00B5529A">
        <w:rPr>
          <w:rFonts w:ascii="Times New Roman" w:eastAsia="SimSun" w:hAnsi="Times New Roman"/>
        </w:rPr>
        <w:t>investment-grade dividend-paying combination gas and electric utilities</w:t>
      </w:r>
      <w:r w:rsidRPr="00EE3ECD">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Is PSE</w:t>
      </w:r>
      <w:r w:rsidR="00A14EBD">
        <w:rPr>
          <w:rFonts w:ascii="Times New Roman" w:eastAsia="SimSun" w:hAnsi="Times New Roman"/>
        </w:rPr>
        <w:t>’</w:t>
      </w:r>
      <w:r w:rsidRPr="00EE3ECD">
        <w:rPr>
          <w:rFonts w:ascii="Times New Roman" w:eastAsia="SimSun" w:hAnsi="Times New Roman"/>
        </w:rPr>
        <w:t xml:space="preserve">s recommended </w:t>
      </w:r>
      <w:r w:rsidR="00B5529A">
        <w:rPr>
          <w:rFonts w:ascii="Times New Roman" w:eastAsia="SimSun" w:hAnsi="Times New Roman"/>
        </w:rPr>
        <w:t xml:space="preserve">authorized ROE of </w:t>
      </w:r>
      <w:r w:rsidRPr="00EE3ECD">
        <w:rPr>
          <w:rFonts w:ascii="Times New Roman" w:eastAsia="SimSun" w:hAnsi="Times New Roman"/>
        </w:rPr>
        <w:t>9.8</w:t>
      </w:r>
      <w:r w:rsidR="00B5529A">
        <w:rPr>
          <w:rFonts w:ascii="Times New Roman" w:eastAsia="SimSun" w:hAnsi="Times New Roman"/>
        </w:rPr>
        <w:t> </w:t>
      </w:r>
      <w:r w:rsidRPr="00EE3ECD">
        <w:rPr>
          <w:rFonts w:ascii="Times New Roman" w:eastAsia="SimSun" w:hAnsi="Times New Roman"/>
        </w:rPr>
        <w:t xml:space="preserve">percent </w:t>
      </w:r>
      <w:proofErr w:type="gramStart"/>
      <w:r w:rsidRPr="00EE3ECD">
        <w:rPr>
          <w:rFonts w:ascii="Times New Roman" w:eastAsia="SimSun" w:hAnsi="Times New Roman"/>
        </w:rPr>
        <w:t>reasonable?</w:t>
      </w:r>
      <w:proofErr w:type="gramEnd"/>
    </w:p>
    <w:p w:rsidR="00DF0A93" w:rsidRPr="00EE3ECD"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As discussed in the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Direct Testimony of Dr.</w:t>
      </w:r>
      <w:r w:rsidR="00B5529A">
        <w:rPr>
          <w:rFonts w:ascii="Times New Roman" w:eastAsia="SimSun" w:hAnsi="Times New Roman"/>
        </w:rPr>
        <w:t> </w:t>
      </w:r>
      <w:r w:rsidRPr="00EE3ECD">
        <w:rPr>
          <w:rFonts w:ascii="Times New Roman" w:eastAsia="SimSun" w:hAnsi="Times New Roman"/>
        </w:rPr>
        <w:t>Roger</w:t>
      </w:r>
      <w:r w:rsidR="00B5529A">
        <w:rPr>
          <w:rFonts w:ascii="Times New Roman" w:eastAsia="SimSun" w:hAnsi="Times New Roman"/>
        </w:rPr>
        <w:t xml:space="preserve"> A. </w:t>
      </w:r>
      <w:r w:rsidRPr="00EE3ECD">
        <w:rPr>
          <w:rFonts w:ascii="Times New Roman" w:eastAsia="SimSun" w:hAnsi="Times New Roman"/>
        </w:rPr>
        <w:t>Morin, Exhibit No</w:t>
      </w:r>
      <w:proofErr w:type="gramStart"/>
      <w:r w:rsidRPr="00EE3ECD">
        <w:rPr>
          <w:rFonts w:ascii="Times New Roman" w:eastAsia="SimSun" w:hAnsi="Times New Roman"/>
        </w:rPr>
        <w:t>.</w:t>
      </w:r>
      <w:r w:rsidR="00B5529A">
        <w:rPr>
          <w:rFonts w:ascii="Times New Roman" w:eastAsia="SimSun" w:hAnsi="Times New Roman"/>
        </w:rPr>
        <w:t> </w:t>
      </w:r>
      <w:proofErr w:type="gramEnd"/>
      <w:r w:rsidRPr="00EE3ECD">
        <w:rPr>
          <w:rFonts w:ascii="Times New Roman" w:eastAsia="SimSun" w:hAnsi="Times New Roman"/>
        </w:rPr>
        <w:t>__</w:t>
      </w:r>
      <w:proofErr w:type="gramStart"/>
      <w:r w:rsidRPr="00EE3ECD">
        <w:rPr>
          <w:rFonts w:ascii="Times New Roman" w:eastAsia="SimSun" w:hAnsi="Times New Roman"/>
        </w:rPr>
        <w:t>_(</w:t>
      </w:r>
      <w:proofErr w:type="gramEnd"/>
      <w:r w:rsidRPr="00EE3ECD">
        <w:rPr>
          <w:rFonts w:ascii="Times New Roman" w:eastAsia="SimSun" w:hAnsi="Times New Roman"/>
        </w:rPr>
        <w:t xml:space="preserve">RAM-1T), </w:t>
      </w:r>
      <w:r w:rsidR="00B5529A">
        <w:rPr>
          <w:rFonts w:ascii="Times New Roman" w:eastAsia="SimSun" w:hAnsi="Times New Roman"/>
        </w:rPr>
        <w:t>PSE</w:t>
      </w:r>
      <w:r w:rsidR="00A14EBD">
        <w:rPr>
          <w:rFonts w:ascii="Times New Roman" w:eastAsia="SimSun" w:hAnsi="Times New Roman"/>
        </w:rPr>
        <w:t>’</w:t>
      </w:r>
      <w:r w:rsidR="00B5529A">
        <w:rPr>
          <w:rFonts w:ascii="Times New Roman" w:eastAsia="SimSun" w:hAnsi="Times New Roman"/>
        </w:rPr>
        <w:t xml:space="preserve">s recommended authorized ROE of </w:t>
      </w:r>
      <w:r w:rsidRPr="00EE3ECD">
        <w:rPr>
          <w:rFonts w:ascii="Times New Roman" w:eastAsia="SimSun" w:hAnsi="Times New Roman"/>
        </w:rPr>
        <w:t>9.8</w:t>
      </w:r>
      <w:r w:rsidR="00B5529A">
        <w:rPr>
          <w:rFonts w:ascii="Times New Roman" w:eastAsia="SimSun" w:hAnsi="Times New Roman"/>
        </w:rPr>
        <w:t> </w:t>
      </w:r>
      <w:r w:rsidRPr="00EE3ECD">
        <w:rPr>
          <w:rFonts w:ascii="Times New Roman" w:eastAsia="SimSun" w:hAnsi="Times New Roman"/>
        </w:rPr>
        <w:t xml:space="preserve">percent is at the low end of the range of reasonable returns based on the capital market conditions prevailing in </w:t>
      </w:r>
      <w:r w:rsidR="009639BB">
        <w:rPr>
          <w:rFonts w:ascii="Times New Roman" w:eastAsia="SimSun" w:hAnsi="Times New Roman"/>
        </w:rPr>
        <w:t xml:space="preserve">the first half of </w:t>
      </w:r>
      <w:r w:rsidRPr="00EE3ECD">
        <w:rPr>
          <w:rFonts w:ascii="Times New Roman" w:eastAsia="SimSun" w:hAnsi="Times New Roman"/>
        </w:rPr>
        <w:t xml:space="preserve">2013 and </w:t>
      </w:r>
      <w:r w:rsidR="009639BB">
        <w:rPr>
          <w:rFonts w:ascii="Times New Roman" w:eastAsia="SimSun" w:hAnsi="Times New Roman"/>
        </w:rPr>
        <w:t xml:space="preserve">remains well below the </w:t>
      </w:r>
      <w:r w:rsidR="009639BB">
        <w:rPr>
          <w:rFonts w:ascii="Times New Roman" w:eastAsia="SimSun" w:hAnsi="Times New Roman"/>
        </w:rPr>
        <w:lastRenderedPageBreak/>
        <w:t>midpoint of the range based on capital market conditions prevailing in the second half of 2014</w:t>
      </w:r>
      <w:r w:rsidRPr="00EE3ECD">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Why is PSE not requesting an increase in </w:t>
      </w:r>
      <w:r w:rsidR="00B5529A">
        <w:rPr>
          <w:rFonts w:ascii="Times New Roman" w:eastAsia="SimSun" w:hAnsi="Times New Roman"/>
        </w:rPr>
        <w:t xml:space="preserve">either </w:t>
      </w:r>
      <w:r w:rsidRPr="00EE3ECD">
        <w:rPr>
          <w:rFonts w:ascii="Times New Roman" w:eastAsia="SimSun" w:hAnsi="Times New Roman"/>
        </w:rPr>
        <w:t xml:space="preserve">its authorized ROE </w:t>
      </w:r>
      <w:r w:rsidR="00B5529A">
        <w:rPr>
          <w:rFonts w:ascii="Times New Roman" w:eastAsia="SimSun" w:hAnsi="Times New Roman"/>
        </w:rPr>
        <w:t>or rate of return</w:t>
      </w:r>
      <w:r w:rsidRPr="00EE3ECD">
        <w:rPr>
          <w:rFonts w:ascii="Times New Roman" w:eastAsia="SimSun" w:hAnsi="Times New Roman"/>
        </w:rPr>
        <w:t>?</w:t>
      </w:r>
    </w:p>
    <w:p w:rsidR="00363332" w:rsidRDefault="00363332" w:rsidP="00C73260">
      <w:pPr>
        <w:pStyle w:val="answer"/>
        <w:rPr>
          <w:rFonts w:ascii="Times New Roman" w:eastAsia="SimSun" w:hAnsi="Times New Roman"/>
        </w:rPr>
      </w:pPr>
      <w:r w:rsidRPr="00363332">
        <w:rPr>
          <w:rFonts w:ascii="Times New Roman" w:eastAsia="SimSun" w:hAnsi="Times New Roman"/>
        </w:rPr>
        <w:t>A.</w:t>
      </w:r>
      <w:r w:rsidRPr="00363332">
        <w:rPr>
          <w:rFonts w:ascii="Times New Roman" w:eastAsia="SimSun" w:hAnsi="Times New Roman"/>
        </w:rPr>
        <w:tab/>
        <w:t>Although Dr. Morin</w:t>
      </w:r>
      <w:r w:rsidR="00A14EBD">
        <w:rPr>
          <w:rFonts w:ascii="Times New Roman" w:eastAsia="SimSun" w:hAnsi="Times New Roman"/>
        </w:rPr>
        <w:t>’</w:t>
      </w:r>
      <w:r w:rsidRPr="00363332">
        <w:rPr>
          <w:rFonts w:ascii="Times New Roman" w:eastAsia="SimSun" w:hAnsi="Times New Roman"/>
        </w:rPr>
        <w:t xml:space="preserve">s testimony demonstrates that a higher </w:t>
      </w:r>
      <w:r>
        <w:rPr>
          <w:rFonts w:ascii="Times New Roman" w:eastAsia="SimSun" w:hAnsi="Times New Roman"/>
        </w:rPr>
        <w:t xml:space="preserve">authorized ROE </w:t>
      </w:r>
      <w:r w:rsidRPr="00363332">
        <w:rPr>
          <w:rFonts w:ascii="Times New Roman" w:eastAsia="SimSun" w:hAnsi="Times New Roman"/>
        </w:rPr>
        <w:t>is appropriate, PSE agreed to a</w:t>
      </w:r>
      <w:r>
        <w:rPr>
          <w:rFonts w:ascii="Times New Roman" w:eastAsia="SimSun" w:hAnsi="Times New Roman"/>
        </w:rPr>
        <w:t>n authorized ROE of</w:t>
      </w:r>
      <w:r w:rsidRPr="00363332">
        <w:rPr>
          <w:rFonts w:ascii="Times New Roman" w:eastAsia="SimSun" w:hAnsi="Times New Roman"/>
        </w:rPr>
        <w:t xml:space="preserve"> 9.8</w:t>
      </w:r>
      <w:r>
        <w:rPr>
          <w:rFonts w:ascii="Times New Roman" w:eastAsia="SimSun" w:hAnsi="Times New Roman"/>
        </w:rPr>
        <w:t> </w:t>
      </w:r>
      <w:r w:rsidRPr="00363332">
        <w:rPr>
          <w:rFonts w:ascii="Times New Roman" w:eastAsia="SimSun" w:hAnsi="Times New Roman"/>
        </w:rPr>
        <w:t>percent return on equity as part of the multi-year rate plan and the adoption of decoupling mechanisms</w:t>
      </w:r>
      <w:r>
        <w:rPr>
          <w:rFonts w:ascii="Times New Roman" w:eastAsia="SimSun" w:hAnsi="Times New Roman"/>
        </w:rPr>
        <w:t xml:space="preserve">.  Therefore, PSE </w:t>
      </w:r>
      <w:r w:rsidRPr="00363332">
        <w:rPr>
          <w:rFonts w:ascii="Times New Roman" w:eastAsia="SimSun" w:hAnsi="Times New Roman"/>
        </w:rPr>
        <w:t xml:space="preserve">will accept the </w:t>
      </w:r>
      <w:r>
        <w:rPr>
          <w:rFonts w:ascii="Times New Roman" w:eastAsia="SimSun" w:hAnsi="Times New Roman"/>
        </w:rPr>
        <w:t xml:space="preserve">authorized ROE of </w:t>
      </w:r>
      <w:r w:rsidRPr="00363332">
        <w:rPr>
          <w:rFonts w:ascii="Times New Roman" w:eastAsia="SimSun" w:hAnsi="Times New Roman"/>
        </w:rPr>
        <w:t>9.8</w:t>
      </w:r>
      <w:r>
        <w:rPr>
          <w:rFonts w:ascii="Times New Roman" w:eastAsia="SimSun" w:hAnsi="Times New Roman"/>
        </w:rPr>
        <w:t> </w:t>
      </w:r>
      <w:r w:rsidRPr="00363332">
        <w:rPr>
          <w:rFonts w:ascii="Times New Roman" w:eastAsia="SimSun" w:hAnsi="Times New Roman"/>
        </w:rPr>
        <w:t>percent</w:t>
      </w:r>
      <w:r w:rsidR="00C03420">
        <w:rPr>
          <w:rFonts w:ascii="Times New Roman" w:eastAsia="SimSun" w:hAnsi="Times New Roman"/>
        </w:rPr>
        <w:t>, along with an overall rate of return of 7.77 percent,</w:t>
      </w:r>
      <w:r w:rsidRPr="00363332">
        <w:rPr>
          <w:rFonts w:ascii="Times New Roman" w:eastAsia="SimSun" w:hAnsi="Times New Roman"/>
        </w:rPr>
        <w:t xml:space="preserve"> even though </w:t>
      </w:r>
      <w:r>
        <w:rPr>
          <w:rFonts w:ascii="Times New Roman" w:eastAsia="SimSun" w:hAnsi="Times New Roman"/>
        </w:rPr>
        <w:t>Dr. Morin</w:t>
      </w:r>
      <w:r w:rsidR="00A14EBD">
        <w:rPr>
          <w:rFonts w:ascii="Times New Roman" w:eastAsia="SimSun" w:hAnsi="Times New Roman"/>
        </w:rPr>
        <w:t>’</w:t>
      </w:r>
      <w:r>
        <w:rPr>
          <w:rFonts w:ascii="Times New Roman" w:eastAsia="SimSun" w:hAnsi="Times New Roman"/>
        </w:rPr>
        <w:t xml:space="preserve">s </w:t>
      </w:r>
      <w:r w:rsidRPr="00363332">
        <w:rPr>
          <w:rFonts w:ascii="Times New Roman" w:eastAsia="SimSun" w:hAnsi="Times New Roman"/>
        </w:rPr>
        <w:t xml:space="preserve">testimony and evidence indicates that a higher </w:t>
      </w:r>
      <w:r>
        <w:rPr>
          <w:rFonts w:ascii="Times New Roman" w:eastAsia="SimSun" w:hAnsi="Times New Roman"/>
        </w:rPr>
        <w:t xml:space="preserve">authorized ROE </w:t>
      </w:r>
      <w:r w:rsidRPr="00363332">
        <w:rPr>
          <w:rFonts w:ascii="Times New Roman" w:eastAsia="SimSun" w:hAnsi="Times New Roman"/>
        </w:rPr>
        <w:t>is justifi</w:t>
      </w:r>
      <w:r>
        <w:rPr>
          <w:rFonts w:ascii="Times New Roman" w:eastAsia="SimSun" w:hAnsi="Times New Roman"/>
        </w:rPr>
        <w:t>able</w:t>
      </w:r>
      <w:r w:rsidR="007845E6">
        <w:rPr>
          <w:rFonts w:ascii="Times New Roman" w:eastAsia="SimSun" w:hAnsi="Times New Roman"/>
        </w:rPr>
        <w:t xml:space="preserve"> for PSE.  </w:t>
      </w:r>
      <w:r w:rsidRPr="00363332">
        <w:rPr>
          <w:rFonts w:ascii="Times New Roman" w:eastAsia="SimSun" w:hAnsi="Times New Roman"/>
        </w:rPr>
        <w:t>As indicated in Dr. Morin</w:t>
      </w:r>
      <w:r w:rsidR="00A14EBD">
        <w:rPr>
          <w:rFonts w:ascii="Times New Roman" w:eastAsia="SimSun" w:hAnsi="Times New Roman"/>
        </w:rPr>
        <w:t>’</w:t>
      </w:r>
      <w:r w:rsidRPr="00363332">
        <w:rPr>
          <w:rFonts w:ascii="Times New Roman" w:eastAsia="SimSun" w:hAnsi="Times New Roman"/>
        </w:rPr>
        <w:t xml:space="preserve">s testimony, the mid-point </w:t>
      </w:r>
      <w:r>
        <w:rPr>
          <w:rFonts w:ascii="Times New Roman" w:eastAsia="SimSun" w:hAnsi="Times New Roman"/>
        </w:rPr>
        <w:t xml:space="preserve">of the reasonable ranges of </w:t>
      </w:r>
      <w:proofErr w:type="spellStart"/>
      <w:r w:rsidRPr="00363332">
        <w:rPr>
          <w:rFonts w:ascii="Times New Roman" w:eastAsia="SimSun" w:hAnsi="Times New Roman"/>
        </w:rPr>
        <w:t>ROE</w:t>
      </w:r>
      <w:r>
        <w:rPr>
          <w:rFonts w:ascii="Times New Roman" w:eastAsia="SimSun" w:hAnsi="Times New Roman"/>
        </w:rPr>
        <w:t>s</w:t>
      </w:r>
      <w:proofErr w:type="spellEnd"/>
      <w:r w:rsidRPr="00363332">
        <w:rPr>
          <w:rFonts w:ascii="Times New Roman" w:eastAsia="SimSun" w:hAnsi="Times New Roman"/>
        </w:rPr>
        <w:t xml:space="preserve"> based on market conditions</w:t>
      </w:r>
      <w:r>
        <w:rPr>
          <w:rFonts w:ascii="Times New Roman" w:eastAsia="SimSun" w:hAnsi="Times New Roman"/>
        </w:rPr>
        <w:t xml:space="preserve"> in the first half of 2013 was 10.</w:t>
      </w:r>
      <w:r w:rsidRPr="00363332">
        <w:rPr>
          <w:rFonts w:eastAsia="SimSun"/>
        </w:rPr>
        <w:t>30</w:t>
      </w:r>
      <w:r>
        <w:rPr>
          <w:rFonts w:eastAsia="SimSun"/>
        </w:rPr>
        <w:t xml:space="preserve"> percent, which </w:t>
      </w:r>
      <w:proofErr w:type="gramStart"/>
      <w:r>
        <w:rPr>
          <w:rFonts w:eastAsia="SimSun"/>
        </w:rPr>
        <w:t>is</w:t>
      </w:r>
      <w:proofErr w:type="gramEnd"/>
      <w:r>
        <w:rPr>
          <w:rFonts w:eastAsia="SimSun"/>
        </w:rPr>
        <w:t xml:space="preserve"> </w:t>
      </w:r>
      <w:r w:rsidRPr="00363332">
        <w:t>50</w:t>
      </w:r>
      <w:r>
        <w:rPr>
          <w:rFonts w:ascii="Times New Roman" w:eastAsia="SimSun" w:hAnsi="Times New Roman"/>
        </w:rPr>
        <w:t> </w:t>
      </w:r>
      <w:r w:rsidRPr="00363332">
        <w:rPr>
          <w:rFonts w:ascii="Times New Roman" w:eastAsia="SimSun" w:hAnsi="Times New Roman"/>
        </w:rPr>
        <w:t xml:space="preserve">basis points higher than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363332">
        <w:rPr>
          <w:rFonts w:ascii="Times New Roman" w:eastAsia="SimSun" w:hAnsi="Times New Roman"/>
        </w:rPr>
        <w:t>currently authorized ROE of 9.80</w:t>
      </w:r>
      <w:r>
        <w:rPr>
          <w:rFonts w:ascii="Times New Roman" w:eastAsia="SimSun" w:hAnsi="Times New Roman"/>
        </w:rPr>
        <w:t xml:space="preserve"> percent.  Had Dr. Morin presented </w:t>
      </w:r>
      <w:r w:rsidRPr="00363332">
        <w:rPr>
          <w:rFonts w:ascii="Times New Roman" w:eastAsia="SimSun" w:hAnsi="Times New Roman"/>
        </w:rPr>
        <w:t xml:space="preserve">this cost of capital study in the context of a general rate case, </w:t>
      </w:r>
      <w:r>
        <w:rPr>
          <w:rFonts w:ascii="Times New Roman" w:eastAsia="SimSun" w:hAnsi="Times New Roman"/>
        </w:rPr>
        <w:t xml:space="preserve">PSE </w:t>
      </w:r>
      <w:r w:rsidRPr="00363332">
        <w:rPr>
          <w:rFonts w:ascii="Times New Roman" w:eastAsia="SimSun" w:hAnsi="Times New Roman"/>
        </w:rPr>
        <w:t>would likely have a</w:t>
      </w:r>
      <w:r>
        <w:rPr>
          <w:rFonts w:ascii="Times New Roman" w:eastAsia="SimSun" w:hAnsi="Times New Roman"/>
        </w:rPr>
        <w:t>dvocated for such an authorized ROE at that time.</w:t>
      </w:r>
    </w:p>
    <w:p w:rsidR="00A8595C" w:rsidRPr="00EE3ECD" w:rsidRDefault="00A8595C" w:rsidP="00F81A2D">
      <w:pPr>
        <w:pStyle w:val="answer"/>
        <w:ind w:firstLine="0"/>
        <w:rPr>
          <w:rFonts w:ascii="Times New Roman" w:eastAsia="SimSun" w:hAnsi="Times New Roman"/>
        </w:rPr>
      </w:pPr>
      <w:proofErr w:type="gramStart"/>
      <w:r>
        <w:rPr>
          <w:rFonts w:ascii="Times New Roman" w:eastAsia="SimSun" w:hAnsi="Times New Roman"/>
        </w:rPr>
        <w:t>Also</w:t>
      </w:r>
      <w:proofErr w:type="gramEnd"/>
      <w:r>
        <w:rPr>
          <w:rFonts w:ascii="Times New Roman" w:eastAsia="SimSun" w:hAnsi="Times New Roman"/>
        </w:rPr>
        <w:t>, PSE is willing to accept the capital structure and overall rate of return that was put in place and authorized by the Commission as of July 1, 2013, even though PSE</w:t>
      </w:r>
      <w:r w:rsidR="00A14EBD">
        <w:rPr>
          <w:rFonts w:ascii="Times New Roman" w:eastAsia="SimSun" w:hAnsi="Times New Roman"/>
        </w:rPr>
        <w:t>’</w:t>
      </w:r>
      <w:r>
        <w:rPr>
          <w:rFonts w:ascii="Times New Roman" w:eastAsia="SimSun" w:hAnsi="Times New Roman"/>
        </w:rPr>
        <w:t>s actual capital structure and cost of capital support an actual rate of return in the 7.89 to 7.95 percent range.</w:t>
      </w:r>
    </w:p>
    <w:p w:rsidR="00DF0A93" w:rsidRPr="00EE3ECD" w:rsidRDefault="00DF0A93" w:rsidP="00DF0A93">
      <w:pPr>
        <w:pStyle w:val="Heading1"/>
        <w:spacing w:after="360" w:line="240" w:lineRule="auto"/>
        <w:rPr>
          <w:rFonts w:ascii="Times New Roman" w:eastAsia="SimSun" w:hAnsi="Times New Roman"/>
        </w:rPr>
      </w:pPr>
      <w:bookmarkStart w:id="4" w:name="_Toc402867748"/>
      <w:r w:rsidRPr="00EE3ECD">
        <w:rPr>
          <w:rFonts w:ascii="Times New Roman" w:eastAsia="SimSun" w:hAnsi="Times New Roman"/>
        </w:rPr>
        <w:lastRenderedPageBreak/>
        <w:t>IV.</w:t>
      </w:r>
      <w:r w:rsidRPr="00EE3ECD">
        <w:rPr>
          <w:rFonts w:ascii="Times New Roman" w:eastAsia="SimSun" w:hAnsi="Times New Roman"/>
        </w:rPr>
        <w:tab/>
      </w:r>
      <w:r w:rsidR="00363332">
        <w:rPr>
          <w:rFonts w:ascii="Times New Roman" w:eastAsia="SimSun" w:hAnsi="Times New Roman"/>
        </w:rPr>
        <w:t xml:space="preserve">PSE </w:t>
      </w:r>
      <w:r w:rsidRPr="00EE3ECD">
        <w:rPr>
          <w:rFonts w:ascii="Times New Roman" w:eastAsia="SimSun" w:hAnsi="Times New Roman"/>
        </w:rPr>
        <w:t>CONTINUES TO UNDER</w:t>
      </w:r>
      <w:r w:rsidR="00077D66">
        <w:rPr>
          <w:rFonts w:ascii="Times New Roman" w:eastAsia="SimSun" w:hAnsi="Times New Roman"/>
        </w:rPr>
        <w:t>-</w:t>
      </w:r>
      <w:r w:rsidRPr="00EE3ECD">
        <w:rPr>
          <w:rFonts w:ascii="Times New Roman" w:eastAsia="SimSun" w:hAnsi="Times New Roman"/>
        </w:rPr>
        <w:t>EARN</w:t>
      </w:r>
      <w:bookmarkEnd w:id="4"/>
      <w:r w:rsidRPr="00EE3ECD">
        <w:rPr>
          <w:rFonts w:ascii="Times New Roman" w:eastAsia="SimSun" w:hAnsi="Times New Roman"/>
        </w:rPr>
        <w:t xml:space="preserve"> </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Has </w:t>
      </w:r>
      <w:r w:rsidR="00363332">
        <w:rPr>
          <w:rFonts w:ascii="Times New Roman" w:eastAsia="SimSun" w:hAnsi="Times New Roman"/>
        </w:rPr>
        <w:t xml:space="preserve">PSE </w:t>
      </w:r>
      <w:r w:rsidRPr="00EE3ECD">
        <w:rPr>
          <w:rFonts w:ascii="Times New Roman" w:eastAsia="SimSun" w:hAnsi="Times New Roman"/>
        </w:rPr>
        <w:t>been under recovering its costs in the recent past?</w:t>
      </w:r>
    </w:p>
    <w:p w:rsidR="0043585F"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PSE</w:t>
      </w:r>
      <w:r w:rsidR="00A14EBD">
        <w:rPr>
          <w:rFonts w:ascii="Times New Roman" w:eastAsia="SimSun" w:hAnsi="Times New Roman"/>
        </w:rPr>
        <w:t>’</w:t>
      </w:r>
      <w:r w:rsidRPr="00EE3ECD">
        <w:rPr>
          <w:rFonts w:ascii="Times New Roman" w:eastAsia="SimSun" w:hAnsi="Times New Roman"/>
        </w:rPr>
        <w:t xml:space="preserve">s filed Commission </w:t>
      </w:r>
      <w:r w:rsidR="00363332" w:rsidRPr="00EE3ECD">
        <w:rPr>
          <w:rFonts w:ascii="Times New Roman" w:eastAsia="SimSun" w:hAnsi="Times New Roman"/>
        </w:rPr>
        <w:t>Basis Report</w:t>
      </w:r>
      <w:r w:rsidR="00C03420">
        <w:rPr>
          <w:rFonts w:ascii="Times New Roman" w:eastAsia="SimSun" w:hAnsi="Times New Roman"/>
        </w:rPr>
        <w:t>s</w:t>
      </w:r>
      <w:r w:rsidR="00363332" w:rsidRPr="00EE3ECD">
        <w:rPr>
          <w:rFonts w:ascii="Times New Roman" w:eastAsia="SimSun" w:hAnsi="Times New Roman"/>
        </w:rPr>
        <w:t xml:space="preserve"> </w:t>
      </w:r>
      <w:r w:rsidR="00363332">
        <w:rPr>
          <w:rFonts w:ascii="Times New Roman" w:eastAsia="SimSun" w:hAnsi="Times New Roman"/>
        </w:rPr>
        <w:t xml:space="preserve">demonstrate that PSE </w:t>
      </w:r>
      <w:r w:rsidRPr="00EE3ECD">
        <w:rPr>
          <w:rFonts w:ascii="Times New Roman" w:eastAsia="SimSun" w:hAnsi="Times New Roman"/>
        </w:rPr>
        <w:t xml:space="preserve">has </w:t>
      </w:r>
      <w:r w:rsidR="00363332">
        <w:rPr>
          <w:rFonts w:ascii="Times New Roman" w:eastAsia="SimSun" w:hAnsi="Times New Roman"/>
        </w:rPr>
        <w:t xml:space="preserve">annually </w:t>
      </w:r>
      <w:r w:rsidRPr="00EE3ECD">
        <w:rPr>
          <w:rFonts w:ascii="Times New Roman" w:eastAsia="SimSun" w:hAnsi="Times New Roman"/>
        </w:rPr>
        <w:t>earned less than its authorized rate of return, despite the allowed increases in general rates.</w:t>
      </w:r>
    </w:p>
    <w:p w:rsidR="00DF0A93" w:rsidRDefault="00363332" w:rsidP="0043585F">
      <w:pPr>
        <w:pStyle w:val="answer"/>
        <w:ind w:firstLine="0"/>
        <w:rPr>
          <w:rFonts w:ascii="Times New Roman" w:eastAsia="SimSun" w:hAnsi="Times New Roman"/>
        </w:rPr>
      </w:pPr>
      <w:r>
        <w:rPr>
          <w:rFonts w:ascii="Times New Roman" w:eastAsia="SimSun" w:hAnsi="Times New Roman"/>
        </w:rPr>
        <w:t>T</w:t>
      </w:r>
      <w:r w:rsidR="00DF0A93" w:rsidRPr="00EE3ECD">
        <w:rPr>
          <w:rFonts w:ascii="Times New Roman" w:eastAsia="SimSun" w:hAnsi="Times New Roman"/>
        </w:rPr>
        <w:t>able</w:t>
      </w:r>
      <w:r>
        <w:rPr>
          <w:rFonts w:ascii="Times New Roman" w:eastAsia="SimSun" w:hAnsi="Times New Roman"/>
        </w:rPr>
        <w:t> 2 below</w:t>
      </w:r>
      <w:r w:rsidR="00DF0A93" w:rsidRPr="00EE3ECD">
        <w:rPr>
          <w:rFonts w:ascii="Times New Roman" w:eastAsia="SimSun" w:hAnsi="Times New Roman"/>
        </w:rPr>
        <w:t xml:space="preserve"> provides a comparison of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00DF0A93" w:rsidRPr="00EE3ECD">
        <w:rPr>
          <w:rFonts w:ascii="Times New Roman" w:eastAsia="SimSun" w:hAnsi="Times New Roman"/>
        </w:rPr>
        <w:t>actual earnings</w:t>
      </w:r>
      <w:r w:rsidR="00C03420">
        <w:rPr>
          <w:rFonts w:ascii="Times New Roman" w:eastAsia="SimSun" w:hAnsi="Times New Roman"/>
        </w:rPr>
        <w:t>, as</w:t>
      </w:r>
      <w:r w:rsidR="00DF0A93" w:rsidRPr="00EE3ECD">
        <w:rPr>
          <w:rFonts w:ascii="Times New Roman" w:eastAsia="SimSun" w:hAnsi="Times New Roman"/>
        </w:rPr>
        <w:t xml:space="preserve"> reflected on Commission </w:t>
      </w:r>
      <w:r w:rsidR="0043585F">
        <w:rPr>
          <w:rFonts w:ascii="Times New Roman" w:eastAsia="SimSun" w:hAnsi="Times New Roman"/>
        </w:rPr>
        <w:t>B</w:t>
      </w:r>
      <w:r w:rsidR="00DF0A93" w:rsidRPr="00EE3ECD">
        <w:rPr>
          <w:rFonts w:ascii="Times New Roman" w:eastAsia="SimSun" w:hAnsi="Times New Roman"/>
        </w:rPr>
        <w:t xml:space="preserve">asis </w:t>
      </w:r>
      <w:r w:rsidR="0043585F">
        <w:rPr>
          <w:rFonts w:ascii="Times New Roman" w:eastAsia="SimSun" w:hAnsi="Times New Roman"/>
        </w:rPr>
        <w:t>R</w:t>
      </w:r>
      <w:r w:rsidR="00DF0A93" w:rsidRPr="00EE3ECD">
        <w:rPr>
          <w:rFonts w:ascii="Times New Roman" w:eastAsia="SimSun" w:hAnsi="Times New Roman"/>
        </w:rPr>
        <w:t>eports</w:t>
      </w:r>
      <w:r w:rsidR="00C03420">
        <w:rPr>
          <w:rFonts w:ascii="Times New Roman" w:eastAsia="SimSun" w:hAnsi="Times New Roman"/>
        </w:rPr>
        <w:t>,</w:t>
      </w:r>
      <w:r w:rsidR="00DF0A93" w:rsidRPr="00EE3ECD">
        <w:rPr>
          <w:rFonts w:ascii="Times New Roman" w:eastAsia="SimSun" w:hAnsi="Times New Roman"/>
        </w:rPr>
        <w:t xml:space="preserve"> to the authorized rate of return and </w:t>
      </w:r>
      <w:r w:rsidR="0043585F">
        <w:rPr>
          <w:rFonts w:ascii="Times New Roman" w:eastAsia="SimSun" w:hAnsi="Times New Roman"/>
        </w:rPr>
        <w:t xml:space="preserve">ROE </w:t>
      </w:r>
      <w:r w:rsidR="00DF0A93" w:rsidRPr="00EE3ECD">
        <w:rPr>
          <w:rFonts w:ascii="Times New Roman" w:eastAsia="SimSun" w:hAnsi="Times New Roman"/>
        </w:rPr>
        <w:t xml:space="preserve">in place during the </w:t>
      </w:r>
      <w:r w:rsidR="0043585F">
        <w:rPr>
          <w:rFonts w:ascii="Times New Roman" w:eastAsia="SimSun" w:hAnsi="Times New Roman"/>
        </w:rPr>
        <w:t xml:space="preserve">respective </w:t>
      </w:r>
      <w:r w:rsidR="00DF0A93" w:rsidRPr="00EE3ECD">
        <w:rPr>
          <w:rFonts w:ascii="Times New Roman" w:eastAsia="SimSun" w:hAnsi="Times New Roman"/>
        </w:rPr>
        <w:t>calendar year for electric operations.</w:t>
      </w:r>
    </w:p>
    <w:p w:rsidR="0016777A" w:rsidRPr="0016777A" w:rsidRDefault="0016777A" w:rsidP="0016777A">
      <w:pPr>
        <w:keepNext/>
        <w:keepLines/>
        <w:spacing w:after="60" w:line="240" w:lineRule="auto"/>
        <w:ind w:firstLine="0"/>
        <w:jc w:val="center"/>
        <w:rPr>
          <w:rFonts w:eastAsia="SimSun"/>
          <w:b/>
        </w:rPr>
      </w:pPr>
      <w:proofErr w:type="gramStart"/>
      <w:r w:rsidRPr="0016777A">
        <w:rPr>
          <w:rFonts w:eastAsia="SimSun"/>
          <w:b/>
        </w:rPr>
        <w:t>Table 2.</w:t>
      </w:r>
      <w:proofErr w:type="gramEnd"/>
      <w:r w:rsidRPr="0016777A">
        <w:rPr>
          <w:rFonts w:eastAsia="SimSun"/>
          <w:b/>
        </w:rPr>
        <w:t xml:space="preserve">  Comparison of PSE</w:t>
      </w:r>
      <w:r w:rsidR="00A14EBD">
        <w:rPr>
          <w:rFonts w:eastAsia="SimSun"/>
          <w:b/>
        </w:rPr>
        <w:t>’</w:t>
      </w:r>
      <w:r w:rsidRPr="0016777A">
        <w:rPr>
          <w:rFonts w:eastAsia="SimSun"/>
          <w:b/>
        </w:rPr>
        <w:t xml:space="preserve">s Actual </w:t>
      </w:r>
      <w:r>
        <w:rPr>
          <w:rFonts w:eastAsia="SimSun"/>
          <w:b/>
        </w:rPr>
        <w:t xml:space="preserve">Electric </w:t>
      </w:r>
      <w:r w:rsidRPr="0016777A">
        <w:rPr>
          <w:rFonts w:eastAsia="SimSun"/>
          <w:b/>
        </w:rPr>
        <w:t>Earnings</w:t>
      </w:r>
      <w:r>
        <w:rPr>
          <w:rFonts w:eastAsia="SimSun"/>
          <w:b/>
        </w:rPr>
        <w:br/>
      </w:r>
      <w:r w:rsidRPr="0016777A">
        <w:rPr>
          <w:rFonts w:eastAsia="SimSun"/>
          <w:b/>
        </w:rPr>
        <w:t>to Authorized Rate of Return and ROE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469"/>
        <w:gridCol w:w="1416"/>
        <w:gridCol w:w="1469"/>
        <w:gridCol w:w="1416"/>
      </w:tblGrid>
      <w:tr w:rsidR="0043585F" w:rsidRPr="0016777A" w:rsidTr="0016777A">
        <w:trPr>
          <w:jc w:val="center"/>
        </w:trPr>
        <w:tc>
          <w:tcPr>
            <w:tcW w:w="843" w:type="dxa"/>
            <w:tcBorders>
              <w:bottom w:val="single" w:sz="4" w:space="0" w:color="auto"/>
              <w:right w:val="single" w:sz="4" w:space="0" w:color="auto"/>
            </w:tcBorders>
          </w:tcPr>
          <w:p w:rsidR="0043585F" w:rsidRPr="0016777A" w:rsidRDefault="0043585F" w:rsidP="0043585F">
            <w:pPr>
              <w:pStyle w:val="answer"/>
              <w:spacing w:before="60" w:after="60" w:line="240" w:lineRule="auto"/>
              <w:ind w:left="0" w:firstLine="0"/>
              <w:rPr>
                <w:rFonts w:ascii="Times New Roman" w:eastAsia="SimSun" w:hAnsi="Times New Roman"/>
                <w:b/>
              </w:rPr>
            </w:pP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Rate of Return</w:t>
            </w: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Return on Equity</w:t>
            </w:r>
          </w:p>
        </w:tc>
      </w:tr>
      <w:tr w:rsidR="0043585F" w:rsidRPr="0016777A" w:rsidTr="0016777A">
        <w:trPr>
          <w:jc w:val="center"/>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43585F">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Year</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2013</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7.56%</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7.785%</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9.06%</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2012</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7.14%</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7.80%</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8.11%</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2011</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6.62%</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6.98%</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10.10%</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6.07%</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5.57%</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10.10%</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2009</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6.11%</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5.63%</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10.15%</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2008</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6.39%</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5.94%</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10.15%</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2007</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8.13%</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8.40%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9.89%</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10.40%</w:t>
            </w:r>
          </w:p>
        </w:tc>
      </w:tr>
    </w:tbl>
    <w:p w:rsidR="0043585F" w:rsidRDefault="0043585F" w:rsidP="0016777A">
      <w:pPr>
        <w:pStyle w:val="answer"/>
        <w:spacing w:before="360"/>
        <w:ind w:firstLine="0"/>
        <w:rPr>
          <w:rFonts w:ascii="Times New Roman" w:eastAsia="SimSun" w:hAnsi="Times New Roman"/>
        </w:rPr>
      </w:pPr>
      <w:r>
        <w:rPr>
          <w:rFonts w:ascii="Times New Roman" w:eastAsia="SimSun" w:hAnsi="Times New Roman"/>
        </w:rPr>
        <w:t>T</w:t>
      </w:r>
      <w:r w:rsidRPr="00EE3ECD">
        <w:rPr>
          <w:rFonts w:ascii="Times New Roman" w:eastAsia="SimSun" w:hAnsi="Times New Roman"/>
        </w:rPr>
        <w:t>able</w:t>
      </w:r>
      <w:r>
        <w:rPr>
          <w:rFonts w:ascii="Times New Roman" w:eastAsia="SimSun" w:hAnsi="Times New Roman"/>
        </w:rPr>
        <w:t> 3 below</w:t>
      </w:r>
      <w:r w:rsidRPr="00EE3ECD">
        <w:rPr>
          <w:rFonts w:ascii="Times New Roman" w:eastAsia="SimSun" w:hAnsi="Times New Roman"/>
        </w:rPr>
        <w:t xml:space="preserve"> provides a comparison of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E3ECD">
        <w:rPr>
          <w:rFonts w:ascii="Times New Roman" w:eastAsia="SimSun" w:hAnsi="Times New Roman"/>
        </w:rPr>
        <w:t xml:space="preserve">actual earnings reflected on Commission </w:t>
      </w:r>
      <w:r>
        <w:rPr>
          <w:rFonts w:ascii="Times New Roman" w:eastAsia="SimSun" w:hAnsi="Times New Roman"/>
        </w:rPr>
        <w:t>B</w:t>
      </w:r>
      <w:r w:rsidRPr="00EE3ECD">
        <w:rPr>
          <w:rFonts w:ascii="Times New Roman" w:eastAsia="SimSun" w:hAnsi="Times New Roman"/>
        </w:rPr>
        <w:t xml:space="preserve">asis </w:t>
      </w:r>
      <w:r>
        <w:rPr>
          <w:rFonts w:ascii="Times New Roman" w:eastAsia="SimSun" w:hAnsi="Times New Roman"/>
        </w:rPr>
        <w:t>R</w:t>
      </w:r>
      <w:r w:rsidRPr="00EE3ECD">
        <w:rPr>
          <w:rFonts w:ascii="Times New Roman" w:eastAsia="SimSun" w:hAnsi="Times New Roman"/>
        </w:rPr>
        <w:t xml:space="preserve">eports to the authorized rate of return and </w:t>
      </w:r>
      <w:r>
        <w:rPr>
          <w:rFonts w:ascii="Times New Roman" w:eastAsia="SimSun" w:hAnsi="Times New Roman"/>
        </w:rPr>
        <w:t xml:space="preserve">ROE </w:t>
      </w:r>
      <w:r w:rsidRPr="00EE3ECD">
        <w:rPr>
          <w:rFonts w:ascii="Times New Roman" w:eastAsia="SimSun" w:hAnsi="Times New Roman"/>
        </w:rPr>
        <w:t xml:space="preserve">in place during the </w:t>
      </w:r>
      <w:r>
        <w:rPr>
          <w:rFonts w:ascii="Times New Roman" w:eastAsia="SimSun" w:hAnsi="Times New Roman"/>
        </w:rPr>
        <w:t xml:space="preserve">respective </w:t>
      </w:r>
      <w:r w:rsidRPr="00EE3ECD">
        <w:rPr>
          <w:rFonts w:ascii="Times New Roman" w:eastAsia="SimSun" w:hAnsi="Times New Roman"/>
        </w:rPr>
        <w:t xml:space="preserve">calendar year for </w:t>
      </w:r>
      <w:r>
        <w:rPr>
          <w:rFonts w:ascii="Times New Roman" w:eastAsia="SimSun" w:hAnsi="Times New Roman"/>
        </w:rPr>
        <w:t xml:space="preserve">gas </w:t>
      </w:r>
      <w:r w:rsidRPr="00EE3ECD">
        <w:rPr>
          <w:rFonts w:ascii="Times New Roman" w:eastAsia="SimSun" w:hAnsi="Times New Roman"/>
        </w:rPr>
        <w:t>operations.</w:t>
      </w:r>
    </w:p>
    <w:p w:rsidR="0016777A" w:rsidRPr="0016777A" w:rsidRDefault="0016777A" w:rsidP="00BD183D">
      <w:pPr>
        <w:keepNext/>
        <w:keepLines/>
        <w:spacing w:after="60" w:line="240" w:lineRule="auto"/>
        <w:ind w:firstLine="0"/>
        <w:jc w:val="center"/>
        <w:rPr>
          <w:rFonts w:eastAsia="SimSun"/>
          <w:b/>
        </w:rPr>
      </w:pPr>
      <w:proofErr w:type="gramStart"/>
      <w:r w:rsidRPr="0016777A">
        <w:rPr>
          <w:rFonts w:eastAsia="SimSun"/>
          <w:b/>
        </w:rPr>
        <w:lastRenderedPageBreak/>
        <w:t>Table </w:t>
      </w:r>
      <w:r>
        <w:rPr>
          <w:rFonts w:eastAsia="SimSun"/>
          <w:b/>
        </w:rPr>
        <w:t>3</w:t>
      </w:r>
      <w:r w:rsidRPr="0016777A">
        <w:rPr>
          <w:rFonts w:eastAsia="SimSun"/>
          <w:b/>
        </w:rPr>
        <w:t>.</w:t>
      </w:r>
      <w:proofErr w:type="gramEnd"/>
      <w:r w:rsidRPr="0016777A">
        <w:rPr>
          <w:rFonts w:eastAsia="SimSun"/>
          <w:b/>
        </w:rPr>
        <w:t xml:space="preserve">  Comparison of PSE</w:t>
      </w:r>
      <w:r w:rsidR="00A14EBD">
        <w:rPr>
          <w:rFonts w:eastAsia="SimSun"/>
          <w:b/>
        </w:rPr>
        <w:t>’</w:t>
      </w:r>
      <w:r w:rsidRPr="0016777A">
        <w:rPr>
          <w:rFonts w:eastAsia="SimSun"/>
          <w:b/>
        </w:rPr>
        <w:t xml:space="preserve">s Actual </w:t>
      </w:r>
      <w:r>
        <w:rPr>
          <w:rFonts w:eastAsia="SimSun"/>
          <w:b/>
        </w:rPr>
        <w:t xml:space="preserve">Gas </w:t>
      </w:r>
      <w:r w:rsidRPr="0016777A">
        <w:rPr>
          <w:rFonts w:eastAsia="SimSun"/>
          <w:b/>
        </w:rPr>
        <w:t>Earnings</w:t>
      </w:r>
      <w:r>
        <w:rPr>
          <w:rFonts w:eastAsia="SimSun"/>
          <w:b/>
        </w:rPr>
        <w:br/>
      </w:r>
      <w:r w:rsidRPr="0016777A">
        <w:rPr>
          <w:rFonts w:eastAsia="SimSun"/>
          <w:b/>
        </w:rPr>
        <w:t>to Authorized Rate of Return and ROE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469"/>
        <w:gridCol w:w="1416"/>
        <w:gridCol w:w="1469"/>
        <w:gridCol w:w="1416"/>
      </w:tblGrid>
      <w:tr w:rsidR="0016777A" w:rsidRPr="0016777A" w:rsidTr="00D83EA9">
        <w:trPr>
          <w:jc w:val="center"/>
        </w:trPr>
        <w:tc>
          <w:tcPr>
            <w:tcW w:w="843" w:type="dxa"/>
            <w:tcBorders>
              <w:bottom w:val="single" w:sz="4" w:space="0" w:color="auto"/>
              <w:right w:val="single" w:sz="4" w:space="0" w:color="auto"/>
            </w:tcBorders>
          </w:tcPr>
          <w:p w:rsidR="0016777A" w:rsidRPr="0016777A" w:rsidRDefault="0016777A" w:rsidP="00BD183D">
            <w:pPr>
              <w:pStyle w:val="answer"/>
              <w:keepNext/>
              <w:keepLines/>
              <w:spacing w:before="60" w:after="60" w:line="240" w:lineRule="auto"/>
              <w:ind w:left="0" w:firstLine="0"/>
              <w:rPr>
                <w:rFonts w:ascii="Times New Roman" w:eastAsia="SimSun" w:hAnsi="Times New Roman"/>
                <w:b/>
              </w:rPr>
            </w:pP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Rate of Return</w:t>
            </w: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Return on Equity</w:t>
            </w:r>
          </w:p>
        </w:tc>
      </w:tr>
      <w:tr w:rsidR="0016777A" w:rsidRPr="0016777A" w:rsidTr="00D83EA9">
        <w:trPr>
          <w:jc w:val="center"/>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Year</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2013</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7.34%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7.785%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8.62%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2012</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7.46%</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7.80%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8.78%</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16777A" w:rsidTr="0016777A">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2011</w:t>
            </w:r>
          </w:p>
        </w:tc>
        <w:tc>
          <w:tcPr>
            <w:tcW w:w="1469"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6.78%</w:t>
            </w:r>
          </w:p>
        </w:tc>
        <w:tc>
          <w:tcPr>
            <w:tcW w:w="1416"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7.30%</w:t>
            </w:r>
          </w:p>
        </w:tc>
        <w:tc>
          <w:tcPr>
            <w:tcW w:w="1416"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10.10%</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6.24%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5.92%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10.10%</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2009</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6.10%</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5.61%</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10.15%</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2008</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6.52%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6.32%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10.15%</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D83EA9">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2007</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7.34%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8.40%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8.07%</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D83EA9">
            <w:pPr>
              <w:pStyle w:val="answer"/>
              <w:spacing w:before="60" w:after="60" w:line="240" w:lineRule="auto"/>
              <w:ind w:left="0" w:firstLine="0"/>
              <w:jc w:val="center"/>
              <w:rPr>
                <w:rFonts w:ascii="Times New Roman" w:eastAsia="SimSun" w:hAnsi="Times New Roman"/>
              </w:rPr>
            </w:pPr>
            <w:r w:rsidRPr="00EE3ECD">
              <w:rPr>
                <w:rFonts w:eastAsia="SimSun"/>
              </w:rPr>
              <w:t>10.40%</w:t>
            </w:r>
          </w:p>
        </w:tc>
      </w:tr>
    </w:tbl>
    <w:p w:rsidR="00DF0A93" w:rsidRPr="00EE3ECD" w:rsidRDefault="00DF0A93" w:rsidP="00F81A2D">
      <w:pPr>
        <w:pStyle w:val="Heading1"/>
        <w:spacing w:before="480" w:after="360" w:line="240" w:lineRule="auto"/>
        <w:rPr>
          <w:rFonts w:ascii="Times New Roman" w:eastAsia="SimSun" w:hAnsi="Times New Roman"/>
        </w:rPr>
      </w:pPr>
      <w:bookmarkStart w:id="5" w:name="_Toc402867749"/>
      <w:r w:rsidRPr="00EE3ECD">
        <w:rPr>
          <w:rFonts w:ascii="Times New Roman" w:eastAsia="SimSun" w:hAnsi="Times New Roman"/>
        </w:rPr>
        <w:t>V.</w:t>
      </w:r>
      <w:r w:rsidRPr="00EE3ECD">
        <w:rPr>
          <w:rFonts w:ascii="Times New Roman" w:eastAsia="SimSun" w:hAnsi="Times New Roman"/>
        </w:rPr>
        <w:tab/>
        <w:t>EFFECTS OF</w:t>
      </w:r>
      <w:r w:rsidR="009639BB">
        <w:rPr>
          <w:rFonts w:ascii="Times New Roman" w:eastAsia="SimSun" w:hAnsi="Times New Roman"/>
        </w:rPr>
        <w:t xml:space="preserve"> THE</w:t>
      </w:r>
      <w:r w:rsidRPr="00EE3ECD">
        <w:rPr>
          <w:rFonts w:ascii="Times New Roman" w:eastAsia="SimSun" w:hAnsi="Times New Roman"/>
        </w:rPr>
        <w:t xml:space="preserve"> EARNINGS SHARING PROVISION ON RETURN ON EQUITY</w:t>
      </w:r>
      <w:bookmarkEnd w:id="5"/>
      <w:r w:rsidRPr="00EE3ECD">
        <w:rPr>
          <w:rFonts w:ascii="Times New Roman" w:eastAsia="SimSun" w:hAnsi="Times New Roman"/>
        </w:rPr>
        <w:t xml:space="preserve"> </w:t>
      </w:r>
    </w:p>
    <w:p w:rsidR="00DF0A93" w:rsidRPr="007845E6"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Please</w:t>
      </w:r>
      <w:proofErr w:type="gramEnd"/>
      <w:r w:rsidRPr="00EE3ECD">
        <w:rPr>
          <w:rFonts w:ascii="Times New Roman" w:eastAsia="SimSun" w:hAnsi="Times New Roman"/>
        </w:rPr>
        <w:t xml:space="preserve"> provide an overview of the </w:t>
      </w:r>
      <w:r w:rsidR="0074210C" w:rsidRPr="00EE3ECD">
        <w:rPr>
          <w:rFonts w:ascii="Times New Roman" w:eastAsia="SimSun" w:hAnsi="Times New Roman"/>
        </w:rPr>
        <w:t xml:space="preserve">earnings sharing </w:t>
      </w:r>
      <w:r w:rsidRPr="00EE3ECD">
        <w:rPr>
          <w:rFonts w:ascii="Times New Roman" w:eastAsia="SimSun" w:hAnsi="Times New Roman"/>
        </w:rPr>
        <w:t>provision</w:t>
      </w:r>
      <w:r w:rsidR="0074210C">
        <w:rPr>
          <w:rFonts w:ascii="Times New Roman" w:eastAsia="SimSun" w:hAnsi="Times New Roman"/>
        </w:rPr>
        <w:t xml:space="preserve"> </w:t>
      </w:r>
      <w:r w:rsidR="003D32E8">
        <w:rPr>
          <w:rFonts w:ascii="Times New Roman" w:eastAsia="SimSun" w:hAnsi="Times New Roman"/>
        </w:rPr>
        <w:t xml:space="preserve">approved by the Commission as part </w:t>
      </w:r>
      <w:r w:rsidR="0074210C">
        <w:rPr>
          <w:rFonts w:ascii="Times New Roman" w:eastAsia="SimSun" w:hAnsi="Times New Roman"/>
        </w:rPr>
        <w:t>of the rate plan</w:t>
      </w:r>
      <w:r w:rsidR="00BD183D">
        <w:rPr>
          <w:rFonts w:ascii="Times New Roman" w:eastAsia="SimSun" w:hAnsi="Times New Roman"/>
        </w:rPr>
        <w:t>.</w:t>
      </w:r>
    </w:p>
    <w:p w:rsidR="00497DB9" w:rsidRDefault="00497DB9" w:rsidP="00387840">
      <w:pPr>
        <w:pStyle w:val="answer"/>
      </w:pPr>
      <w:r>
        <w:t>A.</w:t>
      </w:r>
      <w:r>
        <w:tab/>
      </w:r>
      <w:r w:rsidR="00D83EA9">
        <w:t>In paragraph 165 of Order 07 t</w:t>
      </w:r>
      <w:r>
        <w:t xml:space="preserve">he Commission required that </w:t>
      </w:r>
      <w:r w:rsidR="00D83EA9">
        <w:t>to the extent PSE</w:t>
      </w:r>
      <w:r w:rsidR="00A14EBD">
        <w:t>’</w:t>
      </w:r>
      <w:r w:rsidR="00D83EA9">
        <w:t>s earnings exceed its currently authorized rate of return of 7.77 percent,</w:t>
      </w:r>
      <w:r w:rsidR="00EF0D62">
        <w:t xml:space="preserve"> such excess earnings should be shared equally, </w:t>
      </w:r>
      <w:proofErr w:type="gramStart"/>
      <w:r w:rsidR="00EF0D62">
        <w:t>that</w:t>
      </w:r>
      <w:proofErr w:type="gramEnd"/>
      <w:r w:rsidR="00EF0D62">
        <w:t xml:space="preserve"> is 50/50, between customers and PSE</w:t>
      </w:r>
      <w:r w:rsidR="00BD183D">
        <w:rPr>
          <w:rFonts w:ascii="Times New Roman" w:eastAsia="SimSun" w:hAnsi="Times New Roman"/>
        </w:rPr>
        <w:t xml:space="preserve">.  </w:t>
      </w:r>
      <w:r w:rsidR="00EF0D62">
        <w:t xml:space="preserve">Stated alternatively, for every </w:t>
      </w:r>
      <w:r w:rsidR="00083C00">
        <w:t>two dollars</w:t>
      </w:r>
      <w:r w:rsidR="00EF0D62">
        <w:t xml:space="preserve"> of excess earnings PSE will retain </w:t>
      </w:r>
      <w:r w:rsidR="00083C00">
        <w:t>one dollar</w:t>
      </w:r>
      <w:r w:rsidR="00EF0D62">
        <w:t xml:space="preserve"> and refund </w:t>
      </w:r>
      <w:r w:rsidR="00083C00">
        <w:t>one dollar</w:t>
      </w:r>
      <w:r w:rsidR="00EF0D62">
        <w:t xml:space="preserve"> to customers.</w:t>
      </w:r>
    </w:p>
    <w:p w:rsidR="00EF0D62" w:rsidRPr="00036984" w:rsidRDefault="00EF0D62" w:rsidP="00387840">
      <w:pPr>
        <w:pStyle w:val="answer"/>
        <w:rPr>
          <w:b/>
        </w:rPr>
      </w:pPr>
      <w:r w:rsidRPr="00036984">
        <w:rPr>
          <w:b/>
        </w:rPr>
        <w:t>Q.</w:t>
      </w:r>
      <w:r w:rsidRPr="00036984">
        <w:rPr>
          <w:b/>
        </w:rPr>
        <w:tab/>
        <w:t>Why did the Commission implement such a sharing mechanism?</w:t>
      </w:r>
    </w:p>
    <w:p w:rsidR="00EF0D62" w:rsidRDefault="00EF0D62" w:rsidP="00387840">
      <w:pPr>
        <w:pStyle w:val="answer"/>
      </w:pPr>
      <w:r>
        <w:t>A.</w:t>
      </w:r>
      <w:r>
        <w:tab/>
        <w:t>Broadly speaking, the Commission wanted to retain the incentive for PSE to continue to identify efficiencies in its cost structure, the full effect of which should be captured in PSE</w:t>
      </w:r>
      <w:r w:rsidR="00A14EBD">
        <w:t>’</w:t>
      </w:r>
      <w:r>
        <w:t>s next general rate case.</w:t>
      </w:r>
      <w:r w:rsidR="00521538">
        <w:t xml:space="preserve">  </w:t>
      </w:r>
      <w:r w:rsidR="00521538">
        <w:rPr>
          <w:rFonts w:eastAsia="SimSun"/>
        </w:rPr>
        <w:t xml:space="preserve">PSE and </w:t>
      </w:r>
      <w:proofErr w:type="spellStart"/>
      <w:r w:rsidR="00521538">
        <w:rPr>
          <w:rFonts w:eastAsia="SimSun"/>
        </w:rPr>
        <w:t>NWEC</w:t>
      </w:r>
      <w:proofErr w:type="spellEnd"/>
      <w:r w:rsidR="00521538">
        <w:rPr>
          <w:rFonts w:eastAsia="SimSun"/>
        </w:rPr>
        <w:t xml:space="preserve"> initially proposed an </w:t>
      </w:r>
      <w:proofErr w:type="gramStart"/>
      <w:r w:rsidR="00521538">
        <w:rPr>
          <w:rFonts w:eastAsia="SimSun"/>
        </w:rPr>
        <w:t>earnings sharing</w:t>
      </w:r>
      <w:proofErr w:type="gramEnd"/>
      <w:r w:rsidR="00521538">
        <w:rPr>
          <w:rFonts w:eastAsia="SimSun"/>
        </w:rPr>
        <w:t xml:space="preserve"> mechanism that included a 25 basis point dead</w:t>
      </w:r>
      <w:r w:rsidR="00A34BD3">
        <w:rPr>
          <w:rFonts w:eastAsia="SimSun"/>
        </w:rPr>
        <w:t xml:space="preserve"> </w:t>
      </w:r>
      <w:r w:rsidR="00521538">
        <w:rPr>
          <w:rFonts w:eastAsia="SimSun"/>
        </w:rPr>
        <w:lastRenderedPageBreak/>
        <w:t>band</w:t>
      </w:r>
      <w:r w:rsidR="009639BB">
        <w:rPr>
          <w:rFonts w:eastAsia="SimSun"/>
        </w:rPr>
        <w:t>.  Under that proposal</w:t>
      </w:r>
      <w:proofErr w:type="gramStart"/>
      <w:r w:rsidR="009639BB">
        <w:rPr>
          <w:rFonts w:eastAsia="SimSun"/>
        </w:rPr>
        <w:t xml:space="preserve">, </w:t>
      </w:r>
      <w:r w:rsidR="00521538">
        <w:rPr>
          <w:rFonts w:eastAsia="SimSun"/>
        </w:rPr>
        <w:t xml:space="preserve"> 50</w:t>
      </w:r>
      <w:proofErr w:type="gramEnd"/>
      <w:r w:rsidR="00521538">
        <w:rPr>
          <w:rFonts w:eastAsia="SimSun"/>
        </w:rPr>
        <w:t>/50 sharing</w:t>
      </w:r>
      <w:r w:rsidR="009639BB">
        <w:rPr>
          <w:rFonts w:eastAsia="SimSun"/>
        </w:rPr>
        <w:t xml:space="preserve"> would have begun after PSE over-earned its 7.77 percent rate of return by 25 basis points</w:t>
      </w:r>
      <w:r w:rsidR="008A588E">
        <w:rPr>
          <w:rFonts w:eastAsia="SimSun"/>
        </w:rPr>
        <w:t>,</w:t>
      </w:r>
      <w:r w:rsidR="009639BB">
        <w:rPr>
          <w:rFonts w:eastAsia="SimSun"/>
        </w:rPr>
        <w:t xml:space="preserve"> or 8.02 percent</w:t>
      </w:r>
      <w:r w:rsidR="008A588E">
        <w:rPr>
          <w:rFonts w:eastAsia="SimSun"/>
        </w:rPr>
        <w:t>.  H</w:t>
      </w:r>
      <w:r w:rsidR="00521538">
        <w:rPr>
          <w:rFonts w:eastAsia="SimSun"/>
        </w:rPr>
        <w:t>owever</w:t>
      </w:r>
      <w:proofErr w:type="gramStart"/>
      <w:r w:rsidR="00521538">
        <w:rPr>
          <w:rFonts w:eastAsia="SimSun"/>
        </w:rPr>
        <w:t>,  the</w:t>
      </w:r>
      <w:proofErr w:type="gramEnd"/>
      <w:r w:rsidR="00521538">
        <w:rPr>
          <w:rFonts w:eastAsia="SimSun"/>
        </w:rPr>
        <w:t xml:space="preserve"> Commission viewed PSE</w:t>
      </w:r>
      <w:r w:rsidR="00A14EBD">
        <w:rPr>
          <w:rFonts w:eastAsia="SimSun"/>
        </w:rPr>
        <w:t>’</w:t>
      </w:r>
      <w:r w:rsidR="00521538">
        <w:rPr>
          <w:rFonts w:eastAsia="SimSun"/>
        </w:rPr>
        <w:t xml:space="preserve">s 9.8 return on equity to be at the high end of a range of reasonableness.  </w:t>
      </w:r>
      <w:r w:rsidR="00B043F8">
        <w:rPr>
          <w:rFonts w:eastAsia="SimSun"/>
        </w:rPr>
        <w:t>As a result</w:t>
      </w:r>
      <w:r w:rsidR="00083C00">
        <w:rPr>
          <w:rFonts w:eastAsia="SimSun"/>
        </w:rPr>
        <w:t>,</w:t>
      </w:r>
      <w:r w:rsidR="00521538">
        <w:rPr>
          <w:rFonts w:eastAsia="SimSun"/>
        </w:rPr>
        <w:t xml:space="preserve"> the Commission required that any earnings that exceed PSE</w:t>
      </w:r>
      <w:r w:rsidR="00A14EBD">
        <w:rPr>
          <w:rFonts w:eastAsia="SimSun"/>
        </w:rPr>
        <w:t>’</w:t>
      </w:r>
      <w:r w:rsidR="00521538">
        <w:rPr>
          <w:rFonts w:eastAsia="SimSun"/>
        </w:rPr>
        <w:t xml:space="preserve">s authorized rate of return </w:t>
      </w:r>
      <w:r w:rsidR="008A588E">
        <w:rPr>
          <w:rFonts w:eastAsia="SimSun"/>
        </w:rPr>
        <w:t xml:space="preserve">of 7.77 percent </w:t>
      </w:r>
      <w:proofErr w:type="gramStart"/>
      <w:r w:rsidR="00521538">
        <w:rPr>
          <w:rFonts w:eastAsia="SimSun"/>
        </w:rPr>
        <w:t>must be shared</w:t>
      </w:r>
      <w:proofErr w:type="gramEnd"/>
      <w:r w:rsidR="00521538">
        <w:rPr>
          <w:rFonts w:eastAsia="SimSun"/>
        </w:rPr>
        <w:t xml:space="preserve"> equally between PSE and customers.</w:t>
      </w:r>
      <w:r w:rsidR="008A588E">
        <w:rPr>
          <w:rStyle w:val="FootnoteReference"/>
          <w:rFonts w:eastAsia="SimSun"/>
        </w:rPr>
        <w:footnoteReference w:id="5"/>
      </w:r>
    </w:p>
    <w:p w:rsidR="00EF0D62" w:rsidRPr="00521538" w:rsidRDefault="00EF0D62" w:rsidP="00387840">
      <w:pPr>
        <w:pStyle w:val="answer"/>
        <w:rPr>
          <w:b/>
        </w:rPr>
      </w:pPr>
      <w:r w:rsidRPr="00521538">
        <w:rPr>
          <w:b/>
        </w:rPr>
        <w:t>Q.</w:t>
      </w:r>
      <w:r w:rsidRPr="00521538">
        <w:rPr>
          <w:b/>
        </w:rPr>
        <w:tab/>
        <w:t>Does this sharing mechanism have any impact on PSE</w:t>
      </w:r>
      <w:r w:rsidR="00A14EBD">
        <w:rPr>
          <w:b/>
        </w:rPr>
        <w:t>’</w:t>
      </w:r>
      <w:r w:rsidRPr="00521538">
        <w:rPr>
          <w:b/>
        </w:rPr>
        <w:t>s earnings profile</w:t>
      </w:r>
      <w:r w:rsidR="005D6A1E" w:rsidRPr="00521538">
        <w:rPr>
          <w:b/>
        </w:rPr>
        <w:t>?</w:t>
      </w:r>
    </w:p>
    <w:p w:rsidR="005D6A1E" w:rsidRDefault="005D6A1E" w:rsidP="00387840">
      <w:pPr>
        <w:pStyle w:val="answer"/>
      </w:pPr>
      <w:r>
        <w:t>A.</w:t>
      </w:r>
      <w:r>
        <w:tab/>
        <w:t>Yes, the sharing mechanism creates an asymmetrical earnings profile around PSE</w:t>
      </w:r>
      <w:r w:rsidR="00A14EBD">
        <w:t>’</w:t>
      </w:r>
      <w:r>
        <w:t>s 7.77</w:t>
      </w:r>
      <w:r w:rsidR="00083C00">
        <w:t xml:space="preserve"> percent</w:t>
      </w:r>
      <w:r>
        <w:t xml:space="preserve"> rate of return.  In very simple terms, PSE must earn </w:t>
      </w:r>
      <w:r w:rsidR="00083C00">
        <w:t>two dollars</w:t>
      </w:r>
      <w:r>
        <w:t xml:space="preserve"> to receive </w:t>
      </w:r>
      <w:r w:rsidR="00083C00">
        <w:t>one dollar</w:t>
      </w:r>
      <w:r>
        <w:t xml:space="preserve"> </w:t>
      </w:r>
      <w:r w:rsidR="00EF23F6">
        <w:t>of</w:t>
      </w:r>
      <w:r>
        <w:t xml:space="preserve"> upside earnings but </w:t>
      </w:r>
      <w:proofErr w:type="gramStart"/>
      <w:r>
        <w:t>is impacted</w:t>
      </w:r>
      <w:proofErr w:type="gramEnd"/>
      <w:r>
        <w:t xml:space="preserve"> </w:t>
      </w:r>
      <w:r w:rsidR="00521538">
        <w:t>dollar</w:t>
      </w:r>
      <w:r>
        <w:t xml:space="preserve"> for </w:t>
      </w:r>
      <w:r w:rsidR="00521538">
        <w:t>dollar</w:t>
      </w:r>
      <w:r w:rsidR="00EF23F6">
        <w:t xml:space="preserve"> on the downside when it has yet to earn its allowed rate of return.</w:t>
      </w:r>
      <w:r w:rsidR="00BD183D">
        <w:t xml:space="preserve">  </w:t>
      </w:r>
      <w:r w:rsidR="00EF23F6">
        <w:t>This relationship alters the traditional balance that</w:t>
      </w:r>
      <w:r w:rsidR="008A588E">
        <w:t xml:space="preserve"> should</w:t>
      </w:r>
      <w:r w:rsidR="00EF23F6">
        <w:t xml:space="preserve"> exist in a utility</w:t>
      </w:r>
      <w:r w:rsidR="00A14EBD">
        <w:t>’</w:t>
      </w:r>
      <w:r w:rsidR="00EF23F6">
        <w:t>s opportunity to earn its allowed rate of return.</w:t>
      </w:r>
    </w:p>
    <w:p w:rsidR="00777A8E" w:rsidRPr="00F81A2D" w:rsidRDefault="00777A8E" w:rsidP="00F81A2D">
      <w:pPr>
        <w:pStyle w:val="question"/>
        <w:keepNext/>
        <w:keepLines/>
        <w:spacing w:before="120"/>
        <w:rPr>
          <w:rFonts w:ascii="Times New Roman" w:hAnsi="Times New Roman"/>
        </w:rPr>
      </w:pPr>
      <w:proofErr w:type="gramStart"/>
      <w:r>
        <w:rPr>
          <w:rFonts w:eastAsia="SimSun"/>
        </w:rPr>
        <w:t>Q.</w:t>
      </w:r>
      <w:r>
        <w:rPr>
          <w:rFonts w:eastAsia="SimSun"/>
        </w:rPr>
        <w:tab/>
        <w:t>Please</w:t>
      </w:r>
      <w:proofErr w:type="gramEnd"/>
      <w:r>
        <w:rPr>
          <w:rFonts w:eastAsia="SimSun"/>
        </w:rPr>
        <w:t xml:space="preserve"> explain </w:t>
      </w:r>
      <w:r w:rsidR="005D6A1E">
        <w:rPr>
          <w:rFonts w:eastAsia="SimSun"/>
        </w:rPr>
        <w:t xml:space="preserve">in more detail </w:t>
      </w:r>
      <w:r>
        <w:rPr>
          <w:rFonts w:eastAsia="SimSun"/>
        </w:rPr>
        <w:t xml:space="preserve">the asymmetry in earnings that results from </w:t>
      </w:r>
      <w:r w:rsidR="005D6A1E">
        <w:rPr>
          <w:rFonts w:eastAsia="SimSun"/>
        </w:rPr>
        <w:t xml:space="preserve">the </w:t>
      </w:r>
      <w:r>
        <w:rPr>
          <w:rFonts w:eastAsia="SimSun"/>
        </w:rPr>
        <w:t>earnings sharing provision</w:t>
      </w:r>
      <w:r w:rsidR="005D6A1E">
        <w:rPr>
          <w:rFonts w:eastAsia="SimSun"/>
        </w:rPr>
        <w:t xml:space="preserve"> implemented as part of this proceeding</w:t>
      </w:r>
      <w:r>
        <w:rPr>
          <w:rFonts w:eastAsia="SimSun"/>
        </w:rPr>
        <w:t>.</w:t>
      </w:r>
    </w:p>
    <w:p w:rsidR="009B3989" w:rsidRDefault="00322887" w:rsidP="009B3989">
      <w:pPr>
        <w:pStyle w:val="answer"/>
        <w:rPr>
          <w:rFonts w:ascii="Times New Roman" w:eastAsia="SimSun" w:hAnsi="Times New Roman"/>
        </w:rPr>
      </w:pPr>
      <w:r>
        <w:rPr>
          <w:rFonts w:ascii="Times New Roman" w:eastAsia="SimSun" w:hAnsi="Times New Roman"/>
        </w:rPr>
        <w:t>A.</w:t>
      </w:r>
      <w:r>
        <w:rPr>
          <w:rFonts w:ascii="Times New Roman" w:eastAsia="SimSun" w:hAnsi="Times New Roman"/>
        </w:rPr>
        <w:tab/>
      </w:r>
      <w:r w:rsidR="000F1C20">
        <w:rPr>
          <w:rFonts w:ascii="Times New Roman" w:eastAsia="SimSun" w:hAnsi="Times New Roman"/>
        </w:rPr>
        <w:t>A</w:t>
      </w:r>
      <w:r w:rsidR="00DF0A93" w:rsidRPr="00EE3ECD">
        <w:rPr>
          <w:rFonts w:ascii="Times New Roman" w:eastAsia="SimSun" w:hAnsi="Times New Roman"/>
        </w:rPr>
        <w:t xml:space="preserve">uthorized rates of return and </w:t>
      </w:r>
      <w:proofErr w:type="spellStart"/>
      <w:r w:rsidR="00DF0A93" w:rsidRPr="00EE3ECD">
        <w:rPr>
          <w:rFonts w:ascii="Times New Roman" w:eastAsia="SimSun" w:hAnsi="Times New Roman"/>
        </w:rPr>
        <w:t>ROE</w:t>
      </w:r>
      <w:r w:rsidR="00F30889">
        <w:rPr>
          <w:rFonts w:ascii="Times New Roman" w:eastAsia="SimSun" w:hAnsi="Times New Roman"/>
        </w:rPr>
        <w:t>s</w:t>
      </w:r>
      <w:proofErr w:type="spellEnd"/>
      <w:r w:rsidR="00F30889">
        <w:rPr>
          <w:rFonts w:ascii="Times New Roman" w:eastAsia="SimSun" w:hAnsi="Times New Roman"/>
        </w:rPr>
        <w:t xml:space="preserve"> </w:t>
      </w:r>
      <w:r w:rsidR="00DF0A93" w:rsidRPr="00EE3ECD">
        <w:rPr>
          <w:rFonts w:ascii="Times New Roman" w:eastAsia="SimSun" w:hAnsi="Times New Roman"/>
        </w:rPr>
        <w:t>are set for utilit</w:t>
      </w:r>
      <w:r w:rsidR="00F30889">
        <w:rPr>
          <w:rFonts w:ascii="Times New Roman" w:eastAsia="SimSun" w:hAnsi="Times New Roman"/>
        </w:rPr>
        <w:t>ies</w:t>
      </w:r>
      <w:r w:rsidR="00DF0A93" w:rsidRPr="00EE3ECD">
        <w:rPr>
          <w:rFonts w:ascii="Times New Roman" w:eastAsia="SimSun" w:hAnsi="Times New Roman"/>
        </w:rPr>
        <w:t xml:space="preserve"> with the understanding that there should be the opportunity for utilit</w:t>
      </w:r>
      <w:r w:rsidR="00F30889">
        <w:rPr>
          <w:rFonts w:ascii="Times New Roman" w:eastAsia="SimSun" w:hAnsi="Times New Roman"/>
        </w:rPr>
        <w:t>ies</w:t>
      </w:r>
      <w:r w:rsidR="00DF0A93" w:rsidRPr="00EE3ECD">
        <w:rPr>
          <w:rFonts w:ascii="Times New Roman" w:eastAsia="SimSun" w:hAnsi="Times New Roman"/>
        </w:rPr>
        <w:t xml:space="preserve"> to earn those benchmarks on average over time.  In other words, </w:t>
      </w:r>
      <w:r w:rsidR="00F30889">
        <w:rPr>
          <w:rFonts w:ascii="Times New Roman" w:eastAsia="SimSun" w:hAnsi="Times New Roman"/>
        </w:rPr>
        <w:t xml:space="preserve">utilities </w:t>
      </w:r>
      <w:r w:rsidR="00DF0A93" w:rsidRPr="00EE3ECD">
        <w:rPr>
          <w:rFonts w:ascii="Times New Roman" w:eastAsia="SimSun" w:hAnsi="Times New Roman"/>
        </w:rPr>
        <w:t xml:space="preserve">may over-earn and under-earn </w:t>
      </w:r>
      <w:r w:rsidR="00F30889">
        <w:rPr>
          <w:rFonts w:ascii="Times New Roman" w:eastAsia="SimSun" w:hAnsi="Times New Roman"/>
        </w:rPr>
        <w:t xml:space="preserve">their authorized rates of return and </w:t>
      </w:r>
      <w:proofErr w:type="spellStart"/>
      <w:r w:rsidR="00DF0A93" w:rsidRPr="00EE3ECD">
        <w:rPr>
          <w:rFonts w:ascii="Times New Roman" w:eastAsia="SimSun" w:hAnsi="Times New Roman"/>
        </w:rPr>
        <w:t>ROE</w:t>
      </w:r>
      <w:r w:rsidR="00F30889">
        <w:rPr>
          <w:rFonts w:ascii="Times New Roman" w:eastAsia="SimSun" w:hAnsi="Times New Roman"/>
        </w:rPr>
        <w:t>s</w:t>
      </w:r>
      <w:proofErr w:type="spellEnd"/>
      <w:r w:rsidR="00DF0A93" w:rsidRPr="00EE3ECD">
        <w:rPr>
          <w:rFonts w:ascii="Times New Roman" w:eastAsia="SimSun" w:hAnsi="Times New Roman"/>
        </w:rPr>
        <w:t xml:space="preserve">, </w:t>
      </w:r>
      <w:proofErr w:type="gramStart"/>
      <w:r w:rsidR="00DF0A93" w:rsidRPr="00EE3ECD">
        <w:rPr>
          <w:rFonts w:ascii="Times New Roman" w:eastAsia="SimSun" w:hAnsi="Times New Roman"/>
        </w:rPr>
        <w:t>but</w:t>
      </w:r>
      <w:r w:rsidR="00F30889">
        <w:rPr>
          <w:rFonts w:ascii="Times New Roman" w:eastAsia="SimSun" w:hAnsi="Times New Roman"/>
        </w:rPr>
        <w:t>,</w:t>
      </w:r>
      <w:proofErr w:type="gramEnd"/>
      <w:r w:rsidR="00DF0A93" w:rsidRPr="00EE3ECD">
        <w:rPr>
          <w:rFonts w:ascii="Times New Roman" w:eastAsia="SimSun" w:hAnsi="Times New Roman"/>
        </w:rPr>
        <w:t xml:space="preserve"> all things being equal, </w:t>
      </w:r>
      <w:r w:rsidR="00F30889">
        <w:rPr>
          <w:rFonts w:ascii="Times New Roman" w:eastAsia="SimSun" w:hAnsi="Times New Roman"/>
        </w:rPr>
        <w:t xml:space="preserve">the </w:t>
      </w:r>
      <w:r w:rsidR="00DF0A93" w:rsidRPr="00EE3ECD">
        <w:rPr>
          <w:rFonts w:ascii="Times New Roman" w:eastAsia="SimSun" w:hAnsi="Times New Roman"/>
        </w:rPr>
        <w:t xml:space="preserve">average </w:t>
      </w:r>
      <w:r w:rsidR="00F30889">
        <w:rPr>
          <w:rFonts w:ascii="Times New Roman" w:eastAsia="SimSun" w:hAnsi="Times New Roman"/>
        </w:rPr>
        <w:t xml:space="preserve">actual rates of return and </w:t>
      </w:r>
      <w:proofErr w:type="spellStart"/>
      <w:r w:rsidR="00F30889" w:rsidRPr="00EE3ECD">
        <w:rPr>
          <w:rFonts w:ascii="Times New Roman" w:eastAsia="SimSun" w:hAnsi="Times New Roman"/>
        </w:rPr>
        <w:t>ROE</w:t>
      </w:r>
      <w:r w:rsidR="00F30889">
        <w:rPr>
          <w:rFonts w:ascii="Times New Roman" w:eastAsia="SimSun" w:hAnsi="Times New Roman"/>
        </w:rPr>
        <w:t>s</w:t>
      </w:r>
      <w:proofErr w:type="spellEnd"/>
      <w:r w:rsidR="00F30889" w:rsidRPr="00EE3ECD">
        <w:rPr>
          <w:rFonts w:ascii="Times New Roman" w:eastAsia="SimSun" w:hAnsi="Times New Roman"/>
        </w:rPr>
        <w:t xml:space="preserve"> </w:t>
      </w:r>
      <w:r w:rsidR="00DF0A93" w:rsidRPr="00EE3ECD">
        <w:rPr>
          <w:rFonts w:ascii="Times New Roman" w:eastAsia="SimSun" w:hAnsi="Times New Roman"/>
        </w:rPr>
        <w:t xml:space="preserve">will </w:t>
      </w:r>
      <w:r w:rsidR="00244E41">
        <w:rPr>
          <w:rFonts w:ascii="Times New Roman" w:eastAsia="SimSun" w:hAnsi="Times New Roman"/>
        </w:rPr>
        <w:t>approximate</w:t>
      </w:r>
      <w:r w:rsidR="00DF0A93" w:rsidRPr="00EE3ECD">
        <w:rPr>
          <w:rFonts w:ascii="Times New Roman" w:eastAsia="SimSun" w:hAnsi="Times New Roman"/>
        </w:rPr>
        <w:t xml:space="preserve"> </w:t>
      </w:r>
      <w:r w:rsidR="00F30889">
        <w:rPr>
          <w:rFonts w:ascii="Times New Roman" w:eastAsia="SimSun" w:hAnsi="Times New Roman"/>
        </w:rPr>
        <w:t xml:space="preserve">the </w:t>
      </w:r>
      <w:r w:rsidR="00DF0A93" w:rsidRPr="00EE3ECD">
        <w:rPr>
          <w:rFonts w:ascii="Times New Roman" w:eastAsia="SimSun" w:hAnsi="Times New Roman"/>
        </w:rPr>
        <w:t xml:space="preserve">authorized </w:t>
      </w:r>
      <w:r w:rsidR="00F30889">
        <w:rPr>
          <w:rFonts w:ascii="Times New Roman" w:eastAsia="SimSun" w:hAnsi="Times New Roman"/>
        </w:rPr>
        <w:t xml:space="preserve">rates of return and </w:t>
      </w:r>
      <w:proofErr w:type="spellStart"/>
      <w:r w:rsidR="00F30889" w:rsidRPr="00EE3ECD">
        <w:rPr>
          <w:rFonts w:ascii="Times New Roman" w:eastAsia="SimSun" w:hAnsi="Times New Roman"/>
        </w:rPr>
        <w:t>ROE</w:t>
      </w:r>
      <w:r w:rsidR="00F30889">
        <w:rPr>
          <w:rFonts w:ascii="Times New Roman" w:eastAsia="SimSun" w:hAnsi="Times New Roman"/>
        </w:rPr>
        <w:t>s</w:t>
      </w:r>
      <w:proofErr w:type="spellEnd"/>
      <w:r w:rsidR="00F30889" w:rsidRPr="00EE3ECD">
        <w:rPr>
          <w:rFonts w:ascii="Times New Roman" w:eastAsia="SimSun" w:hAnsi="Times New Roman"/>
        </w:rPr>
        <w:t xml:space="preserve"> </w:t>
      </w:r>
      <w:r w:rsidR="000F1C20">
        <w:rPr>
          <w:rFonts w:ascii="Times New Roman" w:eastAsia="SimSun" w:hAnsi="Times New Roman"/>
        </w:rPr>
        <w:t>over time.</w:t>
      </w:r>
      <w:r w:rsidR="00497DB9">
        <w:rPr>
          <w:rFonts w:ascii="Times New Roman" w:eastAsia="SimSun" w:hAnsi="Times New Roman"/>
        </w:rPr>
        <w:t xml:space="preserve">  However, it is important to recognize that </w:t>
      </w:r>
      <w:r w:rsidR="00A14EBD">
        <w:rPr>
          <w:rFonts w:ascii="Times New Roman" w:eastAsia="SimSun" w:hAnsi="Times New Roman"/>
        </w:rPr>
        <w:t>“</w:t>
      </w:r>
      <w:r w:rsidR="00497DB9">
        <w:rPr>
          <w:rFonts w:ascii="Times New Roman" w:eastAsia="SimSun" w:hAnsi="Times New Roman"/>
        </w:rPr>
        <w:t xml:space="preserve">all things are not </w:t>
      </w:r>
      <w:r w:rsidR="00497DB9">
        <w:rPr>
          <w:rFonts w:ascii="Times New Roman" w:eastAsia="SimSun" w:hAnsi="Times New Roman"/>
        </w:rPr>
        <w:lastRenderedPageBreak/>
        <w:t>equal</w:t>
      </w:r>
      <w:r w:rsidR="00A14EBD">
        <w:rPr>
          <w:rFonts w:ascii="Times New Roman" w:eastAsia="SimSun" w:hAnsi="Times New Roman"/>
        </w:rPr>
        <w:t>”</w:t>
      </w:r>
      <w:r w:rsidR="00497DB9">
        <w:rPr>
          <w:rFonts w:ascii="Times New Roman" w:eastAsia="SimSun" w:hAnsi="Times New Roman"/>
        </w:rPr>
        <w:t xml:space="preserve"> in terms of how over-earning and under-earning</w:t>
      </w:r>
      <w:r w:rsidR="009B3989">
        <w:rPr>
          <w:rFonts w:ascii="Times New Roman" w:eastAsia="SimSun" w:hAnsi="Times New Roman"/>
        </w:rPr>
        <w:t xml:space="preserve"> balance out when an earnings sharing mechanism is implemented.  </w:t>
      </w:r>
      <w:r w:rsidR="009B3989" w:rsidRPr="000F1C20">
        <w:rPr>
          <w:rFonts w:ascii="Times New Roman" w:eastAsia="SimSun" w:hAnsi="Times New Roman"/>
        </w:rPr>
        <w:t>PSE originally proposed the sharing of earnings after 25</w:t>
      </w:r>
      <w:r w:rsidR="009B3989">
        <w:rPr>
          <w:rFonts w:ascii="Times New Roman" w:eastAsia="SimSun" w:hAnsi="Times New Roman"/>
        </w:rPr>
        <w:t> </w:t>
      </w:r>
      <w:r w:rsidR="009B3989" w:rsidRPr="000F1C20">
        <w:rPr>
          <w:rFonts w:ascii="Times New Roman" w:eastAsia="SimSun" w:hAnsi="Times New Roman"/>
        </w:rPr>
        <w:t xml:space="preserve">basis points of over-earning (i.e., the dead band) </w:t>
      </w:r>
      <w:r w:rsidR="009B3989">
        <w:rPr>
          <w:rFonts w:ascii="Times New Roman" w:eastAsia="SimSun" w:hAnsi="Times New Roman"/>
        </w:rPr>
        <w:t>because</w:t>
      </w:r>
      <w:r w:rsidR="009B3989" w:rsidRPr="000F1C20">
        <w:rPr>
          <w:rFonts w:ascii="Times New Roman" w:eastAsia="SimSun" w:hAnsi="Times New Roman"/>
        </w:rPr>
        <w:t xml:space="preserve"> it mitigates some of the </w:t>
      </w:r>
      <w:r w:rsidR="005D6A1E">
        <w:rPr>
          <w:rFonts w:ascii="Times New Roman" w:eastAsia="SimSun" w:hAnsi="Times New Roman"/>
        </w:rPr>
        <w:t xml:space="preserve">asymmetry </w:t>
      </w:r>
      <w:r w:rsidR="009B3989" w:rsidRPr="000F1C20">
        <w:rPr>
          <w:rFonts w:ascii="Times New Roman" w:eastAsia="SimSun" w:hAnsi="Times New Roman"/>
        </w:rPr>
        <w:t xml:space="preserve">on </w:t>
      </w:r>
      <w:r w:rsidR="005D6A1E">
        <w:rPr>
          <w:rFonts w:ascii="Times New Roman" w:eastAsia="SimSun" w:hAnsi="Times New Roman"/>
        </w:rPr>
        <w:t xml:space="preserve">rates of return and </w:t>
      </w:r>
      <w:r w:rsidR="009B3989" w:rsidRPr="000F1C20">
        <w:rPr>
          <w:rFonts w:ascii="Times New Roman" w:eastAsia="SimSun" w:hAnsi="Times New Roman"/>
        </w:rPr>
        <w:t xml:space="preserve">ROE associated with the earnings sharing and it better maintained upside and downside parity around the opportunity to earn </w:t>
      </w:r>
      <w:r w:rsidR="00244E41">
        <w:rPr>
          <w:rFonts w:ascii="Times New Roman" w:eastAsia="SimSun" w:hAnsi="Times New Roman"/>
        </w:rPr>
        <w:t>its</w:t>
      </w:r>
      <w:r w:rsidR="009B3989" w:rsidRPr="000F1C20">
        <w:rPr>
          <w:rFonts w:ascii="Times New Roman" w:eastAsia="SimSun" w:hAnsi="Times New Roman"/>
        </w:rPr>
        <w:t xml:space="preserve"> authorized </w:t>
      </w:r>
      <w:r w:rsidR="00244E41">
        <w:rPr>
          <w:rFonts w:ascii="Times New Roman" w:eastAsia="SimSun" w:hAnsi="Times New Roman"/>
        </w:rPr>
        <w:t xml:space="preserve">rate of return and </w:t>
      </w:r>
      <w:r w:rsidR="009B3989" w:rsidRPr="000F1C20">
        <w:rPr>
          <w:rFonts w:ascii="Times New Roman" w:eastAsia="SimSun" w:hAnsi="Times New Roman"/>
        </w:rPr>
        <w:t>ROE.  This is demonstrated on Exhibit No</w:t>
      </w:r>
      <w:proofErr w:type="gramStart"/>
      <w:r w:rsidR="009B3989" w:rsidRPr="000F1C20">
        <w:rPr>
          <w:rFonts w:ascii="Times New Roman" w:eastAsia="SimSun" w:hAnsi="Times New Roman"/>
        </w:rPr>
        <w:t>.</w:t>
      </w:r>
      <w:r w:rsidR="009B3989">
        <w:rPr>
          <w:rFonts w:ascii="Times New Roman" w:eastAsia="SimSun" w:hAnsi="Times New Roman"/>
        </w:rPr>
        <w:t> </w:t>
      </w:r>
      <w:proofErr w:type="gramEnd"/>
      <w:r w:rsidR="009B3989" w:rsidRPr="000F1C20">
        <w:rPr>
          <w:rFonts w:ascii="Times New Roman" w:eastAsia="SimSun" w:hAnsi="Times New Roman"/>
        </w:rPr>
        <w:t>__</w:t>
      </w:r>
      <w:proofErr w:type="gramStart"/>
      <w:r w:rsidR="009B3989" w:rsidRPr="000F1C20">
        <w:rPr>
          <w:rFonts w:ascii="Times New Roman" w:eastAsia="SimSun" w:hAnsi="Times New Roman"/>
        </w:rPr>
        <w:t>_(</w:t>
      </w:r>
      <w:proofErr w:type="gramEnd"/>
      <w:r w:rsidR="009B3989" w:rsidRPr="000F1C20">
        <w:rPr>
          <w:rFonts w:ascii="Times New Roman" w:eastAsia="SimSun" w:hAnsi="Times New Roman"/>
        </w:rPr>
        <w:t>DAD-</w:t>
      </w:r>
      <w:r w:rsidR="00D2194B">
        <w:rPr>
          <w:rFonts w:ascii="Times New Roman" w:eastAsia="SimSun" w:hAnsi="Times New Roman"/>
        </w:rPr>
        <w:t>5</w:t>
      </w:r>
      <w:r w:rsidR="009B3989" w:rsidRPr="000F1C20">
        <w:rPr>
          <w:rFonts w:ascii="Times New Roman" w:eastAsia="SimSun" w:hAnsi="Times New Roman"/>
        </w:rPr>
        <w:t>).</w:t>
      </w:r>
    </w:p>
    <w:p w:rsidR="009B3989" w:rsidRPr="00F81A2D" w:rsidRDefault="009B3989" w:rsidP="00F81A2D">
      <w:pPr>
        <w:pStyle w:val="question"/>
        <w:keepNext/>
        <w:keepLines/>
        <w:spacing w:before="120"/>
        <w:rPr>
          <w:rFonts w:ascii="Times New Roman" w:hAnsi="Times New Roman"/>
        </w:rPr>
      </w:pPr>
      <w:proofErr w:type="gramStart"/>
      <w:r>
        <w:rPr>
          <w:rFonts w:eastAsia="SimSun"/>
        </w:rPr>
        <w:t>Q.</w:t>
      </w:r>
      <w:r>
        <w:rPr>
          <w:rFonts w:eastAsia="SimSun"/>
        </w:rPr>
        <w:tab/>
        <w:t>Please</w:t>
      </w:r>
      <w:proofErr w:type="gramEnd"/>
      <w:r>
        <w:rPr>
          <w:rFonts w:eastAsia="SimSun"/>
        </w:rPr>
        <w:t xml:space="preserve"> elaborate.</w:t>
      </w:r>
    </w:p>
    <w:p w:rsidR="000F1C20" w:rsidRDefault="009B3989" w:rsidP="00387840">
      <w:pPr>
        <w:pStyle w:val="answer"/>
        <w:rPr>
          <w:rFonts w:ascii="Times New Roman" w:eastAsia="SimSun" w:hAnsi="Times New Roman"/>
        </w:rPr>
      </w:pPr>
      <w:r>
        <w:rPr>
          <w:rFonts w:eastAsia="SimSun"/>
        </w:rPr>
        <w:t>A.</w:t>
      </w:r>
      <w:r>
        <w:rPr>
          <w:rFonts w:eastAsia="SimSun"/>
        </w:rPr>
        <w:tab/>
      </w:r>
      <w:r w:rsidR="00263363">
        <w:rPr>
          <w:rFonts w:ascii="Times New Roman" w:eastAsia="SimSun" w:hAnsi="Times New Roman"/>
        </w:rPr>
        <w:t>R</w:t>
      </w:r>
      <w:r w:rsidR="000F1C20">
        <w:rPr>
          <w:rFonts w:ascii="Times New Roman" w:eastAsia="SimSun" w:hAnsi="Times New Roman"/>
        </w:rPr>
        <w:t xml:space="preserve">ates of return </w:t>
      </w:r>
      <w:r w:rsidR="000F1C20" w:rsidRPr="000F1C20">
        <w:rPr>
          <w:rFonts w:ascii="Times New Roman" w:eastAsia="SimSun" w:hAnsi="Times New Roman"/>
        </w:rPr>
        <w:t xml:space="preserve">and </w:t>
      </w:r>
      <w:proofErr w:type="spellStart"/>
      <w:r w:rsidR="000F1C20" w:rsidRPr="000F1C20">
        <w:rPr>
          <w:rFonts w:ascii="Times New Roman" w:eastAsia="SimSun" w:hAnsi="Times New Roman"/>
        </w:rPr>
        <w:t>ROE</w:t>
      </w:r>
      <w:r w:rsidR="000F1C20">
        <w:rPr>
          <w:rFonts w:ascii="Times New Roman" w:eastAsia="SimSun" w:hAnsi="Times New Roman"/>
        </w:rPr>
        <w:t>s</w:t>
      </w:r>
      <w:proofErr w:type="spellEnd"/>
      <w:r w:rsidR="000F1C20" w:rsidRPr="000F1C20">
        <w:rPr>
          <w:rFonts w:ascii="Times New Roman" w:eastAsia="SimSun" w:hAnsi="Times New Roman"/>
        </w:rPr>
        <w:t xml:space="preserve"> </w:t>
      </w:r>
      <w:proofErr w:type="gramStart"/>
      <w:r w:rsidR="000F1C20" w:rsidRPr="000F1C20">
        <w:rPr>
          <w:rFonts w:ascii="Times New Roman" w:eastAsia="SimSun" w:hAnsi="Times New Roman"/>
        </w:rPr>
        <w:t>are related</w:t>
      </w:r>
      <w:proofErr w:type="gramEnd"/>
      <w:r w:rsidR="000F1C20" w:rsidRPr="000F1C20">
        <w:rPr>
          <w:rFonts w:ascii="Times New Roman" w:eastAsia="SimSun" w:hAnsi="Times New Roman"/>
        </w:rPr>
        <w:t>, in that reduction</w:t>
      </w:r>
      <w:r w:rsidR="000F1C20">
        <w:rPr>
          <w:rFonts w:ascii="Times New Roman" w:eastAsia="SimSun" w:hAnsi="Times New Roman"/>
        </w:rPr>
        <w:t>s</w:t>
      </w:r>
      <w:r w:rsidR="000F1C20" w:rsidRPr="000F1C20">
        <w:rPr>
          <w:rFonts w:ascii="Times New Roman" w:eastAsia="SimSun" w:hAnsi="Times New Roman"/>
        </w:rPr>
        <w:t xml:space="preserve"> to </w:t>
      </w:r>
      <w:r w:rsidR="000F1C20">
        <w:rPr>
          <w:rFonts w:ascii="Times New Roman" w:eastAsia="SimSun" w:hAnsi="Times New Roman"/>
        </w:rPr>
        <w:t xml:space="preserve">rates of return </w:t>
      </w:r>
      <w:r w:rsidR="000F1C20" w:rsidRPr="000F1C20">
        <w:rPr>
          <w:rFonts w:ascii="Times New Roman" w:eastAsia="SimSun" w:hAnsi="Times New Roman"/>
        </w:rPr>
        <w:t>will have direct effect</w:t>
      </w:r>
      <w:r w:rsidR="000F1C20">
        <w:rPr>
          <w:rFonts w:ascii="Times New Roman" w:eastAsia="SimSun" w:hAnsi="Times New Roman"/>
        </w:rPr>
        <w:t>s</w:t>
      </w:r>
      <w:r w:rsidR="000F1C20" w:rsidRPr="000F1C20">
        <w:rPr>
          <w:rFonts w:ascii="Times New Roman" w:eastAsia="SimSun" w:hAnsi="Times New Roman"/>
        </w:rPr>
        <w:t xml:space="preserve"> on </w:t>
      </w:r>
      <w:proofErr w:type="spellStart"/>
      <w:r w:rsidR="000F1C20" w:rsidRPr="000F1C20">
        <w:rPr>
          <w:rFonts w:ascii="Times New Roman" w:eastAsia="SimSun" w:hAnsi="Times New Roman"/>
        </w:rPr>
        <w:t>ROE</w:t>
      </w:r>
      <w:r w:rsidR="000F1C20">
        <w:rPr>
          <w:rFonts w:ascii="Times New Roman" w:eastAsia="SimSun" w:hAnsi="Times New Roman"/>
        </w:rPr>
        <w:t>s</w:t>
      </w:r>
      <w:proofErr w:type="spellEnd"/>
      <w:r w:rsidR="000F1C20" w:rsidRPr="000F1C20">
        <w:rPr>
          <w:rFonts w:ascii="Times New Roman" w:eastAsia="SimSun" w:hAnsi="Times New Roman"/>
        </w:rPr>
        <w:t xml:space="preserve">.  The difference between regulated income (the numerator in ROE) and regulated operating income (the numerator in </w:t>
      </w:r>
      <w:r w:rsidR="000F1C20">
        <w:rPr>
          <w:rFonts w:ascii="Times New Roman" w:eastAsia="SimSun" w:hAnsi="Times New Roman"/>
        </w:rPr>
        <w:t>rate of return</w:t>
      </w:r>
      <w:r w:rsidR="000F1C20" w:rsidRPr="000F1C20">
        <w:rPr>
          <w:rFonts w:ascii="Times New Roman" w:eastAsia="SimSun" w:hAnsi="Times New Roman"/>
        </w:rPr>
        <w:t xml:space="preserve">) is regulated interest expense (rate base times authorized weighted average cost of debt).  Likewise, there is a relationship between the denominator in </w:t>
      </w:r>
      <w:r w:rsidR="000F1C20">
        <w:rPr>
          <w:rFonts w:ascii="Times New Roman" w:eastAsia="SimSun" w:hAnsi="Times New Roman"/>
        </w:rPr>
        <w:t>rate of return</w:t>
      </w:r>
      <w:r w:rsidR="000F1C20" w:rsidRPr="000F1C20">
        <w:rPr>
          <w:rFonts w:ascii="Times New Roman" w:eastAsia="SimSun" w:hAnsi="Times New Roman"/>
        </w:rPr>
        <w:t xml:space="preserve"> (rate base) and the denominator in ROE (equity invested in rate base which is rate base times the authorized equity ratio).  Consequently, </w:t>
      </w:r>
      <w:r w:rsidR="000F1C20">
        <w:rPr>
          <w:rFonts w:ascii="Times New Roman" w:eastAsia="SimSun" w:hAnsi="Times New Roman"/>
        </w:rPr>
        <w:t>authorized rate of return</w:t>
      </w:r>
      <w:r w:rsidR="000F1C20" w:rsidRPr="000F1C20">
        <w:rPr>
          <w:rFonts w:ascii="Times New Roman" w:eastAsia="SimSun" w:hAnsi="Times New Roman"/>
        </w:rPr>
        <w:t xml:space="preserve"> and ROE bear a direct relation to one another.</w:t>
      </w:r>
    </w:p>
    <w:p w:rsidR="000F1C20" w:rsidRDefault="000F1C20" w:rsidP="00F30889">
      <w:pPr>
        <w:pStyle w:val="answer"/>
        <w:ind w:firstLine="0"/>
        <w:rPr>
          <w:rFonts w:ascii="Times New Roman" w:eastAsia="SimSun" w:hAnsi="Times New Roman"/>
        </w:rPr>
      </w:pPr>
      <w:r w:rsidRPr="000F1C20">
        <w:rPr>
          <w:rFonts w:ascii="Times New Roman" w:eastAsia="SimSun" w:hAnsi="Times New Roman"/>
        </w:rPr>
        <w:t>Lines</w:t>
      </w:r>
      <w:r>
        <w:rPr>
          <w:rFonts w:ascii="Times New Roman" w:eastAsia="SimSun" w:hAnsi="Times New Roman"/>
        </w:rPr>
        <w:t> </w:t>
      </w:r>
      <w:r w:rsidR="00BA6F5D">
        <w:rPr>
          <w:rFonts w:ascii="Times New Roman" w:eastAsia="SimSun" w:hAnsi="Times New Roman"/>
        </w:rPr>
        <w:t>1</w:t>
      </w:r>
      <w:r w:rsidR="00BA6F5D" w:rsidRPr="000F1C20">
        <w:rPr>
          <w:rFonts w:ascii="Times New Roman" w:eastAsia="SimSun" w:hAnsi="Times New Roman"/>
        </w:rPr>
        <w:t xml:space="preserve"> </w:t>
      </w:r>
      <w:r w:rsidRPr="000F1C20">
        <w:rPr>
          <w:rFonts w:ascii="Times New Roman" w:eastAsia="SimSun" w:hAnsi="Times New Roman"/>
        </w:rPr>
        <w:t xml:space="preserve">through </w:t>
      </w:r>
      <w:r w:rsidR="00BA6F5D">
        <w:rPr>
          <w:rFonts w:ascii="Times New Roman" w:eastAsia="SimSun" w:hAnsi="Times New Roman"/>
        </w:rPr>
        <w:t>3</w:t>
      </w:r>
      <w:r w:rsidR="00BA6F5D" w:rsidRPr="000F1C20">
        <w:rPr>
          <w:rFonts w:ascii="Times New Roman" w:eastAsia="SimSun" w:hAnsi="Times New Roman"/>
        </w:rPr>
        <w:t xml:space="preserve"> </w:t>
      </w:r>
      <w:r w:rsidRPr="000F1C20">
        <w:rPr>
          <w:rFonts w:ascii="Times New Roman" w:eastAsia="SimSun" w:hAnsi="Times New Roman"/>
        </w:rPr>
        <w:t>on Exhibit No</w:t>
      </w:r>
      <w:proofErr w:type="gramStart"/>
      <w:r w:rsidRPr="000F1C20">
        <w:rPr>
          <w:rFonts w:ascii="Times New Roman" w:eastAsia="SimSun" w:hAnsi="Times New Roman"/>
        </w:rPr>
        <w:t>.</w:t>
      </w:r>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0F1C20">
        <w:rPr>
          <w:rFonts w:ascii="Times New Roman" w:eastAsia="SimSun" w:hAnsi="Times New Roman"/>
        </w:rPr>
        <w:t>DAD-</w:t>
      </w:r>
      <w:r w:rsidR="00D2194B">
        <w:rPr>
          <w:rFonts w:ascii="Times New Roman" w:eastAsia="SimSun" w:hAnsi="Times New Roman"/>
        </w:rPr>
        <w:t>5</w:t>
      </w:r>
      <w:r w:rsidRPr="000F1C20">
        <w:rPr>
          <w:rFonts w:ascii="Times New Roman" w:eastAsia="SimSun" w:hAnsi="Times New Roman"/>
        </w:rPr>
        <w:t>) demonstrate this relationship when there is no earnings sharing</w:t>
      </w:r>
      <w:r>
        <w:rPr>
          <w:rFonts w:ascii="Times New Roman" w:eastAsia="SimSun" w:hAnsi="Times New Roman"/>
        </w:rPr>
        <w:t>.  L</w:t>
      </w:r>
      <w:r w:rsidRPr="000F1C20">
        <w:rPr>
          <w:rFonts w:ascii="Times New Roman" w:eastAsia="SimSun" w:hAnsi="Times New Roman"/>
        </w:rPr>
        <w:t xml:space="preserve">ine </w:t>
      </w:r>
      <w:r w:rsidR="00BA6F5D">
        <w:rPr>
          <w:rFonts w:ascii="Times New Roman" w:eastAsia="SimSun" w:hAnsi="Times New Roman"/>
        </w:rPr>
        <w:t>3</w:t>
      </w:r>
      <w:r w:rsidR="00BA6F5D" w:rsidRPr="000F1C20">
        <w:rPr>
          <w:rFonts w:ascii="Times New Roman" w:eastAsia="SimSun" w:hAnsi="Times New Roman"/>
        </w:rPr>
        <w:t xml:space="preserve"> </w:t>
      </w:r>
      <w:r w:rsidRPr="000F1C20">
        <w:rPr>
          <w:rFonts w:ascii="Times New Roman" w:eastAsia="SimSun" w:hAnsi="Times New Roman"/>
        </w:rPr>
        <w:t>demonstrates that</w:t>
      </w:r>
      <w:r>
        <w:rPr>
          <w:rFonts w:ascii="Times New Roman" w:eastAsia="SimSun" w:hAnsi="Times New Roman"/>
        </w:rPr>
        <w:t>,</w:t>
      </w:r>
      <w:r w:rsidRPr="000F1C20">
        <w:rPr>
          <w:rFonts w:ascii="Times New Roman" w:eastAsia="SimSun" w:hAnsi="Times New Roman"/>
        </w:rPr>
        <w:t xml:space="preserve"> on average across all over</w:t>
      </w:r>
      <w:r>
        <w:rPr>
          <w:rFonts w:ascii="Times New Roman" w:eastAsia="SimSun" w:hAnsi="Times New Roman"/>
        </w:rPr>
        <w:t>-</w:t>
      </w:r>
      <w:r w:rsidRPr="000F1C20">
        <w:rPr>
          <w:rFonts w:ascii="Times New Roman" w:eastAsia="SimSun" w:hAnsi="Times New Roman"/>
        </w:rPr>
        <w:t xml:space="preserve"> and under</w:t>
      </w:r>
      <w:r>
        <w:rPr>
          <w:rFonts w:ascii="Times New Roman" w:eastAsia="SimSun" w:hAnsi="Times New Roman"/>
        </w:rPr>
        <w:t>-</w:t>
      </w:r>
      <w:r w:rsidRPr="000F1C20">
        <w:rPr>
          <w:rFonts w:ascii="Times New Roman" w:eastAsia="SimSun" w:hAnsi="Times New Roman"/>
        </w:rPr>
        <w:t xml:space="preserve">earning scenarios, the average </w:t>
      </w:r>
      <w:r>
        <w:rPr>
          <w:rFonts w:ascii="Times New Roman" w:eastAsia="SimSun" w:hAnsi="Times New Roman"/>
        </w:rPr>
        <w:t xml:space="preserve">actual </w:t>
      </w:r>
      <w:r w:rsidRPr="000F1C20">
        <w:rPr>
          <w:rFonts w:ascii="Times New Roman" w:eastAsia="SimSun" w:hAnsi="Times New Roman"/>
        </w:rPr>
        <w:t xml:space="preserve">ROE equals the authorized </w:t>
      </w:r>
      <w:r>
        <w:rPr>
          <w:rFonts w:ascii="Times New Roman" w:eastAsia="SimSun" w:hAnsi="Times New Roman"/>
        </w:rPr>
        <w:t xml:space="preserve">ROE </w:t>
      </w:r>
      <w:r w:rsidRPr="000F1C20">
        <w:rPr>
          <w:rFonts w:ascii="Times New Roman" w:eastAsia="SimSun" w:hAnsi="Times New Roman"/>
        </w:rPr>
        <w:t>of 9.80</w:t>
      </w:r>
      <w:r>
        <w:rPr>
          <w:rFonts w:ascii="Times New Roman" w:eastAsia="SimSun" w:hAnsi="Times New Roman"/>
        </w:rPr>
        <w:t xml:space="preserve"> percent.  </w:t>
      </w:r>
      <w:r w:rsidRPr="000F1C20">
        <w:rPr>
          <w:rFonts w:ascii="Times New Roman" w:eastAsia="SimSun" w:hAnsi="Times New Roman"/>
        </w:rPr>
        <w:t xml:space="preserve">Lines </w:t>
      </w:r>
      <w:r w:rsidR="00244E41">
        <w:rPr>
          <w:rFonts w:ascii="Times New Roman" w:eastAsia="SimSun" w:hAnsi="Times New Roman"/>
        </w:rPr>
        <w:t>6</w:t>
      </w:r>
      <w:r w:rsidR="007548F1">
        <w:rPr>
          <w:rFonts w:ascii="Times New Roman" w:eastAsia="SimSun" w:hAnsi="Times New Roman"/>
        </w:rPr>
        <w:t xml:space="preserve"> </w:t>
      </w:r>
      <w:r w:rsidRPr="000F1C20">
        <w:rPr>
          <w:rFonts w:ascii="Times New Roman" w:eastAsia="SimSun" w:hAnsi="Times New Roman"/>
        </w:rPr>
        <w:t xml:space="preserve">through </w:t>
      </w:r>
      <w:r w:rsidR="00244E41">
        <w:rPr>
          <w:rFonts w:ascii="Times New Roman" w:eastAsia="SimSun" w:hAnsi="Times New Roman"/>
        </w:rPr>
        <w:t>8</w:t>
      </w:r>
      <w:r w:rsidRPr="000F1C20">
        <w:rPr>
          <w:rFonts w:ascii="Times New Roman" w:eastAsia="SimSun" w:hAnsi="Times New Roman"/>
        </w:rPr>
        <w:t xml:space="preserve"> illustrate </w:t>
      </w:r>
      <w:r w:rsidR="00244E41">
        <w:rPr>
          <w:rFonts w:ascii="Times New Roman" w:eastAsia="SimSun" w:hAnsi="Times New Roman"/>
        </w:rPr>
        <w:t xml:space="preserve">PSE and </w:t>
      </w:r>
      <w:proofErr w:type="spellStart"/>
      <w:r w:rsidR="00244E41">
        <w:rPr>
          <w:rFonts w:ascii="Times New Roman" w:eastAsia="SimSun" w:hAnsi="Times New Roman"/>
        </w:rPr>
        <w:t>NWEC</w:t>
      </w:r>
      <w:r w:rsidR="00A14EBD">
        <w:rPr>
          <w:rFonts w:ascii="Times New Roman" w:eastAsia="SimSun" w:hAnsi="Times New Roman"/>
        </w:rPr>
        <w:t>’</w:t>
      </w:r>
      <w:r w:rsidR="00244E41">
        <w:rPr>
          <w:rFonts w:ascii="Times New Roman" w:eastAsia="SimSun" w:hAnsi="Times New Roman"/>
        </w:rPr>
        <w:t>s</w:t>
      </w:r>
      <w:proofErr w:type="spellEnd"/>
      <w:r w:rsidR="00244E41">
        <w:rPr>
          <w:rFonts w:ascii="Times New Roman" w:eastAsia="SimSun" w:hAnsi="Times New Roman"/>
        </w:rPr>
        <w:t xml:space="preserve"> proposal</w:t>
      </w:r>
      <w:r w:rsidRPr="000F1C20">
        <w:rPr>
          <w:rFonts w:ascii="Times New Roman" w:eastAsia="SimSun" w:hAnsi="Times New Roman"/>
        </w:rPr>
        <w:t xml:space="preserve"> by s</w:t>
      </w:r>
      <w:r>
        <w:rPr>
          <w:rFonts w:ascii="Times New Roman" w:eastAsia="SimSun" w:hAnsi="Times New Roman"/>
        </w:rPr>
        <w:t xml:space="preserve">howing </w:t>
      </w:r>
      <w:r w:rsidRPr="000F1C20">
        <w:rPr>
          <w:rFonts w:ascii="Times New Roman" w:eastAsia="SimSun" w:hAnsi="Times New Roman"/>
        </w:rPr>
        <w:t>that</w:t>
      </w:r>
      <w:r>
        <w:rPr>
          <w:rFonts w:ascii="Times New Roman" w:eastAsia="SimSun" w:hAnsi="Times New Roman"/>
        </w:rPr>
        <w:t>,</w:t>
      </w:r>
      <w:r w:rsidRPr="000F1C20">
        <w:rPr>
          <w:rFonts w:ascii="Times New Roman" w:eastAsia="SimSun" w:hAnsi="Times New Roman"/>
        </w:rPr>
        <w:t xml:space="preserve"> when the earnings sharing begins a</w:t>
      </w:r>
      <w:r w:rsidR="00244E41">
        <w:rPr>
          <w:rFonts w:ascii="Times New Roman" w:eastAsia="SimSun" w:hAnsi="Times New Roman"/>
        </w:rPr>
        <w:t>f</w:t>
      </w:r>
      <w:r w:rsidRPr="000F1C20">
        <w:rPr>
          <w:rFonts w:ascii="Times New Roman" w:eastAsia="SimSun" w:hAnsi="Times New Roman"/>
        </w:rPr>
        <w:t>t</w:t>
      </w:r>
      <w:r w:rsidR="00244E41">
        <w:rPr>
          <w:rFonts w:ascii="Times New Roman" w:eastAsia="SimSun" w:hAnsi="Times New Roman"/>
        </w:rPr>
        <w:t>er</w:t>
      </w:r>
      <w:r w:rsidRPr="000F1C20">
        <w:rPr>
          <w:rFonts w:ascii="Times New Roman" w:eastAsia="SimSun" w:hAnsi="Times New Roman"/>
        </w:rPr>
        <w:t xml:space="preserve"> 25 basis points above </w:t>
      </w:r>
      <w:r w:rsidR="00244E41">
        <w:rPr>
          <w:rFonts w:ascii="Times New Roman" w:eastAsia="SimSun" w:hAnsi="Times New Roman"/>
        </w:rPr>
        <w:t xml:space="preserve">the </w:t>
      </w:r>
      <w:r w:rsidRPr="000F1C20">
        <w:rPr>
          <w:rFonts w:ascii="Times New Roman" w:eastAsia="SimSun" w:hAnsi="Times New Roman"/>
        </w:rPr>
        <w:t xml:space="preserve">authorized </w:t>
      </w:r>
      <w:r>
        <w:rPr>
          <w:rFonts w:ascii="Times New Roman" w:eastAsia="SimSun" w:hAnsi="Times New Roman"/>
        </w:rPr>
        <w:t>rate of return</w:t>
      </w:r>
      <w:r w:rsidRPr="000F1C20">
        <w:rPr>
          <w:rFonts w:ascii="Times New Roman" w:eastAsia="SimSun" w:hAnsi="Times New Roman"/>
        </w:rPr>
        <w:t xml:space="preserve">, PSE can still earn </w:t>
      </w:r>
      <w:r w:rsidR="00244E41">
        <w:rPr>
          <w:rFonts w:ascii="Times New Roman" w:eastAsia="SimSun" w:hAnsi="Times New Roman"/>
        </w:rPr>
        <w:t xml:space="preserve">very close to </w:t>
      </w:r>
      <w:r w:rsidRPr="000F1C20">
        <w:rPr>
          <w:rFonts w:ascii="Times New Roman" w:eastAsia="SimSun" w:hAnsi="Times New Roman"/>
        </w:rPr>
        <w:t xml:space="preserve">its </w:t>
      </w:r>
      <w:r>
        <w:rPr>
          <w:rFonts w:ascii="Times New Roman" w:eastAsia="SimSun" w:hAnsi="Times New Roman"/>
        </w:rPr>
        <w:t xml:space="preserve">authorized ROE of </w:t>
      </w:r>
      <w:r w:rsidRPr="000F1C20">
        <w:rPr>
          <w:rFonts w:ascii="Times New Roman" w:eastAsia="SimSun" w:hAnsi="Times New Roman"/>
        </w:rPr>
        <w:t>9.80</w:t>
      </w:r>
      <w:r>
        <w:rPr>
          <w:rFonts w:ascii="Times New Roman" w:eastAsia="SimSun" w:hAnsi="Times New Roman"/>
        </w:rPr>
        <w:t xml:space="preserve"> percent on average, </w:t>
      </w:r>
      <w:r w:rsidRPr="000F1C20">
        <w:rPr>
          <w:rFonts w:ascii="Times New Roman" w:eastAsia="SimSun" w:hAnsi="Times New Roman"/>
        </w:rPr>
        <w:t>as shown on line</w:t>
      </w:r>
      <w:r>
        <w:rPr>
          <w:rFonts w:ascii="Times New Roman" w:eastAsia="SimSun" w:hAnsi="Times New Roman"/>
        </w:rPr>
        <w:t> </w:t>
      </w:r>
      <w:r w:rsidR="00244E41">
        <w:rPr>
          <w:rFonts w:ascii="Times New Roman" w:eastAsia="SimSun" w:hAnsi="Times New Roman"/>
        </w:rPr>
        <w:t>8</w:t>
      </w:r>
      <w:r w:rsidRPr="000F1C20">
        <w:rPr>
          <w:rFonts w:ascii="Times New Roman" w:eastAsia="SimSun" w:hAnsi="Times New Roman"/>
        </w:rPr>
        <w:t>.</w:t>
      </w:r>
    </w:p>
    <w:p w:rsidR="000F1C20" w:rsidRDefault="000F1C20" w:rsidP="00F30889">
      <w:pPr>
        <w:pStyle w:val="answer"/>
        <w:ind w:firstLine="0"/>
        <w:rPr>
          <w:rFonts w:ascii="Times New Roman" w:eastAsia="SimSun" w:hAnsi="Times New Roman"/>
        </w:rPr>
      </w:pPr>
      <w:r w:rsidRPr="000F1C20">
        <w:rPr>
          <w:rFonts w:ascii="Times New Roman" w:eastAsia="SimSun" w:hAnsi="Times New Roman"/>
        </w:rPr>
        <w:lastRenderedPageBreak/>
        <w:t>Ultimately, beginning earnings sharing after 25</w:t>
      </w:r>
      <w:r>
        <w:rPr>
          <w:rFonts w:ascii="Times New Roman" w:eastAsia="SimSun" w:hAnsi="Times New Roman"/>
        </w:rPr>
        <w:t> </w:t>
      </w:r>
      <w:r w:rsidRPr="000F1C20">
        <w:rPr>
          <w:rFonts w:ascii="Times New Roman" w:eastAsia="SimSun" w:hAnsi="Times New Roman"/>
        </w:rPr>
        <w:t xml:space="preserve">basis points does not significantly prevent </w:t>
      </w:r>
      <w:r>
        <w:rPr>
          <w:rFonts w:ascii="Times New Roman" w:eastAsia="SimSun" w:hAnsi="Times New Roman"/>
        </w:rPr>
        <w:t xml:space="preserve">PSE </w:t>
      </w:r>
      <w:r w:rsidRPr="000F1C20">
        <w:rPr>
          <w:rFonts w:ascii="Times New Roman" w:eastAsia="SimSun" w:hAnsi="Times New Roman"/>
        </w:rPr>
        <w:t>from earning the authorized ROE on average, however</w:t>
      </w:r>
      <w:r>
        <w:rPr>
          <w:rFonts w:ascii="Times New Roman" w:eastAsia="SimSun" w:hAnsi="Times New Roman"/>
        </w:rPr>
        <w:t>,</w:t>
      </w:r>
      <w:r w:rsidRPr="000F1C20">
        <w:rPr>
          <w:rFonts w:ascii="Times New Roman" w:eastAsia="SimSun" w:hAnsi="Times New Roman"/>
        </w:rPr>
        <w:t xml:space="preserve"> earnings sharing beginning at the authorized </w:t>
      </w:r>
      <w:r>
        <w:rPr>
          <w:rFonts w:ascii="Times New Roman" w:eastAsia="SimSun" w:hAnsi="Times New Roman"/>
        </w:rPr>
        <w:t xml:space="preserve">rate of return </w:t>
      </w:r>
      <w:r w:rsidRPr="000F1C20">
        <w:rPr>
          <w:rFonts w:ascii="Times New Roman" w:eastAsia="SimSun" w:hAnsi="Times New Roman"/>
        </w:rPr>
        <w:t xml:space="preserve">clearly alters the upside and downside parity around the opportunity to earn the authorized ROE.  This results in an asymmetrical earnings profile, biased to the </w:t>
      </w:r>
      <w:proofErr w:type="gramStart"/>
      <w:r w:rsidRPr="000F1C20">
        <w:rPr>
          <w:rFonts w:ascii="Times New Roman" w:eastAsia="SimSun" w:hAnsi="Times New Roman"/>
        </w:rPr>
        <w:t>downside, that</w:t>
      </w:r>
      <w:r>
        <w:rPr>
          <w:rFonts w:ascii="Times New Roman" w:eastAsia="SimSun" w:hAnsi="Times New Roman"/>
        </w:rPr>
        <w:t>,</w:t>
      </w:r>
      <w:proofErr w:type="gramEnd"/>
      <w:r w:rsidRPr="000F1C20">
        <w:rPr>
          <w:rFonts w:ascii="Times New Roman" w:eastAsia="SimSun" w:hAnsi="Times New Roman"/>
        </w:rPr>
        <w:t xml:space="preserve"> all else being equal</w:t>
      </w:r>
      <w:r>
        <w:rPr>
          <w:rFonts w:ascii="Times New Roman" w:eastAsia="SimSun" w:hAnsi="Times New Roman"/>
        </w:rPr>
        <w:t>,</w:t>
      </w:r>
      <w:r w:rsidRPr="000F1C20">
        <w:rPr>
          <w:rFonts w:ascii="Times New Roman" w:eastAsia="SimSun" w:hAnsi="Times New Roman"/>
        </w:rPr>
        <w:t xml:space="preserve"> increases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0F1C20">
        <w:rPr>
          <w:rFonts w:ascii="Times New Roman" w:eastAsia="SimSun" w:hAnsi="Times New Roman"/>
        </w:rPr>
        <w:t>risk profil</w:t>
      </w:r>
      <w:r>
        <w:rPr>
          <w:rFonts w:ascii="Times New Roman" w:eastAsia="SimSun" w:hAnsi="Times New Roman"/>
        </w:rPr>
        <w:t>e</w:t>
      </w:r>
      <w:r w:rsidR="00A14EBD">
        <w:rPr>
          <w:rFonts w:ascii="Times New Roman" w:eastAsia="SimSun" w:hAnsi="Times New Roman"/>
        </w:rPr>
        <w:t xml:space="preserve">.  </w:t>
      </w:r>
      <w:r w:rsidR="00322887" w:rsidRPr="000F1C20">
        <w:rPr>
          <w:rFonts w:ascii="Times New Roman" w:eastAsia="SimSun" w:hAnsi="Times New Roman"/>
        </w:rPr>
        <w:t>Ultimately, as demonstrated on lines</w:t>
      </w:r>
      <w:r w:rsidR="00322887">
        <w:rPr>
          <w:rFonts w:ascii="Times New Roman" w:eastAsia="SimSun" w:hAnsi="Times New Roman"/>
        </w:rPr>
        <w:t> </w:t>
      </w:r>
      <w:r w:rsidR="00244E41">
        <w:rPr>
          <w:rFonts w:ascii="Times New Roman" w:eastAsia="SimSun" w:hAnsi="Times New Roman"/>
        </w:rPr>
        <w:t>11</w:t>
      </w:r>
      <w:r w:rsidR="00322887" w:rsidRPr="000F1C20">
        <w:rPr>
          <w:rFonts w:ascii="Times New Roman" w:eastAsia="SimSun" w:hAnsi="Times New Roman"/>
        </w:rPr>
        <w:t xml:space="preserve"> through </w:t>
      </w:r>
      <w:r w:rsidR="00BA6F5D">
        <w:rPr>
          <w:rFonts w:ascii="Times New Roman" w:eastAsia="SimSun" w:hAnsi="Times New Roman"/>
        </w:rPr>
        <w:t>1</w:t>
      </w:r>
      <w:r w:rsidR="00244E41">
        <w:rPr>
          <w:rFonts w:ascii="Times New Roman" w:eastAsia="SimSun" w:hAnsi="Times New Roman"/>
        </w:rPr>
        <w:t>3</w:t>
      </w:r>
      <w:r w:rsidR="00322887" w:rsidRPr="000F1C20">
        <w:rPr>
          <w:rFonts w:ascii="Times New Roman" w:eastAsia="SimSun" w:hAnsi="Times New Roman"/>
        </w:rPr>
        <w:t xml:space="preserve"> of Exhibit No</w:t>
      </w:r>
      <w:proofErr w:type="gramStart"/>
      <w:r w:rsidR="00322887" w:rsidRPr="000F1C20">
        <w:rPr>
          <w:rFonts w:ascii="Times New Roman" w:eastAsia="SimSun" w:hAnsi="Times New Roman"/>
        </w:rPr>
        <w:t>.</w:t>
      </w:r>
      <w:r w:rsidR="00322887">
        <w:rPr>
          <w:rFonts w:ascii="Times New Roman" w:eastAsia="SimSun" w:hAnsi="Times New Roman"/>
        </w:rPr>
        <w:t> </w:t>
      </w:r>
      <w:proofErr w:type="gramEnd"/>
      <w:r w:rsidR="00322887" w:rsidRPr="000F1C20">
        <w:rPr>
          <w:rFonts w:ascii="Times New Roman" w:eastAsia="SimSun" w:hAnsi="Times New Roman"/>
        </w:rPr>
        <w:t>__</w:t>
      </w:r>
      <w:proofErr w:type="gramStart"/>
      <w:r w:rsidR="00322887" w:rsidRPr="000F1C20">
        <w:rPr>
          <w:rFonts w:ascii="Times New Roman" w:eastAsia="SimSun" w:hAnsi="Times New Roman"/>
        </w:rPr>
        <w:t>_(</w:t>
      </w:r>
      <w:proofErr w:type="gramEnd"/>
      <w:r w:rsidR="00322887" w:rsidRPr="000F1C20">
        <w:rPr>
          <w:rFonts w:ascii="Times New Roman" w:eastAsia="SimSun" w:hAnsi="Times New Roman"/>
        </w:rPr>
        <w:t>DAD-</w:t>
      </w:r>
      <w:r w:rsidR="00D2194B">
        <w:rPr>
          <w:rFonts w:ascii="Times New Roman" w:eastAsia="SimSun" w:hAnsi="Times New Roman"/>
        </w:rPr>
        <w:t>5</w:t>
      </w:r>
      <w:r w:rsidR="00322887" w:rsidRPr="000F1C20">
        <w:rPr>
          <w:rFonts w:ascii="Times New Roman" w:eastAsia="SimSun" w:hAnsi="Times New Roman"/>
        </w:rPr>
        <w:t>), the earnings sharing that begins immediately after PSE</w:t>
      </w:r>
      <w:r w:rsidR="00A14EBD">
        <w:rPr>
          <w:rFonts w:ascii="Times New Roman" w:eastAsia="SimSun" w:hAnsi="Times New Roman"/>
        </w:rPr>
        <w:t>’</w:t>
      </w:r>
      <w:r w:rsidR="00322887" w:rsidRPr="000F1C20">
        <w:rPr>
          <w:rFonts w:ascii="Times New Roman" w:eastAsia="SimSun" w:hAnsi="Times New Roman"/>
        </w:rPr>
        <w:t xml:space="preserve">s </w:t>
      </w:r>
      <w:r w:rsidR="00322887">
        <w:rPr>
          <w:rFonts w:ascii="Times New Roman" w:eastAsia="SimSun" w:hAnsi="Times New Roman"/>
        </w:rPr>
        <w:t xml:space="preserve">rate of return ceiling </w:t>
      </w:r>
      <w:r w:rsidR="00322887" w:rsidRPr="000F1C20">
        <w:rPr>
          <w:rFonts w:ascii="Times New Roman" w:eastAsia="SimSun" w:hAnsi="Times New Roman"/>
        </w:rPr>
        <w:t xml:space="preserve">is breached creates the </w:t>
      </w:r>
      <w:r w:rsidR="00244E41">
        <w:rPr>
          <w:rFonts w:ascii="Times New Roman" w:eastAsia="SimSun" w:hAnsi="Times New Roman"/>
        </w:rPr>
        <w:t xml:space="preserve">more pronounced </w:t>
      </w:r>
      <w:r w:rsidR="00322887" w:rsidRPr="000F1C20">
        <w:rPr>
          <w:rFonts w:ascii="Times New Roman" w:eastAsia="SimSun" w:hAnsi="Times New Roman"/>
        </w:rPr>
        <w:t>asymmetrical earnings profile referred to above.  As demonstrated on line</w:t>
      </w:r>
      <w:r w:rsidR="00322887">
        <w:rPr>
          <w:rFonts w:ascii="Times New Roman" w:eastAsia="SimSun" w:hAnsi="Times New Roman"/>
        </w:rPr>
        <w:t> </w:t>
      </w:r>
      <w:r w:rsidR="00BA6F5D">
        <w:rPr>
          <w:rFonts w:ascii="Times New Roman" w:eastAsia="SimSun" w:hAnsi="Times New Roman"/>
        </w:rPr>
        <w:t>1</w:t>
      </w:r>
      <w:r w:rsidR="00244E41">
        <w:rPr>
          <w:rFonts w:ascii="Times New Roman" w:eastAsia="SimSun" w:hAnsi="Times New Roman"/>
        </w:rPr>
        <w:t>3</w:t>
      </w:r>
      <w:r w:rsidR="00BA6F5D">
        <w:rPr>
          <w:rFonts w:ascii="Times New Roman" w:eastAsia="SimSun" w:hAnsi="Times New Roman"/>
        </w:rPr>
        <w:t xml:space="preserve">, column </w:t>
      </w:r>
      <w:r w:rsidR="00EE2867">
        <w:rPr>
          <w:rFonts w:ascii="Times New Roman" w:eastAsia="SimSun" w:hAnsi="Times New Roman"/>
        </w:rPr>
        <w:t>I</w:t>
      </w:r>
      <w:r w:rsidR="00BA6F5D" w:rsidRPr="000F1C20">
        <w:rPr>
          <w:rFonts w:ascii="Times New Roman" w:eastAsia="SimSun" w:hAnsi="Times New Roman"/>
        </w:rPr>
        <w:t xml:space="preserve"> </w:t>
      </w:r>
      <w:r w:rsidR="00322887" w:rsidRPr="000F1C20">
        <w:rPr>
          <w:rFonts w:ascii="Times New Roman" w:eastAsia="SimSun" w:hAnsi="Times New Roman"/>
        </w:rPr>
        <w:t>of Exhibit No</w:t>
      </w:r>
      <w:proofErr w:type="gramStart"/>
      <w:r w:rsidR="00322887" w:rsidRPr="000F1C20">
        <w:rPr>
          <w:rFonts w:ascii="Times New Roman" w:eastAsia="SimSun" w:hAnsi="Times New Roman"/>
        </w:rPr>
        <w:t>.</w:t>
      </w:r>
      <w:r w:rsidR="00322887">
        <w:rPr>
          <w:rFonts w:ascii="Times New Roman" w:eastAsia="SimSun" w:hAnsi="Times New Roman"/>
        </w:rPr>
        <w:t> </w:t>
      </w:r>
      <w:proofErr w:type="gramEnd"/>
      <w:r w:rsidR="00322887" w:rsidRPr="000F1C20">
        <w:rPr>
          <w:rFonts w:ascii="Times New Roman" w:eastAsia="SimSun" w:hAnsi="Times New Roman"/>
        </w:rPr>
        <w:t>__</w:t>
      </w:r>
      <w:proofErr w:type="gramStart"/>
      <w:r w:rsidR="00322887" w:rsidRPr="000F1C20">
        <w:rPr>
          <w:rFonts w:ascii="Times New Roman" w:eastAsia="SimSun" w:hAnsi="Times New Roman"/>
        </w:rPr>
        <w:t>_(</w:t>
      </w:r>
      <w:proofErr w:type="gramEnd"/>
      <w:r w:rsidR="00322887" w:rsidRPr="000F1C20">
        <w:rPr>
          <w:rFonts w:ascii="Times New Roman" w:eastAsia="SimSun" w:hAnsi="Times New Roman"/>
        </w:rPr>
        <w:t>DAD-</w:t>
      </w:r>
      <w:r w:rsidR="00D2194B">
        <w:rPr>
          <w:rFonts w:ascii="Times New Roman" w:eastAsia="SimSun" w:hAnsi="Times New Roman"/>
        </w:rPr>
        <w:t>5</w:t>
      </w:r>
      <w:r w:rsidR="00322887" w:rsidRPr="000F1C20">
        <w:rPr>
          <w:rFonts w:ascii="Times New Roman" w:eastAsia="SimSun" w:hAnsi="Times New Roman"/>
        </w:rPr>
        <w:t>), the 50</w:t>
      </w:r>
      <w:r w:rsidR="00322887">
        <w:rPr>
          <w:rFonts w:ascii="Times New Roman" w:eastAsia="SimSun" w:hAnsi="Times New Roman"/>
        </w:rPr>
        <w:t xml:space="preserve"> percent </w:t>
      </w:r>
      <w:r w:rsidR="00322887" w:rsidRPr="000F1C20">
        <w:rPr>
          <w:rFonts w:ascii="Times New Roman" w:eastAsia="SimSun" w:hAnsi="Times New Roman"/>
        </w:rPr>
        <w:t xml:space="preserve">earnings sharing that begins above a </w:t>
      </w:r>
      <w:r w:rsidR="00322887">
        <w:rPr>
          <w:rFonts w:ascii="Times New Roman" w:eastAsia="SimSun" w:hAnsi="Times New Roman"/>
        </w:rPr>
        <w:t xml:space="preserve">rate of return of </w:t>
      </w:r>
      <w:r w:rsidR="00322887" w:rsidRPr="000F1C20">
        <w:rPr>
          <w:rFonts w:ascii="Times New Roman" w:eastAsia="SimSun" w:hAnsi="Times New Roman"/>
        </w:rPr>
        <w:t>7.77</w:t>
      </w:r>
      <w:r w:rsidR="00322887">
        <w:rPr>
          <w:rFonts w:ascii="Times New Roman" w:eastAsia="SimSun" w:hAnsi="Times New Roman"/>
        </w:rPr>
        <w:t xml:space="preserve"> percent </w:t>
      </w:r>
      <w:r w:rsidR="00322887" w:rsidRPr="000F1C20">
        <w:rPr>
          <w:rFonts w:ascii="Times New Roman" w:eastAsia="SimSun" w:hAnsi="Times New Roman"/>
        </w:rPr>
        <w:t xml:space="preserve">results in a </w:t>
      </w:r>
      <w:r w:rsidR="00BA6F5D">
        <w:rPr>
          <w:rFonts w:ascii="Times New Roman" w:eastAsia="SimSun" w:hAnsi="Times New Roman"/>
        </w:rPr>
        <w:t>1</w:t>
      </w:r>
      <w:r w:rsidR="00643F51">
        <w:rPr>
          <w:rFonts w:ascii="Times New Roman" w:eastAsia="SimSun" w:hAnsi="Times New Roman"/>
        </w:rPr>
        <w:t>4</w:t>
      </w:r>
      <w:r w:rsidR="00BA6F5D">
        <w:rPr>
          <w:rFonts w:ascii="Times New Roman" w:eastAsia="SimSun" w:hAnsi="Times New Roman"/>
        </w:rPr>
        <w:t> </w:t>
      </w:r>
      <w:r w:rsidR="00322887" w:rsidRPr="000F1C20">
        <w:rPr>
          <w:rFonts w:ascii="Times New Roman" w:eastAsia="SimSun" w:hAnsi="Times New Roman"/>
        </w:rPr>
        <w:t>basis point reduction to PSE</w:t>
      </w:r>
      <w:r w:rsidR="00A14EBD">
        <w:rPr>
          <w:rFonts w:ascii="Times New Roman" w:eastAsia="SimSun" w:hAnsi="Times New Roman"/>
        </w:rPr>
        <w:t>’</w:t>
      </w:r>
      <w:r w:rsidR="00322887" w:rsidRPr="000F1C20">
        <w:rPr>
          <w:rFonts w:ascii="Times New Roman" w:eastAsia="SimSun" w:hAnsi="Times New Roman"/>
        </w:rPr>
        <w:t>s average ROE</w:t>
      </w:r>
      <w:r w:rsidR="00EE2867">
        <w:rPr>
          <w:rFonts w:ascii="Times New Roman" w:eastAsia="SimSun" w:hAnsi="Times New Roman"/>
        </w:rPr>
        <w:t>, using the assumptions in the example provided</w:t>
      </w:r>
      <w:r w:rsidR="00322887" w:rsidRPr="000F1C20">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 xml:space="preserve">Should the </w:t>
      </w:r>
      <w:r w:rsidR="008F3857">
        <w:rPr>
          <w:rFonts w:ascii="Times New Roman" w:eastAsia="SimSun" w:hAnsi="Times New Roman"/>
        </w:rPr>
        <w:t>asymmetry</w:t>
      </w:r>
      <w:r w:rsidRPr="00EE3ECD">
        <w:rPr>
          <w:rFonts w:ascii="Times New Roman" w:eastAsia="SimSun" w:hAnsi="Times New Roman"/>
        </w:rPr>
        <w:t xml:space="preserve"> on PSE</w:t>
      </w:r>
      <w:r w:rsidR="00A14EBD">
        <w:rPr>
          <w:rFonts w:ascii="Times New Roman" w:eastAsia="SimSun" w:hAnsi="Times New Roman"/>
        </w:rPr>
        <w:t>’</w:t>
      </w:r>
      <w:r w:rsidRPr="00EE3ECD">
        <w:rPr>
          <w:rFonts w:ascii="Times New Roman" w:eastAsia="SimSun" w:hAnsi="Times New Roman"/>
        </w:rPr>
        <w:t xml:space="preserve">s </w:t>
      </w:r>
      <w:r w:rsidR="008F3857">
        <w:rPr>
          <w:rFonts w:ascii="Times New Roman" w:eastAsia="SimSun" w:hAnsi="Times New Roman"/>
        </w:rPr>
        <w:t xml:space="preserve">earning profile </w:t>
      </w:r>
      <w:r w:rsidRPr="00EE3ECD">
        <w:rPr>
          <w:rFonts w:ascii="Times New Roman" w:eastAsia="SimSun" w:hAnsi="Times New Roman"/>
        </w:rPr>
        <w:t>due to the earnings sharing approved in Final Order No. 07 be taken</w:t>
      </w:r>
      <w:proofErr w:type="gramEnd"/>
      <w:r w:rsidRPr="00EE3ECD">
        <w:rPr>
          <w:rFonts w:ascii="Times New Roman" w:eastAsia="SimSun" w:hAnsi="Times New Roman"/>
        </w:rPr>
        <w:t xml:space="preserve"> into consideration when setting PSE</w:t>
      </w:r>
      <w:r w:rsidR="00A14EBD">
        <w:rPr>
          <w:rFonts w:ascii="Times New Roman" w:eastAsia="SimSun" w:hAnsi="Times New Roman"/>
        </w:rPr>
        <w:t>’</w:t>
      </w:r>
      <w:r w:rsidRPr="00EE3ECD">
        <w:rPr>
          <w:rFonts w:ascii="Times New Roman" w:eastAsia="SimSun" w:hAnsi="Times New Roman"/>
        </w:rPr>
        <w:t>s ROE?</w:t>
      </w:r>
    </w:p>
    <w:p w:rsidR="000F1C20" w:rsidRPr="00EE3ECD" w:rsidRDefault="000F1C20" w:rsidP="00C73260">
      <w:pPr>
        <w:pStyle w:val="answer"/>
        <w:rPr>
          <w:rFonts w:ascii="Times New Roman" w:eastAsia="SimSun" w:hAnsi="Times New Roman"/>
        </w:rPr>
      </w:pPr>
      <w:proofErr w:type="gramStart"/>
      <w:r w:rsidRPr="000F1C20">
        <w:rPr>
          <w:rFonts w:ascii="Times New Roman" w:eastAsia="SimSun" w:hAnsi="Times New Roman"/>
        </w:rPr>
        <w:t>A.</w:t>
      </w:r>
      <w:r w:rsidRPr="000F1C20">
        <w:rPr>
          <w:rFonts w:ascii="Times New Roman" w:eastAsia="SimSun" w:hAnsi="Times New Roman"/>
        </w:rPr>
        <w:tab/>
        <w:t>Yes.</w:t>
      </w:r>
      <w:proofErr w:type="gramEnd"/>
      <w:r w:rsidRPr="000F1C20">
        <w:rPr>
          <w:rFonts w:ascii="Times New Roman" w:eastAsia="SimSun" w:hAnsi="Times New Roman"/>
        </w:rPr>
        <w:t xml:space="preserve">  The asymmetrical earnings profile imposed by sharing earnings without a dead band on the upside, increases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0F1C20">
        <w:rPr>
          <w:rFonts w:ascii="Times New Roman" w:eastAsia="SimSun" w:hAnsi="Times New Roman"/>
        </w:rPr>
        <w:t>financial risk.  Therefore, a premium to PSE</w:t>
      </w:r>
      <w:r w:rsidR="00A14EBD">
        <w:rPr>
          <w:rFonts w:ascii="Times New Roman" w:eastAsia="SimSun" w:hAnsi="Times New Roman"/>
        </w:rPr>
        <w:t>’</w:t>
      </w:r>
      <w:r w:rsidRPr="000F1C20">
        <w:rPr>
          <w:rFonts w:ascii="Times New Roman" w:eastAsia="SimSun" w:hAnsi="Times New Roman"/>
        </w:rPr>
        <w:t xml:space="preserve">s ROE </w:t>
      </w:r>
      <w:proofErr w:type="gramStart"/>
      <w:r w:rsidRPr="000F1C20">
        <w:rPr>
          <w:rFonts w:ascii="Times New Roman" w:eastAsia="SimSun" w:hAnsi="Times New Roman"/>
        </w:rPr>
        <w:t>should be considered</w:t>
      </w:r>
      <w:proofErr w:type="gramEnd"/>
      <w:r w:rsidRPr="000F1C20">
        <w:rPr>
          <w:rFonts w:ascii="Times New Roman" w:eastAsia="SimSun" w:hAnsi="Times New Roman"/>
        </w:rPr>
        <w:t xml:space="preserve"> as a direct offset to any ROE reduction that </w:t>
      </w:r>
      <w:r>
        <w:rPr>
          <w:rFonts w:ascii="Times New Roman" w:eastAsia="SimSun" w:hAnsi="Times New Roman"/>
        </w:rPr>
        <w:t>other parties may propose.</w:t>
      </w:r>
      <w:r w:rsidR="00521538">
        <w:rPr>
          <w:rFonts w:ascii="Times New Roman" w:eastAsia="SimSun" w:hAnsi="Times New Roman"/>
        </w:rPr>
        <w:t xml:space="preserve">  Furthermore, </w:t>
      </w:r>
      <w:r w:rsidR="00B043F8">
        <w:rPr>
          <w:rFonts w:ascii="Times New Roman" w:eastAsia="SimSun" w:hAnsi="Times New Roman"/>
        </w:rPr>
        <w:t>as demonstrated in Dr. Morin</w:t>
      </w:r>
      <w:r w:rsidR="00A14EBD">
        <w:rPr>
          <w:rFonts w:ascii="Times New Roman" w:eastAsia="SimSun" w:hAnsi="Times New Roman"/>
        </w:rPr>
        <w:t>’</w:t>
      </w:r>
      <w:r w:rsidR="00B043F8">
        <w:rPr>
          <w:rFonts w:ascii="Times New Roman" w:eastAsia="SimSun" w:hAnsi="Times New Roman"/>
        </w:rPr>
        <w:t xml:space="preserve">s testimony, </w:t>
      </w:r>
      <w:r w:rsidR="00521538">
        <w:rPr>
          <w:rFonts w:ascii="Times New Roman" w:eastAsia="SimSun" w:hAnsi="Times New Roman"/>
        </w:rPr>
        <w:t>9.8</w:t>
      </w:r>
      <w:r w:rsidR="008A588E">
        <w:rPr>
          <w:rFonts w:ascii="Times New Roman" w:eastAsia="SimSun" w:hAnsi="Times New Roman"/>
        </w:rPr>
        <w:t>0</w:t>
      </w:r>
      <w:r w:rsidR="00083C00">
        <w:rPr>
          <w:rFonts w:ascii="Times New Roman" w:eastAsia="SimSun" w:hAnsi="Times New Roman"/>
        </w:rPr>
        <w:t xml:space="preserve"> percent</w:t>
      </w:r>
      <w:r w:rsidR="00B043F8">
        <w:rPr>
          <w:rFonts w:ascii="Times New Roman" w:eastAsia="SimSun" w:hAnsi="Times New Roman"/>
        </w:rPr>
        <w:t xml:space="preserve"> ROE</w:t>
      </w:r>
      <w:r w:rsidR="00521538">
        <w:rPr>
          <w:rFonts w:ascii="Times New Roman" w:eastAsia="SimSun" w:hAnsi="Times New Roman"/>
        </w:rPr>
        <w:t xml:space="preserve"> </w:t>
      </w:r>
      <w:r w:rsidR="00083C00">
        <w:rPr>
          <w:rFonts w:ascii="Times New Roman" w:eastAsia="SimSun" w:hAnsi="Times New Roman"/>
        </w:rPr>
        <w:t>was</w:t>
      </w:r>
      <w:r w:rsidR="00521538">
        <w:rPr>
          <w:rFonts w:ascii="Times New Roman" w:eastAsia="SimSun" w:hAnsi="Times New Roman"/>
        </w:rPr>
        <w:t xml:space="preserve"> at the low end of range of reasonableness</w:t>
      </w:r>
      <w:r w:rsidR="008F3857">
        <w:rPr>
          <w:rFonts w:ascii="Times New Roman" w:eastAsia="SimSun" w:hAnsi="Times New Roman"/>
        </w:rPr>
        <w:t xml:space="preserve"> during the first half of 2013.  </w:t>
      </w:r>
      <w:proofErr w:type="gramStart"/>
      <w:r w:rsidR="008F3857">
        <w:rPr>
          <w:rFonts w:ascii="Times New Roman" w:eastAsia="SimSun" w:hAnsi="Times New Roman"/>
        </w:rPr>
        <w:t>T</w:t>
      </w:r>
      <w:r w:rsidR="00B043F8">
        <w:rPr>
          <w:rFonts w:ascii="Times New Roman" w:eastAsia="SimSun" w:hAnsi="Times New Roman"/>
        </w:rPr>
        <w:t>herefore</w:t>
      </w:r>
      <w:proofErr w:type="gramEnd"/>
      <w:r w:rsidR="00B043F8">
        <w:rPr>
          <w:rFonts w:ascii="Times New Roman" w:eastAsia="SimSun" w:hAnsi="Times New Roman"/>
        </w:rPr>
        <w:t xml:space="preserve"> the </w:t>
      </w:r>
      <w:r w:rsidR="00521538">
        <w:rPr>
          <w:rFonts w:ascii="Times New Roman" w:eastAsia="SimSun" w:hAnsi="Times New Roman"/>
        </w:rPr>
        <w:t xml:space="preserve">Commission should consider </w:t>
      </w:r>
      <w:r w:rsidR="00B043F8">
        <w:rPr>
          <w:rFonts w:ascii="Times New Roman" w:eastAsia="SimSun" w:hAnsi="Times New Roman"/>
        </w:rPr>
        <w:t xml:space="preserve">restoring the </w:t>
      </w:r>
      <w:r w:rsidR="00521538">
        <w:rPr>
          <w:rFonts w:ascii="Times New Roman" w:eastAsia="SimSun" w:hAnsi="Times New Roman"/>
        </w:rPr>
        <w:t>25 b</w:t>
      </w:r>
      <w:r w:rsidR="00B043F8">
        <w:rPr>
          <w:rFonts w:ascii="Times New Roman" w:eastAsia="SimSun" w:hAnsi="Times New Roman"/>
        </w:rPr>
        <w:t>asis point</w:t>
      </w:r>
      <w:r w:rsidR="00521538">
        <w:rPr>
          <w:rFonts w:ascii="Times New Roman" w:eastAsia="SimSun" w:hAnsi="Times New Roman"/>
        </w:rPr>
        <w:t xml:space="preserve"> dead</w:t>
      </w:r>
      <w:r w:rsidR="00C15BB1">
        <w:rPr>
          <w:rFonts w:ascii="Times New Roman" w:eastAsia="SimSun" w:hAnsi="Times New Roman"/>
        </w:rPr>
        <w:t xml:space="preserve"> </w:t>
      </w:r>
      <w:r w:rsidR="00521538">
        <w:rPr>
          <w:rFonts w:ascii="Times New Roman" w:eastAsia="SimSun" w:hAnsi="Times New Roman"/>
        </w:rPr>
        <w:t xml:space="preserve">band in the sharing mechanism as originally proposed by </w:t>
      </w:r>
      <w:r w:rsidR="00521538">
        <w:rPr>
          <w:rFonts w:ascii="Times New Roman" w:eastAsia="SimSun" w:hAnsi="Times New Roman"/>
        </w:rPr>
        <w:lastRenderedPageBreak/>
        <w:t xml:space="preserve">PSE and </w:t>
      </w:r>
      <w:proofErr w:type="spellStart"/>
      <w:r w:rsidR="00521538">
        <w:rPr>
          <w:rFonts w:ascii="Times New Roman" w:eastAsia="SimSun" w:hAnsi="Times New Roman"/>
        </w:rPr>
        <w:t>NWEC</w:t>
      </w:r>
      <w:proofErr w:type="spellEnd"/>
      <w:r w:rsidR="008F3857">
        <w:rPr>
          <w:rFonts w:ascii="Times New Roman" w:eastAsia="SimSun" w:hAnsi="Times New Roman"/>
        </w:rPr>
        <w:t xml:space="preserve"> to restore parity to PSE</w:t>
      </w:r>
      <w:r w:rsidR="00A14EBD">
        <w:rPr>
          <w:rFonts w:ascii="Times New Roman" w:eastAsia="SimSun" w:hAnsi="Times New Roman"/>
        </w:rPr>
        <w:t>’</w:t>
      </w:r>
      <w:r w:rsidR="008F3857">
        <w:rPr>
          <w:rFonts w:ascii="Times New Roman" w:eastAsia="SimSun" w:hAnsi="Times New Roman"/>
        </w:rPr>
        <w:t xml:space="preserve">s earnings profile and its opportunity to earn its allowed </w:t>
      </w:r>
      <w:r w:rsidR="00083C00">
        <w:rPr>
          <w:rFonts w:ascii="Times New Roman" w:eastAsia="SimSun" w:hAnsi="Times New Roman"/>
        </w:rPr>
        <w:t xml:space="preserve">rate of </w:t>
      </w:r>
      <w:r w:rsidR="008F3857">
        <w:rPr>
          <w:rFonts w:ascii="Times New Roman" w:eastAsia="SimSun" w:hAnsi="Times New Roman"/>
        </w:rPr>
        <w:t>return on balance over time.</w:t>
      </w:r>
    </w:p>
    <w:p w:rsidR="00DF0A93" w:rsidRPr="00EE3ECD" w:rsidRDefault="00DF0A93" w:rsidP="00DF0A93">
      <w:pPr>
        <w:pStyle w:val="Heading1"/>
        <w:spacing w:after="360" w:line="240" w:lineRule="auto"/>
        <w:rPr>
          <w:rFonts w:ascii="Times New Roman" w:eastAsia="SimSun" w:hAnsi="Times New Roman"/>
        </w:rPr>
      </w:pPr>
      <w:bookmarkStart w:id="6" w:name="_Toc402867750"/>
      <w:r w:rsidRPr="00EE3ECD">
        <w:rPr>
          <w:rFonts w:ascii="Times New Roman" w:eastAsia="SimSun" w:hAnsi="Times New Roman"/>
        </w:rPr>
        <w:t>VI.</w:t>
      </w:r>
      <w:r w:rsidRPr="00EE3ECD">
        <w:rPr>
          <w:rFonts w:ascii="Times New Roman" w:eastAsia="SimSun" w:hAnsi="Times New Roman"/>
        </w:rPr>
        <w:tab/>
        <w:t xml:space="preserve">IMPACTS OF DECOUPLING ON </w:t>
      </w:r>
      <w:r w:rsidR="002F53D0">
        <w:rPr>
          <w:rFonts w:ascii="Times New Roman" w:eastAsia="SimSun" w:hAnsi="Times New Roman"/>
        </w:rPr>
        <w:t>COST OF CAPITAL</w:t>
      </w:r>
      <w:bookmarkEnd w:id="6"/>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What did the Commission decide in Order </w:t>
      </w:r>
      <w:r w:rsidR="008A588E">
        <w:rPr>
          <w:rFonts w:ascii="Times New Roman" w:eastAsia="SimSun" w:hAnsi="Times New Roman"/>
        </w:rPr>
        <w:t>0</w:t>
      </w:r>
      <w:r w:rsidRPr="00EE3ECD">
        <w:rPr>
          <w:rFonts w:ascii="Times New Roman" w:eastAsia="SimSun" w:hAnsi="Times New Roman"/>
        </w:rPr>
        <w:t xml:space="preserve">7 </w:t>
      </w:r>
      <w:r w:rsidR="00083C00">
        <w:rPr>
          <w:rFonts w:ascii="Times New Roman" w:eastAsia="SimSun" w:hAnsi="Times New Roman"/>
        </w:rPr>
        <w:t>with respect to the impact of decoupling on cost of capital</w:t>
      </w:r>
      <w:r w:rsidRPr="00EE3ECD">
        <w:rPr>
          <w:rFonts w:ascii="Times New Roman" w:eastAsia="SimSun" w:hAnsi="Times New Roman"/>
        </w:rPr>
        <w:t>?</w:t>
      </w:r>
    </w:p>
    <w:p w:rsidR="002F53D0"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In its decision, the Commission </w:t>
      </w:r>
      <w:proofErr w:type="gramStart"/>
      <w:r w:rsidRPr="00EE3ECD">
        <w:rPr>
          <w:rFonts w:ascii="Times New Roman" w:eastAsia="SimSun" w:hAnsi="Times New Roman"/>
        </w:rPr>
        <w:t>noted that</w:t>
      </w:r>
      <w:proofErr w:type="gramEnd"/>
      <w:r w:rsidRPr="00EE3ECD">
        <w:rPr>
          <w:rFonts w:ascii="Times New Roman" w:eastAsia="SimSun" w:hAnsi="Times New Roman"/>
        </w:rPr>
        <w:t xml:space="preserve"> </w:t>
      </w:r>
      <w:r w:rsidR="00A14EBD">
        <w:rPr>
          <w:rFonts w:ascii="Times New Roman" w:eastAsia="SimSun" w:hAnsi="Times New Roman"/>
        </w:rPr>
        <w:t>“</w:t>
      </w:r>
      <w:r w:rsidRPr="00EE3ECD">
        <w:rPr>
          <w:rFonts w:ascii="Times New Roman" w:eastAsia="SimSun" w:hAnsi="Times New Roman"/>
        </w:rPr>
        <w:t>there is no empirical evidence in the record demonstrating</w:t>
      </w:r>
      <w:r w:rsidR="00A14EBD">
        <w:rPr>
          <w:rFonts w:ascii="Times New Roman" w:eastAsia="SimSun" w:hAnsi="Times New Roman"/>
        </w:rPr>
        <w:t>”</w:t>
      </w:r>
      <w:r w:rsidRPr="00EE3ECD">
        <w:rPr>
          <w:rFonts w:ascii="Times New Roman" w:eastAsia="SimSun" w:hAnsi="Times New Roman"/>
        </w:rPr>
        <w:t xml:space="preserve"> the effect of decoupling on PSE</w:t>
      </w:r>
      <w:r w:rsidR="00A14EBD">
        <w:rPr>
          <w:rFonts w:ascii="Times New Roman" w:eastAsia="SimSun" w:hAnsi="Times New Roman"/>
        </w:rPr>
        <w:t>’</w:t>
      </w:r>
      <w:r w:rsidRPr="00EE3ECD">
        <w:rPr>
          <w:rFonts w:ascii="Times New Roman" w:eastAsia="SimSun" w:hAnsi="Times New Roman"/>
        </w:rPr>
        <w:t xml:space="preserve">s cost </w:t>
      </w:r>
      <w:r w:rsidR="002F53D0">
        <w:rPr>
          <w:rFonts w:ascii="Times New Roman" w:eastAsia="SimSun" w:hAnsi="Times New Roman"/>
        </w:rPr>
        <w:t>of capital, including its ROE.</w:t>
      </w:r>
      <w:r w:rsidR="002F53D0">
        <w:rPr>
          <w:rStyle w:val="FootnoteReference"/>
          <w:rFonts w:ascii="Times New Roman" w:eastAsia="SimSun" w:hAnsi="Times New Roman"/>
        </w:rPr>
        <w:footnoteReference w:id="6"/>
      </w:r>
      <w:r w:rsidR="002F53D0">
        <w:rPr>
          <w:rFonts w:ascii="Times New Roman" w:eastAsia="SimSun" w:hAnsi="Times New Roman"/>
        </w:rPr>
        <w:t xml:space="preserve"> </w:t>
      </w:r>
      <w:r w:rsidRPr="00EE3ECD">
        <w:rPr>
          <w:rFonts w:ascii="Times New Roman" w:eastAsia="SimSun" w:hAnsi="Times New Roman"/>
        </w:rPr>
        <w:t xml:space="preserve"> The Commission went on to say that </w:t>
      </w:r>
    </w:p>
    <w:p w:rsidR="002F53D0" w:rsidRDefault="00DF0A93" w:rsidP="002F53D0">
      <w:pPr>
        <w:pStyle w:val="answer"/>
        <w:spacing w:after="280" w:line="240" w:lineRule="auto"/>
        <w:ind w:left="1440" w:right="720" w:firstLine="0"/>
        <w:rPr>
          <w:rFonts w:ascii="Times New Roman" w:eastAsia="SimSun" w:hAnsi="Times New Roman"/>
        </w:rPr>
      </w:pPr>
      <w:r w:rsidRPr="00EE3ECD">
        <w:rPr>
          <w:rFonts w:ascii="Times New Roman" w:eastAsia="SimSun" w:hAnsi="Times New Roman"/>
        </w:rPr>
        <w:t>[e]</w:t>
      </w:r>
      <w:proofErr w:type="spellStart"/>
      <w:r w:rsidRPr="00EE3ECD">
        <w:rPr>
          <w:rFonts w:ascii="Times New Roman" w:eastAsia="SimSun" w:hAnsi="Times New Roman"/>
        </w:rPr>
        <w:t>ven</w:t>
      </w:r>
      <w:proofErr w:type="spellEnd"/>
      <w:r w:rsidRPr="00EE3ECD">
        <w:rPr>
          <w:rFonts w:ascii="Times New Roman" w:eastAsia="SimSun" w:hAnsi="Times New Roman"/>
        </w:rPr>
        <w:t xml:space="preserve"> if PSE</w:t>
      </w:r>
      <w:r w:rsidR="00A14EBD">
        <w:rPr>
          <w:rFonts w:ascii="Times New Roman" w:eastAsia="SimSun" w:hAnsi="Times New Roman"/>
        </w:rPr>
        <w:t>’</w:t>
      </w:r>
      <w:r w:rsidRPr="00EE3ECD">
        <w:rPr>
          <w:rFonts w:ascii="Times New Roman" w:eastAsia="SimSun" w:hAnsi="Times New Roman"/>
        </w:rPr>
        <w:t xml:space="preserve">s bond ratings improve in response to our approval of decoupling and reduce the </w:t>
      </w:r>
      <w:proofErr w:type="gramStart"/>
      <w:r w:rsidRPr="00EE3ECD">
        <w:rPr>
          <w:rFonts w:ascii="Times New Roman" w:eastAsia="SimSun" w:hAnsi="Times New Roman"/>
        </w:rPr>
        <w:t>Company</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cost of debt, this effect will occur only prospectively.  Experience going forward with decoupling in place for PSE as </w:t>
      </w:r>
      <w:proofErr w:type="gramStart"/>
      <w:r w:rsidRPr="00EE3ECD">
        <w:rPr>
          <w:rFonts w:ascii="Times New Roman" w:eastAsia="SimSun" w:hAnsi="Times New Roman"/>
        </w:rPr>
        <w:t>various</w:t>
      </w:r>
      <w:proofErr w:type="gramEnd"/>
      <w:r w:rsidRPr="00EE3ECD">
        <w:rPr>
          <w:rFonts w:ascii="Times New Roman" w:eastAsia="SimSun" w:hAnsi="Times New Roman"/>
        </w:rPr>
        <w:t xml:space="preserve"> of its debt instruments mature over the next several years will provide valuable information to the Commission</w:t>
      </w:r>
      <w:r w:rsidR="00E4462B" w:rsidRPr="00E4462B">
        <w:rPr>
          <w:rFonts w:ascii="Times New Roman" w:eastAsia="SimSun" w:hAnsi="Times New Roman"/>
        </w:rPr>
        <w:t>.  This information may support a reduced cost of capital, or adjustments to PSE</w:t>
      </w:r>
      <w:r w:rsidR="00A14EBD">
        <w:rPr>
          <w:rFonts w:ascii="Times New Roman" w:eastAsia="SimSun" w:hAnsi="Times New Roman"/>
        </w:rPr>
        <w:t>’</w:t>
      </w:r>
      <w:r w:rsidR="00E4462B" w:rsidRPr="00E4462B">
        <w:rPr>
          <w:rFonts w:ascii="Times New Roman" w:eastAsia="SimSun" w:hAnsi="Times New Roman"/>
        </w:rPr>
        <w:t>s capital structure, at the time of the Company</w:t>
      </w:r>
      <w:r w:rsidR="00A14EBD">
        <w:rPr>
          <w:rFonts w:ascii="Times New Roman" w:eastAsia="SimSun" w:hAnsi="Times New Roman"/>
        </w:rPr>
        <w:t>’</w:t>
      </w:r>
      <w:r w:rsidR="00E4462B" w:rsidRPr="00E4462B">
        <w:rPr>
          <w:rFonts w:ascii="Times New Roman" w:eastAsia="SimSun" w:hAnsi="Times New Roman"/>
        </w:rPr>
        <w:t>s next general rate case.</w:t>
      </w:r>
    </w:p>
    <w:p w:rsidR="00E4462B" w:rsidRDefault="00E4462B" w:rsidP="002F53D0">
      <w:pPr>
        <w:pStyle w:val="answer"/>
        <w:spacing w:after="280" w:line="240" w:lineRule="auto"/>
        <w:ind w:left="1440" w:right="720" w:firstLine="0"/>
        <w:rPr>
          <w:rFonts w:ascii="Times New Roman" w:eastAsia="SimSun" w:hAnsi="Times New Roman"/>
        </w:rPr>
      </w:pPr>
      <w:r w:rsidRPr="00E4462B">
        <w:rPr>
          <w:rFonts w:ascii="Times New Roman" w:eastAsia="SimSun" w:hAnsi="Times New Roman"/>
        </w:rPr>
        <w:t>Similarly, at the time of PSE</w:t>
      </w:r>
      <w:r w:rsidR="00A14EBD">
        <w:rPr>
          <w:rFonts w:ascii="Times New Roman" w:eastAsia="SimSun" w:hAnsi="Times New Roman"/>
        </w:rPr>
        <w:t>’</w:t>
      </w:r>
      <w:r w:rsidRPr="00E4462B">
        <w:rPr>
          <w:rFonts w:ascii="Times New Roman" w:eastAsia="SimSun" w:hAnsi="Times New Roman"/>
        </w:rPr>
        <w:t xml:space="preserve">s next general rate case, parties may bring forth evidence showing that equity markets do, in fact, respond to the implementation of decoupling in the case of publicly traded companies.  If the companies are sufficiently similar to PSE to be included in a proxy group when determining cost of equity using traditional approaches, then the Commission might have a sustainable basis for adjusting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cost of equity.</w:t>
      </w:r>
      <w:r>
        <w:rPr>
          <w:rStyle w:val="FootnoteReference"/>
          <w:rFonts w:ascii="Times New Roman" w:eastAsia="SimSun" w:hAnsi="Times New Roman"/>
        </w:rPr>
        <w:footnoteReference w:id="7"/>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lastRenderedPageBreak/>
        <w:t>Q.</w:t>
      </w:r>
      <w:r w:rsidRPr="00E4462B">
        <w:rPr>
          <w:rFonts w:ascii="Times New Roman" w:eastAsia="SimSun" w:hAnsi="Times New Roman"/>
        </w:rPr>
        <w:tab/>
        <w:t xml:space="preserve">Should the Commission evaluate the impact of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on </w:t>
      </w:r>
      <w:r w:rsidR="00F60843">
        <w:rPr>
          <w:rFonts w:ascii="Times New Roman" w:eastAsia="SimSun" w:hAnsi="Times New Roman"/>
        </w:rPr>
        <w:t>cost of capital</w:t>
      </w:r>
      <w:r w:rsidR="00F60843" w:rsidRPr="00E4462B">
        <w:rPr>
          <w:rFonts w:ascii="Times New Roman" w:eastAsia="SimSun" w:hAnsi="Times New Roman"/>
        </w:rPr>
        <w:t xml:space="preserve"> </w:t>
      </w:r>
      <w:r w:rsidRPr="00E4462B">
        <w:rPr>
          <w:rFonts w:ascii="Times New Roman" w:eastAsia="SimSun" w:hAnsi="Times New Roman"/>
        </w:rPr>
        <w:t>in this remand proceeding?</w:t>
      </w:r>
    </w:p>
    <w:p w:rsidR="00E4462B" w:rsidRPr="00E4462B" w:rsidRDefault="00E4462B" w:rsidP="00E4462B">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No</w:t>
      </w:r>
      <w:r>
        <w:rPr>
          <w:rFonts w:ascii="Times New Roman" w:eastAsia="SimSun" w:hAnsi="Times New Roman"/>
        </w:rPr>
        <w:t>.</w:t>
      </w:r>
      <w:proofErr w:type="gramEnd"/>
      <w:r>
        <w:rPr>
          <w:rFonts w:ascii="Times New Roman" w:eastAsia="SimSun" w:hAnsi="Times New Roman"/>
        </w:rPr>
        <w:t xml:space="preserve">  The Commission should not </w:t>
      </w:r>
      <w:r w:rsidRPr="00E4462B">
        <w:rPr>
          <w:rFonts w:ascii="Times New Roman" w:eastAsia="SimSun" w:hAnsi="Times New Roman"/>
        </w:rPr>
        <w:t>evaluate the impact of PSE</w:t>
      </w:r>
      <w:r w:rsidR="00A14EBD">
        <w:rPr>
          <w:rFonts w:ascii="Times New Roman" w:eastAsia="SimSun" w:hAnsi="Times New Roman"/>
        </w:rPr>
        <w:t>’</w:t>
      </w:r>
      <w:r w:rsidRPr="00E4462B">
        <w:rPr>
          <w:rFonts w:ascii="Times New Roman" w:eastAsia="SimSun" w:hAnsi="Times New Roman"/>
        </w:rPr>
        <w:t xml:space="preserve">s decoupling mechanisms on </w:t>
      </w:r>
      <w:r w:rsidR="00F60843">
        <w:rPr>
          <w:rFonts w:ascii="Times New Roman" w:eastAsia="SimSun" w:hAnsi="Times New Roman"/>
        </w:rPr>
        <w:t>cost of capital</w:t>
      </w:r>
      <w:r w:rsidR="00F60843" w:rsidRPr="00E4462B">
        <w:rPr>
          <w:rFonts w:ascii="Times New Roman" w:eastAsia="SimSun" w:hAnsi="Times New Roman"/>
        </w:rPr>
        <w:t xml:space="preserve"> </w:t>
      </w:r>
      <w:r w:rsidRPr="00E4462B">
        <w:rPr>
          <w:rFonts w:ascii="Times New Roman" w:eastAsia="SimSun" w:hAnsi="Times New Roman"/>
        </w:rPr>
        <w:t>in this remand proceeding.  This remand proceeding is primarily focused on the information that was available to the Commission in the first half of 2013.  As the Commission stated, any reduction in the cost of debt would occur only prospectively, which is why the Commission contemplated waiting for PSE</w:t>
      </w:r>
      <w:r w:rsidR="00A14EBD">
        <w:rPr>
          <w:rFonts w:ascii="Times New Roman" w:eastAsia="SimSun" w:hAnsi="Times New Roman"/>
        </w:rPr>
        <w:t>’</w:t>
      </w:r>
      <w:r w:rsidRPr="00E4462B">
        <w:rPr>
          <w:rFonts w:ascii="Times New Roman" w:eastAsia="SimSun" w:hAnsi="Times New Roman"/>
        </w:rPr>
        <w:t xml:space="preserve">s next </w:t>
      </w:r>
      <w:r>
        <w:rPr>
          <w:rFonts w:ascii="Times New Roman" w:eastAsia="SimSun" w:hAnsi="Times New Roman"/>
        </w:rPr>
        <w:t xml:space="preserve">general rate case </w:t>
      </w:r>
      <w:r w:rsidRPr="00E4462B">
        <w:rPr>
          <w:rFonts w:ascii="Times New Roman" w:eastAsia="SimSun" w:hAnsi="Times New Roman"/>
        </w:rPr>
        <w:t>to evaluate the effects of decoupling on cost of capital</w:t>
      </w:r>
      <w:r>
        <w:rPr>
          <w:rFonts w:ascii="Times New Roman" w:eastAsia="SimSun" w:hAnsi="Times New Roman"/>
        </w:rPr>
        <w:t>.</w:t>
      </w:r>
    </w:p>
    <w:p w:rsidR="00E4462B" w:rsidRDefault="00E4462B" w:rsidP="00E4462B">
      <w:pPr>
        <w:pStyle w:val="answer"/>
        <w:ind w:firstLine="0"/>
        <w:rPr>
          <w:rFonts w:ascii="Times New Roman" w:eastAsia="SimSun" w:hAnsi="Times New Roman"/>
        </w:rPr>
      </w:pPr>
      <w:r w:rsidRPr="00E4462B">
        <w:rPr>
          <w:rFonts w:ascii="Times New Roman" w:eastAsia="SimSun" w:hAnsi="Times New Roman"/>
        </w:rPr>
        <w:t xml:space="preserve">Moreover, it has only been 16 months since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went into </w:t>
      </w:r>
      <w:r>
        <w:rPr>
          <w:rFonts w:ascii="Times New Roman" w:eastAsia="SimSun" w:hAnsi="Times New Roman"/>
        </w:rPr>
        <w:t>effect</w:t>
      </w:r>
      <w:r w:rsidRPr="00E4462B">
        <w:rPr>
          <w:rFonts w:ascii="Times New Roman" w:eastAsia="SimSun" w:hAnsi="Times New Roman"/>
        </w:rPr>
        <w:t xml:space="preserve">.  </w:t>
      </w:r>
      <w:r>
        <w:rPr>
          <w:rFonts w:ascii="Times New Roman" w:eastAsia="SimSun" w:hAnsi="Times New Roman"/>
        </w:rPr>
        <w:t xml:space="preserve">There has been insufficient time to </w:t>
      </w:r>
      <w:r w:rsidRPr="00E4462B">
        <w:rPr>
          <w:rFonts w:ascii="Times New Roman" w:eastAsia="SimSun" w:hAnsi="Times New Roman"/>
        </w:rPr>
        <w:t xml:space="preserve">draw any clear conclusions as to the effects, if any, of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on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cost of capital.  Indeed, as noted above, the Commission appeared to conte</w:t>
      </w:r>
      <w:r>
        <w:rPr>
          <w:rFonts w:ascii="Times New Roman" w:eastAsia="SimSun" w:hAnsi="Times New Roman"/>
        </w:rPr>
        <w:t xml:space="preserve">mplate waiting </w:t>
      </w:r>
      <w:r w:rsidR="00EE2867">
        <w:rPr>
          <w:rFonts w:ascii="Times New Roman" w:eastAsia="SimSun" w:hAnsi="Times New Roman"/>
        </w:rPr>
        <w:t xml:space="preserve">to allow </w:t>
      </w:r>
      <w:r w:rsidRPr="00E4462B">
        <w:rPr>
          <w:rFonts w:ascii="Times New Roman" w:eastAsia="SimSun" w:hAnsi="Times New Roman"/>
        </w:rPr>
        <w:t xml:space="preserve">sufficient time </w:t>
      </w:r>
      <w:r w:rsidR="00EE2867">
        <w:rPr>
          <w:rFonts w:ascii="Times New Roman" w:eastAsia="SimSun" w:hAnsi="Times New Roman"/>
        </w:rPr>
        <w:t xml:space="preserve">for data and results accumulation </w:t>
      </w:r>
      <w:r w:rsidRPr="00E4462B">
        <w:rPr>
          <w:rFonts w:ascii="Times New Roman" w:eastAsia="SimSun" w:hAnsi="Times New Roman"/>
        </w:rPr>
        <w:t>to e</w:t>
      </w:r>
      <w:r>
        <w:rPr>
          <w:rFonts w:ascii="Times New Roman" w:eastAsia="SimSun" w:hAnsi="Times New Roman"/>
        </w:rPr>
        <w:t>valuate this potential effect.</w:t>
      </w:r>
    </w:p>
    <w:p w:rsidR="00083C00" w:rsidRDefault="00E4462B" w:rsidP="00E4462B">
      <w:pPr>
        <w:pStyle w:val="question"/>
        <w:keepNext/>
        <w:keepLines/>
        <w:spacing w:before="120"/>
        <w:rPr>
          <w:rFonts w:ascii="Times New Roman" w:eastAsia="SimSun" w:hAnsi="Times New Roman"/>
        </w:rPr>
      </w:pPr>
      <w:r w:rsidRPr="00E4462B">
        <w:rPr>
          <w:rFonts w:ascii="Times New Roman" w:eastAsia="SimSun" w:hAnsi="Times New Roman"/>
        </w:rPr>
        <w:t>Q.</w:t>
      </w:r>
      <w:r w:rsidRPr="00E4462B">
        <w:rPr>
          <w:rFonts w:ascii="Times New Roman" w:eastAsia="SimSun" w:hAnsi="Times New Roman"/>
        </w:rPr>
        <w:tab/>
      </w:r>
      <w:r w:rsidR="00083C00">
        <w:rPr>
          <w:rFonts w:ascii="Times New Roman" w:eastAsia="SimSun" w:hAnsi="Times New Roman"/>
        </w:rPr>
        <w:t>If the Commission decides to consider the effects of decoupling on cost of capital at this time, what information should the Commission consider?</w:t>
      </w:r>
    </w:p>
    <w:p w:rsidR="00083C00" w:rsidRPr="00083C00" w:rsidRDefault="00083C00" w:rsidP="00083C00">
      <w:pPr>
        <w:pStyle w:val="answer"/>
        <w:rPr>
          <w:rFonts w:eastAsia="SimSun"/>
        </w:rPr>
      </w:pPr>
      <w:r>
        <w:rPr>
          <w:rFonts w:eastAsia="SimSun"/>
        </w:rPr>
        <w:t>A.</w:t>
      </w:r>
      <w:r>
        <w:rPr>
          <w:rFonts w:eastAsia="SimSun"/>
        </w:rPr>
        <w:tab/>
        <w:t>If</w:t>
      </w:r>
      <w:r w:rsidR="00B57375">
        <w:rPr>
          <w:rFonts w:eastAsia="SimSun"/>
        </w:rPr>
        <w:t xml:space="preserve"> the Commission decides it is appropriate at this time to consider the effects of decoupling on cost of capital, t</w:t>
      </w:r>
      <w:r>
        <w:rPr>
          <w:rFonts w:eastAsia="SimSun"/>
        </w:rPr>
        <w:t>he Commission shou</w:t>
      </w:r>
      <w:r w:rsidR="00B57375">
        <w:rPr>
          <w:rFonts w:eastAsia="SimSun"/>
        </w:rPr>
        <w:t xml:space="preserve">ld consider the studies undertaken by the Brattle Group, as discussed in the </w:t>
      </w:r>
      <w:proofErr w:type="spellStart"/>
      <w:r w:rsidR="00B57375">
        <w:rPr>
          <w:rFonts w:eastAsia="SimSun"/>
        </w:rPr>
        <w:t>Prefiled</w:t>
      </w:r>
      <w:proofErr w:type="spellEnd"/>
      <w:r w:rsidR="00B57375">
        <w:rPr>
          <w:rFonts w:eastAsia="SimSun"/>
        </w:rPr>
        <w:t xml:space="preserve"> Direct Testimony of </w:t>
      </w:r>
      <w:r w:rsidR="00A14EBD">
        <w:rPr>
          <w:rFonts w:eastAsia="SimSun"/>
        </w:rPr>
        <w:t>Dr. </w:t>
      </w:r>
      <w:r w:rsidR="00B57375">
        <w:rPr>
          <w:rFonts w:eastAsia="SimSun"/>
        </w:rPr>
        <w:t>Michael J. Vilbert.</w:t>
      </w:r>
      <w:r w:rsidR="00BD183D">
        <w:rPr>
          <w:rFonts w:eastAsia="SimSun"/>
        </w:rPr>
        <w:t xml:space="preserve">  </w:t>
      </w:r>
      <w:r w:rsidR="00B57375">
        <w:rPr>
          <w:rFonts w:eastAsia="SimSun"/>
        </w:rPr>
        <w:t xml:space="preserve">As </w:t>
      </w:r>
      <w:r w:rsidR="004B5A29">
        <w:rPr>
          <w:rFonts w:eastAsia="SimSun"/>
        </w:rPr>
        <w:t>D</w:t>
      </w:r>
      <w:r w:rsidR="00B57375">
        <w:rPr>
          <w:rFonts w:eastAsia="SimSun"/>
        </w:rPr>
        <w:t xml:space="preserve">r. Vilbert discusses, there is no empirical evidence that decoupling lowers the cost of capital, and </w:t>
      </w:r>
      <w:r w:rsidR="004B5A29">
        <w:rPr>
          <w:rFonts w:eastAsia="SimSun"/>
        </w:rPr>
        <w:t xml:space="preserve">commissions have overwhelmingly elected </w:t>
      </w:r>
      <w:r w:rsidR="00B57375">
        <w:rPr>
          <w:rFonts w:eastAsia="SimSun"/>
        </w:rPr>
        <w:t xml:space="preserve">not </w:t>
      </w:r>
      <w:r w:rsidR="004B5A29">
        <w:rPr>
          <w:rFonts w:eastAsia="SimSun"/>
        </w:rPr>
        <w:t xml:space="preserve">to </w:t>
      </w:r>
      <w:r w:rsidR="00B57375">
        <w:rPr>
          <w:rFonts w:eastAsia="SimSun"/>
        </w:rPr>
        <w:t xml:space="preserve">lower return on equity when decoupling </w:t>
      </w:r>
      <w:proofErr w:type="gramStart"/>
      <w:r w:rsidR="00B57375">
        <w:rPr>
          <w:rFonts w:eastAsia="SimSun"/>
        </w:rPr>
        <w:t>is implemented</w:t>
      </w:r>
      <w:proofErr w:type="gramEnd"/>
      <w:r w:rsidR="00B57375">
        <w:rPr>
          <w:rFonts w:eastAsia="SimSun"/>
        </w:rPr>
        <w:t>.</w:t>
      </w:r>
    </w:p>
    <w:p w:rsidR="00E4462B" w:rsidRPr="00E4462B" w:rsidRDefault="00083C00" w:rsidP="00E4462B">
      <w:pPr>
        <w:pStyle w:val="question"/>
        <w:keepNext/>
        <w:keepLines/>
        <w:spacing w:before="120"/>
        <w:rPr>
          <w:rFonts w:ascii="Times New Roman" w:hAnsi="Times New Roman"/>
        </w:rPr>
      </w:pPr>
      <w:r>
        <w:rPr>
          <w:rFonts w:ascii="Times New Roman" w:eastAsia="SimSun" w:hAnsi="Times New Roman"/>
        </w:rPr>
        <w:lastRenderedPageBreak/>
        <w:t>Q.</w:t>
      </w:r>
      <w:r>
        <w:rPr>
          <w:rFonts w:ascii="Times New Roman" w:eastAsia="SimSun" w:hAnsi="Times New Roman"/>
        </w:rPr>
        <w:tab/>
      </w:r>
      <w:r w:rsidR="00B169E7">
        <w:rPr>
          <w:rFonts w:ascii="Times New Roman" w:eastAsia="SimSun" w:hAnsi="Times New Roman"/>
        </w:rPr>
        <w:t>What</w:t>
      </w:r>
      <w:r w:rsidR="00227CBB">
        <w:rPr>
          <w:rFonts w:ascii="Times New Roman" w:eastAsia="SimSun" w:hAnsi="Times New Roman"/>
        </w:rPr>
        <w:t xml:space="preserve"> </w:t>
      </w:r>
      <w:r w:rsidR="00E4462B" w:rsidRPr="00E4462B">
        <w:rPr>
          <w:rFonts w:ascii="Times New Roman" w:eastAsia="SimSun" w:hAnsi="Times New Roman"/>
        </w:rPr>
        <w:t xml:space="preserve">other evidence </w:t>
      </w:r>
      <w:r w:rsidR="00B169E7">
        <w:rPr>
          <w:rFonts w:ascii="Times New Roman" w:eastAsia="SimSun" w:hAnsi="Times New Roman"/>
        </w:rPr>
        <w:t>may the</w:t>
      </w:r>
      <w:r w:rsidR="00E4462B" w:rsidRPr="00E4462B">
        <w:rPr>
          <w:rFonts w:ascii="Times New Roman" w:eastAsia="SimSun" w:hAnsi="Times New Roman"/>
        </w:rPr>
        <w:t xml:space="preserve"> Commission consider in evaluating the effects of PSE</w:t>
      </w:r>
      <w:r w:rsidR="00A14EBD">
        <w:rPr>
          <w:rFonts w:ascii="Times New Roman" w:eastAsia="SimSun" w:hAnsi="Times New Roman"/>
        </w:rPr>
        <w:t>’</w:t>
      </w:r>
      <w:r w:rsidR="00E4462B" w:rsidRPr="00E4462B">
        <w:rPr>
          <w:rFonts w:ascii="Times New Roman" w:eastAsia="SimSun" w:hAnsi="Times New Roman"/>
        </w:rPr>
        <w:t xml:space="preserve">s decoupling mechanisms on </w:t>
      </w:r>
      <w:r w:rsidR="00E4462B">
        <w:rPr>
          <w:rFonts w:ascii="Times New Roman" w:eastAsia="SimSun" w:hAnsi="Times New Roman"/>
        </w:rPr>
        <w:t>PSE</w:t>
      </w:r>
      <w:r w:rsidR="00A14EBD">
        <w:rPr>
          <w:rFonts w:ascii="Times New Roman" w:eastAsia="SimSun" w:hAnsi="Times New Roman"/>
        </w:rPr>
        <w:t>’</w:t>
      </w:r>
      <w:r w:rsidR="00E4462B">
        <w:rPr>
          <w:rFonts w:ascii="Times New Roman" w:eastAsia="SimSun" w:hAnsi="Times New Roman"/>
        </w:rPr>
        <w:t xml:space="preserve">s </w:t>
      </w:r>
      <w:r w:rsidR="00E4462B" w:rsidRPr="00E4462B">
        <w:rPr>
          <w:rFonts w:ascii="Times New Roman" w:eastAsia="SimSun" w:hAnsi="Times New Roman"/>
        </w:rPr>
        <w:t>risk?</w:t>
      </w:r>
    </w:p>
    <w:p w:rsidR="00B169E7"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sidR="00B169E7">
        <w:rPr>
          <w:rFonts w:ascii="Times New Roman" w:eastAsia="SimSun" w:hAnsi="Times New Roman"/>
        </w:rPr>
        <w:t xml:space="preserve">The Commission may </w:t>
      </w:r>
      <w:r w:rsidRPr="00E4462B">
        <w:rPr>
          <w:rFonts w:ascii="Times New Roman" w:eastAsia="SimSun" w:hAnsi="Times New Roman"/>
        </w:rPr>
        <w:t xml:space="preserve">evaluate the magnitude of </w:t>
      </w:r>
      <w:r w:rsidR="00B169E7">
        <w:rPr>
          <w:rFonts w:ascii="Times New Roman" w:eastAsia="SimSun" w:hAnsi="Times New Roman"/>
        </w:rPr>
        <w:t>the reduction in revenue volatility due to PSE</w:t>
      </w:r>
      <w:r w:rsidR="00A14EBD">
        <w:rPr>
          <w:rFonts w:ascii="Times New Roman" w:eastAsia="SimSun" w:hAnsi="Times New Roman"/>
        </w:rPr>
        <w:t>’</w:t>
      </w:r>
      <w:r w:rsidR="00B169E7">
        <w:rPr>
          <w:rFonts w:ascii="Times New Roman" w:eastAsia="SimSun" w:hAnsi="Times New Roman"/>
        </w:rPr>
        <w:t>s decoupling mechanisms</w:t>
      </w:r>
      <w:r w:rsidR="00A14EBD">
        <w:rPr>
          <w:rFonts w:ascii="Times New Roman" w:eastAsia="SimSun" w:hAnsi="Times New Roman"/>
        </w:rPr>
        <w:t>.</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 xml:space="preserve">Understanding that there is only limited history </w:t>
      </w:r>
      <w:proofErr w:type="gramStart"/>
      <w:r w:rsidRPr="00E4462B">
        <w:rPr>
          <w:rFonts w:ascii="Times New Roman" w:eastAsia="SimSun" w:hAnsi="Times New Roman"/>
        </w:rPr>
        <w:t>at this point in time</w:t>
      </w:r>
      <w:proofErr w:type="gramEnd"/>
      <w:r w:rsidRPr="00E4462B">
        <w:rPr>
          <w:rFonts w:ascii="Times New Roman" w:eastAsia="SimSun" w:hAnsi="Times New Roman"/>
        </w:rPr>
        <w:t>, what decoupling revenue adjustments ha</w:t>
      </w:r>
      <w:r w:rsidR="00B169E7">
        <w:rPr>
          <w:rFonts w:ascii="Times New Roman" w:eastAsia="SimSun" w:hAnsi="Times New Roman"/>
        </w:rPr>
        <w:t>ve</w:t>
      </w:r>
      <w:r w:rsidRPr="00E4462B">
        <w:rPr>
          <w:rFonts w:ascii="Times New Roman" w:eastAsia="SimSun" w:hAnsi="Times New Roman"/>
        </w:rPr>
        <w:t xml:space="preserve"> </w:t>
      </w:r>
      <w:r w:rsidR="00CD5480">
        <w:rPr>
          <w:rFonts w:ascii="Times New Roman" w:eastAsia="SimSun" w:hAnsi="Times New Roman"/>
        </w:rPr>
        <w:t xml:space="preserve">been recorded by </w:t>
      </w:r>
      <w:r w:rsidRPr="00E4462B">
        <w:rPr>
          <w:rFonts w:ascii="Times New Roman" w:eastAsia="SimSun" w:hAnsi="Times New Roman"/>
        </w:rPr>
        <w:t>PSE since the Commission approved PSE</w:t>
      </w:r>
      <w:r w:rsidR="00A14EBD">
        <w:rPr>
          <w:rFonts w:ascii="Times New Roman" w:eastAsia="SimSun" w:hAnsi="Times New Roman"/>
        </w:rPr>
        <w:t>’</w:t>
      </w:r>
      <w:r w:rsidRPr="00E4462B">
        <w:rPr>
          <w:rFonts w:ascii="Times New Roman" w:eastAsia="SimSun" w:hAnsi="Times New Roman"/>
        </w:rPr>
        <w:t>s decoupling mechanisms?</w:t>
      </w:r>
    </w:p>
    <w:p w:rsidR="00E4462B"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___(DAD-</w:t>
      </w:r>
      <w:r w:rsidR="00E909A2">
        <w:rPr>
          <w:rFonts w:ascii="Times New Roman" w:eastAsia="SimSun" w:hAnsi="Times New Roman"/>
        </w:rPr>
        <w:t>6</w:t>
      </w:r>
      <w:r>
        <w:rPr>
          <w:rFonts w:ascii="Times New Roman" w:eastAsia="SimSun" w:hAnsi="Times New Roman"/>
        </w:rPr>
        <w:t xml:space="preserve">) for </w:t>
      </w:r>
      <w:r w:rsidRPr="00E4462B">
        <w:rPr>
          <w:rFonts w:ascii="Times New Roman" w:eastAsia="SimSun" w:hAnsi="Times New Roman"/>
        </w:rPr>
        <w:t xml:space="preserve">decoupling revenue adjustments </w:t>
      </w:r>
      <w:r>
        <w:rPr>
          <w:rFonts w:ascii="Times New Roman" w:eastAsia="SimSun" w:hAnsi="Times New Roman"/>
        </w:rPr>
        <w:t xml:space="preserve">that </w:t>
      </w:r>
      <w:r w:rsidRPr="00E4462B">
        <w:rPr>
          <w:rFonts w:ascii="Times New Roman" w:eastAsia="SimSun" w:hAnsi="Times New Roman"/>
        </w:rPr>
        <w:t xml:space="preserve">PSE </w:t>
      </w:r>
      <w:r w:rsidR="00FB52B9">
        <w:rPr>
          <w:rFonts w:ascii="Times New Roman" w:eastAsia="SimSun" w:hAnsi="Times New Roman"/>
        </w:rPr>
        <w:t xml:space="preserve">has </w:t>
      </w:r>
      <w:r w:rsidRPr="00E4462B">
        <w:rPr>
          <w:rFonts w:ascii="Times New Roman" w:eastAsia="SimSun" w:hAnsi="Times New Roman"/>
        </w:rPr>
        <w:t xml:space="preserve">recorded </w:t>
      </w:r>
      <w:r>
        <w:rPr>
          <w:rFonts w:ascii="Times New Roman" w:eastAsia="SimSun" w:hAnsi="Times New Roman"/>
        </w:rPr>
        <w:t xml:space="preserve">for </w:t>
      </w:r>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 electric and gas decoupling mechanisms over the period July 2013 to June 2014.  This was the first full year of the operation of these two mechanisms.  The results in Exhibit No</w:t>
      </w:r>
      <w:proofErr w:type="gramStart"/>
      <w:r w:rsidRPr="00E4462B">
        <w:rPr>
          <w:rFonts w:ascii="Times New Roman" w:eastAsia="SimSun" w:hAnsi="Times New Roman"/>
        </w:rPr>
        <w:t>.</w:t>
      </w:r>
      <w:r>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E909A2">
        <w:rPr>
          <w:rFonts w:ascii="Times New Roman" w:eastAsia="SimSun" w:hAnsi="Times New Roman"/>
        </w:rPr>
        <w:t>6</w:t>
      </w:r>
      <w:r w:rsidRPr="00E4462B">
        <w:rPr>
          <w:rFonts w:ascii="Times New Roman" w:eastAsia="SimSun" w:hAnsi="Times New Roman"/>
        </w:rPr>
        <w:t>) show that PSE recorded approximately $</w:t>
      </w:r>
      <w:r w:rsidR="00B169E7">
        <w:rPr>
          <w:rFonts w:ascii="Times New Roman" w:eastAsia="SimSun" w:hAnsi="Times New Roman"/>
        </w:rPr>
        <w:t>9.7</w:t>
      </w:r>
      <w:r>
        <w:rPr>
          <w:rFonts w:ascii="Times New Roman" w:eastAsia="SimSun" w:hAnsi="Times New Roman"/>
        </w:rPr>
        <w:t> </w:t>
      </w:r>
      <w:r w:rsidRPr="00E4462B">
        <w:rPr>
          <w:rFonts w:ascii="Times New Roman" w:eastAsia="SimSun" w:hAnsi="Times New Roman"/>
        </w:rPr>
        <w:t>million and $</w:t>
      </w:r>
      <w:r w:rsidR="00B169E7">
        <w:rPr>
          <w:rFonts w:ascii="Times New Roman" w:eastAsia="SimSun" w:hAnsi="Times New Roman"/>
        </w:rPr>
        <w:t>4.7</w:t>
      </w:r>
      <w:r>
        <w:rPr>
          <w:rFonts w:ascii="Times New Roman" w:eastAsia="SimSun" w:hAnsi="Times New Roman"/>
        </w:rPr>
        <w:t> </w:t>
      </w:r>
      <w:r w:rsidRPr="00E4462B">
        <w:rPr>
          <w:rFonts w:ascii="Times New Roman" w:eastAsia="SimSun" w:hAnsi="Times New Roman"/>
        </w:rPr>
        <w:t>million in revenue adjustments for the electric and</w:t>
      </w:r>
      <w:r>
        <w:rPr>
          <w:rFonts w:ascii="Times New Roman" w:eastAsia="SimSun" w:hAnsi="Times New Roman"/>
        </w:rPr>
        <w:t xml:space="preserve"> gas mechanisms, respectively.</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What portion of these revenue adjustments is attributable to the effects of weather?</w:t>
      </w:r>
    </w:p>
    <w:p w:rsidR="00E4462B"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___(DAD-</w:t>
      </w:r>
      <w:r w:rsidR="00E909A2">
        <w:rPr>
          <w:rFonts w:ascii="Times New Roman" w:eastAsia="SimSun" w:hAnsi="Times New Roman"/>
        </w:rPr>
        <w:t>7</w:t>
      </w:r>
      <w:r>
        <w:rPr>
          <w:rFonts w:ascii="Times New Roman" w:eastAsia="SimSun" w:hAnsi="Times New Roman"/>
        </w:rPr>
        <w:t xml:space="preserve">) for the </w:t>
      </w:r>
      <w:r w:rsidRPr="00E4462B">
        <w:rPr>
          <w:rFonts w:ascii="Times New Roman" w:eastAsia="SimSun" w:hAnsi="Times New Roman"/>
        </w:rPr>
        <w:t>effects of weather on PSE</w:t>
      </w:r>
      <w:r w:rsidR="00A14EBD">
        <w:rPr>
          <w:rFonts w:ascii="Times New Roman" w:eastAsia="SimSun" w:hAnsi="Times New Roman"/>
        </w:rPr>
        <w:t>’</w:t>
      </w:r>
      <w:r w:rsidRPr="00E4462B">
        <w:rPr>
          <w:rFonts w:ascii="Times New Roman" w:eastAsia="SimSun" w:hAnsi="Times New Roman"/>
        </w:rPr>
        <w:t>s electric and gas decoupling mechanisms over the period July 2013 to June 2014</w:t>
      </w:r>
      <w:r>
        <w:rPr>
          <w:rFonts w:ascii="Times New Roman" w:eastAsia="SimSun" w:hAnsi="Times New Roman"/>
        </w:rPr>
        <w:t>.  L</w:t>
      </w:r>
      <w:r w:rsidRPr="00E4462B">
        <w:rPr>
          <w:rFonts w:ascii="Times New Roman" w:eastAsia="SimSun" w:hAnsi="Times New Roman"/>
        </w:rPr>
        <w:t>ines</w:t>
      </w:r>
      <w:r>
        <w:rPr>
          <w:rFonts w:ascii="Times New Roman" w:eastAsia="SimSun" w:hAnsi="Times New Roman"/>
        </w:rPr>
        <w:t> </w:t>
      </w:r>
      <w:r w:rsidRPr="00E4462B">
        <w:rPr>
          <w:rFonts w:ascii="Times New Roman" w:eastAsia="SimSun" w:hAnsi="Times New Roman"/>
        </w:rPr>
        <w:t>15 and 33</w:t>
      </w:r>
      <w:r>
        <w:rPr>
          <w:rFonts w:ascii="Times New Roman" w:eastAsia="SimSun" w:hAnsi="Times New Roman"/>
        </w:rPr>
        <w:t xml:space="preserve"> </w:t>
      </w:r>
      <w:r w:rsidR="00B57375">
        <w:rPr>
          <w:rFonts w:ascii="Times New Roman" w:eastAsia="SimSun" w:hAnsi="Times New Roman"/>
        </w:rPr>
        <w:t xml:space="preserve">on page 2 </w:t>
      </w:r>
      <w:r>
        <w:rPr>
          <w:rFonts w:ascii="Times New Roman" w:eastAsia="SimSun" w:hAnsi="Times New Roman"/>
        </w:rPr>
        <w:t xml:space="preserve">of </w:t>
      </w:r>
      <w:r w:rsidRPr="00E4462B">
        <w:rPr>
          <w:rFonts w:ascii="Times New Roman" w:eastAsia="SimSun" w:hAnsi="Times New Roman"/>
        </w:rPr>
        <w:t>Exhibit No</w:t>
      </w:r>
      <w:proofErr w:type="gramStart"/>
      <w:r w:rsidRPr="00E4462B">
        <w:rPr>
          <w:rFonts w:ascii="Times New Roman" w:eastAsia="SimSun" w:hAnsi="Times New Roman"/>
        </w:rPr>
        <w:t>.</w:t>
      </w:r>
      <w:r>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E909A2">
        <w:rPr>
          <w:rFonts w:ascii="Times New Roman" w:eastAsia="SimSun" w:hAnsi="Times New Roman"/>
        </w:rPr>
        <w:t>7</w:t>
      </w:r>
      <w:r w:rsidRPr="00E4462B">
        <w:rPr>
          <w:rFonts w:ascii="Times New Roman" w:eastAsia="SimSun" w:hAnsi="Times New Roman"/>
        </w:rPr>
        <w:t>)</w:t>
      </w:r>
      <w:r>
        <w:rPr>
          <w:rFonts w:ascii="Times New Roman" w:eastAsia="SimSun" w:hAnsi="Times New Roman"/>
        </w:rPr>
        <w:t xml:space="preserve"> show</w:t>
      </w:r>
      <w:r w:rsidRPr="00E4462B">
        <w:rPr>
          <w:rFonts w:ascii="Times New Roman" w:eastAsia="SimSun" w:hAnsi="Times New Roman"/>
        </w:rPr>
        <w:t xml:space="preserve"> that weather is responsible for approximately $</w:t>
      </w:r>
      <w:r w:rsidR="00FA3A01">
        <w:rPr>
          <w:rFonts w:ascii="Times New Roman" w:eastAsia="SimSun" w:hAnsi="Times New Roman"/>
        </w:rPr>
        <w:t>2</w:t>
      </w:r>
      <w:r w:rsidR="00B169E7">
        <w:rPr>
          <w:rFonts w:ascii="Times New Roman" w:eastAsia="SimSun" w:hAnsi="Times New Roman"/>
        </w:rPr>
        <w:t>.7</w:t>
      </w:r>
      <w:r>
        <w:rPr>
          <w:rFonts w:ascii="Times New Roman" w:eastAsia="SimSun" w:hAnsi="Times New Roman"/>
        </w:rPr>
        <w:t> </w:t>
      </w:r>
      <w:r w:rsidRPr="00E4462B">
        <w:rPr>
          <w:rFonts w:ascii="Times New Roman" w:eastAsia="SimSun" w:hAnsi="Times New Roman"/>
        </w:rPr>
        <w:t>million and $13</w:t>
      </w:r>
      <w:r w:rsidR="00B169E7">
        <w:rPr>
          <w:rFonts w:ascii="Times New Roman" w:eastAsia="SimSun" w:hAnsi="Times New Roman"/>
        </w:rPr>
        <w:t>.5</w:t>
      </w:r>
      <w:r>
        <w:rPr>
          <w:rFonts w:ascii="Times New Roman" w:eastAsia="SimSun" w:hAnsi="Times New Roman"/>
        </w:rPr>
        <w:t> </w:t>
      </w:r>
      <w:r w:rsidRPr="00E4462B">
        <w:rPr>
          <w:rFonts w:ascii="Times New Roman" w:eastAsia="SimSun" w:hAnsi="Times New Roman"/>
        </w:rPr>
        <w:t>million of PSE</w:t>
      </w:r>
      <w:r w:rsidR="00A14EBD">
        <w:rPr>
          <w:rFonts w:ascii="Times New Roman" w:eastAsia="SimSun" w:hAnsi="Times New Roman"/>
        </w:rPr>
        <w:t>’</w:t>
      </w:r>
      <w:r w:rsidRPr="00E4462B">
        <w:rPr>
          <w:rFonts w:ascii="Times New Roman" w:eastAsia="SimSun" w:hAnsi="Times New Roman"/>
        </w:rPr>
        <w:t>s electric and gas decoupling revenue adjustments, respectively, over this period.</w:t>
      </w:r>
    </w:p>
    <w:p w:rsidR="00E4462B" w:rsidRPr="00E4462B" w:rsidRDefault="00E4462B" w:rsidP="00E4462B">
      <w:pPr>
        <w:pStyle w:val="question"/>
        <w:keepNext/>
        <w:keepLines/>
        <w:spacing w:before="120"/>
        <w:rPr>
          <w:rFonts w:ascii="Times New Roman" w:hAnsi="Times New Roman"/>
        </w:rPr>
      </w:pPr>
      <w:proofErr w:type="gramStart"/>
      <w:r w:rsidRPr="00E4462B">
        <w:rPr>
          <w:rFonts w:ascii="Times New Roman" w:eastAsia="SimSun" w:hAnsi="Times New Roman"/>
        </w:rPr>
        <w:lastRenderedPageBreak/>
        <w:t>Q.</w:t>
      </w:r>
      <w:r w:rsidRPr="00E4462B">
        <w:rPr>
          <w:rFonts w:ascii="Times New Roman" w:eastAsia="SimSun" w:hAnsi="Times New Roman"/>
        </w:rPr>
        <w:tab/>
        <w:t>Should the effects of weather that is absorbed by PSE</w:t>
      </w:r>
      <w:r w:rsidR="00A14EBD">
        <w:rPr>
          <w:rFonts w:ascii="Times New Roman" w:eastAsia="SimSun" w:hAnsi="Times New Roman"/>
        </w:rPr>
        <w:t>’</w:t>
      </w:r>
      <w:r w:rsidRPr="00E4462B">
        <w:rPr>
          <w:rFonts w:ascii="Times New Roman" w:eastAsia="SimSun" w:hAnsi="Times New Roman"/>
        </w:rPr>
        <w:t>s decoupling mechanisms be considered</w:t>
      </w:r>
      <w:proofErr w:type="gramEnd"/>
      <w:r w:rsidRPr="00E4462B">
        <w:rPr>
          <w:rFonts w:ascii="Times New Roman" w:eastAsia="SimSun" w:hAnsi="Times New Roman"/>
        </w:rPr>
        <w:t xml:space="preserve"> in the context of determining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ROE?</w:t>
      </w:r>
    </w:p>
    <w:p w:rsidR="00E909A2" w:rsidRPr="00E4462B" w:rsidRDefault="00E4462B" w:rsidP="00E4462B">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No</w:t>
      </w:r>
      <w:r>
        <w:rPr>
          <w:rFonts w:ascii="Times New Roman" w:eastAsia="SimSun" w:hAnsi="Times New Roman"/>
        </w:rPr>
        <w:t>.</w:t>
      </w:r>
      <w:proofErr w:type="gramEnd"/>
      <w:r>
        <w:rPr>
          <w:rFonts w:ascii="Times New Roman" w:eastAsia="SimSun" w:hAnsi="Times New Roman"/>
        </w:rPr>
        <w:t xml:space="preserve">  T</w:t>
      </w:r>
      <w:r w:rsidRPr="00E4462B">
        <w:rPr>
          <w:rFonts w:ascii="Times New Roman" w:eastAsia="SimSun" w:hAnsi="Times New Roman"/>
        </w:rPr>
        <w:t>he effects of weather that is absorbed by PSE</w:t>
      </w:r>
      <w:r w:rsidR="00A14EBD">
        <w:rPr>
          <w:rFonts w:ascii="Times New Roman" w:eastAsia="SimSun" w:hAnsi="Times New Roman"/>
        </w:rPr>
        <w:t>’</w:t>
      </w:r>
      <w:r w:rsidRPr="00E4462B">
        <w:rPr>
          <w:rFonts w:ascii="Times New Roman" w:eastAsia="SimSun" w:hAnsi="Times New Roman"/>
        </w:rPr>
        <w:t xml:space="preserve">s decoupling mechanisms </w:t>
      </w:r>
      <w:proofErr w:type="gramStart"/>
      <w:r>
        <w:rPr>
          <w:rFonts w:ascii="Times New Roman" w:eastAsia="SimSun" w:hAnsi="Times New Roman"/>
        </w:rPr>
        <w:t xml:space="preserve">should not </w:t>
      </w:r>
      <w:r w:rsidRPr="00E4462B">
        <w:rPr>
          <w:rFonts w:ascii="Times New Roman" w:eastAsia="SimSun" w:hAnsi="Times New Roman"/>
        </w:rPr>
        <w:t>be considered</w:t>
      </w:r>
      <w:proofErr w:type="gramEnd"/>
      <w:r w:rsidRPr="00E4462B">
        <w:rPr>
          <w:rFonts w:ascii="Times New Roman" w:eastAsia="SimSun" w:hAnsi="Times New Roman"/>
        </w:rPr>
        <w:t xml:space="preserve"> in the context of determining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ROE</w:t>
      </w:r>
      <w:r w:rsidR="00CD5480">
        <w:rPr>
          <w:rFonts w:ascii="Times New Roman" w:eastAsia="SimSun" w:hAnsi="Times New Roman"/>
        </w:rPr>
        <w:t xml:space="preserve">. </w:t>
      </w:r>
      <w:r w:rsidRPr="00E4462B">
        <w:rPr>
          <w:rFonts w:ascii="Times New Roman" w:eastAsia="SimSun" w:hAnsi="Times New Roman"/>
        </w:rPr>
        <w:t xml:space="preserve"> </w:t>
      </w:r>
      <w:r>
        <w:rPr>
          <w:rFonts w:ascii="Times New Roman" w:eastAsia="SimSun" w:hAnsi="Times New Roman"/>
        </w:rPr>
        <w:t>Indeed, i</w:t>
      </w:r>
      <w:r w:rsidRPr="00E4462B">
        <w:rPr>
          <w:rFonts w:ascii="Times New Roman" w:eastAsia="SimSun" w:hAnsi="Times New Roman"/>
        </w:rPr>
        <w:t>n the short term, the effects of weather on utility revenues can go either way.  Customers can benefit</w:t>
      </w:r>
      <w:r w:rsidR="00B169E7">
        <w:rPr>
          <w:rFonts w:ascii="Times New Roman" w:eastAsia="SimSun" w:hAnsi="Times New Roman"/>
        </w:rPr>
        <w:t xml:space="preserve"> under decoupling</w:t>
      </w:r>
      <w:r w:rsidRPr="00E4462B">
        <w:rPr>
          <w:rFonts w:ascii="Times New Roman" w:eastAsia="SimSun" w:hAnsi="Times New Roman"/>
        </w:rPr>
        <w:t xml:space="preserve"> if weather is colder than normal causing increased usage in the cold weather months, and </w:t>
      </w:r>
      <w:r>
        <w:rPr>
          <w:rFonts w:ascii="Times New Roman" w:eastAsia="SimSun" w:hAnsi="Times New Roman"/>
        </w:rPr>
        <w:t xml:space="preserve">PSE </w:t>
      </w:r>
      <w:r w:rsidRPr="00E4462B">
        <w:rPr>
          <w:rFonts w:ascii="Times New Roman" w:eastAsia="SimSun" w:hAnsi="Times New Roman"/>
        </w:rPr>
        <w:t xml:space="preserve">can benefit if weather is warmer than normal.  Equity </w:t>
      </w:r>
      <w:r w:rsidR="00EE2867">
        <w:rPr>
          <w:rFonts w:ascii="Times New Roman" w:eastAsia="SimSun" w:hAnsi="Times New Roman"/>
        </w:rPr>
        <w:t xml:space="preserve">and debt </w:t>
      </w:r>
      <w:r w:rsidRPr="00E4462B">
        <w:rPr>
          <w:rFonts w:ascii="Times New Roman" w:eastAsia="SimSun" w:hAnsi="Times New Roman"/>
        </w:rPr>
        <w:t xml:space="preserve">investors take a longer view </w:t>
      </w:r>
      <w:r w:rsidR="00EE2867">
        <w:rPr>
          <w:rFonts w:ascii="Times New Roman" w:eastAsia="SimSun" w:hAnsi="Times New Roman"/>
        </w:rPr>
        <w:t xml:space="preserve">that </w:t>
      </w:r>
      <w:r w:rsidRPr="00E4462B">
        <w:rPr>
          <w:rFonts w:ascii="Times New Roman" w:eastAsia="SimSun" w:hAnsi="Times New Roman"/>
        </w:rPr>
        <w:t xml:space="preserve">over the long term, the effects of weather on utility revenues will cancel out or </w:t>
      </w:r>
      <w:proofErr w:type="gramStart"/>
      <w:r w:rsidRPr="00E4462B">
        <w:rPr>
          <w:rFonts w:ascii="Times New Roman" w:eastAsia="SimSun" w:hAnsi="Times New Roman"/>
        </w:rPr>
        <w:t>be averaged</w:t>
      </w:r>
      <w:proofErr w:type="gramEnd"/>
      <w:r w:rsidRPr="00E4462B">
        <w:rPr>
          <w:rFonts w:ascii="Times New Roman" w:eastAsia="SimSun" w:hAnsi="Times New Roman"/>
        </w:rPr>
        <w:t xml:space="preserve"> away over time.  Thus, over time, the portion of decoupling revenue adjustments attributable to weather has no material long-term effect on utility revenues or cash flows and </w:t>
      </w:r>
      <w:proofErr w:type="gramStart"/>
      <w:r w:rsidRPr="00E4462B">
        <w:rPr>
          <w:rFonts w:ascii="Times New Roman" w:eastAsia="SimSun" w:hAnsi="Times New Roman"/>
        </w:rPr>
        <w:t>can be disregarded</w:t>
      </w:r>
      <w:proofErr w:type="gramEnd"/>
      <w:r w:rsidRPr="00E4462B">
        <w:rPr>
          <w:rFonts w:ascii="Times New Roman" w:eastAsia="SimSun" w:hAnsi="Times New Roman"/>
        </w:rPr>
        <w:t xml:space="preserve"> in terms of assessing any</w:t>
      </w:r>
      <w:r>
        <w:rPr>
          <w:rFonts w:ascii="Times New Roman" w:eastAsia="SimSun" w:hAnsi="Times New Roman"/>
        </w:rPr>
        <w:t xml:space="preserve"> impacts on cost of capital.</w:t>
      </w:r>
      <w:r w:rsidR="00E909A2">
        <w:rPr>
          <w:rFonts w:ascii="Times New Roman" w:eastAsia="SimSun" w:hAnsi="Times New Roman"/>
        </w:rPr>
        <w:tab/>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 xml:space="preserve">What portion of the decoupling revenue adjustments </w:t>
      </w:r>
      <w:proofErr w:type="gramStart"/>
      <w:r w:rsidRPr="00E4462B">
        <w:rPr>
          <w:rFonts w:ascii="Times New Roman" w:eastAsia="SimSun" w:hAnsi="Times New Roman"/>
        </w:rPr>
        <w:t>are not related</w:t>
      </w:r>
      <w:proofErr w:type="gramEnd"/>
      <w:r w:rsidRPr="00E4462B">
        <w:rPr>
          <w:rFonts w:ascii="Times New Roman" w:eastAsia="SimSun" w:hAnsi="Times New Roman"/>
        </w:rPr>
        <w:t xml:space="preserve"> to weather?</w:t>
      </w:r>
    </w:p>
    <w:p w:rsidR="00AD2ED9"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t>Referring to Exhibit No</w:t>
      </w:r>
      <w:proofErr w:type="gramStart"/>
      <w:r w:rsidRPr="00E4462B">
        <w:rPr>
          <w:rFonts w:ascii="Times New Roman" w:eastAsia="SimSun" w:hAnsi="Times New Roman"/>
        </w:rPr>
        <w:t>.</w:t>
      </w:r>
      <w:r w:rsidR="00AD2ED9">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B57375">
        <w:rPr>
          <w:rFonts w:ascii="Times New Roman" w:eastAsia="SimSun" w:hAnsi="Times New Roman"/>
        </w:rPr>
        <w:t>7</w:t>
      </w:r>
      <w:r w:rsidRPr="00E4462B">
        <w:rPr>
          <w:rFonts w:ascii="Times New Roman" w:eastAsia="SimSun" w:hAnsi="Times New Roman"/>
        </w:rPr>
        <w:t>), the portion of decoupling revenue adjustments unrelated to weather are approximately $</w:t>
      </w:r>
      <w:r w:rsidR="00FA3A01" w:rsidRPr="00A34BD3">
        <w:rPr>
          <w:rFonts w:ascii="Times New Roman" w:eastAsia="SimSun" w:hAnsi="Times New Roman"/>
        </w:rPr>
        <w:t>7</w:t>
      </w:r>
      <w:r w:rsidR="00B169E7" w:rsidRPr="00A34BD3">
        <w:rPr>
          <w:rFonts w:ascii="Times New Roman" w:eastAsia="SimSun" w:hAnsi="Times New Roman"/>
        </w:rPr>
        <w:t>.</w:t>
      </w:r>
      <w:r w:rsidR="00FA3A01" w:rsidRPr="00A34BD3">
        <w:rPr>
          <w:rFonts w:ascii="Times New Roman" w:eastAsia="SimSun" w:hAnsi="Times New Roman"/>
        </w:rPr>
        <w:t>0</w:t>
      </w:r>
      <w:r w:rsidR="00AD2ED9">
        <w:rPr>
          <w:rFonts w:ascii="Times New Roman" w:eastAsia="SimSun" w:hAnsi="Times New Roman"/>
        </w:rPr>
        <w:t> </w:t>
      </w:r>
      <w:r w:rsidRPr="00E4462B">
        <w:rPr>
          <w:rFonts w:ascii="Times New Roman" w:eastAsia="SimSun" w:hAnsi="Times New Roman"/>
        </w:rPr>
        <w:t>million and negative $</w:t>
      </w:r>
      <w:r w:rsidR="00B169E7">
        <w:rPr>
          <w:rFonts w:ascii="Times New Roman" w:eastAsia="SimSun" w:hAnsi="Times New Roman"/>
        </w:rPr>
        <w:t>8.9</w:t>
      </w:r>
      <w:r w:rsidR="00AD2ED9">
        <w:rPr>
          <w:rFonts w:ascii="Times New Roman" w:eastAsia="SimSun" w:hAnsi="Times New Roman"/>
        </w:rPr>
        <w:t> </w:t>
      </w:r>
      <w:r w:rsidRPr="00E4462B">
        <w:rPr>
          <w:rFonts w:ascii="Times New Roman" w:eastAsia="SimSun" w:hAnsi="Times New Roman"/>
        </w:rPr>
        <w:t>million for the electric and gas mechanisms, respectively.  In other words, excluding the effects of weather, PSE reduced overall gas revenues by $</w:t>
      </w:r>
      <w:r w:rsidR="00B169E7">
        <w:rPr>
          <w:rFonts w:ascii="Times New Roman" w:eastAsia="SimSun" w:hAnsi="Times New Roman"/>
        </w:rPr>
        <w:t>8.9</w:t>
      </w:r>
      <w:r w:rsidR="00AD2ED9">
        <w:rPr>
          <w:rFonts w:ascii="Times New Roman" w:eastAsia="SimSun" w:hAnsi="Times New Roman"/>
        </w:rPr>
        <w:t> </w:t>
      </w:r>
      <w:r w:rsidRPr="00E4462B">
        <w:rPr>
          <w:rFonts w:ascii="Times New Roman" w:eastAsia="SimSun" w:hAnsi="Times New Roman"/>
        </w:rPr>
        <w:t>million through negative decoupling revenue adjustments</w:t>
      </w:r>
      <w:r w:rsidR="00C128EA">
        <w:rPr>
          <w:rFonts w:ascii="Times New Roman" w:eastAsia="SimSun" w:hAnsi="Times New Roman"/>
        </w:rPr>
        <w:t xml:space="preserve"> and increased overall electric revenues by $</w:t>
      </w:r>
      <w:r w:rsidR="007F2BD8">
        <w:rPr>
          <w:rFonts w:ascii="Times New Roman" w:eastAsia="SimSun" w:hAnsi="Times New Roman"/>
        </w:rPr>
        <w:t>7.0</w:t>
      </w:r>
      <w:r w:rsidR="00C128EA">
        <w:rPr>
          <w:rFonts w:ascii="Times New Roman" w:eastAsia="SimSun" w:hAnsi="Times New Roman"/>
        </w:rPr>
        <w:t xml:space="preserve"> million</w:t>
      </w:r>
      <w:r w:rsidRPr="00E4462B">
        <w:rPr>
          <w:rFonts w:ascii="Times New Roman" w:eastAsia="SimSun" w:hAnsi="Times New Roman"/>
        </w:rPr>
        <w:t>.</w:t>
      </w:r>
    </w:p>
    <w:p w:rsidR="00E4462B" w:rsidRDefault="00E4462B" w:rsidP="00AD2ED9">
      <w:pPr>
        <w:pStyle w:val="answer"/>
        <w:ind w:firstLine="0"/>
        <w:rPr>
          <w:rFonts w:ascii="Times New Roman" w:eastAsia="SimSun" w:hAnsi="Times New Roman"/>
        </w:rPr>
      </w:pPr>
      <w:r w:rsidRPr="00E4462B">
        <w:rPr>
          <w:rFonts w:ascii="Times New Roman" w:eastAsia="SimSun" w:hAnsi="Times New Roman"/>
        </w:rPr>
        <w:t>Overall, the combined net effects of PSE</w:t>
      </w:r>
      <w:r w:rsidR="00A14EBD">
        <w:rPr>
          <w:rFonts w:ascii="Times New Roman" w:eastAsia="SimSun" w:hAnsi="Times New Roman"/>
        </w:rPr>
        <w:t>’</w:t>
      </w:r>
      <w:r w:rsidRPr="00E4462B">
        <w:rPr>
          <w:rFonts w:ascii="Times New Roman" w:eastAsia="SimSun" w:hAnsi="Times New Roman"/>
        </w:rPr>
        <w:t>s electric and gas decoupling mechanisms over this period of time</w:t>
      </w:r>
      <w:r w:rsidR="00AD2ED9">
        <w:rPr>
          <w:rFonts w:ascii="Times New Roman" w:eastAsia="SimSun" w:hAnsi="Times New Roman"/>
        </w:rPr>
        <w:t>—</w:t>
      </w:r>
      <w:r w:rsidRPr="00E4462B">
        <w:rPr>
          <w:rFonts w:ascii="Times New Roman" w:eastAsia="SimSun" w:hAnsi="Times New Roman"/>
        </w:rPr>
        <w:t>excluding the effects of weather</w:t>
      </w:r>
      <w:r w:rsidR="00AD2ED9">
        <w:rPr>
          <w:rFonts w:ascii="Times New Roman" w:eastAsia="SimSun" w:hAnsi="Times New Roman"/>
        </w:rPr>
        <w:t>—</w:t>
      </w:r>
      <w:r w:rsidRPr="00E4462B">
        <w:rPr>
          <w:rFonts w:ascii="Times New Roman" w:eastAsia="SimSun" w:hAnsi="Times New Roman"/>
        </w:rPr>
        <w:t>was approximately a $</w:t>
      </w:r>
      <w:r w:rsidR="00FA3A01">
        <w:rPr>
          <w:rFonts w:ascii="Times New Roman" w:eastAsia="SimSun" w:hAnsi="Times New Roman"/>
        </w:rPr>
        <w:t>1.9</w:t>
      </w:r>
      <w:r w:rsidR="00B169E7">
        <w:rPr>
          <w:rFonts w:ascii="Times New Roman" w:eastAsia="SimSun" w:hAnsi="Times New Roman"/>
        </w:rPr>
        <w:t> </w:t>
      </w:r>
      <w:r w:rsidRPr="00E4462B">
        <w:rPr>
          <w:rFonts w:ascii="Times New Roman" w:eastAsia="SimSun" w:hAnsi="Times New Roman"/>
        </w:rPr>
        <w:t xml:space="preserve">million </w:t>
      </w:r>
      <w:r w:rsidR="007F2BD8">
        <w:rPr>
          <w:rFonts w:ascii="Times New Roman" w:eastAsia="SimSun" w:hAnsi="Times New Roman"/>
        </w:rPr>
        <w:t>refund</w:t>
      </w:r>
      <w:r w:rsidR="007F2BD8" w:rsidRPr="00E4462B">
        <w:rPr>
          <w:rFonts w:ascii="Times New Roman" w:eastAsia="SimSun" w:hAnsi="Times New Roman"/>
        </w:rPr>
        <w:t xml:space="preserve"> </w:t>
      </w:r>
      <w:r w:rsidRPr="00E4462B">
        <w:rPr>
          <w:rFonts w:ascii="Times New Roman" w:eastAsia="SimSun" w:hAnsi="Times New Roman"/>
        </w:rPr>
        <w:t xml:space="preserve">to customers. </w:t>
      </w:r>
      <w:r w:rsidR="00AD2ED9">
        <w:rPr>
          <w:rFonts w:ascii="Times New Roman" w:eastAsia="SimSun" w:hAnsi="Times New Roman"/>
        </w:rPr>
        <w:t xml:space="preserve"> </w:t>
      </w:r>
      <w:r w:rsidRPr="00E4462B">
        <w:rPr>
          <w:rFonts w:ascii="Times New Roman" w:eastAsia="SimSun" w:hAnsi="Times New Roman"/>
        </w:rPr>
        <w:t>This represents:  (</w:t>
      </w:r>
      <w:proofErr w:type="spellStart"/>
      <w:r w:rsidRPr="00E4462B">
        <w:rPr>
          <w:rFonts w:ascii="Times New Roman" w:eastAsia="SimSun" w:hAnsi="Times New Roman"/>
        </w:rPr>
        <w:t>i</w:t>
      </w:r>
      <w:proofErr w:type="spellEnd"/>
      <w:r w:rsidRPr="00E4462B">
        <w:rPr>
          <w:rFonts w:ascii="Times New Roman" w:eastAsia="SimSun" w:hAnsi="Times New Roman"/>
        </w:rPr>
        <w:t>)</w:t>
      </w:r>
      <w:r w:rsidR="00FA3A01">
        <w:rPr>
          <w:rFonts w:ascii="Times New Roman" w:eastAsia="SimSun" w:hAnsi="Times New Roman"/>
        </w:rPr>
        <w:t> </w:t>
      </w:r>
      <w:r w:rsidR="009A07EB">
        <w:rPr>
          <w:rFonts w:ascii="Times New Roman" w:eastAsia="SimSun" w:hAnsi="Times New Roman"/>
        </w:rPr>
        <w:t>0</w:t>
      </w:r>
      <w:r w:rsidR="00FA3A01">
        <w:rPr>
          <w:rFonts w:ascii="Times New Roman" w:eastAsia="SimSun" w:hAnsi="Times New Roman"/>
        </w:rPr>
        <w:t>.06</w:t>
      </w:r>
      <w:r w:rsidR="00B169E7" w:rsidRPr="00E4462B">
        <w:rPr>
          <w:rFonts w:ascii="Times New Roman" w:eastAsia="SimSun" w:hAnsi="Times New Roman"/>
        </w:rPr>
        <w:t xml:space="preserve">% </w:t>
      </w:r>
      <w:r w:rsidRPr="00E4462B">
        <w:rPr>
          <w:rFonts w:ascii="Times New Roman" w:eastAsia="SimSun" w:hAnsi="Times New Roman"/>
        </w:rPr>
        <w:t xml:space="preserve">of </w:t>
      </w:r>
      <w:r w:rsidRPr="00E4462B">
        <w:rPr>
          <w:rFonts w:ascii="Times New Roman" w:eastAsia="SimSun" w:hAnsi="Times New Roman"/>
        </w:rPr>
        <w:lastRenderedPageBreak/>
        <w:t>total electric and gas revenues; (ii)</w:t>
      </w:r>
      <w:r w:rsidR="00FA3A01">
        <w:rPr>
          <w:rFonts w:ascii="Times New Roman" w:eastAsia="SimSun" w:hAnsi="Times New Roman"/>
        </w:rPr>
        <w:t> </w:t>
      </w:r>
      <w:r w:rsidR="009A07EB">
        <w:rPr>
          <w:rFonts w:ascii="Times New Roman" w:eastAsia="SimSun" w:hAnsi="Times New Roman"/>
        </w:rPr>
        <w:t>0</w:t>
      </w:r>
      <w:r w:rsidR="00B169E7">
        <w:rPr>
          <w:rFonts w:ascii="Times New Roman" w:eastAsia="SimSun" w:hAnsi="Times New Roman"/>
        </w:rPr>
        <w:t>.0</w:t>
      </w:r>
      <w:r w:rsidR="00FA3A01">
        <w:rPr>
          <w:rFonts w:ascii="Times New Roman" w:eastAsia="SimSun" w:hAnsi="Times New Roman"/>
        </w:rPr>
        <w:t>3</w:t>
      </w:r>
      <w:r w:rsidR="00B169E7" w:rsidRPr="00E4462B">
        <w:rPr>
          <w:rFonts w:ascii="Times New Roman" w:eastAsia="SimSun" w:hAnsi="Times New Roman"/>
        </w:rPr>
        <w:t xml:space="preserve">% </w:t>
      </w:r>
      <w:r w:rsidRPr="00E4462B">
        <w:rPr>
          <w:rFonts w:ascii="Times New Roman" w:eastAsia="SimSun" w:hAnsi="Times New Roman"/>
        </w:rPr>
        <w:t>of total electric and gas rate base; and (iii)</w:t>
      </w:r>
      <w:r w:rsidR="00D2194B">
        <w:rPr>
          <w:rFonts w:ascii="Times New Roman" w:eastAsia="SimSun" w:hAnsi="Times New Roman"/>
        </w:rPr>
        <w:t> </w:t>
      </w:r>
      <w:r w:rsidR="003C6670">
        <w:rPr>
          <w:rFonts w:ascii="Times New Roman" w:eastAsia="SimSun" w:hAnsi="Times New Roman"/>
        </w:rPr>
        <w:t>0</w:t>
      </w:r>
      <w:r w:rsidR="00B169E7">
        <w:rPr>
          <w:rFonts w:ascii="Times New Roman" w:eastAsia="SimSun" w:hAnsi="Times New Roman"/>
        </w:rPr>
        <w:t>.</w:t>
      </w:r>
      <w:r w:rsidR="00D2194B">
        <w:rPr>
          <w:rFonts w:ascii="Times New Roman" w:eastAsia="SimSun" w:hAnsi="Times New Roman"/>
        </w:rPr>
        <w:t>3</w:t>
      </w:r>
      <w:r w:rsidR="00B169E7">
        <w:rPr>
          <w:rFonts w:ascii="Times New Roman" w:eastAsia="SimSun" w:hAnsi="Times New Roman"/>
        </w:rPr>
        <w:t>5</w:t>
      </w:r>
      <w:r w:rsidR="00B169E7" w:rsidRPr="00E4462B">
        <w:rPr>
          <w:rFonts w:ascii="Times New Roman" w:eastAsia="SimSun" w:hAnsi="Times New Roman"/>
        </w:rPr>
        <w:t xml:space="preserve">% </w:t>
      </w:r>
      <w:r w:rsidRPr="00E4462B">
        <w:rPr>
          <w:rFonts w:ascii="Times New Roman" w:eastAsia="SimSun" w:hAnsi="Times New Roman"/>
        </w:rPr>
        <w:t>of total elec</w:t>
      </w:r>
      <w:r w:rsidR="00AD2ED9">
        <w:rPr>
          <w:rFonts w:ascii="Times New Roman" w:eastAsia="SimSun" w:hAnsi="Times New Roman"/>
        </w:rPr>
        <w:t>tric and gas operating income.</w:t>
      </w:r>
      <w:r w:rsidR="00077D66">
        <w:rPr>
          <w:rFonts w:ascii="Times New Roman" w:eastAsia="SimSun" w:hAnsi="Times New Roman"/>
        </w:rPr>
        <w:t xml:space="preserve">  Based on this analysis, it is reasonable to conclude that decoupling has </w:t>
      </w:r>
      <w:r w:rsidR="00643F51">
        <w:rPr>
          <w:rFonts w:ascii="Times New Roman" w:eastAsia="SimSun" w:hAnsi="Times New Roman"/>
        </w:rPr>
        <w:t xml:space="preserve">not had a </w:t>
      </w:r>
      <w:r w:rsidR="00077D66">
        <w:rPr>
          <w:rFonts w:ascii="Times New Roman" w:eastAsia="SimSun" w:hAnsi="Times New Roman"/>
        </w:rPr>
        <w:t>significant impact on PSE</w:t>
      </w:r>
      <w:r w:rsidR="00A14EBD">
        <w:rPr>
          <w:rFonts w:ascii="Times New Roman" w:eastAsia="SimSun" w:hAnsi="Times New Roman"/>
        </w:rPr>
        <w:t>’</w:t>
      </w:r>
      <w:r w:rsidR="00077D66">
        <w:rPr>
          <w:rFonts w:ascii="Times New Roman" w:eastAsia="SimSun" w:hAnsi="Times New Roman"/>
        </w:rPr>
        <w:t>s overall results of operation in its first year of operation and any impact on PSE</w:t>
      </w:r>
      <w:r w:rsidR="00A14EBD">
        <w:rPr>
          <w:rFonts w:ascii="Times New Roman" w:eastAsia="SimSun" w:hAnsi="Times New Roman"/>
        </w:rPr>
        <w:t>’</w:t>
      </w:r>
      <w:r w:rsidR="00077D66">
        <w:rPr>
          <w:rFonts w:ascii="Times New Roman" w:eastAsia="SimSun" w:hAnsi="Times New Roman"/>
        </w:rPr>
        <w:t xml:space="preserve">s cost of capital </w:t>
      </w:r>
      <w:r w:rsidR="00EE2867">
        <w:rPr>
          <w:rFonts w:ascii="Times New Roman" w:eastAsia="SimSun" w:hAnsi="Times New Roman"/>
        </w:rPr>
        <w:t>is not significant at this time</w:t>
      </w:r>
      <w:r w:rsidR="00A14EBD">
        <w:rPr>
          <w:rFonts w:ascii="Times New Roman" w:eastAsia="SimSun" w:hAnsi="Times New Roman"/>
        </w:rPr>
        <w:t xml:space="preserve">.  </w:t>
      </w:r>
      <w:r w:rsidR="00C128EA">
        <w:rPr>
          <w:rFonts w:ascii="Times New Roman" w:eastAsia="SimSun" w:hAnsi="Times New Roman"/>
        </w:rPr>
        <w:t>Clearly, as the Commission suggested</w:t>
      </w:r>
      <w:r w:rsidR="00B57375">
        <w:rPr>
          <w:rFonts w:ascii="Times New Roman" w:eastAsia="SimSun" w:hAnsi="Times New Roman"/>
        </w:rPr>
        <w:t>,</w:t>
      </w:r>
      <w:r w:rsidR="00C128EA">
        <w:rPr>
          <w:rFonts w:ascii="Times New Roman" w:eastAsia="SimSun" w:hAnsi="Times New Roman"/>
        </w:rPr>
        <w:t xml:space="preserve"> more time and data </w:t>
      </w:r>
      <w:proofErr w:type="gramStart"/>
      <w:r w:rsidR="00C128EA">
        <w:rPr>
          <w:rFonts w:ascii="Times New Roman" w:eastAsia="SimSun" w:hAnsi="Times New Roman"/>
        </w:rPr>
        <w:t>is needed</w:t>
      </w:r>
      <w:proofErr w:type="gramEnd"/>
      <w:r w:rsidR="00C128EA">
        <w:rPr>
          <w:rFonts w:ascii="Times New Roman" w:eastAsia="SimSun" w:hAnsi="Times New Roman"/>
        </w:rPr>
        <w:t xml:space="preserve"> before any definitive conclusions are reached related to the factually sustained effects of decoupling, if any.</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Which common rate mechanisms have a greater impact on utility risk profiles?</w:t>
      </w:r>
    </w:p>
    <w:p w:rsidR="00E4462B" w:rsidRPr="00E4462B" w:rsidRDefault="00E4462B" w:rsidP="00AD2ED9">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t xml:space="preserve">Energy </w:t>
      </w:r>
      <w:proofErr w:type="gramStart"/>
      <w:r w:rsidRPr="00E4462B">
        <w:rPr>
          <w:rFonts w:ascii="Times New Roman" w:eastAsia="SimSun" w:hAnsi="Times New Roman"/>
        </w:rPr>
        <w:t>supply risk mitigation mechanisms</w:t>
      </w:r>
      <w:proofErr w:type="gramEnd"/>
      <w:r w:rsidRPr="00E4462B">
        <w:rPr>
          <w:rFonts w:ascii="Times New Roman" w:eastAsia="SimSun" w:hAnsi="Times New Roman"/>
        </w:rPr>
        <w:t xml:space="preserve"> (e.g., power cost adjustment mechanisms or purchased gas adjustment mechanisms) have a far greater impact on utility risk profiles, both due to the greater volatility inherent in energy supply costs and due to the sheer magnitude of these costs relative to utilities</w:t>
      </w:r>
      <w:r w:rsidR="00A14EBD">
        <w:rPr>
          <w:rFonts w:ascii="Times New Roman" w:eastAsia="SimSun" w:hAnsi="Times New Roman"/>
        </w:rPr>
        <w:t>’</w:t>
      </w:r>
      <w:r w:rsidR="00AD2ED9">
        <w:rPr>
          <w:rFonts w:ascii="Times New Roman" w:eastAsia="SimSun" w:hAnsi="Times New Roman"/>
        </w:rPr>
        <w:t xml:space="preserve"> overall revenue requirements.</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How common are these types of rate mechanisms?</w:t>
      </w:r>
    </w:p>
    <w:p w:rsidR="00E4462B" w:rsidRPr="00E4462B" w:rsidRDefault="00E4462B" w:rsidP="00AD2ED9">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sidR="00AD2ED9">
        <w:rPr>
          <w:rFonts w:ascii="Times New Roman" w:eastAsia="SimSun" w:hAnsi="Times New Roman"/>
        </w:rPr>
        <w:t>These rate mechanisms are v</w:t>
      </w:r>
      <w:r w:rsidRPr="00E4462B">
        <w:rPr>
          <w:rFonts w:ascii="Times New Roman" w:eastAsia="SimSun" w:hAnsi="Times New Roman"/>
        </w:rPr>
        <w:t xml:space="preserve">ery common. </w:t>
      </w:r>
      <w:r w:rsidR="00AD2ED9">
        <w:rPr>
          <w:rFonts w:ascii="Times New Roman" w:eastAsia="SimSun" w:hAnsi="Times New Roman"/>
        </w:rPr>
        <w:t xml:space="preserve"> In fact, </w:t>
      </w:r>
      <w:r w:rsidRPr="00E4462B">
        <w:rPr>
          <w:rFonts w:ascii="Times New Roman" w:eastAsia="SimSun" w:hAnsi="Times New Roman"/>
        </w:rPr>
        <w:t xml:space="preserve">as </w:t>
      </w:r>
      <w:r w:rsidR="00A34BD3">
        <w:rPr>
          <w:rFonts w:ascii="Times New Roman" w:eastAsia="SimSun" w:hAnsi="Times New Roman"/>
        </w:rPr>
        <w:t>discussed in</w:t>
      </w:r>
      <w:r w:rsidR="00AD2ED9">
        <w:rPr>
          <w:rFonts w:ascii="Times New Roman" w:eastAsia="SimSun" w:hAnsi="Times New Roman"/>
        </w:rPr>
        <w:t xml:space="preserve"> the </w:t>
      </w:r>
      <w:proofErr w:type="spellStart"/>
      <w:r w:rsidR="00AD2ED9">
        <w:rPr>
          <w:rFonts w:ascii="Times New Roman" w:eastAsia="SimSun" w:hAnsi="Times New Roman"/>
        </w:rPr>
        <w:t>Prefiled</w:t>
      </w:r>
      <w:proofErr w:type="spellEnd"/>
      <w:r w:rsidR="00AD2ED9">
        <w:rPr>
          <w:rFonts w:ascii="Times New Roman" w:eastAsia="SimSun" w:hAnsi="Times New Roman"/>
        </w:rPr>
        <w:t xml:space="preserve"> </w:t>
      </w:r>
      <w:r w:rsidR="00AD2ED9" w:rsidRPr="00E4462B">
        <w:rPr>
          <w:rFonts w:ascii="Times New Roman" w:eastAsia="SimSun" w:hAnsi="Times New Roman"/>
        </w:rPr>
        <w:t xml:space="preserve">Direct Testimony </w:t>
      </w:r>
      <w:r w:rsidRPr="00E4462B">
        <w:rPr>
          <w:rFonts w:ascii="Times New Roman" w:eastAsia="SimSun" w:hAnsi="Times New Roman"/>
        </w:rPr>
        <w:t>of Dr.</w:t>
      </w:r>
      <w:r w:rsidR="00AD2ED9">
        <w:rPr>
          <w:rFonts w:ascii="Times New Roman" w:eastAsia="SimSun" w:hAnsi="Times New Roman"/>
        </w:rPr>
        <w:t> Michael J. Vilbert, Exhibit No</w:t>
      </w:r>
      <w:proofErr w:type="gramStart"/>
      <w:r w:rsidR="00AD2ED9">
        <w:rPr>
          <w:rFonts w:ascii="Times New Roman" w:eastAsia="SimSun" w:hAnsi="Times New Roman"/>
        </w:rPr>
        <w:t>. </w:t>
      </w:r>
      <w:proofErr w:type="gramEnd"/>
      <w:r w:rsidR="00AD2ED9">
        <w:rPr>
          <w:rFonts w:ascii="Times New Roman" w:eastAsia="SimSun" w:hAnsi="Times New Roman"/>
        </w:rPr>
        <w:t>__</w:t>
      </w:r>
      <w:proofErr w:type="gramStart"/>
      <w:r w:rsidR="00AD2ED9">
        <w:rPr>
          <w:rFonts w:ascii="Times New Roman" w:eastAsia="SimSun" w:hAnsi="Times New Roman"/>
        </w:rPr>
        <w:t>_(</w:t>
      </w:r>
      <w:proofErr w:type="gramEnd"/>
      <w:r w:rsidR="00A7773F">
        <w:rPr>
          <w:rFonts w:ascii="Times New Roman" w:eastAsia="SimSun" w:hAnsi="Times New Roman"/>
        </w:rPr>
        <w:t>MJV</w:t>
      </w:r>
      <w:r w:rsidR="00AD2ED9">
        <w:rPr>
          <w:rFonts w:ascii="Times New Roman" w:eastAsia="SimSun" w:hAnsi="Times New Roman"/>
        </w:rPr>
        <w:t>-</w:t>
      </w:r>
      <w:r w:rsidR="00FA3A01">
        <w:rPr>
          <w:rFonts w:ascii="Times New Roman" w:eastAsia="SimSun" w:hAnsi="Times New Roman"/>
        </w:rPr>
        <w:t>1T</w:t>
      </w:r>
      <w:r w:rsidR="00AD2ED9">
        <w:rPr>
          <w:rFonts w:ascii="Times New Roman" w:eastAsia="SimSun" w:hAnsi="Times New Roman"/>
        </w:rPr>
        <w:t xml:space="preserve">), </w:t>
      </w:r>
      <w:r w:rsidR="003C6670">
        <w:rPr>
          <w:rFonts w:ascii="Times New Roman" w:eastAsia="SimSun" w:hAnsi="Times New Roman"/>
        </w:rPr>
        <w:t xml:space="preserve">100% of the </w:t>
      </w:r>
      <w:r w:rsidRPr="00E4462B">
        <w:rPr>
          <w:rFonts w:ascii="Times New Roman" w:eastAsia="SimSun" w:hAnsi="Times New Roman"/>
        </w:rPr>
        <w:t>proxy compan</w:t>
      </w:r>
      <w:r w:rsidR="003C6670">
        <w:rPr>
          <w:rFonts w:ascii="Times New Roman" w:eastAsia="SimSun" w:hAnsi="Times New Roman"/>
        </w:rPr>
        <w:t>ies</w:t>
      </w:r>
      <w:r w:rsidRPr="00E4462B">
        <w:rPr>
          <w:rFonts w:ascii="Times New Roman" w:eastAsia="SimSun" w:hAnsi="Times New Roman"/>
        </w:rPr>
        <w:t xml:space="preserve"> used by Dr.</w:t>
      </w:r>
      <w:r w:rsidR="00AD2ED9">
        <w:rPr>
          <w:rFonts w:ascii="Times New Roman" w:eastAsia="SimSun" w:hAnsi="Times New Roman"/>
        </w:rPr>
        <w:t> </w:t>
      </w:r>
      <w:r w:rsidRPr="00E4462B">
        <w:rPr>
          <w:rFonts w:ascii="Times New Roman" w:eastAsia="SimSun" w:hAnsi="Times New Roman"/>
        </w:rPr>
        <w:t>Morin</w:t>
      </w:r>
      <w:r w:rsidR="00A14EBD">
        <w:rPr>
          <w:rFonts w:ascii="Times New Roman" w:eastAsia="SimSun" w:hAnsi="Times New Roman"/>
        </w:rPr>
        <w:t>’</w:t>
      </w:r>
      <w:r w:rsidR="00AD2ED9">
        <w:rPr>
          <w:rFonts w:ascii="Times New Roman" w:eastAsia="SimSun" w:hAnsi="Times New Roman"/>
        </w:rPr>
        <w:t>s</w:t>
      </w:r>
      <w:r w:rsidRPr="00E4462B">
        <w:rPr>
          <w:rFonts w:ascii="Times New Roman" w:eastAsia="SimSun" w:hAnsi="Times New Roman"/>
        </w:rPr>
        <w:t xml:space="preserve"> </w:t>
      </w:r>
      <w:r w:rsidR="00AD2ED9">
        <w:rPr>
          <w:rFonts w:ascii="Times New Roman" w:eastAsia="SimSun" w:hAnsi="Times New Roman"/>
        </w:rPr>
        <w:t xml:space="preserve">cost of capital </w:t>
      </w:r>
      <w:r w:rsidRPr="00E4462B">
        <w:rPr>
          <w:rFonts w:ascii="Times New Roman" w:eastAsia="SimSun" w:hAnsi="Times New Roman"/>
        </w:rPr>
        <w:t xml:space="preserve">analysis has a </w:t>
      </w:r>
      <w:r w:rsidR="003C6670">
        <w:rPr>
          <w:rFonts w:ascii="Times New Roman" w:eastAsia="SimSun" w:hAnsi="Times New Roman"/>
        </w:rPr>
        <w:t xml:space="preserve">subsidiary </w:t>
      </w:r>
      <w:r w:rsidRPr="00E4462B">
        <w:rPr>
          <w:rFonts w:ascii="Times New Roman" w:eastAsia="SimSun" w:hAnsi="Times New Roman"/>
        </w:rPr>
        <w:t>utility with an approved energy su</w:t>
      </w:r>
      <w:r w:rsidR="00AD2ED9">
        <w:rPr>
          <w:rFonts w:ascii="Times New Roman" w:eastAsia="SimSun" w:hAnsi="Times New Roman"/>
        </w:rPr>
        <w:t>pply risk mitigation mechanism.</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lastRenderedPageBreak/>
        <w:t>Q.</w:t>
      </w:r>
      <w:r w:rsidRPr="00E4462B">
        <w:rPr>
          <w:rFonts w:ascii="Times New Roman" w:eastAsia="SimSun" w:hAnsi="Times New Roman"/>
        </w:rPr>
        <w:tab/>
        <w:t xml:space="preserve">Do any of these proxy companies also have </w:t>
      </w:r>
      <w:r w:rsidR="00AD2ED9">
        <w:rPr>
          <w:rFonts w:ascii="Times New Roman" w:eastAsia="SimSun" w:hAnsi="Times New Roman"/>
        </w:rPr>
        <w:t xml:space="preserve">utilities </w:t>
      </w:r>
      <w:r w:rsidRPr="00E4462B">
        <w:rPr>
          <w:rFonts w:ascii="Times New Roman" w:eastAsia="SimSun" w:hAnsi="Times New Roman"/>
        </w:rPr>
        <w:t>with approved revenue decoupling mechanisms?</w:t>
      </w:r>
    </w:p>
    <w:p w:rsidR="00E4462B" w:rsidRPr="00E4462B" w:rsidRDefault="00E4462B" w:rsidP="00AD2ED9">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Yes.</w:t>
      </w:r>
      <w:proofErr w:type="gramEnd"/>
      <w:r w:rsidRPr="00E4462B">
        <w:rPr>
          <w:rFonts w:ascii="Times New Roman" w:eastAsia="SimSun" w:hAnsi="Times New Roman"/>
        </w:rPr>
        <w:t xml:space="preserve">  As discussed in the </w:t>
      </w:r>
      <w:proofErr w:type="spellStart"/>
      <w:r w:rsidR="00AB6570">
        <w:rPr>
          <w:rFonts w:ascii="Times New Roman" w:eastAsia="SimSun" w:hAnsi="Times New Roman"/>
        </w:rPr>
        <w:t>P</w:t>
      </w:r>
      <w:r w:rsidRPr="00E4462B">
        <w:rPr>
          <w:rFonts w:ascii="Times New Roman" w:eastAsia="SimSun" w:hAnsi="Times New Roman"/>
        </w:rPr>
        <w:t>refiled</w:t>
      </w:r>
      <w:proofErr w:type="spellEnd"/>
      <w:r w:rsidRPr="00E4462B">
        <w:rPr>
          <w:rFonts w:ascii="Times New Roman" w:eastAsia="SimSun" w:hAnsi="Times New Roman"/>
        </w:rPr>
        <w:t xml:space="preserve"> </w:t>
      </w:r>
      <w:r w:rsidR="00AB6570">
        <w:rPr>
          <w:rFonts w:ascii="Times New Roman" w:eastAsia="SimSun" w:hAnsi="Times New Roman"/>
        </w:rPr>
        <w:t>D</w:t>
      </w:r>
      <w:r w:rsidRPr="00E4462B">
        <w:rPr>
          <w:rFonts w:ascii="Times New Roman" w:eastAsia="SimSun" w:hAnsi="Times New Roman"/>
        </w:rPr>
        <w:t xml:space="preserve">irect </w:t>
      </w:r>
      <w:r w:rsidR="00AB6570">
        <w:rPr>
          <w:rFonts w:ascii="Times New Roman" w:eastAsia="SimSun" w:hAnsi="Times New Roman"/>
        </w:rPr>
        <w:t>T</w:t>
      </w:r>
      <w:r w:rsidRPr="00E4462B">
        <w:rPr>
          <w:rFonts w:ascii="Times New Roman" w:eastAsia="SimSun" w:hAnsi="Times New Roman"/>
        </w:rPr>
        <w:t>estimony of Dr.</w:t>
      </w:r>
      <w:r w:rsidR="00AB6570">
        <w:rPr>
          <w:rFonts w:ascii="Times New Roman" w:eastAsia="SimSun" w:hAnsi="Times New Roman"/>
        </w:rPr>
        <w:t> Michael J. Vilbert, Exhibit No</w:t>
      </w:r>
      <w:proofErr w:type="gramStart"/>
      <w:r w:rsidR="00AB6570">
        <w:rPr>
          <w:rFonts w:ascii="Times New Roman" w:eastAsia="SimSun" w:hAnsi="Times New Roman"/>
        </w:rPr>
        <w:t>. </w:t>
      </w:r>
      <w:proofErr w:type="gramEnd"/>
      <w:r w:rsidR="00AB6570">
        <w:rPr>
          <w:rFonts w:ascii="Times New Roman" w:eastAsia="SimSun" w:hAnsi="Times New Roman"/>
        </w:rPr>
        <w:t>___(MJ</w:t>
      </w:r>
      <w:r w:rsidR="00FA3A01">
        <w:rPr>
          <w:rFonts w:ascii="Times New Roman" w:eastAsia="SimSun" w:hAnsi="Times New Roman"/>
        </w:rPr>
        <w:t>V</w:t>
      </w:r>
      <w:r w:rsidR="00AB6570">
        <w:rPr>
          <w:rFonts w:ascii="Times New Roman" w:eastAsia="SimSun" w:hAnsi="Times New Roman"/>
        </w:rPr>
        <w:t xml:space="preserve">-1T), </w:t>
      </w:r>
      <w:r w:rsidR="006B12B2">
        <w:rPr>
          <w:rFonts w:ascii="Times New Roman" w:eastAsia="SimSun" w:hAnsi="Times New Roman"/>
        </w:rPr>
        <w:t xml:space="preserve">a majority </w:t>
      </w:r>
      <w:r w:rsidRPr="00E4462B">
        <w:rPr>
          <w:rFonts w:ascii="Times New Roman" w:eastAsia="SimSun" w:hAnsi="Times New Roman"/>
        </w:rPr>
        <w:t xml:space="preserve">of the </w:t>
      </w:r>
      <w:bookmarkStart w:id="7" w:name="_GoBack"/>
      <w:bookmarkEnd w:id="7"/>
      <w:r w:rsidRPr="00E4462B">
        <w:rPr>
          <w:rFonts w:ascii="Times New Roman" w:eastAsia="SimSun" w:hAnsi="Times New Roman"/>
        </w:rPr>
        <w:t>proxy companies used in Dr. Morin</w:t>
      </w:r>
      <w:r w:rsidR="00A14EBD">
        <w:rPr>
          <w:rFonts w:ascii="Times New Roman" w:eastAsia="SimSun" w:hAnsi="Times New Roman"/>
        </w:rPr>
        <w:t>’</w:t>
      </w:r>
      <w:r w:rsidRPr="00E4462B">
        <w:rPr>
          <w:rFonts w:ascii="Times New Roman" w:eastAsia="SimSun" w:hAnsi="Times New Roman"/>
        </w:rPr>
        <w:t xml:space="preserve">s </w:t>
      </w:r>
      <w:r w:rsidR="00AB6570">
        <w:rPr>
          <w:rFonts w:ascii="Times New Roman" w:eastAsia="SimSun" w:hAnsi="Times New Roman"/>
        </w:rPr>
        <w:t xml:space="preserve">cost of capital </w:t>
      </w:r>
      <w:r w:rsidRPr="00E4462B">
        <w:rPr>
          <w:rFonts w:ascii="Times New Roman" w:eastAsia="SimSun" w:hAnsi="Times New Roman"/>
        </w:rPr>
        <w:t>analysis have subsidiaries with decoupling mechanisms.  Accordingly, the cost of capital effects</w:t>
      </w:r>
      <w:r w:rsidR="00AB6570">
        <w:rPr>
          <w:rFonts w:ascii="Times New Roman" w:eastAsia="SimSun" w:hAnsi="Times New Roman"/>
        </w:rPr>
        <w:t xml:space="preserve"> from alternative forms of rate</w:t>
      </w:r>
      <w:r w:rsidRPr="00E4462B">
        <w:rPr>
          <w:rFonts w:ascii="Times New Roman" w:eastAsia="SimSun" w:hAnsi="Times New Roman"/>
        </w:rPr>
        <w:t>making such as decoupling are already embedded in the cost of capital information that comprised the peer group</w:t>
      </w:r>
      <w:r w:rsidR="00AB6570">
        <w:rPr>
          <w:rFonts w:ascii="Times New Roman" w:eastAsia="SimSun" w:hAnsi="Times New Roman"/>
        </w:rPr>
        <w:t>s</w:t>
      </w:r>
      <w:r w:rsidRPr="00E4462B">
        <w:rPr>
          <w:rFonts w:ascii="Times New Roman" w:eastAsia="SimSun" w:hAnsi="Times New Roman"/>
        </w:rPr>
        <w:t xml:space="preserve"> in Dr. Morin</w:t>
      </w:r>
      <w:r w:rsidR="00A14EBD">
        <w:rPr>
          <w:rFonts w:ascii="Times New Roman" w:eastAsia="SimSun" w:hAnsi="Times New Roman"/>
        </w:rPr>
        <w:t>’</w:t>
      </w:r>
      <w:r w:rsidRPr="00E4462B">
        <w:rPr>
          <w:rFonts w:ascii="Times New Roman" w:eastAsia="SimSun" w:hAnsi="Times New Roman"/>
        </w:rPr>
        <w:t>s testimony.</w:t>
      </w:r>
    </w:p>
    <w:p w:rsidR="00E4462B" w:rsidRPr="00E4462B" w:rsidRDefault="00AB6570" w:rsidP="00E4462B">
      <w:pPr>
        <w:pStyle w:val="question"/>
        <w:keepNext/>
        <w:keepLines/>
        <w:spacing w:before="120"/>
        <w:rPr>
          <w:rFonts w:ascii="Times New Roman" w:hAnsi="Times New Roman"/>
        </w:rPr>
      </w:pPr>
      <w:proofErr w:type="gramStart"/>
      <w:r>
        <w:rPr>
          <w:rFonts w:ascii="Times New Roman" w:eastAsia="SimSun" w:hAnsi="Times New Roman"/>
        </w:rPr>
        <w:t>Q.</w:t>
      </w:r>
      <w:r>
        <w:rPr>
          <w:rFonts w:ascii="Times New Roman" w:eastAsia="SimSun" w:hAnsi="Times New Roman"/>
        </w:rPr>
        <w:tab/>
      </w:r>
      <w:r w:rsidR="00E4462B" w:rsidRPr="00E4462B">
        <w:rPr>
          <w:rFonts w:ascii="Times New Roman" w:eastAsia="SimSun" w:hAnsi="Times New Roman"/>
        </w:rPr>
        <w:t>Please</w:t>
      </w:r>
      <w:proofErr w:type="gramEnd"/>
      <w:r w:rsidR="00E4462B" w:rsidRPr="00E4462B">
        <w:rPr>
          <w:rFonts w:ascii="Times New Roman" w:eastAsia="SimSun" w:hAnsi="Times New Roman"/>
        </w:rPr>
        <w:t xml:space="preserve"> summarize why the Commission should disregard the hypothetical effects of PSE</w:t>
      </w:r>
      <w:r w:rsidR="00A14EBD">
        <w:rPr>
          <w:rFonts w:ascii="Times New Roman" w:eastAsia="SimSun" w:hAnsi="Times New Roman"/>
        </w:rPr>
        <w:t>’</w:t>
      </w:r>
      <w:r w:rsidR="00E4462B" w:rsidRPr="00E4462B">
        <w:rPr>
          <w:rFonts w:ascii="Times New Roman" w:eastAsia="SimSun" w:hAnsi="Times New Roman"/>
        </w:rPr>
        <w:t>s decoupling mechanisms on PSE</w:t>
      </w:r>
      <w:r w:rsidR="00A14EBD">
        <w:rPr>
          <w:rFonts w:ascii="Times New Roman" w:eastAsia="SimSun" w:hAnsi="Times New Roman"/>
        </w:rPr>
        <w:t>’</w:t>
      </w:r>
      <w:r w:rsidR="00E4462B" w:rsidRPr="00E4462B">
        <w:rPr>
          <w:rFonts w:ascii="Times New Roman" w:eastAsia="SimSun" w:hAnsi="Times New Roman"/>
        </w:rPr>
        <w:t>s cost of capital in this proceeding.</w:t>
      </w:r>
    </w:p>
    <w:p w:rsidR="007845E6" w:rsidRDefault="00E4462B" w:rsidP="007845E6">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Certainly.</w:t>
      </w:r>
      <w:proofErr w:type="gramEnd"/>
      <w:r w:rsidRPr="00E4462B">
        <w:rPr>
          <w:rFonts w:ascii="Times New Roman" w:eastAsia="SimSun" w:hAnsi="Times New Roman"/>
        </w:rPr>
        <w:t xml:space="preserve">  </w:t>
      </w:r>
      <w:r w:rsidR="00353BB7">
        <w:rPr>
          <w:rFonts w:ascii="Times New Roman" w:eastAsia="SimSun" w:hAnsi="Times New Roman"/>
        </w:rPr>
        <w:t>The Commission appropriately determined in Order 07 that it should wait until PSE</w:t>
      </w:r>
      <w:r w:rsidR="00A14EBD">
        <w:rPr>
          <w:rFonts w:ascii="Times New Roman" w:eastAsia="SimSun" w:hAnsi="Times New Roman"/>
        </w:rPr>
        <w:t>’</w:t>
      </w:r>
      <w:r w:rsidR="00353BB7">
        <w:rPr>
          <w:rFonts w:ascii="Times New Roman" w:eastAsia="SimSun" w:hAnsi="Times New Roman"/>
        </w:rPr>
        <w:t>s next general rate case in 2015-2016 to evaluate the actual effects of decoupling on cost of capital</w:t>
      </w:r>
      <w:r w:rsidR="00A7773F">
        <w:rPr>
          <w:rFonts w:ascii="Times New Roman" w:eastAsia="SimSun" w:hAnsi="Times New Roman"/>
        </w:rPr>
        <w:t xml:space="preserve">, rather than prospectively adjust cost of capital based on hypothetical effects that decoupling </w:t>
      </w:r>
      <w:proofErr w:type="gramStart"/>
      <w:r w:rsidR="00A7773F" w:rsidRPr="00036984">
        <w:rPr>
          <w:rFonts w:ascii="Times New Roman" w:eastAsia="SimSun" w:hAnsi="Times New Roman"/>
          <w:u w:val="single"/>
        </w:rPr>
        <w:t>may</w:t>
      </w:r>
      <w:proofErr w:type="gramEnd"/>
      <w:r w:rsidR="00A7773F">
        <w:rPr>
          <w:rFonts w:ascii="Times New Roman" w:eastAsia="SimSun" w:hAnsi="Times New Roman"/>
        </w:rPr>
        <w:t xml:space="preserve"> have on cost of capital.</w:t>
      </w:r>
    </w:p>
    <w:p w:rsidR="00E4462B" w:rsidRPr="00E4462B" w:rsidRDefault="00A7773F" w:rsidP="00F81A2D">
      <w:pPr>
        <w:pStyle w:val="answer"/>
        <w:ind w:firstLine="0"/>
        <w:rPr>
          <w:rFonts w:ascii="Times New Roman" w:eastAsia="SimSun" w:hAnsi="Times New Roman"/>
        </w:rPr>
      </w:pPr>
      <w:r>
        <w:rPr>
          <w:rFonts w:ascii="Times New Roman" w:eastAsia="SimSun" w:hAnsi="Times New Roman"/>
        </w:rPr>
        <w:t>If the Commission elects to change its approach and further consider this issue in the remand proceeding,</w:t>
      </w:r>
      <w:r w:rsidR="00353BB7">
        <w:rPr>
          <w:rFonts w:ascii="Times New Roman" w:eastAsia="SimSun" w:hAnsi="Times New Roman"/>
        </w:rPr>
        <w:t xml:space="preserve"> </w:t>
      </w:r>
      <w:r>
        <w:rPr>
          <w:rFonts w:ascii="Times New Roman" w:eastAsia="SimSun" w:hAnsi="Times New Roman"/>
        </w:rPr>
        <w:t>the Commission should not adjust PSE</w:t>
      </w:r>
      <w:r w:rsidR="00A14EBD">
        <w:rPr>
          <w:rFonts w:ascii="Times New Roman" w:eastAsia="SimSun" w:hAnsi="Times New Roman"/>
        </w:rPr>
        <w:t>’</w:t>
      </w:r>
      <w:r>
        <w:rPr>
          <w:rFonts w:ascii="Times New Roman" w:eastAsia="SimSun" w:hAnsi="Times New Roman"/>
        </w:rPr>
        <w:t>s cost of capital for the following reasons</w:t>
      </w:r>
      <w:r w:rsidR="00E4462B" w:rsidRPr="00E4462B">
        <w:rPr>
          <w:rFonts w:ascii="Times New Roman" w:eastAsia="SimSun" w:hAnsi="Times New Roman"/>
        </w:rPr>
        <w:t>:</w:t>
      </w:r>
    </w:p>
    <w:p w:rsidR="00AB6570" w:rsidRDefault="00AB6570" w:rsidP="00AB6570">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w:t>
      </w:r>
      <w:r>
        <w:rPr>
          <w:rFonts w:ascii="Times New Roman" w:eastAsia="SimSun" w:hAnsi="Times New Roman"/>
        </w:rPr>
        <w:tab/>
      </w:r>
      <w:r w:rsidR="00E4462B" w:rsidRPr="00E4462B">
        <w:rPr>
          <w:rFonts w:ascii="Times New Roman" w:eastAsia="SimSun" w:hAnsi="Times New Roman"/>
        </w:rPr>
        <w:t xml:space="preserve">As Dr. </w:t>
      </w:r>
      <w:r>
        <w:rPr>
          <w:rFonts w:ascii="Times New Roman" w:eastAsia="SimSun" w:hAnsi="Times New Roman"/>
        </w:rPr>
        <w:t xml:space="preserve">Vilbert </w:t>
      </w:r>
      <w:r w:rsidR="00E4462B" w:rsidRPr="00E4462B">
        <w:rPr>
          <w:rFonts w:ascii="Times New Roman" w:eastAsia="SimSun" w:hAnsi="Times New Roman"/>
        </w:rPr>
        <w:t>testifie</w:t>
      </w:r>
      <w:r>
        <w:rPr>
          <w:rFonts w:ascii="Times New Roman" w:eastAsia="SimSun" w:hAnsi="Times New Roman"/>
        </w:rPr>
        <w:t>s</w:t>
      </w:r>
      <w:r w:rsidR="00E4462B" w:rsidRPr="00E4462B">
        <w:rPr>
          <w:rFonts w:ascii="Times New Roman" w:eastAsia="SimSun" w:hAnsi="Times New Roman"/>
        </w:rPr>
        <w:t>, capturing and observing the effects of decoupling on cost of capital remains elusive in a statistically-significant sense, and even if such effects could be captured and observed with statistical significance, it is not possible based on studies performed to date to factually and accurately isolate the effects on the cost of debt from the cost of equity.</w:t>
      </w:r>
      <w:proofErr w:type="gramEnd"/>
    </w:p>
    <w:p w:rsidR="00AB6570" w:rsidRDefault="00AB6570" w:rsidP="00AB6570">
      <w:pPr>
        <w:pStyle w:val="answer"/>
        <w:spacing w:after="280" w:line="240" w:lineRule="auto"/>
        <w:ind w:left="2160" w:right="720"/>
        <w:rPr>
          <w:rFonts w:ascii="Times New Roman" w:eastAsia="SimSun" w:hAnsi="Times New Roman"/>
        </w:rPr>
      </w:pPr>
      <w:r>
        <w:rPr>
          <w:rFonts w:ascii="Times New Roman" w:eastAsia="SimSun" w:hAnsi="Times New Roman"/>
        </w:rPr>
        <w:lastRenderedPageBreak/>
        <w:t>(ii)</w:t>
      </w:r>
      <w:r>
        <w:rPr>
          <w:rFonts w:ascii="Times New Roman" w:eastAsia="SimSun" w:hAnsi="Times New Roman"/>
        </w:rPr>
        <w:tab/>
      </w:r>
      <w:r w:rsidR="00E4462B" w:rsidRPr="00E4462B">
        <w:rPr>
          <w:rFonts w:ascii="Times New Roman" w:eastAsia="SimSun" w:hAnsi="Times New Roman"/>
        </w:rPr>
        <w:t xml:space="preserve">In </w:t>
      </w:r>
      <w:r w:rsidR="00C128EA">
        <w:rPr>
          <w:rFonts w:ascii="Times New Roman" w:eastAsia="SimSun" w:hAnsi="Times New Roman"/>
        </w:rPr>
        <w:t>their</w:t>
      </w:r>
      <w:r w:rsidR="00C128EA" w:rsidRPr="00E4462B">
        <w:rPr>
          <w:rFonts w:ascii="Times New Roman" w:eastAsia="SimSun" w:hAnsi="Times New Roman"/>
        </w:rPr>
        <w:t xml:space="preserve"> </w:t>
      </w:r>
      <w:r w:rsidR="00E4462B" w:rsidRPr="00E4462B">
        <w:rPr>
          <w:rFonts w:ascii="Times New Roman" w:eastAsia="SimSun" w:hAnsi="Times New Roman"/>
        </w:rPr>
        <w:t>first year of operation, PSE</w:t>
      </w:r>
      <w:r w:rsidR="00A14EBD">
        <w:rPr>
          <w:rFonts w:ascii="Times New Roman" w:eastAsia="SimSun" w:hAnsi="Times New Roman"/>
        </w:rPr>
        <w:t>’</w:t>
      </w:r>
      <w:r w:rsidR="00E4462B" w:rsidRPr="00E4462B">
        <w:rPr>
          <w:rFonts w:ascii="Times New Roman" w:eastAsia="SimSun" w:hAnsi="Times New Roman"/>
        </w:rPr>
        <w:t>s decoupling mechanism</w:t>
      </w:r>
      <w:r w:rsidR="00C128EA">
        <w:rPr>
          <w:rFonts w:ascii="Times New Roman" w:eastAsia="SimSun" w:hAnsi="Times New Roman"/>
        </w:rPr>
        <w:t>s</w:t>
      </w:r>
      <w:r w:rsidR="00E4462B" w:rsidRPr="00E4462B">
        <w:rPr>
          <w:rFonts w:ascii="Times New Roman" w:eastAsia="SimSun" w:hAnsi="Times New Roman"/>
        </w:rPr>
        <w:t xml:space="preserve"> </w:t>
      </w:r>
      <w:r w:rsidR="003C6670">
        <w:rPr>
          <w:rFonts w:ascii="Times New Roman" w:eastAsia="SimSun" w:hAnsi="Times New Roman"/>
        </w:rPr>
        <w:t xml:space="preserve">have only </w:t>
      </w:r>
      <w:r w:rsidR="00E4462B" w:rsidRPr="00E4462B">
        <w:rPr>
          <w:rFonts w:ascii="Times New Roman" w:eastAsia="SimSun" w:hAnsi="Times New Roman"/>
        </w:rPr>
        <w:t>resulted in a net change to revenue of $</w:t>
      </w:r>
      <w:r w:rsidR="00D2194B">
        <w:rPr>
          <w:rFonts w:ascii="Times New Roman" w:eastAsia="SimSun" w:hAnsi="Times New Roman"/>
        </w:rPr>
        <w:t>1.9</w:t>
      </w:r>
      <w:r w:rsidR="00B2143E">
        <w:rPr>
          <w:rFonts w:ascii="Times New Roman" w:eastAsia="SimSun" w:hAnsi="Times New Roman"/>
        </w:rPr>
        <w:t> </w:t>
      </w:r>
      <w:r w:rsidR="00E4462B" w:rsidRPr="00E4462B">
        <w:rPr>
          <w:rFonts w:ascii="Times New Roman" w:eastAsia="SimSun" w:hAnsi="Times New Roman"/>
        </w:rPr>
        <w:t xml:space="preserve">million after isolating the effects of weather.  </w:t>
      </w:r>
      <w:r w:rsidR="00C128EA">
        <w:rPr>
          <w:rFonts w:ascii="Times New Roman" w:eastAsia="SimSun" w:hAnsi="Times New Roman"/>
        </w:rPr>
        <w:t xml:space="preserve">While this impact on </w:t>
      </w:r>
      <w:r w:rsidR="00BD183D">
        <w:rPr>
          <w:rFonts w:ascii="Times New Roman" w:eastAsia="SimSun" w:hAnsi="Times New Roman"/>
        </w:rPr>
        <w:t>PSE</w:t>
      </w:r>
      <w:r w:rsidR="00A14EBD">
        <w:rPr>
          <w:rFonts w:ascii="Times New Roman" w:eastAsia="SimSun" w:hAnsi="Times New Roman"/>
        </w:rPr>
        <w:t>’</w:t>
      </w:r>
      <w:r w:rsidR="00C128EA">
        <w:rPr>
          <w:rFonts w:ascii="Times New Roman" w:eastAsia="SimSun" w:hAnsi="Times New Roman"/>
        </w:rPr>
        <w:t xml:space="preserve">s results of operations is not </w:t>
      </w:r>
      <w:r w:rsidR="00C15BB1">
        <w:rPr>
          <w:rFonts w:ascii="Times New Roman" w:eastAsia="SimSun" w:hAnsi="Times New Roman"/>
        </w:rPr>
        <w:t>significant at this time</w:t>
      </w:r>
      <w:r w:rsidR="00C128EA">
        <w:rPr>
          <w:rFonts w:ascii="Times New Roman" w:eastAsia="SimSun" w:hAnsi="Times New Roman"/>
        </w:rPr>
        <w:t xml:space="preserve">, </w:t>
      </w:r>
      <w:r w:rsidR="003C6670">
        <w:rPr>
          <w:rFonts w:ascii="Times New Roman" w:eastAsia="SimSun" w:hAnsi="Times New Roman"/>
        </w:rPr>
        <w:t>more history is required to draw any firm conclusions from these results.</w:t>
      </w:r>
    </w:p>
    <w:p w:rsidR="00AB6570" w:rsidRDefault="00AB6570" w:rsidP="00AB6570">
      <w:pPr>
        <w:pStyle w:val="answer"/>
        <w:spacing w:after="280" w:line="240" w:lineRule="auto"/>
        <w:ind w:left="2160" w:right="720"/>
        <w:rPr>
          <w:rFonts w:ascii="Times New Roman" w:eastAsia="SimSun" w:hAnsi="Times New Roman"/>
        </w:rPr>
      </w:pPr>
      <w:r>
        <w:rPr>
          <w:rFonts w:ascii="Times New Roman" w:eastAsia="SimSun" w:hAnsi="Times New Roman"/>
        </w:rPr>
        <w:t>(iii)</w:t>
      </w:r>
      <w:r>
        <w:rPr>
          <w:rFonts w:ascii="Times New Roman" w:eastAsia="SimSun" w:hAnsi="Times New Roman"/>
        </w:rPr>
        <w:tab/>
      </w:r>
      <w:r w:rsidR="00E4462B" w:rsidRPr="00E4462B">
        <w:rPr>
          <w:rFonts w:ascii="Times New Roman" w:eastAsia="SimSun" w:hAnsi="Times New Roman"/>
        </w:rPr>
        <w:t>Given the multitude of risk reducing rate mechanisms reflected in the cost of capital data for the peer group in Dr.</w:t>
      </w:r>
      <w:r>
        <w:rPr>
          <w:rFonts w:ascii="Times New Roman" w:eastAsia="SimSun" w:hAnsi="Times New Roman"/>
        </w:rPr>
        <w:t> </w:t>
      </w:r>
      <w:r w:rsidR="00E4462B" w:rsidRPr="00E4462B">
        <w:rPr>
          <w:rFonts w:ascii="Times New Roman" w:eastAsia="SimSun" w:hAnsi="Times New Roman"/>
        </w:rPr>
        <w:t>Morin</w:t>
      </w:r>
      <w:r w:rsidR="00A14EBD">
        <w:rPr>
          <w:rFonts w:ascii="Times New Roman" w:eastAsia="SimSun" w:hAnsi="Times New Roman"/>
        </w:rPr>
        <w:t>’</w:t>
      </w:r>
      <w:r w:rsidR="00E4462B" w:rsidRPr="00E4462B">
        <w:rPr>
          <w:rFonts w:ascii="Times New Roman" w:eastAsia="SimSun" w:hAnsi="Times New Roman"/>
        </w:rPr>
        <w:t xml:space="preserve">s study, it is reasonable to conclude that any additional adjustment to ROE in this proceeding would constitute </w:t>
      </w:r>
      <w:proofErr w:type="gramStart"/>
      <w:r w:rsidR="00E4462B" w:rsidRPr="00E4462B">
        <w:rPr>
          <w:rFonts w:ascii="Times New Roman" w:eastAsia="SimSun" w:hAnsi="Times New Roman"/>
        </w:rPr>
        <w:t>double-counting</w:t>
      </w:r>
      <w:proofErr w:type="gramEnd"/>
      <w:r w:rsidR="00E4462B" w:rsidRPr="00E4462B">
        <w:rPr>
          <w:rFonts w:ascii="Times New Roman" w:eastAsia="SimSun" w:hAnsi="Times New Roman"/>
        </w:rPr>
        <w:t>.</w:t>
      </w:r>
    </w:p>
    <w:p w:rsidR="00AB6570" w:rsidRDefault="00AB6570" w:rsidP="00AB6570">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(iv)</w:t>
      </w:r>
      <w:r>
        <w:rPr>
          <w:rFonts w:ascii="Times New Roman" w:eastAsia="SimSun" w:hAnsi="Times New Roman"/>
        </w:rPr>
        <w:tab/>
      </w:r>
      <w:r w:rsidR="00E4462B" w:rsidRPr="00E4462B">
        <w:rPr>
          <w:rFonts w:ascii="Times New Roman" w:eastAsia="SimSun" w:hAnsi="Times New Roman"/>
        </w:rPr>
        <w:t>Even though</w:t>
      </w:r>
      <w:proofErr w:type="gramEnd"/>
      <w:r w:rsidR="00E4462B" w:rsidRPr="00E4462B">
        <w:rPr>
          <w:rFonts w:ascii="Times New Roman" w:eastAsia="SimSun" w:hAnsi="Times New Roman"/>
        </w:rPr>
        <w:t xml:space="preserve"> PSE</w:t>
      </w:r>
      <w:r w:rsidR="00A14EBD">
        <w:rPr>
          <w:rFonts w:ascii="Times New Roman" w:eastAsia="SimSun" w:hAnsi="Times New Roman"/>
        </w:rPr>
        <w:t>’</w:t>
      </w:r>
      <w:r w:rsidR="00E4462B" w:rsidRPr="00E4462B">
        <w:rPr>
          <w:rFonts w:ascii="Times New Roman" w:eastAsia="SimSun" w:hAnsi="Times New Roman"/>
        </w:rPr>
        <w:t xml:space="preserve">s decoupling mechanism </w:t>
      </w:r>
      <w:proofErr w:type="spellStart"/>
      <w:r w:rsidR="00E4462B" w:rsidRPr="00E4462B">
        <w:rPr>
          <w:rFonts w:ascii="Times New Roman" w:eastAsia="SimSun" w:hAnsi="Times New Roman"/>
        </w:rPr>
        <w:t>smooths</w:t>
      </w:r>
      <w:proofErr w:type="spellEnd"/>
      <w:r w:rsidR="00E4462B" w:rsidRPr="00E4462B">
        <w:rPr>
          <w:rFonts w:ascii="Times New Roman" w:eastAsia="SimSun" w:hAnsi="Times New Roman"/>
        </w:rPr>
        <w:t xml:space="preserve"> the volatility related to weather over time, those same weather effects average or cancel out over time.  The effects of weather on revenue, operating income and cash flows over time will not be materially different when comparing results of operations from a regime that employs decoupling versus one that does not.</w:t>
      </w:r>
    </w:p>
    <w:p w:rsidR="00DF0A93" w:rsidRPr="00EE3ECD" w:rsidRDefault="00DF0A93" w:rsidP="00DF0A93">
      <w:pPr>
        <w:pStyle w:val="Heading1"/>
        <w:spacing w:after="360" w:line="240" w:lineRule="auto"/>
        <w:rPr>
          <w:rFonts w:ascii="Times New Roman" w:eastAsia="SimSun" w:hAnsi="Times New Roman"/>
        </w:rPr>
      </w:pPr>
      <w:bookmarkStart w:id="8" w:name="_Toc402867751"/>
      <w:r w:rsidRPr="00EE3ECD">
        <w:rPr>
          <w:rFonts w:ascii="Times New Roman" w:eastAsia="SimSun" w:hAnsi="Times New Roman"/>
        </w:rPr>
        <w:t>VII.</w:t>
      </w:r>
      <w:r w:rsidRPr="00EE3ECD">
        <w:rPr>
          <w:rFonts w:ascii="Times New Roman" w:eastAsia="SimSun" w:hAnsi="Times New Roman"/>
        </w:rPr>
        <w:tab/>
        <w:t>CONCLUSION</w:t>
      </w:r>
      <w:bookmarkEnd w:id="8"/>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Does this conclude your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testimony?</w:t>
      </w:r>
    </w:p>
    <w:p w:rsidR="0088373F" w:rsidRPr="00EE3ECD" w:rsidRDefault="00DF0A93" w:rsidP="00EE3ECD">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p>
    <w:sectPr w:rsidR="0088373F" w:rsidRPr="00EE3ECD"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A5087" w15:done="0"/>
  <w15:commentEx w15:paraId="12A01813" w15:done="0"/>
  <w15:commentEx w15:paraId="22C839E4" w15:done="0"/>
  <w15:commentEx w15:paraId="7661A103" w15:done="0"/>
  <w15:commentEx w15:paraId="1A6AF158" w15:done="0"/>
  <w15:commentEx w15:paraId="13B9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0" w:rsidRDefault="002532F0">
      <w:r>
        <w:separator/>
      </w:r>
    </w:p>
  </w:endnote>
  <w:endnote w:type="continuationSeparator" w:id="0">
    <w:p w:rsidR="002532F0" w:rsidRDefault="002532F0">
      <w:r>
        <w:continuationSeparator/>
      </w:r>
    </w:p>
  </w:endnote>
  <w:endnote w:type="continuationNotice" w:id="1">
    <w:p w:rsidR="002532F0" w:rsidRDefault="002532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right="0" w:hanging="4"/>
      <w:rPr>
        <w:sz w:val="10"/>
        <w:szCs w:val="10"/>
      </w:rPr>
    </w:pPr>
  </w:p>
  <w:p w:rsidR="00083C00" w:rsidRPr="00DB4898" w:rsidRDefault="00083C00">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proofErr w:type="gramStart"/>
    <w:r w:rsidRPr="00DB4898">
      <w:rPr>
        <w:sz w:val="24"/>
        <w:szCs w:val="24"/>
      </w:rPr>
      <w:t>.</w:t>
    </w:r>
    <w:r w:rsidRPr="00300621">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DAD</w:t>
    </w:r>
    <w:r w:rsidRPr="00DB4898">
      <w:rPr>
        <w:sz w:val="24"/>
        <w:szCs w:val="24"/>
      </w:rPr>
      <w:t>-</w:t>
    </w:r>
    <w:r>
      <w:rPr>
        <w:sz w:val="24"/>
        <w:szCs w:val="24"/>
      </w:rPr>
      <w:t>4</w:t>
    </w:r>
    <w:r w:rsidRPr="00DB4898">
      <w:rPr>
        <w:sz w:val="24"/>
        <w:szCs w:val="24"/>
      </w:rPr>
      <w:t>T)</w:t>
    </w:r>
  </w:p>
  <w:p w:rsidR="00083C00" w:rsidRPr="00DB4898" w:rsidRDefault="00083C00">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sidRPr="00DF0A93">
      <w:rPr>
        <w:sz w:val="24"/>
        <w:szCs w:val="24"/>
      </w:rPr>
      <w:t>Daniel A. Doyle</w:t>
    </w:r>
    <w:r w:rsidRPr="00300621">
      <w:rPr>
        <w:sz w:val="24"/>
        <w:szCs w:val="24"/>
      </w:rPr>
      <w:tab/>
    </w:r>
    <w:r w:rsidRPr="00DB4898">
      <w:rPr>
        <w:sz w:val="24"/>
        <w:szCs w:val="24"/>
      </w:rPr>
      <w:t>Page</w:t>
    </w:r>
    <w:r w:rsidRPr="00300621">
      <w:rPr>
        <w:sz w:val="24"/>
        <w:szCs w:val="24"/>
      </w:rPr>
      <w:t> </w:t>
    </w:r>
    <w:proofErr w:type="spellStart"/>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6B12B2">
      <w:rPr>
        <w:rStyle w:val="PageNumber"/>
        <w:noProof/>
        <w:sz w:val="24"/>
        <w:szCs w:val="24"/>
      </w:rPr>
      <w:t>i</w:t>
    </w:r>
    <w:proofErr w:type="spellEnd"/>
    <w:r w:rsidRPr="00DB4898">
      <w:rPr>
        <w:rStyle w:val="PageNumber"/>
        <w:sz w:val="24"/>
        <w:szCs w:val="24"/>
      </w:rPr>
      <w:fldChar w:fldCharType="end"/>
    </w:r>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right="0"/>
      <w:rPr>
        <w:sz w:val="10"/>
      </w:rPr>
    </w:pPr>
  </w:p>
  <w:p w:rsidR="00083C00" w:rsidRPr="00DB4898" w:rsidRDefault="00083C00">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DB4898">
      <w:rPr>
        <w:sz w:val="24"/>
        <w:szCs w:val="24"/>
      </w:rPr>
      <w:tab/>
      <w:t>Exhibit No</w:t>
    </w:r>
    <w:proofErr w:type="gramStart"/>
    <w:r w:rsidRPr="00DB4898">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DAD</w:t>
    </w:r>
    <w:r w:rsidRPr="00DB4898">
      <w:rPr>
        <w:sz w:val="24"/>
        <w:szCs w:val="24"/>
      </w:rPr>
      <w:t>-</w:t>
    </w:r>
    <w:r>
      <w:rPr>
        <w:sz w:val="24"/>
        <w:szCs w:val="24"/>
      </w:rPr>
      <w:t>4</w:t>
    </w:r>
    <w:r w:rsidRPr="00DB4898">
      <w:rPr>
        <w:sz w:val="24"/>
        <w:szCs w:val="24"/>
      </w:rPr>
      <w:t>T)</w:t>
    </w:r>
  </w:p>
  <w:p w:rsidR="00083C00" w:rsidRPr="00D738F7" w:rsidRDefault="00083C00"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Daniel A. Doyle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6B12B2">
      <w:rPr>
        <w:noProof/>
        <w:sz w:val="24"/>
        <w:szCs w:val="24"/>
      </w:rPr>
      <w:t>27</w:t>
    </w:r>
    <w:r w:rsidRPr="00DB4898">
      <w:rPr>
        <w:sz w:val="24"/>
        <w:szCs w:val="24"/>
      </w:rPr>
      <w:fldChar w:fldCharType="end"/>
    </w:r>
    <w:r w:rsidRPr="00DB4898">
      <w:rPr>
        <w:rStyle w:val="PageNumber"/>
        <w:sz w:val="24"/>
        <w:szCs w:val="24"/>
      </w:rPr>
      <w:t xml:space="preserve"> of </w:t>
    </w:r>
    <w:r w:rsidR="00A14EBD">
      <w:rPr>
        <w:rStyle w:val="PageNumber"/>
        <w:sz w:val="24"/>
        <w:szCs w:val="24"/>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left="-630" w:right="0" w:hanging="4"/>
      <w:rPr>
        <w:sz w:val="10"/>
      </w:rPr>
    </w:pPr>
  </w:p>
  <w:p w:rsidR="00083C00" w:rsidRDefault="00083C00">
    <w:pPr>
      <w:pStyle w:val="Footer"/>
      <w:tabs>
        <w:tab w:val="clear" w:pos="4507"/>
        <w:tab w:val="clear" w:pos="9000"/>
        <w:tab w:val="right" w:pos="8640"/>
      </w:tabs>
      <w:ind w:left="-630" w:hanging="4"/>
    </w:pPr>
    <w:proofErr w:type="spellStart"/>
    <w:r>
      <w:t>Prefiled</w:t>
    </w:r>
    <w:proofErr w:type="spellEnd"/>
    <w:r>
      <w:t xml:space="preserve"> Direct Testimony of</w:t>
    </w:r>
    <w:r>
      <w:tab/>
      <w:t>Exhibit No</w:t>
    </w:r>
    <w:proofErr w:type="gramStart"/>
    <w:r>
      <w:t>. </w:t>
    </w:r>
    <w:proofErr w:type="gramEnd"/>
    <w:r>
      <w:t>__</w:t>
    </w:r>
    <w:proofErr w:type="gramStart"/>
    <w:r>
      <w:t>_(</w:t>
    </w:r>
    <w:proofErr w:type="gramEnd"/>
    <w:r>
      <w:t>JD-1CT)</w:t>
    </w:r>
  </w:p>
  <w:p w:rsidR="00083C00" w:rsidRDefault="00083C0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083C00" w:rsidRDefault="00083C00"/>
  <w:p w:rsidR="00083C00" w:rsidRDefault="00083C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0" w:rsidRDefault="002532F0">
      <w:r>
        <w:separator/>
      </w:r>
    </w:p>
  </w:footnote>
  <w:footnote w:type="continuationSeparator" w:id="0">
    <w:p w:rsidR="002532F0" w:rsidRDefault="002532F0">
      <w:r>
        <w:continuationSeparator/>
      </w:r>
    </w:p>
  </w:footnote>
  <w:footnote w:type="continuationNotice" w:id="1">
    <w:p w:rsidR="002532F0" w:rsidRDefault="002532F0">
      <w:pPr>
        <w:spacing w:line="240" w:lineRule="auto"/>
      </w:pPr>
    </w:p>
  </w:footnote>
  <w:footnote w:id="2">
    <w:p w:rsidR="00083C00" w:rsidRDefault="00083C00" w:rsidP="00BD183D">
      <w:pPr>
        <w:pStyle w:val="FootnoteText"/>
        <w:tabs>
          <w:tab w:val="left" w:pos="720"/>
        </w:tabs>
        <w:spacing w:before="60" w:after="60" w:line="240" w:lineRule="auto"/>
        <w:ind w:firstLine="360"/>
      </w:pPr>
      <w:r>
        <w:rPr>
          <w:rStyle w:val="FootnoteReference"/>
        </w:rPr>
        <w:footnoteRef/>
      </w:r>
      <w:r>
        <w:tab/>
      </w:r>
      <w:r w:rsidRPr="00B77729">
        <w:rPr>
          <w:i/>
        </w:rPr>
        <w:t>WUTC v. Puget Sound Energy, Inc.</w:t>
      </w:r>
      <w:r w:rsidRPr="00B77729">
        <w:t>, Order 07 Final Order Granting Petition, Dockets UE-121697</w:t>
      </w:r>
      <w:r w:rsidRPr="00B77729">
        <w:rPr>
          <w:i/>
        </w:rPr>
        <w:t>,</w:t>
      </w:r>
      <w:r>
        <w:rPr>
          <w:i/>
        </w:rPr>
        <w:t> </w:t>
      </w:r>
      <w:r w:rsidRPr="00B77729">
        <w:rPr>
          <w:i/>
        </w:rPr>
        <w:t>et al</w:t>
      </w:r>
      <w:r w:rsidRPr="00B77729">
        <w:t>. (consolidated) (June 25, 2013).</w:t>
      </w:r>
    </w:p>
  </w:footnote>
  <w:footnote w:id="3">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t>Order 07 at ¶ 105.</w:t>
      </w:r>
      <w:proofErr w:type="gramEnd"/>
    </w:p>
  </w:footnote>
  <w:footnote w:id="4">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rsidRPr="00013512">
        <w:rPr>
          <w:i/>
        </w:rPr>
        <w:t>Id</w:t>
      </w:r>
      <w:r>
        <w:t>. at ¶ 106.</w:t>
      </w:r>
      <w:proofErr w:type="gramEnd"/>
    </w:p>
  </w:footnote>
  <w:footnote w:id="5">
    <w:p w:rsidR="00083C00" w:rsidRDefault="00083C00" w:rsidP="00BD183D">
      <w:pPr>
        <w:pStyle w:val="FootnoteText"/>
        <w:tabs>
          <w:tab w:val="left" w:pos="720"/>
        </w:tabs>
        <w:spacing w:before="60" w:after="60" w:line="240" w:lineRule="auto"/>
        <w:ind w:firstLine="360"/>
      </w:pPr>
      <w:r>
        <w:rPr>
          <w:rStyle w:val="FootnoteReference"/>
        </w:rPr>
        <w:footnoteRef/>
      </w:r>
      <w:r w:rsidR="00BD183D">
        <w:tab/>
      </w:r>
      <w:proofErr w:type="gramStart"/>
      <w:r w:rsidR="00BD183D">
        <w:t>Order 07 at ¶¶ 164-65.</w:t>
      </w:r>
      <w:proofErr w:type="gramEnd"/>
    </w:p>
  </w:footnote>
  <w:footnote w:id="6">
    <w:p w:rsidR="00083C00" w:rsidRDefault="00083C00" w:rsidP="00BD183D">
      <w:pPr>
        <w:pStyle w:val="FootnoteText"/>
        <w:tabs>
          <w:tab w:val="left" w:pos="720"/>
        </w:tabs>
        <w:spacing w:before="60" w:after="60" w:line="240" w:lineRule="auto"/>
        <w:ind w:firstLine="360"/>
      </w:pPr>
      <w:r>
        <w:rPr>
          <w:rStyle w:val="FootnoteReference"/>
        </w:rPr>
        <w:footnoteRef/>
      </w:r>
      <w:r>
        <w:tab/>
        <w:t xml:space="preserve">Order 07 at ¶ 103; </w:t>
      </w:r>
      <w:r w:rsidRPr="002F53D0">
        <w:rPr>
          <w:i/>
        </w:rPr>
        <w:t>see also id</w:t>
      </w:r>
      <w:proofErr w:type="gramStart"/>
      <w:r>
        <w:t>. at</w:t>
      </w:r>
      <w:proofErr w:type="gramEnd"/>
      <w:r>
        <w:t xml:space="preserve"> ¶ 104.</w:t>
      </w:r>
    </w:p>
  </w:footnote>
  <w:footnote w:id="7">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rsidRPr="002F53D0">
        <w:rPr>
          <w:i/>
        </w:rPr>
        <w:t>Id</w:t>
      </w:r>
      <w:r>
        <w:t>. at ¶¶ 105 and 106.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Header"/>
    </w:pPr>
    <w:r>
      <w:rPr>
        <w:noProof/>
        <w:lang w:eastAsia="en-US"/>
      </w:rPr>
      <mc:AlternateContent>
        <mc:Choice Requires="wps">
          <w:drawing>
            <wp:anchor distT="0" distB="0" distL="114294" distR="114294" simplePos="0" relativeHeight="251658240" behindDoc="0" locked="0" layoutInCell="0" allowOverlap="1" wp14:anchorId="519D57F9" wp14:editId="1C44D5EF">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Header"/>
    </w:pPr>
    <w:r>
      <w:rPr>
        <w:noProof/>
        <w:lang w:eastAsia="en-US"/>
      </w:rPr>
      <mc:AlternateContent>
        <mc:Choice Requires="wps">
          <w:drawing>
            <wp:anchor distT="0" distB="0" distL="114294" distR="114294" simplePos="0" relativeHeight="251657216" behindDoc="0" locked="0" layoutInCell="1" allowOverlap="1" wp14:anchorId="4ADCC49E" wp14:editId="126FC2F5">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Doyle">
    <w15:presenceInfo w15:providerId="Windows Live" w15:userId="c08038bff589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101C9"/>
    <w:rsid w:val="000108CD"/>
    <w:rsid w:val="00011FD7"/>
    <w:rsid w:val="00013512"/>
    <w:rsid w:val="000139D8"/>
    <w:rsid w:val="00013D39"/>
    <w:rsid w:val="00014A80"/>
    <w:rsid w:val="000150E1"/>
    <w:rsid w:val="00016029"/>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36984"/>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1F4A"/>
    <w:rsid w:val="000720D0"/>
    <w:rsid w:val="00073353"/>
    <w:rsid w:val="000741DF"/>
    <w:rsid w:val="000755AA"/>
    <w:rsid w:val="0007591C"/>
    <w:rsid w:val="00076A47"/>
    <w:rsid w:val="00077D66"/>
    <w:rsid w:val="0008213E"/>
    <w:rsid w:val="00082B2B"/>
    <w:rsid w:val="00082C18"/>
    <w:rsid w:val="000831B1"/>
    <w:rsid w:val="00083C00"/>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8C2"/>
    <w:rsid w:val="000A3AD5"/>
    <w:rsid w:val="000A466A"/>
    <w:rsid w:val="000A4ADD"/>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9C9"/>
    <w:rsid w:val="000D2B67"/>
    <w:rsid w:val="000D30B9"/>
    <w:rsid w:val="000D34D0"/>
    <w:rsid w:val="000D3BF9"/>
    <w:rsid w:val="000D66B3"/>
    <w:rsid w:val="000D7125"/>
    <w:rsid w:val="000E024D"/>
    <w:rsid w:val="000E060D"/>
    <w:rsid w:val="000E08A9"/>
    <w:rsid w:val="000E242D"/>
    <w:rsid w:val="000E24A6"/>
    <w:rsid w:val="000E2BB4"/>
    <w:rsid w:val="000E2D02"/>
    <w:rsid w:val="000E348A"/>
    <w:rsid w:val="000E4043"/>
    <w:rsid w:val="000E4C97"/>
    <w:rsid w:val="000E50F0"/>
    <w:rsid w:val="000E5955"/>
    <w:rsid w:val="000E7121"/>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41BE"/>
    <w:rsid w:val="00155A5E"/>
    <w:rsid w:val="00155ABF"/>
    <w:rsid w:val="001566B3"/>
    <w:rsid w:val="001569A7"/>
    <w:rsid w:val="001603DB"/>
    <w:rsid w:val="00160D82"/>
    <w:rsid w:val="0016182B"/>
    <w:rsid w:val="00162108"/>
    <w:rsid w:val="0016237E"/>
    <w:rsid w:val="00163054"/>
    <w:rsid w:val="001638AB"/>
    <w:rsid w:val="00164085"/>
    <w:rsid w:val="0016477D"/>
    <w:rsid w:val="0016594C"/>
    <w:rsid w:val="001664B2"/>
    <w:rsid w:val="001668C4"/>
    <w:rsid w:val="00166CB0"/>
    <w:rsid w:val="0016777A"/>
    <w:rsid w:val="0016795C"/>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61B0"/>
    <w:rsid w:val="00187387"/>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A7960"/>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3A2"/>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3324"/>
    <w:rsid w:val="001F56EF"/>
    <w:rsid w:val="00200785"/>
    <w:rsid w:val="00200EAD"/>
    <w:rsid w:val="00202C2B"/>
    <w:rsid w:val="00203289"/>
    <w:rsid w:val="002032D3"/>
    <w:rsid w:val="00206603"/>
    <w:rsid w:val="00206F0F"/>
    <w:rsid w:val="00207F30"/>
    <w:rsid w:val="00210AF9"/>
    <w:rsid w:val="00210F60"/>
    <w:rsid w:val="002111FC"/>
    <w:rsid w:val="002115FF"/>
    <w:rsid w:val="00211FAA"/>
    <w:rsid w:val="002128AA"/>
    <w:rsid w:val="002142E7"/>
    <w:rsid w:val="00215BBC"/>
    <w:rsid w:val="002174BA"/>
    <w:rsid w:val="002176C8"/>
    <w:rsid w:val="00217738"/>
    <w:rsid w:val="0022127D"/>
    <w:rsid w:val="0022136F"/>
    <w:rsid w:val="00221CB5"/>
    <w:rsid w:val="002225DC"/>
    <w:rsid w:val="002226ED"/>
    <w:rsid w:val="00222B92"/>
    <w:rsid w:val="002251FC"/>
    <w:rsid w:val="0022698A"/>
    <w:rsid w:val="00227A66"/>
    <w:rsid w:val="00227CBB"/>
    <w:rsid w:val="00227EB5"/>
    <w:rsid w:val="00231873"/>
    <w:rsid w:val="00232C1E"/>
    <w:rsid w:val="002366CD"/>
    <w:rsid w:val="002370A7"/>
    <w:rsid w:val="00237797"/>
    <w:rsid w:val="00237BC7"/>
    <w:rsid w:val="0024173A"/>
    <w:rsid w:val="00242F00"/>
    <w:rsid w:val="00243A60"/>
    <w:rsid w:val="00243B08"/>
    <w:rsid w:val="00243D81"/>
    <w:rsid w:val="00244E41"/>
    <w:rsid w:val="00246044"/>
    <w:rsid w:val="0025026F"/>
    <w:rsid w:val="002509E9"/>
    <w:rsid w:val="00250A52"/>
    <w:rsid w:val="00250AD0"/>
    <w:rsid w:val="002513A2"/>
    <w:rsid w:val="002514AA"/>
    <w:rsid w:val="002532F0"/>
    <w:rsid w:val="0025348F"/>
    <w:rsid w:val="00253A60"/>
    <w:rsid w:val="00253D38"/>
    <w:rsid w:val="00253FF1"/>
    <w:rsid w:val="0025416C"/>
    <w:rsid w:val="00254DF0"/>
    <w:rsid w:val="00255EA6"/>
    <w:rsid w:val="00256613"/>
    <w:rsid w:val="002568DE"/>
    <w:rsid w:val="0026033F"/>
    <w:rsid w:val="00261527"/>
    <w:rsid w:val="00261C58"/>
    <w:rsid w:val="002625BD"/>
    <w:rsid w:val="00263363"/>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4D33"/>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2ACD"/>
    <w:rsid w:val="002B45B6"/>
    <w:rsid w:val="002B6819"/>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2FF"/>
    <w:rsid w:val="002F4CD2"/>
    <w:rsid w:val="002F4EAC"/>
    <w:rsid w:val="002F53D0"/>
    <w:rsid w:val="002F5779"/>
    <w:rsid w:val="002F6E18"/>
    <w:rsid w:val="002F7C7C"/>
    <w:rsid w:val="00300377"/>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887"/>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4DFB"/>
    <w:rsid w:val="003353E2"/>
    <w:rsid w:val="00335F02"/>
    <w:rsid w:val="0033664C"/>
    <w:rsid w:val="003373C6"/>
    <w:rsid w:val="003415CD"/>
    <w:rsid w:val="00341838"/>
    <w:rsid w:val="003419E3"/>
    <w:rsid w:val="003441F8"/>
    <w:rsid w:val="00345B6F"/>
    <w:rsid w:val="003466A5"/>
    <w:rsid w:val="00346B8D"/>
    <w:rsid w:val="00347606"/>
    <w:rsid w:val="003524AD"/>
    <w:rsid w:val="00353BB7"/>
    <w:rsid w:val="00353EC9"/>
    <w:rsid w:val="00354062"/>
    <w:rsid w:val="00354158"/>
    <w:rsid w:val="00355D0F"/>
    <w:rsid w:val="003567AA"/>
    <w:rsid w:val="003572FD"/>
    <w:rsid w:val="0035768B"/>
    <w:rsid w:val="00357CD7"/>
    <w:rsid w:val="00361737"/>
    <w:rsid w:val="00361C0C"/>
    <w:rsid w:val="00363332"/>
    <w:rsid w:val="003646E5"/>
    <w:rsid w:val="00365D6C"/>
    <w:rsid w:val="0036790A"/>
    <w:rsid w:val="003709DA"/>
    <w:rsid w:val="00372F79"/>
    <w:rsid w:val="00373A96"/>
    <w:rsid w:val="00373D78"/>
    <w:rsid w:val="00373E9C"/>
    <w:rsid w:val="0037404C"/>
    <w:rsid w:val="003741A5"/>
    <w:rsid w:val="00375132"/>
    <w:rsid w:val="00376794"/>
    <w:rsid w:val="00377763"/>
    <w:rsid w:val="00381148"/>
    <w:rsid w:val="0038156A"/>
    <w:rsid w:val="003815A3"/>
    <w:rsid w:val="00382131"/>
    <w:rsid w:val="00382153"/>
    <w:rsid w:val="00382C51"/>
    <w:rsid w:val="00384AAF"/>
    <w:rsid w:val="003854E8"/>
    <w:rsid w:val="003877F0"/>
    <w:rsid w:val="0038784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4EA3"/>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4827"/>
    <w:rsid w:val="003C6670"/>
    <w:rsid w:val="003C6A8F"/>
    <w:rsid w:val="003C6CFA"/>
    <w:rsid w:val="003D25AE"/>
    <w:rsid w:val="003D2CAA"/>
    <w:rsid w:val="003D32E8"/>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ABF"/>
    <w:rsid w:val="003F1EE5"/>
    <w:rsid w:val="003F2814"/>
    <w:rsid w:val="003F2A32"/>
    <w:rsid w:val="003F2A81"/>
    <w:rsid w:val="003F2D69"/>
    <w:rsid w:val="003F2D98"/>
    <w:rsid w:val="003F2EC8"/>
    <w:rsid w:val="003F32CF"/>
    <w:rsid w:val="003F3A2C"/>
    <w:rsid w:val="003F601C"/>
    <w:rsid w:val="003F6625"/>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844"/>
    <w:rsid w:val="00416A2E"/>
    <w:rsid w:val="00416AE5"/>
    <w:rsid w:val="00417067"/>
    <w:rsid w:val="004204D3"/>
    <w:rsid w:val="00420933"/>
    <w:rsid w:val="0042094F"/>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1D6D"/>
    <w:rsid w:val="00432B60"/>
    <w:rsid w:val="0043326F"/>
    <w:rsid w:val="0043396E"/>
    <w:rsid w:val="00433CD9"/>
    <w:rsid w:val="0043516D"/>
    <w:rsid w:val="0043585F"/>
    <w:rsid w:val="00441031"/>
    <w:rsid w:val="00442A6A"/>
    <w:rsid w:val="00442BDB"/>
    <w:rsid w:val="00445291"/>
    <w:rsid w:val="004479B6"/>
    <w:rsid w:val="00450433"/>
    <w:rsid w:val="00452684"/>
    <w:rsid w:val="00453B78"/>
    <w:rsid w:val="00454484"/>
    <w:rsid w:val="0045503A"/>
    <w:rsid w:val="00456165"/>
    <w:rsid w:val="00460149"/>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5DD"/>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49"/>
    <w:rsid w:val="00492DF3"/>
    <w:rsid w:val="00493EFA"/>
    <w:rsid w:val="004949C9"/>
    <w:rsid w:val="00494CF7"/>
    <w:rsid w:val="00495F6C"/>
    <w:rsid w:val="0049768D"/>
    <w:rsid w:val="00497A06"/>
    <w:rsid w:val="00497C3C"/>
    <w:rsid w:val="00497DB9"/>
    <w:rsid w:val="00497F4C"/>
    <w:rsid w:val="004A1256"/>
    <w:rsid w:val="004A1F3B"/>
    <w:rsid w:val="004A34D1"/>
    <w:rsid w:val="004A4442"/>
    <w:rsid w:val="004A4716"/>
    <w:rsid w:val="004A4C45"/>
    <w:rsid w:val="004A636A"/>
    <w:rsid w:val="004A6596"/>
    <w:rsid w:val="004A694E"/>
    <w:rsid w:val="004A7817"/>
    <w:rsid w:val="004A78E3"/>
    <w:rsid w:val="004A794C"/>
    <w:rsid w:val="004B0BE7"/>
    <w:rsid w:val="004B3487"/>
    <w:rsid w:val="004B3E9E"/>
    <w:rsid w:val="004B4939"/>
    <w:rsid w:val="004B56AB"/>
    <w:rsid w:val="004B5A29"/>
    <w:rsid w:val="004B6069"/>
    <w:rsid w:val="004B62CF"/>
    <w:rsid w:val="004B711E"/>
    <w:rsid w:val="004C05B4"/>
    <w:rsid w:val="004C086F"/>
    <w:rsid w:val="004C168F"/>
    <w:rsid w:val="004C271B"/>
    <w:rsid w:val="004C373F"/>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625"/>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483C"/>
    <w:rsid w:val="0050617C"/>
    <w:rsid w:val="00507DCE"/>
    <w:rsid w:val="005101FD"/>
    <w:rsid w:val="005104DB"/>
    <w:rsid w:val="005107B4"/>
    <w:rsid w:val="00511B9A"/>
    <w:rsid w:val="00511DBD"/>
    <w:rsid w:val="00512554"/>
    <w:rsid w:val="00513B70"/>
    <w:rsid w:val="00513C79"/>
    <w:rsid w:val="0051541A"/>
    <w:rsid w:val="00515FC9"/>
    <w:rsid w:val="00516FC7"/>
    <w:rsid w:val="00517837"/>
    <w:rsid w:val="00520D4B"/>
    <w:rsid w:val="00520E14"/>
    <w:rsid w:val="00521538"/>
    <w:rsid w:val="00522237"/>
    <w:rsid w:val="00524437"/>
    <w:rsid w:val="0052454D"/>
    <w:rsid w:val="005245FB"/>
    <w:rsid w:val="00524B1B"/>
    <w:rsid w:val="00524E22"/>
    <w:rsid w:val="00525A4A"/>
    <w:rsid w:val="00526075"/>
    <w:rsid w:val="00526306"/>
    <w:rsid w:val="00527866"/>
    <w:rsid w:val="00530959"/>
    <w:rsid w:val="00533F86"/>
    <w:rsid w:val="00534A2F"/>
    <w:rsid w:val="00534FCA"/>
    <w:rsid w:val="005353E8"/>
    <w:rsid w:val="005374A8"/>
    <w:rsid w:val="00537591"/>
    <w:rsid w:val="00537B92"/>
    <w:rsid w:val="00537FD0"/>
    <w:rsid w:val="005402CC"/>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1ACF"/>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6A1E"/>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3F51"/>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ED2"/>
    <w:rsid w:val="00662F32"/>
    <w:rsid w:val="00663620"/>
    <w:rsid w:val="006642AA"/>
    <w:rsid w:val="00664C79"/>
    <w:rsid w:val="00665366"/>
    <w:rsid w:val="00665397"/>
    <w:rsid w:val="00665D71"/>
    <w:rsid w:val="00666543"/>
    <w:rsid w:val="006665EA"/>
    <w:rsid w:val="0066669F"/>
    <w:rsid w:val="00667981"/>
    <w:rsid w:val="00667CA3"/>
    <w:rsid w:val="0067213D"/>
    <w:rsid w:val="00672286"/>
    <w:rsid w:val="00672580"/>
    <w:rsid w:val="0067270F"/>
    <w:rsid w:val="00673A9F"/>
    <w:rsid w:val="00675DA5"/>
    <w:rsid w:val="00676205"/>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01B"/>
    <w:rsid w:val="006862F6"/>
    <w:rsid w:val="00686335"/>
    <w:rsid w:val="006871DF"/>
    <w:rsid w:val="0068740D"/>
    <w:rsid w:val="00687BB4"/>
    <w:rsid w:val="00690181"/>
    <w:rsid w:val="006909E2"/>
    <w:rsid w:val="006912A9"/>
    <w:rsid w:val="00691C6A"/>
    <w:rsid w:val="006936D1"/>
    <w:rsid w:val="00693C60"/>
    <w:rsid w:val="0069502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12B2"/>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5BE4"/>
    <w:rsid w:val="006C7734"/>
    <w:rsid w:val="006C78DE"/>
    <w:rsid w:val="006C793A"/>
    <w:rsid w:val="006D0311"/>
    <w:rsid w:val="006D07F2"/>
    <w:rsid w:val="006D0E17"/>
    <w:rsid w:val="006D1312"/>
    <w:rsid w:val="006D14F9"/>
    <w:rsid w:val="006D18CD"/>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C3F"/>
    <w:rsid w:val="006F5D9E"/>
    <w:rsid w:val="006F760B"/>
    <w:rsid w:val="00700519"/>
    <w:rsid w:val="00702F60"/>
    <w:rsid w:val="00704B71"/>
    <w:rsid w:val="0070506E"/>
    <w:rsid w:val="0070583C"/>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0F29"/>
    <w:rsid w:val="00733028"/>
    <w:rsid w:val="00734133"/>
    <w:rsid w:val="0073473E"/>
    <w:rsid w:val="00734B1C"/>
    <w:rsid w:val="007371B6"/>
    <w:rsid w:val="00740171"/>
    <w:rsid w:val="0074148E"/>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48F1"/>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597"/>
    <w:rsid w:val="007732A5"/>
    <w:rsid w:val="0077386A"/>
    <w:rsid w:val="00774148"/>
    <w:rsid w:val="007748F7"/>
    <w:rsid w:val="00774C7E"/>
    <w:rsid w:val="00777698"/>
    <w:rsid w:val="007777BC"/>
    <w:rsid w:val="00777A8E"/>
    <w:rsid w:val="00780212"/>
    <w:rsid w:val="00780447"/>
    <w:rsid w:val="0078122C"/>
    <w:rsid w:val="00781394"/>
    <w:rsid w:val="0078192B"/>
    <w:rsid w:val="007845E6"/>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B0"/>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6A6C"/>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2BD8"/>
    <w:rsid w:val="007F3746"/>
    <w:rsid w:val="007F3CE3"/>
    <w:rsid w:val="007F3EA4"/>
    <w:rsid w:val="007F4174"/>
    <w:rsid w:val="007F4E35"/>
    <w:rsid w:val="007F5450"/>
    <w:rsid w:val="007F5A13"/>
    <w:rsid w:val="007F6A9D"/>
    <w:rsid w:val="007F6C03"/>
    <w:rsid w:val="007F72D9"/>
    <w:rsid w:val="007F774A"/>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4F7A"/>
    <w:rsid w:val="00815C2C"/>
    <w:rsid w:val="00816517"/>
    <w:rsid w:val="00817414"/>
    <w:rsid w:val="00817876"/>
    <w:rsid w:val="00821648"/>
    <w:rsid w:val="00821B30"/>
    <w:rsid w:val="008228E3"/>
    <w:rsid w:val="0082398C"/>
    <w:rsid w:val="00823BFE"/>
    <w:rsid w:val="00825E6E"/>
    <w:rsid w:val="00826186"/>
    <w:rsid w:val="008272EF"/>
    <w:rsid w:val="00827622"/>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5014D"/>
    <w:rsid w:val="00851308"/>
    <w:rsid w:val="008519D7"/>
    <w:rsid w:val="00853D37"/>
    <w:rsid w:val="0085432B"/>
    <w:rsid w:val="00854371"/>
    <w:rsid w:val="00854A7C"/>
    <w:rsid w:val="008554E1"/>
    <w:rsid w:val="00857C4F"/>
    <w:rsid w:val="00860860"/>
    <w:rsid w:val="00861015"/>
    <w:rsid w:val="008619FF"/>
    <w:rsid w:val="008622E6"/>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802BF"/>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88E"/>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B9C"/>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3857"/>
    <w:rsid w:val="008F455B"/>
    <w:rsid w:val="008F456D"/>
    <w:rsid w:val="008F4C14"/>
    <w:rsid w:val="008F6008"/>
    <w:rsid w:val="008F6105"/>
    <w:rsid w:val="008F61EA"/>
    <w:rsid w:val="008F70BE"/>
    <w:rsid w:val="008F7306"/>
    <w:rsid w:val="008F7F31"/>
    <w:rsid w:val="008F7F79"/>
    <w:rsid w:val="00900BA8"/>
    <w:rsid w:val="009013D9"/>
    <w:rsid w:val="00901C6F"/>
    <w:rsid w:val="00902AA1"/>
    <w:rsid w:val="009067E4"/>
    <w:rsid w:val="00906937"/>
    <w:rsid w:val="0090740D"/>
    <w:rsid w:val="009075DC"/>
    <w:rsid w:val="00907CA5"/>
    <w:rsid w:val="00910504"/>
    <w:rsid w:val="00911969"/>
    <w:rsid w:val="00911A95"/>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F60"/>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9BB"/>
    <w:rsid w:val="00963C5F"/>
    <w:rsid w:val="00963E83"/>
    <w:rsid w:val="00963F3E"/>
    <w:rsid w:val="009647FA"/>
    <w:rsid w:val="009660DD"/>
    <w:rsid w:val="00966588"/>
    <w:rsid w:val="0096673F"/>
    <w:rsid w:val="00966F57"/>
    <w:rsid w:val="009674C8"/>
    <w:rsid w:val="00967C41"/>
    <w:rsid w:val="009700D6"/>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7EB"/>
    <w:rsid w:val="009A0AD1"/>
    <w:rsid w:val="009A3260"/>
    <w:rsid w:val="009A38BE"/>
    <w:rsid w:val="009A44BD"/>
    <w:rsid w:val="009A49FD"/>
    <w:rsid w:val="009A7BEE"/>
    <w:rsid w:val="009B0C25"/>
    <w:rsid w:val="009B0DB9"/>
    <w:rsid w:val="009B0E8E"/>
    <w:rsid w:val="009B0EB3"/>
    <w:rsid w:val="009B2DD1"/>
    <w:rsid w:val="009B3989"/>
    <w:rsid w:val="009B4814"/>
    <w:rsid w:val="009B64B2"/>
    <w:rsid w:val="009B66A3"/>
    <w:rsid w:val="009B67C5"/>
    <w:rsid w:val="009C04DD"/>
    <w:rsid w:val="009C109B"/>
    <w:rsid w:val="009C17B4"/>
    <w:rsid w:val="009C1C81"/>
    <w:rsid w:val="009C1DF9"/>
    <w:rsid w:val="009C28B1"/>
    <w:rsid w:val="009C3E59"/>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2EED"/>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4EBD"/>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4BD3"/>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7773F"/>
    <w:rsid w:val="00A8078F"/>
    <w:rsid w:val="00A81093"/>
    <w:rsid w:val="00A8135A"/>
    <w:rsid w:val="00A83E17"/>
    <w:rsid w:val="00A84915"/>
    <w:rsid w:val="00A857D7"/>
    <w:rsid w:val="00A8595C"/>
    <w:rsid w:val="00A860B7"/>
    <w:rsid w:val="00A87832"/>
    <w:rsid w:val="00A91720"/>
    <w:rsid w:val="00A925B4"/>
    <w:rsid w:val="00A93F79"/>
    <w:rsid w:val="00A943DE"/>
    <w:rsid w:val="00A94457"/>
    <w:rsid w:val="00A950BE"/>
    <w:rsid w:val="00A95E53"/>
    <w:rsid w:val="00A9627B"/>
    <w:rsid w:val="00A96BA8"/>
    <w:rsid w:val="00A96FF2"/>
    <w:rsid w:val="00AA01A6"/>
    <w:rsid w:val="00AA0A33"/>
    <w:rsid w:val="00AA0DD3"/>
    <w:rsid w:val="00AA0F3E"/>
    <w:rsid w:val="00AA0FB5"/>
    <w:rsid w:val="00AA2435"/>
    <w:rsid w:val="00AA2591"/>
    <w:rsid w:val="00AA3302"/>
    <w:rsid w:val="00AA5FC5"/>
    <w:rsid w:val="00AA63BE"/>
    <w:rsid w:val="00AA63DC"/>
    <w:rsid w:val="00AB0C43"/>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325"/>
    <w:rsid w:val="00AD1846"/>
    <w:rsid w:val="00AD202A"/>
    <w:rsid w:val="00AD2265"/>
    <w:rsid w:val="00AD2E33"/>
    <w:rsid w:val="00AD2ED9"/>
    <w:rsid w:val="00AD32C1"/>
    <w:rsid w:val="00AD4044"/>
    <w:rsid w:val="00AD45F2"/>
    <w:rsid w:val="00AD4673"/>
    <w:rsid w:val="00AD5B81"/>
    <w:rsid w:val="00AD60C1"/>
    <w:rsid w:val="00AD6E2D"/>
    <w:rsid w:val="00AE001C"/>
    <w:rsid w:val="00AE125B"/>
    <w:rsid w:val="00AE2220"/>
    <w:rsid w:val="00AE2E38"/>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3F8"/>
    <w:rsid w:val="00B04D94"/>
    <w:rsid w:val="00B0701E"/>
    <w:rsid w:val="00B07E93"/>
    <w:rsid w:val="00B10D55"/>
    <w:rsid w:val="00B11A09"/>
    <w:rsid w:val="00B11AD6"/>
    <w:rsid w:val="00B14675"/>
    <w:rsid w:val="00B15EDE"/>
    <w:rsid w:val="00B169E7"/>
    <w:rsid w:val="00B16DBD"/>
    <w:rsid w:val="00B205FF"/>
    <w:rsid w:val="00B2143E"/>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A4"/>
    <w:rsid w:val="00B35BF5"/>
    <w:rsid w:val="00B3643A"/>
    <w:rsid w:val="00B3683E"/>
    <w:rsid w:val="00B36A6E"/>
    <w:rsid w:val="00B37133"/>
    <w:rsid w:val="00B373CC"/>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375"/>
    <w:rsid w:val="00B57F98"/>
    <w:rsid w:val="00B603D4"/>
    <w:rsid w:val="00B60DBE"/>
    <w:rsid w:val="00B60EE5"/>
    <w:rsid w:val="00B61FBE"/>
    <w:rsid w:val="00B623C5"/>
    <w:rsid w:val="00B62D23"/>
    <w:rsid w:val="00B63675"/>
    <w:rsid w:val="00B63BC3"/>
    <w:rsid w:val="00B64BF6"/>
    <w:rsid w:val="00B64F79"/>
    <w:rsid w:val="00B658A6"/>
    <w:rsid w:val="00B70408"/>
    <w:rsid w:val="00B7150D"/>
    <w:rsid w:val="00B7217C"/>
    <w:rsid w:val="00B72B8E"/>
    <w:rsid w:val="00B72BF7"/>
    <w:rsid w:val="00B72D3D"/>
    <w:rsid w:val="00B73F34"/>
    <w:rsid w:val="00B73FBB"/>
    <w:rsid w:val="00B77729"/>
    <w:rsid w:val="00B77F80"/>
    <w:rsid w:val="00B8099C"/>
    <w:rsid w:val="00B81686"/>
    <w:rsid w:val="00B81CEF"/>
    <w:rsid w:val="00B82C14"/>
    <w:rsid w:val="00B83A10"/>
    <w:rsid w:val="00B860EB"/>
    <w:rsid w:val="00B861DB"/>
    <w:rsid w:val="00B8622A"/>
    <w:rsid w:val="00B87F43"/>
    <w:rsid w:val="00B91159"/>
    <w:rsid w:val="00B919AD"/>
    <w:rsid w:val="00B93AF6"/>
    <w:rsid w:val="00B95891"/>
    <w:rsid w:val="00B97BA8"/>
    <w:rsid w:val="00BA0677"/>
    <w:rsid w:val="00BA099E"/>
    <w:rsid w:val="00BA0C4B"/>
    <w:rsid w:val="00BA120F"/>
    <w:rsid w:val="00BA17EA"/>
    <w:rsid w:val="00BA18DA"/>
    <w:rsid w:val="00BA35F3"/>
    <w:rsid w:val="00BA3890"/>
    <w:rsid w:val="00BA48E2"/>
    <w:rsid w:val="00BA49FE"/>
    <w:rsid w:val="00BA5292"/>
    <w:rsid w:val="00BA5602"/>
    <w:rsid w:val="00BA5AA3"/>
    <w:rsid w:val="00BA6230"/>
    <w:rsid w:val="00BA6566"/>
    <w:rsid w:val="00BA6F03"/>
    <w:rsid w:val="00BA6F5D"/>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2FCE"/>
    <w:rsid w:val="00BC4460"/>
    <w:rsid w:val="00BC5C6C"/>
    <w:rsid w:val="00BC61EF"/>
    <w:rsid w:val="00BC6885"/>
    <w:rsid w:val="00BC6B8F"/>
    <w:rsid w:val="00BC70E2"/>
    <w:rsid w:val="00BC7443"/>
    <w:rsid w:val="00BD0105"/>
    <w:rsid w:val="00BD094A"/>
    <w:rsid w:val="00BD0FA2"/>
    <w:rsid w:val="00BD1824"/>
    <w:rsid w:val="00BD183D"/>
    <w:rsid w:val="00BD1BF4"/>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3420"/>
    <w:rsid w:val="00C0752B"/>
    <w:rsid w:val="00C10B0E"/>
    <w:rsid w:val="00C10DC6"/>
    <w:rsid w:val="00C10FFE"/>
    <w:rsid w:val="00C11AA7"/>
    <w:rsid w:val="00C12228"/>
    <w:rsid w:val="00C1240D"/>
    <w:rsid w:val="00C128EA"/>
    <w:rsid w:val="00C12ADD"/>
    <w:rsid w:val="00C12C7D"/>
    <w:rsid w:val="00C135F3"/>
    <w:rsid w:val="00C14D1F"/>
    <w:rsid w:val="00C15BB1"/>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3E9D"/>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5480"/>
    <w:rsid w:val="00CD68D0"/>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871"/>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686"/>
    <w:rsid w:val="00D2194B"/>
    <w:rsid w:val="00D22E5B"/>
    <w:rsid w:val="00D231AA"/>
    <w:rsid w:val="00D235DB"/>
    <w:rsid w:val="00D23BFA"/>
    <w:rsid w:val="00D24501"/>
    <w:rsid w:val="00D24B5D"/>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EA9"/>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63F"/>
    <w:rsid w:val="00DB2869"/>
    <w:rsid w:val="00DB2986"/>
    <w:rsid w:val="00DB4898"/>
    <w:rsid w:val="00DB4BE0"/>
    <w:rsid w:val="00DB5488"/>
    <w:rsid w:val="00DB57DE"/>
    <w:rsid w:val="00DB64DC"/>
    <w:rsid w:val="00DB6949"/>
    <w:rsid w:val="00DB707C"/>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73E"/>
    <w:rsid w:val="00DE0149"/>
    <w:rsid w:val="00DE25E3"/>
    <w:rsid w:val="00DE3005"/>
    <w:rsid w:val="00DE37B3"/>
    <w:rsid w:val="00DE4702"/>
    <w:rsid w:val="00DE671B"/>
    <w:rsid w:val="00DE6A65"/>
    <w:rsid w:val="00DE7B5E"/>
    <w:rsid w:val="00DF0490"/>
    <w:rsid w:val="00DF0A93"/>
    <w:rsid w:val="00DF1108"/>
    <w:rsid w:val="00DF1978"/>
    <w:rsid w:val="00DF1AF5"/>
    <w:rsid w:val="00DF1FD2"/>
    <w:rsid w:val="00DF29B8"/>
    <w:rsid w:val="00DF32B7"/>
    <w:rsid w:val="00DF32CD"/>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08EF"/>
    <w:rsid w:val="00E11D2D"/>
    <w:rsid w:val="00E147DB"/>
    <w:rsid w:val="00E152FA"/>
    <w:rsid w:val="00E200CC"/>
    <w:rsid w:val="00E226D5"/>
    <w:rsid w:val="00E243CF"/>
    <w:rsid w:val="00E24D64"/>
    <w:rsid w:val="00E26CC9"/>
    <w:rsid w:val="00E26D82"/>
    <w:rsid w:val="00E26E5A"/>
    <w:rsid w:val="00E2712A"/>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2B91"/>
    <w:rsid w:val="00E43439"/>
    <w:rsid w:val="00E437BD"/>
    <w:rsid w:val="00E43C3A"/>
    <w:rsid w:val="00E44025"/>
    <w:rsid w:val="00E4462B"/>
    <w:rsid w:val="00E458CC"/>
    <w:rsid w:val="00E46107"/>
    <w:rsid w:val="00E467FB"/>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4A8C"/>
    <w:rsid w:val="00E850E4"/>
    <w:rsid w:val="00E85A4A"/>
    <w:rsid w:val="00E909A2"/>
    <w:rsid w:val="00E90D0B"/>
    <w:rsid w:val="00E9290E"/>
    <w:rsid w:val="00E92C09"/>
    <w:rsid w:val="00E93405"/>
    <w:rsid w:val="00E956C2"/>
    <w:rsid w:val="00E9590B"/>
    <w:rsid w:val="00E95995"/>
    <w:rsid w:val="00E967B4"/>
    <w:rsid w:val="00E96B5B"/>
    <w:rsid w:val="00E97F47"/>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2867"/>
    <w:rsid w:val="00EE3ECD"/>
    <w:rsid w:val="00EE43DB"/>
    <w:rsid w:val="00EE4764"/>
    <w:rsid w:val="00EE4FC6"/>
    <w:rsid w:val="00EE5CFE"/>
    <w:rsid w:val="00EE5E3B"/>
    <w:rsid w:val="00EE6F79"/>
    <w:rsid w:val="00EE71F3"/>
    <w:rsid w:val="00EE733F"/>
    <w:rsid w:val="00EF00EC"/>
    <w:rsid w:val="00EF0976"/>
    <w:rsid w:val="00EF0D62"/>
    <w:rsid w:val="00EF2085"/>
    <w:rsid w:val="00EF23F6"/>
    <w:rsid w:val="00EF33AC"/>
    <w:rsid w:val="00EF38A4"/>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BE5"/>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57A62"/>
    <w:rsid w:val="00F60843"/>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1A2D"/>
    <w:rsid w:val="00F83FCD"/>
    <w:rsid w:val="00F8418D"/>
    <w:rsid w:val="00F84F7E"/>
    <w:rsid w:val="00F85D5F"/>
    <w:rsid w:val="00F86242"/>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3A01"/>
    <w:rsid w:val="00FA3D00"/>
    <w:rsid w:val="00FA5DBE"/>
    <w:rsid w:val="00FA6A03"/>
    <w:rsid w:val="00FA70BD"/>
    <w:rsid w:val="00FA79EF"/>
    <w:rsid w:val="00FB0784"/>
    <w:rsid w:val="00FB0BAC"/>
    <w:rsid w:val="00FB1380"/>
    <w:rsid w:val="00FB1952"/>
    <w:rsid w:val="00FB1F00"/>
    <w:rsid w:val="00FB203C"/>
    <w:rsid w:val="00FB25A6"/>
    <w:rsid w:val="00FB39EB"/>
    <w:rsid w:val="00FB52B9"/>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776"/>
    <w:rsid w:val="00FE3F4E"/>
    <w:rsid w:val="00FE4E26"/>
    <w:rsid w:val="00FE4FBA"/>
    <w:rsid w:val="00FE5558"/>
    <w:rsid w:val="00FE661C"/>
    <w:rsid w:val="00FE69BF"/>
    <w:rsid w:val="00FE7709"/>
    <w:rsid w:val="00FE777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
    <w:basedOn w:val="single"/>
    <w:link w:val="FootnoteTextChar"/>
    <w:uiPriority w:val="99"/>
    <w:qFormat/>
    <w:rsid w:val="00EC61B9"/>
    <w:rPr>
      <w:rFonts w:ascii="Times New Roman" w:hAnsi="Times New Roman"/>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aliases w:val="o,fr,Style 3"/>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 Char"/>
    <w:uiPriority w:val="99"/>
    <w:locked/>
    <w:rsid w:val="00B9115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
    <w:basedOn w:val="single"/>
    <w:link w:val="FootnoteTextChar"/>
    <w:uiPriority w:val="99"/>
    <w:qFormat/>
    <w:rsid w:val="00EC61B9"/>
    <w:rPr>
      <w:rFonts w:ascii="Times New Roman" w:hAnsi="Times New Roman"/>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aliases w:val="o,fr,Style 3"/>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 Char"/>
    <w:uiPriority w:val="99"/>
    <w:locked/>
    <w:rsid w:val="00B911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 w:id="9050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73A8-AF84-4DEE-A79A-0623A90018BC}"/>
</file>

<file path=customXml/itemProps2.xml><?xml version="1.0" encoding="utf-8"?>
<ds:datastoreItem xmlns:ds="http://schemas.openxmlformats.org/officeDocument/2006/customXml" ds:itemID="{7449DDE8-F2B3-46F3-9630-2F586E2BB52A}"/>
</file>

<file path=customXml/itemProps3.xml><?xml version="1.0" encoding="utf-8"?>
<ds:datastoreItem xmlns:ds="http://schemas.openxmlformats.org/officeDocument/2006/customXml" ds:itemID="{0A28D7D5-F15A-442C-B40B-2F9C47FCCB2E}"/>
</file>

<file path=customXml/itemProps4.xml><?xml version="1.0" encoding="utf-8"?>
<ds:datastoreItem xmlns:ds="http://schemas.openxmlformats.org/officeDocument/2006/customXml" ds:itemID="{BAD405F5-96F0-4CAF-BE61-0CBCC201C589}"/>
</file>

<file path=customXml/itemProps5.xml><?xml version="1.0" encoding="utf-8"?>
<ds:datastoreItem xmlns:ds="http://schemas.openxmlformats.org/officeDocument/2006/customXml" ds:itemID="{EC231B54-C44E-49B7-9FC0-A874F6A06ECF}"/>
</file>

<file path=docProps/app.xml><?xml version="1.0" encoding="utf-8"?>
<Properties xmlns="http://schemas.openxmlformats.org/officeDocument/2006/extended-properties" xmlns:vt="http://schemas.openxmlformats.org/officeDocument/2006/docPropsVTypes">
  <Template>Normal.dotm</Template>
  <TotalTime>3</TotalTime>
  <Pages>30</Pages>
  <Words>6428</Words>
  <Characters>36645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Barnard, Katherine</dc:creator>
  <cp:lastModifiedBy>No Name</cp:lastModifiedBy>
  <cp:revision>6</cp:revision>
  <cp:lastPrinted>2014-11-04T19:56:00Z</cp:lastPrinted>
  <dcterms:created xsi:type="dcterms:W3CDTF">2014-11-04T20:34:00Z</dcterms:created>
  <dcterms:modified xsi:type="dcterms:W3CDTF">2014-11-05T19:15:00Z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oFAAC41Wbh9etaVcytedg4KjiFuIXanyFsGKImPaiOdML/2rkZTN5vVzX+oiLEJKA5vLGnZmT22ZWg3u
slGj7Xuzt8G9ycoOHSrJk2W4yK9KcDzB7XSNg60KJKKmOTyMDb7LF5VymlK+OceMkNkWYe7DJjCe
UBkqRebVNUaL0iAY8nccYKuRRDwkXAcZ1MG3zely6I/DZ7F9DcGQhP9s8q+E+DNTtdWTOezL7ADW
IjWpsT0i0ejEsFUaE</vt:lpwstr>
  </property>
  <property fmtid="{D5CDD505-2E9C-101B-9397-08002B2CF9AE}" pid="3" name="MAIL_MSG_ID2">
    <vt:lpwstr>0oKSy8prg6tpLJI0W2DEsunDNpljf1GNIf6GXXPigc9w14AIIMWmm11Xpol
qaZ1xKqMEcl8SIyP9hS5WaBvDeoAckvDOq/IlF/vLCOYzZxh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