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89" w:rsidRDefault="00161589" w:rsidP="004F47ED">
      <w:pPr>
        <w:pStyle w:val="Title"/>
        <w:rPr>
          <w:b/>
          <w:bCs/>
          <w:sz w:val="32"/>
          <w:szCs w:val="32"/>
        </w:rPr>
      </w:pPr>
      <w:r>
        <w:rPr>
          <w:b/>
          <w:bCs/>
          <w:sz w:val="32"/>
          <w:szCs w:val="32"/>
        </w:rPr>
        <w:t>Comment Summary for CR-101:</w:t>
      </w:r>
    </w:p>
    <w:p w:rsidR="00161589" w:rsidRPr="00C97262" w:rsidRDefault="00161589" w:rsidP="004F47ED">
      <w:pPr>
        <w:pStyle w:val="Title"/>
        <w:rPr>
          <w:b/>
          <w:bCs/>
          <w:sz w:val="32"/>
          <w:szCs w:val="32"/>
        </w:rPr>
      </w:pPr>
      <w:r>
        <w:rPr>
          <w:b/>
          <w:bCs/>
          <w:sz w:val="32"/>
          <w:szCs w:val="32"/>
        </w:rPr>
        <w:t>Commission Investigation into Natural Gas Conservation Programs</w:t>
      </w:r>
    </w:p>
    <w:p w:rsidR="00161589" w:rsidRPr="00520D4A" w:rsidRDefault="00161589" w:rsidP="004F47ED">
      <w:pPr>
        <w:jc w:val="center"/>
      </w:pPr>
    </w:p>
    <w:p w:rsidR="00161589" w:rsidRPr="00520D4A" w:rsidRDefault="004F47ED" w:rsidP="004F47ED">
      <w:pPr>
        <w:jc w:val="center"/>
      </w:pPr>
      <w:r>
        <w:t>November 16</w:t>
      </w:r>
      <w:r w:rsidR="00161589">
        <w:t>, 2012</w:t>
      </w:r>
    </w:p>
    <w:p w:rsidR="00161589" w:rsidRDefault="00161589" w:rsidP="00161589">
      <w:pPr>
        <w:jc w:val="center"/>
        <w:rPr>
          <w:b/>
          <w:sz w:val="26"/>
          <w:szCs w:val="26"/>
        </w:rPr>
      </w:pPr>
    </w:p>
    <w:p w:rsidR="00161589" w:rsidRPr="0052193D" w:rsidRDefault="00161589" w:rsidP="00161589">
      <w:pPr>
        <w:jc w:val="center"/>
        <w:rPr>
          <w:b/>
          <w:sz w:val="26"/>
          <w:szCs w:val="26"/>
        </w:rPr>
      </w:pPr>
    </w:p>
    <w:p w:rsidR="00161589" w:rsidRPr="00346E2A" w:rsidRDefault="00161589" w:rsidP="00161589">
      <w:pPr>
        <w:pStyle w:val="Heading1"/>
        <w:keepLines w:val="0"/>
        <w:numPr>
          <w:ilvl w:val="0"/>
          <w:numId w:val="12"/>
        </w:numPr>
        <w:tabs>
          <w:tab w:val="left" w:pos="360"/>
        </w:tabs>
        <w:spacing w:before="0"/>
        <w:ind w:left="360"/>
        <w:rPr>
          <w:b/>
        </w:rPr>
      </w:pPr>
      <w:r w:rsidRPr="00346E2A">
        <w:rPr>
          <w:b/>
        </w:rPr>
        <w:t>What are the appropriate assumptions or factors to include in natural gas avoided cost calculations?</w:t>
      </w:r>
    </w:p>
    <w:p w:rsidR="00161589" w:rsidRDefault="00161589" w:rsidP="00161589">
      <w:pPr>
        <w:pStyle w:val="Heading1"/>
      </w:pPr>
      <w:r w:rsidRPr="00346E2A">
        <w:t>General characteristics of avoided cost calculations</w:t>
      </w:r>
    </w:p>
    <w:p w:rsidR="00161589" w:rsidRPr="00346E2A" w:rsidRDefault="00161589" w:rsidP="00161589"/>
    <w:p w:rsidR="00161589" w:rsidRDefault="00161589" w:rsidP="00161589">
      <w:pPr>
        <w:rPr>
          <w:sz w:val="26"/>
          <w:szCs w:val="26"/>
        </w:rPr>
      </w:pPr>
      <w:proofErr w:type="gramStart"/>
      <w:r w:rsidRPr="0052193D">
        <w:rPr>
          <w:b/>
          <w:sz w:val="26"/>
          <w:szCs w:val="26"/>
        </w:rPr>
        <w:t>Comment.</w:t>
      </w:r>
      <w:proofErr w:type="gramEnd"/>
      <w:r>
        <w:rPr>
          <w:b/>
          <w:sz w:val="26"/>
          <w:szCs w:val="26"/>
        </w:rPr>
        <w:t xml:space="preserve"> </w:t>
      </w:r>
      <w:r>
        <w:rPr>
          <w:sz w:val="26"/>
          <w:szCs w:val="26"/>
        </w:rPr>
        <w:t>Puget Sound Energy (PSE) separately calculates avoided costs for the six end-uses which are representative of the measures offered through Energy Efficiency Services programs.</w:t>
      </w:r>
    </w:p>
    <w:p w:rsidR="00161589" w:rsidRDefault="00161589" w:rsidP="00161589">
      <w:pPr>
        <w:numPr>
          <w:ilvl w:val="0"/>
          <w:numId w:val="15"/>
        </w:numPr>
        <w:rPr>
          <w:sz w:val="26"/>
          <w:szCs w:val="26"/>
        </w:rPr>
      </w:pPr>
      <w:r>
        <w:rPr>
          <w:sz w:val="26"/>
          <w:szCs w:val="26"/>
        </w:rPr>
        <w:t>Measures offered by EES save energy at different times throughout the year.</w:t>
      </w:r>
    </w:p>
    <w:p w:rsidR="00161589" w:rsidRDefault="00161589" w:rsidP="00161589">
      <w:pPr>
        <w:numPr>
          <w:ilvl w:val="1"/>
          <w:numId w:val="15"/>
        </w:numPr>
        <w:rPr>
          <w:sz w:val="26"/>
          <w:szCs w:val="26"/>
        </w:rPr>
      </w:pPr>
      <w:r>
        <w:rPr>
          <w:sz w:val="26"/>
          <w:szCs w:val="26"/>
        </w:rPr>
        <w:t xml:space="preserve">Energy costs vary throughout the year, making the avoided costs dependent on timing of savings. </w:t>
      </w:r>
    </w:p>
    <w:p w:rsidR="00161589" w:rsidRPr="00AC11B2" w:rsidRDefault="00161589" w:rsidP="00161589">
      <w:pPr>
        <w:numPr>
          <w:ilvl w:val="1"/>
          <w:numId w:val="15"/>
        </w:numPr>
        <w:rPr>
          <w:sz w:val="26"/>
          <w:szCs w:val="26"/>
        </w:rPr>
      </w:pPr>
      <w:r>
        <w:rPr>
          <w:sz w:val="26"/>
          <w:szCs w:val="26"/>
        </w:rPr>
        <w:t>Measures which save energy on the peak day avoid additional pipeline demand charges and distribution capacity costs.</w:t>
      </w:r>
      <w:r>
        <w:rPr>
          <w:rStyle w:val="FootnoteReference"/>
          <w:sz w:val="26"/>
          <w:szCs w:val="26"/>
        </w:rPr>
        <w:footnoteReference w:id="1"/>
      </w:r>
      <w:r>
        <w:rPr>
          <w:sz w:val="26"/>
          <w:szCs w:val="26"/>
        </w:rPr>
        <w:t xml:space="preserve"> </w:t>
      </w:r>
    </w:p>
    <w:p w:rsidR="00161589" w:rsidRDefault="00161589" w:rsidP="00161589">
      <w:pPr>
        <w:rPr>
          <w:b/>
        </w:rPr>
      </w:pPr>
    </w:p>
    <w:p w:rsidR="00161589" w:rsidRPr="0052193D" w:rsidRDefault="00161589" w:rsidP="00161589">
      <w:pPr>
        <w:pStyle w:val="Heading1"/>
        <w:rPr>
          <w:szCs w:val="26"/>
        </w:rPr>
      </w:pPr>
      <w:r w:rsidRPr="0052193D">
        <w:rPr>
          <w:szCs w:val="26"/>
        </w:rPr>
        <w:t>Inputs for avoided cost calculations</w:t>
      </w:r>
    </w:p>
    <w:p w:rsidR="00161589" w:rsidRDefault="00161589" w:rsidP="00161589">
      <w:pPr>
        <w:rPr>
          <w:b/>
          <w:sz w:val="26"/>
          <w:szCs w:val="26"/>
        </w:rPr>
      </w:pPr>
    </w:p>
    <w:p w:rsidR="00161589" w:rsidRDefault="00161589" w:rsidP="00161589">
      <w:pPr>
        <w:rPr>
          <w:sz w:val="26"/>
          <w:szCs w:val="26"/>
        </w:rPr>
      </w:pPr>
      <w:proofErr w:type="gramStart"/>
      <w:r w:rsidRPr="0052193D">
        <w:rPr>
          <w:b/>
          <w:sz w:val="26"/>
          <w:szCs w:val="26"/>
        </w:rPr>
        <w:t>Comment.</w:t>
      </w:r>
      <w:proofErr w:type="gramEnd"/>
      <w:r>
        <w:rPr>
          <w:b/>
          <w:sz w:val="26"/>
          <w:szCs w:val="26"/>
        </w:rPr>
        <w:t xml:space="preserve"> </w:t>
      </w:r>
      <w:r>
        <w:rPr>
          <w:sz w:val="26"/>
          <w:szCs w:val="26"/>
        </w:rPr>
        <w:t>PSE calculates total avoided costs of natural gas includes the:</w:t>
      </w:r>
    </w:p>
    <w:p w:rsidR="00161589" w:rsidRDefault="00161589" w:rsidP="00161589">
      <w:pPr>
        <w:numPr>
          <w:ilvl w:val="0"/>
          <w:numId w:val="13"/>
        </w:numPr>
        <w:rPr>
          <w:sz w:val="26"/>
          <w:szCs w:val="26"/>
        </w:rPr>
      </w:pPr>
      <w:proofErr w:type="gramStart"/>
      <w:r>
        <w:rPr>
          <w:sz w:val="26"/>
          <w:szCs w:val="26"/>
        </w:rPr>
        <w:t>weighted</w:t>
      </w:r>
      <w:proofErr w:type="gramEnd"/>
      <w:r>
        <w:rPr>
          <w:sz w:val="26"/>
          <w:szCs w:val="26"/>
        </w:rPr>
        <w:t xml:space="preserve"> average annual market prices of natural gas.</w:t>
      </w:r>
    </w:p>
    <w:p w:rsidR="00161589" w:rsidRDefault="00161589" w:rsidP="00161589">
      <w:pPr>
        <w:numPr>
          <w:ilvl w:val="0"/>
          <w:numId w:val="13"/>
        </w:numPr>
        <w:rPr>
          <w:sz w:val="26"/>
          <w:szCs w:val="26"/>
        </w:rPr>
      </w:pPr>
      <w:proofErr w:type="gramStart"/>
      <w:r>
        <w:rPr>
          <w:sz w:val="26"/>
          <w:szCs w:val="26"/>
        </w:rPr>
        <w:t>avoided</w:t>
      </w:r>
      <w:proofErr w:type="gramEnd"/>
      <w:r>
        <w:rPr>
          <w:sz w:val="26"/>
          <w:szCs w:val="26"/>
        </w:rPr>
        <w:t xml:space="preserve"> pipeline demand charge.</w:t>
      </w:r>
    </w:p>
    <w:p w:rsidR="00161589" w:rsidRDefault="00161589" w:rsidP="00161589">
      <w:pPr>
        <w:numPr>
          <w:ilvl w:val="0"/>
          <w:numId w:val="13"/>
        </w:numPr>
        <w:rPr>
          <w:sz w:val="26"/>
          <w:szCs w:val="26"/>
        </w:rPr>
      </w:pPr>
      <w:proofErr w:type="gramStart"/>
      <w:r>
        <w:rPr>
          <w:sz w:val="26"/>
          <w:szCs w:val="26"/>
        </w:rPr>
        <w:t>avoided</w:t>
      </w:r>
      <w:proofErr w:type="gramEnd"/>
      <w:r>
        <w:rPr>
          <w:sz w:val="26"/>
          <w:szCs w:val="26"/>
        </w:rPr>
        <w:t xml:space="preserve"> pipeline variable transportation charge.</w:t>
      </w:r>
    </w:p>
    <w:p w:rsidR="00161589" w:rsidRDefault="00161589" w:rsidP="00161589">
      <w:pPr>
        <w:numPr>
          <w:ilvl w:val="0"/>
          <w:numId w:val="13"/>
        </w:numPr>
        <w:rPr>
          <w:sz w:val="26"/>
          <w:szCs w:val="26"/>
        </w:rPr>
      </w:pPr>
      <w:proofErr w:type="gramStart"/>
      <w:r>
        <w:rPr>
          <w:sz w:val="26"/>
          <w:szCs w:val="26"/>
        </w:rPr>
        <w:t>avoided</w:t>
      </w:r>
      <w:proofErr w:type="gramEnd"/>
      <w:r>
        <w:rPr>
          <w:sz w:val="26"/>
          <w:szCs w:val="26"/>
        </w:rPr>
        <w:t xml:space="preserve"> pipeline fuel reimbursement charge.</w:t>
      </w:r>
    </w:p>
    <w:p w:rsidR="00161589" w:rsidRDefault="00161589" w:rsidP="00161589">
      <w:pPr>
        <w:numPr>
          <w:ilvl w:val="0"/>
          <w:numId w:val="13"/>
        </w:numPr>
        <w:rPr>
          <w:sz w:val="26"/>
          <w:szCs w:val="26"/>
        </w:rPr>
      </w:pPr>
      <w:proofErr w:type="gramStart"/>
      <w:r>
        <w:rPr>
          <w:sz w:val="26"/>
          <w:szCs w:val="26"/>
        </w:rPr>
        <w:t>avoided</w:t>
      </w:r>
      <w:proofErr w:type="gramEnd"/>
      <w:r>
        <w:rPr>
          <w:sz w:val="26"/>
          <w:szCs w:val="26"/>
        </w:rPr>
        <w:t xml:space="preserve"> distribution capacity costs.</w:t>
      </w:r>
      <w:r>
        <w:rPr>
          <w:rStyle w:val="FootnoteReference"/>
          <w:sz w:val="26"/>
          <w:szCs w:val="26"/>
        </w:rPr>
        <w:footnoteReference w:id="2"/>
      </w:r>
      <w:r>
        <w:rPr>
          <w:sz w:val="26"/>
          <w:szCs w:val="26"/>
        </w:rPr>
        <w:t xml:space="preserve"> </w:t>
      </w:r>
    </w:p>
    <w:p w:rsidR="00161589" w:rsidRDefault="00161589" w:rsidP="00161589">
      <w:pPr>
        <w:rPr>
          <w:sz w:val="26"/>
          <w:szCs w:val="26"/>
        </w:rPr>
      </w:pPr>
    </w:p>
    <w:p w:rsidR="00161589" w:rsidRDefault="00161589" w:rsidP="00161589">
      <w:pPr>
        <w:rPr>
          <w:sz w:val="26"/>
          <w:szCs w:val="26"/>
        </w:rPr>
      </w:pPr>
      <w:r>
        <w:rPr>
          <w:sz w:val="26"/>
          <w:szCs w:val="26"/>
        </w:rPr>
        <w:t xml:space="preserve">Cascade Natural Gas Corporation (CNGC) believes that avoided costs should only consider capacity-related costs as: </w:t>
      </w:r>
    </w:p>
    <w:p w:rsidR="00161589" w:rsidRDefault="00161589" w:rsidP="00161589">
      <w:pPr>
        <w:numPr>
          <w:ilvl w:val="0"/>
          <w:numId w:val="2"/>
        </w:numPr>
        <w:rPr>
          <w:sz w:val="26"/>
          <w:szCs w:val="26"/>
        </w:rPr>
      </w:pPr>
      <w:proofErr w:type="gramStart"/>
      <w:r>
        <w:rPr>
          <w:sz w:val="26"/>
          <w:szCs w:val="26"/>
        </w:rPr>
        <w:t>companies</w:t>
      </w:r>
      <w:proofErr w:type="gramEnd"/>
      <w:r>
        <w:rPr>
          <w:sz w:val="26"/>
          <w:szCs w:val="26"/>
        </w:rPr>
        <w:t xml:space="preserve"> have no control over the market or the price.</w:t>
      </w:r>
    </w:p>
    <w:p w:rsidR="00161589" w:rsidRDefault="00161589" w:rsidP="00161589">
      <w:pPr>
        <w:numPr>
          <w:ilvl w:val="0"/>
          <w:numId w:val="2"/>
        </w:numPr>
        <w:rPr>
          <w:sz w:val="26"/>
          <w:szCs w:val="26"/>
        </w:rPr>
      </w:pPr>
      <w:proofErr w:type="gramStart"/>
      <w:r>
        <w:rPr>
          <w:sz w:val="26"/>
          <w:szCs w:val="26"/>
        </w:rPr>
        <w:t>commodity</w:t>
      </w:r>
      <w:proofErr w:type="gramEnd"/>
      <w:r>
        <w:rPr>
          <w:sz w:val="26"/>
          <w:szCs w:val="26"/>
        </w:rPr>
        <w:t xml:space="preserve"> costs are a complete pass through (not a cost avoided by a change in usage). </w:t>
      </w:r>
    </w:p>
    <w:p w:rsidR="00161589" w:rsidRDefault="00161589" w:rsidP="00161589">
      <w:pPr>
        <w:numPr>
          <w:ilvl w:val="1"/>
          <w:numId w:val="2"/>
        </w:numPr>
        <w:rPr>
          <w:sz w:val="26"/>
          <w:szCs w:val="26"/>
        </w:rPr>
      </w:pPr>
      <w:r>
        <w:rPr>
          <w:sz w:val="26"/>
          <w:szCs w:val="26"/>
        </w:rPr>
        <w:lastRenderedPageBreak/>
        <w:t>Customers will consider actual gas costs when deciding whether to make an investment regardless of whether gas supply or commodity costs are redundantly built into the equation.</w:t>
      </w:r>
    </w:p>
    <w:p w:rsidR="00161589" w:rsidRDefault="00161589" w:rsidP="00161589">
      <w:pPr>
        <w:numPr>
          <w:ilvl w:val="0"/>
          <w:numId w:val="2"/>
        </w:numPr>
        <w:rPr>
          <w:sz w:val="26"/>
          <w:szCs w:val="26"/>
        </w:rPr>
      </w:pPr>
      <w:proofErr w:type="gramStart"/>
      <w:r>
        <w:rPr>
          <w:sz w:val="26"/>
          <w:szCs w:val="26"/>
        </w:rPr>
        <w:t>conservation</w:t>
      </w:r>
      <w:proofErr w:type="gramEnd"/>
      <w:r>
        <w:rPr>
          <w:sz w:val="26"/>
          <w:szCs w:val="26"/>
        </w:rPr>
        <w:t xml:space="preserve"> programs have no impact on the price.</w:t>
      </w:r>
      <w:r>
        <w:rPr>
          <w:rStyle w:val="FootnoteReference"/>
          <w:sz w:val="26"/>
          <w:szCs w:val="26"/>
        </w:rPr>
        <w:footnoteReference w:id="3"/>
      </w:r>
      <w:r>
        <w:rPr>
          <w:sz w:val="26"/>
          <w:szCs w:val="26"/>
        </w:rPr>
        <w:t xml:space="preserve">  </w:t>
      </w:r>
    </w:p>
    <w:p w:rsidR="00161589" w:rsidRDefault="00161589" w:rsidP="00161589">
      <w:pPr>
        <w:rPr>
          <w:sz w:val="26"/>
          <w:szCs w:val="26"/>
        </w:rPr>
      </w:pPr>
    </w:p>
    <w:p w:rsidR="00161589" w:rsidRDefault="00161589" w:rsidP="00161589">
      <w:pPr>
        <w:rPr>
          <w:sz w:val="26"/>
          <w:szCs w:val="26"/>
        </w:rPr>
      </w:pPr>
      <w:r>
        <w:rPr>
          <w:sz w:val="26"/>
          <w:szCs w:val="26"/>
        </w:rPr>
        <w:t xml:space="preserve">Therefore, CNGC recommends using the: </w:t>
      </w:r>
    </w:p>
    <w:p w:rsidR="00161589" w:rsidRDefault="00161589" w:rsidP="00161589">
      <w:pPr>
        <w:numPr>
          <w:ilvl w:val="0"/>
          <w:numId w:val="16"/>
        </w:numPr>
        <w:rPr>
          <w:sz w:val="26"/>
          <w:szCs w:val="26"/>
        </w:rPr>
      </w:pPr>
      <w:proofErr w:type="gramStart"/>
      <w:r>
        <w:rPr>
          <w:sz w:val="26"/>
          <w:szCs w:val="26"/>
        </w:rPr>
        <w:t>costs</w:t>
      </w:r>
      <w:proofErr w:type="gramEnd"/>
      <w:r>
        <w:rPr>
          <w:sz w:val="26"/>
          <w:szCs w:val="26"/>
        </w:rPr>
        <w:t xml:space="preserve"> of constructing additional pipeline.</w:t>
      </w:r>
    </w:p>
    <w:p w:rsidR="00161589" w:rsidRDefault="00161589" w:rsidP="00161589">
      <w:pPr>
        <w:numPr>
          <w:ilvl w:val="0"/>
          <w:numId w:val="16"/>
        </w:numPr>
        <w:rPr>
          <w:sz w:val="26"/>
          <w:szCs w:val="26"/>
        </w:rPr>
      </w:pPr>
      <w:proofErr w:type="gramStart"/>
      <w:r>
        <w:rPr>
          <w:sz w:val="26"/>
          <w:szCs w:val="26"/>
        </w:rPr>
        <w:t>costs</w:t>
      </w:r>
      <w:proofErr w:type="gramEnd"/>
      <w:r>
        <w:rPr>
          <w:sz w:val="26"/>
          <w:szCs w:val="26"/>
        </w:rPr>
        <w:t xml:space="preserve"> of constructing additional distribution system.</w:t>
      </w:r>
    </w:p>
    <w:p w:rsidR="00161589" w:rsidRDefault="00161589" w:rsidP="00161589">
      <w:pPr>
        <w:numPr>
          <w:ilvl w:val="0"/>
          <w:numId w:val="16"/>
        </w:numPr>
        <w:rPr>
          <w:sz w:val="26"/>
          <w:szCs w:val="26"/>
        </w:rPr>
      </w:pPr>
      <w:proofErr w:type="gramStart"/>
      <w:r>
        <w:rPr>
          <w:sz w:val="26"/>
          <w:szCs w:val="26"/>
        </w:rPr>
        <w:t>inflation</w:t>
      </w:r>
      <w:proofErr w:type="gramEnd"/>
      <w:r>
        <w:rPr>
          <w:sz w:val="26"/>
          <w:szCs w:val="26"/>
        </w:rPr>
        <w:t xml:space="preserve"> of these costs over time.</w:t>
      </w:r>
      <w:r>
        <w:rPr>
          <w:rStyle w:val="FootnoteReference"/>
          <w:sz w:val="26"/>
          <w:szCs w:val="26"/>
        </w:rPr>
        <w:footnoteReference w:id="4"/>
      </w:r>
      <w:r>
        <w:rPr>
          <w:sz w:val="26"/>
          <w:szCs w:val="26"/>
        </w:rPr>
        <w:t xml:space="preserve"> </w:t>
      </w:r>
    </w:p>
    <w:p w:rsidR="00161589" w:rsidRDefault="00161589" w:rsidP="00161589">
      <w:pPr>
        <w:rPr>
          <w:sz w:val="26"/>
          <w:szCs w:val="26"/>
        </w:rPr>
      </w:pPr>
    </w:p>
    <w:p w:rsidR="00161589" w:rsidRDefault="00161589" w:rsidP="00161589">
      <w:pPr>
        <w:rPr>
          <w:sz w:val="26"/>
          <w:szCs w:val="26"/>
        </w:rPr>
      </w:pPr>
      <w:r>
        <w:rPr>
          <w:sz w:val="26"/>
          <w:szCs w:val="26"/>
        </w:rPr>
        <w:t>CNGC provides a caveat to removing commodity costs from the avoided cost:</w:t>
      </w:r>
    </w:p>
    <w:p w:rsidR="00161589" w:rsidRDefault="00161589" w:rsidP="00161589">
      <w:pPr>
        <w:numPr>
          <w:ilvl w:val="0"/>
          <w:numId w:val="27"/>
        </w:numPr>
        <w:rPr>
          <w:sz w:val="26"/>
          <w:szCs w:val="26"/>
        </w:rPr>
      </w:pPr>
      <w:r>
        <w:rPr>
          <w:sz w:val="26"/>
          <w:szCs w:val="26"/>
        </w:rPr>
        <w:t>Revise cost-effectiveness threshold to ensure that the approach did not unnecessarily preclude rebates that remained in the public interest.</w:t>
      </w:r>
      <w:r>
        <w:rPr>
          <w:rStyle w:val="FootnoteReference"/>
          <w:sz w:val="26"/>
          <w:szCs w:val="26"/>
        </w:rPr>
        <w:footnoteReference w:id="5"/>
      </w:r>
    </w:p>
    <w:p w:rsidR="00161589" w:rsidRDefault="00161589" w:rsidP="00161589">
      <w:pPr>
        <w:ind w:left="720"/>
        <w:rPr>
          <w:sz w:val="26"/>
          <w:szCs w:val="26"/>
        </w:rPr>
      </w:pPr>
    </w:p>
    <w:p w:rsidR="00161589" w:rsidRDefault="00161589" w:rsidP="00161589">
      <w:pPr>
        <w:rPr>
          <w:sz w:val="26"/>
          <w:szCs w:val="26"/>
        </w:rPr>
      </w:pPr>
      <w:r>
        <w:rPr>
          <w:sz w:val="26"/>
          <w:szCs w:val="26"/>
        </w:rPr>
        <w:t>Northwest Natural Gas Company’s (NW Natural) current avoided cost is comprised of:</w:t>
      </w:r>
    </w:p>
    <w:p w:rsidR="00161589" w:rsidRDefault="00161589" w:rsidP="00161589">
      <w:pPr>
        <w:numPr>
          <w:ilvl w:val="0"/>
          <w:numId w:val="22"/>
        </w:numPr>
        <w:rPr>
          <w:sz w:val="26"/>
          <w:szCs w:val="26"/>
        </w:rPr>
      </w:pPr>
      <w:proofErr w:type="gramStart"/>
      <w:r>
        <w:rPr>
          <w:sz w:val="26"/>
          <w:szCs w:val="26"/>
        </w:rPr>
        <w:t>the</w:t>
      </w:r>
      <w:proofErr w:type="gramEnd"/>
      <w:r>
        <w:rPr>
          <w:sz w:val="26"/>
          <w:szCs w:val="26"/>
        </w:rPr>
        <w:t xml:space="preserve"> long-term gas price forecast compiled from Intercontinental Exchange (ICE) futures and a consultant’s gas price forecast.</w:t>
      </w:r>
    </w:p>
    <w:p w:rsidR="00161589" w:rsidRDefault="00161589" w:rsidP="00161589">
      <w:pPr>
        <w:numPr>
          <w:ilvl w:val="0"/>
          <w:numId w:val="22"/>
        </w:numPr>
        <w:rPr>
          <w:sz w:val="26"/>
          <w:szCs w:val="26"/>
        </w:rPr>
      </w:pPr>
      <w:proofErr w:type="gramStart"/>
      <w:r>
        <w:rPr>
          <w:sz w:val="26"/>
          <w:szCs w:val="26"/>
        </w:rPr>
        <w:t>gas</w:t>
      </w:r>
      <w:proofErr w:type="gramEnd"/>
      <w:r>
        <w:rPr>
          <w:sz w:val="26"/>
          <w:szCs w:val="26"/>
        </w:rPr>
        <w:t xml:space="preserve"> storage carrying costs for inventory.</w:t>
      </w:r>
    </w:p>
    <w:p w:rsidR="00161589" w:rsidRDefault="00161589" w:rsidP="00161589">
      <w:pPr>
        <w:numPr>
          <w:ilvl w:val="0"/>
          <w:numId w:val="22"/>
        </w:numPr>
        <w:rPr>
          <w:sz w:val="26"/>
          <w:szCs w:val="26"/>
        </w:rPr>
      </w:pPr>
      <w:proofErr w:type="gramStart"/>
      <w:r>
        <w:rPr>
          <w:sz w:val="26"/>
          <w:szCs w:val="26"/>
        </w:rPr>
        <w:t>upstream</w:t>
      </w:r>
      <w:proofErr w:type="gramEnd"/>
      <w:r>
        <w:rPr>
          <w:sz w:val="26"/>
          <w:szCs w:val="26"/>
        </w:rPr>
        <w:t xml:space="preserve"> variable transmission costs.</w:t>
      </w:r>
    </w:p>
    <w:p w:rsidR="00161589" w:rsidRDefault="00161589" w:rsidP="00161589">
      <w:pPr>
        <w:numPr>
          <w:ilvl w:val="0"/>
          <w:numId w:val="22"/>
        </w:numPr>
        <w:rPr>
          <w:sz w:val="26"/>
          <w:szCs w:val="26"/>
        </w:rPr>
      </w:pPr>
      <w:proofErr w:type="gramStart"/>
      <w:r>
        <w:rPr>
          <w:sz w:val="26"/>
          <w:szCs w:val="26"/>
        </w:rPr>
        <w:t>peak-related</w:t>
      </w:r>
      <w:proofErr w:type="gramEnd"/>
      <w:r>
        <w:rPr>
          <w:sz w:val="26"/>
          <w:szCs w:val="26"/>
        </w:rPr>
        <w:t xml:space="preserve"> on-system transmission costs.</w:t>
      </w:r>
    </w:p>
    <w:p w:rsidR="00161589" w:rsidRDefault="00161589" w:rsidP="00161589">
      <w:pPr>
        <w:numPr>
          <w:ilvl w:val="0"/>
          <w:numId w:val="22"/>
        </w:numPr>
        <w:rPr>
          <w:sz w:val="26"/>
          <w:szCs w:val="26"/>
        </w:rPr>
      </w:pPr>
      <w:proofErr w:type="gramStart"/>
      <w:r>
        <w:rPr>
          <w:sz w:val="26"/>
          <w:szCs w:val="26"/>
        </w:rPr>
        <w:t>a</w:t>
      </w:r>
      <w:proofErr w:type="gramEnd"/>
      <w:r>
        <w:rPr>
          <w:sz w:val="26"/>
          <w:szCs w:val="26"/>
        </w:rPr>
        <w:t xml:space="preserve"> 10% adder for unidentified environmental benefits.</w:t>
      </w:r>
    </w:p>
    <w:p w:rsidR="00161589" w:rsidRDefault="00161589" w:rsidP="00161589">
      <w:pPr>
        <w:numPr>
          <w:ilvl w:val="1"/>
          <w:numId w:val="22"/>
        </w:numPr>
        <w:rPr>
          <w:sz w:val="26"/>
          <w:szCs w:val="26"/>
        </w:rPr>
      </w:pPr>
      <w:proofErr w:type="gramStart"/>
      <w:r>
        <w:rPr>
          <w:sz w:val="26"/>
          <w:szCs w:val="26"/>
        </w:rPr>
        <w:t>recommended</w:t>
      </w:r>
      <w:proofErr w:type="gramEnd"/>
      <w:r>
        <w:rPr>
          <w:sz w:val="26"/>
          <w:szCs w:val="26"/>
        </w:rPr>
        <w:t xml:space="preserve"> by the Northwest Power and Conservation Council.</w:t>
      </w:r>
      <w:r>
        <w:rPr>
          <w:rStyle w:val="FootnoteReference"/>
          <w:sz w:val="26"/>
          <w:szCs w:val="26"/>
        </w:rPr>
        <w:footnoteReference w:id="6"/>
      </w:r>
    </w:p>
    <w:p w:rsidR="00161589" w:rsidRDefault="00161589" w:rsidP="00161589">
      <w:pPr>
        <w:rPr>
          <w:sz w:val="26"/>
          <w:szCs w:val="26"/>
        </w:rPr>
      </w:pPr>
    </w:p>
    <w:p w:rsidR="00161589" w:rsidRDefault="00161589" w:rsidP="00161589">
      <w:pPr>
        <w:rPr>
          <w:sz w:val="26"/>
          <w:szCs w:val="26"/>
        </w:rPr>
      </w:pPr>
      <w:r>
        <w:rPr>
          <w:sz w:val="26"/>
          <w:szCs w:val="26"/>
        </w:rPr>
        <w:t>NW Natural is currently considering whether or not it would be more accurate to use a long-run marginal cost as opposed to the short-run marginal cost currently used for the commodity portion of their avoided cost.</w:t>
      </w:r>
    </w:p>
    <w:p w:rsidR="00161589" w:rsidRDefault="00161589" w:rsidP="00161589">
      <w:pPr>
        <w:numPr>
          <w:ilvl w:val="0"/>
          <w:numId w:val="23"/>
        </w:numPr>
        <w:rPr>
          <w:sz w:val="26"/>
          <w:szCs w:val="26"/>
        </w:rPr>
      </w:pPr>
      <w:r>
        <w:rPr>
          <w:sz w:val="26"/>
          <w:szCs w:val="26"/>
        </w:rPr>
        <w:t>Savings from efficiency measures accrue over time.</w:t>
      </w:r>
      <w:r>
        <w:rPr>
          <w:rStyle w:val="FootnoteReference"/>
          <w:sz w:val="26"/>
          <w:szCs w:val="26"/>
        </w:rPr>
        <w:footnoteReference w:id="7"/>
      </w:r>
      <w:r>
        <w:rPr>
          <w:sz w:val="26"/>
          <w:szCs w:val="26"/>
        </w:rPr>
        <w:t xml:space="preserve"> </w:t>
      </w:r>
    </w:p>
    <w:p w:rsidR="00161589" w:rsidRDefault="00161589" w:rsidP="00161589">
      <w:pPr>
        <w:rPr>
          <w:sz w:val="26"/>
          <w:szCs w:val="26"/>
        </w:rPr>
      </w:pPr>
    </w:p>
    <w:p w:rsidR="00161589" w:rsidRDefault="00161589" w:rsidP="00161589">
      <w:pPr>
        <w:rPr>
          <w:sz w:val="26"/>
          <w:szCs w:val="26"/>
        </w:rPr>
      </w:pPr>
      <w:r>
        <w:rPr>
          <w:sz w:val="26"/>
          <w:szCs w:val="26"/>
        </w:rPr>
        <w:t>The NW Energy Coalition (Coalition) recommends including the:</w:t>
      </w:r>
    </w:p>
    <w:p w:rsidR="00161589" w:rsidRDefault="00161589" w:rsidP="00161589">
      <w:pPr>
        <w:numPr>
          <w:ilvl w:val="0"/>
          <w:numId w:val="18"/>
        </w:numPr>
        <w:rPr>
          <w:sz w:val="26"/>
          <w:szCs w:val="26"/>
        </w:rPr>
      </w:pPr>
      <w:proofErr w:type="gramStart"/>
      <w:r>
        <w:rPr>
          <w:sz w:val="26"/>
          <w:szCs w:val="26"/>
        </w:rPr>
        <w:t>avoided</w:t>
      </w:r>
      <w:proofErr w:type="gramEnd"/>
      <w:r>
        <w:rPr>
          <w:sz w:val="26"/>
          <w:szCs w:val="26"/>
        </w:rPr>
        <w:t xml:space="preserve"> environmental compliance costs.</w:t>
      </w:r>
    </w:p>
    <w:p w:rsidR="00161589" w:rsidRDefault="00161589" w:rsidP="00161589">
      <w:pPr>
        <w:numPr>
          <w:ilvl w:val="0"/>
          <w:numId w:val="18"/>
        </w:numPr>
        <w:rPr>
          <w:sz w:val="26"/>
          <w:szCs w:val="26"/>
        </w:rPr>
      </w:pPr>
      <w:proofErr w:type="gramStart"/>
      <w:r>
        <w:rPr>
          <w:sz w:val="26"/>
          <w:szCs w:val="26"/>
        </w:rPr>
        <w:t>cost</w:t>
      </w:r>
      <w:proofErr w:type="gramEnd"/>
      <w:r>
        <w:rPr>
          <w:sz w:val="26"/>
          <w:szCs w:val="26"/>
        </w:rPr>
        <w:t xml:space="preserve"> to the utility assuming that natural gas prices will rise and benefit of mitigating price risks over the long term. </w:t>
      </w:r>
    </w:p>
    <w:p w:rsidR="00161589" w:rsidRDefault="00161589" w:rsidP="00161589">
      <w:pPr>
        <w:numPr>
          <w:ilvl w:val="0"/>
          <w:numId w:val="18"/>
        </w:numPr>
        <w:rPr>
          <w:sz w:val="26"/>
          <w:szCs w:val="26"/>
        </w:rPr>
      </w:pPr>
      <w:proofErr w:type="gramStart"/>
      <w:r>
        <w:rPr>
          <w:sz w:val="26"/>
          <w:szCs w:val="26"/>
        </w:rPr>
        <w:t>value</w:t>
      </w:r>
      <w:proofErr w:type="gramEnd"/>
      <w:r>
        <w:rPr>
          <w:sz w:val="26"/>
          <w:szCs w:val="26"/>
        </w:rPr>
        <w:t xml:space="preserve"> of retaining conservation program delivery infrastructure.</w:t>
      </w:r>
    </w:p>
    <w:p w:rsidR="00161589" w:rsidRDefault="00161589" w:rsidP="00161589">
      <w:pPr>
        <w:numPr>
          <w:ilvl w:val="0"/>
          <w:numId w:val="18"/>
        </w:numPr>
        <w:rPr>
          <w:sz w:val="26"/>
          <w:szCs w:val="26"/>
        </w:rPr>
      </w:pPr>
      <w:proofErr w:type="gramStart"/>
      <w:r>
        <w:rPr>
          <w:sz w:val="26"/>
          <w:szCs w:val="26"/>
        </w:rPr>
        <w:t>peak</w:t>
      </w:r>
      <w:proofErr w:type="gramEnd"/>
      <w:r>
        <w:rPr>
          <w:sz w:val="26"/>
          <w:szCs w:val="26"/>
        </w:rPr>
        <w:t xml:space="preserve"> demand reduction.</w:t>
      </w:r>
    </w:p>
    <w:p w:rsidR="00161589" w:rsidRDefault="00161589" w:rsidP="00161589">
      <w:pPr>
        <w:numPr>
          <w:ilvl w:val="0"/>
          <w:numId w:val="18"/>
        </w:numPr>
        <w:rPr>
          <w:sz w:val="26"/>
          <w:szCs w:val="26"/>
        </w:rPr>
      </w:pPr>
      <w:proofErr w:type="gramStart"/>
      <w:r>
        <w:rPr>
          <w:sz w:val="26"/>
          <w:szCs w:val="26"/>
        </w:rPr>
        <w:t>distribution</w:t>
      </w:r>
      <w:proofErr w:type="gramEnd"/>
      <w:r>
        <w:rPr>
          <w:sz w:val="26"/>
          <w:szCs w:val="26"/>
        </w:rPr>
        <w:t xml:space="preserve"> system maintenance. </w:t>
      </w:r>
    </w:p>
    <w:p w:rsidR="00161589" w:rsidRDefault="00161589" w:rsidP="00161589">
      <w:pPr>
        <w:numPr>
          <w:ilvl w:val="0"/>
          <w:numId w:val="18"/>
        </w:numPr>
        <w:rPr>
          <w:sz w:val="26"/>
          <w:szCs w:val="26"/>
        </w:rPr>
      </w:pPr>
      <w:proofErr w:type="gramStart"/>
      <w:r>
        <w:rPr>
          <w:sz w:val="26"/>
          <w:szCs w:val="26"/>
        </w:rPr>
        <w:t>pipeline</w:t>
      </w:r>
      <w:proofErr w:type="gramEnd"/>
      <w:r>
        <w:rPr>
          <w:sz w:val="26"/>
          <w:szCs w:val="26"/>
        </w:rPr>
        <w:t xml:space="preserve"> &amp; storage benefits.</w:t>
      </w:r>
    </w:p>
    <w:p w:rsidR="00161589" w:rsidRDefault="00161589" w:rsidP="00161589">
      <w:pPr>
        <w:numPr>
          <w:ilvl w:val="0"/>
          <w:numId w:val="18"/>
        </w:numPr>
        <w:rPr>
          <w:sz w:val="26"/>
          <w:szCs w:val="26"/>
        </w:rPr>
      </w:pPr>
      <w:proofErr w:type="gramStart"/>
      <w:r>
        <w:rPr>
          <w:sz w:val="26"/>
          <w:szCs w:val="26"/>
        </w:rPr>
        <w:lastRenderedPageBreak/>
        <w:t>reduced</w:t>
      </w:r>
      <w:proofErr w:type="gramEnd"/>
      <w:r>
        <w:rPr>
          <w:sz w:val="26"/>
          <w:szCs w:val="26"/>
        </w:rPr>
        <w:t xml:space="preserve"> customer arrearages.</w:t>
      </w:r>
    </w:p>
    <w:p w:rsidR="00161589" w:rsidRDefault="00161589" w:rsidP="00161589">
      <w:pPr>
        <w:numPr>
          <w:ilvl w:val="0"/>
          <w:numId w:val="18"/>
        </w:numPr>
        <w:rPr>
          <w:sz w:val="26"/>
          <w:szCs w:val="26"/>
        </w:rPr>
      </w:pPr>
      <w:proofErr w:type="gramStart"/>
      <w:r>
        <w:rPr>
          <w:sz w:val="26"/>
          <w:szCs w:val="26"/>
        </w:rPr>
        <w:t>improved</w:t>
      </w:r>
      <w:proofErr w:type="gramEnd"/>
      <w:r>
        <w:rPr>
          <w:sz w:val="26"/>
          <w:szCs w:val="26"/>
        </w:rPr>
        <w:t xml:space="preserve"> customer service.</w:t>
      </w:r>
      <w:r>
        <w:rPr>
          <w:rStyle w:val="FootnoteReference"/>
          <w:sz w:val="26"/>
          <w:szCs w:val="26"/>
        </w:rPr>
        <w:footnoteReference w:id="8"/>
      </w:r>
    </w:p>
    <w:p w:rsidR="00161589" w:rsidRDefault="00161589" w:rsidP="00161589">
      <w:pPr>
        <w:numPr>
          <w:ilvl w:val="0"/>
          <w:numId w:val="18"/>
        </w:numPr>
        <w:rPr>
          <w:sz w:val="26"/>
          <w:szCs w:val="26"/>
        </w:rPr>
      </w:pPr>
      <w:proofErr w:type="gramStart"/>
      <w:r>
        <w:rPr>
          <w:sz w:val="26"/>
          <w:szCs w:val="26"/>
        </w:rPr>
        <w:t>strain</w:t>
      </w:r>
      <w:proofErr w:type="gramEnd"/>
      <w:r>
        <w:rPr>
          <w:sz w:val="26"/>
          <w:szCs w:val="26"/>
        </w:rPr>
        <w:t xml:space="preserve"> on trade ally network.</w:t>
      </w:r>
      <w:r>
        <w:rPr>
          <w:rStyle w:val="FootnoteReference"/>
          <w:sz w:val="26"/>
          <w:szCs w:val="26"/>
        </w:rPr>
        <w:footnoteReference w:id="9"/>
      </w:r>
    </w:p>
    <w:p w:rsidR="00161589" w:rsidRDefault="00161589" w:rsidP="00161589">
      <w:pPr>
        <w:rPr>
          <w:sz w:val="26"/>
          <w:szCs w:val="26"/>
        </w:rPr>
      </w:pPr>
    </w:p>
    <w:p w:rsidR="00161589" w:rsidRDefault="00161589" w:rsidP="00161589">
      <w:pPr>
        <w:rPr>
          <w:sz w:val="26"/>
          <w:szCs w:val="26"/>
        </w:rPr>
      </w:pPr>
      <w:r>
        <w:rPr>
          <w:sz w:val="26"/>
          <w:szCs w:val="26"/>
        </w:rPr>
        <w:t>The Northwest Industrial Gas Users (NWIGU) strongly urges against inflating the future price of natural gas for purposes of calculating avoided costs.</w:t>
      </w:r>
    </w:p>
    <w:p w:rsidR="00161589" w:rsidRDefault="00161589" w:rsidP="00161589">
      <w:pPr>
        <w:numPr>
          <w:ilvl w:val="0"/>
          <w:numId w:val="31"/>
        </w:numPr>
        <w:rPr>
          <w:sz w:val="26"/>
          <w:szCs w:val="26"/>
        </w:rPr>
      </w:pPr>
      <w:r>
        <w:rPr>
          <w:sz w:val="26"/>
          <w:szCs w:val="26"/>
        </w:rPr>
        <w:t>Lower prices are not a short-term phenomenon.</w:t>
      </w:r>
    </w:p>
    <w:p w:rsidR="00161589" w:rsidRDefault="00161589" w:rsidP="00161589">
      <w:pPr>
        <w:numPr>
          <w:ilvl w:val="0"/>
          <w:numId w:val="31"/>
        </w:numPr>
        <w:rPr>
          <w:sz w:val="26"/>
          <w:szCs w:val="26"/>
        </w:rPr>
      </w:pPr>
      <w:r>
        <w:rPr>
          <w:sz w:val="26"/>
          <w:szCs w:val="26"/>
        </w:rPr>
        <w:t>Current avoided costs will capture any future price increases.</w:t>
      </w:r>
    </w:p>
    <w:p w:rsidR="00161589" w:rsidRDefault="00161589" w:rsidP="00161589">
      <w:pPr>
        <w:numPr>
          <w:ilvl w:val="0"/>
          <w:numId w:val="31"/>
        </w:numPr>
        <w:rPr>
          <w:sz w:val="26"/>
          <w:szCs w:val="26"/>
        </w:rPr>
      </w:pPr>
      <w:r>
        <w:rPr>
          <w:sz w:val="26"/>
          <w:szCs w:val="26"/>
        </w:rPr>
        <w:t>Changing avoided cost calculations will erode the credibility of demand side management.</w:t>
      </w:r>
      <w:r>
        <w:rPr>
          <w:rStyle w:val="FootnoteReference"/>
          <w:sz w:val="26"/>
          <w:szCs w:val="26"/>
        </w:rPr>
        <w:footnoteReference w:id="10"/>
      </w:r>
      <w:r>
        <w:rPr>
          <w:sz w:val="26"/>
          <w:szCs w:val="26"/>
        </w:rPr>
        <w:t xml:space="preserve"> </w:t>
      </w:r>
    </w:p>
    <w:p w:rsidR="00161589" w:rsidRDefault="00161589" w:rsidP="00161589">
      <w:pPr>
        <w:ind w:left="720"/>
        <w:rPr>
          <w:sz w:val="26"/>
          <w:szCs w:val="26"/>
        </w:rPr>
      </w:pPr>
    </w:p>
    <w:p w:rsidR="00161589" w:rsidRDefault="00161589" w:rsidP="00161589">
      <w:pPr>
        <w:rPr>
          <w:sz w:val="26"/>
          <w:szCs w:val="26"/>
        </w:rPr>
      </w:pPr>
      <w:r>
        <w:rPr>
          <w:sz w:val="26"/>
          <w:szCs w:val="26"/>
        </w:rPr>
        <w:t>The Energy Project states that the following should be considered in avoided cost calculations:</w:t>
      </w:r>
    </w:p>
    <w:p w:rsidR="00161589" w:rsidRDefault="00161589" w:rsidP="00161589">
      <w:pPr>
        <w:numPr>
          <w:ilvl w:val="0"/>
          <w:numId w:val="23"/>
        </w:numPr>
        <w:rPr>
          <w:sz w:val="26"/>
          <w:szCs w:val="26"/>
        </w:rPr>
      </w:pPr>
      <w:proofErr w:type="gramStart"/>
      <w:r>
        <w:rPr>
          <w:sz w:val="26"/>
          <w:szCs w:val="26"/>
        </w:rPr>
        <w:t>future</w:t>
      </w:r>
      <w:proofErr w:type="gramEnd"/>
      <w:r>
        <w:rPr>
          <w:sz w:val="26"/>
          <w:szCs w:val="26"/>
        </w:rPr>
        <w:t xml:space="preserve"> costs of environmental impacts due to </w:t>
      </w:r>
      <w:proofErr w:type="spellStart"/>
      <w:r>
        <w:rPr>
          <w:sz w:val="26"/>
          <w:szCs w:val="26"/>
        </w:rPr>
        <w:t>fracking</w:t>
      </w:r>
      <w:proofErr w:type="spellEnd"/>
      <w:r>
        <w:rPr>
          <w:sz w:val="26"/>
          <w:szCs w:val="26"/>
        </w:rPr>
        <w:t>.</w:t>
      </w:r>
      <w:r>
        <w:rPr>
          <w:rStyle w:val="FootnoteReference"/>
          <w:sz w:val="26"/>
          <w:szCs w:val="26"/>
        </w:rPr>
        <w:footnoteReference w:id="11"/>
      </w:r>
    </w:p>
    <w:p w:rsidR="00161589" w:rsidRDefault="00161589" w:rsidP="00161589">
      <w:pPr>
        <w:numPr>
          <w:ilvl w:val="0"/>
          <w:numId w:val="23"/>
        </w:numPr>
        <w:rPr>
          <w:sz w:val="26"/>
          <w:szCs w:val="26"/>
        </w:rPr>
      </w:pPr>
      <w:proofErr w:type="gramStart"/>
      <w:r>
        <w:rPr>
          <w:sz w:val="26"/>
          <w:szCs w:val="26"/>
        </w:rPr>
        <w:t>value</w:t>
      </w:r>
      <w:proofErr w:type="gramEnd"/>
      <w:r>
        <w:rPr>
          <w:sz w:val="26"/>
          <w:szCs w:val="26"/>
        </w:rPr>
        <w:t xml:space="preserve"> of maintaining workforce skills related to installing energy efficiency measures.</w:t>
      </w:r>
      <w:r>
        <w:rPr>
          <w:rStyle w:val="FootnoteReference"/>
          <w:sz w:val="26"/>
          <w:szCs w:val="26"/>
        </w:rPr>
        <w:footnoteReference w:id="12"/>
      </w:r>
      <w:r>
        <w:rPr>
          <w:sz w:val="26"/>
          <w:szCs w:val="26"/>
        </w:rPr>
        <w:t xml:space="preserve"> </w:t>
      </w:r>
    </w:p>
    <w:p w:rsidR="00161589" w:rsidRDefault="00161589" w:rsidP="00161589">
      <w:pPr>
        <w:rPr>
          <w:b/>
        </w:rPr>
      </w:pPr>
    </w:p>
    <w:p w:rsidR="00161589" w:rsidRDefault="00161589" w:rsidP="00161589">
      <w:pPr>
        <w:pStyle w:val="Heading1"/>
      </w:pPr>
      <w:r w:rsidRPr="00346E2A">
        <w:t>Conservation adder</w:t>
      </w:r>
    </w:p>
    <w:p w:rsidR="00161589" w:rsidRDefault="00161589" w:rsidP="00161589">
      <w:pPr>
        <w:rPr>
          <w:b/>
          <w:sz w:val="26"/>
          <w:szCs w:val="26"/>
        </w:rPr>
      </w:pPr>
    </w:p>
    <w:p w:rsidR="00161589" w:rsidRDefault="00161589" w:rsidP="00161589">
      <w:pPr>
        <w:rPr>
          <w:sz w:val="26"/>
          <w:szCs w:val="26"/>
        </w:rPr>
      </w:pPr>
      <w:proofErr w:type="gramStart"/>
      <w:r w:rsidRPr="0052193D">
        <w:rPr>
          <w:b/>
          <w:sz w:val="26"/>
          <w:szCs w:val="26"/>
        </w:rPr>
        <w:t>Comment.</w:t>
      </w:r>
      <w:proofErr w:type="gramEnd"/>
      <w:r>
        <w:rPr>
          <w:b/>
          <w:sz w:val="26"/>
          <w:szCs w:val="26"/>
        </w:rPr>
        <w:t xml:space="preserve"> </w:t>
      </w:r>
      <w:r>
        <w:rPr>
          <w:sz w:val="26"/>
          <w:szCs w:val="26"/>
        </w:rPr>
        <w:t>PSE does not include the 10 percent conservation credit</w:t>
      </w:r>
      <w:r>
        <w:rPr>
          <w:rStyle w:val="FootnoteReference"/>
          <w:sz w:val="26"/>
          <w:szCs w:val="26"/>
        </w:rPr>
        <w:footnoteReference w:id="13"/>
      </w:r>
      <w:r>
        <w:rPr>
          <w:sz w:val="26"/>
          <w:szCs w:val="26"/>
        </w:rPr>
        <w:t xml:space="preserve"> in its avoided cost calculations.</w:t>
      </w:r>
    </w:p>
    <w:p w:rsidR="00161589" w:rsidRDefault="00161589" w:rsidP="00161589">
      <w:pPr>
        <w:numPr>
          <w:ilvl w:val="0"/>
          <w:numId w:val="14"/>
        </w:numPr>
        <w:rPr>
          <w:sz w:val="26"/>
          <w:szCs w:val="26"/>
        </w:rPr>
      </w:pPr>
      <w:r>
        <w:rPr>
          <w:sz w:val="26"/>
          <w:szCs w:val="26"/>
        </w:rPr>
        <w:t>Credit is from the Northwest Regional Power Act of 1980 and is applied by many utilities to electric avoided costs.</w:t>
      </w:r>
    </w:p>
    <w:p w:rsidR="00161589" w:rsidRDefault="00161589" w:rsidP="00161589">
      <w:pPr>
        <w:numPr>
          <w:ilvl w:val="0"/>
          <w:numId w:val="14"/>
        </w:numPr>
        <w:rPr>
          <w:sz w:val="26"/>
          <w:szCs w:val="26"/>
        </w:rPr>
      </w:pPr>
      <w:r>
        <w:rPr>
          <w:sz w:val="26"/>
          <w:szCs w:val="26"/>
        </w:rPr>
        <w:t>PSE does not apply credit to be consistent with its IRP.</w:t>
      </w:r>
      <w:r>
        <w:rPr>
          <w:rStyle w:val="FootnoteReference"/>
          <w:sz w:val="26"/>
          <w:szCs w:val="26"/>
        </w:rPr>
        <w:footnoteReference w:id="14"/>
      </w:r>
    </w:p>
    <w:p w:rsidR="00161589" w:rsidRDefault="00161589" w:rsidP="00161589">
      <w:pPr>
        <w:rPr>
          <w:sz w:val="26"/>
          <w:szCs w:val="26"/>
        </w:rPr>
      </w:pPr>
    </w:p>
    <w:p w:rsidR="00161589" w:rsidRDefault="00161589" w:rsidP="00161589">
      <w:pPr>
        <w:rPr>
          <w:sz w:val="26"/>
          <w:szCs w:val="26"/>
        </w:rPr>
      </w:pPr>
      <w:r>
        <w:rPr>
          <w:sz w:val="26"/>
          <w:szCs w:val="26"/>
        </w:rPr>
        <w:t>CGNC believes that the existing 10 percent non-energy benefit adder may be outdated and imprecise in the current context of natural gas conservation efforts.</w:t>
      </w:r>
      <w:r>
        <w:rPr>
          <w:rStyle w:val="FootnoteReference"/>
          <w:sz w:val="26"/>
          <w:szCs w:val="26"/>
        </w:rPr>
        <w:footnoteReference w:id="15"/>
      </w:r>
      <w:r>
        <w:rPr>
          <w:sz w:val="26"/>
          <w:szCs w:val="26"/>
        </w:rPr>
        <w:t xml:space="preserve"> </w:t>
      </w:r>
    </w:p>
    <w:p w:rsidR="00161589" w:rsidRDefault="00161589" w:rsidP="00161589">
      <w:pPr>
        <w:rPr>
          <w:sz w:val="26"/>
          <w:szCs w:val="26"/>
        </w:rPr>
      </w:pPr>
    </w:p>
    <w:p w:rsidR="00161589" w:rsidRDefault="00161589" w:rsidP="00161589">
      <w:pPr>
        <w:rPr>
          <w:sz w:val="26"/>
          <w:szCs w:val="26"/>
        </w:rPr>
      </w:pPr>
      <w:r>
        <w:rPr>
          <w:sz w:val="26"/>
          <w:szCs w:val="26"/>
        </w:rPr>
        <w:t>CGNC supports a general reexamination as part of UG-121207.</w:t>
      </w:r>
    </w:p>
    <w:p w:rsidR="00161589" w:rsidRDefault="00161589" w:rsidP="00161589">
      <w:pPr>
        <w:numPr>
          <w:ilvl w:val="0"/>
          <w:numId w:val="26"/>
        </w:numPr>
        <w:rPr>
          <w:sz w:val="26"/>
          <w:szCs w:val="26"/>
        </w:rPr>
      </w:pPr>
      <w:r>
        <w:rPr>
          <w:sz w:val="26"/>
          <w:szCs w:val="26"/>
        </w:rPr>
        <w:t>However, any reassessment of non-energy benefits must not be unwieldy or unduly burdensome.</w:t>
      </w:r>
    </w:p>
    <w:p w:rsidR="00161589" w:rsidRDefault="00161589" w:rsidP="00161589">
      <w:pPr>
        <w:numPr>
          <w:ilvl w:val="0"/>
          <w:numId w:val="26"/>
        </w:numPr>
        <w:rPr>
          <w:sz w:val="26"/>
          <w:szCs w:val="26"/>
        </w:rPr>
      </w:pPr>
      <w:r>
        <w:rPr>
          <w:sz w:val="26"/>
          <w:szCs w:val="26"/>
        </w:rPr>
        <w:lastRenderedPageBreak/>
        <w:t>Reexamination should not detract from the broader investigation of alternative methods of assessment.</w:t>
      </w:r>
      <w:r>
        <w:rPr>
          <w:rStyle w:val="FootnoteReference"/>
          <w:sz w:val="26"/>
          <w:szCs w:val="26"/>
        </w:rPr>
        <w:footnoteReference w:id="16"/>
      </w:r>
    </w:p>
    <w:p w:rsidR="00161589" w:rsidRDefault="00161589" w:rsidP="00161589">
      <w:pPr>
        <w:rPr>
          <w:sz w:val="26"/>
          <w:szCs w:val="26"/>
        </w:rPr>
      </w:pPr>
    </w:p>
    <w:p w:rsidR="00161589" w:rsidRDefault="00161589" w:rsidP="00161589">
      <w:pPr>
        <w:rPr>
          <w:sz w:val="26"/>
          <w:szCs w:val="26"/>
        </w:rPr>
      </w:pPr>
      <w:r>
        <w:rPr>
          <w:sz w:val="26"/>
          <w:szCs w:val="26"/>
        </w:rPr>
        <w:t>CGNC states that the reassessed adder could be applied within the TRC test if that test is determined to still govern.</w:t>
      </w:r>
      <w:r>
        <w:rPr>
          <w:rStyle w:val="FootnoteReference"/>
          <w:sz w:val="26"/>
          <w:szCs w:val="26"/>
        </w:rPr>
        <w:footnoteReference w:id="17"/>
      </w:r>
    </w:p>
    <w:p w:rsidR="00161589" w:rsidRDefault="00161589" w:rsidP="00161589">
      <w:pPr>
        <w:rPr>
          <w:sz w:val="26"/>
          <w:szCs w:val="26"/>
        </w:rPr>
      </w:pPr>
    </w:p>
    <w:p w:rsidR="00161589" w:rsidRDefault="00161589" w:rsidP="00161589">
      <w:pPr>
        <w:rPr>
          <w:sz w:val="26"/>
          <w:szCs w:val="26"/>
        </w:rPr>
      </w:pPr>
      <w:r>
        <w:rPr>
          <w:sz w:val="26"/>
          <w:szCs w:val="26"/>
        </w:rPr>
        <w:t>NW Natural currently adds a 10 percent adder for non-quantifiable environmental benefits.</w:t>
      </w:r>
      <w:r>
        <w:rPr>
          <w:rStyle w:val="FootnoteReference"/>
          <w:sz w:val="26"/>
          <w:szCs w:val="26"/>
        </w:rPr>
        <w:footnoteReference w:id="18"/>
      </w:r>
    </w:p>
    <w:p w:rsidR="00161589" w:rsidRDefault="00161589" w:rsidP="00161589">
      <w:pPr>
        <w:numPr>
          <w:ilvl w:val="0"/>
          <w:numId w:val="37"/>
        </w:numPr>
        <w:rPr>
          <w:sz w:val="26"/>
          <w:szCs w:val="26"/>
        </w:rPr>
      </w:pPr>
      <w:r>
        <w:rPr>
          <w:sz w:val="26"/>
          <w:szCs w:val="26"/>
        </w:rPr>
        <w:t>Open to using real, quantifiable environmental costs instead of the 10 percent adder.</w:t>
      </w:r>
      <w:r>
        <w:rPr>
          <w:rStyle w:val="FootnoteReference"/>
          <w:sz w:val="26"/>
          <w:szCs w:val="26"/>
        </w:rPr>
        <w:footnoteReference w:id="19"/>
      </w:r>
    </w:p>
    <w:p w:rsidR="00161589" w:rsidRDefault="00161589" w:rsidP="00161589">
      <w:pPr>
        <w:ind w:left="720"/>
        <w:rPr>
          <w:sz w:val="26"/>
          <w:szCs w:val="26"/>
        </w:rPr>
      </w:pPr>
    </w:p>
    <w:p w:rsidR="00161589" w:rsidRDefault="00161589" w:rsidP="00161589">
      <w:pPr>
        <w:rPr>
          <w:sz w:val="26"/>
          <w:szCs w:val="26"/>
        </w:rPr>
      </w:pPr>
      <w:r>
        <w:rPr>
          <w:sz w:val="26"/>
          <w:szCs w:val="26"/>
        </w:rPr>
        <w:t>The Coalition recommends revisiting the 10 percent conservation adder.</w:t>
      </w:r>
    </w:p>
    <w:p w:rsidR="00161589" w:rsidRDefault="00161589" w:rsidP="00161589">
      <w:pPr>
        <w:numPr>
          <w:ilvl w:val="0"/>
          <w:numId w:val="17"/>
        </w:numPr>
        <w:rPr>
          <w:sz w:val="26"/>
          <w:szCs w:val="26"/>
        </w:rPr>
      </w:pPr>
      <w:r>
        <w:rPr>
          <w:sz w:val="26"/>
          <w:szCs w:val="26"/>
        </w:rPr>
        <w:t>The energy landscape has changed considerably since the 1980s when it was established.</w:t>
      </w:r>
    </w:p>
    <w:p w:rsidR="00161589" w:rsidRDefault="00161589" w:rsidP="00161589">
      <w:pPr>
        <w:numPr>
          <w:ilvl w:val="0"/>
          <w:numId w:val="17"/>
        </w:numPr>
        <w:rPr>
          <w:sz w:val="26"/>
          <w:szCs w:val="26"/>
        </w:rPr>
      </w:pPr>
      <w:r>
        <w:rPr>
          <w:sz w:val="26"/>
          <w:szCs w:val="26"/>
        </w:rPr>
        <w:t>There should be a similar adder mandated for natural gas conservation.</w:t>
      </w:r>
      <w:r>
        <w:rPr>
          <w:rStyle w:val="FootnoteReference"/>
          <w:sz w:val="26"/>
          <w:szCs w:val="26"/>
        </w:rPr>
        <w:footnoteReference w:id="20"/>
      </w:r>
    </w:p>
    <w:p w:rsidR="00161589" w:rsidRDefault="00161589" w:rsidP="00161589">
      <w:pPr>
        <w:rPr>
          <w:sz w:val="26"/>
          <w:szCs w:val="26"/>
        </w:rPr>
      </w:pPr>
    </w:p>
    <w:p w:rsidR="00161589" w:rsidRDefault="00161589" w:rsidP="00161589">
      <w:pPr>
        <w:rPr>
          <w:sz w:val="26"/>
          <w:szCs w:val="26"/>
        </w:rPr>
      </w:pPr>
      <w:r>
        <w:rPr>
          <w:sz w:val="26"/>
          <w:szCs w:val="26"/>
        </w:rPr>
        <w:t>The Public Counsel Section of the Washington State Attorney General’s Office (</w:t>
      </w:r>
      <w:r w:rsidRPr="00A821AD">
        <w:rPr>
          <w:sz w:val="26"/>
          <w:szCs w:val="26"/>
        </w:rPr>
        <w:t>Public Counsel</w:t>
      </w:r>
      <w:r>
        <w:rPr>
          <w:sz w:val="26"/>
          <w:szCs w:val="26"/>
        </w:rPr>
        <w:t>)</w:t>
      </w:r>
      <w:r w:rsidRPr="00A821AD">
        <w:rPr>
          <w:sz w:val="26"/>
          <w:szCs w:val="26"/>
        </w:rPr>
        <w:t xml:space="preserve"> has not yet taken a position on this issue.</w:t>
      </w:r>
      <w:r w:rsidRPr="00A821AD">
        <w:rPr>
          <w:rStyle w:val="FootnoteReference"/>
          <w:sz w:val="26"/>
          <w:szCs w:val="26"/>
        </w:rPr>
        <w:footnoteReference w:id="21"/>
      </w:r>
    </w:p>
    <w:p w:rsidR="00161589" w:rsidRDefault="00161589" w:rsidP="00161589"/>
    <w:p w:rsidR="00161589" w:rsidRDefault="00161589" w:rsidP="00161589">
      <w:pPr>
        <w:pStyle w:val="Heading1"/>
        <w:rPr>
          <w:szCs w:val="26"/>
        </w:rPr>
      </w:pPr>
      <w:r>
        <w:rPr>
          <w:szCs w:val="26"/>
        </w:rPr>
        <w:t>Other adders</w:t>
      </w:r>
    </w:p>
    <w:p w:rsidR="00161589" w:rsidRPr="00367841" w:rsidRDefault="00161589" w:rsidP="00161589"/>
    <w:p w:rsidR="00161589" w:rsidRDefault="00161589" w:rsidP="00161589">
      <w:pPr>
        <w:rPr>
          <w:sz w:val="26"/>
          <w:szCs w:val="26"/>
        </w:rPr>
      </w:pPr>
      <w:proofErr w:type="gramStart"/>
      <w:r>
        <w:rPr>
          <w:b/>
          <w:sz w:val="26"/>
          <w:szCs w:val="26"/>
        </w:rPr>
        <w:t>Comment.</w:t>
      </w:r>
      <w:proofErr w:type="gramEnd"/>
      <w:r>
        <w:rPr>
          <w:b/>
          <w:sz w:val="26"/>
          <w:szCs w:val="26"/>
        </w:rPr>
        <w:t xml:space="preserve"> </w:t>
      </w:r>
      <w:r>
        <w:rPr>
          <w:sz w:val="26"/>
          <w:szCs w:val="26"/>
        </w:rPr>
        <w:t>NW Natural does not support adders that are both difficult to quantify and are not the financial responsibility of the utility rate payers.</w:t>
      </w:r>
    </w:p>
    <w:p w:rsidR="00161589" w:rsidRPr="00AC11B2" w:rsidRDefault="00161589" w:rsidP="00161589">
      <w:pPr>
        <w:numPr>
          <w:ilvl w:val="0"/>
          <w:numId w:val="32"/>
        </w:numPr>
        <w:rPr>
          <w:sz w:val="26"/>
          <w:szCs w:val="26"/>
        </w:rPr>
      </w:pPr>
      <w:r>
        <w:rPr>
          <w:sz w:val="26"/>
          <w:szCs w:val="26"/>
        </w:rPr>
        <w:t>Examples are adders for comfort or improved housing stock.</w:t>
      </w:r>
      <w:r>
        <w:rPr>
          <w:rStyle w:val="FootnoteReference"/>
          <w:sz w:val="26"/>
          <w:szCs w:val="26"/>
        </w:rPr>
        <w:footnoteReference w:id="22"/>
      </w:r>
    </w:p>
    <w:p w:rsidR="00161589" w:rsidRDefault="00161589" w:rsidP="00161589">
      <w:pPr>
        <w:rPr>
          <w:sz w:val="26"/>
          <w:szCs w:val="26"/>
        </w:rPr>
      </w:pPr>
    </w:p>
    <w:p w:rsidR="00161589" w:rsidRDefault="00161589" w:rsidP="00161589">
      <w:pPr>
        <w:rPr>
          <w:sz w:val="26"/>
          <w:szCs w:val="26"/>
        </w:rPr>
      </w:pPr>
      <w:r>
        <w:rPr>
          <w:sz w:val="26"/>
          <w:szCs w:val="26"/>
        </w:rPr>
        <w:t>The Coalition also offers the option of employing a social adder similar to Vermont.</w:t>
      </w:r>
    </w:p>
    <w:p w:rsidR="00161589" w:rsidRDefault="00161589" w:rsidP="00161589">
      <w:pPr>
        <w:numPr>
          <w:ilvl w:val="0"/>
          <w:numId w:val="30"/>
        </w:numPr>
        <w:rPr>
          <w:sz w:val="26"/>
          <w:szCs w:val="26"/>
        </w:rPr>
      </w:pPr>
      <w:r>
        <w:rPr>
          <w:sz w:val="26"/>
          <w:szCs w:val="26"/>
        </w:rPr>
        <w:t>Acknowledges many hard-to-quantify benefits.</w:t>
      </w:r>
    </w:p>
    <w:p w:rsidR="00161589" w:rsidRDefault="00161589" w:rsidP="00161589">
      <w:pPr>
        <w:numPr>
          <w:ilvl w:val="0"/>
          <w:numId w:val="30"/>
        </w:numPr>
        <w:rPr>
          <w:sz w:val="26"/>
          <w:szCs w:val="26"/>
        </w:rPr>
      </w:pPr>
      <w:r>
        <w:rPr>
          <w:sz w:val="26"/>
          <w:szCs w:val="26"/>
        </w:rPr>
        <w:t>Simple to implement.</w:t>
      </w:r>
    </w:p>
    <w:p w:rsidR="00161589" w:rsidRDefault="00161589" w:rsidP="00161589">
      <w:pPr>
        <w:numPr>
          <w:ilvl w:val="0"/>
          <w:numId w:val="30"/>
        </w:numPr>
        <w:rPr>
          <w:sz w:val="26"/>
          <w:szCs w:val="26"/>
        </w:rPr>
      </w:pPr>
      <w:r>
        <w:rPr>
          <w:sz w:val="26"/>
          <w:szCs w:val="26"/>
        </w:rPr>
        <w:t>Could be controversial.</w:t>
      </w:r>
      <w:r>
        <w:rPr>
          <w:rStyle w:val="FootnoteReference"/>
          <w:sz w:val="26"/>
          <w:szCs w:val="26"/>
        </w:rPr>
        <w:footnoteReference w:id="23"/>
      </w:r>
    </w:p>
    <w:p w:rsidR="00161589" w:rsidRDefault="00161589" w:rsidP="00161589">
      <w:pPr>
        <w:ind w:left="720"/>
        <w:rPr>
          <w:sz w:val="26"/>
          <w:szCs w:val="26"/>
        </w:rPr>
      </w:pPr>
    </w:p>
    <w:p w:rsidR="00161589" w:rsidRPr="0052193D" w:rsidRDefault="00161589" w:rsidP="00161589"/>
    <w:p w:rsidR="00161589" w:rsidRDefault="00161589" w:rsidP="00161589">
      <w:pPr>
        <w:pStyle w:val="Heading1"/>
      </w:pPr>
      <w:r w:rsidRPr="00346E2A">
        <w:lastRenderedPageBreak/>
        <w:t>Discount rate</w:t>
      </w:r>
    </w:p>
    <w:p w:rsidR="00161589" w:rsidRPr="00950555" w:rsidRDefault="00161589" w:rsidP="00161589"/>
    <w:p w:rsidR="00161589" w:rsidRDefault="00161589" w:rsidP="00161589">
      <w:pPr>
        <w:rPr>
          <w:sz w:val="26"/>
          <w:szCs w:val="26"/>
        </w:rPr>
      </w:pPr>
      <w:proofErr w:type="gramStart"/>
      <w:r w:rsidRPr="0052193D">
        <w:rPr>
          <w:b/>
          <w:sz w:val="26"/>
          <w:szCs w:val="26"/>
        </w:rPr>
        <w:t>Comment.</w:t>
      </w:r>
      <w:proofErr w:type="gramEnd"/>
      <w:r>
        <w:rPr>
          <w:b/>
          <w:sz w:val="26"/>
          <w:szCs w:val="26"/>
        </w:rPr>
        <w:t xml:space="preserve"> </w:t>
      </w:r>
      <w:r>
        <w:rPr>
          <w:sz w:val="26"/>
          <w:szCs w:val="26"/>
        </w:rPr>
        <w:t>The Coalition states that energy efficiency programs should employ a low-risk, long-term customer/societal cost discount rate.</w:t>
      </w:r>
    </w:p>
    <w:p w:rsidR="00161589" w:rsidRPr="00243EB1" w:rsidRDefault="00161589" w:rsidP="00161589">
      <w:pPr>
        <w:numPr>
          <w:ilvl w:val="0"/>
          <w:numId w:val="21"/>
        </w:numPr>
        <w:rPr>
          <w:sz w:val="26"/>
          <w:szCs w:val="26"/>
        </w:rPr>
      </w:pPr>
      <w:r>
        <w:rPr>
          <w:sz w:val="26"/>
          <w:szCs w:val="26"/>
        </w:rPr>
        <w:t>Energy efficiency programs incur less financial risk than supply-side resources as building capacity typically incurs capital costs.</w:t>
      </w:r>
      <w:r>
        <w:rPr>
          <w:rStyle w:val="FootnoteReference"/>
          <w:sz w:val="26"/>
          <w:szCs w:val="26"/>
        </w:rPr>
        <w:footnoteReference w:id="24"/>
      </w:r>
    </w:p>
    <w:p w:rsidR="00161589" w:rsidRDefault="00161589" w:rsidP="00161589">
      <w:pPr>
        <w:numPr>
          <w:ilvl w:val="0"/>
          <w:numId w:val="21"/>
        </w:numPr>
        <w:rPr>
          <w:sz w:val="26"/>
          <w:szCs w:val="26"/>
        </w:rPr>
      </w:pPr>
      <w:r w:rsidRPr="00D37CB3">
        <w:rPr>
          <w:sz w:val="26"/>
          <w:szCs w:val="26"/>
        </w:rPr>
        <w:t>Ov</w:t>
      </w:r>
      <w:r>
        <w:rPr>
          <w:sz w:val="26"/>
          <w:szCs w:val="26"/>
        </w:rPr>
        <w:t>erly high discount rate</w:t>
      </w:r>
      <w:r w:rsidRPr="00D37CB3">
        <w:rPr>
          <w:sz w:val="26"/>
          <w:szCs w:val="26"/>
        </w:rPr>
        <w:t xml:space="preserve"> skews the cost-effectiveness of programs.</w:t>
      </w:r>
      <w:r w:rsidRPr="00D37CB3">
        <w:rPr>
          <w:rStyle w:val="FootnoteReference"/>
          <w:sz w:val="26"/>
          <w:szCs w:val="26"/>
        </w:rPr>
        <w:footnoteReference w:id="25"/>
      </w:r>
    </w:p>
    <w:p w:rsidR="00161589" w:rsidRDefault="00161589" w:rsidP="00161589">
      <w:pPr>
        <w:rPr>
          <w:sz w:val="26"/>
          <w:szCs w:val="26"/>
        </w:rPr>
      </w:pPr>
    </w:p>
    <w:p w:rsidR="00161589" w:rsidRDefault="00161589" w:rsidP="00161589">
      <w:pPr>
        <w:rPr>
          <w:sz w:val="26"/>
          <w:szCs w:val="26"/>
        </w:rPr>
      </w:pPr>
      <w:r>
        <w:rPr>
          <w:sz w:val="26"/>
          <w:szCs w:val="26"/>
        </w:rPr>
        <w:t>Public Counsel believes that a low-risk, long-term customer/societal cost discount rate should not be applied within the TRC test or the UCT.</w:t>
      </w:r>
    </w:p>
    <w:p w:rsidR="00161589" w:rsidRDefault="00161589" w:rsidP="00161589">
      <w:pPr>
        <w:numPr>
          <w:ilvl w:val="0"/>
          <w:numId w:val="34"/>
        </w:numPr>
        <w:rPr>
          <w:sz w:val="26"/>
          <w:szCs w:val="26"/>
        </w:rPr>
      </w:pPr>
      <w:r>
        <w:rPr>
          <w:sz w:val="26"/>
          <w:szCs w:val="26"/>
        </w:rPr>
        <w:t>This type of discount rate is only appropriate for the societal cost test.</w:t>
      </w:r>
    </w:p>
    <w:p w:rsidR="00161589" w:rsidRPr="00D37CB3" w:rsidRDefault="00161589" w:rsidP="00161589">
      <w:pPr>
        <w:numPr>
          <w:ilvl w:val="0"/>
          <w:numId w:val="34"/>
        </w:numPr>
        <w:rPr>
          <w:sz w:val="26"/>
          <w:szCs w:val="26"/>
        </w:rPr>
      </w:pPr>
      <w:r>
        <w:rPr>
          <w:sz w:val="26"/>
          <w:szCs w:val="26"/>
        </w:rPr>
        <w:t>Discount rate is typically the utility’s weighted average cost of capital.</w:t>
      </w:r>
      <w:r>
        <w:rPr>
          <w:rStyle w:val="FootnoteReference"/>
          <w:sz w:val="26"/>
          <w:szCs w:val="26"/>
        </w:rPr>
        <w:footnoteReference w:id="26"/>
      </w:r>
    </w:p>
    <w:p w:rsidR="00161589" w:rsidRDefault="00161589" w:rsidP="00161589">
      <w:pPr>
        <w:rPr>
          <w:b/>
          <w:sz w:val="26"/>
          <w:szCs w:val="26"/>
        </w:rPr>
      </w:pPr>
    </w:p>
    <w:p w:rsidR="00161589" w:rsidRDefault="00161589" w:rsidP="00161589">
      <w:pPr>
        <w:pStyle w:val="Heading1"/>
      </w:pPr>
      <w:r w:rsidRPr="00346E2A">
        <w:t>Sensitivity test</w:t>
      </w:r>
    </w:p>
    <w:p w:rsidR="00161589" w:rsidRPr="00950555" w:rsidRDefault="00161589" w:rsidP="00161589"/>
    <w:p w:rsidR="00161589" w:rsidRPr="00AC11B2" w:rsidRDefault="00161589" w:rsidP="00161589">
      <w:pPr>
        <w:rPr>
          <w:sz w:val="26"/>
          <w:szCs w:val="26"/>
        </w:rPr>
      </w:pPr>
      <w:proofErr w:type="gramStart"/>
      <w:r w:rsidRPr="0052193D">
        <w:rPr>
          <w:b/>
          <w:sz w:val="26"/>
          <w:szCs w:val="26"/>
        </w:rPr>
        <w:t>Comment.</w:t>
      </w:r>
      <w:proofErr w:type="gramEnd"/>
      <w:r>
        <w:rPr>
          <w:b/>
          <w:sz w:val="26"/>
          <w:szCs w:val="26"/>
        </w:rPr>
        <w:t xml:space="preserve"> </w:t>
      </w:r>
      <w:r>
        <w:rPr>
          <w:sz w:val="26"/>
          <w:szCs w:val="26"/>
        </w:rPr>
        <w:t xml:space="preserve"> NW Natural’s sensitivity test on their 2011 Modified IRP shows that a 39% increase to the avoided cost only increases the total DSM achievable potential by 4%.</w:t>
      </w:r>
      <w:r>
        <w:rPr>
          <w:rStyle w:val="FootnoteReference"/>
          <w:sz w:val="26"/>
          <w:szCs w:val="26"/>
        </w:rPr>
        <w:footnoteReference w:id="27"/>
      </w:r>
    </w:p>
    <w:p w:rsidR="00161589" w:rsidRPr="00D646E2" w:rsidRDefault="00161589" w:rsidP="00161589"/>
    <w:p w:rsidR="00161589" w:rsidRDefault="00161589" w:rsidP="00161589"/>
    <w:p w:rsidR="00161589" w:rsidRPr="00346E2A" w:rsidRDefault="00161589" w:rsidP="00161589">
      <w:pPr>
        <w:pStyle w:val="Heading1"/>
        <w:keepLines w:val="0"/>
        <w:numPr>
          <w:ilvl w:val="0"/>
          <w:numId w:val="12"/>
        </w:numPr>
        <w:spacing w:before="0"/>
        <w:rPr>
          <w:b/>
        </w:rPr>
      </w:pPr>
      <w:r w:rsidRPr="00346E2A">
        <w:rPr>
          <w:b/>
        </w:rPr>
        <w:t>Should the companies use a combination of cost tests in evaluating the cost-effectiveness of natural gas conservation programs?</w:t>
      </w:r>
    </w:p>
    <w:p w:rsidR="00161589" w:rsidRPr="00346E2A" w:rsidRDefault="00161589" w:rsidP="00161589">
      <w:pPr>
        <w:pStyle w:val="Heading1"/>
      </w:pPr>
      <w:r w:rsidRPr="00346E2A">
        <w:t>Optimal Tests and Alternatives</w:t>
      </w:r>
    </w:p>
    <w:p w:rsidR="00161589" w:rsidRPr="000754D3" w:rsidRDefault="00161589" w:rsidP="00161589"/>
    <w:p w:rsidR="00161589" w:rsidRDefault="00161589" w:rsidP="00161589">
      <w:pPr>
        <w:rPr>
          <w:sz w:val="26"/>
          <w:szCs w:val="26"/>
        </w:rPr>
      </w:pPr>
      <w:proofErr w:type="gramStart"/>
      <w:r w:rsidRPr="000D0DD0">
        <w:rPr>
          <w:b/>
          <w:sz w:val="26"/>
          <w:szCs w:val="26"/>
        </w:rPr>
        <w:t>Comment.</w:t>
      </w:r>
      <w:proofErr w:type="gramEnd"/>
      <w:r w:rsidRPr="000D0DD0">
        <w:rPr>
          <w:b/>
          <w:sz w:val="26"/>
          <w:szCs w:val="26"/>
        </w:rPr>
        <w:t xml:space="preserve"> </w:t>
      </w:r>
      <w:r w:rsidRPr="000D0DD0">
        <w:rPr>
          <w:sz w:val="26"/>
          <w:szCs w:val="26"/>
        </w:rPr>
        <w:t xml:space="preserve"> </w:t>
      </w:r>
      <w:r>
        <w:rPr>
          <w:sz w:val="26"/>
          <w:szCs w:val="26"/>
        </w:rPr>
        <w:t>PSE believes that the IRP and current program design process are currently working together effectively.</w:t>
      </w:r>
      <w:r>
        <w:rPr>
          <w:rStyle w:val="FootnoteReference"/>
          <w:sz w:val="26"/>
          <w:szCs w:val="26"/>
        </w:rPr>
        <w:footnoteReference w:id="28"/>
      </w:r>
      <w:r>
        <w:rPr>
          <w:sz w:val="26"/>
          <w:szCs w:val="26"/>
        </w:rPr>
        <w:tab/>
      </w:r>
    </w:p>
    <w:p w:rsidR="00161589" w:rsidRDefault="00161589" w:rsidP="00161589">
      <w:pPr>
        <w:rPr>
          <w:sz w:val="26"/>
          <w:szCs w:val="26"/>
        </w:rPr>
      </w:pPr>
    </w:p>
    <w:p w:rsidR="00161589" w:rsidRDefault="00161589" w:rsidP="00161589">
      <w:pPr>
        <w:rPr>
          <w:sz w:val="26"/>
          <w:szCs w:val="26"/>
        </w:rPr>
      </w:pPr>
      <w:r>
        <w:rPr>
          <w:sz w:val="26"/>
          <w:szCs w:val="26"/>
        </w:rPr>
        <w:t xml:space="preserve">PSE believes that cost test analysis should remain as stated in their Schedule 183. </w:t>
      </w:r>
    </w:p>
    <w:p w:rsidR="00161589" w:rsidRDefault="00161589" w:rsidP="00161589">
      <w:pPr>
        <w:numPr>
          <w:ilvl w:val="0"/>
          <w:numId w:val="11"/>
        </w:numPr>
        <w:rPr>
          <w:sz w:val="26"/>
          <w:szCs w:val="26"/>
        </w:rPr>
      </w:pPr>
      <w:r>
        <w:rPr>
          <w:sz w:val="26"/>
          <w:szCs w:val="26"/>
        </w:rPr>
        <w:t>“Company funding for services will be limited to cost-effectiveness defined by a Utility Cost Test using the Company’s Energy Efficiency Cost Effectiveness Standard, also known as the Conservation Cost Effectiveness Standard.”</w:t>
      </w:r>
    </w:p>
    <w:p w:rsidR="00161589" w:rsidRDefault="00161589" w:rsidP="00161589">
      <w:pPr>
        <w:numPr>
          <w:ilvl w:val="0"/>
          <w:numId w:val="11"/>
        </w:numPr>
        <w:rPr>
          <w:sz w:val="26"/>
          <w:szCs w:val="26"/>
        </w:rPr>
      </w:pPr>
      <w:r>
        <w:rPr>
          <w:sz w:val="26"/>
          <w:szCs w:val="26"/>
        </w:rPr>
        <w:t>“</w:t>
      </w:r>
      <w:proofErr w:type="gramStart"/>
      <w:r>
        <w:rPr>
          <w:sz w:val="26"/>
          <w:szCs w:val="26"/>
        </w:rPr>
        <w:t>a</w:t>
      </w:r>
      <w:proofErr w:type="gramEnd"/>
      <w:r>
        <w:rPr>
          <w:sz w:val="26"/>
          <w:szCs w:val="26"/>
        </w:rPr>
        <w:t xml:space="preserve"> Measure must reasonably be expected to satisfy the Total Resource Cost Test and the Utility Cost Test.”</w:t>
      </w:r>
      <w:r>
        <w:rPr>
          <w:rStyle w:val="FootnoteReference"/>
          <w:sz w:val="26"/>
          <w:szCs w:val="26"/>
        </w:rPr>
        <w:footnoteReference w:id="29"/>
      </w:r>
    </w:p>
    <w:p w:rsidR="00161589" w:rsidRDefault="00161589" w:rsidP="00161589">
      <w:pPr>
        <w:rPr>
          <w:sz w:val="26"/>
          <w:szCs w:val="26"/>
        </w:rPr>
      </w:pPr>
    </w:p>
    <w:p w:rsidR="00161589" w:rsidRDefault="00161589" w:rsidP="00161589">
      <w:pPr>
        <w:rPr>
          <w:sz w:val="26"/>
          <w:szCs w:val="26"/>
        </w:rPr>
      </w:pPr>
      <w:r>
        <w:rPr>
          <w:sz w:val="26"/>
          <w:szCs w:val="26"/>
        </w:rPr>
        <w:t>CNGC believes that a UCT is optimal when calculating only those costs which are capacity-related.</w:t>
      </w:r>
      <w:r>
        <w:rPr>
          <w:rStyle w:val="FootnoteReference"/>
          <w:sz w:val="26"/>
          <w:szCs w:val="26"/>
        </w:rPr>
        <w:footnoteReference w:id="30"/>
      </w:r>
      <w:r>
        <w:rPr>
          <w:sz w:val="26"/>
          <w:szCs w:val="26"/>
        </w:rPr>
        <w:t xml:space="preserve"> </w:t>
      </w:r>
    </w:p>
    <w:p w:rsidR="00161589" w:rsidRDefault="00161589" w:rsidP="00161589">
      <w:pPr>
        <w:numPr>
          <w:ilvl w:val="0"/>
          <w:numId w:val="25"/>
        </w:numPr>
        <w:rPr>
          <w:sz w:val="26"/>
          <w:szCs w:val="26"/>
        </w:rPr>
      </w:pPr>
      <w:r>
        <w:rPr>
          <w:sz w:val="26"/>
          <w:szCs w:val="26"/>
        </w:rPr>
        <w:t>Utility would pay incentives up to what it would otherwise cost the utility to add capacity.</w:t>
      </w:r>
      <w:r>
        <w:rPr>
          <w:rStyle w:val="FootnoteReference"/>
          <w:sz w:val="26"/>
          <w:szCs w:val="26"/>
        </w:rPr>
        <w:footnoteReference w:id="31"/>
      </w:r>
      <w:r>
        <w:rPr>
          <w:sz w:val="26"/>
          <w:szCs w:val="26"/>
        </w:rPr>
        <w:t xml:space="preserve"> </w:t>
      </w:r>
    </w:p>
    <w:p w:rsidR="00161589" w:rsidRDefault="00161589" w:rsidP="00161589">
      <w:pPr>
        <w:rPr>
          <w:sz w:val="26"/>
          <w:szCs w:val="26"/>
        </w:rPr>
      </w:pPr>
    </w:p>
    <w:p w:rsidR="00161589" w:rsidRDefault="00161589" w:rsidP="00161589">
      <w:pPr>
        <w:rPr>
          <w:sz w:val="26"/>
          <w:szCs w:val="26"/>
        </w:rPr>
      </w:pPr>
      <w:r>
        <w:rPr>
          <w:sz w:val="26"/>
          <w:szCs w:val="26"/>
        </w:rPr>
        <w:t xml:space="preserve">A second-best option, according to CNGC, is an average of the portfolio-level outcomes of the UCT and the TRC test. </w:t>
      </w:r>
    </w:p>
    <w:p w:rsidR="00161589" w:rsidRDefault="00161589" w:rsidP="00161589">
      <w:pPr>
        <w:numPr>
          <w:ilvl w:val="0"/>
          <w:numId w:val="1"/>
        </w:numPr>
        <w:rPr>
          <w:sz w:val="26"/>
          <w:szCs w:val="26"/>
        </w:rPr>
      </w:pPr>
      <w:r>
        <w:rPr>
          <w:sz w:val="26"/>
          <w:szCs w:val="26"/>
        </w:rPr>
        <w:t xml:space="preserve">Averaging balances economic and environment benefits.  </w:t>
      </w:r>
    </w:p>
    <w:p w:rsidR="00161589" w:rsidRDefault="00161589" w:rsidP="00161589">
      <w:pPr>
        <w:numPr>
          <w:ilvl w:val="0"/>
          <w:numId w:val="1"/>
        </w:numPr>
        <w:rPr>
          <w:sz w:val="26"/>
          <w:szCs w:val="26"/>
        </w:rPr>
      </w:pPr>
      <w:r>
        <w:rPr>
          <w:sz w:val="26"/>
          <w:szCs w:val="26"/>
        </w:rPr>
        <w:t>Averaging balances visionary and transformative measures with tried-and-true measures.</w:t>
      </w:r>
      <w:r w:rsidRPr="006C258D">
        <w:rPr>
          <w:rStyle w:val="FootnoteReference"/>
          <w:sz w:val="26"/>
          <w:szCs w:val="26"/>
        </w:rPr>
        <w:t xml:space="preserve"> </w:t>
      </w:r>
      <w:r>
        <w:rPr>
          <w:rStyle w:val="FootnoteReference"/>
          <w:sz w:val="26"/>
          <w:szCs w:val="26"/>
        </w:rPr>
        <w:footnoteReference w:id="32"/>
      </w:r>
      <w:r>
        <w:rPr>
          <w:sz w:val="26"/>
          <w:szCs w:val="26"/>
        </w:rPr>
        <w:t xml:space="preserve">   </w:t>
      </w:r>
    </w:p>
    <w:p w:rsidR="00161589" w:rsidRPr="00CE3A48" w:rsidRDefault="00161589" w:rsidP="00161589">
      <w:pPr>
        <w:numPr>
          <w:ilvl w:val="0"/>
          <w:numId w:val="1"/>
        </w:numPr>
        <w:rPr>
          <w:sz w:val="26"/>
          <w:szCs w:val="26"/>
        </w:rPr>
      </w:pPr>
      <w:r w:rsidRPr="00CE3A48">
        <w:rPr>
          <w:sz w:val="26"/>
          <w:szCs w:val="26"/>
        </w:rPr>
        <w:t>Averaging makes the portfolio less sensitive to declines in the natural gas market, mitigating some of the “yo-yo” effect of ramp</w:t>
      </w:r>
      <w:r>
        <w:rPr>
          <w:sz w:val="26"/>
          <w:szCs w:val="26"/>
        </w:rPr>
        <w:t>ing</w:t>
      </w:r>
      <w:r w:rsidRPr="00CE3A48">
        <w:rPr>
          <w:sz w:val="26"/>
          <w:szCs w:val="26"/>
        </w:rPr>
        <w:t>-up with the IRP process.</w:t>
      </w:r>
      <w:r w:rsidRPr="00CE3A48">
        <w:rPr>
          <w:rStyle w:val="FootnoteReference"/>
          <w:sz w:val="26"/>
          <w:szCs w:val="26"/>
        </w:rPr>
        <w:t xml:space="preserve"> </w:t>
      </w:r>
      <w:r>
        <w:rPr>
          <w:rStyle w:val="FootnoteReference"/>
          <w:sz w:val="26"/>
          <w:szCs w:val="26"/>
        </w:rPr>
        <w:footnoteReference w:id="33"/>
      </w:r>
    </w:p>
    <w:p w:rsidR="00161589" w:rsidRDefault="00161589" w:rsidP="00161589">
      <w:pPr>
        <w:numPr>
          <w:ilvl w:val="0"/>
          <w:numId w:val="1"/>
        </w:numPr>
        <w:rPr>
          <w:sz w:val="26"/>
          <w:szCs w:val="26"/>
        </w:rPr>
      </w:pPr>
      <w:r>
        <w:rPr>
          <w:sz w:val="26"/>
          <w:szCs w:val="26"/>
        </w:rPr>
        <w:t>“A holistic and combined approach is particularly critical for a small utility like Cascade Natural Gas who has a maturing energy conservation program that has just begun to receive increased momentum/participation in its programs.”</w:t>
      </w:r>
      <w:r>
        <w:rPr>
          <w:rStyle w:val="FootnoteReference"/>
          <w:sz w:val="26"/>
          <w:szCs w:val="26"/>
        </w:rPr>
        <w:footnoteReference w:id="34"/>
      </w:r>
      <w:r>
        <w:rPr>
          <w:sz w:val="26"/>
          <w:szCs w:val="26"/>
        </w:rPr>
        <w:t xml:space="preserve"> </w:t>
      </w:r>
    </w:p>
    <w:p w:rsidR="00161589" w:rsidRPr="006C258D" w:rsidRDefault="00161589" w:rsidP="00161589">
      <w:pPr>
        <w:ind w:left="1440"/>
        <w:rPr>
          <w:sz w:val="26"/>
          <w:szCs w:val="26"/>
        </w:rPr>
      </w:pPr>
    </w:p>
    <w:p w:rsidR="00161589" w:rsidRDefault="00161589" w:rsidP="00161589">
      <w:pPr>
        <w:rPr>
          <w:sz w:val="26"/>
          <w:szCs w:val="26"/>
        </w:rPr>
      </w:pPr>
      <w:r>
        <w:rPr>
          <w:sz w:val="26"/>
          <w:szCs w:val="26"/>
        </w:rPr>
        <w:t>A third-best measure, according to CNGC, is to weight the UCT and TRC test 60/40 favoring the TRC test.</w:t>
      </w:r>
    </w:p>
    <w:p w:rsidR="00161589" w:rsidRDefault="00161589" w:rsidP="00161589">
      <w:pPr>
        <w:numPr>
          <w:ilvl w:val="0"/>
          <w:numId w:val="3"/>
        </w:numPr>
        <w:rPr>
          <w:sz w:val="26"/>
          <w:szCs w:val="26"/>
        </w:rPr>
      </w:pPr>
      <w:r>
        <w:rPr>
          <w:sz w:val="26"/>
          <w:szCs w:val="26"/>
        </w:rPr>
        <w:t>WUTC has previously used the TRC test.</w:t>
      </w:r>
      <w:r>
        <w:rPr>
          <w:rStyle w:val="FootnoteReference"/>
          <w:sz w:val="26"/>
          <w:szCs w:val="26"/>
        </w:rPr>
        <w:footnoteReference w:id="35"/>
      </w:r>
    </w:p>
    <w:p w:rsidR="00161589" w:rsidRDefault="00161589" w:rsidP="00161589">
      <w:pPr>
        <w:rPr>
          <w:sz w:val="26"/>
          <w:szCs w:val="26"/>
        </w:rPr>
      </w:pPr>
    </w:p>
    <w:p w:rsidR="00161589" w:rsidRDefault="00161589" w:rsidP="00161589">
      <w:pPr>
        <w:rPr>
          <w:sz w:val="26"/>
          <w:szCs w:val="26"/>
        </w:rPr>
      </w:pPr>
      <w:r>
        <w:rPr>
          <w:sz w:val="26"/>
          <w:szCs w:val="26"/>
        </w:rPr>
        <w:t>CNGC cautions against relying exclusively on non-energy benefits as a “solution” to maintaining cost-effective natural gas conservation efforts.</w:t>
      </w:r>
    </w:p>
    <w:p w:rsidR="00161589" w:rsidRDefault="00161589" w:rsidP="00161589">
      <w:pPr>
        <w:numPr>
          <w:ilvl w:val="0"/>
          <w:numId w:val="25"/>
        </w:numPr>
        <w:rPr>
          <w:sz w:val="26"/>
          <w:szCs w:val="26"/>
        </w:rPr>
      </w:pPr>
      <w:r>
        <w:rPr>
          <w:sz w:val="26"/>
          <w:szCs w:val="26"/>
        </w:rPr>
        <w:t>May lead to artificial inflation of such benefits.</w:t>
      </w:r>
    </w:p>
    <w:p w:rsidR="00161589" w:rsidRDefault="00161589" w:rsidP="00161589">
      <w:pPr>
        <w:numPr>
          <w:ilvl w:val="0"/>
          <w:numId w:val="25"/>
        </w:numPr>
        <w:rPr>
          <w:sz w:val="26"/>
          <w:szCs w:val="26"/>
        </w:rPr>
      </w:pPr>
      <w:r>
        <w:rPr>
          <w:sz w:val="26"/>
          <w:szCs w:val="26"/>
        </w:rPr>
        <w:t>May overstate the importance of the TRC test itself.</w:t>
      </w:r>
      <w:r>
        <w:rPr>
          <w:rStyle w:val="FootnoteReference"/>
          <w:sz w:val="26"/>
          <w:szCs w:val="26"/>
        </w:rPr>
        <w:footnoteReference w:id="36"/>
      </w:r>
    </w:p>
    <w:p w:rsidR="00161589" w:rsidRDefault="00161589" w:rsidP="00161589">
      <w:pPr>
        <w:rPr>
          <w:sz w:val="26"/>
          <w:szCs w:val="26"/>
        </w:rPr>
      </w:pPr>
      <w:r>
        <w:rPr>
          <w:sz w:val="26"/>
          <w:szCs w:val="26"/>
        </w:rPr>
        <w:br/>
        <w:t>CNGC believes that the focus of the rule-making should be on determining if the TRC test is an ideal method.</w:t>
      </w:r>
      <w:r>
        <w:rPr>
          <w:rStyle w:val="FootnoteReference"/>
          <w:sz w:val="26"/>
          <w:szCs w:val="26"/>
        </w:rPr>
        <w:footnoteReference w:id="37"/>
      </w:r>
    </w:p>
    <w:p w:rsidR="00161589" w:rsidRDefault="00161589" w:rsidP="00161589">
      <w:pPr>
        <w:rPr>
          <w:sz w:val="26"/>
          <w:szCs w:val="26"/>
        </w:rPr>
      </w:pPr>
    </w:p>
    <w:p w:rsidR="00161589" w:rsidRDefault="00161589" w:rsidP="00161589">
      <w:pPr>
        <w:rPr>
          <w:sz w:val="26"/>
          <w:szCs w:val="26"/>
        </w:rPr>
      </w:pPr>
      <w:r>
        <w:rPr>
          <w:sz w:val="26"/>
          <w:szCs w:val="26"/>
        </w:rPr>
        <w:t>CNGC offers that all of the “status quo” metrics being used to assess conservation efforts may not have ever been best fit for conservation efforts operated by natural gas utilities.</w:t>
      </w:r>
    </w:p>
    <w:p w:rsidR="00161589" w:rsidRDefault="00161589" w:rsidP="00161589">
      <w:pPr>
        <w:numPr>
          <w:ilvl w:val="0"/>
          <w:numId w:val="3"/>
        </w:numPr>
        <w:rPr>
          <w:sz w:val="26"/>
          <w:szCs w:val="26"/>
        </w:rPr>
      </w:pPr>
      <w:r>
        <w:rPr>
          <w:sz w:val="26"/>
          <w:szCs w:val="26"/>
        </w:rPr>
        <w:lastRenderedPageBreak/>
        <w:t>Current tests were modeled primarily after those applied to electric utilities.</w:t>
      </w:r>
      <w:r>
        <w:rPr>
          <w:rStyle w:val="FootnoteReference"/>
          <w:sz w:val="26"/>
          <w:szCs w:val="26"/>
        </w:rPr>
        <w:footnoteReference w:id="38"/>
      </w:r>
    </w:p>
    <w:p w:rsidR="00161589" w:rsidRDefault="00161589" w:rsidP="00161589">
      <w:pPr>
        <w:rPr>
          <w:sz w:val="26"/>
          <w:szCs w:val="26"/>
        </w:rPr>
      </w:pPr>
    </w:p>
    <w:p w:rsidR="00161589" w:rsidRDefault="00161589" w:rsidP="00161589">
      <w:pPr>
        <w:rPr>
          <w:sz w:val="26"/>
          <w:szCs w:val="26"/>
        </w:rPr>
      </w:pPr>
      <w:r>
        <w:rPr>
          <w:sz w:val="26"/>
          <w:szCs w:val="26"/>
        </w:rPr>
        <w:t>NW Natural recommends applying the TRC test at the portfolio level.</w:t>
      </w:r>
      <w:r>
        <w:rPr>
          <w:rStyle w:val="FootnoteReference"/>
          <w:sz w:val="26"/>
          <w:szCs w:val="26"/>
        </w:rPr>
        <w:footnoteReference w:id="39"/>
      </w:r>
      <w:r>
        <w:rPr>
          <w:sz w:val="26"/>
          <w:szCs w:val="26"/>
        </w:rPr>
        <w:t xml:space="preserve">  </w:t>
      </w:r>
    </w:p>
    <w:p w:rsidR="00161589" w:rsidRDefault="00161589" w:rsidP="00161589">
      <w:pPr>
        <w:rPr>
          <w:sz w:val="26"/>
          <w:szCs w:val="26"/>
        </w:rPr>
      </w:pPr>
    </w:p>
    <w:p w:rsidR="00161589" w:rsidRDefault="00161589" w:rsidP="00161589">
      <w:pPr>
        <w:ind w:left="360"/>
        <w:rPr>
          <w:sz w:val="26"/>
          <w:szCs w:val="26"/>
        </w:rPr>
      </w:pPr>
      <w:r>
        <w:rPr>
          <w:sz w:val="26"/>
          <w:szCs w:val="26"/>
        </w:rPr>
        <w:t>Measure-level TRC tests are, according to NW Natural, not advisable without allowances for exclusions.</w:t>
      </w:r>
    </w:p>
    <w:p w:rsidR="00161589" w:rsidRDefault="00161589" w:rsidP="00161589">
      <w:pPr>
        <w:numPr>
          <w:ilvl w:val="0"/>
          <w:numId w:val="35"/>
        </w:numPr>
        <w:rPr>
          <w:sz w:val="26"/>
          <w:szCs w:val="26"/>
        </w:rPr>
      </w:pPr>
      <w:r>
        <w:rPr>
          <w:sz w:val="26"/>
          <w:szCs w:val="26"/>
        </w:rPr>
        <w:t>Example: Energy Trust of Oregon’s exception for a lower than 1 TRC if measure costs are expected to go down with market transformation.</w:t>
      </w:r>
      <w:r>
        <w:rPr>
          <w:rStyle w:val="FootnoteReference"/>
          <w:sz w:val="26"/>
          <w:szCs w:val="26"/>
        </w:rPr>
        <w:footnoteReference w:id="40"/>
      </w:r>
    </w:p>
    <w:p w:rsidR="00161589" w:rsidRDefault="00161589" w:rsidP="00161589">
      <w:pPr>
        <w:rPr>
          <w:sz w:val="26"/>
          <w:szCs w:val="26"/>
        </w:rPr>
      </w:pPr>
    </w:p>
    <w:p w:rsidR="00161589" w:rsidRDefault="00161589" w:rsidP="00161589">
      <w:pPr>
        <w:ind w:left="360"/>
        <w:rPr>
          <w:sz w:val="26"/>
          <w:szCs w:val="26"/>
        </w:rPr>
      </w:pPr>
      <w:r>
        <w:rPr>
          <w:sz w:val="26"/>
          <w:szCs w:val="26"/>
        </w:rPr>
        <w:t>NW Natural supports using the UCT at the measure level and the TRC at the portfolio level.</w:t>
      </w:r>
      <w:r>
        <w:rPr>
          <w:rStyle w:val="FootnoteReference"/>
          <w:sz w:val="26"/>
          <w:szCs w:val="26"/>
        </w:rPr>
        <w:footnoteReference w:id="41"/>
      </w:r>
      <w:r>
        <w:rPr>
          <w:sz w:val="26"/>
          <w:szCs w:val="26"/>
        </w:rPr>
        <w:t xml:space="preserve"> </w:t>
      </w:r>
    </w:p>
    <w:p w:rsidR="00161589" w:rsidRPr="000D0DD0" w:rsidRDefault="00161589" w:rsidP="00161589">
      <w:pPr>
        <w:rPr>
          <w:sz w:val="26"/>
          <w:szCs w:val="26"/>
        </w:rPr>
      </w:pPr>
      <w:r>
        <w:rPr>
          <w:sz w:val="26"/>
          <w:szCs w:val="26"/>
        </w:rPr>
        <w:tab/>
      </w:r>
    </w:p>
    <w:p w:rsidR="00161589" w:rsidRDefault="00161589" w:rsidP="00161589">
      <w:pPr>
        <w:rPr>
          <w:sz w:val="26"/>
          <w:szCs w:val="26"/>
        </w:rPr>
      </w:pPr>
      <w:r>
        <w:rPr>
          <w:sz w:val="26"/>
          <w:szCs w:val="26"/>
        </w:rPr>
        <w:t>Avista cautions against using the program administrator cost test (formally known as the UCT) independent of other tests.</w:t>
      </w:r>
    </w:p>
    <w:p w:rsidR="00161589" w:rsidRDefault="00161589" w:rsidP="00161589">
      <w:pPr>
        <w:numPr>
          <w:ilvl w:val="0"/>
          <w:numId w:val="35"/>
        </w:numPr>
        <w:rPr>
          <w:sz w:val="26"/>
          <w:szCs w:val="26"/>
        </w:rPr>
      </w:pPr>
      <w:r>
        <w:rPr>
          <w:sz w:val="26"/>
          <w:szCs w:val="26"/>
        </w:rPr>
        <w:t>UCT does not fully represent the costs and benefits to ratepayers.</w:t>
      </w:r>
      <w:r w:rsidRPr="00A821AD">
        <w:rPr>
          <w:rStyle w:val="FootnoteReference"/>
          <w:sz w:val="26"/>
          <w:szCs w:val="26"/>
        </w:rPr>
        <w:t xml:space="preserve"> </w:t>
      </w:r>
      <w:r>
        <w:rPr>
          <w:rStyle w:val="FootnoteReference"/>
          <w:sz w:val="26"/>
          <w:szCs w:val="26"/>
        </w:rPr>
        <w:footnoteReference w:id="42"/>
      </w:r>
      <w:r>
        <w:rPr>
          <w:sz w:val="26"/>
          <w:szCs w:val="26"/>
        </w:rPr>
        <w:t xml:space="preserve"> </w:t>
      </w:r>
    </w:p>
    <w:p w:rsidR="00161589" w:rsidRDefault="00161589" w:rsidP="00161589">
      <w:pPr>
        <w:rPr>
          <w:sz w:val="26"/>
          <w:szCs w:val="26"/>
        </w:rPr>
      </w:pPr>
    </w:p>
    <w:p w:rsidR="00161589" w:rsidRPr="005C767D" w:rsidRDefault="00161589" w:rsidP="00161589">
      <w:pPr>
        <w:rPr>
          <w:sz w:val="26"/>
          <w:szCs w:val="26"/>
        </w:rPr>
      </w:pPr>
      <w:r>
        <w:rPr>
          <w:sz w:val="26"/>
          <w:szCs w:val="26"/>
        </w:rPr>
        <w:t>Avista currently claims energy efficiency savings based on gross TRC test results.</w:t>
      </w:r>
      <w:r>
        <w:rPr>
          <w:rStyle w:val="FootnoteReference"/>
          <w:sz w:val="26"/>
          <w:szCs w:val="26"/>
        </w:rPr>
        <w:footnoteReference w:id="43"/>
      </w:r>
    </w:p>
    <w:p w:rsidR="00161589" w:rsidRDefault="00161589" w:rsidP="00161589">
      <w:pPr>
        <w:rPr>
          <w:sz w:val="26"/>
          <w:szCs w:val="26"/>
        </w:rPr>
      </w:pPr>
    </w:p>
    <w:p w:rsidR="00161589" w:rsidRDefault="00161589" w:rsidP="00161589">
      <w:pPr>
        <w:rPr>
          <w:sz w:val="26"/>
          <w:szCs w:val="26"/>
        </w:rPr>
      </w:pPr>
      <w:r>
        <w:rPr>
          <w:sz w:val="26"/>
          <w:szCs w:val="26"/>
        </w:rPr>
        <w:t>Avista performs program planning based on net TRC test results.</w:t>
      </w:r>
      <w:r>
        <w:rPr>
          <w:rStyle w:val="FootnoteReference"/>
          <w:sz w:val="26"/>
          <w:szCs w:val="26"/>
        </w:rPr>
        <w:footnoteReference w:id="44"/>
      </w:r>
    </w:p>
    <w:p w:rsidR="00161589" w:rsidRDefault="00161589" w:rsidP="00161589">
      <w:pPr>
        <w:rPr>
          <w:sz w:val="26"/>
          <w:szCs w:val="26"/>
        </w:rPr>
      </w:pPr>
    </w:p>
    <w:p w:rsidR="00161589" w:rsidRDefault="00161589" w:rsidP="00161589">
      <w:pPr>
        <w:rPr>
          <w:sz w:val="26"/>
          <w:szCs w:val="26"/>
        </w:rPr>
      </w:pPr>
      <w:r>
        <w:rPr>
          <w:sz w:val="26"/>
          <w:szCs w:val="26"/>
        </w:rPr>
        <w:t>The Coalition recommends investigating the following:</w:t>
      </w:r>
    </w:p>
    <w:p w:rsidR="00161589" w:rsidRDefault="00161589" w:rsidP="00161589">
      <w:pPr>
        <w:numPr>
          <w:ilvl w:val="0"/>
          <w:numId w:val="3"/>
        </w:numPr>
        <w:rPr>
          <w:sz w:val="26"/>
          <w:szCs w:val="26"/>
        </w:rPr>
      </w:pPr>
      <w:r>
        <w:rPr>
          <w:sz w:val="26"/>
          <w:szCs w:val="26"/>
        </w:rPr>
        <w:t>Improved use of the TRC test and/or other existing cost tests (including the UCT) individually or compositely.</w:t>
      </w:r>
      <w:r>
        <w:rPr>
          <w:rStyle w:val="FootnoteReference"/>
          <w:sz w:val="26"/>
          <w:szCs w:val="26"/>
        </w:rPr>
        <w:footnoteReference w:id="45"/>
      </w:r>
      <w:r>
        <w:rPr>
          <w:sz w:val="26"/>
          <w:szCs w:val="26"/>
        </w:rPr>
        <w:t xml:space="preserve"> </w:t>
      </w:r>
    </w:p>
    <w:p w:rsidR="00161589" w:rsidRDefault="00161589" w:rsidP="00161589">
      <w:pPr>
        <w:numPr>
          <w:ilvl w:val="0"/>
          <w:numId w:val="3"/>
        </w:numPr>
        <w:rPr>
          <w:sz w:val="26"/>
          <w:szCs w:val="26"/>
        </w:rPr>
      </w:pPr>
      <w:r>
        <w:rPr>
          <w:sz w:val="26"/>
          <w:szCs w:val="26"/>
        </w:rPr>
        <w:t>Regional approaches to natural gas conservation cost effectiveness, including the Energy Trust of Oregon’s proposed 2-year waiver and British Columbia’s Modified TRC.</w:t>
      </w:r>
      <w:r>
        <w:rPr>
          <w:rStyle w:val="FootnoteReference"/>
          <w:sz w:val="26"/>
          <w:szCs w:val="26"/>
        </w:rPr>
        <w:footnoteReference w:id="46"/>
      </w:r>
    </w:p>
    <w:p w:rsidR="00161589" w:rsidRDefault="00161589" w:rsidP="00161589">
      <w:pPr>
        <w:numPr>
          <w:ilvl w:val="1"/>
          <w:numId w:val="3"/>
        </w:numPr>
        <w:rPr>
          <w:sz w:val="26"/>
          <w:szCs w:val="26"/>
        </w:rPr>
      </w:pPr>
      <w:r>
        <w:rPr>
          <w:sz w:val="26"/>
          <w:szCs w:val="26"/>
        </w:rPr>
        <w:t>British Columbia took nearly a year to develop its Modified TRC.</w:t>
      </w:r>
    </w:p>
    <w:p w:rsidR="00161589" w:rsidRDefault="00161589" w:rsidP="00161589">
      <w:pPr>
        <w:numPr>
          <w:ilvl w:val="1"/>
          <w:numId w:val="3"/>
        </w:numPr>
        <w:rPr>
          <w:sz w:val="26"/>
          <w:szCs w:val="26"/>
        </w:rPr>
      </w:pPr>
      <w:r>
        <w:rPr>
          <w:sz w:val="26"/>
          <w:szCs w:val="26"/>
        </w:rPr>
        <w:t>Crafting stakeholder agreement takes time.</w:t>
      </w:r>
    </w:p>
    <w:p w:rsidR="00161589" w:rsidRDefault="00161589" w:rsidP="00161589">
      <w:pPr>
        <w:numPr>
          <w:ilvl w:val="1"/>
          <w:numId w:val="3"/>
        </w:numPr>
        <w:rPr>
          <w:sz w:val="26"/>
          <w:szCs w:val="26"/>
        </w:rPr>
      </w:pPr>
      <w:r>
        <w:rPr>
          <w:sz w:val="26"/>
          <w:szCs w:val="26"/>
        </w:rPr>
        <w:t>Allows utilities to avoid prudency concerns.</w:t>
      </w:r>
      <w:r>
        <w:rPr>
          <w:rStyle w:val="FootnoteReference"/>
          <w:sz w:val="26"/>
          <w:szCs w:val="26"/>
        </w:rPr>
        <w:footnoteReference w:id="47"/>
      </w:r>
    </w:p>
    <w:p w:rsidR="00161589" w:rsidRDefault="00161589" w:rsidP="00161589">
      <w:pPr>
        <w:rPr>
          <w:sz w:val="26"/>
          <w:szCs w:val="26"/>
        </w:rPr>
      </w:pPr>
    </w:p>
    <w:p w:rsidR="00161589" w:rsidRDefault="00161589" w:rsidP="00161589">
      <w:pPr>
        <w:rPr>
          <w:sz w:val="26"/>
          <w:szCs w:val="26"/>
        </w:rPr>
      </w:pPr>
      <w:r>
        <w:rPr>
          <w:sz w:val="26"/>
          <w:szCs w:val="26"/>
        </w:rPr>
        <w:t>The Coalition offers the option of lowering the TRC ratio requirement when gas prices fall below a set price.</w:t>
      </w:r>
    </w:p>
    <w:p w:rsidR="00161589" w:rsidRDefault="00161589" w:rsidP="00161589">
      <w:pPr>
        <w:numPr>
          <w:ilvl w:val="0"/>
          <w:numId w:val="29"/>
        </w:numPr>
        <w:rPr>
          <w:sz w:val="26"/>
          <w:szCs w:val="26"/>
        </w:rPr>
      </w:pPr>
      <w:r>
        <w:rPr>
          <w:sz w:val="26"/>
          <w:szCs w:val="26"/>
        </w:rPr>
        <w:lastRenderedPageBreak/>
        <w:t xml:space="preserve">Preserves benefits of conservation programs without altering test inputs. </w:t>
      </w:r>
    </w:p>
    <w:p w:rsidR="00161589" w:rsidRDefault="00161589" w:rsidP="00161589">
      <w:pPr>
        <w:numPr>
          <w:ilvl w:val="0"/>
          <w:numId w:val="29"/>
        </w:numPr>
        <w:rPr>
          <w:sz w:val="26"/>
          <w:szCs w:val="26"/>
        </w:rPr>
      </w:pPr>
      <w:r>
        <w:rPr>
          <w:sz w:val="26"/>
          <w:szCs w:val="26"/>
        </w:rPr>
        <w:t>Must be coupled with prudence determination to hold utilities accountable.</w:t>
      </w:r>
      <w:r>
        <w:rPr>
          <w:rStyle w:val="FootnoteReference"/>
          <w:sz w:val="26"/>
          <w:szCs w:val="26"/>
        </w:rPr>
        <w:footnoteReference w:id="48"/>
      </w:r>
    </w:p>
    <w:p w:rsidR="00161589" w:rsidRDefault="00161589" w:rsidP="00161589">
      <w:pPr>
        <w:rPr>
          <w:sz w:val="26"/>
          <w:szCs w:val="26"/>
        </w:rPr>
      </w:pPr>
    </w:p>
    <w:p w:rsidR="00161589" w:rsidRDefault="00161589" w:rsidP="00161589">
      <w:pPr>
        <w:rPr>
          <w:sz w:val="26"/>
          <w:szCs w:val="26"/>
        </w:rPr>
      </w:pPr>
      <w:r>
        <w:rPr>
          <w:sz w:val="26"/>
          <w:szCs w:val="26"/>
        </w:rPr>
        <w:t>NWIGU supports the continued use of the current methodologies for avoided cost.</w:t>
      </w:r>
    </w:p>
    <w:p w:rsidR="00161589" w:rsidRDefault="00161589" w:rsidP="00161589">
      <w:pPr>
        <w:numPr>
          <w:ilvl w:val="0"/>
          <w:numId w:val="5"/>
        </w:numPr>
        <w:rPr>
          <w:sz w:val="26"/>
          <w:szCs w:val="26"/>
        </w:rPr>
      </w:pPr>
      <w:r>
        <w:rPr>
          <w:sz w:val="26"/>
          <w:szCs w:val="26"/>
        </w:rPr>
        <w:t>The Commission should protect the interests of natural gas consumers (especially given economic challenges faced by consumers).</w:t>
      </w:r>
    </w:p>
    <w:p w:rsidR="00161589" w:rsidRDefault="00161589" w:rsidP="00161589">
      <w:pPr>
        <w:numPr>
          <w:ilvl w:val="0"/>
          <w:numId w:val="5"/>
        </w:numPr>
        <w:rPr>
          <w:sz w:val="26"/>
          <w:szCs w:val="26"/>
        </w:rPr>
      </w:pPr>
      <w:r>
        <w:rPr>
          <w:sz w:val="26"/>
          <w:szCs w:val="26"/>
        </w:rPr>
        <w:t>The current natural gas market should not cause the Commission to change the avoided cost methodology.</w:t>
      </w:r>
    </w:p>
    <w:p w:rsidR="00161589" w:rsidRPr="00B57ED9" w:rsidRDefault="00161589" w:rsidP="00161589">
      <w:pPr>
        <w:numPr>
          <w:ilvl w:val="0"/>
          <w:numId w:val="5"/>
        </w:numPr>
        <w:rPr>
          <w:sz w:val="26"/>
          <w:szCs w:val="26"/>
        </w:rPr>
      </w:pPr>
      <w:r>
        <w:rPr>
          <w:sz w:val="26"/>
          <w:szCs w:val="26"/>
        </w:rPr>
        <w:t>Market prices for natural gas are expect to remain low; there was a paradigm shift in the market beginning in 2008 and 2009 due to shale gas discoveries in North America.</w:t>
      </w:r>
      <w:r>
        <w:rPr>
          <w:rStyle w:val="FootnoteReference"/>
          <w:sz w:val="26"/>
          <w:szCs w:val="26"/>
        </w:rPr>
        <w:footnoteReference w:id="49"/>
      </w:r>
    </w:p>
    <w:p w:rsidR="00161589" w:rsidRPr="000D0DD0" w:rsidRDefault="00161589" w:rsidP="00161589">
      <w:pPr>
        <w:ind w:left="720"/>
        <w:rPr>
          <w:sz w:val="26"/>
          <w:szCs w:val="26"/>
        </w:rPr>
      </w:pPr>
    </w:p>
    <w:p w:rsidR="00161589" w:rsidRDefault="00161589" w:rsidP="00161589">
      <w:pPr>
        <w:rPr>
          <w:sz w:val="26"/>
          <w:szCs w:val="26"/>
        </w:rPr>
      </w:pPr>
      <w:r>
        <w:rPr>
          <w:sz w:val="26"/>
          <w:szCs w:val="26"/>
        </w:rPr>
        <w:t>The Energy Project does not recommend a specific test, but believes that the current test does not properly value benefits for low-income customers.</w:t>
      </w:r>
      <w:r>
        <w:rPr>
          <w:rStyle w:val="FootnoteReference"/>
          <w:sz w:val="26"/>
          <w:szCs w:val="26"/>
        </w:rPr>
        <w:footnoteReference w:id="50"/>
      </w:r>
      <w:r>
        <w:rPr>
          <w:sz w:val="26"/>
          <w:szCs w:val="26"/>
        </w:rPr>
        <w:t xml:space="preserve"> </w:t>
      </w:r>
    </w:p>
    <w:p w:rsidR="00161589" w:rsidRDefault="00161589" w:rsidP="00161589">
      <w:pPr>
        <w:rPr>
          <w:sz w:val="26"/>
          <w:szCs w:val="26"/>
        </w:rPr>
      </w:pPr>
    </w:p>
    <w:p w:rsidR="00161589" w:rsidRDefault="00161589" w:rsidP="00161589">
      <w:pPr>
        <w:rPr>
          <w:sz w:val="26"/>
          <w:szCs w:val="26"/>
        </w:rPr>
      </w:pPr>
      <w:r>
        <w:rPr>
          <w:sz w:val="26"/>
          <w:szCs w:val="26"/>
        </w:rPr>
        <w:t>Public Counsel states that they are not currently aware of any justification for moving away from or modifying the TRC test,</w:t>
      </w:r>
      <w:r>
        <w:rPr>
          <w:rStyle w:val="FootnoteReference"/>
          <w:sz w:val="26"/>
          <w:szCs w:val="26"/>
        </w:rPr>
        <w:footnoteReference w:id="51"/>
      </w:r>
      <w:r>
        <w:rPr>
          <w:sz w:val="26"/>
          <w:szCs w:val="26"/>
        </w:rPr>
        <w:t xml:space="preserve"> used at the portfolio level.</w:t>
      </w:r>
      <w:r>
        <w:rPr>
          <w:rStyle w:val="FootnoteReference"/>
          <w:sz w:val="26"/>
          <w:szCs w:val="26"/>
        </w:rPr>
        <w:footnoteReference w:id="52"/>
      </w:r>
    </w:p>
    <w:p w:rsidR="00161589" w:rsidRPr="00D33978" w:rsidRDefault="00161589" w:rsidP="00161589">
      <w:pPr>
        <w:numPr>
          <w:ilvl w:val="0"/>
          <w:numId w:val="35"/>
        </w:numPr>
        <w:rPr>
          <w:sz w:val="26"/>
          <w:szCs w:val="26"/>
        </w:rPr>
      </w:pPr>
      <w:r w:rsidRPr="00D33978">
        <w:rPr>
          <w:sz w:val="26"/>
          <w:szCs w:val="26"/>
        </w:rPr>
        <w:t>TRC test appropriately recognizes costs to the utility and ratepayers as outlined in WAC 480-90-238.</w:t>
      </w:r>
      <w:r w:rsidRPr="00D33978">
        <w:rPr>
          <w:rStyle w:val="FootnoteReference"/>
          <w:sz w:val="26"/>
          <w:szCs w:val="26"/>
        </w:rPr>
        <w:footnoteReference w:id="53"/>
      </w:r>
    </w:p>
    <w:p w:rsidR="00161589" w:rsidRDefault="00161589" w:rsidP="00161589">
      <w:pPr>
        <w:rPr>
          <w:b/>
          <w:sz w:val="26"/>
          <w:szCs w:val="26"/>
        </w:rPr>
      </w:pPr>
    </w:p>
    <w:p w:rsidR="00161589" w:rsidRDefault="00161589" w:rsidP="00161589">
      <w:pPr>
        <w:rPr>
          <w:sz w:val="26"/>
          <w:szCs w:val="26"/>
        </w:rPr>
      </w:pPr>
      <w:r w:rsidRPr="00D33978">
        <w:rPr>
          <w:sz w:val="26"/>
          <w:szCs w:val="26"/>
        </w:rPr>
        <w:t>Public Counsel believes that any new hybrid tests (based on averaging the UCT and TRC test) would likely cause greater confusion.</w:t>
      </w:r>
      <w:r w:rsidRPr="00D33978">
        <w:rPr>
          <w:rStyle w:val="FootnoteReference"/>
          <w:sz w:val="26"/>
          <w:szCs w:val="26"/>
        </w:rPr>
        <w:footnoteReference w:id="54"/>
      </w:r>
    </w:p>
    <w:p w:rsidR="00161589" w:rsidRPr="00D33978" w:rsidRDefault="00161589" w:rsidP="00161589">
      <w:pPr>
        <w:rPr>
          <w:sz w:val="26"/>
          <w:szCs w:val="26"/>
        </w:rPr>
      </w:pPr>
    </w:p>
    <w:p w:rsidR="00161589" w:rsidRDefault="00161589" w:rsidP="00161589">
      <w:pPr>
        <w:pStyle w:val="Heading1"/>
      </w:pPr>
      <w:r w:rsidRPr="00346E2A">
        <w:t>Pros for the TRC test</w:t>
      </w:r>
    </w:p>
    <w:p w:rsidR="00161589" w:rsidRPr="00071A20" w:rsidRDefault="00161589" w:rsidP="00161589"/>
    <w:p w:rsidR="00161589" w:rsidRDefault="00161589" w:rsidP="00161589">
      <w:pPr>
        <w:rPr>
          <w:sz w:val="26"/>
          <w:szCs w:val="26"/>
        </w:rPr>
      </w:pPr>
      <w:proofErr w:type="gramStart"/>
      <w:r w:rsidRPr="000D0DD0">
        <w:rPr>
          <w:b/>
          <w:sz w:val="26"/>
          <w:szCs w:val="26"/>
        </w:rPr>
        <w:t>Comment.</w:t>
      </w:r>
      <w:proofErr w:type="gramEnd"/>
      <w:r w:rsidRPr="000D0DD0">
        <w:rPr>
          <w:b/>
          <w:sz w:val="26"/>
          <w:szCs w:val="26"/>
        </w:rPr>
        <w:t xml:space="preserve"> </w:t>
      </w:r>
      <w:r w:rsidRPr="000D0DD0">
        <w:rPr>
          <w:sz w:val="26"/>
          <w:szCs w:val="26"/>
        </w:rPr>
        <w:t xml:space="preserve"> </w:t>
      </w:r>
      <w:r>
        <w:rPr>
          <w:sz w:val="26"/>
          <w:szCs w:val="26"/>
        </w:rPr>
        <w:t>CNGC states that the TRC identifies energy conservation measures with strong payback for consumers.</w:t>
      </w:r>
      <w:r>
        <w:rPr>
          <w:rStyle w:val="FootnoteReference"/>
          <w:sz w:val="26"/>
          <w:szCs w:val="26"/>
        </w:rPr>
        <w:footnoteReference w:id="55"/>
      </w:r>
      <w:r>
        <w:rPr>
          <w:sz w:val="26"/>
          <w:szCs w:val="26"/>
        </w:rPr>
        <w:t xml:space="preserve"> </w:t>
      </w:r>
    </w:p>
    <w:p w:rsidR="00161589" w:rsidRDefault="00161589" w:rsidP="00161589">
      <w:pPr>
        <w:rPr>
          <w:sz w:val="26"/>
          <w:szCs w:val="26"/>
        </w:rPr>
      </w:pPr>
    </w:p>
    <w:p w:rsidR="00161589" w:rsidRDefault="00161589" w:rsidP="00161589">
      <w:pPr>
        <w:rPr>
          <w:sz w:val="26"/>
          <w:szCs w:val="26"/>
        </w:rPr>
      </w:pPr>
      <w:r>
        <w:rPr>
          <w:sz w:val="26"/>
          <w:szCs w:val="26"/>
        </w:rPr>
        <w:t xml:space="preserve">NWIGU states that the TRC test ensures that the overall portfolio of programs is itself cost effective. </w:t>
      </w:r>
    </w:p>
    <w:p w:rsidR="00161589" w:rsidRPr="000D0DD0" w:rsidRDefault="00161589" w:rsidP="00161589">
      <w:pPr>
        <w:numPr>
          <w:ilvl w:val="0"/>
          <w:numId w:val="6"/>
        </w:numPr>
        <w:rPr>
          <w:sz w:val="26"/>
          <w:szCs w:val="26"/>
        </w:rPr>
      </w:pPr>
      <w:r>
        <w:rPr>
          <w:sz w:val="26"/>
          <w:szCs w:val="26"/>
        </w:rPr>
        <w:t>Portfolio-level evaluation has allowed for the deployment of some higher-cost programs, including pilot programs, when balanced with other highly cost-effective programs.</w:t>
      </w:r>
      <w:r>
        <w:rPr>
          <w:rStyle w:val="FootnoteReference"/>
          <w:sz w:val="26"/>
          <w:szCs w:val="26"/>
        </w:rPr>
        <w:footnoteReference w:id="56"/>
      </w:r>
      <w:r>
        <w:rPr>
          <w:sz w:val="26"/>
          <w:szCs w:val="26"/>
        </w:rPr>
        <w:t xml:space="preserve">   </w:t>
      </w:r>
    </w:p>
    <w:p w:rsidR="00161589" w:rsidRDefault="00161589" w:rsidP="00161589">
      <w:pPr>
        <w:pStyle w:val="Heading1"/>
      </w:pPr>
      <w:r w:rsidRPr="00346E2A">
        <w:lastRenderedPageBreak/>
        <w:t>Cons for the TRC test</w:t>
      </w:r>
    </w:p>
    <w:p w:rsidR="00161589" w:rsidRPr="00071A20" w:rsidRDefault="00161589" w:rsidP="00161589"/>
    <w:p w:rsidR="00161589" w:rsidRPr="000D0DD0" w:rsidRDefault="00161589" w:rsidP="00161589">
      <w:pPr>
        <w:rPr>
          <w:sz w:val="26"/>
          <w:szCs w:val="26"/>
        </w:rPr>
      </w:pPr>
      <w:proofErr w:type="gramStart"/>
      <w:r w:rsidRPr="000D0DD0">
        <w:rPr>
          <w:b/>
          <w:sz w:val="26"/>
          <w:szCs w:val="26"/>
        </w:rPr>
        <w:t>Comment.</w:t>
      </w:r>
      <w:proofErr w:type="gramEnd"/>
      <w:r w:rsidRPr="000D0DD0">
        <w:rPr>
          <w:b/>
          <w:sz w:val="26"/>
          <w:szCs w:val="26"/>
        </w:rPr>
        <w:t xml:space="preserve"> </w:t>
      </w:r>
      <w:r w:rsidRPr="000D0DD0">
        <w:rPr>
          <w:sz w:val="26"/>
          <w:szCs w:val="26"/>
        </w:rPr>
        <w:t xml:space="preserve"> </w:t>
      </w:r>
      <w:r>
        <w:rPr>
          <w:sz w:val="26"/>
          <w:szCs w:val="26"/>
        </w:rPr>
        <w:t>CNGC states that the TRC requires consistent updates to ever-fluctuating variables such as equipment costs and incremental savings in order to remain valid.  The TRC also limits the inclusion of measures that may greatly reduce energy consumption, but are “prohibitively” expensive due to a lack of maturation in the market.</w:t>
      </w:r>
      <w:r>
        <w:rPr>
          <w:rStyle w:val="FootnoteReference"/>
          <w:sz w:val="26"/>
          <w:szCs w:val="26"/>
        </w:rPr>
        <w:footnoteReference w:id="57"/>
      </w:r>
      <w:r>
        <w:rPr>
          <w:sz w:val="26"/>
          <w:szCs w:val="26"/>
        </w:rPr>
        <w:t xml:space="preserve">  </w:t>
      </w:r>
    </w:p>
    <w:p w:rsidR="00161589" w:rsidRPr="000D0DD0" w:rsidRDefault="00161589" w:rsidP="00161589">
      <w:pPr>
        <w:rPr>
          <w:sz w:val="26"/>
          <w:szCs w:val="26"/>
        </w:rPr>
      </w:pPr>
    </w:p>
    <w:p w:rsidR="00161589" w:rsidRDefault="00161589" w:rsidP="00161589">
      <w:pPr>
        <w:pStyle w:val="Heading1"/>
      </w:pPr>
      <w:r w:rsidRPr="00346E2A">
        <w:t>Pros for the UCT</w:t>
      </w:r>
    </w:p>
    <w:p w:rsidR="00161589" w:rsidRPr="00071A20" w:rsidRDefault="00161589" w:rsidP="00161589"/>
    <w:p w:rsidR="00161589" w:rsidRDefault="00161589" w:rsidP="00161589">
      <w:pPr>
        <w:rPr>
          <w:sz w:val="26"/>
          <w:szCs w:val="26"/>
        </w:rPr>
      </w:pPr>
      <w:proofErr w:type="gramStart"/>
      <w:r w:rsidRPr="000D0DD0">
        <w:rPr>
          <w:b/>
          <w:sz w:val="26"/>
          <w:szCs w:val="26"/>
        </w:rPr>
        <w:t>Comment.</w:t>
      </w:r>
      <w:proofErr w:type="gramEnd"/>
      <w:r w:rsidRPr="000D0DD0">
        <w:rPr>
          <w:b/>
          <w:sz w:val="26"/>
          <w:szCs w:val="26"/>
        </w:rPr>
        <w:t xml:space="preserve"> </w:t>
      </w:r>
      <w:r w:rsidRPr="000D0DD0">
        <w:rPr>
          <w:sz w:val="26"/>
          <w:szCs w:val="26"/>
        </w:rPr>
        <w:t xml:space="preserve"> </w:t>
      </w:r>
      <w:r>
        <w:rPr>
          <w:sz w:val="26"/>
          <w:szCs w:val="26"/>
        </w:rPr>
        <w:t>CNGC states that the UCT embraces a wider range of innovative natural gas conservation measures, eliminates the equipment cost variables, and readily allows utilities to identify the cap at which an incentive amount should be set.</w:t>
      </w:r>
      <w:r>
        <w:rPr>
          <w:rStyle w:val="FootnoteReference"/>
          <w:sz w:val="26"/>
          <w:szCs w:val="26"/>
        </w:rPr>
        <w:footnoteReference w:id="58"/>
      </w:r>
    </w:p>
    <w:p w:rsidR="00161589" w:rsidRDefault="00161589" w:rsidP="00161589">
      <w:pPr>
        <w:rPr>
          <w:sz w:val="26"/>
          <w:szCs w:val="26"/>
        </w:rPr>
      </w:pPr>
    </w:p>
    <w:p w:rsidR="00161589" w:rsidRPr="000D0DD0" w:rsidRDefault="00161589" w:rsidP="00161589">
      <w:pPr>
        <w:rPr>
          <w:sz w:val="26"/>
          <w:szCs w:val="26"/>
        </w:rPr>
      </w:pPr>
      <w:r>
        <w:rPr>
          <w:sz w:val="26"/>
          <w:szCs w:val="26"/>
        </w:rPr>
        <w:t>NW Natural states that the UCT is useful for budgeting and determining the appropriate incentive level (the incentive level is adjusted so that the benefit costs ratio is no less than one).</w:t>
      </w:r>
      <w:r>
        <w:rPr>
          <w:rStyle w:val="FootnoteReference"/>
          <w:sz w:val="26"/>
          <w:szCs w:val="26"/>
        </w:rPr>
        <w:footnoteReference w:id="59"/>
      </w:r>
    </w:p>
    <w:p w:rsidR="00161589" w:rsidRDefault="00161589" w:rsidP="00161589">
      <w:pPr>
        <w:rPr>
          <w:b/>
          <w:sz w:val="26"/>
          <w:szCs w:val="26"/>
        </w:rPr>
      </w:pPr>
    </w:p>
    <w:p w:rsidR="00161589" w:rsidRDefault="00161589" w:rsidP="00161589">
      <w:pPr>
        <w:pStyle w:val="Heading1"/>
      </w:pPr>
      <w:r w:rsidRPr="00346E2A">
        <w:t>Cons for the UCT</w:t>
      </w:r>
    </w:p>
    <w:p w:rsidR="00161589" w:rsidRPr="00071A20" w:rsidRDefault="00161589" w:rsidP="00161589"/>
    <w:p w:rsidR="00161589" w:rsidRDefault="00161589" w:rsidP="00161589">
      <w:pPr>
        <w:rPr>
          <w:sz w:val="26"/>
          <w:szCs w:val="26"/>
        </w:rPr>
      </w:pPr>
      <w:proofErr w:type="gramStart"/>
      <w:r w:rsidRPr="000D0DD0">
        <w:rPr>
          <w:b/>
          <w:sz w:val="26"/>
          <w:szCs w:val="26"/>
        </w:rPr>
        <w:t>Comment.</w:t>
      </w:r>
      <w:proofErr w:type="gramEnd"/>
      <w:r w:rsidRPr="000D0DD0">
        <w:rPr>
          <w:b/>
          <w:sz w:val="26"/>
          <w:szCs w:val="26"/>
        </w:rPr>
        <w:t xml:space="preserve"> </w:t>
      </w:r>
      <w:r w:rsidRPr="000D0DD0">
        <w:rPr>
          <w:sz w:val="26"/>
          <w:szCs w:val="26"/>
        </w:rPr>
        <w:t xml:space="preserve"> </w:t>
      </w:r>
      <w:r>
        <w:rPr>
          <w:sz w:val="26"/>
          <w:szCs w:val="26"/>
        </w:rPr>
        <w:t>CNGC states that the UCT does not consider the costs or payback to the consumer.</w:t>
      </w:r>
    </w:p>
    <w:p w:rsidR="00161589" w:rsidRDefault="00161589" w:rsidP="00161589">
      <w:pPr>
        <w:numPr>
          <w:ilvl w:val="0"/>
          <w:numId w:val="6"/>
        </w:numPr>
        <w:rPr>
          <w:sz w:val="26"/>
          <w:szCs w:val="26"/>
        </w:rPr>
      </w:pPr>
      <w:r>
        <w:rPr>
          <w:sz w:val="26"/>
          <w:szCs w:val="26"/>
        </w:rPr>
        <w:t>A program governed solely by the UCT risks driving customer purchases based on high-impact measures that may have long payback periods.</w:t>
      </w:r>
      <w:r>
        <w:rPr>
          <w:rStyle w:val="FootnoteReference"/>
          <w:sz w:val="26"/>
          <w:szCs w:val="26"/>
        </w:rPr>
        <w:footnoteReference w:id="60"/>
      </w:r>
      <w:r>
        <w:rPr>
          <w:sz w:val="26"/>
          <w:szCs w:val="26"/>
        </w:rPr>
        <w:t xml:space="preserve">  </w:t>
      </w:r>
    </w:p>
    <w:p w:rsidR="00161589" w:rsidRDefault="00161589" w:rsidP="00161589">
      <w:pPr>
        <w:rPr>
          <w:sz w:val="26"/>
          <w:szCs w:val="26"/>
        </w:rPr>
      </w:pPr>
    </w:p>
    <w:p w:rsidR="00161589" w:rsidRDefault="00161589" w:rsidP="00161589">
      <w:pPr>
        <w:rPr>
          <w:sz w:val="26"/>
          <w:szCs w:val="26"/>
        </w:rPr>
      </w:pPr>
      <w:r>
        <w:rPr>
          <w:sz w:val="26"/>
          <w:szCs w:val="26"/>
        </w:rPr>
        <w:t>Public Counsel states that, under a UCT analysis, care must be taken to estimate savings directly attributable to the program.</w:t>
      </w:r>
    </w:p>
    <w:p w:rsidR="00161589" w:rsidRDefault="00161589" w:rsidP="00161589">
      <w:pPr>
        <w:numPr>
          <w:ilvl w:val="0"/>
          <w:numId w:val="6"/>
        </w:numPr>
        <w:rPr>
          <w:sz w:val="26"/>
          <w:szCs w:val="26"/>
        </w:rPr>
      </w:pPr>
      <w:r>
        <w:rPr>
          <w:sz w:val="26"/>
          <w:szCs w:val="26"/>
        </w:rPr>
        <w:t>A net-to-gross analysis must be undertaken.</w:t>
      </w:r>
    </w:p>
    <w:p w:rsidR="00161589" w:rsidRDefault="00161589" w:rsidP="00161589">
      <w:pPr>
        <w:numPr>
          <w:ilvl w:val="0"/>
          <w:numId w:val="6"/>
        </w:numPr>
        <w:rPr>
          <w:sz w:val="26"/>
          <w:szCs w:val="26"/>
        </w:rPr>
      </w:pPr>
      <w:r>
        <w:rPr>
          <w:sz w:val="26"/>
          <w:szCs w:val="26"/>
        </w:rPr>
        <w:t>Utilities have traditionally reported gross savings.</w:t>
      </w:r>
      <w:r>
        <w:rPr>
          <w:rStyle w:val="FootnoteReference"/>
          <w:sz w:val="26"/>
          <w:szCs w:val="26"/>
        </w:rPr>
        <w:footnoteReference w:id="61"/>
      </w:r>
    </w:p>
    <w:p w:rsidR="00161589" w:rsidRPr="00B57ED9" w:rsidRDefault="00161589" w:rsidP="00161589">
      <w:pPr>
        <w:rPr>
          <w:sz w:val="26"/>
          <w:szCs w:val="26"/>
        </w:rPr>
      </w:pPr>
    </w:p>
    <w:p w:rsidR="00161589" w:rsidRDefault="00161589" w:rsidP="00161589">
      <w:pPr>
        <w:rPr>
          <w:sz w:val="26"/>
          <w:szCs w:val="26"/>
          <w:u w:val="single"/>
        </w:rPr>
      </w:pPr>
    </w:p>
    <w:p w:rsidR="00161589" w:rsidRDefault="00161589" w:rsidP="00161589">
      <w:pPr>
        <w:pStyle w:val="Heading1"/>
      </w:pPr>
      <w:r w:rsidRPr="00346E2A">
        <w:lastRenderedPageBreak/>
        <w:t>Other suggested inputs for analysis</w:t>
      </w:r>
    </w:p>
    <w:p w:rsidR="00161589" w:rsidRPr="00367841" w:rsidRDefault="00161589" w:rsidP="00161589"/>
    <w:p w:rsidR="00161589" w:rsidRDefault="00161589" w:rsidP="00161589">
      <w:pPr>
        <w:rPr>
          <w:sz w:val="26"/>
          <w:szCs w:val="26"/>
        </w:rPr>
      </w:pPr>
      <w:proofErr w:type="gramStart"/>
      <w:r w:rsidRPr="00C433FE">
        <w:rPr>
          <w:b/>
          <w:sz w:val="26"/>
          <w:szCs w:val="26"/>
        </w:rPr>
        <w:t>Comment</w:t>
      </w:r>
      <w:r>
        <w:rPr>
          <w:b/>
          <w:sz w:val="26"/>
          <w:szCs w:val="26"/>
        </w:rPr>
        <w:t>.</w:t>
      </w:r>
      <w:proofErr w:type="gramEnd"/>
      <w:r>
        <w:rPr>
          <w:b/>
          <w:sz w:val="26"/>
          <w:szCs w:val="26"/>
        </w:rPr>
        <w:t xml:space="preserve"> </w:t>
      </w:r>
      <w:r>
        <w:rPr>
          <w:sz w:val="26"/>
          <w:szCs w:val="26"/>
        </w:rPr>
        <w:t>The Coalition recommends that customer benefits and societal benefits also be included in analyses to fully value energy efficiency.</w:t>
      </w:r>
    </w:p>
    <w:p w:rsidR="00161589" w:rsidRDefault="00161589" w:rsidP="00161589">
      <w:pPr>
        <w:rPr>
          <w:sz w:val="26"/>
          <w:szCs w:val="26"/>
        </w:rPr>
      </w:pPr>
    </w:p>
    <w:p w:rsidR="00161589" w:rsidRDefault="00161589" w:rsidP="00161589">
      <w:pPr>
        <w:ind w:firstLine="360"/>
        <w:rPr>
          <w:sz w:val="26"/>
          <w:szCs w:val="26"/>
        </w:rPr>
      </w:pPr>
      <w:r>
        <w:rPr>
          <w:sz w:val="26"/>
          <w:szCs w:val="26"/>
        </w:rPr>
        <w:t>Customer benefits include:</w:t>
      </w:r>
    </w:p>
    <w:p w:rsidR="00161589" w:rsidRDefault="00161589" w:rsidP="00161589">
      <w:pPr>
        <w:numPr>
          <w:ilvl w:val="0"/>
          <w:numId w:val="19"/>
        </w:numPr>
        <w:rPr>
          <w:sz w:val="26"/>
          <w:szCs w:val="26"/>
        </w:rPr>
      </w:pPr>
      <w:proofErr w:type="gramStart"/>
      <w:r>
        <w:rPr>
          <w:sz w:val="26"/>
          <w:szCs w:val="26"/>
        </w:rPr>
        <w:t>lower</w:t>
      </w:r>
      <w:proofErr w:type="gramEnd"/>
      <w:r>
        <w:rPr>
          <w:sz w:val="26"/>
          <w:szCs w:val="26"/>
        </w:rPr>
        <w:t xml:space="preserve"> bills.</w:t>
      </w:r>
    </w:p>
    <w:p w:rsidR="00161589" w:rsidRDefault="00161589" w:rsidP="00161589">
      <w:pPr>
        <w:numPr>
          <w:ilvl w:val="0"/>
          <w:numId w:val="19"/>
        </w:numPr>
        <w:rPr>
          <w:sz w:val="26"/>
          <w:szCs w:val="26"/>
        </w:rPr>
      </w:pPr>
      <w:proofErr w:type="gramStart"/>
      <w:r>
        <w:rPr>
          <w:sz w:val="26"/>
          <w:szCs w:val="26"/>
        </w:rPr>
        <w:t>co-benefits</w:t>
      </w:r>
      <w:proofErr w:type="gramEnd"/>
      <w:r>
        <w:rPr>
          <w:sz w:val="26"/>
          <w:szCs w:val="26"/>
        </w:rPr>
        <w:t xml:space="preserve"> in reduced water, fuel oil, etc. usage.</w:t>
      </w:r>
    </w:p>
    <w:p w:rsidR="00161589" w:rsidRDefault="00161589" w:rsidP="00161589">
      <w:pPr>
        <w:numPr>
          <w:ilvl w:val="0"/>
          <w:numId w:val="19"/>
        </w:numPr>
        <w:rPr>
          <w:sz w:val="26"/>
          <w:szCs w:val="26"/>
        </w:rPr>
      </w:pPr>
      <w:proofErr w:type="gramStart"/>
      <w:r>
        <w:rPr>
          <w:sz w:val="26"/>
          <w:szCs w:val="26"/>
        </w:rPr>
        <w:t>increased</w:t>
      </w:r>
      <w:proofErr w:type="gramEnd"/>
      <w:r>
        <w:rPr>
          <w:sz w:val="26"/>
          <w:szCs w:val="26"/>
        </w:rPr>
        <w:t xml:space="preserve"> productivity.</w:t>
      </w:r>
    </w:p>
    <w:p w:rsidR="00161589" w:rsidRDefault="00161589" w:rsidP="00161589">
      <w:pPr>
        <w:numPr>
          <w:ilvl w:val="0"/>
          <w:numId w:val="19"/>
        </w:numPr>
        <w:rPr>
          <w:sz w:val="26"/>
          <w:szCs w:val="26"/>
        </w:rPr>
      </w:pPr>
      <w:proofErr w:type="gramStart"/>
      <w:r>
        <w:rPr>
          <w:sz w:val="26"/>
          <w:szCs w:val="26"/>
        </w:rPr>
        <w:t>increased</w:t>
      </w:r>
      <w:proofErr w:type="gramEnd"/>
      <w:r>
        <w:rPr>
          <w:sz w:val="26"/>
          <w:szCs w:val="26"/>
        </w:rPr>
        <w:t xml:space="preserve"> safety and comfort.</w:t>
      </w:r>
    </w:p>
    <w:p w:rsidR="00161589" w:rsidRDefault="00161589" w:rsidP="00161589">
      <w:pPr>
        <w:numPr>
          <w:ilvl w:val="0"/>
          <w:numId w:val="19"/>
        </w:numPr>
        <w:rPr>
          <w:sz w:val="26"/>
          <w:szCs w:val="26"/>
        </w:rPr>
      </w:pPr>
      <w:proofErr w:type="gramStart"/>
      <w:r>
        <w:rPr>
          <w:sz w:val="26"/>
          <w:szCs w:val="26"/>
        </w:rPr>
        <w:t>reduced</w:t>
      </w:r>
      <w:proofErr w:type="gramEnd"/>
      <w:r>
        <w:rPr>
          <w:sz w:val="26"/>
          <w:szCs w:val="26"/>
        </w:rPr>
        <w:t xml:space="preserve"> rate volatility resulting from Purchase Gas Agreement adjustments.</w:t>
      </w:r>
    </w:p>
    <w:p w:rsidR="00161589" w:rsidRDefault="00161589" w:rsidP="00161589">
      <w:pPr>
        <w:rPr>
          <w:sz w:val="26"/>
          <w:szCs w:val="26"/>
        </w:rPr>
      </w:pPr>
    </w:p>
    <w:p w:rsidR="00161589" w:rsidRDefault="00161589" w:rsidP="00161589">
      <w:pPr>
        <w:ind w:firstLine="360"/>
        <w:rPr>
          <w:sz w:val="26"/>
          <w:szCs w:val="26"/>
        </w:rPr>
      </w:pPr>
      <w:r>
        <w:rPr>
          <w:sz w:val="26"/>
          <w:szCs w:val="26"/>
        </w:rPr>
        <w:t>Societal benefits include:</w:t>
      </w:r>
    </w:p>
    <w:p w:rsidR="00161589" w:rsidRDefault="00161589" w:rsidP="00161589">
      <w:pPr>
        <w:numPr>
          <w:ilvl w:val="0"/>
          <w:numId w:val="20"/>
        </w:numPr>
        <w:rPr>
          <w:sz w:val="26"/>
          <w:szCs w:val="26"/>
        </w:rPr>
      </w:pPr>
      <w:proofErr w:type="gramStart"/>
      <w:r>
        <w:rPr>
          <w:sz w:val="26"/>
          <w:szCs w:val="26"/>
        </w:rPr>
        <w:t>reduced</w:t>
      </w:r>
      <w:proofErr w:type="gramEnd"/>
      <w:r>
        <w:rPr>
          <w:sz w:val="26"/>
          <w:szCs w:val="26"/>
        </w:rPr>
        <w:t xml:space="preserve"> emissions and other environmental impacts.</w:t>
      </w:r>
      <w:r>
        <w:rPr>
          <w:rStyle w:val="FootnoteReference"/>
          <w:sz w:val="26"/>
          <w:szCs w:val="26"/>
        </w:rPr>
        <w:footnoteReference w:id="62"/>
      </w:r>
    </w:p>
    <w:p w:rsidR="00161589" w:rsidRDefault="00161589" w:rsidP="00161589">
      <w:pPr>
        <w:numPr>
          <w:ilvl w:val="0"/>
          <w:numId w:val="20"/>
        </w:numPr>
        <w:rPr>
          <w:sz w:val="26"/>
          <w:szCs w:val="26"/>
        </w:rPr>
      </w:pPr>
      <w:proofErr w:type="gramStart"/>
      <w:r>
        <w:rPr>
          <w:sz w:val="26"/>
          <w:szCs w:val="26"/>
        </w:rPr>
        <w:t>support</w:t>
      </w:r>
      <w:proofErr w:type="gramEnd"/>
      <w:r>
        <w:rPr>
          <w:sz w:val="26"/>
          <w:szCs w:val="26"/>
        </w:rPr>
        <w:t xml:space="preserve"> and maintenance of local jobs.</w:t>
      </w:r>
      <w:r>
        <w:rPr>
          <w:rStyle w:val="FootnoteReference"/>
          <w:sz w:val="26"/>
          <w:szCs w:val="26"/>
        </w:rPr>
        <w:footnoteReference w:id="63"/>
      </w:r>
    </w:p>
    <w:p w:rsidR="00161589" w:rsidRDefault="00161589" w:rsidP="00161589">
      <w:pPr>
        <w:rPr>
          <w:sz w:val="26"/>
          <w:szCs w:val="26"/>
        </w:rPr>
      </w:pPr>
    </w:p>
    <w:p w:rsidR="00161589" w:rsidRDefault="00161589" w:rsidP="00161589">
      <w:pPr>
        <w:rPr>
          <w:sz w:val="26"/>
          <w:szCs w:val="26"/>
        </w:rPr>
      </w:pPr>
      <w:r>
        <w:rPr>
          <w:sz w:val="26"/>
          <w:szCs w:val="26"/>
        </w:rPr>
        <w:t>The Energy Project recommends the benefits for low-income households be considered.  Benefits include:</w:t>
      </w:r>
    </w:p>
    <w:p w:rsidR="00161589" w:rsidRDefault="00161589" w:rsidP="00161589">
      <w:pPr>
        <w:numPr>
          <w:ilvl w:val="0"/>
          <w:numId w:val="24"/>
        </w:numPr>
        <w:rPr>
          <w:sz w:val="26"/>
          <w:szCs w:val="26"/>
        </w:rPr>
      </w:pPr>
      <w:proofErr w:type="gramStart"/>
      <w:r>
        <w:rPr>
          <w:sz w:val="26"/>
          <w:szCs w:val="26"/>
        </w:rPr>
        <w:t>reduced</w:t>
      </w:r>
      <w:proofErr w:type="gramEnd"/>
      <w:r>
        <w:rPr>
          <w:sz w:val="26"/>
          <w:szCs w:val="26"/>
        </w:rPr>
        <w:t xml:space="preserve"> energy bills.</w:t>
      </w:r>
    </w:p>
    <w:p w:rsidR="00161589" w:rsidRDefault="00161589" w:rsidP="00161589">
      <w:pPr>
        <w:numPr>
          <w:ilvl w:val="0"/>
          <w:numId w:val="24"/>
        </w:numPr>
        <w:rPr>
          <w:sz w:val="26"/>
          <w:szCs w:val="26"/>
        </w:rPr>
      </w:pPr>
      <w:proofErr w:type="gramStart"/>
      <w:r>
        <w:rPr>
          <w:sz w:val="26"/>
          <w:szCs w:val="26"/>
        </w:rPr>
        <w:t>increased</w:t>
      </w:r>
      <w:proofErr w:type="gramEnd"/>
      <w:r>
        <w:rPr>
          <w:sz w:val="26"/>
          <w:szCs w:val="26"/>
        </w:rPr>
        <w:t xml:space="preserve"> comfort.</w:t>
      </w:r>
    </w:p>
    <w:p w:rsidR="00161589" w:rsidRDefault="00161589" w:rsidP="00161589">
      <w:pPr>
        <w:numPr>
          <w:ilvl w:val="0"/>
          <w:numId w:val="24"/>
        </w:numPr>
        <w:rPr>
          <w:sz w:val="26"/>
          <w:szCs w:val="26"/>
        </w:rPr>
      </w:pPr>
      <w:proofErr w:type="gramStart"/>
      <w:r>
        <w:rPr>
          <w:sz w:val="26"/>
          <w:szCs w:val="26"/>
        </w:rPr>
        <w:t>better</w:t>
      </w:r>
      <w:proofErr w:type="gramEnd"/>
      <w:r>
        <w:rPr>
          <w:sz w:val="26"/>
          <w:szCs w:val="26"/>
        </w:rPr>
        <w:t xml:space="preserve"> health and safety.</w:t>
      </w:r>
    </w:p>
    <w:p w:rsidR="00161589" w:rsidRDefault="00161589" w:rsidP="00161589">
      <w:pPr>
        <w:numPr>
          <w:ilvl w:val="0"/>
          <w:numId w:val="24"/>
        </w:numPr>
        <w:rPr>
          <w:sz w:val="26"/>
          <w:szCs w:val="26"/>
        </w:rPr>
      </w:pPr>
      <w:proofErr w:type="gramStart"/>
      <w:r>
        <w:rPr>
          <w:sz w:val="26"/>
          <w:szCs w:val="26"/>
        </w:rPr>
        <w:t>being</w:t>
      </w:r>
      <w:proofErr w:type="gramEnd"/>
      <w:r>
        <w:rPr>
          <w:sz w:val="26"/>
          <w:szCs w:val="26"/>
        </w:rPr>
        <w:t xml:space="preserve"> able to stay connected to service.</w:t>
      </w:r>
    </w:p>
    <w:p w:rsidR="00161589" w:rsidRDefault="00161589" w:rsidP="00161589">
      <w:pPr>
        <w:numPr>
          <w:ilvl w:val="0"/>
          <w:numId w:val="24"/>
        </w:numPr>
        <w:rPr>
          <w:sz w:val="26"/>
          <w:szCs w:val="26"/>
        </w:rPr>
      </w:pPr>
      <w:proofErr w:type="gramStart"/>
      <w:r>
        <w:rPr>
          <w:sz w:val="26"/>
          <w:szCs w:val="26"/>
        </w:rPr>
        <w:t>reduced</w:t>
      </w:r>
      <w:proofErr w:type="gramEnd"/>
      <w:r>
        <w:rPr>
          <w:sz w:val="26"/>
          <w:szCs w:val="26"/>
        </w:rPr>
        <w:t xml:space="preserve"> dependence on bill assistance.</w:t>
      </w:r>
    </w:p>
    <w:p w:rsidR="00161589" w:rsidRPr="00792355" w:rsidRDefault="00161589" w:rsidP="00161589">
      <w:pPr>
        <w:numPr>
          <w:ilvl w:val="0"/>
          <w:numId w:val="24"/>
        </w:numPr>
        <w:rPr>
          <w:sz w:val="26"/>
          <w:szCs w:val="26"/>
        </w:rPr>
      </w:pPr>
      <w:proofErr w:type="gramStart"/>
      <w:r>
        <w:rPr>
          <w:sz w:val="26"/>
          <w:szCs w:val="26"/>
        </w:rPr>
        <w:t>other</w:t>
      </w:r>
      <w:proofErr w:type="gramEnd"/>
      <w:r>
        <w:rPr>
          <w:sz w:val="26"/>
          <w:szCs w:val="26"/>
        </w:rPr>
        <w:t xml:space="preserve"> “non-energy” benefits.</w:t>
      </w:r>
      <w:r>
        <w:rPr>
          <w:rStyle w:val="FootnoteReference"/>
          <w:sz w:val="26"/>
          <w:szCs w:val="26"/>
        </w:rPr>
        <w:footnoteReference w:id="64"/>
      </w:r>
    </w:p>
    <w:p w:rsidR="00161589" w:rsidRDefault="00161589" w:rsidP="00161589">
      <w:pPr>
        <w:rPr>
          <w:sz w:val="26"/>
          <w:szCs w:val="26"/>
        </w:rPr>
      </w:pPr>
    </w:p>
    <w:p w:rsidR="00161589" w:rsidRDefault="00161589" w:rsidP="00161589">
      <w:pPr>
        <w:rPr>
          <w:sz w:val="26"/>
          <w:szCs w:val="26"/>
        </w:rPr>
      </w:pPr>
      <w:r>
        <w:rPr>
          <w:sz w:val="26"/>
          <w:szCs w:val="26"/>
        </w:rPr>
        <w:t>The Coalition recommends that additional benefits and risks be considered, including:</w:t>
      </w:r>
    </w:p>
    <w:p w:rsidR="00161589" w:rsidRDefault="00161589" w:rsidP="00161589">
      <w:pPr>
        <w:numPr>
          <w:ilvl w:val="0"/>
          <w:numId w:val="28"/>
        </w:numPr>
        <w:rPr>
          <w:sz w:val="26"/>
          <w:szCs w:val="26"/>
        </w:rPr>
      </w:pPr>
      <w:r>
        <w:rPr>
          <w:sz w:val="26"/>
          <w:szCs w:val="26"/>
        </w:rPr>
        <w:t>(</w:t>
      </w:r>
      <w:proofErr w:type="gramStart"/>
      <w:r>
        <w:rPr>
          <w:sz w:val="26"/>
          <w:szCs w:val="26"/>
        </w:rPr>
        <w:t>general</w:t>
      </w:r>
      <w:proofErr w:type="gramEnd"/>
      <w:r>
        <w:rPr>
          <w:sz w:val="26"/>
          <w:szCs w:val="26"/>
        </w:rPr>
        <w:t>) non-energy benefits.</w:t>
      </w:r>
      <w:r>
        <w:rPr>
          <w:rStyle w:val="FootnoteReference"/>
          <w:sz w:val="26"/>
          <w:szCs w:val="26"/>
        </w:rPr>
        <w:footnoteReference w:id="65"/>
      </w:r>
      <w:r>
        <w:rPr>
          <w:sz w:val="26"/>
          <w:szCs w:val="26"/>
        </w:rPr>
        <w:t xml:space="preserve">  </w:t>
      </w:r>
    </w:p>
    <w:p w:rsidR="00161589" w:rsidRDefault="00161589" w:rsidP="00161589">
      <w:pPr>
        <w:numPr>
          <w:ilvl w:val="0"/>
          <w:numId w:val="28"/>
        </w:numPr>
        <w:rPr>
          <w:sz w:val="26"/>
          <w:szCs w:val="26"/>
        </w:rPr>
      </w:pPr>
      <w:proofErr w:type="gramStart"/>
      <w:r>
        <w:rPr>
          <w:sz w:val="26"/>
          <w:szCs w:val="26"/>
        </w:rPr>
        <w:t>risks</w:t>
      </w:r>
      <w:proofErr w:type="gramEnd"/>
      <w:r>
        <w:rPr>
          <w:sz w:val="26"/>
          <w:szCs w:val="26"/>
        </w:rPr>
        <w:t xml:space="preserve"> of current gas market.</w:t>
      </w:r>
    </w:p>
    <w:p w:rsidR="00161589" w:rsidRDefault="00161589" w:rsidP="00161589">
      <w:pPr>
        <w:numPr>
          <w:ilvl w:val="1"/>
          <w:numId w:val="28"/>
        </w:numPr>
        <w:rPr>
          <w:sz w:val="26"/>
          <w:szCs w:val="26"/>
        </w:rPr>
      </w:pPr>
      <w:r>
        <w:rPr>
          <w:sz w:val="26"/>
          <w:szCs w:val="26"/>
        </w:rPr>
        <w:t>interruptions from accidents</w:t>
      </w:r>
    </w:p>
    <w:p w:rsidR="00161589" w:rsidRDefault="00161589" w:rsidP="00161589">
      <w:pPr>
        <w:numPr>
          <w:ilvl w:val="1"/>
          <w:numId w:val="28"/>
        </w:numPr>
        <w:rPr>
          <w:sz w:val="26"/>
          <w:szCs w:val="26"/>
        </w:rPr>
      </w:pPr>
      <w:r>
        <w:rPr>
          <w:sz w:val="26"/>
          <w:szCs w:val="26"/>
        </w:rPr>
        <w:t>weather changes</w:t>
      </w:r>
    </w:p>
    <w:p w:rsidR="00161589" w:rsidRDefault="00161589" w:rsidP="00161589">
      <w:pPr>
        <w:numPr>
          <w:ilvl w:val="1"/>
          <w:numId w:val="28"/>
        </w:numPr>
        <w:rPr>
          <w:sz w:val="26"/>
          <w:szCs w:val="26"/>
        </w:rPr>
      </w:pPr>
      <w:r>
        <w:rPr>
          <w:sz w:val="26"/>
          <w:szCs w:val="26"/>
        </w:rPr>
        <w:t>pipeline disruptions</w:t>
      </w:r>
    </w:p>
    <w:p w:rsidR="00161589" w:rsidRDefault="00161589" w:rsidP="00161589">
      <w:pPr>
        <w:numPr>
          <w:ilvl w:val="1"/>
          <w:numId w:val="28"/>
        </w:numPr>
        <w:rPr>
          <w:sz w:val="26"/>
          <w:szCs w:val="26"/>
        </w:rPr>
      </w:pPr>
      <w:r>
        <w:rPr>
          <w:sz w:val="26"/>
          <w:szCs w:val="26"/>
        </w:rPr>
        <w:t>storage constraints</w:t>
      </w:r>
    </w:p>
    <w:p w:rsidR="00161589" w:rsidRDefault="00161589" w:rsidP="00161589">
      <w:pPr>
        <w:numPr>
          <w:ilvl w:val="1"/>
          <w:numId w:val="28"/>
        </w:numPr>
        <w:rPr>
          <w:sz w:val="26"/>
          <w:szCs w:val="26"/>
        </w:rPr>
      </w:pPr>
      <w:r>
        <w:rPr>
          <w:sz w:val="26"/>
          <w:szCs w:val="26"/>
        </w:rPr>
        <w:t>pending environmental regulations</w:t>
      </w:r>
      <w:r>
        <w:rPr>
          <w:rStyle w:val="FootnoteReference"/>
          <w:sz w:val="26"/>
          <w:szCs w:val="26"/>
        </w:rPr>
        <w:footnoteReference w:id="66"/>
      </w:r>
    </w:p>
    <w:p w:rsidR="00161589" w:rsidRDefault="00161589" w:rsidP="00161589">
      <w:pPr>
        <w:rPr>
          <w:sz w:val="26"/>
          <w:szCs w:val="26"/>
        </w:rPr>
      </w:pPr>
    </w:p>
    <w:p w:rsidR="00161589" w:rsidRDefault="00161589" w:rsidP="00161589">
      <w:pPr>
        <w:pStyle w:val="Heading1"/>
      </w:pPr>
      <w:r w:rsidRPr="00222AB1">
        <w:lastRenderedPageBreak/>
        <w:t>Cost Test Analysis</w:t>
      </w:r>
    </w:p>
    <w:p w:rsidR="00161589" w:rsidRPr="00161589" w:rsidRDefault="00161589" w:rsidP="00161589"/>
    <w:p w:rsidR="00161589" w:rsidRPr="00FA54F0" w:rsidRDefault="00161589" w:rsidP="00161589">
      <w:pPr>
        <w:rPr>
          <w:sz w:val="28"/>
          <w:szCs w:val="28"/>
        </w:rPr>
      </w:pPr>
      <w:proofErr w:type="gramStart"/>
      <w:r>
        <w:rPr>
          <w:b/>
          <w:sz w:val="28"/>
          <w:szCs w:val="28"/>
        </w:rPr>
        <w:t>Comment.</w:t>
      </w:r>
      <w:proofErr w:type="gramEnd"/>
      <w:r>
        <w:rPr>
          <w:b/>
          <w:sz w:val="28"/>
          <w:szCs w:val="28"/>
        </w:rPr>
        <w:t xml:space="preserve"> </w:t>
      </w:r>
      <w:r>
        <w:rPr>
          <w:sz w:val="28"/>
          <w:szCs w:val="28"/>
        </w:rPr>
        <w:t xml:space="preserve"> Avista, in UG-12119, considered</w:t>
      </w:r>
      <w:r w:rsidRPr="00FA54F0">
        <w:rPr>
          <w:sz w:val="28"/>
          <w:szCs w:val="28"/>
        </w:rPr>
        <w:t xml:space="preserve"> several scenarios in an attempt to ascertain if any reasonable calculation of the DSM portfolio or modifications to the avoided cost would yield a portfolio that is cost-effective under the Total Resource Cost (TRC) test.  The major scenarios included:</w:t>
      </w:r>
    </w:p>
    <w:p w:rsidR="00161589" w:rsidRPr="00FA54F0" w:rsidRDefault="00161589" w:rsidP="00161589">
      <w:pPr>
        <w:rPr>
          <w:sz w:val="28"/>
          <w:szCs w:val="28"/>
        </w:rPr>
      </w:pPr>
    </w:p>
    <w:p w:rsidR="00161589" w:rsidRPr="00FA54F0" w:rsidRDefault="00161589" w:rsidP="00161589">
      <w:pPr>
        <w:pStyle w:val="ListParagraph"/>
        <w:numPr>
          <w:ilvl w:val="0"/>
          <w:numId w:val="38"/>
        </w:numPr>
        <w:spacing w:after="200"/>
        <w:contextualSpacing/>
        <w:rPr>
          <w:sz w:val="28"/>
          <w:szCs w:val="28"/>
        </w:rPr>
      </w:pPr>
      <w:r w:rsidRPr="00FA54F0">
        <w:rPr>
          <w:sz w:val="28"/>
          <w:szCs w:val="28"/>
        </w:rPr>
        <w:t>The addition of a carbon cost adder for 2013-2019 (in addition to the carbon cost that is incorporated into the avoided cost itself for 2020 and beyond</w:t>
      </w:r>
      <w:r>
        <w:rPr>
          <w:sz w:val="28"/>
          <w:szCs w:val="28"/>
        </w:rPr>
        <w:t>).</w:t>
      </w:r>
    </w:p>
    <w:p w:rsidR="00161589" w:rsidRPr="00FA54F0" w:rsidRDefault="00161589" w:rsidP="00161589">
      <w:pPr>
        <w:pStyle w:val="ListParagraph"/>
        <w:numPr>
          <w:ilvl w:val="0"/>
          <w:numId w:val="38"/>
        </w:numPr>
        <w:spacing w:after="200"/>
        <w:contextualSpacing/>
        <w:rPr>
          <w:sz w:val="28"/>
          <w:szCs w:val="28"/>
        </w:rPr>
      </w:pPr>
      <w:r w:rsidRPr="00FA54F0">
        <w:rPr>
          <w:sz w:val="28"/>
          <w:szCs w:val="28"/>
        </w:rPr>
        <w:t>The inclusion of a natural gas d</w:t>
      </w:r>
      <w:r>
        <w:rPr>
          <w:sz w:val="28"/>
          <w:szCs w:val="28"/>
        </w:rPr>
        <w:t>istribution capacity cost value.</w:t>
      </w:r>
    </w:p>
    <w:p w:rsidR="00161589" w:rsidRPr="00FA54F0" w:rsidRDefault="00161589" w:rsidP="00161589">
      <w:pPr>
        <w:pStyle w:val="ListParagraph"/>
        <w:numPr>
          <w:ilvl w:val="0"/>
          <w:numId w:val="38"/>
        </w:numPr>
        <w:spacing w:after="200"/>
        <w:contextualSpacing/>
        <w:rPr>
          <w:sz w:val="28"/>
          <w:szCs w:val="28"/>
        </w:rPr>
      </w:pPr>
      <w:r w:rsidRPr="00FA54F0">
        <w:rPr>
          <w:sz w:val="28"/>
          <w:szCs w:val="28"/>
        </w:rPr>
        <w:t>The use of an interpretation of the TRC test on a gross (including all program participants) rather than a net (based upon those participants who adopted the measure due</w:t>
      </w:r>
      <w:r>
        <w:rPr>
          <w:sz w:val="28"/>
          <w:szCs w:val="28"/>
        </w:rPr>
        <w:t xml:space="preserve"> to</w:t>
      </w:r>
      <w:r w:rsidRPr="00FA54F0">
        <w:rPr>
          <w:sz w:val="28"/>
          <w:szCs w:val="28"/>
        </w:rPr>
        <w:t xml:space="preserve"> utility interventi</w:t>
      </w:r>
      <w:r>
        <w:rPr>
          <w:sz w:val="28"/>
          <w:szCs w:val="28"/>
        </w:rPr>
        <w:t>on) basis.</w:t>
      </w:r>
    </w:p>
    <w:p w:rsidR="00161589" w:rsidRPr="00FA54F0" w:rsidRDefault="00161589" w:rsidP="00161589">
      <w:pPr>
        <w:pStyle w:val="ListParagraph"/>
        <w:numPr>
          <w:ilvl w:val="0"/>
          <w:numId w:val="38"/>
        </w:numPr>
        <w:spacing w:after="200"/>
        <w:contextualSpacing/>
        <w:rPr>
          <w:sz w:val="28"/>
          <w:szCs w:val="28"/>
        </w:rPr>
      </w:pPr>
      <w:r w:rsidRPr="00FA54F0">
        <w:rPr>
          <w:sz w:val="28"/>
          <w:szCs w:val="28"/>
        </w:rPr>
        <w:t>Various alternative categorizations of net-to-gross ratios and r</w:t>
      </w:r>
      <w:r>
        <w:rPr>
          <w:sz w:val="28"/>
          <w:szCs w:val="28"/>
        </w:rPr>
        <w:t>ealization rates by program.</w:t>
      </w:r>
    </w:p>
    <w:p w:rsidR="00161589" w:rsidRPr="00FA54F0" w:rsidRDefault="00161589" w:rsidP="00161589">
      <w:pPr>
        <w:pStyle w:val="ListParagraph"/>
        <w:numPr>
          <w:ilvl w:val="0"/>
          <w:numId w:val="38"/>
        </w:numPr>
        <w:spacing w:after="200"/>
        <w:contextualSpacing/>
        <w:rPr>
          <w:sz w:val="28"/>
          <w:szCs w:val="28"/>
        </w:rPr>
      </w:pPr>
      <w:r w:rsidRPr="00FA54F0">
        <w:rPr>
          <w:sz w:val="28"/>
          <w:szCs w:val="28"/>
        </w:rPr>
        <w:t>Different means of allocating non-incentive utility costs across programs.</w:t>
      </w:r>
    </w:p>
    <w:p w:rsidR="00161589" w:rsidRDefault="00161589" w:rsidP="00161589">
      <w:pPr>
        <w:rPr>
          <w:sz w:val="28"/>
          <w:szCs w:val="28"/>
        </w:rPr>
      </w:pPr>
      <w:r w:rsidRPr="00FA54F0">
        <w:rPr>
          <w:sz w:val="28"/>
          <w:szCs w:val="28"/>
        </w:rPr>
        <w:t>None of the scenarios tested above resulted in a portfolio that was projected to be cost-effective under the TRC.  Generally, the most optimistic scenarios led to benefit-to-cost ratios in the low 0.70 range.</w:t>
      </w:r>
      <w:r>
        <w:rPr>
          <w:rStyle w:val="FootnoteReference"/>
          <w:sz w:val="28"/>
          <w:szCs w:val="28"/>
        </w:rPr>
        <w:footnoteReference w:id="67"/>
      </w:r>
    </w:p>
    <w:p w:rsidR="00161589" w:rsidRDefault="00161589" w:rsidP="00161589">
      <w:pPr>
        <w:rPr>
          <w:sz w:val="28"/>
          <w:szCs w:val="28"/>
        </w:rPr>
      </w:pPr>
    </w:p>
    <w:p w:rsidR="00161589" w:rsidRDefault="00161589" w:rsidP="00161589">
      <w:pPr>
        <w:pStyle w:val="Heading1"/>
      </w:pPr>
      <w:r w:rsidRPr="00346E2A">
        <w:t>Passing cost-effectiveness tests</w:t>
      </w:r>
    </w:p>
    <w:p w:rsidR="00161589" w:rsidRPr="00071A20" w:rsidRDefault="00161589" w:rsidP="00161589"/>
    <w:p w:rsidR="00161589" w:rsidRDefault="00161589" w:rsidP="00161589">
      <w:pPr>
        <w:rPr>
          <w:sz w:val="26"/>
          <w:szCs w:val="26"/>
        </w:rPr>
      </w:pPr>
      <w:proofErr w:type="gramStart"/>
      <w:r w:rsidRPr="00B57ED9">
        <w:rPr>
          <w:b/>
          <w:sz w:val="26"/>
          <w:szCs w:val="26"/>
        </w:rPr>
        <w:t>Comment.</w:t>
      </w:r>
      <w:proofErr w:type="gramEnd"/>
      <w:r w:rsidRPr="00B57ED9">
        <w:rPr>
          <w:b/>
          <w:sz w:val="26"/>
          <w:szCs w:val="26"/>
        </w:rPr>
        <w:t xml:space="preserve"> </w:t>
      </w:r>
      <w:r>
        <w:rPr>
          <w:sz w:val="26"/>
          <w:szCs w:val="26"/>
        </w:rPr>
        <w:t>PSE believes that the Commission’s policy should be consistent with their Conservation Tariff Schedule (Schedule 183) which allows PSE to terminate non-cost-effective programs immediately.</w:t>
      </w:r>
      <w:r>
        <w:rPr>
          <w:rStyle w:val="FootnoteReference"/>
          <w:sz w:val="26"/>
          <w:szCs w:val="26"/>
        </w:rPr>
        <w:footnoteReference w:id="68"/>
      </w:r>
    </w:p>
    <w:p w:rsidR="00161589" w:rsidRPr="00134454" w:rsidRDefault="00161589" w:rsidP="00161589">
      <w:pPr>
        <w:rPr>
          <w:sz w:val="26"/>
          <w:szCs w:val="26"/>
        </w:rPr>
      </w:pPr>
    </w:p>
    <w:p w:rsidR="00161589" w:rsidRDefault="00161589" w:rsidP="00161589">
      <w:pPr>
        <w:rPr>
          <w:sz w:val="26"/>
          <w:szCs w:val="26"/>
        </w:rPr>
      </w:pPr>
      <w:r>
        <w:rPr>
          <w:sz w:val="26"/>
          <w:szCs w:val="26"/>
        </w:rPr>
        <w:t>CNGC believes that it is important to decide if economics or environmental value should prevail when determining continuation of programs. CNGC values both.</w:t>
      </w:r>
    </w:p>
    <w:p w:rsidR="00161589" w:rsidRDefault="00161589" w:rsidP="00161589">
      <w:pPr>
        <w:numPr>
          <w:ilvl w:val="0"/>
          <w:numId w:val="6"/>
        </w:numPr>
        <w:rPr>
          <w:sz w:val="26"/>
          <w:szCs w:val="26"/>
        </w:rPr>
      </w:pPr>
      <w:r w:rsidRPr="00DE3FA3">
        <w:rPr>
          <w:sz w:val="26"/>
          <w:szCs w:val="26"/>
        </w:rPr>
        <w:t xml:space="preserve">Maintaining some level of conservation incentive, </w:t>
      </w:r>
      <w:r>
        <w:rPr>
          <w:sz w:val="26"/>
          <w:szCs w:val="26"/>
        </w:rPr>
        <w:t xml:space="preserve">even as the cost of gas declines, </w:t>
      </w:r>
      <w:r w:rsidRPr="00DE3FA3">
        <w:rPr>
          <w:sz w:val="26"/>
          <w:szCs w:val="26"/>
        </w:rPr>
        <w:t>will mitigate lost opportunities for energy savings.</w:t>
      </w:r>
      <w:r>
        <w:rPr>
          <w:rStyle w:val="FootnoteReference"/>
          <w:sz w:val="26"/>
          <w:szCs w:val="26"/>
        </w:rPr>
        <w:footnoteReference w:id="69"/>
      </w:r>
    </w:p>
    <w:p w:rsidR="00161589" w:rsidRPr="00B57ED9" w:rsidRDefault="00161589" w:rsidP="00161589">
      <w:pPr>
        <w:rPr>
          <w:sz w:val="26"/>
          <w:szCs w:val="26"/>
        </w:rPr>
      </w:pPr>
      <w:r w:rsidRPr="00DE3FA3">
        <w:rPr>
          <w:sz w:val="26"/>
          <w:szCs w:val="26"/>
        </w:rPr>
        <w:br/>
      </w:r>
      <w:r>
        <w:rPr>
          <w:sz w:val="26"/>
          <w:szCs w:val="26"/>
        </w:rPr>
        <w:t xml:space="preserve">NWIGU believes that the Commission should only allow recovery of gas </w:t>
      </w:r>
      <w:r>
        <w:rPr>
          <w:sz w:val="26"/>
          <w:szCs w:val="26"/>
        </w:rPr>
        <w:lastRenderedPageBreak/>
        <w:t>efficiency program expenditures which are cost effective for the utility’s customers.</w:t>
      </w:r>
      <w:r>
        <w:rPr>
          <w:rStyle w:val="FootnoteReference"/>
          <w:sz w:val="26"/>
          <w:szCs w:val="26"/>
        </w:rPr>
        <w:footnoteReference w:id="70"/>
      </w:r>
      <w:r>
        <w:rPr>
          <w:sz w:val="26"/>
          <w:szCs w:val="26"/>
        </w:rPr>
        <w:t xml:space="preserve"> </w:t>
      </w:r>
    </w:p>
    <w:p w:rsidR="00161589" w:rsidRDefault="00161589" w:rsidP="00161589">
      <w:pPr>
        <w:rPr>
          <w:b/>
          <w:sz w:val="26"/>
          <w:szCs w:val="26"/>
        </w:rPr>
      </w:pPr>
    </w:p>
    <w:p w:rsidR="00161589" w:rsidRDefault="00161589" w:rsidP="00161589">
      <w:pPr>
        <w:pStyle w:val="Heading1"/>
      </w:pPr>
      <w:r w:rsidRPr="00346E2A">
        <w:t>Low-income</w:t>
      </w:r>
    </w:p>
    <w:p w:rsidR="00161589" w:rsidRPr="00071A20" w:rsidRDefault="00161589" w:rsidP="00161589"/>
    <w:p w:rsidR="00161589" w:rsidRDefault="00161589" w:rsidP="00161589">
      <w:pPr>
        <w:rPr>
          <w:sz w:val="26"/>
          <w:szCs w:val="26"/>
        </w:rPr>
      </w:pPr>
      <w:proofErr w:type="gramStart"/>
      <w:r w:rsidRPr="008F7D8B">
        <w:rPr>
          <w:b/>
          <w:sz w:val="26"/>
          <w:szCs w:val="26"/>
        </w:rPr>
        <w:t>Comment.</w:t>
      </w:r>
      <w:proofErr w:type="gramEnd"/>
      <w:r>
        <w:rPr>
          <w:b/>
          <w:sz w:val="26"/>
          <w:szCs w:val="26"/>
        </w:rPr>
        <w:t xml:space="preserve"> </w:t>
      </w:r>
      <w:r>
        <w:rPr>
          <w:sz w:val="26"/>
          <w:szCs w:val="26"/>
        </w:rPr>
        <w:t>PSE believes that low-income weatherization programs need to meet some level of cost-effectiveness.</w:t>
      </w:r>
    </w:p>
    <w:p w:rsidR="00161589" w:rsidRDefault="00161589" w:rsidP="00161589">
      <w:pPr>
        <w:numPr>
          <w:ilvl w:val="0"/>
          <w:numId w:val="6"/>
        </w:numPr>
        <w:rPr>
          <w:sz w:val="26"/>
          <w:szCs w:val="26"/>
        </w:rPr>
      </w:pPr>
      <w:r>
        <w:rPr>
          <w:sz w:val="26"/>
          <w:szCs w:val="26"/>
        </w:rPr>
        <w:t>TRC of 0.667</w:t>
      </w:r>
    </w:p>
    <w:p w:rsidR="00161589" w:rsidRDefault="00161589" w:rsidP="00161589">
      <w:pPr>
        <w:numPr>
          <w:ilvl w:val="1"/>
          <w:numId w:val="6"/>
        </w:numPr>
        <w:rPr>
          <w:sz w:val="26"/>
          <w:szCs w:val="26"/>
        </w:rPr>
      </w:pPr>
      <w:r>
        <w:rPr>
          <w:sz w:val="26"/>
          <w:szCs w:val="26"/>
        </w:rPr>
        <w:t>Funding is in accordance with funding described in Electric Energy Efficiency Schedule 201.</w:t>
      </w:r>
      <w:r>
        <w:rPr>
          <w:rStyle w:val="FootnoteReference"/>
          <w:sz w:val="26"/>
          <w:szCs w:val="26"/>
        </w:rPr>
        <w:footnoteReference w:id="71"/>
      </w:r>
    </w:p>
    <w:p w:rsidR="00161589" w:rsidRDefault="00161589" w:rsidP="00161589">
      <w:pPr>
        <w:rPr>
          <w:sz w:val="26"/>
          <w:szCs w:val="26"/>
        </w:rPr>
      </w:pPr>
    </w:p>
    <w:p w:rsidR="00161589" w:rsidRDefault="00161589" w:rsidP="00161589">
      <w:pPr>
        <w:rPr>
          <w:sz w:val="26"/>
          <w:szCs w:val="26"/>
        </w:rPr>
      </w:pPr>
      <w:r>
        <w:rPr>
          <w:sz w:val="26"/>
          <w:szCs w:val="26"/>
        </w:rPr>
        <w:t>CNGC believes that it is essential that weatherization services remain available for low-income natural gas customers as they are in the public interest.</w:t>
      </w:r>
    </w:p>
    <w:p w:rsidR="00161589" w:rsidRDefault="00161589" w:rsidP="00161589">
      <w:pPr>
        <w:numPr>
          <w:ilvl w:val="0"/>
          <w:numId w:val="6"/>
        </w:numPr>
        <w:rPr>
          <w:sz w:val="26"/>
          <w:szCs w:val="26"/>
        </w:rPr>
      </w:pPr>
      <w:r>
        <w:rPr>
          <w:sz w:val="26"/>
          <w:szCs w:val="26"/>
        </w:rPr>
        <w:t>Upgrades help low-income individuals manage energy costs, thus helping avoid arrearages.</w:t>
      </w:r>
    </w:p>
    <w:p w:rsidR="00161589" w:rsidRDefault="00161589" w:rsidP="00161589">
      <w:pPr>
        <w:numPr>
          <w:ilvl w:val="0"/>
          <w:numId w:val="6"/>
        </w:numPr>
        <w:rPr>
          <w:sz w:val="26"/>
          <w:szCs w:val="26"/>
        </w:rPr>
      </w:pPr>
      <w:r>
        <w:rPr>
          <w:sz w:val="26"/>
          <w:szCs w:val="26"/>
        </w:rPr>
        <w:t>Health and safety benefits are well documented.</w:t>
      </w:r>
      <w:r>
        <w:rPr>
          <w:rStyle w:val="FootnoteReference"/>
          <w:sz w:val="26"/>
          <w:szCs w:val="26"/>
        </w:rPr>
        <w:footnoteReference w:id="72"/>
      </w:r>
      <w:r>
        <w:rPr>
          <w:sz w:val="26"/>
          <w:szCs w:val="26"/>
        </w:rPr>
        <w:t xml:space="preserve"> </w:t>
      </w:r>
    </w:p>
    <w:p w:rsidR="00161589" w:rsidRDefault="00161589" w:rsidP="00161589">
      <w:pPr>
        <w:rPr>
          <w:sz w:val="26"/>
          <w:szCs w:val="26"/>
        </w:rPr>
      </w:pPr>
    </w:p>
    <w:p w:rsidR="00161589" w:rsidRDefault="00161589" w:rsidP="00161589">
      <w:pPr>
        <w:rPr>
          <w:sz w:val="26"/>
          <w:szCs w:val="26"/>
        </w:rPr>
      </w:pPr>
      <w:r>
        <w:rPr>
          <w:sz w:val="26"/>
          <w:szCs w:val="26"/>
        </w:rPr>
        <w:t xml:space="preserve">NW Natural supports weatherization incentives and low-income energy efficiency programs. These programs: </w:t>
      </w:r>
    </w:p>
    <w:p w:rsidR="00161589" w:rsidRDefault="00161589" w:rsidP="00161589">
      <w:pPr>
        <w:numPr>
          <w:ilvl w:val="0"/>
          <w:numId w:val="33"/>
        </w:numPr>
        <w:rPr>
          <w:sz w:val="26"/>
          <w:szCs w:val="26"/>
        </w:rPr>
      </w:pPr>
      <w:proofErr w:type="gramStart"/>
      <w:r>
        <w:rPr>
          <w:sz w:val="26"/>
          <w:szCs w:val="26"/>
        </w:rPr>
        <w:t>should</w:t>
      </w:r>
      <w:proofErr w:type="gramEnd"/>
      <w:r>
        <w:rPr>
          <w:sz w:val="26"/>
          <w:szCs w:val="26"/>
        </w:rPr>
        <w:t xml:space="preserve"> be considered a basic customer service offered by utilities.</w:t>
      </w:r>
    </w:p>
    <w:p w:rsidR="00161589" w:rsidRDefault="00161589" w:rsidP="00161589">
      <w:pPr>
        <w:numPr>
          <w:ilvl w:val="0"/>
          <w:numId w:val="33"/>
        </w:numPr>
        <w:rPr>
          <w:sz w:val="26"/>
          <w:szCs w:val="26"/>
        </w:rPr>
      </w:pPr>
      <w:proofErr w:type="gramStart"/>
      <w:r>
        <w:rPr>
          <w:sz w:val="26"/>
          <w:szCs w:val="26"/>
        </w:rPr>
        <w:t>would</w:t>
      </w:r>
      <w:proofErr w:type="gramEnd"/>
      <w:r>
        <w:rPr>
          <w:sz w:val="26"/>
          <w:szCs w:val="26"/>
        </w:rPr>
        <w:t xml:space="preserve"> prevent the stopping and starting of programs.</w:t>
      </w:r>
    </w:p>
    <w:p w:rsidR="00161589" w:rsidRDefault="00161589" w:rsidP="00161589">
      <w:pPr>
        <w:numPr>
          <w:ilvl w:val="0"/>
          <w:numId w:val="33"/>
        </w:numPr>
        <w:rPr>
          <w:sz w:val="26"/>
          <w:szCs w:val="26"/>
        </w:rPr>
      </w:pPr>
      <w:r>
        <w:rPr>
          <w:sz w:val="26"/>
          <w:szCs w:val="26"/>
        </w:rPr>
        <w:t>should not be evaluated using the TRC test, but the Participant Test.</w:t>
      </w:r>
      <w:r>
        <w:rPr>
          <w:rStyle w:val="FootnoteReference"/>
          <w:sz w:val="26"/>
          <w:szCs w:val="26"/>
        </w:rPr>
        <w:footnoteReference w:id="73"/>
      </w:r>
    </w:p>
    <w:p w:rsidR="00161589" w:rsidRDefault="00161589" w:rsidP="00161589">
      <w:pPr>
        <w:rPr>
          <w:sz w:val="26"/>
          <w:szCs w:val="26"/>
        </w:rPr>
      </w:pPr>
    </w:p>
    <w:p w:rsidR="00161589" w:rsidRDefault="00161589" w:rsidP="00161589">
      <w:pPr>
        <w:rPr>
          <w:sz w:val="26"/>
          <w:szCs w:val="26"/>
        </w:rPr>
      </w:pPr>
      <w:r>
        <w:rPr>
          <w:sz w:val="26"/>
          <w:szCs w:val="26"/>
        </w:rPr>
        <w:t>The Energy Project recommends that current programs and measures for low-income households should be maintained.</w:t>
      </w:r>
    </w:p>
    <w:p w:rsidR="00161589" w:rsidRDefault="00161589" w:rsidP="00161589">
      <w:pPr>
        <w:numPr>
          <w:ilvl w:val="0"/>
          <w:numId w:val="6"/>
        </w:numPr>
        <w:rPr>
          <w:sz w:val="26"/>
          <w:szCs w:val="26"/>
        </w:rPr>
      </w:pPr>
      <w:r>
        <w:rPr>
          <w:sz w:val="26"/>
          <w:szCs w:val="26"/>
        </w:rPr>
        <w:t>Low-income energy efficiency service providers often combine funds from other sources.</w:t>
      </w:r>
      <w:r>
        <w:rPr>
          <w:rStyle w:val="FootnoteReference"/>
          <w:sz w:val="26"/>
          <w:szCs w:val="26"/>
        </w:rPr>
        <w:footnoteReference w:id="74"/>
      </w:r>
    </w:p>
    <w:p w:rsidR="00161589" w:rsidRDefault="00161589" w:rsidP="00161589">
      <w:pPr>
        <w:numPr>
          <w:ilvl w:val="0"/>
          <w:numId w:val="6"/>
        </w:numPr>
        <w:rPr>
          <w:sz w:val="26"/>
          <w:szCs w:val="26"/>
        </w:rPr>
      </w:pPr>
      <w:r>
        <w:rPr>
          <w:sz w:val="26"/>
          <w:szCs w:val="26"/>
        </w:rPr>
        <w:t>Natural gas prices are known to be “somewhat volatile.”</w:t>
      </w:r>
      <w:r>
        <w:rPr>
          <w:rStyle w:val="FootnoteReference"/>
          <w:sz w:val="26"/>
          <w:szCs w:val="26"/>
        </w:rPr>
        <w:footnoteReference w:id="75"/>
      </w:r>
    </w:p>
    <w:p w:rsidR="00161589" w:rsidRDefault="00161589" w:rsidP="00161589">
      <w:pPr>
        <w:rPr>
          <w:sz w:val="26"/>
          <w:szCs w:val="26"/>
        </w:rPr>
      </w:pPr>
    </w:p>
    <w:p w:rsidR="00161589" w:rsidRDefault="00161589" w:rsidP="00161589">
      <w:pPr>
        <w:rPr>
          <w:sz w:val="26"/>
          <w:szCs w:val="26"/>
        </w:rPr>
      </w:pPr>
      <w:r>
        <w:rPr>
          <w:sz w:val="26"/>
          <w:szCs w:val="26"/>
        </w:rPr>
        <w:t>Public Counsel agrees with other stakeholders that low income weatherization programs are unique.</w:t>
      </w:r>
    </w:p>
    <w:p w:rsidR="00161589" w:rsidRDefault="00161589" w:rsidP="00161589">
      <w:pPr>
        <w:numPr>
          <w:ilvl w:val="0"/>
          <w:numId w:val="36"/>
        </w:numPr>
        <w:rPr>
          <w:sz w:val="26"/>
          <w:szCs w:val="26"/>
        </w:rPr>
      </w:pPr>
      <w:r>
        <w:rPr>
          <w:sz w:val="26"/>
          <w:szCs w:val="26"/>
        </w:rPr>
        <w:t>Many benefits are not captured in current cost-effectiveness analyses.</w:t>
      </w:r>
      <w:r>
        <w:rPr>
          <w:rStyle w:val="FootnoteReference"/>
          <w:sz w:val="26"/>
          <w:szCs w:val="26"/>
        </w:rPr>
        <w:footnoteReference w:id="76"/>
      </w:r>
    </w:p>
    <w:p w:rsidR="00161589" w:rsidRDefault="00161589" w:rsidP="00161589">
      <w:pPr>
        <w:rPr>
          <w:b/>
          <w:sz w:val="26"/>
          <w:szCs w:val="26"/>
        </w:rPr>
      </w:pPr>
    </w:p>
    <w:p w:rsidR="00161589" w:rsidRPr="008F7D8B" w:rsidRDefault="00161589" w:rsidP="00161589"/>
    <w:p w:rsidR="00161589" w:rsidRDefault="00161589" w:rsidP="00161589">
      <w:pPr>
        <w:pStyle w:val="Heading1"/>
      </w:pPr>
      <w:r w:rsidRPr="00346E2A">
        <w:lastRenderedPageBreak/>
        <w:t>Frequency of evaluation</w:t>
      </w:r>
    </w:p>
    <w:p w:rsidR="00161589" w:rsidRPr="00071A20" w:rsidRDefault="00161589" w:rsidP="00161589"/>
    <w:p w:rsidR="00161589" w:rsidRDefault="00161589" w:rsidP="00161589">
      <w:pPr>
        <w:rPr>
          <w:sz w:val="26"/>
          <w:szCs w:val="26"/>
        </w:rPr>
      </w:pPr>
      <w:proofErr w:type="gramStart"/>
      <w:r w:rsidRPr="00B57ED9">
        <w:rPr>
          <w:b/>
          <w:sz w:val="26"/>
          <w:szCs w:val="26"/>
        </w:rPr>
        <w:t>Comment.</w:t>
      </w:r>
      <w:proofErr w:type="gramEnd"/>
      <w:r w:rsidRPr="00B57ED9">
        <w:rPr>
          <w:b/>
          <w:sz w:val="26"/>
          <w:szCs w:val="26"/>
        </w:rPr>
        <w:t xml:space="preserve"> </w:t>
      </w:r>
      <w:r w:rsidRPr="00B57ED9">
        <w:rPr>
          <w:sz w:val="26"/>
          <w:szCs w:val="26"/>
        </w:rPr>
        <w:t xml:space="preserve"> </w:t>
      </w:r>
      <w:r>
        <w:rPr>
          <w:sz w:val="26"/>
          <w:szCs w:val="26"/>
        </w:rPr>
        <w:t>PSE recommends a policy that considers the dynamic market conditions which are challenging for planning, developing, and executing cost-effective gas conservation programs.</w:t>
      </w:r>
    </w:p>
    <w:p w:rsidR="00161589" w:rsidRDefault="00161589" w:rsidP="00161589">
      <w:pPr>
        <w:numPr>
          <w:ilvl w:val="0"/>
          <w:numId w:val="6"/>
        </w:numPr>
        <w:rPr>
          <w:sz w:val="26"/>
          <w:szCs w:val="26"/>
        </w:rPr>
      </w:pPr>
      <w:r>
        <w:rPr>
          <w:sz w:val="26"/>
          <w:szCs w:val="26"/>
        </w:rPr>
        <w:t>Policy could include something like a comprehensive IRP-level analysis check-in which would not require all assumptions to be updated but would provide sufficient assurance that the revised level of conservation will continue to meet requirements of WAC 480-90-238.</w:t>
      </w:r>
      <w:r>
        <w:rPr>
          <w:rStyle w:val="FootnoteReference"/>
          <w:sz w:val="26"/>
          <w:szCs w:val="26"/>
        </w:rPr>
        <w:footnoteReference w:id="77"/>
      </w:r>
    </w:p>
    <w:p w:rsidR="00161589" w:rsidRDefault="00161589" w:rsidP="00161589">
      <w:pPr>
        <w:ind w:left="720"/>
        <w:rPr>
          <w:sz w:val="26"/>
          <w:szCs w:val="26"/>
        </w:rPr>
      </w:pPr>
    </w:p>
    <w:p w:rsidR="00161589" w:rsidRDefault="00161589" w:rsidP="00161589">
      <w:pPr>
        <w:rPr>
          <w:sz w:val="26"/>
          <w:szCs w:val="26"/>
        </w:rPr>
      </w:pPr>
      <w:r>
        <w:rPr>
          <w:sz w:val="26"/>
          <w:szCs w:val="26"/>
        </w:rPr>
        <w:t>NWIGU recommends a requirement for local distribution companies to monitor cost-effectiveness on a semi-annual basis with reports to the Commission.</w:t>
      </w:r>
    </w:p>
    <w:p w:rsidR="00161589" w:rsidRDefault="00161589" w:rsidP="00161589">
      <w:pPr>
        <w:numPr>
          <w:ilvl w:val="0"/>
          <w:numId w:val="6"/>
        </w:numPr>
        <w:rPr>
          <w:sz w:val="26"/>
          <w:szCs w:val="26"/>
        </w:rPr>
      </w:pPr>
      <w:r>
        <w:rPr>
          <w:sz w:val="26"/>
          <w:szCs w:val="26"/>
        </w:rPr>
        <w:t>Reports should note technological developments, cost changes, and program delivery options.</w:t>
      </w:r>
      <w:r>
        <w:rPr>
          <w:rStyle w:val="FootnoteReference"/>
          <w:sz w:val="26"/>
          <w:szCs w:val="26"/>
        </w:rPr>
        <w:footnoteReference w:id="78"/>
      </w:r>
    </w:p>
    <w:p w:rsidR="00161589" w:rsidRPr="00B57ED9" w:rsidRDefault="00161589" w:rsidP="00161589">
      <w:pPr>
        <w:rPr>
          <w:sz w:val="26"/>
          <w:szCs w:val="26"/>
        </w:rPr>
      </w:pPr>
      <w:r>
        <w:rPr>
          <w:sz w:val="26"/>
          <w:szCs w:val="26"/>
        </w:rPr>
        <w:t xml:space="preserve"> </w:t>
      </w:r>
    </w:p>
    <w:p w:rsidR="00161589" w:rsidRDefault="00161589" w:rsidP="00161589">
      <w:pPr>
        <w:rPr>
          <w:b/>
          <w:sz w:val="26"/>
          <w:szCs w:val="26"/>
        </w:rPr>
      </w:pPr>
    </w:p>
    <w:p w:rsidR="00161589" w:rsidRPr="00346E2A" w:rsidRDefault="00161589" w:rsidP="00161589">
      <w:pPr>
        <w:pStyle w:val="Heading1"/>
        <w:keepLines w:val="0"/>
        <w:numPr>
          <w:ilvl w:val="0"/>
          <w:numId w:val="12"/>
        </w:numPr>
        <w:spacing w:before="0"/>
        <w:rPr>
          <w:b/>
        </w:rPr>
      </w:pPr>
      <w:r w:rsidRPr="00346E2A">
        <w:rPr>
          <w:b/>
        </w:rPr>
        <w:t>Miscellaneous Comments</w:t>
      </w:r>
    </w:p>
    <w:p w:rsidR="00161589" w:rsidRDefault="00161589" w:rsidP="00161589">
      <w:pPr>
        <w:pStyle w:val="Heading1"/>
      </w:pPr>
      <w:r w:rsidRPr="00346E2A">
        <w:t>Timing of avoided cost rule-making</w:t>
      </w:r>
    </w:p>
    <w:p w:rsidR="00161589" w:rsidRPr="00071A20" w:rsidRDefault="00161589" w:rsidP="00161589"/>
    <w:p w:rsidR="00161589" w:rsidRDefault="00161589" w:rsidP="00161589">
      <w:pPr>
        <w:rPr>
          <w:sz w:val="26"/>
          <w:szCs w:val="26"/>
        </w:rPr>
      </w:pPr>
      <w:proofErr w:type="gramStart"/>
      <w:r>
        <w:rPr>
          <w:b/>
          <w:sz w:val="26"/>
          <w:szCs w:val="26"/>
        </w:rPr>
        <w:t>Comment.</w:t>
      </w:r>
      <w:proofErr w:type="gramEnd"/>
      <w:r>
        <w:rPr>
          <w:b/>
          <w:sz w:val="26"/>
          <w:szCs w:val="26"/>
        </w:rPr>
        <w:t xml:space="preserve"> </w:t>
      </w:r>
      <w:r>
        <w:rPr>
          <w:sz w:val="26"/>
          <w:szCs w:val="26"/>
        </w:rPr>
        <w:t>PSE believes that the Commission should defer action on developing “Avoided Cost” rules until after the 2013 IRP is completed.</w:t>
      </w:r>
    </w:p>
    <w:p w:rsidR="00161589" w:rsidRPr="00D02045" w:rsidRDefault="00161589" w:rsidP="00161589">
      <w:pPr>
        <w:numPr>
          <w:ilvl w:val="0"/>
          <w:numId w:val="6"/>
        </w:numPr>
        <w:rPr>
          <w:sz w:val="26"/>
          <w:szCs w:val="26"/>
        </w:rPr>
      </w:pPr>
      <w:r>
        <w:rPr>
          <w:sz w:val="26"/>
          <w:szCs w:val="26"/>
        </w:rPr>
        <w:t>PSE will expand upon timing and ramp rates in their 2013 IRP.</w:t>
      </w:r>
      <w:r>
        <w:rPr>
          <w:rStyle w:val="FootnoteReference"/>
          <w:sz w:val="26"/>
          <w:szCs w:val="26"/>
        </w:rPr>
        <w:footnoteReference w:id="79"/>
      </w:r>
    </w:p>
    <w:p w:rsidR="00161589" w:rsidRDefault="00161589" w:rsidP="00161589">
      <w:pPr>
        <w:rPr>
          <w:sz w:val="26"/>
          <w:szCs w:val="26"/>
          <w:u w:val="single"/>
        </w:rPr>
      </w:pPr>
    </w:p>
    <w:p w:rsidR="00161589" w:rsidRDefault="00161589" w:rsidP="00161589">
      <w:pPr>
        <w:pStyle w:val="Heading1"/>
      </w:pPr>
      <w:r w:rsidRPr="00346E2A">
        <w:t>Characterization of changes resulting from rule-making</w:t>
      </w:r>
    </w:p>
    <w:p w:rsidR="00161589" w:rsidRPr="00367841" w:rsidRDefault="00161589" w:rsidP="00161589"/>
    <w:p w:rsidR="00161589" w:rsidRPr="000427A8" w:rsidRDefault="00161589" w:rsidP="00161589">
      <w:pPr>
        <w:rPr>
          <w:sz w:val="26"/>
          <w:szCs w:val="26"/>
        </w:rPr>
      </w:pPr>
      <w:proofErr w:type="gramStart"/>
      <w:r>
        <w:rPr>
          <w:b/>
          <w:sz w:val="26"/>
          <w:szCs w:val="26"/>
        </w:rPr>
        <w:t>Comment.</w:t>
      </w:r>
      <w:proofErr w:type="gramEnd"/>
      <w:r>
        <w:rPr>
          <w:b/>
          <w:sz w:val="26"/>
          <w:szCs w:val="26"/>
        </w:rPr>
        <w:t xml:space="preserve"> </w:t>
      </w:r>
      <w:r>
        <w:rPr>
          <w:sz w:val="26"/>
          <w:szCs w:val="26"/>
        </w:rPr>
        <w:t>PSE believes that “any…short-term changes to the uses of [the currently used] cost tests should not be viewed as ‘policy’ decisions, but rather as a fundamental change in the methodology.”</w:t>
      </w:r>
      <w:r>
        <w:rPr>
          <w:rStyle w:val="FootnoteReference"/>
          <w:sz w:val="26"/>
          <w:szCs w:val="26"/>
        </w:rPr>
        <w:footnoteReference w:id="80"/>
      </w:r>
      <w:r>
        <w:rPr>
          <w:sz w:val="26"/>
          <w:szCs w:val="26"/>
        </w:rPr>
        <w:t xml:space="preserve">  </w:t>
      </w:r>
    </w:p>
    <w:p w:rsidR="00161589" w:rsidRDefault="00161589" w:rsidP="00161589">
      <w:pPr>
        <w:rPr>
          <w:b/>
          <w:sz w:val="26"/>
          <w:szCs w:val="26"/>
        </w:rPr>
      </w:pPr>
    </w:p>
    <w:p w:rsidR="00161589" w:rsidRDefault="00161589" w:rsidP="00161589">
      <w:pPr>
        <w:pStyle w:val="Heading1"/>
      </w:pPr>
      <w:r w:rsidRPr="00346E2A">
        <w:t>Administrative costs</w:t>
      </w:r>
      <w:bookmarkStart w:id="0" w:name="_GoBack"/>
      <w:bookmarkEnd w:id="0"/>
    </w:p>
    <w:p w:rsidR="00161589" w:rsidRPr="00071A20" w:rsidRDefault="00161589" w:rsidP="00161589"/>
    <w:p w:rsidR="00161589" w:rsidRDefault="00161589" w:rsidP="00161589">
      <w:pPr>
        <w:rPr>
          <w:sz w:val="26"/>
          <w:szCs w:val="26"/>
        </w:rPr>
      </w:pPr>
      <w:proofErr w:type="gramStart"/>
      <w:r w:rsidRPr="000D0DD0">
        <w:rPr>
          <w:b/>
          <w:sz w:val="26"/>
          <w:szCs w:val="26"/>
        </w:rPr>
        <w:t>Comment.</w:t>
      </w:r>
      <w:proofErr w:type="gramEnd"/>
      <w:r w:rsidRPr="000D0DD0">
        <w:rPr>
          <w:b/>
          <w:sz w:val="26"/>
          <w:szCs w:val="26"/>
        </w:rPr>
        <w:t xml:space="preserve"> </w:t>
      </w:r>
      <w:r w:rsidRPr="000D0DD0">
        <w:rPr>
          <w:sz w:val="26"/>
          <w:szCs w:val="26"/>
        </w:rPr>
        <w:t xml:space="preserve"> </w:t>
      </w:r>
      <w:r>
        <w:rPr>
          <w:sz w:val="26"/>
          <w:szCs w:val="26"/>
        </w:rPr>
        <w:t>CNGC believe that there are still opportunities to further adjust program delivery costs (administration costs) to help maintain cost effectiveness even as the projected cost of natural gas continues to decline.</w:t>
      </w:r>
      <w:r>
        <w:rPr>
          <w:rStyle w:val="FootnoteReference"/>
          <w:sz w:val="26"/>
          <w:szCs w:val="26"/>
        </w:rPr>
        <w:footnoteReference w:id="81"/>
      </w:r>
    </w:p>
    <w:p w:rsidR="00161589" w:rsidRDefault="00161589" w:rsidP="00161589">
      <w:pPr>
        <w:pStyle w:val="Heading1"/>
      </w:pPr>
      <w:r w:rsidRPr="00346E2A">
        <w:lastRenderedPageBreak/>
        <w:t>Requests for consideration of additional issues</w:t>
      </w:r>
    </w:p>
    <w:p w:rsidR="00161589" w:rsidRPr="00071A20" w:rsidRDefault="00161589" w:rsidP="00161589"/>
    <w:p w:rsidR="00161589" w:rsidRDefault="00161589" w:rsidP="00161589">
      <w:pPr>
        <w:rPr>
          <w:sz w:val="26"/>
          <w:szCs w:val="26"/>
        </w:rPr>
      </w:pPr>
      <w:proofErr w:type="gramStart"/>
      <w:r w:rsidRPr="00B57ED9">
        <w:rPr>
          <w:b/>
          <w:sz w:val="26"/>
          <w:szCs w:val="26"/>
        </w:rPr>
        <w:t>Comment.</w:t>
      </w:r>
      <w:proofErr w:type="gramEnd"/>
      <w:r>
        <w:rPr>
          <w:b/>
          <w:sz w:val="26"/>
          <w:szCs w:val="26"/>
        </w:rPr>
        <w:t xml:space="preserve"> </w:t>
      </w:r>
      <w:r>
        <w:rPr>
          <w:sz w:val="26"/>
          <w:szCs w:val="26"/>
        </w:rPr>
        <w:t>PSE wants clarification on which process is being discussed in the CR-101 process: the IRP or the program design process.</w:t>
      </w:r>
      <w:r>
        <w:rPr>
          <w:rStyle w:val="FootnoteReference"/>
          <w:sz w:val="26"/>
          <w:szCs w:val="26"/>
        </w:rPr>
        <w:footnoteReference w:id="82"/>
      </w:r>
      <w:r w:rsidRPr="00B57ED9">
        <w:rPr>
          <w:b/>
          <w:sz w:val="26"/>
          <w:szCs w:val="26"/>
        </w:rPr>
        <w:t xml:space="preserve"> </w:t>
      </w:r>
      <w:r w:rsidRPr="00B57ED9">
        <w:rPr>
          <w:sz w:val="26"/>
          <w:szCs w:val="26"/>
        </w:rPr>
        <w:t xml:space="preserve"> </w:t>
      </w:r>
    </w:p>
    <w:p w:rsidR="00161589" w:rsidRDefault="00161589" w:rsidP="00161589">
      <w:pPr>
        <w:rPr>
          <w:sz w:val="26"/>
          <w:szCs w:val="26"/>
        </w:rPr>
      </w:pPr>
    </w:p>
    <w:p w:rsidR="00161589" w:rsidRDefault="00161589" w:rsidP="00161589">
      <w:pPr>
        <w:rPr>
          <w:sz w:val="26"/>
          <w:szCs w:val="26"/>
        </w:rPr>
      </w:pPr>
      <w:r>
        <w:rPr>
          <w:sz w:val="26"/>
          <w:szCs w:val="26"/>
        </w:rPr>
        <w:t>CNGC wishes to consider whether or not there are unintended consequences to starting and stopping conservation programs.</w:t>
      </w:r>
      <w:r>
        <w:rPr>
          <w:rStyle w:val="FootnoteReference"/>
          <w:sz w:val="26"/>
          <w:szCs w:val="26"/>
        </w:rPr>
        <w:footnoteReference w:id="83"/>
      </w:r>
    </w:p>
    <w:p w:rsidR="00161589" w:rsidRDefault="00161589" w:rsidP="00161589">
      <w:pPr>
        <w:rPr>
          <w:sz w:val="26"/>
          <w:szCs w:val="26"/>
        </w:rPr>
      </w:pPr>
    </w:p>
    <w:p w:rsidR="00161589" w:rsidRDefault="00161589" w:rsidP="00161589">
      <w:pPr>
        <w:rPr>
          <w:sz w:val="26"/>
          <w:szCs w:val="26"/>
        </w:rPr>
      </w:pPr>
      <w:r w:rsidRPr="00A87EEE">
        <w:rPr>
          <w:sz w:val="26"/>
          <w:szCs w:val="26"/>
        </w:rPr>
        <w:t xml:space="preserve">NW Natural </w:t>
      </w:r>
      <w:r>
        <w:rPr>
          <w:sz w:val="26"/>
          <w:szCs w:val="26"/>
        </w:rPr>
        <w:t>raises the following policy-related questions they believe likely need to be addressed through legislation:</w:t>
      </w:r>
    </w:p>
    <w:p w:rsidR="00161589" w:rsidRDefault="00161589" w:rsidP="00161589">
      <w:pPr>
        <w:numPr>
          <w:ilvl w:val="0"/>
          <w:numId w:val="8"/>
        </w:numPr>
        <w:rPr>
          <w:sz w:val="26"/>
          <w:szCs w:val="26"/>
        </w:rPr>
      </w:pPr>
      <w:r>
        <w:rPr>
          <w:sz w:val="26"/>
          <w:szCs w:val="26"/>
        </w:rPr>
        <w:t>Should the Commission consider allowing exclusions from the cost effectiveness standard for specific purposes such as:</w:t>
      </w:r>
    </w:p>
    <w:p w:rsidR="00161589" w:rsidRDefault="00161589" w:rsidP="00161589">
      <w:pPr>
        <w:numPr>
          <w:ilvl w:val="1"/>
          <w:numId w:val="8"/>
        </w:numPr>
        <w:rPr>
          <w:sz w:val="26"/>
          <w:szCs w:val="26"/>
        </w:rPr>
      </w:pPr>
      <w:proofErr w:type="gramStart"/>
      <w:r>
        <w:rPr>
          <w:sz w:val="26"/>
          <w:szCs w:val="26"/>
        </w:rPr>
        <w:t>investment</w:t>
      </w:r>
      <w:proofErr w:type="gramEnd"/>
      <w:r>
        <w:rPr>
          <w:sz w:val="26"/>
          <w:szCs w:val="26"/>
        </w:rPr>
        <w:t xml:space="preserve"> in market transformation?</w:t>
      </w:r>
    </w:p>
    <w:p w:rsidR="00161589" w:rsidRDefault="00161589" w:rsidP="00161589">
      <w:pPr>
        <w:numPr>
          <w:ilvl w:val="1"/>
          <w:numId w:val="8"/>
        </w:numPr>
        <w:rPr>
          <w:sz w:val="26"/>
          <w:szCs w:val="26"/>
        </w:rPr>
      </w:pPr>
      <w:proofErr w:type="gramStart"/>
      <w:r>
        <w:rPr>
          <w:sz w:val="26"/>
          <w:szCs w:val="26"/>
        </w:rPr>
        <w:t>prevention</w:t>
      </w:r>
      <w:proofErr w:type="gramEnd"/>
      <w:r>
        <w:rPr>
          <w:sz w:val="26"/>
          <w:szCs w:val="26"/>
        </w:rPr>
        <w:t xml:space="preserve"> of stopping and starting of certain measures that are vulnerable to changing gas or measure costs?</w:t>
      </w:r>
    </w:p>
    <w:p w:rsidR="00161589" w:rsidRDefault="00161589" w:rsidP="00161589">
      <w:pPr>
        <w:numPr>
          <w:ilvl w:val="1"/>
          <w:numId w:val="8"/>
        </w:numPr>
        <w:rPr>
          <w:sz w:val="26"/>
          <w:szCs w:val="26"/>
        </w:rPr>
      </w:pPr>
      <w:proofErr w:type="gramStart"/>
      <w:r>
        <w:rPr>
          <w:sz w:val="26"/>
          <w:szCs w:val="26"/>
        </w:rPr>
        <w:t>to</w:t>
      </w:r>
      <w:proofErr w:type="gramEnd"/>
      <w:r>
        <w:rPr>
          <w:sz w:val="26"/>
          <w:szCs w:val="26"/>
        </w:rPr>
        <w:t xml:space="preserve"> allow parity of offerings among competing utilities?</w:t>
      </w:r>
    </w:p>
    <w:p w:rsidR="00161589" w:rsidRDefault="00161589" w:rsidP="00161589">
      <w:pPr>
        <w:ind w:left="720"/>
        <w:rPr>
          <w:sz w:val="26"/>
          <w:szCs w:val="26"/>
        </w:rPr>
      </w:pPr>
      <w:r>
        <w:rPr>
          <w:sz w:val="26"/>
          <w:szCs w:val="26"/>
        </w:rPr>
        <w:t>NW Natural supports allowances, stating that they are useful to move the market and continue investments.</w:t>
      </w:r>
      <w:r w:rsidRPr="003A2E23">
        <w:rPr>
          <w:rStyle w:val="FootnoteReference"/>
          <w:sz w:val="26"/>
          <w:szCs w:val="26"/>
        </w:rPr>
        <w:t xml:space="preserve"> </w:t>
      </w:r>
      <w:r>
        <w:rPr>
          <w:rStyle w:val="FootnoteReference"/>
          <w:sz w:val="26"/>
          <w:szCs w:val="26"/>
        </w:rPr>
        <w:footnoteReference w:id="84"/>
      </w:r>
    </w:p>
    <w:p w:rsidR="00161589" w:rsidRDefault="00161589" w:rsidP="00161589">
      <w:pPr>
        <w:rPr>
          <w:sz w:val="26"/>
          <w:szCs w:val="26"/>
        </w:rPr>
      </w:pPr>
    </w:p>
    <w:p w:rsidR="00161589" w:rsidRDefault="00161589" w:rsidP="00161589">
      <w:pPr>
        <w:numPr>
          <w:ilvl w:val="0"/>
          <w:numId w:val="8"/>
        </w:numPr>
        <w:rPr>
          <w:sz w:val="26"/>
          <w:szCs w:val="26"/>
        </w:rPr>
      </w:pPr>
      <w:r>
        <w:rPr>
          <w:sz w:val="26"/>
          <w:szCs w:val="26"/>
        </w:rPr>
        <w:t>How should low-income weatherization programs be valued?</w:t>
      </w:r>
    </w:p>
    <w:p w:rsidR="00161589" w:rsidRDefault="00161589" w:rsidP="00161589">
      <w:pPr>
        <w:numPr>
          <w:ilvl w:val="1"/>
          <w:numId w:val="8"/>
        </w:numPr>
        <w:rPr>
          <w:sz w:val="26"/>
          <w:szCs w:val="26"/>
        </w:rPr>
      </w:pPr>
      <w:r>
        <w:rPr>
          <w:sz w:val="26"/>
          <w:szCs w:val="26"/>
        </w:rPr>
        <w:t>Benefits are not quantified in traditional cost effectiveness tests.</w:t>
      </w:r>
      <w:r w:rsidRPr="003A2E23">
        <w:rPr>
          <w:rStyle w:val="FootnoteReference"/>
          <w:sz w:val="26"/>
          <w:szCs w:val="26"/>
        </w:rPr>
        <w:t xml:space="preserve"> </w:t>
      </w:r>
      <w:r>
        <w:rPr>
          <w:rStyle w:val="FootnoteReference"/>
          <w:sz w:val="26"/>
          <w:szCs w:val="26"/>
        </w:rPr>
        <w:footnoteReference w:id="85"/>
      </w:r>
    </w:p>
    <w:p w:rsidR="00161589" w:rsidRDefault="00161589" w:rsidP="00161589">
      <w:pPr>
        <w:ind w:left="1080"/>
        <w:rPr>
          <w:sz w:val="26"/>
          <w:szCs w:val="26"/>
        </w:rPr>
      </w:pPr>
    </w:p>
    <w:p w:rsidR="00161589" w:rsidRDefault="00161589" w:rsidP="00161589">
      <w:pPr>
        <w:numPr>
          <w:ilvl w:val="0"/>
          <w:numId w:val="8"/>
        </w:numPr>
        <w:rPr>
          <w:sz w:val="26"/>
          <w:szCs w:val="26"/>
        </w:rPr>
      </w:pPr>
      <w:r>
        <w:rPr>
          <w:sz w:val="26"/>
          <w:szCs w:val="26"/>
        </w:rPr>
        <w:t>Is there a risk or concern that natural gas programs will continue to be vulnerable to failing cost effectiveness standards after clarification of avoided cost calculations and cost effectiveness tests?</w:t>
      </w:r>
    </w:p>
    <w:p w:rsidR="00161589" w:rsidRDefault="00161589" w:rsidP="00161589">
      <w:pPr>
        <w:numPr>
          <w:ilvl w:val="1"/>
          <w:numId w:val="8"/>
        </w:numPr>
        <w:rPr>
          <w:sz w:val="26"/>
          <w:szCs w:val="26"/>
        </w:rPr>
      </w:pPr>
      <w:r>
        <w:rPr>
          <w:sz w:val="26"/>
          <w:szCs w:val="26"/>
        </w:rPr>
        <w:t xml:space="preserve">Should any or all energy efficiency offerings be explicitly part of basic utility service?  If so, to what degree? </w:t>
      </w:r>
    </w:p>
    <w:p w:rsidR="00161589" w:rsidRDefault="00161589" w:rsidP="00161589">
      <w:pPr>
        <w:numPr>
          <w:ilvl w:val="1"/>
          <w:numId w:val="8"/>
        </w:numPr>
        <w:rPr>
          <w:sz w:val="26"/>
          <w:szCs w:val="26"/>
        </w:rPr>
      </w:pPr>
      <w:r>
        <w:rPr>
          <w:sz w:val="26"/>
          <w:szCs w:val="26"/>
        </w:rPr>
        <w:t xml:space="preserve">If certain measures were considered “basic utility service,” how should the programs </w:t>
      </w:r>
      <w:proofErr w:type="gramStart"/>
      <w:r>
        <w:rPr>
          <w:sz w:val="26"/>
          <w:szCs w:val="26"/>
        </w:rPr>
        <w:t>be</w:t>
      </w:r>
      <w:proofErr w:type="gramEnd"/>
      <w:r>
        <w:rPr>
          <w:sz w:val="26"/>
          <w:szCs w:val="26"/>
        </w:rPr>
        <w:t xml:space="preserve"> designed?</w:t>
      </w:r>
      <w:r w:rsidRPr="003A2E23">
        <w:rPr>
          <w:rStyle w:val="FootnoteReference"/>
          <w:sz w:val="26"/>
          <w:szCs w:val="26"/>
        </w:rPr>
        <w:t xml:space="preserve"> </w:t>
      </w:r>
      <w:r>
        <w:rPr>
          <w:rStyle w:val="FootnoteReference"/>
          <w:sz w:val="26"/>
          <w:szCs w:val="26"/>
        </w:rPr>
        <w:footnoteReference w:id="86"/>
      </w:r>
      <w:r>
        <w:rPr>
          <w:sz w:val="26"/>
          <w:szCs w:val="26"/>
        </w:rPr>
        <w:t xml:space="preserve">  </w:t>
      </w:r>
    </w:p>
    <w:p w:rsidR="00161589" w:rsidRDefault="00161589" w:rsidP="00161589">
      <w:pPr>
        <w:pStyle w:val="ListParagraph"/>
      </w:pPr>
    </w:p>
    <w:p w:rsidR="00161589" w:rsidRDefault="00161589" w:rsidP="00161589">
      <w:pPr>
        <w:numPr>
          <w:ilvl w:val="0"/>
          <w:numId w:val="8"/>
        </w:numPr>
        <w:rPr>
          <w:sz w:val="26"/>
          <w:szCs w:val="26"/>
        </w:rPr>
      </w:pPr>
      <w:r>
        <w:rPr>
          <w:sz w:val="26"/>
          <w:szCs w:val="26"/>
        </w:rPr>
        <w:t>“Since market conditions can change and energy efficiency programs rely on customer response, [NW Natural] would recommend that the Commission consider DSM acquisition goals to be estimates rather than hard targets.”</w:t>
      </w:r>
      <w:r>
        <w:rPr>
          <w:rStyle w:val="FootnoteReference"/>
          <w:sz w:val="26"/>
          <w:szCs w:val="26"/>
        </w:rPr>
        <w:footnoteReference w:id="87"/>
      </w:r>
      <w:r>
        <w:rPr>
          <w:sz w:val="26"/>
          <w:szCs w:val="26"/>
        </w:rPr>
        <w:t xml:space="preserve"> </w:t>
      </w:r>
    </w:p>
    <w:p w:rsidR="00161589" w:rsidRDefault="00161589" w:rsidP="00161589">
      <w:pPr>
        <w:ind w:left="720"/>
        <w:rPr>
          <w:sz w:val="26"/>
          <w:szCs w:val="26"/>
        </w:rPr>
      </w:pPr>
    </w:p>
    <w:p w:rsidR="00161589" w:rsidRDefault="00161589" w:rsidP="00161589">
      <w:pPr>
        <w:rPr>
          <w:sz w:val="26"/>
          <w:szCs w:val="26"/>
        </w:rPr>
      </w:pPr>
      <w:r>
        <w:rPr>
          <w:sz w:val="26"/>
          <w:szCs w:val="26"/>
        </w:rPr>
        <w:t>Avista recommends that Commission Staff prepare a matrix of the:</w:t>
      </w:r>
    </w:p>
    <w:p w:rsidR="00161589" w:rsidRDefault="00161589" w:rsidP="00161589">
      <w:pPr>
        <w:numPr>
          <w:ilvl w:val="0"/>
          <w:numId w:val="9"/>
        </w:numPr>
        <w:ind w:left="720"/>
        <w:rPr>
          <w:sz w:val="26"/>
          <w:szCs w:val="26"/>
        </w:rPr>
      </w:pPr>
      <w:proofErr w:type="gramStart"/>
      <w:r>
        <w:rPr>
          <w:sz w:val="26"/>
          <w:szCs w:val="26"/>
        </w:rPr>
        <w:lastRenderedPageBreak/>
        <w:t>methodologies</w:t>
      </w:r>
      <w:proofErr w:type="gramEnd"/>
      <w:r>
        <w:rPr>
          <w:sz w:val="26"/>
          <w:szCs w:val="26"/>
        </w:rPr>
        <w:t xml:space="preserve"> used by Washington’s four local distribution companies for the avoided cost calculations.</w:t>
      </w:r>
      <w:r>
        <w:rPr>
          <w:rStyle w:val="FootnoteReference"/>
          <w:sz w:val="26"/>
          <w:szCs w:val="26"/>
        </w:rPr>
        <w:footnoteReference w:id="88"/>
      </w:r>
    </w:p>
    <w:p w:rsidR="00161589" w:rsidRDefault="00161589" w:rsidP="00161589">
      <w:pPr>
        <w:numPr>
          <w:ilvl w:val="0"/>
          <w:numId w:val="9"/>
        </w:numPr>
        <w:ind w:left="720"/>
        <w:rPr>
          <w:sz w:val="26"/>
          <w:szCs w:val="26"/>
        </w:rPr>
      </w:pPr>
      <w:proofErr w:type="gramStart"/>
      <w:r>
        <w:rPr>
          <w:sz w:val="26"/>
          <w:szCs w:val="26"/>
        </w:rPr>
        <w:t>technical</w:t>
      </w:r>
      <w:proofErr w:type="gramEnd"/>
      <w:r>
        <w:rPr>
          <w:sz w:val="26"/>
          <w:szCs w:val="26"/>
        </w:rPr>
        <w:t xml:space="preserve"> components underlying how each utility uses cost-effectiveness tests.</w:t>
      </w:r>
      <w:r>
        <w:rPr>
          <w:rStyle w:val="FootnoteReference"/>
          <w:sz w:val="26"/>
          <w:szCs w:val="26"/>
        </w:rPr>
        <w:footnoteReference w:id="89"/>
      </w:r>
      <w:r>
        <w:rPr>
          <w:sz w:val="26"/>
          <w:szCs w:val="26"/>
        </w:rPr>
        <w:t xml:space="preserve">  </w:t>
      </w:r>
    </w:p>
    <w:p w:rsidR="00161589" w:rsidRDefault="00161589" w:rsidP="00161589">
      <w:pPr>
        <w:ind w:left="720"/>
        <w:rPr>
          <w:sz w:val="26"/>
          <w:szCs w:val="26"/>
        </w:rPr>
      </w:pPr>
    </w:p>
    <w:p w:rsidR="00161589" w:rsidRPr="00B57ED9" w:rsidRDefault="00161589" w:rsidP="00161589">
      <w:pPr>
        <w:rPr>
          <w:sz w:val="26"/>
          <w:szCs w:val="26"/>
        </w:rPr>
      </w:pPr>
      <w:r>
        <w:rPr>
          <w:sz w:val="26"/>
          <w:szCs w:val="26"/>
        </w:rPr>
        <w:t>The Coalition requests the consideration of the following issues:</w:t>
      </w:r>
    </w:p>
    <w:p w:rsidR="00161589" w:rsidRPr="002B3080" w:rsidRDefault="00161589" w:rsidP="00161589">
      <w:pPr>
        <w:numPr>
          <w:ilvl w:val="0"/>
          <w:numId w:val="4"/>
        </w:numPr>
        <w:rPr>
          <w:b/>
          <w:sz w:val="26"/>
          <w:szCs w:val="26"/>
        </w:rPr>
      </w:pPr>
      <w:r>
        <w:rPr>
          <w:sz w:val="26"/>
          <w:szCs w:val="26"/>
        </w:rPr>
        <w:t>The effect of hedging mechanisms on avoided cost calculations.</w:t>
      </w:r>
    </w:p>
    <w:p w:rsidR="00161589" w:rsidRPr="002B3080" w:rsidRDefault="00161589" w:rsidP="00161589">
      <w:pPr>
        <w:numPr>
          <w:ilvl w:val="0"/>
          <w:numId w:val="4"/>
        </w:numPr>
        <w:rPr>
          <w:b/>
          <w:sz w:val="26"/>
          <w:szCs w:val="26"/>
        </w:rPr>
      </w:pPr>
      <w:r>
        <w:rPr>
          <w:sz w:val="26"/>
          <w:szCs w:val="26"/>
        </w:rPr>
        <w:t>Whether there should be consistency of cost-effectiveness test calculations across utilities.</w:t>
      </w:r>
    </w:p>
    <w:p w:rsidR="00161589" w:rsidRPr="002B3080" w:rsidRDefault="00161589" w:rsidP="00161589">
      <w:pPr>
        <w:numPr>
          <w:ilvl w:val="0"/>
          <w:numId w:val="4"/>
        </w:numPr>
        <w:rPr>
          <w:b/>
          <w:sz w:val="26"/>
          <w:szCs w:val="26"/>
        </w:rPr>
      </w:pPr>
      <w:r>
        <w:rPr>
          <w:sz w:val="26"/>
          <w:szCs w:val="26"/>
        </w:rPr>
        <w:t>How to address the potential cost of future carbon regulation and the cost of climate change.</w:t>
      </w:r>
    </w:p>
    <w:p w:rsidR="00161589" w:rsidRPr="002B3080" w:rsidRDefault="00161589" w:rsidP="00161589">
      <w:pPr>
        <w:numPr>
          <w:ilvl w:val="0"/>
          <w:numId w:val="4"/>
        </w:numPr>
        <w:rPr>
          <w:b/>
          <w:sz w:val="26"/>
          <w:szCs w:val="26"/>
        </w:rPr>
      </w:pPr>
      <w:r>
        <w:rPr>
          <w:sz w:val="26"/>
          <w:szCs w:val="26"/>
        </w:rPr>
        <w:t>Deciding the determinants of cost-effectiveness for low-income programs.</w:t>
      </w:r>
    </w:p>
    <w:p w:rsidR="00161589" w:rsidRDefault="00161589" w:rsidP="00161589">
      <w:pPr>
        <w:numPr>
          <w:ilvl w:val="0"/>
          <w:numId w:val="4"/>
        </w:numPr>
        <w:rPr>
          <w:sz w:val="26"/>
          <w:szCs w:val="26"/>
        </w:rPr>
      </w:pPr>
      <w:r w:rsidRPr="002B3080">
        <w:rPr>
          <w:sz w:val="26"/>
          <w:szCs w:val="26"/>
        </w:rPr>
        <w:t>How to provide the flexibility needed within conservation programs to maintain community investments in energy efficiency and increase market acceptance of emerging technologies.</w:t>
      </w:r>
      <w:r>
        <w:rPr>
          <w:rStyle w:val="FootnoteReference"/>
          <w:sz w:val="26"/>
          <w:szCs w:val="26"/>
        </w:rPr>
        <w:footnoteReference w:id="90"/>
      </w:r>
    </w:p>
    <w:p w:rsidR="00161589" w:rsidRDefault="00161589" w:rsidP="00161589">
      <w:pPr>
        <w:rPr>
          <w:sz w:val="26"/>
          <w:szCs w:val="26"/>
        </w:rPr>
      </w:pPr>
    </w:p>
    <w:p w:rsidR="00161589" w:rsidRDefault="00161589" w:rsidP="00161589">
      <w:pPr>
        <w:rPr>
          <w:sz w:val="26"/>
          <w:szCs w:val="26"/>
        </w:rPr>
      </w:pPr>
      <w:r>
        <w:rPr>
          <w:sz w:val="26"/>
          <w:szCs w:val="26"/>
        </w:rPr>
        <w:t>NWIGU recommends exploration and support of the direct use of natural gas and combined heat and power systems with electric utility operations.</w:t>
      </w:r>
    </w:p>
    <w:p w:rsidR="00161589" w:rsidRDefault="00161589" w:rsidP="00161589">
      <w:pPr>
        <w:numPr>
          <w:ilvl w:val="0"/>
          <w:numId w:val="7"/>
        </w:numPr>
        <w:rPr>
          <w:sz w:val="26"/>
          <w:szCs w:val="26"/>
        </w:rPr>
      </w:pPr>
      <w:r>
        <w:rPr>
          <w:sz w:val="26"/>
          <w:szCs w:val="26"/>
        </w:rPr>
        <w:t>These programs could lower carbon dioxide emissions.</w:t>
      </w:r>
    </w:p>
    <w:p w:rsidR="00161589" w:rsidRPr="002B3080" w:rsidRDefault="00161589" w:rsidP="00161589">
      <w:pPr>
        <w:numPr>
          <w:ilvl w:val="0"/>
          <w:numId w:val="7"/>
        </w:numPr>
        <w:rPr>
          <w:sz w:val="26"/>
          <w:szCs w:val="26"/>
        </w:rPr>
      </w:pPr>
      <w:r>
        <w:rPr>
          <w:sz w:val="26"/>
          <w:szCs w:val="26"/>
        </w:rPr>
        <w:t>These programs could lower overall energy costs for all consumers.</w:t>
      </w:r>
      <w:r>
        <w:rPr>
          <w:rStyle w:val="FootnoteReference"/>
          <w:sz w:val="26"/>
          <w:szCs w:val="26"/>
        </w:rPr>
        <w:footnoteReference w:id="91"/>
      </w:r>
      <w:r>
        <w:rPr>
          <w:sz w:val="26"/>
          <w:szCs w:val="26"/>
        </w:rPr>
        <w:t xml:space="preserve">  </w:t>
      </w:r>
    </w:p>
    <w:p w:rsidR="00161589" w:rsidRDefault="00161589" w:rsidP="00161589">
      <w:pPr>
        <w:rPr>
          <w:sz w:val="26"/>
          <w:szCs w:val="26"/>
        </w:rPr>
      </w:pPr>
    </w:p>
    <w:p w:rsidR="00161589" w:rsidRDefault="00161589" w:rsidP="00161589">
      <w:pPr>
        <w:rPr>
          <w:sz w:val="26"/>
          <w:szCs w:val="26"/>
        </w:rPr>
      </w:pPr>
      <w:r>
        <w:rPr>
          <w:sz w:val="26"/>
          <w:szCs w:val="26"/>
        </w:rPr>
        <w:t xml:space="preserve">Public Counsel requests that companies provide specific information about the factors, elements, and assumptions included in its avoided cost and cost-effectiveness calculation. </w:t>
      </w:r>
    </w:p>
    <w:p w:rsidR="00161589" w:rsidRDefault="00161589" w:rsidP="00161589">
      <w:pPr>
        <w:numPr>
          <w:ilvl w:val="0"/>
          <w:numId w:val="10"/>
        </w:numPr>
        <w:rPr>
          <w:sz w:val="26"/>
          <w:szCs w:val="26"/>
        </w:rPr>
      </w:pPr>
      <w:r>
        <w:rPr>
          <w:sz w:val="26"/>
          <w:szCs w:val="26"/>
        </w:rPr>
        <w:t>Compare the information to other utilities.</w:t>
      </w:r>
      <w:r>
        <w:rPr>
          <w:rStyle w:val="FootnoteReference"/>
          <w:sz w:val="26"/>
          <w:szCs w:val="26"/>
        </w:rPr>
        <w:footnoteReference w:id="92"/>
      </w:r>
    </w:p>
    <w:p w:rsidR="00161589" w:rsidRDefault="00161589" w:rsidP="00161589">
      <w:pPr>
        <w:rPr>
          <w:sz w:val="26"/>
          <w:szCs w:val="26"/>
        </w:rPr>
      </w:pPr>
    </w:p>
    <w:p w:rsidR="00161589" w:rsidRDefault="00161589" w:rsidP="00161589">
      <w:pPr>
        <w:rPr>
          <w:sz w:val="26"/>
          <w:szCs w:val="26"/>
        </w:rPr>
      </w:pPr>
      <w:r>
        <w:rPr>
          <w:sz w:val="26"/>
          <w:szCs w:val="26"/>
        </w:rPr>
        <w:t>Public Counsel believes that it would be helpful to gain a better understanding of the system benefits derived from natural gas conservation as part of the rule-making process.</w:t>
      </w:r>
      <w:r>
        <w:rPr>
          <w:rStyle w:val="FootnoteReference"/>
          <w:sz w:val="26"/>
          <w:szCs w:val="26"/>
        </w:rPr>
        <w:footnoteReference w:id="93"/>
      </w:r>
      <w:r>
        <w:rPr>
          <w:sz w:val="26"/>
          <w:szCs w:val="26"/>
        </w:rPr>
        <w:t xml:space="preserve"> </w:t>
      </w:r>
    </w:p>
    <w:p w:rsidR="00161589" w:rsidRDefault="00161589" w:rsidP="00161589">
      <w:pPr>
        <w:rPr>
          <w:sz w:val="26"/>
          <w:szCs w:val="26"/>
        </w:rPr>
      </w:pPr>
    </w:p>
    <w:p w:rsidR="00161589" w:rsidRPr="00D10DB1" w:rsidRDefault="00161589" w:rsidP="00161589">
      <w:pPr>
        <w:rPr>
          <w:sz w:val="26"/>
          <w:szCs w:val="26"/>
        </w:rPr>
      </w:pPr>
      <w:r>
        <w:rPr>
          <w:sz w:val="26"/>
          <w:szCs w:val="26"/>
        </w:rPr>
        <w:t xml:space="preserve">Public Counsel </w:t>
      </w:r>
      <w:proofErr w:type="gramStart"/>
      <w:r>
        <w:rPr>
          <w:sz w:val="26"/>
          <w:szCs w:val="26"/>
        </w:rPr>
        <w:t>requests</w:t>
      </w:r>
      <w:proofErr w:type="gramEnd"/>
      <w:r>
        <w:rPr>
          <w:sz w:val="26"/>
          <w:szCs w:val="26"/>
        </w:rPr>
        <w:t xml:space="preserve"> that the utilities provide details and evidence to support consideration of costs for starting and stopping conservation programs if it will be considered in the rule-making.</w:t>
      </w:r>
      <w:r>
        <w:rPr>
          <w:rStyle w:val="FootnoteReference"/>
          <w:sz w:val="26"/>
          <w:szCs w:val="26"/>
        </w:rPr>
        <w:footnoteReference w:id="94"/>
      </w:r>
      <w:r>
        <w:rPr>
          <w:sz w:val="26"/>
          <w:szCs w:val="26"/>
        </w:rPr>
        <w:t xml:space="preserve"> </w:t>
      </w:r>
    </w:p>
    <w:p w:rsidR="00161589" w:rsidRPr="000D0DD0" w:rsidRDefault="00161589" w:rsidP="00161589">
      <w:pPr>
        <w:rPr>
          <w:sz w:val="26"/>
          <w:szCs w:val="26"/>
        </w:rPr>
      </w:pPr>
    </w:p>
    <w:p w:rsidR="00161589" w:rsidRPr="00AD29BB" w:rsidRDefault="00161589" w:rsidP="00161589"/>
    <w:p w:rsidR="002C039A" w:rsidRPr="00AD3312" w:rsidRDefault="002C039A" w:rsidP="00AD3312"/>
    <w:sectPr w:rsidR="002C039A" w:rsidRPr="00AD3312" w:rsidSect="002B276E">
      <w:pgSz w:w="12240" w:h="15840" w:code="1"/>
      <w:pgMar w:top="1440" w:right="1800" w:bottom="1440" w:left="180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741" w:rsidRDefault="00030741" w:rsidP="00161589">
      <w:r>
        <w:separator/>
      </w:r>
    </w:p>
  </w:endnote>
  <w:endnote w:type="continuationSeparator" w:id="0">
    <w:p w:rsidR="00030741" w:rsidRDefault="00030741" w:rsidP="0016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741" w:rsidRDefault="00030741" w:rsidP="00161589">
      <w:r>
        <w:separator/>
      </w:r>
    </w:p>
  </w:footnote>
  <w:footnote w:type="continuationSeparator" w:id="0">
    <w:p w:rsidR="00030741" w:rsidRDefault="00030741" w:rsidP="00161589">
      <w:r>
        <w:continuationSeparator/>
      </w:r>
    </w:p>
  </w:footnote>
  <w:footnote w:id="1">
    <w:p w:rsidR="00161589" w:rsidRDefault="00161589" w:rsidP="00161589">
      <w:pPr>
        <w:pStyle w:val="FootnoteText"/>
      </w:pPr>
      <w:r>
        <w:rPr>
          <w:rStyle w:val="FootnoteReference"/>
        </w:rPr>
        <w:footnoteRef/>
      </w:r>
      <w:r>
        <w:t xml:space="preserve"> </w:t>
      </w:r>
      <w:proofErr w:type="gramStart"/>
      <w:r>
        <w:t>PSE, August 31, 2012, page 3.</w:t>
      </w:r>
      <w:proofErr w:type="gramEnd"/>
    </w:p>
  </w:footnote>
  <w:footnote w:id="2">
    <w:p w:rsidR="00161589" w:rsidRDefault="00161589" w:rsidP="00161589">
      <w:pPr>
        <w:pStyle w:val="FootnoteText"/>
      </w:pPr>
      <w:r>
        <w:rPr>
          <w:rStyle w:val="FootnoteReference"/>
        </w:rPr>
        <w:footnoteRef/>
      </w:r>
      <w:r>
        <w:t xml:space="preserve"> </w:t>
      </w:r>
      <w:proofErr w:type="gramStart"/>
      <w:r>
        <w:t>PSE, August 31, 2012, page 3.</w:t>
      </w:r>
      <w:proofErr w:type="gramEnd"/>
    </w:p>
  </w:footnote>
  <w:footnote w:id="3">
    <w:p w:rsidR="00161589" w:rsidRDefault="00161589" w:rsidP="00161589">
      <w:pPr>
        <w:pStyle w:val="FootnoteText"/>
      </w:pPr>
      <w:r>
        <w:rPr>
          <w:rStyle w:val="FootnoteReference"/>
        </w:rPr>
        <w:footnoteRef/>
      </w:r>
      <w:r>
        <w:t xml:space="preserve"> </w:t>
      </w:r>
      <w:proofErr w:type="gramStart"/>
      <w:r>
        <w:t>CNGC, August 31, 2012, page 2.</w:t>
      </w:r>
      <w:proofErr w:type="gramEnd"/>
    </w:p>
  </w:footnote>
  <w:footnote w:id="4">
    <w:p w:rsidR="00161589" w:rsidRDefault="00161589" w:rsidP="00161589">
      <w:pPr>
        <w:pStyle w:val="FootnoteText"/>
      </w:pPr>
      <w:r>
        <w:rPr>
          <w:rStyle w:val="FootnoteReference"/>
        </w:rPr>
        <w:footnoteRef/>
      </w:r>
      <w:r>
        <w:t xml:space="preserve"> </w:t>
      </w:r>
      <w:proofErr w:type="gramStart"/>
      <w:r>
        <w:t>CNGC, August 31, 2012 page 2.</w:t>
      </w:r>
      <w:proofErr w:type="gramEnd"/>
    </w:p>
  </w:footnote>
  <w:footnote w:id="5">
    <w:p w:rsidR="00161589" w:rsidRDefault="00161589" w:rsidP="00161589">
      <w:pPr>
        <w:pStyle w:val="FootnoteText"/>
      </w:pPr>
      <w:r>
        <w:rPr>
          <w:rStyle w:val="FootnoteReference"/>
        </w:rPr>
        <w:footnoteRef/>
      </w:r>
      <w:r>
        <w:t xml:space="preserve"> </w:t>
      </w:r>
      <w:proofErr w:type="gramStart"/>
      <w:r>
        <w:t>CNGC, October, 4, 2012, page 3.</w:t>
      </w:r>
      <w:proofErr w:type="gramEnd"/>
    </w:p>
  </w:footnote>
  <w:footnote w:id="6">
    <w:p w:rsidR="00161589" w:rsidRDefault="00161589" w:rsidP="00161589">
      <w:pPr>
        <w:pStyle w:val="FootnoteText"/>
      </w:pPr>
      <w:r>
        <w:rPr>
          <w:rStyle w:val="FootnoteReference"/>
        </w:rPr>
        <w:footnoteRef/>
      </w:r>
      <w:r>
        <w:t xml:space="preserve"> NW Natural, August 31, 2012, page 2.</w:t>
      </w:r>
    </w:p>
  </w:footnote>
  <w:footnote w:id="7">
    <w:p w:rsidR="00161589" w:rsidRDefault="00161589" w:rsidP="00161589">
      <w:pPr>
        <w:pStyle w:val="FootnoteText"/>
      </w:pPr>
      <w:r>
        <w:rPr>
          <w:rStyle w:val="FootnoteReference"/>
        </w:rPr>
        <w:footnoteRef/>
      </w:r>
      <w:r>
        <w:t xml:space="preserve"> NW Natural, August 31, 2012, page 2-3. </w:t>
      </w:r>
    </w:p>
  </w:footnote>
  <w:footnote w:id="8">
    <w:p w:rsidR="00161589" w:rsidRDefault="00161589" w:rsidP="00161589">
      <w:pPr>
        <w:pStyle w:val="FootnoteText"/>
      </w:pPr>
      <w:r>
        <w:rPr>
          <w:rStyle w:val="FootnoteReference"/>
        </w:rPr>
        <w:footnoteRef/>
      </w:r>
      <w:r>
        <w:t xml:space="preserve"> </w:t>
      </w:r>
      <w:proofErr w:type="gramStart"/>
      <w:r>
        <w:t>Coalition, August 31, 2012, page 2.</w:t>
      </w:r>
      <w:proofErr w:type="gramEnd"/>
    </w:p>
  </w:footnote>
  <w:footnote w:id="9">
    <w:p w:rsidR="00161589" w:rsidRDefault="00161589" w:rsidP="00161589">
      <w:pPr>
        <w:pStyle w:val="FootnoteText"/>
      </w:pPr>
      <w:r>
        <w:rPr>
          <w:rStyle w:val="FootnoteReference"/>
        </w:rPr>
        <w:footnoteRef/>
      </w:r>
      <w:r>
        <w:t xml:space="preserve"> </w:t>
      </w:r>
      <w:proofErr w:type="gramStart"/>
      <w:r>
        <w:t>Coalition, October 5, 2012, page 4.</w:t>
      </w:r>
      <w:proofErr w:type="gramEnd"/>
    </w:p>
  </w:footnote>
  <w:footnote w:id="10">
    <w:p w:rsidR="00161589" w:rsidRDefault="00161589" w:rsidP="00161589">
      <w:pPr>
        <w:pStyle w:val="FootnoteText"/>
      </w:pPr>
      <w:r>
        <w:rPr>
          <w:rStyle w:val="FootnoteReference"/>
        </w:rPr>
        <w:footnoteRef/>
      </w:r>
      <w:r>
        <w:t xml:space="preserve"> </w:t>
      </w:r>
      <w:proofErr w:type="gramStart"/>
      <w:r>
        <w:t>NWIGU, October 5, 2012, page 1.</w:t>
      </w:r>
      <w:proofErr w:type="gramEnd"/>
    </w:p>
  </w:footnote>
  <w:footnote w:id="11">
    <w:p w:rsidR="00161589" w:rsidRDefault="00161589" w:rsidP="00161589">
      <w:pPr>
        <w:pStyle w:val="FootnoteText"/>
      </w:pPr>
      <w:r>
        <w:rPr>
          <w:rStyle w:val="FootnoteReference"/>
        </w:rPr>
        <w:footnoteRef/>
      </w:r>
      <w:r>
        <w:t xml:space="preserve"> </w:t>
      </w:r>
      <w:proofErr w:type="gramStart"/>
      <w:r>
        <w:t>Energy Project, August 31, 2012, page 2.</w:t>
      </w:r>
      <w:proofErr w:type="gramEnd"/>
      <w:r>
        <w:t xml:space="preserve"> </w:t>
      </w:r>
    </w:p>
  </w:footnote>
  <w:footnote w:id="12">
    <w:p w:rsidR="00161589" w:rsidRDefault="00161589" w:rsidP="00161589">
      <w:pPr>
        <w:pStyle w:val="FootnoteText"/>
      </w:pPr>
      <w:r>
        <w:rPr>
          <w:rStyle w:val="FootnoteReference"/>
        </w:rPr>
        <w:footnoteRef/>
      </w:r>
      <w:r>
        <w:t xml:space="preserve"> </w:t>
      </w:r>
      <w:proofErr w:type="gramStart"/>
      <w:r>
        <w:t>Energy Project, August 31, 2012, page 3.</w:t>
      </w:r>
      <w:proofErr w:type="gramEnd"/>
    </w:p>
  </w:footnote>
  <w:footnote w:id="13">
    <w:p w:rsidR="00161589" w:rsidRDefault="00161589" w:rsidP="00161589">
      <w:pPr>
        <w:pStyle w:val="FootnoteText"/>
      </w:pPr>
      <w:r>
        <w:rPr>
          <w:rStyle w:val="FootnoteReference"/>
        </w:rPr>
        <w:footnoteRef/>
      </w:r>
      <w:r>
        <w:t xml:space="preserve"> Staff understands the conservation adder/credit to be a numerical input that captures a stated preference for conservation resources over other resources.  It is not meant to approximate environmental and other non-energy benefits.  </w:t>
      </w:r>
    </w:p>
  </w:footnote>
  <w:footnote w:id="14">
    <w:p w:rsidR="00161589" w:rsidRDefault="00161589" w:rsidP="00161589">
      <w:pPr>
        <w:pStyle w:val="FootnoteText"/>
      </w:pPr>
      <w:r>
        <w:rPr>
          <w:rStyle w:val="FootnoteReference"/>
        </w:rPr>
        <w:footnoteRef/>
      </w:r>
      <w:r>
        <w:t xml:space="preserve"> </w:t>
      </w:r>
      <w:proofErr w:type="gramStart"/>
      <w:r>
        <w:t>PSE, August 31, 2012, page 3.</w:t>
      </w:r>
      <w:proofErr w:type="gramEnd"/>
    </w:p>
  </w:footnote>
  <w:footnote w:id="15">
    <w:p w:rsidR="00161589" w:rsidRDefault="00161589" w:rsidP="00161589">
      <w:pPr>
        <w:pStyle w:val="FootnoteText"/>
      </w:pPr>
      <w:r>
        <w:rPr>
          <w:rStyle w:val="FootnoteReference"/>
        </w:rPr>
        <w:footnoteRef/>
      </w:r>
      <w:r>
        <w:t xml:space="preserve"> </w:t>
      </w:r>
      <w:proofErr w:type="gramStart"/>
      <w:r>
        <w:t>CNGC, October, 4, 2012, page 1-2.</w:t>
      </w:r>
      <w:proofErr w:type="gramEnd"/>
    </w:p>
  </w:footnote>
  <w:footnote w:id="16">
    <w:p w:rsidR="00161589" w:rsidRDefault="00161589" w:rsidP="00161589">
      <w:pPr>
        <w:pStyle w:val="FootnoteText"/>
      </w:pPr>
      <w:r>
        <w:rPr>
          <w:rStyle w:val="FootnoteReference"/>
        </w:rPr>
        <w:footnoteRef/>
      </w:r>
      <w:r>
        <w:t xml:space="preserve"> </w:t>
      </w:r>
      <w:proofErr w:type="gramStart"/>
      <w:r>
        <w:t>CNGC, October, 4, 2012, page 2.</w:t>
      </w:r>
      <w:proofErr w:type="gramEnd"/>
    </w:p>
  </w:footnote>
  <w:footnote w:id="17">
    <w:p w:rsidR="00161589" w:rsidRDefault="00161589" w:rsidP="00161589">
      <w:pPr>
        <w:pStyle w:val="FootnoteText"/>
      </w:pPr>
      <w:r>
        <w:rPr>
          <w:rStyle w:val="FootnoteReference"/>
        </w:rPr>
        <w:footnoteRef/>
      </w:r>
      <w:r>
        <w:t xml:space="preserve"> </w:t>
      </w:r>
      <w:proofErr w:type="gramStart"/>
      <w:r>
        <w:t>CNGC, October, 4, 2012, page 2.</w:t>
      </w:r>
      <w:proofErr w:type="gramEnd"/>
    </w:p>
  </w:footnote>
  <w:footnote w:id="18">
    <w:p w:rsidR="00161589" w:rsidRDefault="00161589" w:rsidP="00161589">
      <w:pPr>
        <w:pStyle w:val="FootnoteText"/>
      </w:pPr>
      <w:r>
        <w:rPr>
          <w:rStyle w:val="FootnoteReference"/>
        </w:rPr>
        <w:footnoteRef/>
      </w:r>
      <w:r>
        <w:t xml:space="preserve"> NW Natural, October, 12, 2012, page 2.</w:t>
      </w:r>
    </w:p>
  </w:footnote>
  <w:footnote w:id="19">
    <w:p w:rsidR="00161589" w:rsidRDefault="00161589" w:rsidP="00161589">
      <w:pPr>
        <w:pStyle w:val="FootnoteText"/>
      </w:pPr>
      <w:r>
        <w:rPr>
          <w:rStyle w:val="FootnoteReference"/>
        </w:rPr>
        <w:footnoteRef/>
      </w:r>
      <w:r>
        <w:t xml:space="preserve"> NW Natural, August 31, 2012, page 3. </w:t>
      </w:r>
    </w:p>
  </w:footnote>
  <w:footnote w:id="20">
    <w:p w:rsidR="00161589" w:rsidRDefault="00161589" w:rsidP="00161589">
      <w:pPr>
        <w:pStyle w:val="FootnoteText"/>
      </w:pPr>
      <w:r>
        <w:rPr>
          <w:rStyle w:val="FootnoteReference"/>
        </w:rPr>
        <w:footnoteRef/>
      </w:r>
      <w:r>
        <w:t xml:space="preserve"> </w:t>
      </w:r>
      <w:proofErr w:type="gramStart"/>
      <w:r>
        <w:t>Coalition, August 31, 2012, page 2.</w:t>
      </w:r>
      <w:proofErr w:type="gramEnd"/>
      <w:r>
        <w:t xml:space="preserve"> </w:t>
      </w:r>
    </w:p>
  </w:footnote>
  <w:footnote w:id="21">
    <w:p w:rsidR="00161589" w:rsidRDefault="00161589" w:rsidP="00161589">
      <w:pPr>
        <w:pStyle w:val="FootnoteText"/>
      </w:pPr>
      <w:r>
        <w:rPr>
          <w:rStyle w:val="FootnoteReference"/>
        </w:rPr>
        <w:footnoteRef/>
      </w:r>
      <w:r>
        <w:t xml:space="preserve"> Public Counsel, October 5, 2012, page 3. </w:t>
      </w:r>
    </w:p>
  </w:footnote>
  <w:footnote w:id="22">
    <w:p w:rsidR="00161589" w:rsidRDefault="00161589" w:rsidP="00161589">
      <w:pPr>
        <w:pStyle w:val="FootnoteText"/>
      </w:pPr>
      <w:r>
        <w:rPr>
          <w:rStyle w:val="FootnoteReference"/>
        </w:rPr>
        <w:footnoteRef/>
      </w:r>
      <w:r>
        <w:t xml:space="preserve"> NW Natural, October 5, 2012, page 1.</w:t>
      </w:r>
    </w:p>
  </w:footnote>
  <w:footnote w:id="23">
    <w:p w:rsidR="00161589" w:rsidRDefault="00161589" w:rsidP="00161589">
      <w:pPr>
        <w:pStyle w:val="FootnoteText"/>
      </w:pPr>
      <w:r>
        <w:rPr>
          <w:rStyle w:val="FootnoteReference"/>
        </w:rPr>
        <w:footnoteRef/>
      </w:r>
      <w:r>
        <w:t xml:space="preserve"> </w:t>
      </w:r>
      <w:proofErr w:type="gramStart"/>
      <w:r>
        <w:t>Coalition, October 5, 2012, page 4.</w:t>
      </w:r>
      <w:proofErr w:type="gramEnd"/>
    </w:p>
  </w:footnote>
  <w:footnote w:id="24">
    <w:p w:rsidR="00161589" w:rsidRDefault="00161589" w:rsidP="00161589">
      <w:pPr>
        <w:pStyle w:val="FootnoteText"/>
      </w:pPr>
      <w:r>
        <w:rPr>
          <w:rStyle w:val="FootnoteReference"/>
        </w:rPr>
        <w:footnoteRef/>
      </w:r>
      <w:r>
        <w:t xml:space="preserve"> </w:t>
      </w:r>
      <w:proofErr w:type="gramStart"/>
      <w:r>
        <w:t>Coalition, August 31, 2012, page 2.</w:t>
      </w:r>
      <w:proofErr w:type="gramEnd"/>
    </w:p>
  </w:footnote>
  <w:footnote w:id="25">
    <w:p w:rsidR="00161589" w:rsidRDefault="00161589" w:rsidP="00161589">
      <w:pPr>
        <w:pStyle w:val="FootnoteText"/>
      </w:pPr>
      <w:r>
        <w:rPr>
          <w:rStyle w:val="FootnoteReference"/>
        </w:rPr>
        <w:footnoteRef/>
      </w:r>
      <w:r>
        <w:t xml:space="preserve"> </w:t>
      </w:r>
      <w:proofErr w:type="gramStart"/>
      <w:r>
        <w:t>Coalition, October 5, 2012, page 1.</w:t>
      </w:r>
      <w:proofErr w:type="gramEnd"/>
    </w:p>
  </w:footnote>
  <w:footnote w:id="26">
    <w:p w:rsidR="00161589" w:rsidRDefault="00161589" w:rsidP="00161589">
      <w:pPr>
        <w:pStyle w:val="FootnoteText"/>
      </w:pPr>
      <w:r>
        <w:rPr>
          <w:rStyle w:val="FootnoteReference"/>
        </w:rPr>
        <w:footnoteRef/>
      </w:r>
      <w:r>
        <w:t xml:space="preserve"> Public Counsel, October 5, 2012, page 3-4.</w:t>
      </w:r>
    </w:p>
  </w:footnote>
  <w:footnote w:id="27">
    <w:p w:rsidR="00161589" w:rsidRDefault="00161589" w:rsidP="00161589">
      <w:pPr>
        <w:pStyle w:val="FootnoteText"/>
      </w:pPr>
      <w:r>
        <w:rPr>
          <w:rStyle w:val="FootnoteReference"/>
        </w:rPr>
        <w:footnoteRef/>
      </w:r>
      <w:r>
        <w:t xml:space="preserve"> NW Natural, August 31, 2012, page 3.</w:t>
      </w:r>
    </w:p>
  </w:footnote>
  <w:footnote w:id="28">
    <w:p w:rsidR="00161589" w:rsidRDefault="00161589" w:rsidP="00161589">
      <w:pPr>
        <w:pStyle w:val="FootnoteText"/>
      </w:pPr>
      <w:r>
        <w:rPr>
          <w:rStyle w:val="FootnoteReference"/>
        </w:rPr>
        <w:footnoteRef/>
      </w:r>
      <w:r>
        <w:t xml:space="preserve"> </w:t>
      </w:r>
      <w:proofErr w:type="gramStart"/>
      <w:r>
        <w:t>PSE, October 5, 2012, page 4.</w:t>
      </w:r>
      <w:proofErr w:type="gramEnd"/>
    </w:p>
  </w:footnote>
  <w:footnote w:id="29">
    <w:p w:rsidR="00161589" w:rsidRDefault="00161589" w:rsidP="00161589">
      <w:pPr>
        <w:pStyle w:val="FootnoteText"/>
      </w:pPr>
      <w:r>
        <w:rPr>
          <w:rStyle w:val="FootnoteReference"/>
        </w:rPr>
        <w:footnoteRef/>
      </w:r>
      <w:r>
        <w:t xml:space="preserve"> </w:t>
      </w:r>
      <w:proofErr w:type="gramStart"/>
      <w:r>
        <w:t>PSE, October 5, 2012, page 6.</w:t>
      </w:r>
      <w:proofErr w:type="gramEnd"/>
    </w:p>
  </w:footnote>
  <w:footnote w:id="30">
    <w:p w:rsidR="00161589" w:rsidRDefault="00161589" w:rsidP="00161589">
      <w:pPr>
        <w:pStyle w:val="FootnoteText"/>
      </w:pPr>
      <w:r>
        <w:rPr>
          <w:rStyle w:val="FootnoteReference"/>
        </w:rPr>
        <w:footnoteRef/>
      </w:r>
      <w:r>
        <w:t xml:space="preserve"> </w:t>
      </w:r>
      <w:proofErr w:type="gramStart"/>
      <w:r>
        <w:t>CNGC, August 31, 2012 page 2.</w:t>
      </w:r>
      <w:proofErr w:type="gramEnd"/>
    </w:p>
  </w:footnote>
  <w:footnote w:id="31">
    <w:p w:rsidR="00161589" w:rsidRDefault="00161589" w:rsidP="00161589">
      <w:pPr>
        <w:pStyle w:val="FootnoteText"/>
      </w:pPr>
      <w:r>
        <w:rPr>
          <w:rStyle w:val="FootnoteReference"/>
        </w:rPr>
        <w:footnoteRef/>
      </w:r>
      <w:r>
        <w:t xml:space="preserve"> </w:t>
      </w:r>
      <w:proofErr w:type="gramStart"/>
      <w:r>
        <w:t>CNGC, August 31, 2012 page 2.</w:t>
      </w:r>
      <w:proofErr w:type="gramEnd"/>
    </w:p>
  </w:footnote>
  <w:footnote w:id="32">
    <w:p w:rsidR="00161589" w:rsidRDefault="00161589" w:rsidP="00161589">
      <w:pPr>
        <w:pStyle w:val="FootnoteText"/>
      </w:pPr>
      <w:r>
        <w:rPr>
          <w:rStyle w:val="FootnoteReference"/>
        </w:rPr>
        <w:footnoteRef/>
      </w:r>
      <w:r>
        <w:t xml:space="preserve"> </w:t>
      </w:r>
      <w:proofErr w:type="gramStart"/>
      <w:r>
        <w:t>CNGC, August 31, 2012, page 3.</w:t>
      </w:r>
      <w:proofErr w:type="gramEnd"/>
      <w:r>
        <w:t xml:space="preserve"> </w:t>
      </w:r>
    </w:p>
  </w:footnote>
  <w:footnote w:id="33">
    <w:p w:rsidR="00161589" w:rsidRDefault="00161589" w:rsidP="00161589">
      <w:pPr>
        <w:pStyle w:val="FootnoteText"/>
      </w:pPr>
      <w:r>
        <w:rPr>
          <w:rStyle w:val="FootnoteReference"/>
        </w:rPr>
        <w:footnoteRef/>
      </w:r>
      <w:r>
        <w:t xml:space="preserve"> </w:t>
      </w:r>
      <w:proofErr w:type="gramStart"/>
      <w:r>
        <w:t>CNGC, August 31, 2012, page 4.</w:t>
      </w:r>
      <w:proofErr w:type="gramEnd"/>
    </w:p>
  </w:footnote>
  <w:footnote w:id="34">
    <w:p w:rsidR="00161589" w:rsidRDefault="00161589" w:rsidP="00161589">
      <w:pPr>
        <w:pStyle w:val="FootnoteText"/>
      </w:pPr>
      <w:r>
        <w:rPr>
          <w:rStyle w:val="FootnoteReference"/>
        </w:rPr>
        <w:footnoteRef/>
      </w:r>
      <w:r>
        <w:t xml:space="preserve"> </w:t>
      </w:r>
      <w:proofErr w:type="gramStart"/>
      <w:r>
        <w:t>CNGC, August 31, 2012, page 4.</w:t>
      </w:r>
      <w:proofErr w:type="gramEnd"/>
      <w:r>
        <w:t xml:space="preserve"> </w:t>
      </w:r>
    </w:p>
  </w:footnote>
  <w:footnote w:id="35">
    <w:p w:rsidR="00161589" w:rsidRDefault="00161589" w:rsidP="00161589">
      <w:pPr>
        <w:pStyle w:val="FootnoteText"/>
      </w:pPr>
      <w:r>
        <w:rPr>
          <w:rStyle w:val="FootnoteReference"/>
        </w:rPr>
        <w:footnoteRef/>
      </w:r>
      <w:r>
        <w:t xml:space="preserve"> </w:t>
      </w:r>
      <w:proofErr w:type="gramStart"/>
      <w:r>
        <w:t>CNGC, August 31, 2012, page 3.</w:t>
      </w:r>
      <w:proofErr w:type="gramEnd"/>
    </w:p>
  </w:footnote>
  <w:footnote w:id="36">
    <w:p w:rsidR="00161589" w:rsidRDefault="00161589" w:rsidP="00161589">
      <w:pPr>
        <w:pStyle w:val="FootnoteText"/>
      </w:pPr>
      <w:r>
        <w:rPr>
          <w:rStyle w:val="FootnoteReference"/>
        </w:rPr>
        <w:footnoteRef/>
      </w:r>
      <w:r>
        <w:t xml:space="preserve"> </w:t>
      </w:r>
      <w:proofErr w:type="gramStart"/>
      <w:r>
        <w:t>CNGC, October, 4, 2012, page 1.</w:t>
      </w:r>
      <w:proofErr w:type="gramEnd"/>
    </w:p>
  </w:footnote>
  <w:footnote w:id="37">
    <w:p w:rsidR="00161589" w:rsidRDefault="00161589" w:rsidP="00161589">
      <w:pPr>
        <w:pStyle w:val="FootnoteText"/>
      </w:pPr>
      <w:r>
        <w:rPr>
          <w:rStyle w:val="FootnoteReference"/>
        </w:rPr>
        <w:footnoteRef/>
      </w:r>
      <w:r>
        <w:t xml:space="preserve"> </w:t>
      </w:r>
      <w:proofErr w:type="gramStart"/>
      <w:r>
        <w:t>CNGC, October, 4, 2012, page 1.</w:t>
      </w:r>
      <w:proofErr w:type="gramEnd"/>
    </w:p>
  </w:footnote>
  <w:footnote w:id="38">
    <w:p w:rsidR="00161589" w:rsidRDefault="00161589" w:rsidP="00161589">
      <w:pPr>
        <w:pStyle w:val="FootnoteText"/>
      </w:pPr>
      <w:r>
        <w:rPr>
          <w:rStyle w:val="FootnoteReference"/>
        </w:rPr>
        <w:footnoteRef/>
      </w:r>
      <w:r>
        <w:t xml:space="preserve"> </w:t>
      </w:r>
      <w:proofErr w:type="gramStart"/>
      <w:r>
        <w:t>CNGC, October, 4, 2012, page 2.</w:t>
      </w:r>
      <w:proofErr w:type="gramEnd"/>
    </w:p>
  </w:footnote>
  <w:footnote w:id="39">
    <w:p w:rsidR="00161589" w:rsidRDefault="00161589" w:rsidP="00161589">
      <w:pPr>
        <w:pStyle w:val="FootnoteText"/>
      </w:pPr>
      <w:r>
        <w:rPr>
          <w:rStyle w:val="FootnoteReference"/>
        </w:rPr>
        <w:footnoteRef/>
      </w:r>
      <w:r>
        <w:t xml:space="preserve"> NW Natural, August 31, 2012, page 3.</w:t>
      </w:r>
    </w:p>
  </w:footnote>
  <w:footnote w:id="40">
    <w:p w:rsidR="00161589" w:rsidRDefault="00161589" w:rsidP="00161589">
      <w:pPr>
        <w:pStyle w:val="FootnoteText"/>
      </w:pPr>
      <w:r>
        <w:rPr>
          <w:rStyle w:val="FootnoteReference"/>
        </w:rPr>
        <w:footnoteRef/>
      </w:r>
      <w:r>
        <w:t xml:space="preserve"> NW Natural, August 31, 2012, page 4. </w:t>
      </w:r>
    </w:p>
  </w:footnote>
  <w:footnote w:id="41">
    <w:p w:rsidR="00161589" w:rsidRDefault="00161589" w:rsidP="00161589">
      <w:pPr>
        <w:pStyle w:val="FootnoteText"/>
      </w:pPr>
      <w:r>
        <w:rPr>
          <w:rStyle w:val="FootnoteReference"/>
        </w:rPr>
        <w:footnoteRef/>
      </w:r>
      <w:r>
        <w:t xml:space="preserve"> NW Natural, August 31, 2012, page 5. </w:t>
      </w:r>
    </w:p>
  </w:footnote>
  <w:footnote w:id="42">
    <w:p w:rsidR="00161589" w:rsidRDefault="00161589" w:rsidP="00161589">
      <w:pPr>
        <w:pStyle w:val="FootnoteText"/>
      </w:pPr>
      <w:r>
        <w:rPr>
          <w:rStyle w:val="FootnoteReference"/>
        </w:rPr>
        <w:footnoteRef/>
      </w:r>
      <w:r>
        <w:t xml:space="preserve"> </w:t>
      </w:r>
      <w:proofErr w:type="gramStart"/>
      <w:r>
        <w:t>Avista, August 31, 2012, page 3.</w:t>
      </w:r>
      <w:proofErr w:type="gramEnd"/>
      <w:r>
        <w:t xml:space="preserve"> </w:t>
      </w:r>
    </w:p>
  </w:footnote>
  <w:footnote w:id="43">
    <w:p w:rsidR="00161589" w:rsidRDefault="00161589" w:rsidP="00161589">
      <w:pPr>
        <w:pStyle w:val="FootnoteText"/>
      </w:pPr>
      <w:r>
        <w:rPr>
          <w:rStyle w:val="FootnoteReference"/>
        </w:rPr>
        <w:footnoteRef/>
      </w:r>
      <w:r>
        <w:t xml:space="preserve"> </w:t>
      </w:r>
      <w:proofErr w:type="gramStart"/>
      <w:r>
        <w:t>Avista, August 31, 2012, page 3.</w:t>
      </w:r>
      <w:proofErr w:type="gramEnd"/>
      <w:r>
        <w:t xml:space="preserve"> </w:t>
      </w:r>
    </w:p>
  </w:footnote>
  <w:footnote w:id="44">
    <w:p w:rsidR="00161589" w:rsidRDefault="00161589" w:rsidP="00161589">
      <w:pPr>
        <w:pStyle w:val="FootnoteText"/>
      </w:pPr>
      <w:r>
        <w:rPr>
          <w:rStyle w:val="FootnoteReference"/>
        </w:rPr>
        <w:footnoteRef/>
      </w:r>
      <w:r>
        <w:t xml:space="preserve"> </w:t>
      </w:r>
      <w:proofErr w:type="gramStart"/>
      <w:r>
        <w:t>Avista, August 31, 2012, page 3.</w:t>
      </w:r>
      <w:proofErr w:type="gramEnd"/>
      <w:r>
        <w:t xml:space="preserve"> </w:t>
      </w:r>
    </w:p>
  </w:footnote>
  <w:footnote w:id="45">
    <w:p w:rsidR="00161589" w:rsidRDefault="00161589" w:rsidP="00161589">
      <w:pPr>
        <w:pStyle w:val="FootnoteText"/>
      </w:pPr>
      <w:r>
        <w:rPr>
          <w:rStyle w:val="FootnoteReference"/>
        </w:rPr>
        <w:footnoteRef/>
      </w:r>
      <w:r>
        <w:t xml:space="preserve"> </w:t>
      </w:r>
      <w:proofErr w:type="gramStart"/>
      <w:r>
        <w:t>Coalition, August 31, 2012, page 2.</w:t>
      </w:r>
      <w:proofErr w:type="gramEnd"/>
    </w:p>
  </w:footnote>
  <w:footnote w:id="46">
    <w:p w:rsidR="00161589" w:rsidRDefault="00161589" w:rsidP="00161589">
      <w:pPr>
        <w:pStyle w:val="FootnoteText"/>
      </w:pPr>
      <w:r>
        <w:rPr>
          <w:rStyle w:val="FootnoteReference"/>
        </w:rPr>
        <w:footnoteRef/>
      </w:r>
      <w:r>
        <w:t xml:space="preserve"> </w:t>
      </w:r>
      <w:proofErr w:type="gramStart"/>
      <w:r>
        <w:t>Coalition, August 31, 2012, page 3.</w:t>
      </w:r>
      <w:proofErr w:type="gramEnd"/>
      <w:r>
        <w:t xml:space="preserve"> </w:t>
      </w:r>
    </w:p>
  </w:footnote>
  <w:footnote w:id="47">
    <w:p w:rsidR="00161589" w:rsidRDefault="00161589" w:rsidP="00161589">
      <w:pPr>
        <w:pStyle w:val="FootnoteText"/>
      </w:pPr>
      <w:r>
        <w:rPr>
          <w:rStyle w:val="FootnoteReference"/>
        </w:rPr>
        <w:footnoteRef/>
      </w:r>
      <w:r>
        <w:t xml:space="preserve"> </w:t>
      </w:r>
      <w:proofErr w:type="gramStart"/>
      <w:r>
        <w:t>Coalition, October 5, 2012, page 4.</w:t>
      </w:r>
      <w:proofErr w:type="gramEnd"/>
    </w:p>
  </w:footnote>
  <w:footnote w:id="48">
    <w:p w:rsidR="00161589" w:rsidRDefault="00161589" w:rsidP="00161589">
      <w:pPr>
        <w:pStyle w:val="FootnoteText"/>
      </w:pPr>
      <w:r>
        <w:rPr>
          <w:rStyle w:val="FootnoteReference"/>
        </w:rPr>
        <w:footnoteRef/>
      </w:r>
      <w:r>
        <w:t xml:space="preserve"> </w:t>
      </w:r>
      <w:proofErr w:type="gramStart"/>
      <w:r>
        <w:t>Coalition, October 5, 2012, page 4.</w:t>
      </w:r>
      <w:proofErr w:type="gramEnd"/>
    </w:p>
  </w:footnote>
  <w:footnote w:id="49">
    <w:p w:rsidR="00161589" w:rsidRDefault="00161589" w:rsidP="00161589">
      <w:pPr>
        <w:pStyle w:val="FootnoteText"/>
      </w:pPr>
      <w:r>
        <w:rPr>
          <w:rStyle w:val="FootnoteReference"/>
        </w:rPr>
        <w:footnoteRef/>
      </w:r>
      <w:r>
        <w:t xml:space="preserve"> </w:t>
      </w:r>
      <w:proofErr w:type="gramStart"/>
      <w:r>
        <w:t>NWIGU, August 31, 2012, page 2.</w:t>
      </w:r>
      <w:proofErr w:type="gramEnd"/>
      <w:r>
        <w:t xml:space="preserve"> </w:t>
      </w:r>
    </w:p>
  </w:footnote>
  <w:footnote w:id="50">
    <w:p w:rsidR="00161589" w:rsidRDefault="00161589" w:rsidP="00161589">
      <w:pPr>
        <w:pStyle w:val="FootnoteText"/>
      </w:pPr>
      <w:r>
        <w:rPr>
          <w:rStyle w:val="FootnoteReference"/>
        </w:rPr>
        <w:footnoteRef/>
      </w:r>
      <w:r>
        <w:t xml:space="preserve"> The Energy Project, August 31, 2012, page 2.</w:t>
      </w:r>
    </w:p>
  </w:footnote>
  <w:footnote w:id="51">
    <w:p w:rsidR="00161589" w:rsidRDefault="00161589" w:rsidP="00161589">
      <w:pPr>
        <w:pStyle w:val="FootnoteText"/>
      </w:pPr>
      <w:r>
        <w:rPr>
          <w:rStyle w:val="FootnoteReference"/>
        </w:rPr>
        <w:footnoteRef/>
      </w:r>
      <w:r>
        <w:t xml:space="preserve"> Public Counsel, August 31, 2012, page 2.</w:t>
      </w:r>
    </w:p>
  </w:footnote>
  <w:footnote w:id="52">
    <w:p w:rsidR="00161589" w:rsidRPr="00D33978" w:rsidRDefault="00161589" w:rsidP="00161589">
      <w:pPr>
        <w:pStyle w:val="FootnoteText"/>
      </w:pPr>
      <w:r>
        <w:rPr>
          <w:rStyle w:val="FootnoteReference"/>
        </w:rPr>
        <w:footnoteRef/>
      </w:r>
      <w:r>
        <w:t xml:space="preserve"> Public Counsel, October 5, 2012, page 4.</w:t>
      </w:r>
    </w:p>
  </w:footnote>
  <w:footnote w:id="53">
    <w:p w:rsidR="00161589" w:rsidRDefault="00161589" w:rsidP="00161589">
      <w:pPr>
        <w:pStyle w:val="FootnoteText"/>
      </w:pPr>
      <w:r>
        <w:rPr>
          <w:rStyle w:val="FootnoteReference"/>
        </w:rPr>
        <w:footnoteRef/>
      </w:r>
      <w:r>
        <w:t xml:space="preserve"> Public Counsel, October 5, 2012, page 4.</w:t>
      </w:r>
    </w:p>
  </w:footnote>
  <w:footnote w:id="54">
    <w:p w:rsidR="00161589" w:rsidRDefault="00161589" w:rsidP="00161589">
      <w:pPr>
        <w:pStyle w:val="FootnoteText"/>
      </w:pPr>
      <w:r>
        <w:rPr>
          <w:rStyle w:val="FootnoteReference"/>
        </w:rPr>
        <w:footnoteRef/>
      </w:r>
      <w:r>
        <w:t xml:space="preserve"> Public Counsel, October 5, 2012, page 7.</w:t>
      </w:r>
    </w:p>
  </w:footnote>
  <w:footnote w:id="55">
    <w:p w:rsidR="00161589" w:rsidRDefault="00161589" w:rsidP="00161589">
      <w:pPr>
        <w:pStyle w:val="FootnoteText"/>
      </w:pPr>
      <w:r>
        <w:rPr>
          <w:rStyle w:val="FootnoteReference"/>
        </w:rPr>
        <w:footnoteRef/>
      </w:r>
      <w:r>
        <w:t xml:space="preserve"> </w:t>
      </w:r>
      <w:proofErr w:type="gramStart"/>
      <w:r>
        <w:t>CNGC, August 31, 2012, page 3.</w:t>
      </w:r>
      <w:proofErr w:type="gramEnd"/>
      <w:r>
        <w:t xml:space="preserve"> </w:t>
      </w:r>
    </w:p>
  </w:footnote>
  <w:footnote w:id="56">
    <w:p w:rsidR="00161589" w:rsidRDefault="00161589" w:rsidP="00161589">
      <w:pPr>
        <w:pStyle w:val="FootnoteText"/>
      </w:pPr>
      <w:r>
        <w:rPr>
          <w:rStyle w:val="FootnoteReference"/>
        </w:rPr>
        <w:footnoteRef/>
      </w:r>
      <w:r>
        <w:t xml:space="preserve"> </w:t>
      </w:r>
      <w:proofErr w:type="gramStart"/>
      <w:r>
        <w:t>NWIGU, August 31, 2012, page 3.</w:t>
      </w:r>
      <w:proofErr w:type="gramEnd"/>
    </w:p>
  </w:footnote>
  <w:footnote w:id="57">
    <w:p w:rsidR="00161589" w:rsidRDefault="00161589" w:rsidP="00161589">
      <w:pPr>
        <w:pStyle w:val="FootnoteText"/>
      </w:pPr>
      <w:r>
        <w:rPr>
          <w:rStyle w:val="FootnoteReference"/>
        </w:rPr>
        <w:footnoteRef/>
      </w:r>
      <w:r>
        <w:t xml:space="preserve"> </w:t>
      </w:r>
      <w:proofErr w:type="gramStart"/>
      <w:r>
        <w:t>CNGC, August 31, 2012, page 3.</w:t>
      </w:r>
      <w:proofErr w:type="gramEnd"/>
      <w:r>
        <w:t xml:space="preserve"> </w:t>
      </w:r>
    </w:p>
  </w:footnote>
  <w:footnote w:id="58">
    <w:p w:rsidR="00161589" w:rsidRDefault="00161589" w:rsidP="00161589">
      <w:pPr>
        <w:pStyle w:val="FootnoteText"/>
      </w:pPr>
      <w:r>
        <w:rPr>
          <w:rStyle w:val="FootnoteReference"/>
        </w:rPr>
        <w:footnoteRef/>
      </w:r>
      <w:r>
        <w:t xml:space="preserve"> </w:t>
      </w:r>
      <w:proofErr w:type="gramStart"/>
      <w:r>
        <w:t>CNGC, August 31, 2012, page 3.</w:t>
      </w:r>
      <w:proofErr w:type="gramEnd"/>
    </w:p>
  </w:footnote>
  <w:footnote w:id="59">
    <w:p w:rsidR="00161589" w:rsidRDefault="00161589" w:rsidP="00161589">
      <w:pPr>
        <w:pStyle w:val="FootnoteText"/>
      </w:pPr>
      <w:r>
        <w:rPr>
          <w:rStyle w:val="FootnoteReference"/>
        </w:rPr>
        <w:footnoteRef/>
      </w:r>
      <w:r>
        <w:t xml:space="preserve"> NW Natural, August 31, 2012, page 4.</w:t>
      </w:r>
    </w:p>
  </w:footnote>
  <w:footnote w:id="60">
    <w:p w:rsidR="00161589" w:rsidRDefault="00161589" w:rsidP="00161589">
      <w:pPr>
        <w:pStyle w:val="FootnoteText"/>
      </w:pPr>
      <w:r>
        <w:rPr>
          <w:rStyle w:val="FootnoteReference"/>
        </w:rPr>
        <w:footnoteRef/>
      </w:r>
      <w:r>
        <w:t xml:space="preserve"> </w:t>
      </w:r>
      <w:proofErr w:type="gramStart"/>
      <w:r>
        <w:t>CNGC, August 31, 2012, page 3.</w:t>
      </w:r>
      <w:proofErr w:type="gramEnd"/>
    </w:p>
  </w:footnote>
  <w:footnote w:id="61">
    <w:p w:rsidR="00161589" w:rsidRDefault="00161589" w:rsidP="00161589">
      <w:pPr>
        <w:pStyle w:val="FootnoteText"/>
      </w:pPr>
      <w:r>
        <w:rPr>
          <w:rStyle w:val="FootnoteReference"/>
        </w:rPr>
        <w:footnoteRef/>
      </w:r>
      <w:r>
        <w:t xml:space="preserve"> Public Counsel, October 5, 2012, page 5.</w:t>
      </w:r>
    </w:p>
  </w:footnote>
  <w:footnote w:id="62">
    <w:p w:rsidR="00161589" w:rsidRDefault="00161589" w:rsidP="00161589">
      <w:pPr>
        <w:pStyle w:val="FootnoteText"/>
      </w:pPr>
      <w:r>
        <w:rPr>
          <w:rStyle w:val="FootnoteReference"/>
        </w:rPr>
        <w:footnoteRef/>
      </w:r>
      <w:r>
        <w:t xml:space="preserve"> </w:t>
      </w:r>
      <w:proofErr w:type="gramStart"/>
      <w:r>
        <w:t>Coalition, August 31, 2012, page 2.</w:t>
      </w:r>
      <w:proofErr w:type="gramEnd"/>
    </w:p>
  </w:footnote>
  <w:footnote w:id="63">
    <w:p w:rsidR="00161589" w:rsidRDefault="00161589" w:rsidP="00161589">
      <w:pPr>
        <w:pStyle w:val="FootnoteText"/>
      </w:pPr>
      <w:r>
        <w:rPr>
          <w:rStyle w:val="FootnoteReference"/>
        </w:rPr>
        <w:footnoteRef/>
      </w:r>
      <w:r>
        <w:t xml:space="preserve"> </w:t>
      </w:r>
      <w:proofErr w:type="gramStart"/>
      <w:r>
        <w:t>Coalition, August 31, 2012, page 3.</w:t>
      </w:r>
      <w:proofErr w:type="gramEnd"/>
      <w:r>
        <w:t xml:space="preserve"> </w:t>
      </w:r>
    </w:p>
  </w:footnote>
  <w:footnote w:id="64">
    <w:p w:rsidR="00161589" w:rsidRDefault="00161589" w:rsidP="00161589">
      <w:pPr>
        <w:pStyle w:val="FootnoteText"/>
      </w:pPr>
      <w:r>
        <w:rPr>
          <w:rStyle w:val="FootnoteReference"/>
        </w:rPr>
        <w:footnoteRef/>
      </w:r>
      <w:r>
        <w:t xml:space="preserve"> </w:t>
      </w:r>
      <w:proofErr w:type="gramStart"/>
      <w:r>
        <w:t>Energy Project, August 31, 2012, page 3.</w:t>
      </w:r>
      <w:proofErr w:type="gramEnd"/>
    </w:p>
  </w:footnote>
  <w:footnote w:id="65">
    <w:p w:rsidR="00161589" w:rsidRDefault="00161589" w:rsidP="00161589">
      <w:pPr>
        <w:pStyle w:val="FootnoteText"/>
      </w:pPr>
      <w:r>
        <w:rPr>
          <w:rStyle w:val="FootnoteReference"/>
        </w:rPr>
        <w:footnoteRef/>
      </w:r>
      <w:r>
        <w:t xml:space="preserve"> </w:t>
      </w:r>
      <w:proofErr w:type="gramStart"/>
      <w:r>
        <w:t>Coalition, October 5, 2012, page 1.</w:t>
      </w:r>
      <w:proofErr w:type="gramEnd"/>
    </w:p>
  </w:footnote>
  <w:footnote w:id="66">
    <w:p w:rsidR="00161589" w:rsidRDefault="00161589" w:rsidP="00161589">
      <w:pPr>
        <w:pStyle w:val="FootnoteText"/>
      </w:pPr>
      <w:r>
        <w:rPr>
          <w:rStyle w:val="FootnoteReference"/>
        </w:rPr>
        <w:footnoteRef/>
      </w:r>
      <w:r>
        <w:t xml:space="preserve"> </w:t>
      </w:r>
      <w:proofErr w:type="gramStart"/>
      <w:r>
        <w:t>Coalition, October 5, 2012, page 1-2.</w:t>
      </w:r>
      <w:proofErr w:type="gramEnd"/>
    </w:p>
  </w:footnote>
  <w:footnote w:id="67">
    <w:p w:rsidR="00161589" w:rsidRDefault="00161589" w:rsidP="00161589">
      <w:pPr>
        <w:pStyle w:val="FootnoteText"/>
      </w:pPr>
      <w:r>
        <w:rPr>
          <w:rStyle w:val="FootnoteReference"/>
        </w:rPr>
        <w:footnoteRef/>
      </w:r>
      <w:r>
        <w:t xml:space="preserve"> </w:t>
      </w:r>
      <w:proofErr w:type="gramStart"/>
      <w:r>
        <w:t>UG-121119, June 29, 2012, page 2-3.</w:t>
      </w:r>
      <w:proofErr w:type="gramEnd"/>
      <w:r>
        <w:t xml:space="preserve"> </w:t>
      </w:r>
    </w:p>
  </w:footnote>
  <w:footnote w:id="68">
    <w:p w:rsidR="00161589" w:rsidRDefault="00161589" w:rsidP="00161589">
      <w:pPr>
        <w:pStyle w:val="FootnoteText"/>
      </w:pPr>
      <w:r>
        <w:rPr>
          <w:rStyle w:val="FootnoteReference"/>
        </w:rPr>
        <w:footnoteRef/>
      </w:r>
      <w:r>
        <w:t xml:space="preserve"> </w:t>
      </w:r>
      <w:proofErr w:type="gramStart"/>
      <w:r>
        <w:t>PSE, October 5, 2012, page 5.</w:t>
      </w:r>
      <w:proofErr w:type="gramEnd"/>
    </w:p>
  </w:footnote>
  <w:footnote w:id="69">
    <w:p w:rsidR="00161589" w:rsidRDefault="00161589" w:rsidP="00161589">
      <w:pPr>
        <w:pStyle w:val="FootnoteText"/>
      </w:pPr>
      <w:r>
        <w:rPr>
          <w:rStyle w:val="FootnoteReference"/>
        </w:rPr>
        <w:footnoteRef/>
      </w:r>
      <w:r>
        <w:t xml:space="preserve"> </w:t>
      </w:r>
      <w:proofErr w:type="gramStart"/>
      <w:r>
        <w:t>CNGC, October, 4, 2012, page 2.</w:t>
      </w:r>
      <w:proofErr w:type="gramEnd"/>
    </w:p>
  </w:footnote>
  <w:footnote w:id="70">
    <w:p w:rsidR="00161589" w:rsidRDefault="00161589" w:rsidP="00161589">
      <w:pPr>
        <w:pStyle w:val="FootnoteText"/>
      </w:pPr>
      <w:r>
        <w:rPr>
          <w:rStyle w:val="FootnoteReference"/>
        </w:rPr>
        <w:footnoteRef/>
      </w:r>
      <w:r>
        <w:t xml:space="preserve"> </w:t>
      </w:r>
      <w:proofErr w:type="gramStart"/>
      <w:r>
        <w:t>NWIGU, August 31, 2012, page 2.</w:t>
      </w:r>
      <w:proofErr w:type="gramEnd"/>
      <w:r>
        <w:t xml:space="preserve"> </w:t>
      </w:r>
    </w:p>
  </w:footnote>
  <w:footnote w:id="71">
    <w:p w:rsidR="00161589" w:rsidRDefault="00161589" w:rsidP="00161589">
      <w:pPr>
        <w:pStyle w:val="FootnoteText"/>
      </w:pPr>
      <w:r>
        <w:rPr>
          <w:rStyle w:val="FootnoteReference"/>
        </w:rPr>
        <w:footnoteRef/>
      </w:r>
      <w:r>
        <w:t xml:space="preserve"> </w:t>
      </w:r>
      <w:proofErr w:type="gramStart"/>
      <w:r>
        <w:t>PSE, October 5, 2012, page 7.</w:t>
      </w:r>
      <w:proofErr w:type="gramEnd"/>
    </w:p>
  </w:footnote>
  <w:footnote w:id="72">
    <w:p w:rsidR="00161589" w:rsidRDefault="00161589" w:rsidP="00161589">
      <w:pPr>
        <w:pStyle w:val="FootnoteText"/>
      </w:pPr>
      <w:r>
        <w:rPr>
          <w:rStyle w:val="FootnoteReference"/>
        </w:rPr>
        <w:footnoteRef/>
      </w:r>
      <w:r>
        <w:t xml:space="preserve"> </w:t>
      </w:r>
      <w:proofErr w:type="gramStart"/>
      <w:r>
        <w:t>CNGC, October 4, 2012, page 3.</w:t>
      </w:r>
      <w:proofErr w:type="gramEnd"/>
    </w:p>
  </w:footnote>
  <w:footnote w:id="73">
    <w:p w:rsidR="00161589" w:rsidRDefault="00161589" w:rsidP="00161589">
      <w:pPr>
        <w:pStyle w:val="FootnoteText"/>
      </w:pPr>
      <w:r>
        <w:rPr>
          <w:rStyle w:val="FootnoteReference"/>
        </w:rPr>
        <w:footnoteRef/>
      </w:r>
      <w:r>
        <w:t xml:space="preserve"> NW Natural, October 5, 2012, page 2.</w:t>
      </w:r>
    </w:p>
  </w:footnote>
  <w:footnote w:id="74">
    <w:p w:rsidR="00161589" w:rsidRDefault="00161589" w:rsidP="00161589">
      <w:pPr>
        <w:pStyle w:val="FootnoteText"/>
      </w:pPr>
      <w:r>
        <w:rPr>
          <w:rStyle w:val="FootnoteReference"/>
        </w:rPr>
        <w:footnoteRef/>
      </w:r>
      <w:r>
        <w:t xml:space="preserve"> The Energy Project, August 31, 2012, page 1.</w:t>
      </w:r>
    </w:p>
  </w:footnote>
  <w:footnote w:id="75">
    <w:p w:rsidR="00161589" w:rsidRDefault="00161589" w:rsidP="00161589">
      <w:pPr>
        <w:pStyle w:val="FootnoteText"/>
      </w:pPr>
      <w:r>
        <w:rPr>
          <w:rStyle w:val="FootnoteReference"/>
        </w:rPr>
        <w:footnoteRef/>
      </w:r>
      <w:r>
        <w:t xml:space="preserve"> The Energy Project, August 31, 2012, page 2.</w:t>
      </w:r>
    </w:p>
  </w:footnote>
  <w:footnote w:id="76">
    <w:p w:rsidR="00161589" w:rsidRDefault="00161589" w:rsidP="00161589">
      <w:pPr>
        <w:pStyle w:val="FootnoteText"/>
      </w:pPr>
      <w:r>
        <w:rPr>
          <w:rStyle w:val="FootnoteReference"/>
        </w:rPr>
        <w:footnoteRef/>
      </w:r>
      <w:r>
        <w:t xml:space="preserve"> Public Counsel, October 5, 2012, page 7.</w:t>
      </w:r>
    </w:p>
  </w:footnote>
  <w:footnote w:id="77">
    <w:p w:rsidR="00161589" w:rsidRDefault="00161589" w:rsidP="00161589">
      <w:pPr>
        <w:pStyle w:val="FootnoteText"/>
      </w:pPr>
      <w:r>
        <w:rPr>
          <w:rStyle w:val="FootnoteReference"/>
        </w:rPr>
        <w:footnoteRef/>
      </w:r>
      <w:r>
        <w:t xml:space="preserve"> </w:t>
      </w:r>
      <w:proofErr w:type="gramStart"/>
      <w:r>
        <w:t>PSE, October 5, 2012, page 5.</w:t>
      </w:r>
      <w:proofErr w:type="gramEnd"/>
    </w:p>
  </w:footnote>
  <w:footnote w:id="78">
    <w:p w:rsidR="00161589" w:rsidRDefault="00161589" w:rsidP="00161589">
      <w:pPr>
        <w:pStyle w:val="FootnoteText"/>
      </w:pPr>
      <w:r>
        <w:rPr>
          <w:rStyle w:val="FootnoteReference"/>
        </w:rPr>
        <w:footnoteRef/>
      </w:r>
      <w:r>
        <w:t xml:space="preserve"> </w:t>
      </w:r>
      <w:proofErr w:type="gramStart"/>
      <w:r>
        <w:t>NWIGU, August 31, 2012, page 3.</w:t>
      </w:r>
      <w:proofErr w:type="gramEnd"/>
      <w:r>
        <w:t xml:space="preserve"> </w:t>
      </w:r>
    </w:p>
  </w:footnote>
  <w:footnote w:id="79">
    <w:p w:rsidR="00161589" w:rsidRDefault="00161589" w:rsidP="00161589">
      <w:pPr>
        <w:pStyle w:val="FootnoteText"/>
      </w:pPr>
      <w:r>
        <w:rPr>
          <w:rStyle w:val="FootnoteReference"/>
        </w:rPr>
        <w:footnoteRef/>
      </w:r>
      <w:r>
        <w:t xml:space="preserve"> </w:t>
      </w:r>
      <w:proofErr w:type="gramStart"/>
      <w:r>
        <w:t>PSE, October 5, 2012, page 4.</w:t>
      </w:r>
      <w:proofErr w:type="gramEnd"/>
    </w:p>
  </w:footnote>
  <w:footnote w:id="80">
    <w:p w:rsidR="00161589" w:rsidRDefault="00161589" w:rsidP="00161589">
      <w:pPr>
        <w:pStyle w:val="FootnoteText"/>
      </w:pPr>
      <w:r>
        <w:rPr>
          <w:rStyle w:val="FootnoteReference"/>
        </w:rPr>
        <w:footnoteRef/>
      </w:r>
      <w:r>
        <w:t xml:space="preserve"> </w:t>
      </w:r>
      <w:proofErr w:type="gramStart"/>
      <w:r>
        <w:t>PSE, October 5, 2012, page 6-7.</w:t>
      </w:r>
      <w:proofErr w:type="gramEnd"/>
    </w:p>
  </w:footnote>
  <w:footnote w:id="81">
    <w:p w:rsidR="00161589" w:rsidRDefault="00161589" w:rsidP="00161589">
      <w:pPr>
        <w:pStyle w:val="FootnoteText"/>
      </w:pPr>
      <w:r>
        <w:rPr>
          <w:rStyle w:val="FootnoteReference"/>
        </w:rPr>
        <w:footnoteRef/>
      </w:r>
      <w:r>
        <w:t xml:space="preserve"> </w:t>
      </w:r>
      <w:proofErr w:type="gramStart"/>
      <w:r>
        <w:t>CNGC, August 31, 2012, page 1.</w:t>
      </w:r>
      <w:proofErr w:type="gramEnd"/>
      <w:r>
        <w:t xml:space="preserve">  </w:t>
      </w:r>
    </w:p>
  </w:footnote>
  <w:footnote w:id="82">
    <w:p w:rsidR="00161589" w:rsidRDefault="00161589" w:rsidP="00161589">
      <w:pPr>
        <w:pStyle w:val="FootnoteText"/>
      </w:pPr>
      <w:r>
        <w:rPr>
          <w:rStyle w:val="FootnoteReference"/>
        </w:rPr>
        <w:footnoteRef/>
      </w:r>
      <w:r>
        <w:t xml:space="preserve"> </w:t>
      </w:r>
      <w:proofErr w:type="gramStart"/>
      <w:r>
        <w:t>PSE, October 5, 2012, page 3.</w:t>
      </w:r>
      <w:proofErr w:type="gramEnd"/>
    </w:p>
  </w:footnote>
  <w:footnote w:id="83">
    <w:p w:rsidR="00161589" w:rsidRDefault="00161589" w:rsidP="00161589">
      <w:pPr>
        <w:pStyle w:val="FootnoteText"/>
      </w:pPr>
      <w:r>
        <w:rPr>
          <w:rStyle w:val="FootnoteReference"/>
        </w:rPr>
        <w:footnoteRef/>
      </w:r>
      <w:r>
        <w:t xml:space="preserve"> </w:t>
      </w:r>
      <w:proofErr w:type="gramStart"/>
      <w:r>
        <w:t>CNGC, October 4, 2012, page 3.</w:t>
      </w:r>
      <w:proofErr w:type="gramEnd"/>
    </w:p>
  </w:footnote>
  <w:footnote w:id="84">
    <w:p w:rsidR="00161589" w:rsidRDefault="00161589" w:rsidP="00161589">
      <w:pPr>
        <w:pStyle w:val="FootnoteText"/>
      </w:pPr>
      <w:r>
        <w:rPr>
          <w:rStyle w:val="FootnoteReference"/>
        </w:rPr>
        <w:footnoteRef/>
      </w:r>
      <w:r>
        <w:t xml:space="preserve"> NW Natural, August 31, 2012, page 5.</w:t>
      </w:r>
    </w:p>
  </w:footnote>
  <w:footnote w:id="85">
    <w:p w:rsidR="00161589" w:rsidRDefault="00161589" w:rsidP="00161589">
      <w:pPr>
        <w:pStyle w:val="FootnoteText"/>
      </w:pPr>
      <w:r>
        <w:rPr>
          <w:rStyle w:val="FootnoteReference"/>
        </w:rPr>
        <w:footnoteRef/>
      </w:r>
      <w:r>
        <w:t xml:space="preserve"> NW Natural, August 31, 2012, page 5.</w:t>
      </w:r>
    </w:p>
  </w:footnote>
  <w:footnote w:id="86">
    <w:p w:rsidR="00161589" w:rsidRDefault="00161589" w:rsidP="00161589">
      <w:pPr>
        <w:pStyle w:val="FootnoteText"/>
      </w:pPr>
      <w:r>
        <w:rPr>
          <w:rStyle w:val="FootnoteReference"/>
        </w:rPr>
        <w:footnoteRef/>
      </w:r>
      <w:r>
        <w:t xml:space="preserve"> NW Natural, August 31, 2012, page 5.</w:t>
      </w:r>
    </w:p>
  </w:footnote>
  <w:footnote w:id="87">
    <w:p w:rsidR="00161589" w:rsidRDefault="00161589" w:rsidP="00161589">
      <w:pPr>
        <w:pStyle w:val="FootnoteText"/>
      </w:pPr>
      <w:r>
        <w:rPr>
          <w:rStyle w:val="FootnoteReference"/>
        </w:rPr>
        <w:footnoteRef/>
      </w:r>
      <w:r>
        <w:t xml:space="preserve"> NW Natural, August 31, 2012, page 5.</w:t>
      </w:r>
    </w:p>
  </w:footnote>
  <w:footnote w:id="88">
    <w:p w:rsidR="00161589" w:rsidRDefault="00161589" w:rsidP="00161589">
      <w:pPr>
        <w:pStyle w:val="FootnoteText"/>
      </w:pPr>
      <w:r>
        <w:rPr>
          <w:rStyle w:val="FootnoteReference"/>
        </w:rPr>
        <w:footnoteRef/>
      </w:r>
      <w:r>
        <w:t xml:space="preserve"> </w:t>
      </w:r>
      <w:proofErr w:type="gramStart"/>
      <w:r>
        <w:t>Avista, August 31, 2012, page 2.</w:t>
      </w:r>
      <w:proofErr w:type="gramEnd"/>
    </w:p>
  </w:footnote>
  <w:footnote w:id="89">
    <w:p w:rsidR="00161589" w:rsidRDefault="00161589" w:rsidP="00161589">
      <w:pPr>
        <w:pStyle w:val="FootnoteText"/>
      </w:pPr>
      <w:r>
        <w:rPr>
          <w:rStyle w:val="FootnoteReference"/>
        </w:rPr>
        <w:footnoteRef/>
      </w:r>
      <w:r>
        <w:t xml:space="preserve"> </w:t>
      </w:r>
      <w:proofErr w:type="gramStart"/>
      <w:r>
        <w:t>Avista, August 31, 2012, page 3.</w:t>
      </w:r>
      <w:proofErr w:type="gramEnd"/>
    </w:p>
  </w:footnote>
  <w:footnote w:id="90">
    <w:p w:rsidR="00161589" w:rsidRDefault="00161589" w:rsidP="00161589">
      <w:pPr>
        <w:pStyle w:val="FootnoteText"/>
      </w:pPr>
      <w:r>
        <w:rPr>
          <w:rStyle w:val="FootnoteReference"/>
        </w:rPr>
        <w:footnoteRef/>
      </w:r>
      <w:r>
        <w:t xml:space="preserve"> </w:t>
      </w:r>
      <w:proofErr w:type="gramStart"/>
      <w:r>
        <w:t>Coalition, August 31, 2012, page3.</w:t>
      </w:r>
      <w:proofErr w:type="gramEnd"/>
    </w:p>
  </w:footnote>
  <w:footnote w:id="91">
    <w:p w:rsidR="00161589" w:rsidRDefault="00161589" w:rsidP="00161589">
      <w:pPr>
        <w:pStyle w:val="FootnoteText"/>
      </w:pPr>
      <w:r>
        <w:rPr>
          <w:rStyle w:val="FootnoteReference"/>
        </w:rPr>
        <w:footnoteRef/>
      </w:r>
      <w:r>
        <w:t xml:space="preserve"> </w:t>
      </w:r>
      <w:proofErr w:type="gramStart"/>
      <w:r>
        <w:t>NWIGU, August 31, 2012, page 3.</w:t>
      </w:r>
      <w:proofErr w:type="gramEnd"/>
    </w:p>
  </w:footnote>
  <w:footnote w:id="92">
    <w:p w:rsidR="00161589" w:rsidRDefault="00161589" w:rsidP="00161589">
      <w:pPr>
        <w:pStyle w:val="FootnoteText"/>
      </w:pPr>
      <w:r>
        <w:rPr>
          <w:rStyle w:val="FootnoteReference"/>
        </w:rPr>
        <w:footnoteRef/>
      </w:r>
      <w:r>
        <w:t xml:space="preserve"> Public Counsel, August 31, 2012, page 1-2.</w:t>
      </w:r>
    </w:p>
  </w:footnote>
  <w:footnote w:id="93">
    <w:p w:rsidR="00161589" w:rsidRDefault="00161589" w:rsidP="00161589">
      <w:pPr>
        <w:pStyle w:val="FootnoteText"/>
      </w:pPr>
      <w:r>
        <w:rPr>
          <w:rStyle w:val="FootnoteReference"/>
        </w:rPr>
        <w:footnoteRef/>
      </w:r>
      <w:r>
        <w:t xml:space="preserve"> Public Counsel, August 31, 2012, page 3.</w:t>
      </w:r>
    </w:p>
  </w:footnote>
  <w:footnote w:id="94">
    <w:p w:rsidR="00161589" w:rsidRDefault="00161589" w:rsidP="00161589">
      <w:pPr>
        <w:pStyle w:val="FootnoteText"/>
      </w:pPr>
      <w:r>
        <w:rPr>
          <w:rStyle w:val="FootnoteReference"/>
        </w:rPr>
        <w:footnoteRef/>
      </w:r>
      <w:r>
        <w:t xml:space="preserve"> Public Counsel, October 5, 2012, page 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127"/>
    <w:multiLevelType w:val="hybridMultilevel"/>
    <w:tmpl w:val="64A4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4481D"/>
    <w:multiLevelType w:val="hybridMultilevel"/>
    <w:tmpl w:val="A6081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E57BB0"/>
    <w:multiLevelType w:val="hybridMultilevel"/>
    <w:tmpl w:val="AFFE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C6105"/>
    <w:multiLevelType w:val="hybridMultilevel"/>
    <w:tmpl w:val="9A286F4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5D97739"/>
    <w:multiLevelType w:val="hybridMultilevel"/>
    <w:tmpl w:val="0F3A9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CA118E"/>
    <w:multiLevelType w:val="hybridMultilevel"/>
    <w:tmpl w:val="515E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DC64F0"/>
    <w:multiLevelType w:val="hybridMultilevel"/>
    <w:tmpl w:val="5336D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0C50F6"/>
    <w:multiLevelType w:val="hybridMultilevel"/>
    <w:tmpl w:val="8D88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513BA7"/>
    <w:multiLevelType w:val="hybridMultilevel"/>
    <w:tmpl w:val="7D2A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E709A0"/>
    <w:multiLevelType w:val="hybridMultilevel"/>
    <w:tmpl w:val="0262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3B4AD2"/>
    <w:multiLevelType w:val="hybridMultilevel"/>
    <w:tmpl w:val="367E0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AF5FAA"/>
    <w:multiLevelType w:val="hybridMultilevel"/>
    <w:tmpl w:val="9498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7A6380"/>
    <w:multiLevelType w:val="hybridMultilevel"/>
    <w:tmpl w:val="EA14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1174A7"/>
    <w:multiLevelType w:val="hybridMultilevel"/>
    <w:tmpl w:val="FAC02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A56CC7"/>
    <w:multiLevelType w:val="hybridMultilevel"/>
    <w:tmpl w:val="B21E9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61733"/>
    <w:multiLevelType w:val="hybridMultilevel"/>
    <w:tmpl w:val="70142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7835ED"/>
    <w:multiLevelType w:val="hybridMultilevel"/>
    <w:tmpl w:val="5860E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802214"/>
    <w:multiLevelType w:val="hybridMultilevel"/>
    <w:tmpl w:val="1630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FA331A"/>
    <w:multiLevelType w:val="hybridMultilevel"/>
    <w:tmpl w:val="4E22E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A654239"/>
    <w:multiLevelType w:val="hybridMultilevel"/>
    <w:tmpl w:val="A4EEDB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4A9F7B1A"/>
    <w:multiLevelType w:val="hybridMultilevel"/>
    <w:tmpl w:val="B79664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4E4B4776"/>
    <w:multiLevelType w:val="hybridMultilevel"/>
    <w:tmpl w:val="8B74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D1030F"/>
    <w:multiLevelType w:val="hybridMultilevel"/>
    <w:tmpl w:val="21B6B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61361C"/>
    <w:multiLevelType w:val="hybridMultilevel"/>
    <w:tmpl w:val="1310B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5C52E09"/>
    <w:multiLevelType w:val="hybridMultilevel"/>
    <w:tmpl w:val="727C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8F2A92"/>
    <w:multiLevelType w:val="hybridMultilevel"/>
    <w:tmpl w:val="DB60716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624F49F4"/>
    <w:multiLevelType w:val="hybridMultilevel"/>
    <w:tmpl w:val="BF92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74384B"/>
    <w:multiLevelType w:val="hybridMultilevel"/>
    <w:tmpl w:val="A53E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43185B"/>
    <w:multiLevelType w:val="hybridMultilevel"/>
    <w:tmpl w:val="2BE68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11105B"/>
    <w:multiLevelType w:val="hybridMultilevel"/>
    <w:tmpl w:val="91980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7F3961"/>
    <w:multiLevelType w:val="hybridMultilevel"/>
    <w:tmpl w:val="00425F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6EA6227C"/>
    <w:multiLevelType w:val="hybridMultilevel"/>
    <w:tmpl w:val="48D4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9137DD"/>
    <w:multiLevelType w:val="hybridMultilevel"/>
    <w:tmpl w:val="CBC0F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F32A13"/>
    <w:multiLevelType w:val="hybridMultilevel"/>
    <w:tmpl w:val="1780E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6E7589"/>
    <w:multiLevelType w:val="hybridMultilevel"/>
    <w:tmpl w:val="CAB29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B972DC"/>
    <w:multiLevelType w:val="hybridMultilevel"/>
    <w:tmpl w:val="4F920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59477F"/>
    <w:multiLevelType w:val="hybridMultilevel"/>
    <w:tmpl w:val="47EED3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nsid w:val="7F507B0C"/>
    <w:multiLevelType w:val="hybridMultilevel"/>
    <w:tmpl w:val="80D0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5"/>
  </w:num>
  <w:num w:numId="3">
    <w:abstractNumId w:val="33"/>
  </w:num>
  <w:num w:numId="4">
    <w:abstractNumId w:val="2"/>
  </w:num>
  <w:num w:numId="5">
    <w:abstractNumId w:val="10"/>
  </w:num>
  <w:num w:numId="6">
    <w:abstractNumId w:val="16"/>
  </w:num>
  <w:num w:numId="7">
    <w:abstractNumId w:val="36"/>
  </w:num>
  <w:num w:numId="8">
    <w:abstractNumId w:val="34"/>
  </w:num>
  <w:num w:numId="9">
    <w:abstractNumId w:val="20"/>
  </w:num>
  <w:num w:numId="10">
    <w:abstractNumId w:val="6"/>
  </w:num>
  <w:num w:numId="11">
    <w:abstractNumId w:val="8"/>
  </w:num>
  <w:num w:numId="12">
    <w:abstractNumId w:val="4"/>
  </w:num>
  <w:num w:numId="13">
    <w:abstractNumId w:val="31"/>
  </w:num>
  <w:num w:numId="14">
    <w:abstractNumId w:val="32"/>
  </w:num>
  <w:num w:numId="15">
    <w:abstractNumId w:val="1"/>
  </w:num>
  <w:num w:numId="16">
    <w:abstractNumId w:val="7"/>
  </w:num>
  <w:num w:numId="17">
    <w:abstractNumId w:val="0"/>
  </w:num>
  <w:num w:numId="18">
    <w:abstractNumId w:val="26"/>
  </w:num>
  <w:num w:numId="19">
    <w:abstractNumId w:val="23"/>
  </w:num>
  <w:num w:numId="20">
    <w:abstractNumId w:val="18"/>
  </w:num>
  <w:num w:numId="21">
    <w:abstractNumId w:val="37"/>
  </w:num>
  <w:num w:numId="22">
    <w:abstractNumId w:val="25"/>
  </w:num>
  <w:num w:numId="23">
    <w:abstractNumId w:val="27"/>
  </w:num>
  <w:num w:numId="24">
    <w:abstractNumId w:val="13"/>
  </w:num>
  <w:num w:numId="25">
    <w:abstractNumId w:val="24"/>
  </w:num>
  <w:num w:numId="26">
    <w:abstractNumId w:val="12"/>
  </w:num>
  <w:num w:numId="27">
    <w:abstractNumId w:val="17"/>
  </w:num>
  <w:num w:numId="28">
    <w:abstractNumId w:val="3"/>
  </w:num>
  <w:num w:numId="29">
    <w:abstractNumId w:val="11"/>
  </w:num>
  <w:num w:numId="30">
    <w:abstractNumId w:val="22"/>
  </w:num>
  <w:num w:numId="31">
    <w:abstractNumId w:val="9"/>
  </w:num>
  <w:num w:numId="32">
    <w:abstractNumId w:val="5"/>
  </w:num>
  <w:num w:numId="33">
    <w:abstractNumId w:val="30"/>
  </w:num>
  <w:num w:numId="34">
    <w:abstractNumId w:val="14"/>
  </w:num>
  <w:num w:numId="35">
    <w:abstractNumId w:val="28"/>
  </w:num>
  <w:num w:numId="36">
    <w:abstractNumId w:val="19"/>
  </w:num>
  <w:num w:numId="37">
    <w:abstractNumId w:val="21"/>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589"/>
    <w:rsid w:val="00030741"/>
    <w:rsid w:val="000E640C"/>
    <w:rsid w:val="00161589"/>
    <w:rsid w:val="001C5AB1"/>
    <w:rsid w:val="001E1D7A"/>
    <w:rsid w:val="002C039A"/>
    <w:rsid w:val="004F47ED"/>
    <w:rsid w:val="00552600"/>
    <w:rsid w:val="005A6C74"/>
    <w:rsid w:val="00672F7B"/>
    <w:rsid w:val="006A41EE"/>
    <w:rsid w:val="00A84C2A"/>
    <w:rsid w:val="00AD3312"/>
    <w:rsid w:val="00AE273E"/>
    <w:rsid w:val="00B13041"/>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589"/>
    <w:rPr>
      <w:rFonts w:ascii="Times New Roman" w:eastAsia="Times New Roman" w:hAnsi="Times New Roman" w:cs="Times New Roman"/>
      <w:sz w:val="24"/>
      <w:szCs w:val="24"/>
    </w:rPr>
  </w:style>
  <w:style w:type="paragraph" w:styleId="Heading1">
    <w:name w:val="heading 1"/>
    <w:basedOn w:val="Normal"/>
    <w:next w:val="Normal"/>
    <w:link w:val="Heading1Char"/>
    <w:qFormat/>
    <w:rsid w:val="00161589"/>
    <w:pPr>
      <w:keepNext/>
      <w:keepLines/>
      <w:spacing w:before="480"/>
      <w:outlineLvl w:val="0"/>
    </w:pPr>
    <w:rPr>
      <w:rFonts w:eastAsiaTheme="majorEastAsia" w:cstheme="majorBidi"/>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589"/>
    <w:rPr>
      <w:rFonts w:ascii="Times New Roman" w:eastAsiaTheme="majorEastAsia" w:hAnsi="Times New Roman" w:cstheme="majorBidi"/>
      <w:bCs/>
      <w:sz w:val="28"/>
      <w:szCs w:val="28"/>
      <w:u w:val="single"/>
    </w:rPr>
  </w:style>
  <w:style w:type="paragraph" w:styleId="Title">
    <w:name w:val="Title"/>
    <w:basedOn w:val="Normal"/>
    <w:link w:val="TitleChar"/>
    <w:qFormat/>
    <w:rsid w:val="00161589"/>
    <w:pPr>
      <w:jc w:val="center"/>
    </w:pPr>
    <w:rPr>
      <w:szCs w:val="20"/>
    </w:rPr>
  </w:style>
  <w:style w:type="character" w:customStyle="1" w:styleId="TitleChar">
    <w:name w:val="Title Char"/>
    <w:basedOn w:val="DefaultParagraphFont"/>
    <w:link w:val="Title"/>
    <w:rsid w:val="00161589"/>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rsid w:val="00161589"/>
    <w:rPr>
      <w:sz w:val="20"/>
      <w:szCs w:val="20"/>
    </w:rPr>
  </w:style>
  <w:style w:type="character" w:customStyle="1" w:styleId="FootnoteTextChar">
    <w:name w:val="Footnote Text Char"/>
    <w:basedOn w:val="DefaultParagraphFont"/>
    <w:link w:val="FootnoteText"/>
    <w:uiPriority w:val="99"/>
    <w:semiHidden/>
    <w:rsid w:val="00161589"/>
    <w:rPr>
      <w:rFonts w:ascii="Times New Roman" w:eastAsia="Times New Roman" w:hAnsi="Times New Roman" w:cs="Times New Roman"/>
      <w:sz w:val="20"/>
      <w:szCs w:val="20"/>
    </w:rPr>
  </w:style>
  <w:style w:type="character" w:styleId="FootnoteReference">
    <w:name w:val="footnote reference"/>
    <w:uiPriority w:val="99"/>
    <w:semiHidden/>
    <w:rsid w:val="00161589"/>
    <w:rPr>
      <w:vertAlign w:val="superscript"/>
    </w:rPr>
  </w:style>
  <w:style w:type="paragraph" w:styleId="ListParagraph">
    <w:name w:val="List Paragraph"/>
    <w:basedOn w:val="Normal"/>
    <w:uiPriority w:val="34"/>
    <w:qFormat/>
    <w:rsid w:val="00161589"/>
    <w:pPr>
      <w:ind w:left="720"/>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589"/>
    <w:rPr>
      <w:rFonts w:ascii="Times New Roman" w:eastAsia="Times New Roman" w:hAnsi="Times New Roman" w:cs="Times New Roman"/>
      <w:sz w:val="24"/>
      <w:szCs w:val="24"/>
    </w:rPr>
  </w:style>
  <w:style w:type="paragraph" w:styleId="Heading1">
    <w:name w:val="heading 1"/>
    <w:basedOn w:val="Normal"/>
    <w:next w:val="Normal"/>
    <w:link w:val="Heading1Char"/>
    <w:qFormat/>
    <w:rsid w:val="00161589"/>
    <w:pPr>
      <w:keepNext/>
      <w:keepLines/>
      <w:spacing w:before="480"/>
      <w:outlineLvl w:val="0"/>
    </w:pPr>
    <w:rPr>
      <w:rFonts w:eastAsiaTheme="majorEastAsia" w:cstheme="majorBidi"/>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589"/>
    <w:rPr>
      <w:rFonts w:ascii="Times New Roman" w:eastAsiaTheme="majorEastAsia" w:hAnsi="Times New Roman" w:cstheme="majorBidi"/>
      <w:bCs/>
      <w:sz w:val="28"/>
      <w:szCs w:val="28"/>
      <w:u w:val="single"/>
    </w:rPr>
  </w:style>
  <w:style w:type="paragraph" w:styleId="Title">
    <w:name w:val="Title"/>
    <w:basedOn w:val="Normal"/>
    <w:link w:val="TitleChar"/>
    <w:qFormat/>
    <w:rsid w:val="00161589"/>
    <w:pPr>
      <w:jc w:val="center"/>
    </w:pPr>
    <w:rPr>
      <w:szCs w:val="20"/>
    </w:rPr>
  </w:style>
  <w:style w:type="character" w:customStyle="1" w:styleId="TitleChar">
    <w:name w:val="Title Char"/>
    <w:basedOn w:val="DefaultParagraphFont"/>
    <w:link w:val="Title"/>
    <w:rsid w:val="00161589"/>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rsid w:val="00161589"/>
    <w:rPr>
      <w:sz w:val="20"/>
      <w:szCs w:val="20"/>
    </w:rPr>
  </w:style>
  <w:style w:type="character" w:customStyle="1" w:styleId="FootnoteTextChar">
    <w:name w:val="Footnote Text Char"/>
    <w:basedOn w:val="DefaultParagraphFont"/>
    <w:link w:val="FootnoteText"/>
    <w:uiPriority w:val="99"/>
    <w:semiHidden/>
    <w:rsid w:val="00161589"/>
    <w:rPr>
      <w:rFonts w:ascii="Times New Roman" w:eastAsia="Times New Roman" w:hAnsi="Times New Roman" w:cs="Times New Roman"/>
      <w:sz w:val="20"/>
      <w:szCs w:val="20"/>
    </w:rPr>
  </w:style>
  <w:style w:type="character" w:styleId="FootnoteReference">
    <w:name w:val="footnote reference"/>
    <w:uiPriority w:val="99"/>
    <w:semiHidden/>
    <w:rsid w:val="00161589"/>
    <w:rPr>
      <w:vertAlign w:val="superscript"/>
    </w:rPr>
  </w:style>
  <w:style w:type="paragraph" w:styleId="ListParagraph">
    <w:name w:val="List Paragraph"/>
    <w:basedOn w:val="Normal"/>
    <w:uiPriority w:val="34"/>
    <w:qFormat/>
    <w:rsid w:val="00161589"/>
    <w:pPr>
      <w:ind w:left="72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Rulemaking</CaseType>
    <IndustryCode xmlns="dc463f71-b30c-4ab2-9473-d307f9d35888">150</IndustryCode>
    <CaseStatus xmlns="dc463f71-b30c-4ab2-9473-d307f9d35888">Pending</CaseStatus>
    <OpenedDate xmlns="dc463f71-b30c-4ab2-9473-d307f9d35888">2012-07-20T07:00:00+00:00</OpenedDate>
    <Date1 xmlns="dc463f71-b30c-4ab2-9473-d307f9d35888">2012-11-16T08:00:00+00:00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121207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69DF439E91CC498A0358A75D779F91" ma:contentTypeVersion="139" ma:contentTypeDescription="" ma:contentTypeScope="" ma:versionID="3deab1e24ae15a9d4f350e9ab809c7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82F55503-5CA3-44D8-ACE8-D819C887E01C}"/>
</file>

<file path=customXml/itemProps2.xml><?xml version="1.0" encoding="utf-8"?>
<ds:datastoreItem xmlns:ds="http://schemas.openxmlformats.org/officeDocument/2006/customXml" ds:itemID="{76909A4A-D56F-456D-BDDC-596DA3BE6E22}"/>
</file>

<file path=customXml/itemProps3.xml><?xml version="1.0" encoding="utf-8"?>
<ds:datastoreItem xmlns:ds="http://schemas.openxmlformats.org/officeDocument/2006/customXml" ds:itemID="{59C5EF96-84BE-468B-BE62-7F4002896045}"/>
</file>

<file path=customXml/itemProps4.xml><?xml version="1.0" encoding="utf-8"?>
<ds:datastoreItem xmlns:ds="http://schemas.openxmlformats.org/officeDocument/2006/customXml" ds:itemID="{B6263C36-CF62-4C69-BB5D-32AD67F231FB}"/>
</file>

<file path=customXml/itemProps5.xml><?xml version="1.0" encoding="utf-8"?>
<ds:datastoreItem xmlns:ds="http://schemas.openxmlformats.org/officeDocument/2006/customXml" ds:itemID="{154BFF35-D91C-4D21-AB74-CB616096D467}"/>
</file>

<file path=docProps/app.xml><?xml version="1.0" encoding="utf-8"?>
<Properties xmlns="http://schemas.openxmlformats.org/officeDocument/2006/extended-properties" xmlns:vt="http://schemas.openxmlformats.org/officeDocument/2006/docPropsVTypes">
  <Template>Normal</Template>
  <TotalTime>5</TotalTime>
  <Pages>15</Pages>
  <Words>3264</Words>
  <Characters>18607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Kendra White</dc:creator>
  <cp:lastModifiedBy>Kendra White</cp:lastModifiedBy>
  <cp:revision>2</cp:revision>
  <dcterms:created xsi:type="dcterms:W3CDTF">2012-11-30T22:15:00Z</dcterms:created>
  <dcterms:modified xsi:type="dcterms:W3CDTF">2012-11-30T22:20:00Z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0x0101006E56B4D1795A2E4DB2F0B01679ED314A00D569DF439E91CC498A0358A75D779F91</vt:lpwstr>
  </property>
  <property fmtid="{D5CDD505-2E9C-101B-9397-08002B2CF9AE}" pid="3" name="_docset_NoMedatataSyncRequired">
    <vt:lpwstr>False</vt:lpwstr>
  </property>
</Properties>
</file>