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5F" w:rsidRDefault="00764A5F" w:rsidP="00487F2D">
      <w:r>
        <w:rPr>
          <w:noProof/>
        </w:rPr>
        <w:drawing>
          <wp:anchor distT="0" distB="0" distL="114300" distR="114300" simplePos="0" relativeHeight="251658240" behindDoc="0" locked="0" layoutInCell="1" allowOverlap="1">
            <wp:simplePos x="0" y="0"/>
            <wp:positionH relativeFrom="column">
              <wp:posOffset>704850</wp:posOffset>
            </wp:positionH>
            <wp:positionV relativeFrom="paragraph">
              <wp:posOffset>-628650</wp:posOffset>
            </wp:positionV>
            <wp:extent cx="4619625" cy="819150"/>
            <wp:effectExtent l="0" t="0" r="9525" b="0"/>
            <wp:wrapNone/>
            <wp:docPr id="2" name="Picture 0" descr="WALEA - letterhead 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LEA - letterhead spec.png"/>
                    <pic:cNvPicPr>
                      <a:picLocks noChangeAspect="1" noChangeArrowheads="1"/>
                    </pic:cNvPicPr>
                  </pic:nvPicPr>
                  <pic:blipFill>
                    <a:blip r:embed="rId5" cstate="print"/>
                    <a:srcRect/>
                    <a:stretch>
                      <a:fillRect/>
                    </a:stretch>
                  </pic:blipFill>
                  <pic:spPr bwMode="auto">
                    <a:xfrm>
                      <a:off x="0" y="0"/>
                      <a:ext cx="4619625" cy="819150"/>
                    </a:xfrm>
                    <a:prstGeom prst="rect">
                      <a:avLst/>
                    </a:prstGeom>
                    <a:noFill/>
                  </pic:spPr>
                </pic:pic>
              </a:graphicData>
            </a:graphic>
          </wp:anchor>
        </w:drawing>
      </w:r>
    </w:p>
    <w:p w:rsidR="00487F2D" w:rsidRDefault="00487F2D" w:rsidP="00764A5F">
      <w:pPr>
        <w:spacing w:after="0"/>
      </w:pPr>
      <w:r>
        <w:t xml:space="preserve">Commission Chair Jeffrey </w:t>
      </w:r>
      <w:proofErr w:type="spellStart"/>
      <w:r w:rsidRPr="00487F2D">
        <w:t>Goltz</w:t>
      </w:r>
      <w:proofErr w:type="spellEnd"/>
      <w:r w:rsidRPr="00487F2D">
        <w:t xml:space="preserve"> </w:t>
      </w:r>
      <w:bookmarkStart w:id="0" w:name="_GoBack"/>
      <w:bookmarkEnd w:id="0"/>
    </w:p>
    <w:p w:rsidR="0092034B" w:rsidRDefault="00487F2D" w:rsidP="00764A5F">
      <w:pPr>
        <w:spacing w:after="0"/>
      </w:pPr>
      <w:r>
        <w:t>Commissioner</w:t>
      </w:r>
      <w:r w:rsidRPr="00487F2D">
        <w:t xml:space="preserve"> Philip </w:t>
      </w:r>
      <w:r>
        <w:t>Jones</w:t>
      </w:r>
    </w:p>
    <w:p w:rsidR="0092034B" w:rsidRDefault="00487F2D" w:rsidP="00764A5F">
      <w:pPr>
        <w:spacing w:after="0"/>
      </w:pPr>
      <w:r w:rsidRPr="00487F2D">
        <w:t xml:space="preserve">Commissioners </w:t>
      </w:r>
      <w:r w:rsidR="0092034B">
        <w:t>Patrick</w:t>
      </w:r>
      <w:r w:rsidRPr="00487F2D">
        <w:t xml:space="preserve"> Oshie</w:t>
      </w:r>
    </w:p>
    <w:p w:rsidR="0092034B" w:rsidRDefault="0092034B" w:rsidP="00764A5F">
      <w:pPr>
        <w:spacing w:after="0"/>
      </w:pPr>
      <w:r>
        <w:t>Re:  Utility Interconnection Rules</w:t>
      </w:r>
    </w:p>
    <w:p w:rsidR="00764A5F" w:rsidRDefault="00764A5F" w:rsidP="00764A5F">
      <w:pPr>
        <w:spacing w:after="0"/>
      </w:pPr>
    </w:p>
    <w:p w:rsidR="0092034B" w:rsidRDefault="0092034B" w:rsidP="00487F2D">
      <w:r>
        <w:t>Commissioners,</w:t>
      </w:r>
    </w:p>
    <w:p w:rsidR="0092034B" w:rsidRDefault="0092034B" w:rsidP="004B5D6C">
      <w:pPr>
        <w:ind w:firstLine="720"/>
      </w:pPr>
      <w:r>
        <w:t>Washington State faces a crucial crossroads.  Should we lead in energy innovation, making the best use of our energy opportunities, preserving our competitiveness and pioneering a smarter</w:t>
      </w:r>
      <w:r w:rsidR="007A5F91">
        <w:t xml:space="preserve"> more diverse</w:t>
      </w:r>
      <w:r>
        <w:t xml:space="preserve"> grid? Or should we take it s</w:t>
      </w:r>
      <w:r w:rsidR="00337F2B">
        <w:t>low and let others lead the way?</w:t>
      </w:r>
    </w:p>
    <w:p w:rsidR="00764A5F" w:rsidRDefault="0092034B" w:rsidP="004B5D6C">
      <w:pPr>
        <w:ind w:firstLine="720"/>
      </w:pPr>
      <w:r>
        <w:t xml:space="preserve">The Commission sanctioned a joint IOU/public utility effort to explore improvements to the state’s </w:t>
      </w:r>
      <w:r w:rsidR="008F6007">
        <w:t>“</w:t>
      </w:r>
      <w:r>
        <w:t xml:space="preserve">Interconnection </w:t>
      </w:r>
      <w:r w:rsidR="008F6007">
        <w:t xml:space="preserve">to Electric Generator” </w:t>
      </w:r>
      <w:r>
        <w:t>rules</w:t>
      </w:r>
      <w:r w:rsidR="00B65F6E">
        <w:t>, which are intended to facilitate the interconnection of distributed generation (defined in Washington as under 5MW) to the electric grid</w:t>
      </w:r>
      <w:r>
        <w:t xml:space="preserve">.  Unfortunately, the draft proposal and report prefers caution and </w:t>
      </w:r>
      <w:r w:rsidR="007A5F91">
        <w:t>making a few changes that don’t even catch us up to states leading the way</w:t>
      </w:r>
      <w:r>
        <w:t>.</w:t>
      </w:r>
      <w:r w:rsidR="00337F2B">
        <w:t xml:space="preserve">  </w:t>
      </w:r>
    </w:p>
    <w:p w:rsidR="004B5D6C" w:rsidRDefault="004B5D6C" w:rsidP="004B5D6C">
      <w:pPr>
        <w:ind w:firstLine="720"/>
      </w:pPr>
      <w:r>
        <w:t xml:space="preserve">Distributed generation </w:t>
      </w:r>
      <w:r w:rsidR="00764A5F">
        <w:t xml:space="preserve">is an emerging sector composed of primarily small businesses.  Any participation in proceedings such as this </w:t>
      </w:r>
      <w:proofErr w:type="gramStart"/>
      <w:r w:rsidR="00764A5F">
        <w:t>are</w:t>
      </w:r>
      <w:proofErr w:type="gramEnd"/>
      <w:r w:rsidR="00764A5F">
        <w:t xml:space="preserve"> entirely volunteer whereas the others in the room are as a rule paid to be there.  Thus it is difficult for the industry to get an equal voice in these proceedings.</w:t>
      </w:r>
    </w:p>
    <w:p w:rsidR="00244D09" w:rsidRDefault="0092034B" w:rsidP="004B5D6C">
      <w:pPr>
        <w:ind w:firstLine="720"/>
      </w:pPr>
      <w:r>
        <w:t>The documents do represent modest progress especially for inverter</w:t>
      </w:r>
      <w:r w:rsidR="008F6007">
        <w:t>-</w:t>
      </w:r>
      <w:r>
        <w:t>based small</w:t>
      </w:r>
      <w:r w:rsidR="008F6007">
        <w:t>-scale</w:t>
      </w:r>
      <w:r>
        <w:t xml:space="preserve"> solar </w:t>
      </w:r>
      <w:proofErr w:type="spellStart"/>
      <w:proofErr w:type="gramStart"/>
      <w:r w:rsidR="008F6007">
        <w:t>pv</w:t>
      </w:r>
      <w:proofErr w:type="spellEnd"/>
      <w:proofErr w:type="gramEnd"/>
      <w:r w:rsidR="008F6007">
        <w:t xml:space="preserve"> </w:t>
      </w:r>
      <w:r>
        <w:t xml:space="preserve">on </w:t>
      </w:r>
      <w:r w:rsidR="008F6007">
        <w:t xml:space="preserve">residential and small commercial </w:t>
      </w:r>
      <w:r>
        <w:t xml:space="preserve">buildings.  The committee generally found that small systems can be connection to the system with modest oversight.  </w:t>
      </w:r>
    </w:p>
    <w:p w:rsidR="00244D09" w:rsidRDefault="00244D09" w:rsidP="004B5D6C">
      <w:pPr>
        <w:ind w:firstLine="720"/>
      </w:pPr>
      <w:r>
        <w:t>These interconnection improvements parallel other improvements to permitting, zoning and financing being made through the Rooftop Solar Challenge effort of consortium of cities and utilities.</w:t>
      </w:r>
    </w:p>
    <w:p w:rsidR="00244D09" w:rsidRDefault="00244D09" w:rsidP="004B5D6C">
      <w:pPr>
        <w:ind w:firstLine="360"/>
      </w:pPr>
      <w:r>
        <w:t xml:space="preserve">Unfortunately, for distributed generation </w:t>
      </w:r>
      <w:r w:rsidR="008F6007">
        <w:t xml:space="preserve">(particularly non-solar </w:t>
      </w:r>
      <w:proofErr w:type="spellStart"/>
      <w:proofErr w:type="gramStart"/>
      <w:r w:rsidR="008F6007">
        <w:t>pv</w:t>
      </w:r>
      <w:proofErr w:type="spellEnd"/>
      <w:proofErr w:type="gramEnd"/>
      <w:r w:rsidR="008F6007">
        <w:t xml:space="preserve">) </w:t>
      </w:r>
      <w:r>
        <w:t>above 10 k</w:t>
      </w:r>
      <w:r w:rsidR="008F6007">
        <w:t>W</w:t>
      </w:r>
      <w:r>
        <w:t xml:space="preserve"> the approach appears to put all </w:t>
      </w:r>
      <w:r w:rsidR="008F6007">
        <w:t xml:space="preserve">of </w:t>
      </w:r>
      <w:r>
        <w:t xml:space="preserve">the burden on anyone hoping to explore distributed energy production.  The current draft requires the applicant to fully pay the </w:t>
      </w:r>
      <w:r w:rsidR="00453621">
        <w:t xml:space="preserve">full </w:t>
      </w:r>
      <w:r>
        <w:t>costs of:</w:t>
      </w:r>
    </w:p>
    <w:p w:rsidR="00244D09" w:rsidRDefault="00244D09" w:rsidP="00244D09">
      <w:pPr>
        <w:pStyle w:val="ListParagraph"/>
        <w:numPr>
          <w:ilvl w:val="0"/>
          <w:numId w:val="1"/>
        </w:numPr>
      </w:pPr>
      <w:r>
        <w:t>Understanding the current state of the local ut</w:t>
      </w:r>
      <w:r w:rsidR="00453621">
        <w:t>i</w:t>
      </w:r>
      <w:r>
        <w:t xml:space="preserve">lity system </w:t>
      </w:r>
      <w:r w:rsidR="00453621">
        <w:t xml:space="preserve">(voltages and other operating conditions) </w:t>
      </w:r>
      <w:r>
        <w:t>to see if distributed generation could be accommodated;</w:t>
      </w:r>
    </w:p>
    <w:p w:rsidR="00244D09" w:rsidRDefault="00244D09" w:rsidP="00244D09">
      <w:pPr>
        <w:pStyle w:val="ListParagraph"/>
        <w:numPr>
          <w:ilvl w:val="0"/>
          <w:numId w:val="1"/>
        </w:numPr>
      </w:pPr>
      <w:r>
        <w:t>Studying what upgrades would be necessary to accommodate new distributed generation;</w:t>
      </w:r>
    </w:p>
    <w:p w:rsidR="00244D09" w:rsidRDefault="00244D09" w:rsidP="00244D09">
      <w:pPr>
        <w:pStyle w:val="ListParagraph"/>
        <w:numPr>
          <w:ilvl w:val="0"/>
          <w:numId w:val="1"/>
        </w:numPr>
      </w:pPr>
      <w:r>
        <w:t>Paying for any upgrades necessary;</w:t>
      </w:r>
    </w:p>
    <w:p w:rsidR="00244D09" w:rsidRDefault="00244D09" w:rsidP="00244D09">
      <w:pPr>
        <w:pStyle w:val="ListParagraph"/>
        <w:numPr>
          <w:ilvl w:val="0"/>
          <w:numId w:val="1"/>
        </w:numPr>
      </w:pPr>
      <w:r>
        <w:t>Insuring the utility system for any damage resulting from an interconnection.</w:t>
      </w:r>
    </w:p>
    <w:p w:rsidR="00244D09" w:rsidRDefault="00244D09" w:rsidP="007A5F91">
      <w:pPr>
        <w:ind w:firstLine="360"/>
      </w:pPr>
      <w:r>
        <w:t xml:space="preserve">Initiative 937 was passed by voters to supplement the energy system with all cost-effective efficiency and new renewable energy production as the best way to retain the competitive advantages created by the development of the northwest power system.  </w:t>
      </w:r>
      <w:r w:rsidR="00B40359">
        <w:t>The initiative provides double credit for renewable resources under 5 megawatts to reward local investment.</w:t>
      </w:r>
    </w:p>
    <w:p w:rsidR="00B40359" w:rsidRDefault="00125372" w:rsidP="004B5D6C">
      <w:pPr>
        <w:ind w:firstLine="360"/>
      </w:pPr>
      <w:r>
        <w:lastRenderedPageBreak/>
        <w:t>We do not advocate automatic connection to local utility systems with no analysis</w:t>
      </w:r>
      <w:r w:rsidR="00FB100C">
        <w:t xml:space="preserve"> or strategy</w:t>
      </w:r>
      <w:r>
        <w:t xml:space="preserve">.  What we seek are clear standards, a defined process and a reasonable sharing of the costs </w:t>
      </w:r>
      <w:r w:rsidR="00B65F6E">
        <w:t xml:space="preserve">and benefits </w:t>
      </w:r>
      <w:r>
        <w:t>of adding new distributed generation to the utility system.   We want Washington State to be a leader in creating a more distributed, efficient and reliable energy system to maintain our competitiveness.</w:t>
      </w:r>
    </w:p>
    <w:p w:rsidR="003826A5" w:rsidRDefault="003826A5" w:rsidP="003826A5">
      <w:pPr>
        <w:ind w:firstLine="720"/>
      </w:pPr>
      <w:r>
        <w:t xml:space="preserve">Our hope is that sensible interconnection standards will create a level playing field for </w:t>
      </w:r>
      <w:r w:rsidR="00B65F6E">
        <w:t xml:space="preserve">beneficial </w:t>
      </w:r>
      <w:r>
        <w:t>distributed generation projects.  We are mindful that it will be necessary for the commission to consider ensuring that utilities are rewarded for improving the energy system and allowing distributed generation to connect to the system.  The opportunity to make better use of energy resources and develop new revenue streams will be vital to keep the northwest economy competitive and may be the only way many companies can continue.</w:t>
      </w:r>
    </w:p>
    <w:p w:rsidR="00764A5F" w:rsidRDefault="00764A5F" w:rsidP="003826A5">
      <w:pPr>
        <w:ind w:firstLine="720"/>
      </w:pPr>
      <w:r>
        <w:t>WALEA’s original comments had the overarching theme that these proceedings should result in at minimum Washington adopting the most enabling practices from other states.</w:t>
      </w:r>
      <w:r w:rsidR="00B37945">
        <w:t xml:space="preserve">  Five points were focused on:</w:t>
      </w:r>
    </w:p>
    <w:p w:rsidR="00B37945" w:rsidRPr="000626B8" w:rsidRDefault="00B37945" w:rsidP="00B37945">
      <w:pPr>
        <w:pStyle w:val="Default"/>
        <w:numPr>
          <w:ilvl w:val="0"/>
          <w:numId w:val="2"/>
        </w:numPr>
        <w:rPr>
          <w:rFonts w:ascii="Calibri" w:hAnsi="Calibri"/>
          <w:b/>
          <w:sz w:val="22"/>
          <w:szCs w:val="22"/>
        </w:rPr>
      </w:pPr>
      <w:r w:rsidRPr="000626B8">
        <w:rPr>
          <w:rFonts w:ascii="Calibri" w:hAnsi="Calibri"/>
          <w:b/>
          <w:sz w:val="22"/>
          <w:szCs w:val="22"/>
        </w:rPr>
        <w:t>Insurance</w:t>
      </w:r>
      <w:r>
        <w:rPr>
          <w:rFonts w:ascii="Calibri" w:hAnsi="Calibri"/>
          <w:b/>
          <w:sz w:val="22"/>
          <w:szCs w:val="22"/>
        </w:rPr>
        <w:t xml:space="preserve">, </w:t>
      </w:r>
      <w:r>
        <w:rPr>
          <w:rFonts w:ascii="Calibri" w:hAnsi="Calibri"/>
          <w:sz w:val="22"/>
          <w:szCs w:val="22"/>
        </w:rPr>
        <w:t>currently utilities have unlimited discretion to require insurance from non net metered distributed generators, though the actual risk to utilities is miniscule.  Insurance products available are unreasonably expensive with premiums that can exceed the value of power produced.</w:t>
      </w:r>
    </w:p>
    <w:p w:rsidR="00B37945" w:rsidRPr="000626B8" w:rsidRDefault="00B37945" w:rsidP="00B37945">
      <w:pPr>
        <w:pStyle w:val="Default"/>
        <w:numPr>
          <w:ilvl w:val="0"/>
          <w:numId w:val="2"/>
        </w:numPr>
        <w:rPr>
          <w:rFonts w:ascii="Calibri" w:hAnsi="Calibri"/>
          <w:b/>
          <w:sz w:val="22"/>
          <w:szCs w:val="22"/>
        </w:rPr>
      </w:pPr>
      <w:r w:rsidRPr="000626B8">
        <w:rPr>
          <w:rFonts w:ascii="Calibri" w:hAnsi="Calibri"/>
          <w:b/>
          <w:sz w:val="22"/>
          <w:szCs w:val="22"/>
        </w:rPr>
        <w:t>Redundant Disconnect Switch</w:t>
      </w:r>
      <w:r>
        <w:rPr>
          <w:rFonts w:ascii="Calibri" w:hAnsi="Calibri"/>
          <w:b/>
          <w:sz w:val="22"/>
          <w:szCs w:val="22"/>
        </w:rPr>
        <w:t xml:space="preserve">, </w:t>
      </w:r>
      <w:r>
        <w:rPr>
          <w:rFonts w:ascii="Calibri" w:hAnsi="Calibri"/>
          <w:sz w:val="22"/>
          <w:szCs w:val="22"/>
        </w:rPr>
        <w:t>this is not required in other states and has been shown to be superfluous.</w:t>
      </w:r>
    </w:p>
    <w:p w:rsidR="00B37945" w:rsidRPr="000626B8" w:rsidRDefault="00B37945" w:rsidP="00B37945">
      <w:pPr>
        <w:pStyle w:val="Default"/>
        <w:numPr>
          <w:ilvl w:val="0"/>
          <w:numId w:val="2"/>
        </w:numPr>
        <w:rPr>
          <w:rFonts w:ascii="Calibri" w:hAnsi="Calibri"/>
          <w:b/>
          <w:sz w:val="22"/>
          <w:szCs w:val="22"/>
        </w:rPr>
      </w:pPr>
      <w:r w:rsidRPr="000626B8">
        <w:rPr>
          <w:rFonts w:ascii="Calibri" w:hAnsi="Calibri"/>
          <w:b/>
          <w:sz w:val="22"/>
          <w:szCs w:val="22"/>
        </w:rPr>
        <w:t>Direct Transfer Trip</w:t>
      </w:r>
      <w:r>
        <w:rPr>
          <w:rFonts w:ascii="Calibri" w:hAnsi="Calibri"/>
          <w:b/>
          <w:sz w:val="22"/>
          <w:szCs w:val="22"/>
        </w:rPr>
        <w:t xml:space="preserve">, </w:t>
      </w:r>
      <w:r>
        <w:rPr>
          <w:rFonts w:ascii="Calibri" w:hAnsi="Calibri"/>
          <w:sz w:val="22"/>
          <w:szCs w:val="22"/>
        </w:rPr>
        <w:t xml:space="preserve">requiring direct transfer trip as a matter of policy rather than in cases of proven need </w:t>
      </w:r>
    </w:p>
    <w:p w:rsidR="00B37945" w:rsidRPr="000626B8" w:rsidRDefault="00B37945" w:rsidP="00B37945">
      <w:pPr>
        <w:pStyle w:val="Default"/>
        <w:numPr>
          <w:ilvl w:val="0"/>
          <w:numId w:val="2"/>
        </w:numPr>
        <w:rPr>
          <w:rFonts w:ascii="Calibri" w:hAnsi="Calibri"/>
          <w:b/>
          <w:sz w:val="22"/>
          <w:szCs w:val="22"/>
        </w:rPr>
      </w:pPr>
      <w:r>
        <w:rPr>
          <w:rFonts w:ascii="Calibri" w:hAnsi="Calibri"/>
          <w:b/>
          <w:sz w:val="22"/>
          <w:szCs w:val="22"/>
        </w:rPr>
        <w:t xml:space="preserve">Studies, </w:t>
      </w:r>
      <w:r>
        <w:rPr>
          <w:rFonts w:ascii="Calibri" w:hAnsi="Calibri"/>
          <w:sz w:val="22"/>
          <w:szCs w:val="22"/>
        </w:rPr>
        <w:t xml:space="preserve">currently utilities have unlimited freedom to study their own system at an </w:t>
      </w:r>
      <w:proofErr w:type="spellStart"/>
      <w:r>
        <w:rPr>
          <w:rFonts w:ascii="Calibri" w:hAnsi="Calibri"/>
          <w:sz w:val="22"/>
          <w:szCs w:val="22"/>
        </w:rPr>
        <w:t>applicants</w:t>
      </w:r>
      <w:proofErr w:type="spellEnd"/>
      <w:r>
        <w:rPr>
          <w:rFonts w:ascii="Calibri" w:hAnsi="Calibri"/>
          <w:sz w:val="22"/>
          <w:szCs w:val="22"/>
        </w:rPr>
        <w:t xml:space="preserve"> expense.</w:t>
      </w:r>
    </w:p>
    <w:p w:rsidR="00B37945" w:rsidRPr="007A5F91" w:rsidRDefault="00B37945" w:rsidP="007A5F91">
      <w:pPr>
        <w:pStyle w:val="Default"/>
        <w:numPr>
          <w:ilvl w:val="0"/>
          <w:numId w:val="2"/>
        </w:numPr>
        <w:rPr>
          <w:rFonts w:ascii="Calibri" w:hAnsi="Calibri"/>
          <w:b/>
          <w:sz w:val="22"/>
          <w:szCs w:val="22"/>
        </w:rPr>
      </w:pPr>
      <w:r w:rsidRPr="000626B8">
        <w:rPr>
          <w:rFonts w:ascii="Calibri" w:hAnsi="Calibri"/>
          <w:b/>
          <w:sz w:val="22"/>
          <w:szCs w:val="22"/>
        </w:rPr>
        <w:t>Process</w:t>
      </w:r>
      <w:r>
        <w:rPr>
          <w:rFonts w:ascii="Calibri" w:hAnsi="Calibri"/>
          <w:b/>
          <w:sz w:val="22"/>
          <w:szCs w:val="22"/>
        </w:rPr>
        <w:t xml:space="preserve">, </w:t>
      </w:r>
      <w:r>
        <w:rPr>
          <w:rFonts w:ascii="Calibri" w:hAnsi="Calibri"/>
          <w:sz w:val="22"/>
          <w:szCs w:val="22"/>
        </w:rPr>
        <w:t>simpler standard processes are needed to make DG a normal part of utility operations.</w:t>
      </w:r>
      <w:r w:rsidR="007A5F91">
        <w:rPr>
          <w:rFonts w:ascii="Calibri" w:hAnsi="Calibri"/>
          <w:sz w:val="22"/>
          <w:szCs w:val="22"/>
        </w:rPr>
        <w:br/>
      </w:r>
    </w:p>
    <w:p w:rsidR="00764A5F" w:rsidRDefault="00FF2404" w:rsidP="003826A5">
      <w:pPr>
        <w:ind w:firstLine="720"/>
      </w:pPr>
      <w:r>
        <w:t xml:space="preserve">Every one of these points has the potential to be abused by a utility in </w:t>
      </w:r>
      <w:r w:rsidR="007602CC">
        <w:t>preventing</w:t>
      </w:r>
      <w:r>
        <w:t xml:space="preserve"> distributed generation on their system.</w:t>
      </w:r>
      <w:r w:rsidR="007A5F91">
        <w:t xml:space="preserve">  Progress was made</w:t>
      </w:r>
      <w:r w:rsidR="007602CC">
        <w:t xml:space="preserve"> in the WAPUDA interlude but we </w:t>
      </w:r>
      <w:r w:rsidR="007A5F91">
        <w:t>need more.</w:t>
      </w:r>
    </w:p>
    <w:p w:rsidR="00FF2404" w:rsidRPr="007A5F91" w:rsidRDefault="00FF2404" w:rsidP="00FF2404">
      <w:pPr>
        <w:pStyle w:val="ListParagraph"/>
        <w:numPr>
          <w:ilvl w:val="0"/>
          <w:numId w:val="3"/>
        </w:numPr>
      </w:pPr>
      <w:r w:rsidRPr="007A5F91">
        <w:t xml:space="preserve">The Rule developed in the WAPUDA process does nothing to address the insurance issue.  </w:t>
      </w:r>
      <w:proofErr w:type="gramStart"/>
      <w:r w:rsidR="007A5F91">
        <w:t>Bad</w:t>
      </w:r>
      <w:r w:rsidR="00505315">
        <w:t xml:space="preserve">  (</w:t>
      </w:r>
      <w:proofErr w:type="gramEnd"/>
      <w:r w:rsidR="00505315">
        <w:t>Utilities need to insure themselves, at 1/1000 the cost for applicants to provide insurance, for the hypothetical potential for harm from distributed generators).</w:t>
      </w:r>
    </w:p>
    <w:p w:rsidR="00FF2404" w:rsidRPr="007A5F91" w:rsidRDefault="00FF2404" w:rsidP="00FF2404">
      <w:pPr>
        <w:pStyle w:val="ListParagraph"/>
        <w:numPr>
          <w:ilvl w:val="0"/>
          <w:numId w:val="3"/>
        </w:numPr>
      </w:pPr>
      <w:r w:rsidRPr="007A5F91">
        <w:t xml:space="preserve">The Rule does provide some options to the utility around the disconnect switch but leaves it to the utility.  </w:t>
      </w:r>
      <w:r w:rsidR="00505315">
        <w:t xml:space="preserve">Middling </w:t>
      </w:r>
    </w:p>
    <w:p w:rsidR="00FF2404" w:rsidRPr="007A5F91" w:rsidRDefault="00FF2404" w:rsidP="00FF2404">
      <w:pPr>
        <w:pStyle w:val="ListParagraph"/>
        <w:numPr>
          <w:ilvl w:val="0"/>
          <w:numId w:val="3"/>
        </w:numPr>
      </w:pPr>
      <w:r w:rsidRPr="007A5F91">
        <w:t>The Rule does have language similar to California’s rule 20 which limits direct transfer trip to situations in which it is actually necessary.</w:t>
      </w:r>
      <w:r w:rsidR="007A5F91">
        <w:t xml:space="preserve">  Good</w:t>
      </w:r>
    </w:p>
    <w:p w:rsidR="00FF2404" w:rsidRPr="007A5F91" w:rsidRDefault="007A5F91" w:rsidP="00FF2404">
      <w:pPr>
        <w:pStyle w:val="ListParagraph"/>
        <w:numPr>
          <w:ilvl w:val="0"/>
          <w:numId w:val="3"/>
        </w:numPr>
      </w:pPr>
      <w:r w:rsidRPr="007A5F91">
        <w:t>The R</w:t>
      </w:r>
      <w:r w:rsidR="00FF2404" w:rsidRPr="007A5F91">
        <w:t>ule does little to limit the utility’s ability to charge an interconnection customer for understanding their own system</w:t>
      </w:r>
      <w:r>
        <w:t>.  Bad</w:t>
      </w:r>
      <w:r w:rsidR="00505315">
        <w:t xml:space="preserve"> (Standard per KW interconnection fees should be set)</w:t>
      </w:r>
    </w:p>
    <w:p w:rsidR="00505315" w:rsidRDefault="007A5F91" w:rsidP="00505315">
      <w:pPr>
        <w:pStyle w:val="ListParagraph"/>
        <w:numPr>
          <w:ilvl w:val="0"/>
          <w:numId w:val="3"/>
        </w:numPr>
      </w:pPr>
      <w:r w:rsidRPr="007A5F91">
        <w:t>The R</w:t>
      </w:r>
      <w:r w:rsidR="00FF2404" w:rsidRPr="007A5F91">
        <w:t xml:space="preserve">ule proposed </w:t>
      </w:r>
      <w:r w:rsidRPr="007A5F91">
        <w:t xml:space="preserve">a </w:t>
      </w:r>
      <w:r w:rsidR="0033297A">
        <w:t xml:space="preserve">tiered interconnection </w:t>
      </w:r>
      <w:r w:rsidRPr="007A5F91">
        <w:t>process similar</w:t>
      </w:r>
      <w:r w:rsidR="00FF2404" w:rsidRPr="007A5F91">
        <w:t xml:space="preserve"> to those recommended</w:t>
      </w:r>
      <w:r w:rsidRPr="007A5F91">
        <w:t>.</w:t>
      </w:r>
      <w:r>
        <w:t xml:space="preserve">  Good</w:t>
      </w:r>
      <w:r w:rsidR="0033297A">
        <w:t xml:space="preserve">  (two small edits on tier 2 applicability, the first word on point 8 should be ‘If’ instead of ‘Is’, and on point 6 it should make clear that a synchronous generator passing through an inverter is ok</w:t>
      </w:r>
      <w:r w:rsidR="00AC4670">
        <w:t xml:space="preserve"> for tier 2</w:t>
      </w:r>
      <w:r w:rsidR="0033297A">
        <w:t>)</w:t>
      </w:r>
    </w:p>
    <w:p w:rsidR="00505315" w:rsidRDefault="00505315" w:rsidP="00505315">
      <w:pPr>
        <w:ind w:firstLine="360"/>
      </w:pPr>
    </w:p>
    <w:p w:rsidR="00505315" w:rsidRDefault="00505315" w:rsidP="00505315">
      <w:pPr>
        <w:ind w:firstLine="360"/>
      </w:pPr>
      <w:r>
        <w:lastRenderedPageBreak/>
        <w:t xml:space="preserve">We feel the role of a utility needs to evolve to include </w:t>
      </w:r>
      <w:r w:rsidR="007602CC">
        <w:t xml:space="preserve">serving </w:t>
      </w:r>
      <w:r>
        <w:t xml:space="preserve">all of their customers including the ones that generate electricity.  The utilities should have an understanding of their own systems at their own cost, they should have insurance that covers liability of having distributed generation tied to the system (they typically do </w:t>
      </w:r>
      <w:r w:rsidR="007602CC">
        <w:t xml:space="preserve">already </w:t>
      </w:r>
      <w:r>
        <w:t xml:space="preserve">and it is the ‘self-insured’ portion of their policy they seek to cover with requirements of applicants), and that the cost </w:t>
      </w:r>
      <w:r w:rsidR="007602CC">
        <w:t>of s</w:t>
      </w:r>
      <w:r>
        <w:t>ystem</w:t>
      </w:r>
      <w:r w:rsidR="007602CC">
        <w:t xml:space="preserve"> upgrades should be shared fairl</w:t>
      </w:r>
      <w:r>
        <w:t>y with DG generators split along the lines of improvements necessary for that individual generator and those necessary to ready the distribution system in general for DG.</w:t>
      </w:r>
    </w:p>
    <w:p w:rsidR="00867BAE" w:rsidRDefault="00867BAE" w:rsidP="003826A5">
      <w:pPr>
        <w:ind w:firstLine="720"/>
      </w:pPr>
      <w:r>
        <w:t xml:space="preserve">The promise of distributed generation is huge, but can only be achieved if the framework </w:t>
      </w:r>
      <w:r w:rsidR="00B65F6E">
        <w:t xml:space="preserve">is </w:t>
      </w:r>
      <w:r>
        <w:t>clear, solid and fair.  We have the opportunity to be a leader in developing the power system of the future – we should embrace it.</w:t>
      </w:r>
    </w:p>
    <w:p w:rsidR="00487F2D" w:rsidRDefault="00867BAE" w:rsidP="00867BAE">
      <w:pPr>
        <w:ind w:firstLine="720"/>
      </w:pPr>
      <w:r>
        <w:t>Sincerely,</w:t>
      </w:r>
      <w:r w:rsidR="00487F2D">
        <w:t xml:space="preserve"> </w:t>
      </w:r>
    </w:p>
    <w:p w:rsidR="005A7ECA" w:rsidRDefault="005A7ECA" w:rsidP="004A4AC7">
      <w:pPr>
        <w:spacing w:after="0"/>
        <w:sectPr w:rsidR="005A7ECA" w:rsidSect="006E5E15">
          <w:pgSz w:w="12240" w:h="15840"/>
          <w:pgMar w:top="1440" w:right="1440" w:bottom="1440" w:left="1440" w:header="720" w:footer="720" w:gutter="0"/>
          <w:cols w:space="720"/>
          <w:docGrid w:linePitch="360"/>
        </w:sectPr>
      </w:pPr>
    </w:p>
    <w:p w:rsidR="004A4AC7" w:rsidRDefault="004A4AC7" w:rsidP="004A4AC7">
      <w:pPr>
        <w:spacing w:after="0"/>
      </w:pPr>
      <w:r>
        <w:lastRenderedPageBreak/>
        <w:t>Local Energy Alliance of Washington</w:t>
      </w:r>
    </w:p>
    <w:p w:rsidR="005A7ECA" w:rsidRDefault="005A7ECA" w:rsidP="005A7ECA">
      <w:pPr>
        <w:spacing w:after="0"/>
      </w:pPr>
      <w:r>
        <w:t>Solar Washington, Bellingham chapter</w:t>
      </w:r>
    </w:p>
    <w:p w:rsidR="004A4AC7" w:rsidRDefault="004A4AC7" w:rsidP="004A4AC7">
      <w:pPr>
        <w:spacing w:after="0"/>
      </w:pPr>
      <w:r>
        <w:t>Cascade Community Wind Company</w:t>
      </w:r>
    </w:p>
    <w:p w:rsidR="004A4AC7" w:rsidRDefault="004A4AC7" w:rsidP="004A4AC7">
      <w:pPr>
        <w:spacing w:after="0"/>
      </w:pPr>
      <w:r>
        <w:t>Convivium Renewable Energy</w:t>
      </w:r>
    </w:p>
    <w:p w:rsidR="004A4AC7" w:rsidRDefault="004A4AC7" w:rsidP="004A4AC7">
      <w:pPr>
        <w:spacing w:after="0"/>
      </w:pPr>
      <w:r>
        <w:t>Whole Energy</w:t>
      </w:r>
    </w:p>
    <w:p w:rsidR="000C49ED" w:rsidRDefault="000C49ED" w:rsidP="004A4AC7">
      <w:pPr>
        <w:spacing w:after="0"/>
      </w:pPr>
      <w:r w:rsidRPr="000C49ED">
        <w:t>Artisan Electric</w:t>
      </w:r>
    </w:p>
    <w:p w:rsidR="000C49ED" w:rsidRDefault="000C49ED" w:rsidP="004A4AC7">
      <w:pPr>
        <w:spacing w:after="0"/>
      </w:pPr>
      <w:r w:rsidRPr="000C49ED">
        <w:t>A &amp; R Solar Corp</w:t>
      </w:r>
    </w:p>
    <w:p w:rsidR="005A7ECA" w:rsidRDefault="005A7ECA" w:rsidP="004A4AC7">
      <w:pPr>
        <w:spacing w:after="0"/>
      </w:pPr>
      <w:r w:rsidRPr="005A7ECA">
        <w:t>Winter Sun Design</w:t>
      </w:r>
    </w:p>
    <w:p w:rsidR="000C49ED" w:rsidRDefault="000C49ED" w:rsidP="004A4AC7">
      <w:pPr>
        <w:spacing w:after="0"/>
      </w:pPr>
      <w:r>
        <w:t>Tangerine Solar</w:t>
      </w:r>
    </w:p>
    <w:p w:rsidR="000C49ED" w:rsidRDefault="00580208" w:rsidP="004A4AC7">
      <w:pPr>
        <w:spacing w:after="0"/>
      </w:pPr>
      <w:proofErr w:type="spellStart"/>
      <w:r>
        <w:t>Ecotech</w:t>
      </w:r>
      <w:proofErr w:type="spellEnd"/>
      <w:r>
        <w:t xml:space="preserve"> </w:t>
      </w:r>
      <w:proofErr w:type="gramStart"/>
      <w:r>
        <w:t>Energy  Systems</w:t>
      </w:r>
      <w:proofErr w:type="gramEnd"/>
    </w:p>
    <w:p w:rsidR="009868A1" w:rsidRDefault="009E2609" w:rsidP="004A4AC7">
      <w:pPr>
        <w:spacing w:after="0"/>
      </w:pPr>
      <w:r w:rsidRPr="009E2609">
        <w:t>Power Trip Energy Corp</w:t>
      </w:r>
    </w:p>
    <w:p w:rsidR="009868A1" w:rsidRDefault="009868A1" w:rsidP="004A4AC7">
      <w:pPr>
        <w:spacing w:after="0"/>
      </w:pPr>
      <w:r>
        <w:t>Cascade Power Group</w:t>
      </w:r>
    </w:p>
    <w:p w:rsidR="00FB100C" w:rsidRDefault="00FB100C" w:rsidP="004A4AC7">
      <w:pPr>
        <w:spacing w:after="0"/>
      </w:pPr>
      <w:r>
        <w:lastRenderedPageBreak/>
        <w:t>Chinook Wind</w:t>
      </w:r>
    </w:p>
    <w:p w:rsidR="005A7ECA" w:rsidRDefault="005A7ECA" w:rsidP="005A7ECA">
      <w:pPr>
        <w:spacing w:after="0"/>
      </w:pPr>
      <w:r>
        <w:t>Liquid Sun</w:t>
      </w:r>
    </w:p>
    <w:p w:rsidR="00FB100C" w:rsidRDefault="00FB100C" w:rsidP="004A4AC7">
      <w:pPr>
        <w:spacing w:after="0"/>
      </w:pPr>
      <w:proofErr w:type="spellStart"/>
      <w:r>
        <w:t>Aquacare</w:t>
      </w:r>
      <w:proofErr w:type="spellEnd"/>
    </w:p>
    <w:p w:rsidR="005A7ECA" w:rsidRDefault="005A7ECA" w:rsidP="005A7ECA">
      <w:pPr>
        <w:spacing w:after="0"/>
      </w:pPr>
      <w:r>
        <w:t>Heron R</w:t>
      </w:r>
      <w:r w:rsidRPr="00AC4670">
        <w:t>each Services</w:t>
      </w:r>
    </w:p>
    <w:p w:rsidR="00FB100C" w:rsidRDefault="0033297A" w:rsidP="004A4AC7">
      <w:pPr>
        <w:spacing w:after="0"/>
      </w:pPr>
      <w:r w:rsidRPr="0033297A">
        <w:t xml:space="preserve">Peter </w:t>
      </w:r>
      <w:proofErr w:type="spellStart"/>
      <w:r w:rsidRPr="0033297A">
        <w:t>Drewes</w:t>
      </w:r>
      <w:proofErr w:type="spellEnd"/>
    </w:p>
    <w:p w:rsidR="009E2609" w:rsidRDefault="009E2609" w:rsidP="004A4AC7">
      <w:pPr>
        <w:spacing w:after="0"/>
      </w:pPr>
      <w:r>
        <w:t>Jim Meyer</w:t>
      </w:r>
    </w:p>
    <w:p w:rsidR="0033297A" w:rsidRDefault="0033297A" w:rsidP="004A4AC7">
      <w:pPr>
        <w:spacing w:after="0"/>
      </w:pPr>
      <w:r w:rsidRPr="0033297A">
        <w:t>Shenandoah Myrick</w:t>
      </w:r>
    </w:p>
    <w:p w:rsidR="0033297A" w:rsidRDefault="0033297A" w:rsidP="004A4AC7">
      <w:pPr>
        <w:spacing w:after="0"/>
      </w:pPr>
      <w:proofErr w:type="spellStart"/>
      <w:r w:rsidRPr="0033297A">
        <w:t>Sasch</w:t>
      </w:r>
      <w:proofErr w:type="spellEnd"/>
      <w:r w:rsidRPr="0033297A">
        <w:t xml:space="preserve"> Stephens</w:t>
      </w:r>
    </w:p>
    <w:p w:rsidR="0033297A" w:rsidRDefault="0033297A" w:rsidP="004A4AC7">
      <w:pPr>
        <w:spacing w:after="0"/>
      </w:pPr>
      <w:r w:rsidRPr="0033297A">
        <w:t xml:space="preserve">Rowena </w:t>
      </w:r>
      <w:proofErr w:type="spellStart"/>
      <w:r w:rsidRPr="0033297A">
        <w:t>Donelson</w:t>
      </w:r>
      <w:proofErr w:type="spellEnd"/>
    </w:p>
    <w:p w:rsidR="005A7ECA" w:rsidRDefault="005A7ECA" w:rsidP="004A4AC7">
      <w:pPr>
        <w:spacing w:after="0"/>
      </w:pPr>
      <w:r>
        <w:t xml:space="preserve">Catherine </w:t>
      </w:r>
      <w:proofErr w:type="spellStart"/>
      <w:r>
        <w:t>Clerf</w:t>
      </w:r>
      <w:proofErr w:type="spellEnd"/>
    </w:p>
    <w:p w:rsidR="001D3231" w:rsidRDefault="001D3231" w:rsidP="001D3231">
      <w:pPr>
        <w:spacing w:after="0"/>
      </w:pPr>
      <w:proofErr w:type="spellStart"/>
      <w:r w:rsidRPr="001D3231">
        <w:t>Rashaan</w:t>
      </w:r>
      <w:proofErr w:type="spellEnd"/>
      <w:r w:rsidRPr="001D3231">
        <w:t xml:space="preserve"> </w:t>
      </w:r>
      <w:proofErr w:type="spellStart"/>
      <w:r w:rsidRPr="001D3231">
        <w:t>Lightpool</w:t>
      </w:r>
      <w:proofErr w:type="spellEnd"/>
    </w:p>
    <w:p w:rsidR="001D3231" w:rsidRDefault="001D3231" w:rsidP="001D3231">
      <w:pPr>
        <w:spacing w:after="0"/>
      </w:pPr>
      <w:r w:rsidRPr="001D3231">
        <w:t xml:space="preserve"> </w:t>
      </w:r>
      <w:r>
        <w:t xml:space="preserve">Frederic </w:t>
      </w:r>
      <w:proofErr w:type="spellStart"/>
      <w:r w:rsidRPr="000C49ED">
        <w:t>Liebrand</w:t>
      </w:r>
      <w:proofErr w:type="spellEnd"/>
    </w:p>
    <w:p w:rsidR="001D3231" w:rsidRDefault="001D3231" w:rsidP="004A4AC7">
      <w:pPr>
        <w:spacing w:after="0"/>
        <w:sectPr w:rsidR="001D3231" w:rsidSect="005A7ECA">
          <w:type w:val="continuous"/>
          <w:pgSz w:w="12240" w:h="15840"/>
          <w:pgMar w:top="1440" w:right="1440" w:bottom="1440" w:left="1440" w:header="720" w:footer="720" w:gutter="0"/>
          <w:cols w:num="2" w:space="720"/>
          <w:docGrid w:linePitch="360"/>
        </w:sectPr>
      </w:pPr>
    </w:p>
    <w:p w:rsidR="00AC4670" w:rsidRDefault="00AC4670" w:rsidP="004A4AC7">
      <w:pPr>
        <w:spacing w:after="0"/>
      </w:pPr>
    </w:p>
    <w:sectPr w:rsidR="00AC4670" w:rsidSect="005A7EC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ECE"/>
    <w:multiLevelType w:val="hybridMultilevel"/>
    <w:tmpl w:val="CE0E8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24162"/>
    <w:multiLevelType w:val="hybridMultilevel"/>
    <w:tmpl w:val="2E12D3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936372C"/>
    <w:multiLevelType w:val="hybridMultilevel"/>
    <w:tmpl w:val="A09E6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7F2D"/>
    <w:rsid w:val="000912AB"/>
    <w:rsid w:val="000C49ED"/>
    <w:rsid w:val="00125372"/>
    <w:rsid w:val="001378FF"/>
    <w:rsid w:val="001D3231"/>
    <w:rsid w:val="00244D09"/>
    <w:rsid w:val="0033297A"/>
    <w:rsid w:val="00337F2B"/>
    <w:rsid w:val="003826A5"/>
    <w:rsid w:val="003F60E2"/>
    <w:rsid w:val="00447275"/>
    <w:rsid w:val="00453621"/>
    <w:rsid w:val="00487F2D"/>
    <w:rsid w:val="004A4AC7"/>
    <w:rsid w:val="004A4F85"/>
    <w:rsid w:val="004B5D6C"/>
    <w:rsid w:val="00505315"/>
    <w:rsid w:val="00580208"/>
    <w:rsid w:val="005A7ECA"/>
    <w:rsid w:val="006E5E15"/>
    <w:rsid w:val="007602CC"/>
    <w:rsid w:val="00764A5F"/>
    <w:rsid w:val="007A5F91"/>
    <w:rsid w:val="00867BAE"/>
    <w:rsid w:val="008F6007"/>
    <w:rsid w:val="0092034B"/>
    <w:rsid w:val="009868A1"/>
    <w:rsid w:val="009E2609"/>
    <w:rsid w:val="00AC4670"/>
    <w:rsid w:val="00B37945"/>
    <w:rsid w:val="00B40359"/>
    <w:rsid w:val="00B65F6E"/>
    <w:rsid w:val="00C61AFF"/>
    <w:rsid w:val="00CC3777"/>
    <w:rsid w:val="00D00474"/>
    <w:rsid w:val="00D569FF"/>
    <w:rsid w:val="00D9408D"/>
    <w:rsid w:val="00EE42ED"/>
    <w:rsid w:val="00F03C1E"/>
    <w:rsid w:val="00FB100C"/>
    <w:rsid w:val="00FF2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09"/>
    <w:pPr>
      <w:ind w:left="720"/>
      <w:contextualSpacing/>
    </w:pPr>
  </w:style>
  <w:style w:type="paragraph" w:customStyle="1" w:styleId="Default">
    <w:name w:val="Default"/>
    <w:uiPriority w:val="99"/>
    <w:rsid w:val="00B37945"/>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F9E614B-5A15-41C7-9CE4-55097F645338}"/>
</file>

<file path=customXml/itemProps2.xml><?xml version="1.0" encoding="utf-8"?>
<ds:datastoreItem xmlns:ds="http://schemas.openxmlformats.org/officeDocument/2006/customXml" ds:itemID="{C738F8CA-63E9-4C8A-9271-7415F7531043}"/>
</file>

<file path=customXml/itemProps3.xml><?xml version="1.0" encoding="utf-8"?>
<ds:datastoreItem xmlns:ds="http://schemas.openxmlformats.org/officeDocument/2006/customXml" ds:itemID="{B4268CAD-4DB9-4157-A5C1-0145B534BAC7}"/>
</file>

<file path=customXml/itemProps4.xml><?xml version="1.0" encoding="utf-8"?>
<ds:datastoreItem xmlns:ds="http://schemas.openxmlformats.org/officeDocument/2006/customXml" ds:itemID="{974A09C4-0410-4888-AC3C-2688BE4D339E}"/>
</file>

<file path=docProps/app.xml><?xml version="1.0" encoding="utf-8"?>
<Properties xmlns="http://schemas.openxmlformats.org/officeDocument/2006/extended-properties" xmlns:vt="http://schemas.openxmlformats.org/officeDocument/2006/docPropsVTypes">
  <Template>Normal.dotm</Template>
  <TotalTime>2940</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CTED</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dc:creator>
  <cp:lastModifiedBy>Lenovo User</cp:lastModifiedBy>
  <cp:revision>7</cp:revision>
  <dcterms:created xsi:type="dcterms:W3CDTF">2012-09-01T00:20:00Z</dcterms:created>
  <dcterms:modified xsi:type="dcterms:W3CDTF">2012-09-07T21:43:00Z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