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Seattle's Best Moving and Delivery LLC</w:t>
        <w:cr/>
        <w:t>d/b/a Best Moving and Delivery/Seattle's Best Moving; Simple Moving &amp; Delivery; Best Moving and Storage; Simple Moving &amp; Storage; Awesome Movers; Awesome Movers Seattle; Bellevue Movers; Bothell Movers; Everett Movers; Federal Way Movers; Kent Movers; Medina Movers; Mercer Island Movers; Mill Creek Movers; Moveable Moving Service; Redmond Movers; Simple Movers</w:t>
      </w:r>
    </w:p>
    <w:p>
      <w:r>
        <w:t>227 Bellevue Way Ne Suite #269</w:t>
        <w:cr/>
        <w:t>Bellevue, WA 98004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HG063464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170703</w:t>
      </w:r>
      <w:r w:rsidR="00C30993">
        <w:tab/>
      </w:r>
      <w:r>
        <w:t>July 18,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207</IndustryCode>
    <CaseStatus xmlns="dc463f71-b30c-4ab2-9473-d307f9d35888">Closed</CaseStatus>
    <OpenedDate xmlns="dc463f71-b30c-4ab2-9473-d307f9d35888">2017-06-09T07:00:00+00:00</OpenedDate>
    <Date1 xmlns="dc463f71-b30c-4ab2-9473-d307f9d35888">2017-07-18T07:00:00+00:00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Seattle's Best Moving and Delivery LLC</CaseCompanyNames>
    <Nickname xmlns="http://schemas.microsoft.com/sharepoint/v3" xsi:nil="true"/>
    <DocketNumber xmlns="dc463f71-b30c-4ab2-9473-d307f9d35888">170703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7876F36758B34F892C6CE1C574EEC4" ma:contentTypeVersion="104" ma:contentTypeDescription="" ma:contentTypeScope="" ma:versionID="d7a3ceb208e2534973f2af3c2125e9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EB077-C2AB-4E38-BF5B-474649E3A93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1A022635-2795-4DA6-957F-9C456ACE5C6D}"/>
</file>

<file path=customXml/itemProps5.xml><?xml version="1.0" encoding="utf-8"?>
<ds:datastoreItem xmlns:ds="http://schemas.openxmlformats.org/officeDocument/2006/customXml" ds:itemID="{61806746-CE5A-4266-A77C-9D66773AFF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0x0101006E56B4D1795A2E4DB2F0B01679ED314A00247876F36758B34F892C6CE1C574EEC4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