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bookmarkStart w:id="0" w:name="_GoBack"/>
      <w:bookmarkEnd w:id="0"/>
    </w:p>
    <w:p w14:paraId="76621260" w14:textId="77777777" w:rsidR="00642497" w:rsidRDefault="00E86D4C">
      <w:r>
        <w:t>March 27, 2017</w:t>
      </w:r>
    </w:p>
    <w:p w14:paraId="1B98EE73" w14:textId="77777777" w:rsidR="00072E1B" w:rsidRDefault="00072E1B" w:rsidP="00DF0FAA"/>
    <w:p w14:paraId="4486F870" w14:textId="77777777" w:rsidR="00200259" w:rsidRDefault="00200259" w:rsidP="00DF0FAA"/>
    <w:p w14:paraId="2B67EF67" w14:textId="77777777" w:rsidR="00642497" w:rsidRDefault="00E86D4C">
      <w:r>
        <w:rPr>
          <w:rFonts w:eastAsiaTheme="minorHAnsi"/>
          <w:color w:val="000000"/>
        </w:rPr>
        <w:t>InnerPrizin LLC</w:t>
      </w:r>
      <w:r>
        <w:rPr>
          <w:rFonts w:eastAsiaTheme="minorHAnsi"/>
          <w:color w:val="000000"/>
        </w:rPr>
        <w:cr/>
        <w:t>d/b/a VIP Party Bus Spokane; Driven VIP; Overflowing Entertainment</w:t>
      </w:r>
    </w:p>
    <w:p w14:paraId="4D580614" w14:textId="77777777" w:rsidR="00642497" w:rsidRDefault="00E86D4C">
      <w:r>
        <w:rPr>
          <w:rFonts w:eastAsiaTheme="minorHAnsi"/>
          <w:color w:val="000000"/>
        </w:rPr>
        <w:t>PO Box 13484</w:t>
      </w:r>
      <w:r>
        <w:rPr>
          <w:rFonts w:eastAsiaTheme="minorHAnsi"/>
          <w:color w:val="000000"/>
        </w:rPr>
        <w:cr/>
        <w:t>Spokane Valley, WA 99213</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170154</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CH067594</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InnerPrizin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March 7, 2017</w:t>
      </w:r>
      <w:r w:rsidR="0074221B">
        <w:t xml:space="preserve">, </w:t>
      </w:r>
      <w:r>
        <w:t>InnerPrizin LLC, d/b/a VIP Party Bus Spokane; Driven VIP; Overflowing Entertainment,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CH067594</w:t>
      </w:r>
      <w:r w:rsidR="0074221B">
        <w:t xml:space="preserve"> </w:t>
      </w:r>
      <w:r w:rsidR="009A24DC">
        <w:t xml:space="preserve">authorizing </w:t>
      </w:r>
      <w:r>
        <w:t>InnerPrizin LLC, d/b/a VIP Party Bus Spokane; Driven VIP; Overflowing Entertainment,</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6E1784D1" w:rsidR="00072E1B" w:rsidRDefault="00D36ED6" w:rsidP="00B01FE6">
      <w:pPr>
        <w:spacing w:line="264" w:lineRule="auto"/>
      </w:pPr>
      <w:r>
        <w:t xml:space="preserve">Enclosed with this letter </w:t>
      </w:r>
      <w:r w:rsidR="00150C03">
        <w:t>is a copy</w:t>
      </w:r>
      <w:r>
        <w:t xml:space="preserve"> of the Commission rules governing </w:t>
      </w:r>
      <w:r w:rsidR="00072F34">
        <w:t>Passenger Transportation companies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72F34"/>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2497"/>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86D4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2017-03-27T07:00:00+00:00</OpenedDate>
    <Date1 xmlns="dc463f71-b30c-4ab2-9473-d307f9d35888">2017-03-27T07:00:00+00:00</Date1>
    <IsDocumentOrder xmlns="dc463f71-b30c-4ab2-9473-d307f9d35888">true</IsDocumentOrder>
    <IsHighlyConfidential xmlns="dc463f71-b30c-4ab2-9473-d307f9d35888">false</IsHighlyConfidential>
    <CaseCompanyNames xmlns="dc463f71-b30c-4ab2-9473-d307f9d35888">InnerPrizin LLC</CaseCompanyNames>
    <Nickname xmlns="http://schemas.microsoft.com/sharepoint/v3" xsi:nil="true"/>
    <DocketNumber xmlns="dc463f71-b30c-4ab2-9473-d307f9d35888">170154</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49B87C4F64547ABD0EF5622B00AFA" ma:contentTypeVersion="104" ma:contentTypeDescription="" ma:contentTypeScope="" ma:versionID="e82b84f799a91edd5de91a15fa03b1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5F471-651D-40B3-AB5E-B4AB0FC82AB6}"/>
</file>

<file path=customXml/itemProps2.xml><?xml version="1.0" encoding="utf-8"?>
<ds:datastoreItem xmlns:ds="http://schemas.openxmlformats.org/officeDocument/2006/customXml" ds:itemID="{5F6BF942-C166-4351-818C-DC59A00185DE}">
  <ds:schemaRefs>
    <ds:schemaRef ds:uri="7ca95c65-4f65-4144-95d4-89cf1dcaed71"/>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4.xml><?xml version="1.0" encoding="utf-8"?>
<ds:datastoreItem xmlns:ds="http://schemas.openxmlformats.org/officeDocument/2006/customXml" ds:itemID="{ED360AF6-00EF-41C7-95CC-A030E9C9F479}"/>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2017-03-27T17:12:00Z</dcterms:created>
  <dcterms:modified xsi:type="dcterms:W3CDTF">2017-03-27T17:12:00Z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0x0101006E56B4D1795A2E4DB2F0B01679ED314A001F049B87C4F64547ABD0EF5622B00AFA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