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CC33" w14:textId="77777777" w:rsidR="00764D22" w:rsidRPr="00764D22" w:rsidRDefault="00764D22" w:rsidP="00CD35D2">
      <w:pPr>
        <w:tabs>
          <w:tab w:val="center" w:pos="4320"/>
          <w:tab w:val="right" w:pos="8640"/>
          <w:tab w:val="right" w:pos="9720"/>
        </w:tabs>
        <w:spacing w:line="280" w:lineRule="exact"/>
        <w:ind w:right="1080"/>
        <w:jc w:val="center"/>
        <w:rPr>
          <w:rFonts w:ascii="Times New Roman" w:hAnsi="Times New Roman"/>
          <w:b/>
          <w:sz w:val="28"/>
        </w:rPr>
      </w:pPr>
      <w:bookmarkStart w:id="0" w:name="_GoBack"/>
      <w:bookmarkEnd w:id="0"/>
      <w:r w:rsidRPr="00764D22">
        <w:rPr>
          <w:rFonts w:ascii="Times New Roman" w:hAnsi="Times New Roman"/>
          <w:b/>
          <w:sz w:val="28"/>
        </w:rPr>
        <w:t>CenturyTel of Washington, Inc. d/b/a CenturyLink</w:t>
      </w:r>
    </w:p>
    <w:p w14:paraId="19DDCC34" w14:textId="77777777" w:rsidR="00764D22" w:rsidRPr="00764D22" w:rsidRDefault="00764D22" w:rsidP="00764D22">
      <w:pPr>
        <w:tabs>
          <w:tab w:val="right" w:pos="8640"/>
        </w:tabs>
        <w:spacing w:before="60" w:line="240" w:lineRule="exact"/>
        <w:ind w:right="1080"/>
        <w:rPr>
          <w:rFonts w:ascii="Times New Roman" w:hAnsi="Times New Roman"/>
          <w:b/>
          <w:smallCaps/>
          <w:sz w:val="24"/>
        </w:rPr>
      </w:pPr>
      <w:r w:rsidRPr="00764D22">
        <w:rPr>
          <w:rFonts w:ascii="Times New Roman" w:hAnsi="Times New Roman"/>
          <w:b/>
          <w:sz w:val="24"/>
        </w:rPr>
        <w:tab/>
        <w:t>S</w:t>
      </w:r>
      <w:r w:rsidRPr="00764D22">
        <w:rPr>
          <w:rFonts w:ascii="Times New Roman" w:hAnsi="Times New Roman"/>
          <w:b/>
          <w:smallCaps/>
          <w:sz w:val="24"/>
        </w:rPr>
        <w:t>ection 2</w:t>
      </w:r>
    </w:p>
    <w:p w14:paraId="19DDCC35" w14:textId="77777777" w:rsidR="00764D22" w:rsidRPr="00764D22" w:rsidRDefault="00764D22" w:rsidP="00764D22">
      <w:pPr>
        <w:tabs>
          <w:tab w:val="right" w:pos="8640"/>
        </w:tabs>
        <w:spacing w:line="240" w:lineRule="exact"/>
        <w:ind w:right="1080"/>
        <w:rPr>
          <w:rFonts w:ascii="Times New Roman" w:hAnsi="Times New Roman"/>
          <w:b/>
          <w:sz w:val="24"/>
        </w:rPr>
      </w:pPr>
      <w:r w:rsidRPr="00764D22">
        <w:rPr>
          <w:rFonts w:ascii="Times New Roman" w:hAnsi="Times New Roman"/>
          <w:b/>
          <w:smallCaps/>
          <w:sz w:val="24"/>
        </w:rPr>
        <w:t>WN U-12</w:t>
      </w:r>
      <w:r w:rsidRPr="00764D22">
        <w:rPr>
          <w:rFonts w:ascii="Times New Roman" w:hAnsi="Times New Roman"/>
          <w:b/>
          <w:smallCaps/>
          <w:sz w:val="24"/>
        </w:rPr>
        <w:tab/>
      </w:r>
      <w:r w:rsidR="00944D20">
        <w:rPr>
          <w:rFonts w:ascii="Times New Roman" w:hAnsi="Times New Roman"/>
          <w:sz w:val="24"/>
        </w:rPr>
        <w:t>1st Revised</w:t>
      </w:r>
      <w:r w:rsidRPr="00764D22">
        <w:rPr>
          <w:rFonts w:ascii="Times New Roman" w:hAnsi="Times New Roman"/>
          <w:sz w:val="24"/>
        </w:rPr>
        <w:t xml:space="preserve"> Sheet 2-23</w:t>
      </w:r>
    </w:p>
    <w:p w14:paraId="19DDCC36" w14:textId="77777777" w:rsidR="00764D22" w:rsidRPr="00764D22" w:rsidRDefault="00764D22" w:rsidP="00764D22">
      <w:pPr>
        <w:tabs>
          <w:tab w:val="right" w:pos="8640"/>
        </w:tabs>
        <w:spacing w:line="240" w:lineRule="exact"/>
        <w:ind w:right="1080"/>
        <w:rPr>
          <w:rFonts w:ascii="Times New Roman" w:hAnsi="Times New Roman"/>
          <w:b/>
          <w:smallCaps/>
          <w:sz w:val="24"/>
        </w:rPr>
      </w:pPr>
      <w:r w:rsidRPr="00764D22">
        <w:rPr>
          <w:rFonts w:ascii="Times New Roman" w:hAnsi="Times New Roman"/>
          <w:b/>
          <w:smallCaps/>
          <w:sz w:val="24"/>
        </w:rPr>
        <w:t>Access Service</w:t>
      </w:r>
      <w:r w:rsidRPr="00764D22">
        <w:rPr>
          <w:rFonts w:ascii="Times New Roman" w:hAnsi="Times New Roman"/>
          <w:sz w:val="24"/>
        </w:rPr>
        <w:tab/>
      </w:r>
      <w:r w:rsidR="00944D20">
        <w:rPr>
          <w:rFonts w:ascii="Times New Roman" w:hAnsi="Times New Roman"/>
          <w:sz w:val="24"/>
        </w:rPr>
        <w:t xml:space="preserve">Cancels </w:t>
      </w:r>
      <w:r w:rsidR="00944D20" w:rsidRPr="00764D22">
        <w:rPr>
          <w:rFonts w:ascii="Times New Roman" w:hAnsi="Times New Roman"/>
          <w:sz w:val="24"/>
        </w:rPr>
        <w:t>Original Sheet 2-23</w:t>
      </w:r>
    </w:p>
    <w:p w14:paraId="19DDCC37" w14:textId="77777777" w:rsidR="00764D22" w:rsidRPr="00764D22" w:rsidRDefault="00764D22" w:rsidP="00764D22">
      <w:pPr>
        <w:pBdr>
          <w:bottom w:val="single" w:sz="6" w:space="0" w:color="auto"/>
        </w:pBdr>
        <w:tabs>
          <w:tab w:val="right" w:pos="8640"/>
        </w:tabs>
        <w:spacing w:line="240" w:lineRule="exact"/>
        <w:ind w:right="1080"/>
        <w:rPr>
          <w:rFonts w:ascii="Times New Roman" w:hAnsi="Times New Roman"/>
          <w:b/>
          <w:smallCaps/>
          <w:sz w:val="28"/>
        </w:rPr>
      </w:pPr>
      <w:r w:rsidRPr="00764D22">
        <w:rPr>
          <w:rFonts w:ascii="Times New Roman" w:hAnsi="Times New Roman"/>
          <w:b/>
          <w:smallCaps/>
          <w:sz w:val="24"/>
        </w:rPr>
        <w:t>Washington</w:t>
      </w:r>
      <w:r w:rsidRPr="00764D22">
        <w:rPr>
          <w:rFonts w:ascii="Times New Roman" w:hAnsi="Times New Roman"/>
          <w:b/>
          <w:smallCaps/>
          <w:sz w:val="24"/>
        </w:rPr>
        <w:tab/>
      </w:r>
    </w:p>
    <w:p w14:paraId="19DDCC38" w14:textId="77777777" w:rsidR="00764D22" w:rsidRPr="00764D22" w:rsidRDefault="00764D22" w:rsidP="00764D22">
      <w:pPr>
        <w:tabs>
          <w:tab w:val="right" w:pos="6920"/>
        </w:tabs>
        <w:spacing w:line="240" w:lineRule="exact"/>
        <w:ind w:left="500" w:hanging="260"/>
        <w:jc w:val="both"/>
        <w:rPr>
          <w:rFonts w:ascii="Times New Roman" w:hAnsi="Times New Roman"/>
          <w:sz w:val="24"/>
        </w:rPr>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764D22" w:rsidRPr="00764D22" w14:paraId="19DDCC62" w14:textId="77777777" w:rsidTr="00944D20">
        <w:trPr>
          <w:cantSplit/>
          <w:trHeight w:val="11520"/>
        </w:trPr>
        <w:tc>
          <w:tcPr>
            <w:tcW w:w="8640" w:type="dxa"/>
            <w:tcBorders>
              <w:bottom w:val="single" w:sz="4" w:space="0" w:color="auto"/>
            </w:tcBorders>
          </w:tcPr>
          <w:p w14:paraId="19DDCC39" w14:textId="77777777" w:rsidR="00764D22" w:rsidRPr="00764D22" w:rsidRDefault="00764D22" w:rsidP="00764D22">
            <w:pPr>
              <w:tabs>
                <w:tab w:val="center" w:pos="4320"/>
              </w:tabs>
              <w:spacing w:line="240" w:lineRule="exact"/>
              <w:rPr>
                <w:rFonts w:ascii="Times New Roman" w:hAnsi="Times New Roman"/>
                <w:b/>
                <w:smallCaps/>
                <w:sz w:val="24"/>
              </w:rPr>
            </w:pPr>
            <w:r w:rsidRPr="00764D22">
              <w:rPr>
                <w:rFonts w:ascii="Times New Roman" w:hAnsi="Times New Roman"/>
                <w:b/>
                <w:smallCaps/>
                <w:sz w:val="24"/>
              </w:rPr>
              <w:tab/>
              <w:t>2.  General Regulations</w:t>
            </w:r>
          </w:p>
          <w:p w14:paraId="19DDCC3A" w14:textId="77777777" w:rsidR="00764D22" w:rsidRPr="00764D22" w:rsidRDefault="00764D22" w:rsidP="00764D22">
            <w:pPr>
              <w:spacing w:line="240" w:lineRule="exact"/>
              <w:rPr>
                <w:rFonts w:ascii="Times New Roman" w:hAnsi="Times New Roman"/>
                <w:sz w:val="24"/>
              </w:rPr>
            </w:pPr>
          </w:p>
          <w:p w14:paraId="19DDCC3B" w14:textId="77777777" w:rsidR="00764D22" w:rsidRPr="00764D22" w:rsidRDefault="00764D22" w:rsidP="00764D22">
            <w:pPr>
              <w:tabs>
                <w:tab w:val="left" w:pos="760"/>
              </w:tabs>
              <w:spacing w:line="240" w:lineRule="exact"/>
              <w:ind w:left="760" w:hanging="760"/>
              <w:jc w:val="both"/>
              <w:rPr>
                <w:rFonts w:ascii="Times New Roman" w:hAnsi="Times New Roman"/>
                <w:b/>
                <w:smallCaps/>
                <w:snapToGrid w:val="0"/>
                <w:sz w:val="24"/>
              </w:rPr>
            </w:pPr>
            <w:r w:rsidRPr="00764D22">
              <w:rPr>
                <w:rFonts w:ascii="Times New Roman" w:hAnsi="Times New Roman"/>
                <w:b/>
                <w:smallCaps/>
                <w:snapToGrid w:val="0"/>
                <w:sz w:val="24"/>
              </w:rPr>
              <w:t>2.4</w:t>
            </w:r>
            <w:r w:rsidRPr="00764D22">
              <w:rPr>
                <w:rFonts w:ascii="Times New Roman" w:hAnsi="Times New Roman"/>
                <w:b/>
                <w:smallCaps/>
                <w:snapToGrid w:val="0"/>
                <w:sz w:val="24"/>
              </w:rPr>
              <w:tab/>
              <w:t>Payment Arrangements and Credit Allowances</w:t>
            </w:r>
          </w:p>
          <w:p w14:paraId="19DDCC3C" w14:textId="77777777" w:rsidR="00764D22" w:rsidRPr="00764D22" w:rsidRDefault="00764D22" w:rsidP="00764D22">
            <w:pPr>
              <w:tabs>
                <w:tab w:val="left" w:pos="760"/>
              </w:tabs>
              <w:spacing w:line="240" w:lineRule="exact"/>
              <w:ind w:left="760" w:hanging="760"/>
              <w:jc w:val="both"/>
              <w:rPr>
                <w:rFonts w:ascii="Times New Roman" w:hAnsi="Times New Roman"/>
                <w:b/>
                <w:smallCaps/>
                <w:snapToGrid w:val="0"/>
                <w:sz w:val="24"/>
              </w:rPr>
            </w:pPr>
          </w:p>
          <w:p w14:paraId="19DDCC3D" w14:textId="77777777" w:rsidR="00764D22" w:rsidRPr="00764D22" w:rsidRDefault="00764D22" w:rsidP="00764D22">
            <w:pPr>
              <w:tabs>
                <w:tab w:val="left" w:pos="1000"/>
              </w:tabs>
              <w:spacing w:line="240" w:lineRule="exact"/>
              <w:ind w:left="1000" w:hanging="1000"/>
              <w:jc w:val="both"/>
              <w:rPr>
                <w:rFonts w:ascii="Times New Roman" w:hAnsi="Times New Roman"/>
                <w:b/>
                <w:smallCaps/>
                <w:snapToGrid w:val="0"/>
                <w:sz w:val="24"/>
              </w:rPr>
            </w:pPr>
            <w:r w:rsidRPr="00764D22">
              <w:rPr>
                <w:rFonts w:ascii="Times New Roman" w:hAnsi="Times New Roman"/>
                <w:b/>
                <w:smallCaps/>
                <w:snapToGrid w:val="0"/>
                <w:sz w:val="24"/>
              </w:rPr>
              <w:t>2.4.1</w:t>
            </w:r>
            <w:r w:rsidRPr="00764D22">
              <w:rPr>
                <w:rFonts w:ascii="Times New Roman" w:hAnsi="Times New Roman"/>
                <w:b/>
                <w:smallCaps/>
                <w:snapToGrid w:val="0"/>
                <w:sz w:val="24"/>
              </w:rPr>
              <w:tab/>
              <w:t>Payment of Rates, Charges and Deposits</w:t>
            </w:r>
          </w:p>
          <w:p w14:paraId="19DDCC3E" w14:textId="77777777" w:rsidR="00764D22" w:rsidRPr="00764D22" w:rsidRDefault="00764D22" w:rsidP="00764D22">
            <w:pPr>
              <w:tabs>
                <w:tab w:val="left" w:pos="1000"/>
              </w:tabs>
              <w:spacing w:line="240" w:lineRule="exact"/>
              <w:ind w:left="1000" w:hanging="1000"/>
              <w:jc w:val="both"/>
              <w:rPr>
                <w:rFonts w:ascii="Times New Roman" w:hAnsi="Times New Roman"/>
                <w:b/>
                <w:smallCaps/>
                <w:snapToGrid w:val="0"/>
                <w:sz w:val="24"/>
              </w:rPr>
            </w:pPr>
          </w:p>
          <w:p w14:paraId="19DDCC3F" w14:textId="77777777" w:rsidR="00764D22" w:rsidRPr="00764D22" w:rsidRDefault="00764D22" w:rsidP="001950A3">
            <w:pPr>
              <w:autoSpaceDE w:val="0"/>
              <w:autoSpaceDN w:val="0"/>
              <w:adjustRightInd w:val="0"/>
              <w:ind w:left="990" w:hanging="990"/>
              <w:jc w:val="both"/>
              <w:rPr>
                <w:rFonts w:ascii="Times New Roman" w:hAnsi="Times New Roman"/>
                <w:snapToGrid w:val="0"/>
                <w:sz w:val="24"/>
              </w:rPr>
            </w:pPr>
            <w:r w:rsidRPr="00764D22">
              <w:rPr>
                <w:rFonts w:ascii="Times New Roman" w:hAnsi="Times New Roman"/>
                <w:snapToGrid w:val="0"/>
                <w:sz w:val="24"/>
              </w:rPr>
              <w:tab/>
              <w:t>A.</w:t>
            </w:r>
            <w:r w:rsidRPr="00764D22">
              <w:rPr>
                <w:rFonts w:ascii="Times New Roman" w:hAnsi="Times New Roman"/>
                <w:snapToGrid w:val="0"/>
                <w:sz w:val="24"/>
              </w:rPr>
              <w:tab/>
              <w:t>The Telephone Company will, in order to safeguard its interests, only require a customer which has a proven history of late payments to the Telephone Company or does not have established credit to make a deposit prior to or at any time after the provision of a service to the customer to be held by the Telephone Company as a guarantee of the payment of rates and charges.  No such deposit will be required of a customer which is a successor of a company which has established credit and has no history of late payments to the Telephone Company.  When a deposit is required, such deposit shall be equal to two months of estimated billings.  If past service has been provided, the estimated billing shall be calculated based upon the average monthly billings over the past three months.  Such a calculation is subject to revision based upon changes in the average of the past months' billings.  At such time as the provision of the service to the customer is terminated, the amount of the deposit will be credited to the customer's account and any credit balance which may remain will be refunded.  Such a deposit will be refunded or credited, in any event, to the customer's account when the customer has established credit or will be refunded when the customer has established a one-year prompt payment at any time prior to the termination of the provision of the service to the customer</w:t>
            </w:r>
            <w:r w:rsidRPr="00A83C92">
              <w:rPr>
                <w:rFonts w:ascii="Times New Roman" w:hAnsi="Times New Roman"/>
                <w:snapToGrid w:val="0"/>
                <w:sz w:val="24"/>
              </w:rPr>
              <w:t xml:space="preserve">. </w:t>
            </w:r>
            <w:r w:rsidR="001950A3">
              <w:rPr>
                <w:rFonts w:ascii="Times New Roman" w:hAnsi="Times New Roman"/>
                <w:snapToGrid w:val="0"/>
                <w:sz w:val="24"/>
              </w:rPr>
              <w:t xml:space="preserve"> </w:t>
            </w:r>
            <w:r w:rsidR="001950A3" w:rsidRPr="001950A3">
              <w:rPr>
                <w:rFonts w:ascii="Times New Roman" w:hAnsi="Times New Roman"/>
                <w:snapToGrid w:val="0"/>
                <w:sz w:val="24"/>
              </w:rPr>
              <w:t>In case of a cash deposit, for the period the deposit is</w:t>
            </w:r>
            <w:r w:rsidR="001950A3">
              <w:rPr>
                <w:rFonts w:ascii="Times New Roman" w:hAnsi="Times New Roman"/>
                <w:snapToGrid w:val="0"/>
                <w:sz w:val="24"/>
              </w:rPr>
              <w:t xml:space="preserve"> </w:t>
            </w:r>
            <w:r w:rsidR="001950A3" w:rsidRPr="001950A3">
              <w:rPr>
                <w:rFonts w:ascii="Times New Roman" w:hAnsi="Times New Roman"/>
                <w:snapToGrid w:val="0"/>
                <w:sz w:val="24"/>
              </w:rPr>
              <w:t>held by the Telephone Company, the customer will receive interest at the same</w:t>
            </w:r>
            <w:r w:rsidR="001950A3">
              <w:rPr>
                <w:rFonts w:ascii="Times New Roman" w:hAnsi="Times New Roman"/>
                <w:snapToGrid w:val="0"/>
                <w:sz w:val="24"/>
              </w:rPr>
              <w:t xml:space="preserve"> </w:t>
            </w:r>
            <w:r w:rsidR="001950A3" w:rsidRPr="001950A3">
              <w:rPr>
                <w:rFonts w:ascii="Times New Roman" w:hAnsi="Times New Roman"/>
                <w:snapToGrid w:val="0"/>
                <w:sz w:val="24"/>
              </w:rPr>
              <w:t xml:space="preserve">percentage rate as that set forth in </w:t>
            </w:r>
            <w:r w:rsidR="001950A3" w:rsidRPr="00E56E41">
              <w:rPr>
                <w:rFonts w:ascii="Times New Roman" w:hAnsi="Times New Roman"/>
                <w:snapToGrid w:val="0"/>
                <w:sz w:val="24"/>
              </w:rPr>
              <w:t>Section 2.4.1.B.3.b.(1) or 2.4.1.B.3.b.(2), following, whichever is higher.</w:t>
            </w:r>
            <w:r w:rsidR="001950A3">
              <w:rPr>
                <w:rFonts w:ascii="Times New Roman" w:hAnsi="Times New Roman"/>
                <w:snapToGrid w:val="0"/>
                <w:sz w:val="24"/>
              </w:rPr>
              <w:t xml:space="preserve">  </w:t>
            </w:r>
            <w:r w:rsidRPr="00A83C92">
              <w:rPr>
                <w:rFonts w:ascii="Times New Roman" w:hAnsi="Times New Roman"/>
                <w:snapToGrid w:val="0"/>
                <w:sz w:val="24"/>
              </w:rPr>
              <w:t>The rate will be applied for the</w:t>
            </w:r>
            <w:r w:rsidRPr="00764D22">
              <w:rPr>
                <w:rFonts w:ascii="Times New Roman" w:hAnsi="Times New Roman"/>
                <w:snapToGrid w:val="0"/>
                <w:sz w:val="24"/>
              </w:rPr>
              <w:t xml:space="preserve"> number of days from the date the customer deposit is received by the Telephone Company to and including the date such deposit is credited to the customer's account or the date the deposit is refunded by the Telephone Company.  Should a deposit be credited to the customer's account, as indicated above, no interest will accrue on the deposit from the date such deposit is credited to the customer's account.</w:t>
            </w:r>
          </w:p>
          <w:p w14:paraId="19DDCC40" w14:textId="77777777" w:rsidR="00764D22" w:rsidRPr="00764D22" w:rsidRDefault="00764D22" w:rsidP="00764D22">
            <w:pPr>
              <w:tabs>
                <w:tab w:val="decimal" w:pos="360"/>
                <w:tab w:val="left" w:pos="620"/>
              </w:tabs>
              <w:spacing w:line="240" w:lineRule="exact"/>
              <w:ind w:left="620" w:hanging="620"/>
              <w:jc w:val="both"/>
              <w:rPr>
                <w:rFonts w:ascii="Times New Roman" w:hAnsi="Times New Roman"/>
                <w:sz w:val="24"/>
              </w:rPr>
            </w:pPr>
          </w:p>
          <w:p w14:paraId="19DDCC41" w14:textId="77777777" w:rsidR="00764D22" w:rsidRDefault="00764D22" w:rsidP="00764D22">
            <w:pPr>
              <w:spacing w:line="240" w:lineRule="exact"/>
              <w:rPr>
                <w:rFonts w:ascii="Times New Roman" w:hAnsi="Times New Roman"/>
                <w:sz w:val="24"/>
              </w:rPr>
            </w:pPr>
          </w:p>
          <w:p w14:paraId="19DDCC42" w14:textId="77777777" w:rsidR="00505598" w:rsidRPr="00764D22" w:rsidRDefault="00505598" w:rsidP="00764D22">
            <w:pPr>
              <w:spacing w:line="240" w:lineRule="exact"/>
              <w:rPr>
                <w:rFonts w:ascii="Times New Roman" w:hAnsi="Times New Roman"/>
                <w:sz w:val="24"/>
              </w:rPr>
            </w:pPr>
          </w:p>
        </w:tc>
        <w:tc>
          <w:tcPr>
            <w:tcW w:w="1080" w:type="dxa"/>
          </w:tcPr>
          <w:p w14:paraId="19DDCC43" w14:textId="77777777" w:rsidR="00764D22" w:rsidRDefault="00764D22" w:rsidP="00322C81">
            <w:pPr>
              <w:tabs>
                <w:tab w:val="right" w:pos="1060"/>
                <w:tab w:val="right" w:pos="10020"/>
                <w:tab w:val="decimal" w:pos="10800"/>
              </w:tabs>
              <w:spacing w:line="240" w:lineRule="exact"/>
              <w:jc w:val="center"/>
              <w:rPr>
                <w:rFonts w:ascii="Times New Roman" w:hAnsi="Times New Roman"/>
                <w:sz w:val="24"/>
              </w:rPr>
            </w:pPr>
          </w:p>
          <w:p w14:paraId="19DDCC44"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5"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6"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7"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8"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9"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A"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B"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C"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D"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E"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4F"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0"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1"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2"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3"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4"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5"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6"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7"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8"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9" w14:textId="77777777" w:rsidR="00322C81" w:rsidRDefault="00322C81" w:rsidP="00322C81">
            <w:pPr>
              <w:tabs>
                <w:tab w:val="right" w:pos="1060"/>
                <w:tab w:val="right" w:pos="10020"/>
                <w:tab w:val="decimal" w:pos="10800"/>
              </w:tabs>
              <w:spacing w:line="240" w:lineRule="exact"/>
              <w:jc w:val="center"/>
              <w:rPr>
                <w:rFonts w:ascii="Times New Roman" w:hAnsi="Times New Roman"/>
                <w:sz w:val="24"/>
              </w:rPr>
            </w:pPr>
          </w:p>
          <w:p w14:paraId="19DDCC5A" w14:textId="77777777" w:rsidR="00991E5A" w:rsidRDefault="00991E5A" w:rsidP="00322C81">
            <w:pPr>
              <w:tabs>
                <w:tab w:val="right" w:pos="1060"/>
                <w:tab w:val="right" w:pos="10020"/>
                <w:tab w:val="decimal" w:pos="10800"/>
              </w:tabs>
              <w:spacing w:line="240" w:lineRule="exact"/>
              <w:jc w:val="center"/>
              <w:rPr>
                <w:rFonts w:ascii="Times New Roman" w:hAnsi="Times New Roman"/>
                <w:sz w:val="24"/>
              </w:rPr>
            </w:pPr>
          </w:p>
          <w:p w14:paraId="19DDCC5B" w14:textId="77777777" w:rsidR="00991E5A" w:rsidRDefault="00991E5A" w:rsidP="00322C81">
            <w:pPr>
              <w:tabs>
                <w:tab w:val="right" w:pos="1060"/>
                <w:tab w:val="right" w:pos="10020"/>
                <w:tab w:val="decimal" w:pos="10800"/>
              </w:tabs>
              <w:spacing w:line="240" w:lineRule="exact"/>
              <w:jc w:val="center"/>
              <w:rPr>
                <w:rFonts w:ascii="Times New Roman" w:hAnsi="Times New Roman"/>
                <w:sz w:val="24"/>
              </w:rPr>
            </w:pPr>
          </w:p>
          <w:p w14:paraId="19DDCC5C" w14:textId="77777777" w:rsidR="00991E5A" w:rsidRDefault="00991E5A" w:rsidP="00322C81">
            <w:pPr>
              <w:tabs>
                <w:tab w:val="right" w:pos="1060"/>
                <w:tab w:val="right" w:pos="10020"/>
                <w:tab w:val="decimal" w:pos="10800"/>
              </w:tabs>
              <w:spacing w:line="240" w:lineRule="exact"/>
              <w:jc w:val="center"/>
              <w:rPr>
                <w:rFonts w:ascii="Times New Roman" w:hAnsi="Times New Roman"/>
                <w:sz w:val="24"/>
              </w:rPr>
            </w:pPr>
          </w:p>
          <w:p w14:paraId="19DDCC5D" w14:textId="77777777" w:rsidR="00991E5A" w:rsidRDefault="00991E5A" w:rsidP="00322C81">
            <w:pPr>
              <w:tabs>
                <w:tab w:val="right" w:pos="1060"/>
                <w:tab w:val="right" w:pos="10020"/>
                <w:tab w:val="decimal" w:pos="10800"/>
              </w:tabs>
              <w:spacing w:line="240" w:lineRule="exact"/>
              <w:jc w:val="center"/>
              <w:rPr>
                <w:rFonts w:ascii="Times New Roman" w:hAnsi="Times New Roman"/>
                <w:sz w:val="24"/>
              </w:rPr>
            </w:pPr>
          </w:p>
          <w:p w14:paraId="19DDCC5E" w14:textId="77777777" w:rsidR="00991E5A" w:rsidRDefault="00991E5A" w:rsidP="00322C81">
            <w:pPr>
              <w:tabs>
                <w:tab w:val="right" w:pos="1060"/>
                <w:tab w:val="right" w:pos="10020"/>
                <w:tab w:val="decimal" w:pos="10800"/>
              </w:tabs>
              <w:spacing w:line="240" w:lineRule="exact"/>
              <w:jc w:val="center"/>
              <w:rPr>
                <w:rFonts w:ascii="Times New Roman" w:hAnsi="Times New Roman"/>
                <w:sz w:val="24"/>
              </w:rPr>
            </w:pPr>
          </w:p>
          <w:p w14:paraId="19DDCC5F" w14:textId="77777777" w:rsidR="00011407" w:rsidRDefault="00E35095" w:rsidP="00322C81">
            <w:pPr>
              <w:tabs>
                <w:tab w:val="right" w:pos="1060"/>
                <w:tab w:val="right" w:pos="10020"/>
                <w:tab w:val="decimal" w:pos="10800"/>
              </w:tabs>
              <w:spacing w:line="240" w:lineRule="exact"/>
              <w:jc w:val="center"/>
              <w:rPr>
                <w:rFonts w:ascii="Times New Roman" w:hAnsi="Times New Roman"/>
                <w:sz w:val="24"/>
              </w:rPr>
            </w:pPr>
            <w:r>
              <w:rPr>
                <w:rFonts w:ascii="Times New Roman" w:hAnsi="Times New Roman"/>
                <w:sz w:val="24"/>
              </w:rPr>
              <w:t>(C)</w:t>
            </w:r>
          </w:p>
          <w:p w14:paraId="19DDCC60" w14:textId="77777777" w:rsidR="00322C81" w:rsidRDefault="00322C81" w:rsidP="00E35095">
            <w:pPr>
              <w:tabs>
                <w:tab w:val="bar" w:pos="555"/>
                <w:tab w:val="right" w:pos="1060"/>
                <w:tab w:val="right" w:pos="10020"/>
                <w:tab w:val="decimal" w:pos="10800"/>
              </w:tabs>
              <w:spacing w:line="240" w:lineRule="exact"/>
              <w:rPr>
                <w:rFonts w:ascii="Times New Roman" w:hAnsi="Times New Roman"/>
                <w:sz w:val="24"/>
              </w:rPr>
            </w:pPr>
          </w:p>
          <w:p w14:paraId="19DDCC61" w14:textId="77777777" w:rsidR="00322C81" w:rsidRPr="00764D22" w:rsidRDefault="00322C81" w:rsidP="00322C81">
            <w:pPr>
              <w:tabs>
                <w:tab w:val="right" w:pos="1060"/>
                <w:tab w:val="right" w:pos="10020"/>
                <w:tab w:val="decimal" w:pos="10800"/>
              </w:tabs>
              <w:spacing w:line="240" w:lineRule="exact"/>
              <w:jc w:val="center"/>
              <w:rPr>
                <w:rFonts w:ascii="Times New Roman" w:hAnsi="Times New Roman"/>
                <w:sz w:val="24"/>
              </w:rPr>
            </w:pPr>
            <w:r>
              <w:rPr>
                <w:rFonts w:ascii="Times New Roman" w:hAnsi="Times New Roman"/>
                <w:sz w:val="24"/>
              </w:rPr>
              <w:t>(C)</w:t>
            </w:r>
          </w:p>
        </w:tc>
      </w:tr>
    </w:tbl>
    <w:p w14:paraId="19DDCC63" w14:textId="77777777" w:rsidR="00764D22" w:rsidRPr="00764D22" w:rsidRDefault="00764D22" w:rsidP="00764D22">
      <w:pPr>
        <w:framePr w:wrap="auto" w:vAnchor="page" w:hAnchor="margin" w:y="14230"/>
        <w:tabs>
          <w:tab w:val="right" w:pos="8660"/>
        </w:tabs>
        <w:spacing w:line="240" w:lineRule="exact"/>
        <w:ind w:right="1060"/>
        <w:rPr>
          <w:rFonts w:ascii="Times New Roman" w:hAnsi="Times New Roman"/>
          <w:sz w:val="24"/>
        </w:rPr>
      </w:pPr>
      <w:r w:rsidRPr="00764D22">
        <w:rPr>
          <w:rFonts w:ascii="Times New Roman" w:hAnsi="Times New Roman"/>
          <w:sz w:val="24"/>
        </w:rPr>
        <w:t>Advice No. WA 1</w:t>
      </w:r>
      <w:r w:rsidR="009718E3">
        <w:rPr>
          <w:rFonts w:ascii="Times New Roman" w:hAnsi="Times New Roman"/>
          <w:sz w:val="24"/>
        </w:rPr>
        <w:t>7-01A</w:t>
      </w:r>
    </w:p>
    <w:p w14:paraId="19DDCC64" w14:textId="77777777" w:rsidR="00764D22" w:rsidRPr="00764D22" w:rsidRDefault="00764D22" w:rsidP="00764D22">
      <w:pPr>
        <w:framePr w:wrap="auto" w:vAnchor="page" w:hAnchor="margin" w:y="14230"/>
        <w:tabs>
          <w:tab w:val="right" w:pos="8660"/>
        </w:tabs>
        <w:spacing w:line="240" w:lineRule="exact"/>
        <w:ind w:right="1060"/>
        <w:rPr>
          <w:rFonts w:ascii="Times New Roman" w:hAnsi="Times New Roman"/>
          <w:sz w:val="24"/>
        </w:rPr>
      </w:pPr>
      <w:r w:rsidRPr="00764D22">
        <w:rPr>
          <w:rFonts w:ascii="Times New Roman" w:hAnsi="Times New Roman"/>
          <w:sz w:val="24"/>
        </w:rPr>
        <w:t xml:space="preserve">Issued:  </w:t>
      </w:r>
      <w:r w:rsidR="008F7EED">
        <w:rPr>
          <w:rFonts w:ascii="Times New Roman" w:hAnsi="Times New Roman"/>
          <w:sz w:val="24"/>
        </w:rPr>
        <w:t>March 1</w:t>
      </w:r>
      <w:r w:rsidR="009718E3" w:rsidRPr="005132DD">
        <w:rPr>
          <w:rFonts w:ascii="Times New Roman" w:hAnsi="Times New Roman"/>
          <w:sz w:val="24"/>
        </w:rPr>
        <w:t>, 2017</w:t>
      </w:r>
      <w:r w:rsidRPr="00764D22">
        <w:rPr>
          <w:rFonts w:ascii="Times New Roman" w:hAnsi="Times New Roman"/>
          <w:sz w:val="24"/>
        </w:rPr>
        <w:tab/>
        <w:t xml:space="preserve">Effective:  </w:t>
      </w:r>
      <w:r w:rsidR="009718E3">
        <w:rPr>
          <w:rFonts w:ascii="Times New Roman" w:hAnsi="Times New Roman"/>
          <w:sz w:val="24"/>
        </w:rPr>
        <w:t>April 1, 2017</w:t>
      </w:r>
    </w:p>
    <w:p w14:paraId="19DDCC65" w14:textId="77777777" w:rsidR="00764D22" w:rsidRPr="00764D22" w:rsidRDefault="00764D22" w:rsidP="00764D22">
      <w:pPr>
        <w:framePr w:wrap="auto" w:vAnchor="page" w:hAnchor="margin" w:y="14230"/>
        <w:tabs>
          <w:tab w:val="right" w:pos="8660"/>
        </w:tabs>
        <w:spacing w:line="240" w:lineRule="exact"/>
        <w:ind w:right="1060"/>
        <w:rPr>
          <w:rFonts w:ascii="Times New Roman" w:hAnsi="Times New Roman"/>
          <w:sz w:val="24"/>
        </w:rPr>
      </w:pPr>
      <w:r w:rsidRPr="00764D22">
        <w:rPr>
          <w:rFonts w:ascii="Times New Roman" w:hAnsi="Times New Roman"/>
          <w:sz w:val="24"/>
        </w:rPr>
        <w:t>By Mark Reynolds, Vice President - Washington</w:t>
      </w:r>
    </w:p>
    <w:p w14:paraId="19DDCC66" w14:textId="77777777" w:rsidR="00A67BC0" w:rsidRPr="00764D22" w:rsidRDefault="00A67BC0" w:rsidP="00505598"/>
    <w:sectPr w:rsidR="00A67BC0" w:rsidRPr="00764D22" w:rsidSect="00764D22">
      <w:pgSz w:w="12240" w:h="15840" w:code="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B4D1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186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B2E4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D44E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EAD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22"/>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07"/>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131"/>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0A3"/>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273F"/>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5DA6"/>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70C"/>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C81"/>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11"/>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598"/>
    <w:rsid w:val="00505C27"/>
    <w:rsid w:val="00506561"/>
    <w:rsid w:val="005069AA"/>
    <w:rsid w:val="00506A18"/>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2DD"/>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652"/>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15AE"/>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4D22"/>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53"/>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0B5"/>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8F7EED"/>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3E0"/>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4D20"/>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8E3"/>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E5A"/>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BF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3C92"/>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7E3"/>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BED"/>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5D2"/>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2E25"/>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723"/>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095"/>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6E41"/>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C9E"/>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ACC"/>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D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22"/>
    <w:pPr>
      <w:spacing w:line="240" w:lineRule="auto"/>
    </w:pPr>
    <w:rPr>
      <w:rFonts w:ascii="Arial" w:eastAsia="Times New Roman" w:hAnsi="Arial" w:cs="Times New Roman"/>
      <w:sz w:val="20"/>
      <w:szCs w:val="20"/>
      <w:lang w:bidi="ar-SA"/>
    </w:r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style>
  <w:style w:type="paragraph" w:styleId="Footer">
    <w:name w:val="footer"/>
    <w:basedOn w:val="Normal"/>
    <w:rsid w:val="00AC76E9"/>
    <w:pPr>
      <w:tabs>
        <w:tab w:val="center" w:pos="4320"/>
        <w:tab w:val="right" w:pos="8640"/>
      </w:tabs>
    </w:pPr>
  </w:style>
  <w:style w:type="paragraph" w:styleId="Header">
    <w:name w:val="header"/>
    <w:basedOn w:val="Normal"/>
    <w:rsid w:val="00AC76E9"/>
    <w:pPr>
      <w:tabs>
        <w:tab w:val="center" w:pos="4320"/>
        <w:tab w:val="right" w:pos="8640"/>
      </w:tabs>
    </w:p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rPr>
      <w:b/>
      <w:smallCaps/>
    </w:rPr>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rPr>
      <w:b/>
      <w:smallCaps/>
    </w:rPr>
  </w:style>
  <w:style w:type="character" w:customStyle="1" w:styleId="L2HeadingChar">
    <w:name w:val="L2Heading Char"/>
    <w:basedOn w:val="DefaultParagraphFont"/>
    <w:link w:val="L2Heading"/>
    <w:rsid w:val="00930679"/>
    <w:rPr>
      <w:b/>
      <w:smallCaps/>
    </w:rPr>
  </w:style>
  <w:style w:type="paragraph" w:customStyle="1" w:styleId="Default">
    <w:name w:val="Default"/>
    <w:rsid w:val="00554652"/>
    <w:pPr>
      <w:autoSpaceDE w:val="0"/>
      <w:autoSpaceDN w:val="0"/>
      <w:adjustRightInd w:val="0"/>
      <w:spacing w:line="240" w:lineRule="auto"/>
    </w:pPr>
    <w:rPr>
      <w:rFonts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38999">
      <w:bodyDiv w:val="1"/>
      <w:marLeft w:val="0"/>
      <w:marRight w:val="0"/>
      <w:marTop w:val="0"/>
      <w:marBottom w:val="0"/>
      <w:divBdr>
        <w:top w:val="none" w:sz="0" w:space="0" w:color="auto"/>
        <w:left w:val="none" w:sz="0" w:space="0" w:color="auto"/>
        <w:bottom w:val="none" w:sz="0" w:space="0" w:color="auto"/>
        <w:right w:val="none" w:sz="0" w:space="0" w:color="auto"/>
      </w:divBdr>
    </w:div>
    <w:div w:id="19044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2017-03-01T08:00:00+00:00</OpenedDate>
    <Date1 xmlns="dc463f71-b30c-4ab2-9473-d307f9d35888">2017-03-14T07:00:00+00:00</Date1>
    <IsDocumentOrder xmlns="dc463f71-b30c-4ab2-9473-d307f9d35888" xsi:nil="true"/>
    <IsHighlyConfidential xmlns="dc463f71-b30c-4ab2-9473-d307f9d35888">false</IsHighlyConfidential>
    <CaseCompanyNames xmlns="dc463f71-b30c-4ab2-9473-d307f9d35888">CenturyTel of Cowiche, Inc.;CenturyTel of Washington, Inc.;CenturyTel of Inter Island, Inc.</CaseCompanyNames>
    <Nickname xmlns="http://schemas.microsoft.com/sharepoint/v3" xsi:nil="true"/>
    <DocketNumber xmlns="dc463f71-b30c-4ab2-9473-d307f9d35888">170138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3298A22648504B8668F960BCC04C15" ma:contentTypeVersion="104" ma:contentTypeDescription="" ma:contentTypeScope="" ma:versionID="a39b822c9ae5dde446b0c8a67e453f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47C42DF-FD4F-4F0B-B9D5-E5BF6A1CA3EA}">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0083A4C1-5CB6-478A-BF49-2D2758E0E061}">
  <ds:schemaRefs>
    <ds:schemaRef ds:uri="http://schemas.microsoft.com/sharepoint/v3/contenttype/forms"/>
  </ds:schemaRefs>
</ds:datastoreItem>
</file>

<file path=customXml/itemProps3.xml><?xml version="1.0" encoding="utf-8"?>
<ds:datastoreItem xmlns:ds="http://schemas.openxmlformats.org/officeDocument/2006/customXml" ds:itemID="{B995A85B-CC15-4461-8D0E-5AA539BDA69C}"/>
</file>

<file path=customXml/itemProps4.xml><?xml version="1.0" encoding="utf-8"?>
<ds:datastoreItem xmlns:ds="http://schemas.openxmlformats.org/officeDocument/2006/customXml" ds:itemID="{ECD6A255-9355-4212-AA18-3E450CF00C6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2017-03-14T21:35:00Z</dcterms:created>
  <dcterms:modified xsi:type="dcterms:W3CDTF">2017-03-14T21:35:00Z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0x0101006E56B4D1795A2E4DB2F0B01679ED314A002C3298A22648504B8668F960BCC04C15</vt:lpwstr>
  </property>
  <property fmtid="{D5CDD505-2E9C-101B-9397-08002B2CF9AE}" pid="3" name="_docset_NoMedatataSyncRequired">
    <vt:lpwstr>False</vt:lpwstr>
  </property>
  <property fmtid="{D5CDD505-2E9C-101B-9397-08002B2CF9AE}" pid="4" name="IsEFSEC">
    <vt:bool>false</vt:bool>
  </property>
</Properties>
</file>