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September 15, 2016</w:t>
      </w:r>
    </w:p>
    <w:p w14:paraId="67C08B75" w14:textId="77777777" w:rsidR="00DF0FAA" w:rsidRPr="000F56AC" w:rsidRDefault="00DF0FAA" w:rsidP="00DF0FAA"/>
    <w:p w14:paraId="67C08B76" w14:textId="77777777" w:rsidR="00DF0FAA" w:rsidRPr="000F56AC" w:rsidRDefault="00DF0FAA" w:rsidP="00DF0FAA"/>
    <w:p>
      <w:r>
        <w:t>ANC Movers Inc.</w:t>
      </w:r>
    </w:p>
    <w:p>
      <w:r>
        <w:rPr>
          <w:rFonts w:eastAsiaTheme="minorHAnsi"/>
        </w:rPr>
        <w:t>PO Box 2307</w:t>
        <w:cr/>
        <w:t>Vancouver, WA 98668</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160930</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THG067366</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ANC Movers Inc.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July 22, 2016</w:t>
      </w:r>
      <w:r>
        <w:t xml:space="preserve">, </w:t>
      </w:r>
      <w:r>
        <w:t>ANC Movers Inc.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ANC Movers Inc.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ANC Movers Inc.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ANC Movers Inc.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ANC Movers Inc.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ANC Movers Inc.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2016-07-22T07:00:00+00:00</OpenedDate>
    <Date1 xmlns="dc463f71-b30c-4ab2-9473-d307f9d35888">2016-09-15T07:00:00+00:00</Date1>
    <IsDocumentOrder xmlns="dc463f71-b30c-4ab2-9473-d307f9d35888">true</IsDocumentOrder>
    <IsHighlyConfidential xmlns="dc463f71-b30c-4ab2-9473-d307f9d35888">false</IsHighlyConfidential>
    <CaseCompanyNames xmlns="dc463f71-b30c-4ab2-9473-d307f9d35888">ANC Movers Inc.</CaseCompanyNames>
    <DocketNumber xmlns="dc463f71-b30c-4ab2-9473-d307f9d35888">160930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4966D1364CFA47A1FC3D50EBC80906" ma:contentTypeVersion="104" ma:contentTypeDescription="" ma:contentTypeScope="" ma:versionID="486c6f12a64bb80de26b6545c80a7d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6DCA7-EC81-48AE-B1B0-18E3D2EA7787}"/>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496021AB-9DEC-4CB0-9ED2-16B6AFA2F4A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0x0101006E56B4D1795A2E4DB2F0B01679ED314A00DD4966D1364CFA47A1FC3D50EBC80906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