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21CF6A20" w14:textId="77777777" w:rsidTr="00F45919">
        <w:tc>
          <w:tcPr>
            <w:tcW w:w="4788" w:type="dxa"/>
          </w:tcPr>
          <w:p w14:paraId="5138B098" w14:textId="77777777" w:rsidR="00F86C06" w:rsidRPr="00663BBB" w:rsidRDefault="00F86C06" w:rsidP="00663BBB">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14:paraId="06DB94A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0E2B7EA"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04B65F6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6376D2A0"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7B26A7" w14:textId="77777777" w:rsidR="00F86C06" w:rsidRDefault="00F86C06" w:rsidP="00F45919">
            <w:pPr>
              <w:pStyle w:val="Header"/>
              <w:rPr>
                <w:rFonts w:cs="Arial"/>
                <w:b/>
                <w:bCs/>
                <w:sz w:val="18"/>
                <w:szCs w:val="18"/>
              </w:rPr>
            </w:pPr>
          </w:p>
        </w:tc>
        <w:tc>
          <w:tcPr>
            <w:tcW w:w="4788" w:type="dxa"/>
          </w:tcPr>
          <w:p w14:paraId="6F86CF66"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2D272106" w14:textId="77777777" w:rsidR="00FC1D02" w:rsidRDefault="00FC1D02" w:rsidP="00F45919">
      <w:pPr>
        <w:pStyle w:val="NoSpacing"/>
        <w:ind w:right="-270"/>
        <w:jc w:val="both"/>
        <w:rPr>
          <w:rFonts w:ascii="Times New Roman" w:hAnsi="Times New Roman"/>
          <w:sz w:val="24"/>
          <w:szCs w:val="24"/>
        </w:rPr>
      </w:pPr>
    </w:p>
    <w:p w14:paraId="512A9D06" w14:textId="77777777" w:rsidR="00F45919" w:rsidRDefault="00AE5EB4" w:rsidP="00F45919">
      <w:pPr>
        <w:pStyle w:val="NoSpacing"/>
        <w:ind w:right="-270"/>
        <w:jc w:val="both"/>
        <w:rPr>
          <w:rFonts w:ascii="Times New Roman" w:hAnsi="Times New Roman"/>
          <w:sz w:val="24"/>
          <w:szCs w:val="24"/>
        </w:rPr>
      </w:pPr>
      <w:r>
        <w:rPr>
          <w:rFonts w:ascii="Times New Roman" w:hAnsi="Times New Roman"/>
          <w:sz w:val="24"/>
          <w:szCs w:val="24"/>
        </w:rPr>
        <w:t>August 16, 2016</w:t>
      </w:r>
    </w:p>
    <w:p w14:paraId="6AD6D1B5" w14:textId="77777777" w:rsidR="00FC1D02" w:rsidRPr="00C4686F" w:rsidRDefault="00FC1D02" w:rsidP="00F45919">
      <w:pPr>
        <w:pStyle w:val="NoSpacing"/>
        <w:ind w:right="-270"/>
        <w:jc w:val="both"/>
        <w:rPr>
          <w:rFonts w:ascii="Times New Roman" w:hAnsi="Times New Roman"/>
          <w:sz w:val="24"/>
          <w:szCs w:val="24"/>
        </w:rPr>
      </w:pPr>
    </w:p>
    <w:p w14:paraId="4E38077C" w14:textId="77777777" w:rsidR="00F45919" w:rsidRPr="00C4686F" w:rsidRDefault="00F45919" w:rsidP="00F45919">
      <w:pPr>
        <w:pStyle w:val="NoSpacing"/>
        <w:ind w:right="-270"/>
        <w:jc w:val="both"/>
        <w:rPr>
          <w:rFonts w:ascii="Times New Roman" w:hAnsi="Times New Roman"/>
          <w:sz w:val="24"/>
          <w:szCs w:val="24"/>
        </w:rPr>
      </w:pPr>
    </w:p>
    <w:p w14:paraId="56840E44"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14:paraId="232427F6" w14:textId="77777777" w:rsidR="00F45919" w:rsidRPr="00C4686F" w:rsidRDefault="00F45919" w:rsidP="00F45919">
      <w:pPr>
        <w:pStyle w:val="NoSpacing"/>
        <w:ind w:right="-270"/>
        <w:jc w:val="both"/>
        <w:rPr>
          <w:rFonts w:ascii="Times New Roman" w:hAnsi="Times New Roman"/>
          <w:b/>
          <w:sz w:val="24"/>
          <w:szCs w:val="24"/>
          <w:u w:val="single"/>
        </w:rPr>
      </w:pPr>
    </w:p>
    <w:p w14:paraId="3D1DD95D"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3D28AC30"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5C627A63"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48FE16B5"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56BA096D"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3A08751D"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71819D31" w14:textId="77777777" w:rsidR="00F45919" w:rsidRPr="004E6D17" w:rsidRDefault="00F45919" w:rsidP="00F45919">
      <w:pPr>
        <w:pStyle w:val="NoSpacing"/>
        <w:ind w:right="-270"/>
        <w:jc w:val="both"/>
        <w:rPr>
          <w:rFonts w:ascii="Times New Roman" w:hAnsi="Times New Roman"/>
          <w:b/>
          <w:sz w:val="24"/>
          <w:szCs w:val="24"/>
          <w:u w:val="single"/>
        </w:rPr>
      </w:pPr>
    </w:p>
    <w:p w14:paraId="147861D5" w14:textId="2748E58E"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E5EB4">
        <w:rPr>
          <w:rFonts w:ascii="Times New Roman" w:hAnsi="Times New Roman"/>
          <w:sz w:val="24"/>
          <w:szCs w:val="24"/>
        </w:rPr>
        <w:t xml:space="preserve">UE-160799 </w:t>
      </w:r>
      <w:r w:rsidR="00D96E8B">
        <w:rPr>
          <w:rFonts w:ascii="Times New Roman" w:hAnsi="Times New Roman"/>
          <w:sz w:val="24"/>
          <w:szCs w:val="24"/>
        </w:rPr>
        <w:t xml:space="preserve">- </w:t>
      </w:r>
      <w:r w:rsidR="008A797C">
        <w:rPr>
          <w:rFonts w:ascii="Times New Roman" w:hAnsi="Times New Roman"/>
          <w:sz w:val="24"/>
          <w:szCs w:val="24"/>
        </w:rPr>
        <w:t>Comments of Avista Utilities</w:t>
      </w:r>
      <w:r w:rsidR="00F3153E">
        <w:rPr>
          <w:rFonts w:ascii="Times New Roman" w:hAnsi="Times New Roman"/>
          <w:sz w:val="24"/>
          <w:szCs w:val="24"/>
        </w:rPr>
        <w:t>: Electric Vehicle Supply Equipment</w:t>
      </w:r>
    </w:p>
    <w:p w14:paraId="694DD3C3" w14:textId="77777777" w:rsidR="00F45919" w:rsidRPr="00F45919" w:rsidRDefault="00F45919" w:rsidP="00F45919">
      <w:pPr>
        <w:pStyle w:val="NoSpacing"/>
        <w:ind w:right="-270"/>
        <w:jc w:val="both"/>
        <w:rPr>
          <w:rFonts w:ascii="Times New Roman" w:hAnsi="Times New Roman"/>
          <w:sz w:val="24"/>
          <w:szCs w:val="24"/>
        </w:rPr>
      </w:pPr>
    </w:p>
    <w:p w14:paraId="69C1C032" w14:textId="77777777"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48F72EA2" w14:textId="77777777" w:rsidR="001D5E5E" w:rsidRDefault="001D5E5E" w:rsidP="003D2B0E">
      <w:pPr>
        <w:pStyle w:val="NoSpacing"/>
        <w:spacing w:line="360" w:lineRule="auto"/>
        <w:ind w:firstLine="720"/>
        <w:jc w:val="both"/>
        <w:rPr>
          <w:rFonts w:ascii="Times New Roman" w:hAnsi="Times New Roman"/>
          <w:sz w:val="24"/>
          <w:szCs w:val="24"/>
        </w:rPr>
      </w:pPr>
    </w:p>
    <w:p w14:paraId="4DC4C8FA" w14:textId="77777777" w:rsidR="003D2B0E" w:rsidRDefault="00F45919"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3D2B0E">
        <w:rPr>
          <w:rFonts w:ascii="Times New Roman" w:hAnsi="Times New Roman"/>
          <w:sz w:val="24"/>
          <w:szCs w:val="24"/>
        </w:rPr>
        <w:t xml:space="preserve">otice) issued in Docket </w:t>
      </w:r>
      <w:r w:rsidR="00AE5EB4">
        <w:rPr>
          <w:rFonts w:ascii="Times New Roman" w:hAnsi="Times New Roman"/>
          <w:sz w:val="24"/>
          <w:szCs w:val="24"/>
        </w:rPr>
        <w:t>UE-160799</w:t>
      </w:r>
      <w:r w:rsidR="00D42609">
        <w:rPr>
          <w:rFonts w:ascii="Times New Roman" w:hAnsi="Times New Roman"/>
          <w:sz w:val="24"/>
          <w:szCs w:val="24"/>
        </w:rPr>
        <w:t>.</w:t>
      </w:r>
    </w:p>
    <w:p w14:paraId="115F0DA4" w14:textId="77777777" w:rsidR="00D42609" w:rsidRPr="003D2B0E" w:rsidRDefault="00D42609" w:rsidP="00407476">
      <w:pPr>
        <w:pStyle w:val="NoSpacing"/>
        <w:ind w:firstLine="720"/>
        <w:jc w:val="both"/>
        <w:rPr>
          <w:rFonts w:ascii="Times New Roman" w:hAnsi="Times New Roman"/>
          <w:sz w:val="24"/>
          <w:szCs w:val="24"/>
        </w:rPr>
      </w:pPr>
    </w:p>
    <w:p w14:paraId="069B18DC" w14:textId="728FD9AD" w:rsidR="00D42609" w:rsidRDefault="00AE5EB4"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T</w:t>
      </w:r>
      <w:r w:rsidR="003D2B0E" w:rsidRPr="003D2B0E">
        <w:rPr>
          <w:rFonts w:ascii="Times New Roman" w:hAnsi="Times New Roman"/>
          <w:sz w:val="24"/>
          <w:szCs w:val="24"/>
        </w:rPr>
        <w:t xml:space="preserve">he </w:t>
      </w:r>
      <w:r w:rsidR="00F3153E">
        <w:rPr>
          <w:rFonts w:ascii="Times New Roman" w:hAnsi="Times New Roman"/>
          <w:sz w:val="24"/>
          <w:szCs w:val="24"/>
        </w:rPr>
        <w:t>Commission</w:t>
      </w:r>
      <w:r w:rsidR="003D2B0E" w:rsidRPr="003D2B0E">
        <w:rPr>
          <w:rFonts w:ascii="Times New Roman" w:hAnsi="Times New Roman"/>
          <w:sz w:val="24"/>
          <w:szCs w:val="24"/>
        </w:rPr>
        <w:t xml:space="preserve"> </w:t>
      </w:r>
      <w:r w:rsidR="00D42609">
        <w:rPr>
          <w:rFonts w:ascii="Times New Roman" w:hAnsi="Times New Roman"/>
          <w:sz w:val="24"/>
          <w:szCs w:val="24"/>
        </w:rPr>
        <w:t xml:space="preserve">established Docket </w:t>
      </w:r>
      <w:r>
        <w:rPr>
          <w:rFonts w:ascii="Times New Roman" w:hAnsi="Times New Roman"/>
          <w:sz w:val="24"/>
          <w:szCs w:val="24"/>
        </w:rPr>
        <w:t>UE-160799</w:t>
      </w:r>
      <w:r w:rsidR="00D42609">
        <w:rPr>
          <w:rFonts w:ascii="Times New Roman" w:hAnsi="Times New Roman"/>
          <w:sz w:val="24"/>
          <w:szCs w:val="24"/>
        </w:rPr>
        <w:t xml:space="preserve"> </w:t>
      </w:r>
      <w:r>
        <w:rPr>
          <w:rFonts w:ascii="Times New Roman" w:hAnsi="Times New Roman"/>
          <w:sz w:val="24"/>
          <w:szCs w:val="24"/>
        </w:rPr>
        <w:t>“to assist the Commission in determining whether to open a rulemaking or issue a policy statement” rel</w:t>
      </w:r>
      <w:r w:rsidR="005A2764">
        <w:rPr>
          <w:rFonts w:ascii="Times New Roman" w:hAnsi="Times New Roman"/>
          <w:sz w:val="24"/>
          <w:szCs w:val="24"/>
        </w:rPr>
        <w:t>ating to utility investment in E</w:t>
      </w:r>
      <w:r>
        <w:rPr>
          <w:rFonts w:ascii="Times New Roman" w:hAnsi="Times New Roman"/>
          <w:sz w:val="24"/>
          <w:szCs w:val="24"/>
        </w:rPr>
        <w:t xml:space="preserve">lectric </w:t>
      </w:r>
      <w:r w:rsidR="005A2764">
        <w:rPr>
          <w:rFonts w:ascii="Times New Roman" w:hAnsi="Times New Roman"/>
          <w:sz w:val="24"/>
          <w:szCs w:val="24"/>
        </w:rPr>
        <w:t>V</w:t>
      </w:r>
      <w:r>
        <w:rPr>
          <w:rFonts w:ascii="Times New Roman" w:hAnsi="Times New Roman"/>
          <w:sz w:val="24"/>
          <w:szCs w:val="24"/>
        </w:rPr>
        <w:t xml:space="preserve">ehicle </w:t>
      </w:r>
      <w:r w:rsidR="005A2764">
        <w:rPr>
          <w:rFonts w:ascii="Times New Roman" w:hAnsi="Times New Roman"/>
          <w:sz w:val="24"/>
          <w:szCs w:val="24"/>
        </w:rPr>
        <w:t>S</w:t>
      </w:r>
      <w:r>
        <w:rPr>
          <w:rFonts w:ascii="Times New Roman" w:hAnsi="Times New Roman"/>
          <w:sz w:val="24"/>
          <w:szCs w:val="24"/>
        </w:rPr>
        <w:t xml:space="preserve">upply </w:t>
      </w:r>
      <w:r w:rsidR="005A2764">
        <w:rPr>
          <w:rFonts w:ascii="Times New Roman" w:hAnsi="Times New Roman"/>
          <w:sz w:val="24"/>
          <w:szCs w:val="24"/>
        </w:rPr>
        <w:t>E</w:t>
      </w:r>
      <w:r>
        <w:rPr>
          <w:rFonts w:ascii="Times New Roman" w:hAnsi="Times New Roman"/>
          <w:sz w:val="24"/>
          <w:szCs w:val="24"/>
        </w:rPr>
        <w:t>quipment (EVSE) pursuant to RCW 80.28.360</w:t>
      </w:r>
      <w:r w:rsidR="00D42609" w:rsidRPr="00D42609">
        <w:rPr>
          <w:rFonts w:ascii="Times New Roman" w:hAnsi="Times New Roman"/>
          <w:sz w:val="24"/>
          <w:szCs w:val="24"/>
        </w:rPr>
        <w:t>.</w:t>
      </w:r>
      <w:r w:rsidR="00D42609">
        <w:rPr>
          <w:rFonts w:ascii="Times New Roman" w:hAnsi="Times New Roman"/>
          <w:sz w:val="24"/>
          <w:szCs w:val="24"/>
        </w:rPr>
        <w:t xml:space="preserve"> </w:t>
      </w:r>
      <w:r w:rsidR="003D2B0E">
        <w:rPr>
          <w:rFonts w:ascii="Times New Roman" w:hAnsi="Times New Roman"/>
          <w:sz w:val="24"/>
          <w:szCs w:val="24"/>
        </w:rPr>
        <w:t xml:space="preserve">The Commission’s notice, dated </w:t>
      </w:r>
      <w:r>
        <w:rPr>
          <w:rFonts w:ascii="Times New Roman" w:hAnsi="Times New Roman"/>
          <w:sz w:val="24"/>
          <w:szCs w:val="24"/>
        </w:rPr>
        <w:t>June 24, 2016</w:t>
      </w:r>
      <w:r w:rsidR="003D2B0E">
        <w:rPr>
          <w:rFonts w:ascii="Times New Roman" w:hAnsi="Times New Roman"/>
          <w:sz w:val="24"/>
          <w:szCs w:val="24"/>
        </w:rPr>
        <w:t>, i</w:t>
      </w:r>
      <w:r w:rsidR="00D42609">
        <w:rPr>
          <w:rFonts w:ascii="Times New Roman" w:hAnsi="Times New Roman"/>
          <w:sz w:val="24"/>
          <w:szCs w:val="24"/>
        </w:rPr>
        <w:t>s seeking written comments in this newly established Docket</w:t>
      </w:r>
      <w:r w:rsidR="003D2B0E" w:rsidRPr="003D2B0E">
        <w:rPr>
          <w:rFonts w:ascii="Times New Roman" w:hAnsi="Times New Roman"/>
          <w:sz w:val="24"/>
          <w:szCs w:val="24"/>
        </w:rPr>
        <w:t xml:space="preserve">. </w:t>
      </w:r>
    </w:p>
    <w:p w14:paraId="07155FF4" w14:textId="77777777" w:rsidR="00D42609" w:rsidRDefault="00D42609" w:rsidP="004D1DBE">
      <w:pPr>
        <w:pStyle w:val="NoSpacing"/>
        <w:ind w:firstLine="720"/>
        <w:jc w:val="both"/>
        <w:rPr>
          <w:rFonts w:ascii="Times New Roman" w:hAnsi="Times New Roman"/>
          <w:sz w:val="24"/>
          <w:szCs w:val="24"/>
        </w:rPr>
      </w:pPr>
    </w:p>
    <w:p w14:paraId="5A0ED7AD" w14:textId="6B516933" w:rsidR="00AE5EB4" w:rsidRDefault="00AE5EB4"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As referenced in the notice Avista filed </w:t>
      </w:r>
      <w:r w:rsidR="00E75691">
        <w:rPr>
          <w:rFonts w:ascii="Times New Roman" w:hAnsi="Times New Roman"/>
          <w:sz w:val="24"/>
          <w:szCs w:val="24"/>
        </w:rPr>
        <w:t xml:space="preserve">a </w:t>
      </w:r>
      <w:r>
        <w:rPr>
          <w:rFonts w:ascii="Times New Roman" w:hAnsi="Times New Roman"/>
          <w:sz w:val="24"/>
          <w:szCs w:val="24"/>
        </w:rPr>
        <w:t>tariff on January 14, 2016, in Docket UE-160082, seeking approval of an EVSE pilot program in which the Company would install 265 AC Level 2</w:t>
      </w:r>
      <w:r>
        <w:rPr>
          <w:rStyle w:val="FootnoteReference"/>
          <w:rFonts w:ascii="Times New Roman" w:hAnsi="Times New Roman"/>
          <w:sz w:val="24"/>
          <w:szCs w:val="24"/>
        </w:rPr>
        <w:footnoteReference w:id="1"/>
      </w:r>
      <w:r>
        <w:rPr>
          <w:rFonts w:ascii="Times New Roman" w:hAnsi="Times New Roman"/>
          <w:sz w:val="24"/>
          <w:szCs w:val="24"/>
        </w:rPr>
        <w:t xml:space="preserve"> charger port connections and seven DC fast chargers</w:t>
      </w:r>
      <w:r>
        <w:rPr>
          <w:rStyle w:val="FootnoteReference"/>
          <w:rFonts w:ascii="Times New Roman" w:hAnsi="Times New Roman"/>
          <w:sz w:val="24"/>
          <w:szCs w:val="24"/>
        </w:rPr>
        <w:footnoteReference w:id="2"/>
      </w:r>
      <w:r>
        <w:rPr>
          <w:rFonts w:ascii="Times New Roman" w:hAnsi="Times New Roman"/>
          <w:sz w:val="24"/>
          <w:szCs w:val="24"/>
        </w:rPr>
        <w:t xml:space="preserve">.  On April 28, 2016, the Commission issued Order 01 approving Avista’s EVSE pilot program subject to certain conditions.  Through the proceeding several policy questions </w:t>
      </w:r>
      <w:r w:rsidR="00840B2A">
        <w:rPr>
          <w:rFonts w:ascii="Times New Roman" w:hAnsi="Times New Roman"/>
          <w:sz w:val="24"/>
          <w:szCs w:val="24"/>
        </w:rPr>
        <w:t xml:space="preserve">were </w:t>
      </w:r>
      <w:r>
        <w:rPr>
          <w:rFonts w:ascii="Times New Roman" w:hAnsi="Times New Roman"/>
          <w:sz w:val="24"/>
          <w:szCs w:val="24"/>
        </w:rPr>
        <w:t xml:space="preserve">raised relating to </w:t>
      </w:r>
      <w:r w:rsidR="00840B2A">
        <w:rPr>
          <w:rFonts w:ascii="Times New Roman" w:hAnsi="Times New Roman"/>
          <w:sz w:val="24"/>
          <w:szCs w:val="24"/>
        </w:rPr>
        <w:t xml:space="preserve">RCW 80.28.360 and how utilities </w:t>
      </w:r>
      <w:r w:rsidR="00E75691">
        <w:rPr>
          <w:rFonts w:ascii="Times New Roman" w:hAnsi="Times New Roman"/>
          <w:sz w:val="24"/>
          <w:szCs w:val="24"/>
        </w:rPr>
        <w:t xml:space="preserve">may </w:t>
      </w:r>
      <w:r w:rsidR="00840B2A">
        <w:rPr>
          <w:rFonts w:ascii="Times New Roman" w:hAnsi="Times New Roman"/>
          <w:sz w:val="24"/>
          <w:szCs w:val="24"/>
        </w:rPr>
        <w:t>implement EVSE program</w:t>
      </w:r>
      <w:r w:rsidR="00E75691">
        <w:rPr>
          <w:rFonts w:ascii="Times New Roman" w:hAnsi="Times New Roman"/>
          <w:sz w:val="24"/>
          <w:szCs w:val="24"/>
        </w:rPr>
        <w:t>s</w:t>
      </w:r>
      <w:r w:rsidR="00840B2A">
        <w:rPr>
          <w:rFonts w:ascii="Times New Roman" w:hAnsi="Times New Roman"/>
          <w:sz w:val="24"/>
          <w:szCs w:val="24"/>
        </w:rPr>
        <w:t>.  As a result the Commission noted in Order 01 that it intended to initiate a policy workshop</w:t>
      </w:r>
      <w:r w:rsidR="00381CA4">
        <w:rPr>
          <w:rFonts w:ascii="Times New Roman" w:hAnsi="Times New Roman"/>
          <w:sz w:val="24"/>
          <w:szCs w:val="24"/>
        </w:rPr>
        <w:t xml:space="preserve"> process</w:t>
      </w:r>
      <w:r w:rsidR="00840B2A">
        <w:rPr>
          <w:rFonts w:ascii="Times New Roman" w:hAnsi="Times New Roman"/>
          <w:sz w:val="24"/>
          <w:szCs w:val="24"/>
        </w:rPr>
        <w:t xml:space="preserve"> to address the questions raised, which it has now done.</w:t>
      </w:r>
      <w:r>
        <w:rPr>
          <w:rFonts w:ascii="Times New Roman" w:hAnsi="Times New Roman"/>
          <w:sz w:val="24"/>
          <w:szCs w:val="24"/>
        </w:rPr>
        <w:t xml:space="preserve"> </w:t>
      </w:r>
    </w:p>
    <w:p w14:paraId="0674DEFE" w14:textId="77777777" w:rsidR="00AE5EB4" w:rsidRDefault="00AE5EB4" w:rsidP="00D42609">
      <w:pPr>
        <w:pStyle w:val="NoSpacing"/>
        <w:spacing w:line="360" w:lineRule="auto"/>
        <w:ind w:firstLine="720"/>
        <w:jc w:val="both"/>
        <w:rPr>
          <w:rFonts w:ascii="Times New Roman" w:hAnsi="Times New Roman"/>
          <w:sz w:val="24"/>
          <w:szCs w:val="24"/>
        </w:rPr>
      </w:pPr>
    </w:p>
    <w:p w14:paraId="4C9B7344" w14:textId="77777777" w:rsidR="003D2B0E" w:rsidRDefault="004D1DBE"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Avista appreciates the opportunity to provide the </w:t>
      </w:r>
      <w:r w:rsidR="003D2B0E">
        <w:rPr>
          <w:rFonts w:ascii="Times New Roman" w:hAnsi="Times New Roman"/>
          <w:sz w:val="24"/>
          <w:szCs w:val="24"/>
        </w:rPr>
        <w:t xml:space="preserve">following </w:t>
      </w:r>
      <w:r>
        <w:rPr>
          <w:rFonts w:ascii="Times New Roman" w:hAnsi="Times New Roman"/>
          <w:sz w:val="24"/>
          <w:szCs w:val="24"/>
        </w:rPr>
        <w:t xml:space="preserve">comments </w:t>
      </w:r>
      <w:r w:rsidR="003D2B0E">
        <w:rPr>
          <w:rFonts w:ascii="Times New Roman" w:hAnsi="Times New Roman"/>
          <w:sz w:val="24"/>
          <w:szCs w:val="24"/>
        </w:rPr>
        <w:t xml:space="preserve">in response to the Commission’s specific </w:t>
      </w:r>
      <w:r w:rsidR="00840B2A">
        <w:rPr>
          <w:rFonts w:ascii="Times New Roman" w:hAnsi="Times New Roman"/>
          <w:sz w:val="24"/>
          <w:szCs w:val="24"/>
        </w:rPr>
        <w:t xml:space="preserve">policy </w:t>
      </w:r>
      <w:r w:rsidR="003D2B0E">
        <w:rPr>
          <w:rFonts w:ascii="Times New Roman" w:hAnsi="Times New Roman"/>
          <w:sz w:val="24"/>
          <w:szCs w:val="24"/>
        </w:rPr>
        <w:t>questions</w:t>
      </w:r>
      <w:r w:rsidR="00840B2A">
        <w:rPr>
          <w:rFonts w:ascii="Times New Roman" w:hAnsi="Times New Roman"/>
          <w:sz w:val="24"/>
          <w:szCs w:val="24"/>
        </w:rPr>
        <w:t xml:space="preserve"> regarding utilities’ EVSE programs</w:t>
      </w:r>
      <w:r w:rsidR="003D2B0E">
        <w:rPr>
          <w:rFonts w:ascii="Times New Roman" w:hAnsi="Times New Roman"/>
          <w:sz w:val="24"/>
          <w:szCs w:val="24"/>
        </w:rPr>
        <w:t>:</w:t>
      </w:r>
    </w:p>
    <w:p w14:paraId="02A1CC00" w14:textId="77777777" w:rsidR="00D42609" w:rsidRDefault="00D42609" w:rsidP="00D42609">
      <w:pPr>
        <w:spacing w:line="360" w:lineRule="auto"/>
        <w:jc w:val="both"/>
        <w:rPr>
          <w:rFonts w:ascii="Times New Roman" w:eastAsia="Calibri" w:hAnsi="Times New Roman" w:cs="Times New Roman"/>
          <w:b/>
        </w:rPr>
      </w:pPr>
    </w:p>
    <w:p w14:paraId="141BDCBE" w14:textId="77777777" w:rsidR="00840B2A" w:rsidRPr="00F3153E" w:rsidRDefault="00840B2A" w:rsidP="00840B2A">
      <w:pPr>
        <w:pStyle w:val="ListParagraph"/>
        <w:numPr>
          <w:ilvl w:val="0"/>
          <w:numId w:val="18"/>
        </w:numPr>
        <w:autoSpaceDE w:val="0"/>
        <w:autoSpaceDN w:val="0"/>
        <w:adjustRightInd w:val="0"/>
        <w:spacing w:after="83"/>
        <w:rPr>
          <w:b/>
          <w:color w:val="000000"/>
          <w:szCs w:val="23"/>
        </w:rPr>
      </w:pPr>
      <w:r w:rsidRPr="00F3153E">
        <w:rPr>
          <w:b/>
          <w:color w:val="000000"/>
          <w:szCs w:val="23"/>
        </w:rPr>
        <w:t xml:space="preserve">RCW 80.28.360 authorizes the Commission to allow an incentive rate of return on investment on capital expenditures for electric vehicle supply equipment under certain circumstances. In addition to being installed after July 1, 2015, the law identifies several criteria for the capital expenditures to qualify for the incentive rate of return. How should an electrical company demonstrate that capital expenditures for EVSE meet each of the following criteria in the law: </w:t>
      </w:r>
    </w:p>
    <w:p w14:paraId="0BF0161B" w14:textId="77777777" w:rsidR="00840B2A" w:rsidRPr="00F3153E" w:rsidRDefault="00840B2A" w:rsidP="00840B2A">
      <w:pPr>
        <w:pStyle w:val="ListParagraph"/>
        <w:numPr>
          <w:ilvl w:val="0"/>
          <w:numId w:val="19"/>
        </w:numPr>
        <w:autoSpaceDE w:val="0"/>
        <w:autoSpaceDN w:val="0"/>
        <w:adjustRightInd w:val="0"/>
        <w:spacing w:after="83"/>
        <w:rPr>
          <w:b/>
          <w:color w:val="000000"/>
          <w:szCs w:val="23"/>
        </w:rPr>
      </w:pPr>
      <w:r w:rsidRPr="00F3153E">
        <w:rPr>
          <w:b/>
          <w:color w:val="000000"/>
          <w:szCs w:val="23"/>
        </w:rPr>
        <w:t xml:space="preserve">The capital expenditures do not increase costs to ratepayers in excess of one-quarter of one percent, </w:t>
      </w:r>
    </w:p>
    <w:p w14:paraId="148CD351" w14:textId="77777777" w:rsidR="00840B2A" w:rsidRPr="00F3153E" w:rsidRDefault="00840B2A" w:rsidP="00840B2A">
      <w:pPr>
        <w:pStyle w:val="ListParagraph"/>
        <w:numPr>
          <w:ilvl w:val="0"/>
          <w:numId w:val="19"/>
        </w:numPr>
        <w:autoSpaceDE w:val="0"/>
        <w:autoSpaceDN w:val="0"/>
        <w:adjustRightInd w:val="0"/>
        <w:spacing w:after="83"/>
        <w:rPr>
          <w:b/>
          <w:color w:val="000000"/>
          <w:szCs w:val="23"/>
        </w:rPr>
      </w:pPr>
      <w:r w:rsidRPr="00F3153E">
        <w:rPr>
          <w:b/>
          <w:color w:val="000000"/>
          <w:szCs w:val="23"/>
        </w:rPr>
        <w:t xml:space="preserve">The EVSE investments are pursued on a fully regulated basis similar to other capital investments behind a customer’s meter, and </w:t>
      </w:r>
    </w:p>
    <w:p w14:paraId="7993852B" w14:textId="77777777" w:rsidR="00840B2A" w:rsidRPr="00F3153E" w:rsidRDefault="00840B2A" w:rsidP="00840B2A">
      <w:pPr>
        <w:pStyle w:val="ListParagraph"/>
        <w:numPr>
          <w:ilvl w:val="0"/>
          <w:numId w:val="19"/>
        </w:numPr>
        <w:autoSpaceDE w:val="0"/>
        <w:autoSpaceDN w:val="0"/>
        <w:adjustRightInd w:val="0"/>
        <w:rPr>
          <w:b/>
          <w:color w:val="000000"/>
          <w:szCs w:val="23"/>
        </w:rPr>
      </w:pPr>
      <w:r w:rsidRPr="00F3153E">
        <w:rPr>
          <w:b/>
          <w:color w:val="000000"/>
          <w:szCs w:val="23"/>
        </w:rPr>
        <w:t xml:space="preserve">The projects are installed and located where electric vehicles are most likely to be parked for intervals longer than two hours. </w:t>
      </w:r>
    </w:p>
    <w:p w14:paraId="2B68AC0C" w14:textId="77777777" w:rsidR="00D42609" w:rsidRPr="00D42609" w:rsidRDefault="00D42609" w:rsidP="00D42609">
      <w:pPr>
        <w:spacing w:line="360" w:lineRule="auto"/>
        <w:jc w:val="both"/>
        <w:rPr>
          <w:rFonts w:ascii="Times New Roman" w:eastAsia="Calibri" w:hAnsi="Times New Roman" w:cs="Times New Roman"/>
        </w:rPr>
      </w:pPr>
    </w:p>
    <w:p w14:paraId="699D11B6" w14:textId="3320E2C2" w:rsidR="00EF335F" w:rsidRDefault="004D1DBE" w:rsidP="00F3153E">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r w:rsidR="007C6D2C" w:rsidRPr="00D3585F">
        <w:rPr>
          <w:rFonts w:ascii="Times New Roman" w:eastAsia="Calibri" w:hAnsi="Times New Roman" w:cs="Times New Roman"/>
          <w:b/>
        </w:rPr>
        <w:t>a</w:t>
      </w:r>
      <w:r w:rsidR="00C52CD3" w:rsidRPr="00D3585F">
        <w:rPr>
          <w:rFonts w:ascii="Times New Roman" w:eastAsia="Calibri" w:hAnsi="Times New Roman" w:cs="Times New Roman"/>
          <w:b/>
        </w:rPr>
        <w:t>)</w:t>
      </w:r>
      <w:r w:rsidR="002D74BF">
        <w:rPr>
          <w:rFonts w:ascii="Times New Roman" w:eastAsia="Calibri" w:hAnsi="Times New Roman" w:cs="Times New Roman"/>
          <w:b/>
        </w:rPr>
        <w:t xml:space="preserve"> How should an electrical company demonstrate that capital expenditures for EVSE do not increase costs to ratepayers in excess of one-quarter of one percent?</w:t>
      </w:r>
      <w:r w:rsidR="00C52CD3">
        <w:rPr>
          <w:rFonts w:ascii="Times New Roman" w:eastAsia="Calibri" w:hAnsi="Times New Roman" w:cs="Times New Roman"/>
        </w:rPr>
        <w:t xml:space="preserve"> </w:t>
      </w:r>
      <w:r w:rsidR="00EF335F">
        <w:rPr>
          <w:rFonts w:ascii="Times New Roman" w:eastAsia="Calibri" w:hAnsi="Times New Roman" w:cs="Times New Roman"/>
        </w:rPr>
        <w:t xml:space="preserve">Electrical companies should demonstrate that capital expenditures for EVSE do not increase </w:t>
      </w:r>
      <w:r w:rsidR="002D74BF">
        <w:rPr>
          <w:rFonts w:ascii="Times New Roman" w:eastAsia="Calibri" w:hAnsi="Times New Roman" w:cs="Times New Roman"/>
        </w:rPr>
        <w:t xml:space="preserve">net </w:t>
      </w:r>
      <w:r w:rsidR="00EF335F">
        <w:rPr>
          <w:rFonts w:ascii="Times New Roman" w:eastAsia="Calibri" w:hAnsi="Times New Roman" w:cs="Times New Roman"/>
        </w:rPr>
        <w:t>costs to ratepa</w:t>
      </w:r>
      <w:r w:rsidR="00DD7D43">
        <w:rPr>
          <w:rFonts w:ascii="Times New Roman" w:eastAsia="Calibri" w:hAnsi="Times New Roman" w:cs="Times New Roman"/>
        </w:rPr>
        <w:t>y</w:t>
      </w:r>
      <w:r w:rsidR="00EF335F">
        <w:rPr>
          <w:rFonts w:ascii="Times New Roman" w:eastAsia="Calibri" w:hAnsi="Times New Roman" w:cs="Times New Roman"/>
        </w:rPr>
        <w:t>ers in excess of one-quarter of one percent</w:t>
      </w:r>
      <w:r w:rsidR="00381CA4">
        <w:rPr>
          <w:rFonts w:ascii="Times New Roman" w:eastAsia="Calibri" w:hAnsi="Times New Roman" w:cs="Times New Roman"/>
        </w:rPr>
        <w:t>,</w:t>
      </w:r>
      <w:r w:rsidR="000124D7">
        <w:rPr>
          <w:rFonts w:ascii="Times New Roman" w:eastAsia="Calibri" w:hAnsi="Times New Roman" w:cs="Times New Roman"/>
        </w:rPr>
        <w:t xml:space="preserve"> </w:t>
      </w:r>
      <w:r w:rsidR="000124D7" w:rsidRPr="00381CA4">
        <w:rPr>
          <w:rFonts w:ascii="Times New Roman" w:eastAsia="Calibri" w:hAnsi="Times New Roman" w:cs="Times New Roman"/>
        </w:rPr>
        <w:t>for the purposes of the incentive rate of return</w:t>
      </w:r>
      <w:r w:rsidR="00381CA4">
        <w:rPr>
          <w:rFonts w:ascii="Times New Roman" w:eastAsia="Calibri" w:hAnsi="Times New Roman" w:cs="Times New Roman"/>
        </w:rPr>
        <w:t>,</w:t>
      </w:r>
      <w:r w:rsidR="000124D7">
        <w:rPr>
          <w:rFonts w:ascii="Times New Roman" w:eastAsia="Calibri" w:hAnsi="Times New Roman" w:cs="Times New Roman"/>
        </w:rPr>
        <w:t xml:space="preserve"> for investments</w:t>
      </w:r>
      <w:r w:rsidR="00EF335F">
        <w:rPr>
          <w:rFonts w:ascii="Times New Roman" w:eastAsia="Calibri" w:hAnsi="Times New Roman" w:cs="Times New Roman"/>
        </w:rPr>
        <w:t xml:space="preserve"> when seeking recovery of such expenses within a General Rate Case</w:t>
      </w:r>
      <w:r w:rsidR="00D3585F">
        <w:rPr>
          <w:rFonts w:ascii="Times New Roman" w:eastAsia="Calibri" w:hAnsi="Times New Roman" w:cs="Times New Roman"/>
        </w:rPr>
        <w:t xml:space="preserve"> or other proceeding</w:t>
      </w:r>
      <w:r w:rsidR="00EF335F">
        <w:rPr>
          <w:rFonts w:ascii="Times New Roman" w:eastAsia="Calibri" w:hAnsi="Times New Roman" w:cs="Times New Roman"/>
        </w:rPr>
        <w:t xml:space="preserve">.  In Avista’s pilot program mentioned above it </w:t>
      </w:r>
      <w:r w:rsidR="00D3585F">
        <w:rPr>
          <w:rFonts w:ascii="Times New Roman" w:eastAsia="Calibri" w:hAnsi="Times New Roman" w:cs="Times New Roman"/>
        </w:rPr>
        <w:t>did</w:t>
      </w:r>
      <w:r w:rsidR="00EF335F">
        <w:rPr>
          <w:rFonts w:ascii="Times New Roman" w:eastAsia="Calibri" w:hAnsi="Times New Roman" w:cs="Times New Roman"/>
        </w:rPr>
        <w:t xml:space="preserve"> not seek pre-approval of the capital </w:t>
      </w:r>
      <w:r w:rsidR="00EF335F">
        <w:rPr>
          <w:rFonts w:ascii="Times New Roman" w:eastAsia="Calibri" w:hAnsi="Times New Roman" w:cs="Times New Roman"/>
        </w:rPr>
        <w:lastRenderedPageBreak/>
        <w:t>expenditures at that time</w:t>
      </w:r>
      <w:r w:rsidR="00D3585F">
        <w:rPr>
          <w:rFonts w:ascii="Times New Roman" w:eastAsia="Calibri" w:hAnsi="Times New Roman" w:cs="Times New Roman"/>
        </w:rPr>
        <w:t>,</w:t>
      </w:r>
      <w:r w:rsidR="00EF335F">
        <w:rPr>
          <w:rFonts w:ascii="Times New Roman" w:eastAsia="Calibri" w:hAnsi="Times New Roman" w:cs="Times New Roman"/>
        </w:rPr>
        <w:t xml:space="preserve"> and rather </w:t>
      </w:r>
      <w:r w:rsidR="00D3585F">
        <w:rPr>
          <w:rFonts w:ascii="Times New Roman" w:eastAsia="Calibri" w:hAnsi="Times New Roman" w:cs="Times New Roman"/>
        </w:rPr>
        <w:t xml:space="preserve">will </w:t>
      </w:r>
      <w:r w:rsidR="00EF335F">
        <w:rPr>
          <w:rFonts w:ascii="Times New Roman" w:eastAsia="Calibri" w:hAnsi="Times New Roman" w:cs="Times New Roman"/>
        </w:rPr>
        <w:t xml:space="preserve">seek recovery of the expenditures in a future </w:t>
      </w:r>
      <w:r w:rsidR="00D3585F">
        <w:rPr>
          <w:rFonts w:ascii="Times New Roman" w:eastAsia="Calibri" w:hAnsi="Times New Roman" w:cs="Times New Roman"/>
        </w:rPr>
        <w:t xml:space="preserve">proceeding </w:t>
      </w:r>
      <w:r w:rsidR="00EF335F">
        <w:rPr>
          <w:rFonts w:ascii="Times New Roman" w:eastAsia="Calibri" w:hAnsi="Times New Roman" w:cs="Times New Roman"/>
        </w:rPr>
        <w:t xml:space="preserve">similar to any other capital investment.  </w:t>
      </w:r>
    </w:p>
    <w:p w14:paraId="65E1D76D" w14:textId="77777777" w:rsidR="00D3585F" w:rsidRDefault="00D3585F" w:rsidP="00F3153E">
      <w:pPr>
        <w:spacing w:line="360" w:lineRule="auto"/>
        <w:jc w:val="both"/>
        <w:rPr>
          <w:rFonts w:ascii="Times New Roman" w:eastAsia="Calibri" w:hAnsi="Times New Roman" w:cs="Times New Roman"/>
        </w:rPr>
      </w:pPr>
    </w:p>
    <w:p w14:paraId="49BD6CA7" w14:textId="48013DF1" w:rsidR="00C52CD3" w:rsidRDefault="000124D7" w:rsidP="00F3153E">
      <w:pPr>
        <w:spacing w:line="360" w:lineRule="auto"/>
        <w:jc w:val="both"/>
        <w:rPr>
          <w:rFonts w:ascii="Times New Roman" w:eastAsia="Calibri" w:hAnsi="Times New Roman" w:cs="Times New Roman"/>
        </w:rPr>
      </w:pPr>
      <w:r>
        <w:rPr>
          <w:rFonts w:ascii="Times New Roman" w:eastAsia="Calibri" w:hAnsi="Times New Roman" w:cs="Times New Roman"/>
        </w:rPr>
        <w:t>When</w:t>
      </w:r>
      <w:r w:rsidR="00EF335F">
        <w:rPr>
          <w:rFonts w:ascii="Times New Roman" w:eastAsia="Calibri" w:hAnsi="Times New Roman" w:cs="Times New Roman"/>
        </w:rPr>
        <w:t xml:space="preserve"> an electrical company seeks recover</w:t>
      </w:r>
      <w:r w:rsidR="00E75691">
        <w:rPr>
          <w:rFonts w:ascii="Times New Roman" w:eastAsia="Calibri" w:hAnsi="Times New Roman" w:cs="Times New Roman"/>
        </w:rPr>
        <w:t>y</w:t>
      </w:r>
      <w:r w:rsidR="00EF335F">
        <w:rPr>
          <w:rFonts w:ascii="Times New Roman" w:eastAsia="Calibri" w:hAnsi="Times New Roman" w:cs="Times New Roman"/>
        </w:rPr>
        <w:t xml:space="preserve"> of the capital expendi</w:t>
      </w:r>
      <w:r w:rsidR="00381CA4">
        <w:rPr>
          <w:rFonts w:ascii="Times New Roman" w:eastAsia="Calibri" w:hAnsi="Times New Roman" w:cs="Times New Roman"/>
        </w:rPr>
        <w:t>tures for EVSE, the company should</w:t>
      </w:r>
      <w:r w:rsidR="00EF335F">
        <w:rPr>
          <w:rFonts w:ascii="Times New Roman" w:eastAsia="Calibri" w:hAnsi="Times New Roman" w:cs="Times New Roman"/>
        </w:rPr>
        <w:t xml:space="preserve"> provide supporting testimony and</w:t>
      </w:r>
      <w:r w:rsidR="00381CA4">
        <w:rPr>
          <w:rFonts w:ascii="Times New Roman" w:eastAsia="Calibri" w:hAnsi="Times New Roman" w:cs="Times New Roman"/>
        </w:rPr>
        <w:t>/or evidence of the prudence</w:t>
      </w:r>
      <w:r w:rsidR="00EF335F">
        <w:rPr>
          <w:rFonts w:ascii="Times New Roman" w:eastAsia="Calibri" w:hAnsi="Times New Roman" w:cs="Times New Roman"/>
        </w:rPr>
        <w:t xml:space="preserve"> of </w:t>
      </w:r>
      <w:r w:rsidR="002D74BF">
        <w:rPr>
          <w:rFonts w:ascii="Times New Roman" w:eastAsia="Calibri" w:hAnsi="Times New Roman" w:cs="Times New Roman"/>
        </w:rPr>
        <w:t xml:space="preserve">such </w:t>
      </w:r>
      <w:r w:rsidR="00EF335F">
        <w:rPr>
          <w:rFonts w:ascii="Times New Roman" w:eastAsia="Calibri" w:hAnsi="Times New Roman" w:cs="Times New Roman"/>
        </w:rPr>
        <w:t xml:space="preserve">expenditures.  </w:t>
      </w:r>
      <w:r>
        <w:rPr>
          <w:rFonts w:ascii="Times New Roman" w:eastAsia="Calibri" w:hAnsi="Times New Roman" w:cs="Times New Roman"/>
        </w:rPr>
        <w:t>T</w:t>
      </w:r>
      <w:r w:rsidR="00EF335F">
        <w:rPr>
          <w:rFonts w:ascii="Times New Roman" w:eastAsia="Calibri" w:hAnsi="Times New Roman" w:cs="Times New Roman"/>
        </w:rPr>
        <w:t xml:space="preserve">he company </w:t>
      </w:r>
      <w:r>
        <w:rPr>
          <w:rFonts w:ascii="Times New Roman" w:eastAsia="Calibri" w:hAnsi="Times New Roman" w:cs="Times New Roman"/>
        </w:rPr>
        <w:t>would</w:t>
      </w:r>
      <w:r w:rsidR="00EF335F">
        <w:rPr>
          <w:rFonts w:ascii="Times New Roman" w:eastAsia="Calibri" w:hAnsi="Times New Roman" w:cs="Times New Roman"/>
        </w:rPr>
        <w:t xml:space="preserve"> provide the necessary information to determine </w:t>
      </w:r>
      <w:r>
        <w:rPr>
          <w:rFonts w:ascii="Times New Roman" w:eastAsia="Calibri" w:hAnsi="Times New Roman" w:cs="Times New Roman"/>
        </w:rPr>
        <w:t>if the net impact to customers is</w:t>
      </w:r>
      <w:r w:rsidR="00EF335F">
        <w:rPr>
          <w:rFonts w:ascii="Times New Roman" w:eastAsia="Calibri" w:hAnsi="Times New Roman" w:cs="Times New Roman"/>
        </w:rPr>
        <w:t xml:space="preserve"> above or below one-quarter of one percent</w:t>
      </w:r>
      <w:r w:rsidR="00F70323">
        <w:rPr>
          <w:rFonts w:ascii="Times New Roman" w:eastAsia="Calibri" w:hAnsi="Times New Roman" w:cs="Times New Roman"/>
        </w:rPr>
        <w:t>.</w:t>
      </w:r>
    </w:p>
    <w:p w14:paraId="02FE0DFA" w14:textId="77777777" w:rsidR="00EF335F" w:rsidRDefault="00EF335F" w:rsidP="00771953">
      <w:pPr>
        <w:spacing w:line="360" w:lineRule="auto"/>
        <w:ind w:left="360"/>
        <w:jc w:val="both"/>
        <w:rPr>
          <w:rFonts w:ascii="Times New Roman" w:eastAsia="Calibri" w:hAnsi="Times New Roman" w:cs="Times New Roman"/>
        </w:rPr>
      </w:pPr>
    </w:p>
    <w:p w14:paraId="02BAA9CF" w14:textId="72B22A6D" w:rsidR="00C52CD3" w:rsidRDefault="00C52CD3" w:rsidP="00F3153E">
      <w:pPr>
        <w:spacing w:line="360" w:lineRule="auto"/>
        <w:jc w:val="both"/>
        <w:rPr>
          <w:rFonts w:ascii="Times New Roman" w:eastAsia="Calibri" w:hAnsi="Times New Roman" w:cs="Times New Roman"/>
        </w:rPr>
      </w:pPr>
      <w:r w:rsidRPr="000124D7">
        <w:rPr>
          <w:rFonts w:ascii="Times New Roman" w:eastAsia="Calibri" w:hAnsi="Times New Roman" w:cs="Times New Roman"/>
          <w:b/>
        </w:rPr>
        <w:t>b)</w:t>
      </w:r>
      <w:r w:rsidR="000124D7">
        <w:rPr>
          <w:rFonts w:ascii="Times New Roman" w:eastAsia="Calibri" w:hAnsi="Times New Roman" w:cs="Times New Roman"/>
        </w:rPr>
        <w:t xml:space="preserve"> </w:t>
      </w:r>
      <w:r w:rsidR="002D74BF">
        <w:rPr>
          <w:rFonts w:ascii="Times New Roman" w:eastAsia="Calibri" w:hAnsi="Times New Roman" w:cs="Times New Roman"/>
          <w:b/>
        </w:rPr>
        <w:t>How should an electrical company demonstrate that EVSE investments are pursued on a fully regulated basis similar to other investments behind a customer’s meter?</w:t>
      </w:r>
      <w:r w:rsidR="000124D7">
        <w:rPr>
          <w:rFonts w:ascii="Times New Roman" w:eastAsia="Calibri" w:hAnsi="Times New Roman" w:cs="Times New Roman"/>
        </w:rPr>
        <w:t xml:space="preserve"> </w:t>
      </w:r>
      <w:r w:rsidR="00165AB5">
        <w:rPr>
          <w:rFonts w:ascii="Times New Roman" w:eastAsia="Calibri" w:hAnsi="Times New Roman" w:cs="Times New Roman"/>
        </w:rPr>
        <w:t>Prior to 1995</w:t>
      </w:r>
      <w:r w:rsidR="00E75691">
        <w:rPr>
          <w:rFonts w:ascii="Times New Roman" w:eastAsia="Calibri" w:hAnsi="Times New Roman" w:cs="Times New Roman"/>
        </w:rPr>
        <w:t>,</w:t>
      </w:r>
      <w:r w:rsidR="00165AB5">
        <w:rPr>
          <w:rFonts w:ascii="Times New Roman" w:eastAsia="Calibri" w:hAnsi="Times New Roman" w:cs="Times New Roman"/>
        </w:rPr>
        <w:t xml:space="preserve"> Avista capitalized expenditures for rebates on customer equipment </w:t>
      </w:r>
      <w:r w:rsidR="000124D7">
        <w:rPr>
          <w:rFonts w:ascii="Times New Roman" w:eastAsia="Calibri" w:hAnsi="Times New Roman" w:cs="Times New Roman"/>
        </w:rPr>
        <w:t xml:space="preserve">behind the customer’s meter </w:t>
      </w:r>
      <w:r w:rsidR="00165AB5">
        <w:rPr>
          <w:rFonts w:ascii="Times New Roman" w:eastAsia="Calibri" w:hAnsi="Times New Roman" w:cs="Times New Roman"/>
        </w:rPr>
        <w:t>within its Demand Side Management program</w:t>
      </w:r>
      <w:r w:rsidR="00E75691">
        <w:rPr>
          <w:rFonts w:ascii="Times New Roman" w:eastAsia="Calibri" w:hAnsi="Times New Roman" w:cs="Times New Roman"/>
        </w:rPr>
        <w:t>,</w:t>
      </w:r>
      <w:r w:rsidR="00165AB5">
        <w:rPr>
          <w:rFonts w:ascii="Times New Roman" w:eastAsia="Calibri" w:hAnsi="Times New Roman" w:cs="Times New Roman"/>
        </w:rPr>
        <w:t xml:space="preserve"> up until the tariff rider for recovery of DSM expenses was adopted on January 1, 1995.  Similarly, in Docket UG-152394</w:t>
      </w:r>
      <w:r w:rsidR="000A610C">
        <w:rPr>
          <w:rFonts w:ascii="Times New Roman" w:eastAsia="Calibri" w:hAnsi="Times New Roman" w:cs="Times New Roman"/>
        </w:rPr>
        <w:t>,</w:t>
      </w:r>
      <w:r w:rsidR="00165AB5">
        <w:rPr>
          <w:rFonts w:ascii="Times New Roman" w:eastAsia="Calibri" w:hAnsi="Times New Roman" w:cs="Times New Roman"/>
        </w:rPr>
        <w:t xml:space="preserve"> the Commission </w:t>
      </w:r>
      <w:r w:rsidR="000124D7">
        <w:rPr>
          <w:rFonts w:ascii="Times New Roman" w:eastAsia="Calibri" w:hAnsi="Times New Roman" w:cs="Times New Roman"/>
        </w:rPr>
        <w:t xml:space="preserve">approved </w:t>
      </w:r>
      <w:r w:rsidR="00165AB5">
        <w:rPr>
          <w:rFonts w:ascii="Times New Roman" w:eastAsia="Calibri" w:hAnsi="Times New Roman" w:cs="Times New Roman"/>
        </w:rPr>
        <w:t xml:space="preserve">deferred accounting </w:t>
      </w:r>
      <w:r w:rsidR="000124D7">
        <w:rPr>
          <w:rFonts w:ascii="Times New Roman" w:eastAsia="Calibri" w:hAnsi="Times New Roman" w:cs="Times New Roman"/>
        </w:rPr>
        <w:t>for</w:t>
      </w:r>
      <w:r w:rsidR="00165AB5">
        <w:rPr>
          <w:rFonts w:ascii="Times New Roman" w:eastAsia="Calibri" w:hAnsi="Times New Roman" w:cs="Times New Roman"/>
        </w:rPr>
        <w:t xml:space="preserve"> expenditures </w:t>
      </w:r>
      <w:r w:rsidR="000124D7">
        <w:rPr>
          <w:rFonts w:ascii="Times New Roman" w:eastAsia="Calibri" w:hAnsi="Times New Roman" w:cs="Times New Roman"/>
        </w:rPr>
        <w:t>related to the</w:t>
      </w:r>
      <w:r w:rsidR="00165AB5">
        <w:rPr>
          <w:rFonts w:ascii="Times New Roman" w:eastAsia="Calibri" w:hAnsi="Times New Roman" w:cs="Times New Roman"/>
        </w:rPr>
        <w:t xml:space="preserve"> excess natural gas line extension allowance.  In this program</w:t>
      </w:r>
      <w:r w:rsidR="00E75691">
        <w:rPr>
          <w:rFonts w:ascii="Times New Roman" w:eastAsia="Calibri" w:hAnsi="Times New Roman" w:cs="Times New Roman"/>
        </w:rPr>
        <w:t>,</w:t>
      </w:r>
      <w:r w:rsidR="00165AB5">
        <w:rPr>
          <w:rFonts w:ascii="Times New Roman" w:eastAsia="Calibri" w:hAnsi="Times New Roman" w:cs="Times New Roman"/>
        </w:rPr>
        <w:t xml:space="preserve"> customers can </w:t>
      </w:r>
      <w:r w:rsidR="000124D7">
        <w:rPr>
          <w:rFonts w:ascii="Times New Roman" w:eastAsia="Calibri" w:hAnsi="Times New Roman" w:cs="Times New Roman"/>
        </w:rPr>
        <w:t>apply</w:t>
      </w:r>
      <w:r w:rsidR="00165AB5">
        <w:rPr>
          <w:rFonts w:ascii="Times New Roman" w:eastAsia="Calibri" w:hAnsi="Times New Roman" w:cs="Times New Roman"/>
        </w:rPr>
        <w:t xml:space="preserve"> any excess portion of their natural gas line extension </w:t>
      </w:r>
      <w:r w:rsidR="00381CA4">
        <w:rPr>
          <w:rFonts w:ascii="Times New Roman" w:eastAsia="Calibri" w:hAnsi="Times New Roman" w:cs="Times New Roman"/>
        </w:rPr>
        <w:t xml:space="preserve">allowance </w:t>
      </w:r>
      <w:r w:rsidR="00165AB5">
        <w:rPr>
          <w:rFonts w:ascii="Times New Roman" w:eastAsia="Calibri" w:hAnsi="Times New Roman" w:cs="Times New Roman"/>
        </w:rPr>
        <w:t>towards the purchase of high efficiency space and water heating equipment.  As proposed and approved by the Commission in Order 01, Avista will defer the costs associated with the excess natural gas line extension allowance program</w:t>
      </w:r>
      <w:r w:rsidR="00D33AC5">
        <w:rPr>
          <w:rFonts w:ascii="Times New Roman" w:eastAsia="Calibri" w:hAnsi="Times New Roman" w:cs="Times New Roman"/>
        </w:rPr>
        <w:t xml:space="preserve"> for</w:t>
      </w:r>
      <w:r w:rsidR="000124D7">
        <w:rPr>
          <w:rFonts w:ascii="Times New Roman" w:eastAsia="Calibri" w:hAnsi="Times New Roman" w:cs="Times New Roman"/>
        </w:rPr>
        <w:t xml:space="preserve"> the opportunity for</w:t>
      </w:r>
      <w:r w:rsidR="00D33AC5">
        <w:rPr>
          <w:rFonts w:ascii="Times New Roman" w:eastAsia="Calibri" w:hAnsi="Times New Roman" w:cs="Times New Roman"/>
        </w:rPr>
        <w:t xml:space="preserve"> future recovery.  </w:t>
      </w:r>
    </w:p>
    <w:p w14:paraId="4E11258B" w14:textId="77777777" w:rsidR="00D33AC5" w:rsidRDefault="00D33AC5" w:rsidP="00771953">
      <w:pPr>
        <w:spacing w:line="360" w:lineRule="auto"/>
        <w:ind w:left="360"/>
        <w:jc w:val="both"/>
        <w:rPr>
          <w:rFonts w:ascii="Times New Roman" w:eastAsia="Calibri" w:hAnsi="Times New Roman" w:cs="Times New Roman"/>
        </w:rPr>
      </w:pPr>
    </w:p>
    <w:p w14:paraId="2B085592" w14:textId="5953F8B9" w:rsidR="00D33AC5" w:rsidRDefault="00D33AC5" w:rsidP="00F3153E">
      <w:pPr>
        <w:spacing w:line="360" w:lineRule="auto"/>
        <w:jc w:val="both"/>
        <w:rPr>
          <w:rFonts w:ascii="Times New Roman" w:eastAsia="Calibri" w:hAnsi="Times New Roman" w:cs="Times New Roman"/>
        </w:rPr>
      </w:pPr>
      <w:r>
        <w:rPr>
          <w:rFonts w:ascii="Times New Roman" w:eastAsia="Calibri" w:hAnsi="Times New Roman" w:cs="Times New Roman"/>
        </w:rPr>
        <w:t>Because RCW 80.28.360 allows an electrical company to own EVSE behind a customer’s meter</w:t>
      </w:r>
      <w:r w:rsidR="00E75691">
        <w:rPr>
          <w:rFonts w:ascii="Times New Roman" w:eastAsia="Calibri" w:hAnsi="Times New Roman" w:cs="Times New Roman"/>
        </w:rPr>
        <w:t>,</w:t>
      </w:r>
      <w:r>
        <w:rPr>
          <w:rFonts w:ascii="Times New Roman" w:eastAsia="Calibri" w:hAnsi="Times New Roman" w:cs="Times New Roman"/>
        </w:rPr>
        <w:t xml:space="preserve"> it is Avista’s recommendation that capital expenditures for EVSE be</w:t>
      </w:r>
      <w:r w:rsidR="00381CA4">
        <w:rPr>
          <w:rFonts w:ascii="Times New Roman" w:eastAsia="Calibri" w:hAnsi="Times New Roman" w:cs="Times New Roman"/>
        </w:rPr>
        <w:t xml:space="preserve"> treated similar to</w:t>
      </w:r>
      <w:r>
        <w:rPr>
          <w:rFonts w:ascii="Times New Roman" w:eastAsia="Calibri" w:hAnsi="Times New Roman" w:cs="Times New Roman"/>
        </w:rPr>
        <w:t xml:space="preserve"> all other </w:t>
      </w:r>
      <w:r w:rsidR="00381CA4">
        <w:rPr>
          <w:rFonts w:ascii="Times New Roman" w:eastAsia="Calibri" w:hAnsi="Times New Roman" w:cs="Times New Roman"/>
        </w:rPr>
        <w:t xml:space="preserve">utility </w:t>
      </w:r>
      <w:r>
        <w:rPr>
          <w:rFonts w:ascii="Times New Roman" w:eastAsia="Calibri" w:hAnsi="Times New Roman" w:cs="Times New Roman"/>
        </w:rPr>
        <w:t>capital investments.</w:t>
      </w:r>
    </w:p>
    <w:p w14:paraId="79C78D1B" w14:textId="77777777" w:rsidR="00C52CD3" w:rsidRDefault="00C52CD3" w:rsidP="00771953">
      <w:pPr>
        <w:spacing w:line="360" w:lineRule="auto"/>
        <w:ind w:left="360"/>
        <w:jc w:val="both"/>
        <w:rPr>
          <w:rFonts w:ascii="Times New Roman" w:eastAsia="Calibri" w:hAnsi="Times New Roman" w:cs="Times New Roman"/>
        </w:rPr>
      </w:pPr>
    </w:p>
    <w:p w14:paraId="777D35E9" w14:textId="551B14E5" w:rsidR="00477F3F" w:rsidRDefault="007C6D2C" w:rsidP="00F3153E">
      <w:pPr>
        <w:spacing w:line="360" w:lineRule="auto"/>
        <w:jc w:val="both"/>
        <w:rPr>
          <w:rFonts w:ascii="Times New Roman" w:eastAsia="Calibri" w:hAnsi="Times New Roman" w:cs="Times New Roman"/>
        </w:rPr>
      </w:pPr>
      <w:r w:rsidRPr="001C3F7D">
        <w:rPr>
          <w:rFonts w:ascii="Times New Roman" w:eastAsia="Calibri" w:hAnsi="Times New Roman" w:cs="Times New Roman"/>
          <w:b/>
        </w:rPr>
        <w:t>c</w:t>
      </w:r>
      <w:r w:rsidR="00C52CD3" w:rsidRPr="001C3F7D">
        <w:rPr>
          <w:rFonts w:ascii="Times New Roman" w:eastAsia="Calibri" w:hAnsi="Times New Roman" w:cs="Times New Roman"/>
          <w:b/>
        </w:rPr>
        <w:t>)</w:t>
      </w:r>
      <w:r w:rsidR="00E63013" w:rsidRPr="001C3F7D">
        <w:rPr>
          <w:rFonts w:ascii="Times New Roman" w:eastAsia="Calibri" w:hAnsi="Times New Roman" w:cs="Times New Roman"/>
        </w:rPr>
        <w:t xml:space="preserve"> </w:t>
      </w:r>
      <w:r w:rsidR="00E63013" w:rsidRPr="001C3F7D">
        <w:rPr>
          <w:rFonts w:ascii="Times New Roman" w:eastAsia="Calibri" w:hAnsi="Times New Roman" w:cs="Times New Roman"/>
          <w:b/>
        </w:rPr>
        <w:t>How should an electrical company demonstrate</w:t>
      </w:r>
      <w:r w:rsidR="001C3F7D" w:rsidRPr="001C3F7D">
        <w:rPr>
          <w:rFonts w:ascii="Times New Roman" w:eastAsia="Calibri" w:hAnsi="Times New Roman" w:cs="Times New Roman"/>
          <w:b/>
        </w:rPr>
        <w:t xml:space="preserve"> that projects are </w:t>
      </w:r>
      <w:r w:rsidR="001C3F7D" w:rsidRPr="001C3F7D">
        <w:rPr>
          <w:rFonts w:ascii="Times New Roman" w:hAnsi="Times New Roman" w:cs="Times New Roman"/>
          <w:b/>
          <w:color w:val="000000"/>
          <w:szCs w:val="23"/>
        </w:rPr>
        <w:t>installed and located where electric vehicles are most likely to be parked for intervals longer than two hours?</w:t>
      </w:r>
      <w:r w:rsidR="001C3F7D" w:rsidRPr="00F3153E">
        <w:rPr>
          <w:b/>
          <w:color w:val="000000"/>
          <w:szCs w:val="23"/>
        </w:rPr>
        <w:t xml:space="preserve"> </w:t>
      </w:r>
      <w:r w:rsidR="001C3F7D">
        <w:rPr>
          <w:rFonts w:ascii="Times New Roman" w:eastAsia="Calibri" w:hAnsi="Times New Roman" w:cs="Times New Roman"/>
          <w:b/>
        </w:rPr>
        <w:t xml:space="preserve"> </w:t>
      </w:r>
      <w:r>
        <w:rPr>
          <w:rFonts w:ascii="Times New Roman" w:eastAsia="Calibri" w:hAnsi="Times New Roman" w:cs="Times New Roman"/>
        </w:rPr>
        <w:t xml:space="preserve"> </w:t>
      </w:r>
      <w:r w:rsidR="00BC5AAA">
        <w:rPr>
          <w:rFonts w:ascii="Times New Roman" w:eastAsia="Calibri" w:hAnsi="Times New Roman" w:cs="Times New Roman"/>
        </w:rPr>
        <w:t>Electric companies should demonstrate that projects are installed and located where</w:t>
      </w:r>
      <w:r w:rsidR="00121FC9">
        <w:rPr>
          <w:rFonts w:ascii="Times New Roman" w:eastAsia="Calibri" w:hAnsi="Times New Roman" w:cs="Times New Roman"/>
        </w:rPr>
        <w:t xml:space="preserve"> electric vehicles (EVs)</w:t>
      </w:r>
      <w:r w:rsidR="00BC5AAA">
        <w:rPr>
          <w:rFonts w:ascii="Times New Roman" w:eastAsia="Calibri" w:hAnsi="Times New Roman" w:cs="Times New Roman"/>
        </w:rPr>
        <w:t xml:space="preserve"> are most likely to be parked for intervals longer than two hours by providing information about the location of each specific charger.  For home and workplace installations, it is likely </w:t>
      </w:r>
      <w:r w:rsidR="00593ABF">
        <w:rPr>
          <w:rFonts w:ascii="Times New Roman" w:eastAsia="Calibri" w:hAnsi="Times New Roman" w:cs="Times New Roman"/>
        </w:rPr>
        <w:t xml:space="preserve">that vehicles will </w:t>
      </w:r>
      <w:r w:rsidR="00BC5AAA">
        <w:rPr>
          <w:rFonts w:ascii="Times New Roman" w:eastAsia="Calibri" w:hAnsi="Times New Roman" w:cs="Times New Roman"/>
        </w:rPr>
        <w:t>be parked for intervals longer</w:t>
      </w:r>
      <w:r w:rsidR="00593ABF">
        <w:rPr>
          <w:rFonts w:ascii="Times New Roman" w:eastAsia="Calibri" w:hAnsi="Times New Roman" w:cs="Times New Roman"/>
        </w:rPr>
        <w:t xml:space="preserve"> than two hours, unless the workplace </w:t>
      </w:r>
      <w:r w:rsidR="00593ABF">
        <w:rPr>
          <w:rFonts w:ascii="Times New Roman" w:eastAsia="Calibri" w:hAnsi="Times New Roman" w:cs="Times New Roman"/>
        </w:rPr>
        <w:lastRenderedPageBreak/>
        <w:t>space is reserved for customers or guests</w:t>
      </w:r>
      <w:r w:rsidR="00BC5AAA">
        <w:rPr>
          <w:rFonts w:ascii="Times New Roman" w:eastAsia="Calibri" w:hAnsi="Times New Roman" w:cs="Times New Roman"/>
        </w:rPr>
        <w:t>.  For public EVSE this may not be the case</w:t>
      </w:r>
      <w:r w:rsidR="00AD7A30">
        <w:rPr>
          <w:rFonts w:ascii="Times New Roman" w:eastAsia="Calibri" w:hAnsi="Times New Roman" w:cs="Times New Roman"/>
        </w:rPr>
        <w:t xml:space="preserve">, thus providing </w:t>
      </w:r>
      <w:r w:rsidR="00593ABF">
        <w:rPr>
          <w:rFonts w:ascii="Times New Roman" w:eastAsia="Calibri" w:hAnsi="Times New Roman" w:cs="Times New Roman"/>
        </w:rPr>
        <w:t xml:space="preserve">more </w:t>
      </w:r>
      <w:r w:rsidR="00AD7A30">
        <w:rPr>
          <w:rFonts w:ascii="Times New Roman" w:eastAsia="Calibri" w:hAnsi="Times New Roman" w:cs="Times New Roman"/>
        </w:rPr>
        <w:t xml:space="preserve">information about each public location </w:t>
      </w:r>
      <w:r w:rsidR="00593ABF">
        <w:rPr>
          <w:rFonts w:ascii="Times New Roman" w:eastAsia="Calibri" w:hAnsi="Times New Roman" w:cs="Times New Roman"/>
        </w:rPr>
        <w:t>would be</w:t>
      </w:r>
      <w:r w:rsidR="00AD7A30">
        <w:rPr>
          <w:rFonts w:ascii="Times New Roman" w:eastAsia="Calibri" w:hAnsi="Times New Roman" w:cs="Times New Roman"/>
        </w:rPr>
        <w:t xml:space="preserve"> necessary</w:t>
      </w:r>
      <w:r w:rsidR="00D92984">
        <w:rPr>
          <w:rFonts w:ascii="Times New Roman" w:eastAsia="Calibri" w:hAnsi="Times New Roman" w:cs="Times New Roman"/>
        </w:rPr>
        <w:t xml:space="preserve"> to </w:t>
      </w:r>
      <w:r w:rsidR="00593ABF">
        <w:rPr>
          <w:rFonts w:ascii="Times New Roman" w:eastAsia="Calibri" w:hAnsi="Times New Roman" w:cs="Times New Roman"/>
        </w:rPr>
        <w:t>determine the duration of parking time</w:t>
      </w:r>
      <w:r w:rsidR="00BC5AAA">
        <w:rPr>
          <w:rFonts w:ascii="Times New Roman" w:eastAsia="Calibri" w:hAnsi="Times New Roman" w:cs="Times New Roman"/>
        </w:rPr>
        <w:t xml:space="preserve">.  In order for EVSE to be </w:t>
      </w:r>
      <w:r w:rsidR="00D92984">
        <w:rPr>
          <w:rFonts w:ascii="Times New Roman" w:eastAsia="Calibri" w:hAnsi="Times New Roman" w:cs="Times New Roman"/>
        </w:rPr>
        <w:t xml:space="preserve">valued by EV users and </w:t>
      </w:r>
      <w:r w:rsidR="00BC5AAA">
        <w:rPr>
          <w:rFonts w:ascii="Times New Roman" w:eastAsia="Calibri" w:hAnsi="Times New Roman" w:cs="Times New Roman"/>
        </w:rPr>
        <w:t>utilized to its maximum extent</w:t>
      </w:r>
      <w:r w:rsidR="00D92984">
        <w:rPr>
          <w:rFonts w:ascii="Times New Roman" w:eastAsia="Calibri" w:hAnsi="Times New Roman" w:cs="Times New Roman"/>
        </w:rPr>
        <w:t>,</w:t>
      </w:r>
      <w:r w:rsidR="00BC5AAA">
        <w:rPr>
          <w:rFonts w:ascii="Times New Roman" w:eastAsia="Calibri" w:hAnsi="Times New Roman" w:cs="Times New Roman"/>
        </w:rPr>
        <w:t xml:space="preserve"> it is in the </w:t>
      </w:r>
      <w:r w:rsidR="004F7450">
        <w:rPr>
          <w:rFonts w:ascii="Times New Roman" w:eastAsia="Calibri" w:hAnsi="Times New Roman" w:cs="Times New Roman"/>
        </w:rPr>
        <w:t>utilit</w:t>
      </w:r>
      <w:r w:rsidR="00AD7A30">
        <w:rPr>
          <w:rFonts w:ascii="Times New Roman" w:eastAsia="Calibri" w:hAnsi="Times New Roman" w:cs="Times New Roman"/>
        </w:rPr>
        <w:t>y’s</w:t>
      </w:r>
      <w:r w:rsidR="00BC5AAA">
        <w:rPr>
          <w:rFonts w:ascii="Times New Roman" w:eastAsia="Calibri" w:hAnsi="Times New Roman" w:cs="Times New Roman"/>
        </w:rPr>
        <w:t xml:space="preserve"> </w:t>
      </w:r>
      <w:r w:rsidR="00AD7A30">
        <w:rPr>
          <w:rFonts w:ascii="Times New Roman" w:eastAsia="Calibri" w:hAnsi="Times New Roman" w:cs="Times New Roman"/>
        </w:rPr>
        <w:t>best interest</w:t>
      </w:r>
      <w:r w:rsidR="00BC5AAA">
        <w:rPr>
          <w:rFonts w:ascii="Times New Roman" w:eastAsia="Calibri" w:hAnsi="Times New Roman" w:cs="Times New Roman"/>
        </w:rPr>
        <w:t xml:space="preserve"> to install </w:t>
      </w:r>
      <w:r w:rsidR="004F7450">
        <w:rPr>
          <w:rFonts w:ascii="Times New Roman" w:eastAsia="Calibri" w:hAnsi="Times New Roman" w:cs="Times New Roman"/>
        </w:rPr>
        <w:t>EVSE</w:t>
      </w:r>
      <w:r w:rsidR="00BC5AAA">
        <w:rPr>
          <w:rFonts w:ascii="Times New Roman" w:eastAsia="Calibri" w:hAnsi="Times New Roman" w:cs="Times New Roman"/>
        </w:rPr>
        <w:t xml:space="preserve"> at locations that are </w:t>
      </w:r>
      <w:r w:rsidR="00AD7A30">
        <w:rPr>
          <w:rFonts w:ascii="Times New Roman" w:eastAsia="Calibri" w:hAnsi="Times New Roman" w:cs="Times New Roman"/>
        </w:rPr>
        <w:t xml:space="preserve">easily accessible, highly visible, and near shopping, dining, or </w:t>
      </w:r>
      <w:r w:rsidR="00D92984">
        <w:rPr>
          <w:rFonts w:ascii="Times New Roman" w:eastAsia="Calibri" w:hAnsi="Times New Roman" w:cs="Times New Roman"/>
        </w:rPr>
        <w:t xml:space="preserve">other </w:t>
      </w:r>
      <w:r w:rsidR="00AD7A30">
        <w:rPr>
          <w:rFonts w:ascii="Times New Roman" w:eastAsia="Calibri" w:hAnsi="Times New Roman" w:cs="Times New Roman"/>
        </w:rPr>
        <w:t>entertainment</w:t>
      </w:r>
      <w:r w:rsidR="00D92984">
        <w:rPr>
          <w:rFonts w:ascii="Times New Roman" w:eastAsia="Calibri" w:hAnsi="Times New Roman" w:cs="Times New Roman"/>
        </w:rPr>
        <w:t xml:space="preserve"> venues</w:t>
      </w:r>
      <w:r w:rsidR="004F7450">
        <w:rPr>
          <w:rFonts w:ascii="Times New Roman" w:eastAsia="Calibri" w:hAnsi="Times New Roman" w:cs="Times New Roman"/>
        </w:rPr>
        <w:t xml:space="preserve"> and attractions</w:t>
      </w:r>
      <w:r w:rsidR="00AD7A30">
        <w:rPr>
          <w:rFonts w:ascii="Times New Roman" w:eastAsia="Calibri" w:hAnsi="Times New Roman" w:cs="Times New Roman"/>
        </w:rPr>
        <w:t xml:space="preserve">.  </w:t>
      </w:r>
      <w:r w:rsidR="00477F3F">
        <w:rPr>
          <w:rFonts w:ascii="Times New Roman" w:eastAsia="Calibri" w:hAnsi="Times New Roman" w:cs="Times New Roman"/>
        </w:rPr>
        <w:t xml:space="preserve">Reasonable proximity to shopping, dining, and entertainment should serve as the basis for whether or not an </w:t>
      </w:r>
      <w:r w:rsidR="00121FC9">
        <w:rPr>
          <w:rFonts w:ascii="Times New Roman" w:eastAsia="Calibri" w:hAnsi="Times New Roman" w:cs="Times New Roman"/>
        </w:rPr>
        <w:t>EV</w:t>
      </w:r>
      <w:r w:rsidR="00477F3F">
        <w:rPr>
          <w:rFonts w:ascii="Times New Roman" w:eastAsia="Calibri" w:hAnsi="Times New Roman" w:cs="Times New Roman"/>
        </w:rPr>
        <w:t xml:space="preserve"> is likely to par</w:t>
      </w:r>
      <w:r w:rsidR="004F7450">
        <w:rPr>
          <w:rFonts w:ascii="Times New Roman" w:eastAsia="Calibri" w:hAnsi="Times New Roman" w:cs="Times New Roman"/>
        </w:rPr>
        <w:t>k</w:t>
      </w:r>
      <w:r w:rsidR="00477F3F">
        <w:rPr>
          <w:rFonts w:ascii="Times New Roman" w:eastAsia="Calibri" w:hAnsi="Times New Roman" w:cs="Times New Roman"/>
        </w:rPr>
        <w:t xml:space="preserve"> for longer than two hours.  It is Avista’s recommendation that reasonable proximity be considered within walking distance</w:t>
      </w:r>
      <w:r w:rsidR="004F7450">
        <w:rPr>
          <w:rFonts w:ascii="Times New Roman" w:eastAsia="Calibri" w:hAnsi="Times New Roman" w:cs="Times New Roman"/>
        </w:rPr>
        <w:t xml:space="preserve"> </w:t>
      </w:r>
      <w:r w:rsidR="00477F3F">
        <w:rPr>
          <w:rFonts w:ascii="Times New Roman" w:eastAsia="Calibri" w:hAnsi="Times New Roman" w:cs="Times New Roman"/>
        </w:rPr>
        <w:t>from shopping, dining, or entertainment venues</w:t>
      </w:r>
      <w:r w:rsidR="004F7450">
        <w:rPr>
          <w:rFonts w:ascii="Times New Roman" w:eastAsia="Calibri" w:hAnsi="Times New Roman" w:cs="Times New Roman"/>
        </w:rPr>
        <w:t>.</w:t>
      </w:r>
    </w:p>
    <w:p w14:paraId="198A1FDC" w14:textId="77777777" w:rsidR="00BC5AAA" w:rsidRDefault="00BC5AAA" w:rsidP="00771953">
      <w:pPr>
        <w:spacing w:line="360" w:lineRule="auto"/>
        <w:ind w:left="360"/>
        <w:jc w:val="both"/>
        <w:rPr>
          <w:rFonts w:ascii="Times New Roman" w:eastAsia="Calibri" w:hAnsi="Times New Roman" w:cs="Times New Roman"/>
        </w:rPr>
      </w:pPr>
    </w:p>
    <w:p w14:paraId="62F50A45" w14:textId="77777777" w:rsidR="00840B2A" w:rsidRPr="00F3153E" w:rsidRDefault="00840B2A" w:rsidP="00840B2A">
      <w:pPr>
        <w:pStyle w:val="ListParagraph"/>
        <w:numPr>
          <w:ilvl w:val="0"/>
          <w:numId w:val="18"/>
        </w:numPr>
        <w:autoSpaceDE w:val="0"/>
        <w:autoSpaceDN w:val="0"/>
        <w:adjustRightInd w:val="0"/>
        <w:rPr>
          <w:b/>
          <w:color w:val="000000"/>
        </w:rPr>
      </w:pPr>
      <w:r w:rsidRPr="00F3153E">
        <w:rPr>
          <w:b/>
          <w:color w:val="000000"/>
        </w:rPr>
        <w:t xml:space="preserve">What real and tangible benefits to ratepayers should electrical companies be required to quantify and demonstrate in order for the Commission to: </w:t>
      </w:r>
    </w:p>
    <w:p w14:paraId="6D97E09D" w14:textId="77777777" w:rsidR="00840B2A" w:rsidRPr="00F3153E" w:rsidRDefault="00840B2A" w:rsidP="00840B2A">
      <w:pPr>
        <w:pStyle w:val="ListParagraph"/>
        <w:numPr>
          <w:ilvl w:val="1"/>
          <w:numId w:val="18"/>
        </w:numPr>
        <w:autoSpaceDE w:val="0"/>
        <w:autoSpaceDN w:val="0"/>
        <w:adjustRightInd w:val="0"/>
        <w:spacing w:after="83"/>
        <w:rPr>
          <w:b/>
          <w:color w:val="000000"/>
        </w:rPr>
      </w:pPr>
      <w:r w:rsidRPr="00F3153E">
        <w:rPr>
          <w:b/>
          <w:color w:val="000000"/>
        </w:rPr>
        <w:t xml:space="preserve">make a prudence determination, and </w:t>
      </w:r>
    </w:p>
    <w:p w14:paraId="7690E849" w14:textId="77777777" w:rsidR="00840B2A" w:rsidRPr="00840B2A" w:rsidRDefault="00840B2A" w:rsidP="00840B2A">
      <w:pPr>
        <w:pStyle w:val="ListParagraph"/>
        <w:numPr>
          <w:ilvl w:val="1"/>
          <w:numId w:val="18"/>
        </w:numPr>
        <w:autoSpaceDE w:val="0"/>
        <w:autoSpaceDN w:val="0"/>
        <w:adjustRightInd w:val="0"/>
        <w:rPr>
          <w:color w:val="000000"/>
        </w:rPr>
      </w:pPr>
      <w:r w:rsidRPr="00F3153E">
        <w:rPr>
          <w:b/>
          <w:color w:val="000000"/>
        </w:rPr>
        <w:t>authorize an incentive rate of return</w:t>
      </w:r>
      <w:r w:rsidRPr="00840B2A">
        <w:rPr>
          <w:color w:val="000000"/>
        </w:rPr>
        <w:t xml:space="preserve">? </w:t>
      </w:r>
    </w:p>
    <w:p w14:paraId="302C1F19" w14:textId="77777777" w:rsidR="00840B2A" w:rsidRDefault="00840B2A" w:rsidP="00840B2A">
      <w:pPr>
        <w:autoSpaceDE w:val="0"/>
        <w:autoSpaceDN w:val="0"/>
        <w:adjustRightInd w:val="0"/>
        <w:spacing w:after="83"/>
        <w:rPr>
          <w:rFonts w:ascii="Times New Roman" w:hAnsi="Times New Roman" w:cs="Times New Roman"/>
          <w:color w:val="000000"/>
        </w:rPr>
      </w:pPr>
    </w:p>
    <w:p w14:paraId="27B1CF2F" w14:textId="17998028" w:rsidR="00CC7323" w:rsidRDefault="00840B2A" w:rsidP="00F3153E">
      <w:pPr>
        <w:spacing w:line="360" w:lineRule="auto"/>
        <w:jc w:val="both"/>
        <w:rPr>
          <w:rFonts w:ascii="Times New Roman" w:eastAsia="Calibri" w:hAnsi="Times New Roman" w:cs="Times New Roman"/>
        </w:rPr>
      </w:pPr>
      <w:r w:rsidRPr="004B7AAF">
        <w:rPr>
          <w:rFonts w:ascii="Times New Roman" w:eastAsia="Calibri" w:hAnsi="Times New Roman" w:cs="Times New Roman"/>
          <w:b/>
        </w:rPr>
        <w:t>Response</w:t>
      </w:r>
      <w:r w:rsidRPr="00F80B03">
        <w:rPr>
          <w:rFonts w:ascii="Times New Roman" w:eastAsia="Calibri" w:hAnsi="Times New Roman" w:cs="Times New Roman"/>
          <w:b/>
        </w:rPr>
        <w:t>:</w:t>
      </w:r>
      <w:r>
        <w:rPr>
          <w:rFonts w:ascii="Times New Roman" w:eastAsia="Calibri" w:hAnsi="Times New Roman" w:cs="Times New Roman"/>
        </w:rPr>
        <w:t xml:space="preserve">  </w:t>
      </w:r>
      <w:r w:rsidR="004F1B02" w:rsidRPr="00734C2B">
        <w:rPr>
          <w:rFonts w:ascii="Times New Roman" w:eastAsia="Calibri" w:hAnsi="Times New Roman" w:cs="Times New Roman"/>
          <w:b/>
        </w:rPr>
        <w:t>a)</w:t>
      </w:r>
      <w:r w:rsidR="00734C2B">
        <w:rPr>
          <w:rFonts w:ascii="Times New Roman" w:eastAsia="Calibri" w:hAnsi="Times New Roman" w:cs="Times New Roman"/>
          <w:b/>
        </w:rPr>
        <w:t xml:space="preserve"> What real and tangible benefits to ratepayers should electrical companies be required to quantify and demonstrate in order for the Commission to make a prudence determination?</w:t>
      </w:r>
      <w:r w:rsidR="004F1B02">
        <w:rPr>
          <w:rFonts w:ascii="Times New Roman" w:eastAsia="Calibri" w:hAnsi="Times New Roman" w:cs="Times New Roman"/>
        </w:rPr>
        <w:t xml:space="preserve"> </w:t>
      </w:r>
      <w:r w:rsidR="00734C2B">
        <w:rPr>
          <w:rFonts w:ascii="Times New Roman" w:eastAsia="Calibri" w:hAnsi="Times New Roman" w:cs="Times New Roman"/>
        </w:rPr>
        <w:t>Per the Commission’s prior guidance on the determination of prudence</w:t>
      </w:r>
      <w:r w:rsidR="00734C2B">
        <w:rPr>
          <w:rStyle w:val="FootnoteReference"/>
          <w:rFonts w:ascii="Times New Roman" w:eastAsia="Calibri" w:hAnsi="Times New Roman" w:cs="Times New Roman"/>
        </w:rPr>
        <w:footnoteReference w:id="3"/>
      </w:r>
      <w:r w:rsidR="00734C2B">
        <w:rPr>
          <w:rFonts w:ascii="Times New Roman" w:eastAsia="Calibri" w:hAnsi="Times New Roman" w:cs="Times New Roman"/>
        </w:rPr>
        <w:t xml:space="preserve">, the determination should be made based on the information available at the time the decision is made to move forward with the program or investment.  </w:t>
      </w:r>
      <w:r w:rsidR="004F1B02">
        <w:rPr>
          <w:rFonts w:ascii="Times New Roman" w:eastAsia="Calibri" w:hAnsi="Times New Roman" w:cs="Times New Roman"/>
        </w:rPr>
        <w:t xml:space="preserve">Prudence determinations should be based on </w:t>
      </w:r>
      <w:r w:rsidR="00AC6759">
        <w:rPr>
          <w:rFonts w:ascii="Times New Roman" w:eastAsia="Calibri" w:hAnsi="Times New Roman" w:cs="Times New Roman"/>
        </w:rPr>
        <w:t xml:space="preserve">investments </w:t>
      </w:r>
      <w:r w:rsidR="00734C2B">
        <w:rPr>
          <w:rFonts w:ascii="Times New Roman" w:eastAsia="Calibri" w:hAnsi="Times New Roman" w:cs="Times New Roman"/>
        </w:rPr>
        <w:t xml:space="preserve">and operating costs </w:t>
      </w:r>
      <w:r w:rsidR="00AC6759">
        <w:rPr>
          <w:rFonts w:ascii="Times New Roman" w:eastAsia="Calibri" w:hAnsi="Times New Roman" w:cs="Times New Roman"/>
        </w:rPr>
        <w:t xml:space="preserve">compared to </w:t>
      </w:r>
      <w:r w:rsidR="004F1B02">
        <w:rPr>
          <w:rFonts w:ascii="Times New Roman" w:eastAsia="Calibri" w:hAnsi="Times New Roman" w:cs="Times New Roman"/>
        </w:rPr>
        <w:t xml:space="preserve">reasonably established benefits that </w:t>
      </w:r>
      <w:r w:rsidR="00121FC9">
        <w:rPr>
          <w:rFonts w:ascii="Times New Roman" w:eastAsia="Calibri" w:hAnsi="Times New Roman" w:cs="Times New Roman"/>
        </w:rPr>
        <w:t>EVs</w:t>
      </w:r>
      <w:r w:rsidR="004F1B02">
        <w:rPr>
          <w:rFonts w:ascii="Times New Roman" w:eastAsia="Calibri" w:hAnsi="Times New Roman" w:cs="Times New Roman"/>
        </w:rPr>
        <w:t xml:space="preserve"> provide </w:t>
      </w:r>
      <w:r w:rsidR="00734C2B">
        <w:rPr>
          <w:rFonts w:ascii="Times New Roman" w:eastAsia="Calibri" w:hAnsi="Times New Roman" w:cs="Times New Roman"/>
        </w:rPr>
        <w:t>customers as a whole on Avista’s system.</w:t>
      </w:r>
      <w:r w:rsidR="00CC7323">
        <w:rPr>
          <w:rFonts w:ascii="Times New Roman" w:eastAsia="Calibri" w:hAnsi="Times New Roman" w:cs="Times New Roman"/>
        </w:rPr>
        <w:t xml:space="preserve">  </w:t>
      </w:r>
      <w:r w:rsidR="00734C2B">
        <w:rPr>
          <w:rFonts w:ascii="Times New Roman" w:eastAsia="Calibri" w:hAnsi="Times New Roman" w:cs="Times New Roman"/>
        </w:rPr>
        <w:t>The benefits that should be identified and, to the extent possible, quantified, would include but not necessarily be limited to the following:</w:t>
      </w:r>
    </w:p>
    <w:p w14:paraId="6B661464" w14:textId="62F21DA4" w:rsidR="00CC7323" w:rsidRPr="00E313B2" w:rsidRDefault="000829EC" w:rsidP="00E313B2">
      <w:pPr>
        <w:pStyle w:val="ListParagraph"/>
        <w:numPr>
          <w:ilvl w:val="0"/>
          <w:numId w:val="24"/>
        </w:numPr>
        <w:spacing w:line="360" w:lineRule="auto"/>
        <w:jc w:val="both"/>
        <w:rPr>
          <w:rFonts w:eastAsia="Calibri"/>
        </w:rPr>
      </w:pPr>
      <w:r>
        <w:rPr>
          <w:rFonts w:eastAsia="Calibri"/>
        </w:rPr>
        <w:t>R</w:t>
      </w:r>
      <w:r w:rsidR="004F1B02" w:rsidRPr="00E313B2">
        <w:rPr>
          <w:rFonts w:eastAsia="Calibri"/>
        </w:rPr>
        <w:t>educed carbon emissions</w:t>
      </w:r>
      <w:r>
        <w:rPr>
          <w:rFonts w:eastAsia="Calibri"/>
        </w:rPr>
        <w:t>;</w:t>
      </w:r>
    </w:p>
    <w:p w14:paraId="462923C2" w14:textId="7D6801E1" w:rsidR="00CC7323" w:rsidRDefault="000829EC" w:rsidP="00E313B2">
      <w:pPr>
        <w:pStyle w:val="ListParagraph"/>
        <w:numPr>
          <w:ilvl w:val="0"/>
          <w:numId w:val="24"/>
        </w:numPr>
        <w:spacing w:line="360" w:lineRule="auto"/>
        <w:jc w:val="both"/>
        <w:rPr>
          <w:rFonts w:eastAsia="Calibri"/>
        </w:rPr>
      </w:pPr>
      <w:r>
        <w:rPr>
          <w:rFonts w:eastAsia="Calibri"/>
        </w:rPr>
        <w:t>L</w:t>
      </w:r>
      <w:r w:rsidR="004F1B02" w:rsidRPr="00E313B2">
        <w:rPr>
          <w:rFonts w:eastAsia="Calibri"/>
        </w:rPr>
        <w:t>ower toxic air pollutants</w:t>
      </w:r>
      <w:r>
        <w:rPr>
          <w:rFonts w:eastAsia="Calibri"/>
        </w:rPr>
        <w:t>;</w:t>
      </w:r>
    </w:p>
    <w:p w14:paraId="334DA4D1" w14:textId="536684CA" w:rsidR="00CC7323" w:rsidRDefault="000829EC" w:rsidP="00E313B2">
      <w:pPr>
        <w:pStyle w:val="ListParagraph"/>
        <w:numPr>
          <w:ilvl w:val="0"/>
          <w:numId w:val="24"/>
        </w:numPr>
        <w:spacing w:line="360" w:lineRule="auto"/>
        <w:jc w:val="both"/>
        <w:rPr>
          <w:rFonts w:eastAsia="Calibri"/>
        </w:rPr>
      </w:pPr>
      <w:r>
        <w:rPr>
          <w:rFonts w:eastAsia="Calibri"/>
        </w:rPr>
        <w:t>O</w:t>
      </w:r>
      <w:r w:rsidR="004F1B02" w:rsidRPr="00E313B2">
        <w:rPr>
          <w:rFonts w:eastAsia="Calibri"/>
        </w:rPr>
        <w:t xml:space="preserve">perational cost savings </w:t>
      </w:r>
      <w:r w:rsidR="00CC7323">
        <w:rPr>
          <w:rFonts w:eastAsia="Calibri"/>
        </w:rPr>
        <w:t>resulting</w:t>
      </w:r>
      <w:r w:rsidR="00AC6759" w:rsidRPr="00E313B2">
        <w:rPr>
          <w:rFonts w:eastAsia="Calibri"/>
        </w:rPr>
        <w:t xml:space="preserve"> in macro</w:t>
      </w:r>
      <w:r w:rsidR="00734C2B">
        <w:rPr>
          <w:rFonts w:eastAsia="Calibri"/>
        </w:rPr>
        <w:t>-economic benefits</w:t>
      </w:r>
      <w:r>
        <w:rPr>
          <w:rFonts w:eastAsia="Calibri"/>
        </w:rPr>
        <w:t>;</w:t>
      </w:r>
    </w:p>
    <w:p w14:paraId="44B8A983" w14:textId="09E34582" w:rsidR="00CC7323" w:rsidRDefault="000829EC" w:rsidP="00E313B2">
      <w:pPr>
        <w:pStyle w:val="ListParagraph"/>
        <w:numPr>
          <w:ilvl w:val="0"/>
          <w:numId w:val="24"/>
        </w:numPr>
        <w:spacing w:line="360" w:lineRule="auto"/>
        <w:jc w:val="both"/>
        <w:rPr>
          <w:rFonts w:eastAsia="Calibri"/>
        </w:rPr>
      </w:pPr>
      <w:r>
        <w:rPr>
          <w:rFonts w:eastAsia="Calibri"/>
        </w:rPr>
        <w:lastRenderedPageBreak/>
        <w:t>N</w:t>
      </w:r>
      <w:r w:rsidR="00AC6759" w:rsidRPr="00E313B2">
        <w:rPr>
          <w:rFonts w:eastAsia="Calibri"/>
        </w:rPr>
        <w:t>et contributions to electric rates (</w:t>
      </w:r>
      <w:r w:rsidR="006663EA" w:rsidRPr="00E313B2">
        <w:rPr>
          <w:rFonts w:eastAsia="Calibri"/>
        </w:rPr>
        <w:t>billed revenue from EV charging</w:t>
      </w:r>
      <w:r w:rsidR="00734C2B">
        <w:rPr>
          <w:rFonts w:eastAsia="Calibri"/>
        </w:rPr>
        <w:t>, net of</w:t>
      </w:r>
      <w:r w:rsidR="006663EA" w:rsidRPr="00E313B2">
        <w:rPr>
          <w:rFonts w:eastAsia="Calibri"/>
        </w:rPr>
        <w:t xml:space="preserve"> </w:t>
      </w:r>
      <w:r w:rsidR="00AC6759" w:rsidRPr="00E313B2">
        <w:rPr>
          <w:rFonts w:eastAsia="Calibri"/>
        </w:rPr>
        <w:t xml:space="preserve">costs </w:t>
      </w:r>
      <w:r w:rsidR="006663EA" w:rsidRPr="00E313B2">
        <w:rPr>
          <w:rFonts w:eastAsia="Calibri"/>
        </w:rPr>
        <w:t>to deliver power)</w:t>
      </w:r>
      <w:r>
        <w:rPr>
          <w:rFonts w:eastAsia="Calibri"/>
        </w:rPr>
        <w:t>;</w:t>
      </w:r>
    </w:p>
    <w:p w14:paraId="7B4BDA48" w14:textId="6EEE465E" w:rsidR="00CC7323" w:rsidRDefault="000829EC" w:rsidP="00E313B2">
      <w:pPr>
        <w:pStyle w:val="ListParagraph"/>
        <w:numPr>
          <w:ilvl w:val="0"/>
          <w:numId w:val="24"/>
        </w:numPr>
        <w:spacing w:line="360" w:lineRule="auto"/>
        <w:jc w:val="both"/>
        <w:rPr>
          <w:rFonts w:eastAsia="Calibri"/>
        </w:rPr>
      </w:pPr>
      <w:r>
        <w:rPr>
          <w:rFonts w:eastAsia="Calibri"/>
        </w:rPr>
        <w:t>R</w:t>
      </w:r>
      <w:r w:rsidR="006663EA" w:rsidRPr="00E313B2">
        <w:rPr>
          <w:rFonts w:eastAsia="Calibri"/>
        </w:rPr>
        <w:t>educed line losses resulting from higher voltage supply</w:t>
      </w:r>
      <w:r w:rsidR="00734C2B">
        <w:rPr>
          <w:rFonts w:eastAsia="Calibri"/>
        </w:rPr>
        <w:t xml:space="preserve"> (e.g., to the extent the program results in higher voltage equipment being used than otherwise would occur absent the program)</w:t>
      </w:r>
      <w:r>
        <w:rPr>
          <w:rFonts w:eastAsia="Calibri"/>
        </w:rPr>
        <w:t>;</w:t>
      </w:r>
    </w:p>
    <w:p w14:paraId="6E9D0E34" w14:textId="3FB5F6F4" w:rsidR="00894A4C" w:rsidRDefault="000829EC" w:rsidP="00894A4C">
      <w:pPr>
        <w:pStyle w:val="ListParagraph"/>
        <w:numPr>
          <w:ilvl w:val="0"/>
          <w:numId w:val="24"/>
        </w:numPr>
        <w:spacing w:line="360" w:lineRule="auto"/>
        <w:jc w:val="both"/>
        <w:rPr>
          <w:rFonts w:eastAsia="Calibri"/>
        </w:rPr>
      </w:pPr>
      <w:r>
        <w:rPr>
          <w:rFonts w:eastAsia="Calibri"/>
        </w:rPr>
        <w:t>V</w:t>
      </w:r>
      <w:r w:rsidR="00894A4C" w:rsidRPr="00BA3DFC">
        <w:rPr>
          <w:rFonts w:eastAsia="Calibri"/>
        </w:rPr>
        <w:t xml:space="preserve">alue provided to participating customers by </w:t>
      </w:r>
      <w:r w:rsidR="00894A4C">
        <w:rPr>
          <w:rFonts w:eastAsia="Calibri"/>
        </w:rPr>
        <w:t xml:space="preserve">providing cost-effective, trustworthy EVSE products and services, </w:t>
      </w:r>
      <w:r w:rsidR="00894A4C" w:rsidRPr="00BA3DFC">
        <w:rPr>
          <w:rFonts w:eastAsia="Calibri"/>
        </w:rPr>
        <w:t>alleviating informational and first-cost barriers</w:t>
      </w:r>
      <w:r>
        <w:rPr>
          <w:rFonts w:eastAsia="Calibri"/>
        </w:rPr>
        <w:t>; and,</w:t>
      </w:r>
    </w:p>
    <w:p w14:paraId="1A36DD20" w14:textId="5C1C4EE4" w:rsidR="00CC7323" w:rsidRDefault="000829EC" w:rsidP="00E313B2">
      <w:pPr>
        <w:pStyle w:val="ListParagraph"/>
        <w:numPr>
          <w:ilvl w:val="0"/>
          <w:numId w:val="24"/>
        </w:numPr>
        <w:spacing w:line="360" w:lineRule="auto"/>
        <w:jc w:val="both"/>
        <w:rPr>
          <w:rFonts w:eastAsia="Calibri"/>
        </w:rPr>
      </w:pPr>
      <w:r>
        <w:rPr>
          <w:rFonts w:eastAsia="Calibri"/>
        </w:rPr>
        <w:t>P</w:t>
      </w:r>
      <w:r w:rsidR="00CD1EAD" w:rsidRPr="00E313B2">
        <w:rPr>
          <w:rFonts w:eastAsia="Calibri"/>
        </w:rPr>
        <w:t xml:space="preserve">roviding a basic level of </w:t>
      </w:r>
      <w:r w:rsidR="00CF1FAC" w:rsidRPr="00E313B2">
        <w:rPr>
          <w:rFonts w:eastAsia="Calibri"/>
        </w:rPr>
        <w:t xml:space="preserve">reliable and available </w:t>
      </w:r>
      <w:r w:rsidR="00CD1EAD" w:rsidRPr="00E313B2">
        <w:rPr>
          <w:rFonts w:eastAsia="Calibri"/>
        </w:rPr>
        <w:t xml:space="preserve">EVSE infrastructure, thereby elevating electric driving range confidence and the </w:t>
      </w:r>
      <w:r w:rsidR="00E55A2B" w:rsidRPr="00E313B2">
        <w:rPr>
          <w:rFonts w:eastAsia="Calibri"/>
        </w:rPr>
        <w:t>adoption of EVs</w:t>
      </w:r>
      <w:r w:rsidR="006663EA" w:rsidRPr="00E313B2">
        <w:rPr>
          <w:rFonts w:eastAsia="Calibri"/>
        </w:rPr>
        <w:t>.</w:t>
      </w:r>
      <w:r w:rsidR="00AC6759" w:rsidRPr="00E313B2">
        <w:rPr>
          <w:rFonts w:eastAsia="Calibri"/>
        </w:rPr>
        <w:t xml:space="preserve"> </w:t>
      </w:r>
    </w:p>
    <w:p w14:paraId="45CDCE65" w14:textId="77777777" w:rsidR="00894A4C" w:rsidRPr="00E313B2" w:rsidRDefault="00894A4C" w:rsidP="00E313B2">
      <w:pPr>
        <w:pStyle w:val="ListParagraph"/>
        <w:spacing w:line="360" w:lineRule="auto"/>
        <w:ind w:left="1080"/>
        <w:jc w:val="both"/>
        <w:rPr>
          <w:rFonts w:eastAsia="Calibri"/>
        </w:rPr>
      </w:pPr>
    </w:p>
    <w:p w14:paraId="0373D442" w14:textId="725594AC" w:rsidR="004F7A19" w:rsidRPr="00F3153E" w:rsidRDefault="006663EA" w:rsidP="00F3153E">
      <w:pPr>
        <w:spacing w:line="360" w:lineRule="auto"/>
        <w:jc w:val="both"/>
        <w:rPr>
          <w:rFonts w:ascii="Times New Roman" w:eastAsia="Calibri" w:hAnsi="Times New Roman" w:cs="Times New Roman"/>
        </w:rPr>
      </w:pPr>
      <w:r w:rsidRPr="00F3153E">
        <w:rPr>
          <w:rFonts w:ascii="Times New Roman" w:eastAsia="Calibri" w:hAnsi="Times New Roman" w:cs="Times New Roman"/>
        </w:rPr>
        <w:t>These determinations</w:t>
      </w:r>
      <w:r w:rsidR="004F1B02" w:rsidRPr="00F3153E">
        <w:rPr>
          <w:rFonts w:ascii="Times New Roman" w:eastAsia="Calibri" w:hAnsi="Times New Roman" w:cs="Times New Roman"/>
        </w:rPr>
        <w:t xml:space="preserve"> should be</w:t>
      </w:r>
      <w:r w:rsidRPr="00F3153E">
        <w:rPr>
          <w:rFonts w:ascii="Times New Roman" w:eastAsia="Calibri" w:hAnsi="Times New Roman" w:cs="Times New Roman"/>
        </w:rPr>
        <w:t xml:space="preserve"> </w:t>
      </w:r>
      <w:r w:rsidR="004F1B02" w:rsidRPr="00F3153E">
        <w:rPr>
          <w:rFonts w:ascii="Times New Roman" w:eastAsia="Calibri" w:hAnsi="Times New Roman" w:cs="Times New Roman"/>
        </w:rPr>
        <w:t xml:space="preserve">made as a function of the type </w:t>
      </w:r>
      <w:r w:rsidR="00894A4C" w:rsidRPr="00F3153E">
        <w:rPr>
          <w:rFonts w:ascii="Times New Roman" w:eastAsia="Calibri" w:hAnsi="Times New Roman" w:cs="Times New Roman"/>
        </w:rPr>
        <w:t xml:space="preserve">and number </w:t>
      </w:r>
      <w:r w:rsidR="004F1B02" w:rsidRPr="00F3153E">
        <w:rPr>
          <w:rFonts w:ascii="Times New Roman" w:eastAsia="Calibri" w:hAnsi="Times New Roman" w:cs="Times New Roman"/>
        </w:rPr>
        <w:t xml:space="preserve">of EVSE installed with respect to the </w:t>
      </w:r>
      <w:r w:rsidR="00E55A2B" w:rsidRPr="00F3153E">
        <w:rPr>
          <w:rFonts w:ascii="Times New Roman" w:eastAsia="Calibri" w:hAnsi="Times New Roman" w:cs="Times New Roman"/>
        </w:rPr>
        <w:t xml:space="preserve">state of EV adoption </w:t>
      </w:r>
      <w:r w:rsidR="004F1B02" w:rsidRPr="00F3153E">
        <w:rPr>
          <w:rFonts w:ascii="Times New Roman" w:eastAsia="Calibri" w:hAnsi="Times New Roman" w:cs="Times New Roman"/>
        </w:rPr>
        <w:t>in a given utility’</w:t>
      </w:r>
      <w:r w:rsidRPr="00F3153E">
        <w:rPr>
          <w:rFonts w:ascii="Times New Roman" w:eastAsia="Calibri" w:hAnsi="Times New Roman" w:cs="Times New Roman"/>
        </w:rPr>
        <w:t xml:space="preserve">s service territory, and with a reasonable time horizon for investments in EVSE to result in increased EV adoption and resulting benefits to ratepayers.  </w:t>
      </w:r>
      <w:r w:rsidR="00CC7323" w:rsidRPr="00F3153E">
        <w:rPr>
          <w:rFonts w:ascii="Times New Roman" w:eastAsia="Calibri" w:hAnsi="Times New Roman" w:cs="Times New Roman"/>
        </w:rPr>
        <w:t>In other words, the prudent number of EVSE investments of each type should be tailored to the needs of each particular market</w:t>
      </w:r>
      <w:r w:rsidR="00734C2B">
        <w:rPr>
          <w:rFonts w:ascii="Times New Roman" w:eastAsia="Calibri" w:hAnsi="Times New Roman" w:cs="Times New Roman"/>
        </w:rPr>
        <w:t xml:space="preserve">.  </w:t>
      </w:r>
      <w:r w:rsidR="000829EC" w:rsidRPr="00F3153E">
        <w:rPr>
          <w:rFonts w:ascii="Times New Roman" w:eastAsia="Calibri" w:hAnsi="Times New Roman" w:cs="Times New Roman"/>
        </w:rPr>
        <w:t>M</w:t>
      </w:r>
      <w:r w:rsidR="004F7A19" w:rsidRPr="00F3153E">
        <w:rPr>
          <w:rFonts w:ascii="Times New Roman" w:eastAsia="Calibri" w:hAnsi="Times New Roman" w:cs="Times New Roman"/>
        </w:rPr>
        <w:t xml:space="preserve">odeling by the Electric Power Research Institute (EPRI) </w:t>
      </w:r>
      <w:r w:rsidR="00CC7323" w:rsidRPr="00F3153E">
        <w:rPr>
          <w:rFonts w:ascii="Times New Roman" w:eastAsia="Calibri" w:hAnsi="Times New Roman" w:cs="Times New Roman"/>
        </w:rPr>
        <w:t>indicates that</w:t>
      </w:r>
      <w:r w:rsidR="000829EC" w:rsidRPr="00F3153E">
        <w:rPr>
          <w:rFonts w:ascii="Times New Roman" w:eastAsia="Calibri" w:hAnsi="Times New Roman" w:cs="Times New Roman"/>
        </w:rPr>
        <w:t>,</w:t>
      </w:r>
      <w:r w:rsidR="00CC7323" w:rsidRPr="00F3153E">
        <w:rPr>
          <w:rFonts w:ascii="Times New Roman" w:eastAsia="Calibri" w:hAnsi="Times New Roman" w:cs="Times New Roman"/>
        </w:rPr>
        <w:t xml:space="preserve"> </w:t>
      </w:r>
      <w:r w:rsidR="00677B8B" w:rsidRPr="00F3153E">
        <w:rPr>
          <w:rFonts w:ascii="Times New Roman" w:eastAsia="Calibri" w:hAnsi="Times New Roman" w:cs="Times New Roman"/>
        </w:rPr>
        <w:t>at most</w:t>
      </w:r>
      <w:r w:rsidR="000829EC" w:rsidRPr="00F3153E">
        <w:rPr>
          <w:rFonts w:ascii="Times New Roman" w:eastAsia="Calibri" w:hAnsi="Times New Roman" w:cs="Times New Roman"/>
        </w:rPr>
        <w:t>,</w:t>
      </w:r>
      <w:r w:rsidR="001223C1" w:rsidRPr="00F3153E">
        <w:rPr>
          <w:rFonts w:ascii="Times New Roman" w:eastAsia="Calibri" w:hAnsi="Times New Roman" w:cs="Times New Roman"/>
        </w:rPr>
        <w:t xml:space="preserve"> </w:t>
      </w:r>
      <w:r w:rsidR="00677B8B" w:rsidRPr="00F3153E">
        <w:rPr>
          <w:rFonts w:ascii="Times New Roman" w:eastAsia="Calibri" w:hAnsi="Times New Roman" w:cs="Times New Roman"/>
        </w:rPr>
        <w:t>fifteen</w:t>
      </w:r>
      <w:r w:rsidR="00CC7323" w:rsidRPr="00F3153E">
        <w:rPr>
          <w:rFonts w:ascii="Times New Roman" w:eastAsia="Calibri" w:hAnsi="Times New Roman" w:cs="Times New Roman"/>
        </w:rPr>
        <w:t xml:space="preserve"> AC Level 2 EVSE port connection</w:t>
      </w:r>
      <w:r w:rsidR="00677B8B" w:rsidRPr="00F3153E">
        <w:rPr>
          <w:rFonts w:ascii="Times New Roman" w:eastAsia="Calibri" w:hAnsi="Times New Roman" w:cs="Times New Roman"/>
        </w:rPr>
        <w:t>s may be</w:t>
      </w:r>
      <w:r w:rsidR="00CC7323" w:rsidRPr="00F3153E">
        <w:rPr>
          <w:rFonts w:ascii="Times New Roman" w:eastAsia="Calibri" w:hAnsi="Times New Roman" w:cs="Times New Roman"/>
        </w:rPr>
        <w:t xml:space="preserve"> needed in </w:t>
      </w:r>
      <w:r w:rsidR="00677B8B" w:rsidRPr="00F3153E">
        <w:rPr>
          <w:rFonts w:ascii="Times New Roman" w:eastAsia="Calibri" w:hAnsi="Times New Roman" w:cs="Times New Roman"/>
        </w:rPr>
        <w:t>public locations for every 100</w:t>
      </w:r>
      <w:r w:rsidR="00CC7323" w:rsidRPr="00F3153E">
        <w:rPr>
          <w:rFonts w:ascii="Times New Roman" w:eastAsia="Calibri" w:hAnsi="Times New Roman" w:cs="Times New Roman"/>
        </w:rPr>
        <w:t xml:space="preserve"> EVs on the road</w:t>
      </w:r>
      <w:r w:rsidR="00D419CE">
        <w:rPr>
          <w:rFonts w:ascii="Times New Roman" w:eastAsia="Calibri" w:hAnsi="Times New Roman" w:cs="Times New Roman"/>
        </w:rPr>
        <w:t xml:space="preserve">.  </w:t>
      </w:r>
      <w:r w:rsidR="004F7A19" w:rsidRPr="00F3153E">
        <w:rPr>
          <w:rFonts w:ascii="Times New Roman" w:eastAsia="Calibri" w:hAnsi="Times New Roman" w:cs="Times New Roman"/>
        </w:rPr>
        <w:t>The EPRI model notes that at any given time approximately 27% of vehicles are parked at work, however a more detailed assessment of t</w:t>
      </w:r>
      <w:r w:rsidR="00677B8B" w:rsidRPr="00F3153E">
        <w:rPr>
          <w:rFonts w:ascii="Times New Roman" w:eastAsia="Calibri" w:hAnsi="Times New Roman" w:cs="Times New Roman"/>
        </w:rPr>
        <w:t xml:space="preserve">he prudent number of workplace AC Level 2 EVSE port connections </w:t>
      </w:r>
      <w:r w:rsidR="004F7A19" w:rsidRPr="00F3153E">
        <w:rPr>
          <w:rFonts w:ascii="Times New Roman" w:eastAsia="Calibri" w:hAnsi="Times New Roman" w:cs="Times New Roman"/>
        </w:rPr>
        <w:t>is a function of</w:t>
      </w:r>
      <w:r w:rsidR="00677B8B" w:rsidRPr="00F3153E">
        <w:rPr>
          <w:rFonts w:ascii="Times New Roman" w:eastAsia="Calibri" w:hAnsi="Times New Roman" w:cs="Times New Roman"/>
        </w:rPr>
        <w:t xml:space="preserve"> the number of vehicles commuting to a given workplace</w:t>
      </w:r>
      <w:r w:rsidR="009F0C95" w:rsidRPr="00F3153E">
        <w:rPr>
          <w:rFonts w:ascii="Times New Roman" w:eastAsia="Calibri" w:hAnsi="Times New Roman" w:cs="Times New Roman"/>
        </w:rPr>
        <w:t xml:space="preserve"> </w:t>
      </w:r>
      <w:r w:rsidR="004F7A19" w:rsidRPr="00F3153E">
        <w:rPr>
          <w:rFonts w:ascii="Times New Roman" w:eastAsia="Calibri" w:hAnsi="Times New Roman" w:cs="Times New Roman"/>
        </w:rPr>
        <w:t>and the commute distance</w:t>
      </w:r>
      <w:r w:rsidR="009F0C95" w:rsidRPr="00F3153E">
        <w:rPr>
          <w:rFonts w:ascii="Times New Roman" w:eastAsia="Calibri" w:hAnsi="Times New Roman" w:cs="Times New Roman"/>
        </w:rPr>
        <w:t xml:space="preserve"> and</w:t>
      </w:r>
      <w:r w:rsidR="004F7A19" w:rsidRPr="00F3153E">
        <w:rPr>
          <w:rFonts w:ascii="Times New Roman" w:eastAsia="Calibri" w:hAnsi="Times New Roman" w:cs="Times New Roman"/>
        </w:rPr>
        <w:t xml:space="preserve"> </w:t>
      </w:r>
      <w:r w:rsidR="00677B8B" w:rsidRPr="00F3153E">
        <w:rPr>
          <w:rFonts w:ascii="Times New Roman" w:eastAsia="Calibri" w:hAnsi="Times New Roman" w:cs="Times New Roman"/>
        </w:rPr>
        <w:t xml:space="preserve">electric range of </w:t>
      </w:r>
      <w:r w:rsidR="004F7A19" w:rsidRPr="00F3153E">
        <w:rPr>
          <w:rFonts w:ascii="Times New Roman" w:eastAsia="Calibri" w:hAnsi="Times New Roman" w:cs="Times New Roman"/>
        </w:rPr>
        <w:t>each</w:t>
      </w:r>
      <w:r w:rsidR="009F0C95" w:rsidRPr="00F3153E">
        <w:rPr>
          <w:rFonts w:ascii="Times New Roman" w:eastAsia="Calibri" w:hAnsi="Times New Roman" w:cs="Times New Roman"/>
        </w:rPr>
        <w:t xml:space="preserve"> EV.  For example, the driver of a PHEV with an electric range of 20 miles and a round-trip commute distance of 40 miles, must have workplace charging available to recharge the 20 mile battery pack and make the return trip driving on electric power, whereas a BEV driver with an electric range of 80 miles could conceivably charge mostly at home and would only need to charge at work when making the occasional longer trip</w:t>
      </w:r>
      <w:r w:rsidR="004F7A19" w:rsidRPr="00F3153E">
        <w:rPr>
          <w:rFonts w:ascii="Times New Roman" w:eastAsia="Calibri" w:hAnsi="Times New Roman" w:cs="Times New Roman"/>
        </w:rPr>
        <w:t>.</w:t>
      </w:r>
    </w:p>
    <w:p w14:paraId="35C70553" w14:textId="77777777" w:rsidR="000829EC" w:rsidRPr="00F3153E" w:rsidRDefault="000829EC" w:rsidP="00E313B2">
      <w:pPr>
        <w:pStyle w:val="ListParagraph"/>
        <w:spacing w:line="360" w:lineRule="auto"/>
        <w:ind w:left="360"/>
        <w:jc w:val="both"/>
        <w:rPr>
          <w:rFonts w:eastAsia="Calibri"/>
        </w:rPr>
      </w:pPr>
    </w:p>
    <w:p w14:paraId="0DA29A1B" w14:textId="37CA3561" w:rsidR="00663BBB" w:rsidRDefault="004F7A19" w:rsidP="00F3153E">
      <w:pPr>
        <w:spacing w:line="360" w:lineRule="auto"/>
        <w:jc w:val="both"/>
        <w:rPr>
          <w:rFonts w:ascii="Times New Roman" w:hAnsi="Times New Roman" w:cs="Times New Roman"/>
        </w:rPr>
      </w:pPr>
      <w:r w:rsidRPr="00F3153E">
        <w:rPr>
          <w:rFonts w:ascii="Times New Roman" w:eastAsia="Calibri" w:hAnsi="Times New Roman" w:cs="Times New Roman"/>
        </w:rPr>
        <w:t>In addition, the benefits that EVs accrue to electric ratepayers and the degree to which EVSE supports the adoption of EVs and resulting benefits shou</w:t>
      </w:r>
      <w:r w:rsidR="00593ABF">
        <w:rPr>
          <w:rFonts w:ascii="Times New Roman" w:eastAsia="Calibri" w:hAnsi="Times New Roman" w:cs="Times New Roman"/>
        </w:rPr>
        <w:t>ld be considered in any prudence</w:t>
      </w:r>
      <w:r w:rsidRPr="00F3153E">
        <w:rPr>
          <w:rFonts w:ascii="Times New Roman" w:eastAsia="Calibri" w:hAnsi="Times New Roman" w:cs="Times New Roman"/>
        </w:rPr>
        <w:t xml:space="preserve"> determination.  </w:t>
      </w:r>
      <w:r w:rsidR="004F4A73" w:rsidRPr="00F3153E">
        <w:rPr>
          <w:rFonts w:ascii="Times New Roman" w:eastAsia="Calibri" w:hAnsi="Times New Roman" w:cs="Times New Roman"/>
        </w:rPr>
        <w:t xml:space="preserve">For example, the U.S. Department of Energy </w:t>
      </w:r>
      <w:r w:rsidR="004F4A73" w:rsidRPr="00F3153E">
        <w:rPr>
          <w:rFonts w:ascii="Times New Roman" w:hAnsi="Times New Roman" w:cs="Times New Roman"/>
        </w:rPr>
        <w:t xml:space="preserve">showed that twenty times as many employees drove EVs when charging was made available at the workplace, compared to the </w:t>
      </w:r>
      <w:r w:rsidR="004F4A73" w:rsidRPr="00F3153E">
        <w:rPr>
          <w:rFonts w:ascii="Times New Roman" w:hAnsi="Times New Roman" w:cs="Times New Roman"/>
        </w:rPr>
        <w:lastRenderedPageBreak/>
        <w:t>average employee.  For utility-owned residential EVSE, in addition to more efficient charging at higher voltage and the benefit of removing information and first cost barriers for the customer, the ability to cost-effectively shift on-peak</w:t>
      </w:r>
      <w:r w:rsidR="00077661">
        <w:rPr>
          <w:rFonts w:ascii="Times New Roman" w:hAnsi="Times New Roman" w:cs="Times New Roman"/>
        </w:rPr>
        <w:t xml:space="preserve"> charging</w:t>
      </w:r>
      <w:r w:rsidR="004F4A73" w:rsidRPr="00F3153E">
        <w:rPr>
          <w:rFonts w:ascii="Times New Roman" w:hAnsi="Times New Roman" w:cs="Times New Roman"/>
        </w:rPr>
        <w:t xml:space="preserve"> to off-peak loads </w:t>
      </w:r>
      <w:r w:rsidR="00F009A1" w:rsidRPr="00F3153E">
        <w:rPr>
          <w:rFonts w:ascii="Times New Roman" w:hAnsi="Times New Roman" w:cs="Times New Roman"/>
        </w:rPr>
        <w:t xml:space="preserve">with EVSE capable of demand response, </w:t>
      </w:r>
      <w:r w:rsidR="004F4A73" w:rsidRPr="00F3153E">
        <w:rPr>
          <w:rFonts w:ascii="Times New Roman" w:hAnsi="Times New Roman" w:cs="Times New Roman"/>
        </w:rPr>
        <w:t>can result in greater utilization and lower total lifecycle costs of grid infrastructure that benefit</w:t>
      </w:r>
      <w:r w:rsidR="00F009A1" w:rsidRPr="00F3153E">
        <w:rPr>
          <w:rFonts w:ascii="Times New Roman" w:hAnsi="Times New Roman" w:cs="Times New Roman"/>
        </w:rPr>
        <w:t>s</w:t>
      </w:r>
      <w:r w:rsidR="004F4A73" w:rsidRPr="00F3153E">
        <w:rPr>
          <w:rFonts w:ascii="Times New Roman" w:hAnsi="Times New Roman" w:cs="Times New Roman"/>
        </w:rPr>
        <w:t xml:space="preserve"> all customers.</w:t>
      </w:r>
    </w:p>
    <w:p w14:paraId="1CE0EA5A" w14:textId="77777777" w:rsidR="00D419CE" w:rsidRDefault="00D419CE" w:rsidP="00F3153E">
      <w:pPr>
        <w:spacing w:line="360" w:lineRule="auto"/>
        <w:jc w:val="both"/>
        <w:rPr>
          <w:rFonts w:ascii="Times New Roman" w:hAnsi="Times New Roman" w:cs="Times New Roman"/>
        </w:rPr>
      </w:pPr>
    </w:p>
    <w:p w14:paraId="28F0728D" w14:textId="7D7A665C" w:rsidR="00D419CE" w:rsidRPr="00756F8D" w:rsidRDefault="00D419CE" w:rsidP="00D419CE">
      <w:pPr>
        <w:spacing w:line="360" w:lineRule="auto"/>
        <w:jc w:val="both"/>
        <w:rPr>
          <w:rFonts w:ascii="Times New Roman" w:eastAsia="Calibri" w:hAnsi="Times New Roman" w:cs="Times New Roman"/>
        </w:rPr>
      </w:pPr>
      <w:r>
        <w:rPr>
          <w:rFonts w:ascii="Times New Roman" w:eastAsia="Calibri" w:hAnsi="Times New Roman" w:cs="Times New Roman"/>
        </w:rPr>
        <w:t>A certain number of DC Fast Chargers are also needed to enable EV adoption, provide convenience quick charging in areas of higher EV adoption, and enable longer distance EV travel along major corridors.  Once the ability to travel along major corridors is established with DC Fast Chargers approximately every 40 miles (WADOT West Cost Electric Highway), Electric Power Research Institute (EPRI) research indicates one DC fast charger is needed for every 200 EV drivers on the road, as a convenience and assurance to enable hassle-free local driving.  As DC Fast Chargers are an essential EVSE component that must be addressed to achieve EV adoption and associated benefits to ratepayers, investments should be evaluated alongside other types of EVSE or within an EVSE program in its entirety.</w:t>
      </w:r>
    </w:p>
    <w:p w14:paraId="31FEC524" w14:textId="77777777" w:rsidR="00663BBB" w:rsidRDefault="00663BBB" w:rsidP="00840B2A">
      <w:pPr>
        <w:spacing w:line="360" w:lineRule="auto"/>
        <w:ind w:left="360"/>
        <w:jc w:val="both"/>
        <w:rPr>
          <w:rFonts w:ascii="Times New Roman" w:eastAsia="Calibri" w:hAnsi="Times New Roman" w:cs="Times New Roman"/>
        </w:rPr>
      </w:pPr>
    </w:p>
    <w:p w14:paraId="15DDCCEC" w14:textId="1A8A15BF" w:rsidR="00756F8D" w:rsidRDefault="00C06B49" w:rsidP="00F3153E">
      <w:pPr>
        <w:spacing w:line="360" w:lineRule="auto"/>
        <w:jc w:val="both"/>
        <w:rPr>
          <w:rFonts w:ascii="Times New Roman" w:eastAsia="Calibri" w:hAnsi="Times New Roman" w:cs="Times New Roman"/>
        </w:rPr>
      </w:pPr>
      <w:r>
        <w:rPr>
          <w:rFonts w:ascii="Times New Roman" w:eastAsia="Calibri" w:hAnsi="Times New Roman" w:cs="Times New Roman"/>
        </w:rPr>
        <w:t>In summary, a</w:t>
      </w:r>
      <w:r w:rsidR="00B1620E">
        <w:rPr>
          <w:rFonts w:ascii="Times New Roman" w:eastAsia="Calibri" w:hAnsi="Times New Roman" w:cs="Times New Roman"/>
        </w:rPr>
        <w:t xml:space="preserve">n appropriate number of all EVSE types </w:t>
      </w:r>
      <w:r w:rsidR="00077661">
        <w:rPr>
          <w:rFonts w:ascii="Times New Roman" w:eastAsia="Calibri" w:hAnsi="Times New Roman" w:cs="Times New Roman"/>
        </w:rPr>
        <w:t>should be considered</w:t>
      </w:r>
      <w:r w:rsidR="004F4A73">
        <w:rPr>
          <w:rFonts w:ascii="Times New Roman" w:eastAsia="Calibri" w:hAnsi="Times New Roman" w:cs="Times New Roman"/>
        </w:rPr>
        <w:t xml:space="preserve"> for a given area, a</w:t>
      </w:r>
      <w:r w:rsidR="00646748">
        <w:rPr>
          <w:rFonts w:ascii="Times New Roman" w:eastAsia="Calibri" w:hAnsi="Times New Roman" w:cs="Times New Roman"/>
        </w:rPr>
        <w:t xml:space="preserve">s </w:t>
      </w:r>
      <w:r w:rsidR="00B1620E">
        <w:rPr>
          <w:rFonts w:ascii="Times New Roman" w:eastAsia="Calibri" w:hAnsi="Times New Roman" w:cs="Times New Roman"/>
        </w:rPr>
        <w:t>the lack of any one type can stymie adoption</w:t>
      </w:r>
      <w:r w:rsidR="000829EC">
        <w:rPr>
          <w:rFonts w:ascii="Times New Roman" w:eastAsia="Calibri" w:hAnsi="Times New Roman" w:cs="Times New Roman"/>
        </w:rPr>
        <w:t xml:space="preserve"> of EVs</w:t>
      </w:r>
      <w:r w:rsidR="00B1620E">
        <w:rPr>
          <w:rFonts w:ascii="Times New Roman" w:eastAsia="Calibri" w:hAnsi="Times New Roman" w:cs="Times New Roman"/>
        </w:rPr>
        <w:t xml:space="preserve">.  </w:t>
      </w:r>
      <w:r w:rsidR="00077661">
        <w:rPr>
          <w:rFonts w:ascii="Times New Roman" w:eastAsia="Calibri" w:hAnsi="Times New Roman" w:cs="Times New Roman"/>
        </w:rPr>
        <w:t>Furthermore, prudence</w:t>
      </w:r>
      <w:r>
        <w:rPr>
          <w:rFonts w:ascii="Times New Roman" w:eastAsia="Calibri" w:hAnsi="Times New Roman" w:cs="Times New Roman"/>
        </w:rPr>
        <w:t xml:space="preserve"> determinations for EVSE investments should be influenced by established net benefits of EVs which follow from the enabling EVSE infrastructure.  </w:t>
      </w:r>
      <w:r w:rsidR="00B367AF">
        <w:rPr>
          <w:rFonts w:ascii="Times New Roman" w:eastAsia="Calibri" w:hAnsi="Times New Roman" w:cs="Times New Roman"/>
        </w:rPr>
        <w:t>S</w:t>
      </w:r>
      <w:r w:rsidR="00756F8D">
        <w:rPr>
          <w:rFonts w:ascii="Times New Roman" w:eastAsia="Calibri" w:hAnsi="Times New Roman" w:cs="Times New Roman"/>
        </w:rPr>
        <w:t xml:space="preserve">tudies which include </w:t>
      </w:r>
      <w:r w:rsidR="004F4A73">
        <w:rPr>
          <w:rFonts w:ascii="Times New Roman" w:eastAsia="Calibri" w:hAnsi="Times New Roman" w:cs="Times New Roman"/>
        </w:rPr>
        <w:t>critical</w:t>
      </w:r>
      <w:r w:rsidR="00756F8D">
        <w:rPr>
          <w:rFonts w:ascii="Times New Roman" w:eastAsia="Calibri" w:hAnsi="Times New Roman" w:cs="Times New Roman"/>
        </w:rPr>
        <w:t xml:space="preserve"> </w:t>
      </w:r>
      <w:r w:rsidR="00CD1EAD">
        <w:rPr>
          <w:rFonts w:ascii="Times New Roman" w:eastAsia="Calibri" w:hAnsi="Times New Roman" w:cs="Times New Roman"/>
        </w:rPr>
        <w:t>variables and sensitivity analys</w:t>
      </w:r>
      <w:r>
        <w:rPr>
          <w:rFonts w:ascii="Times New Roman" w:eastAsia="Calibri" w:hAnsi="Times New Roman" w:cs="Times New Roman"/>
        </w:rPr>
        <w:t>e</w:t>
      </w:r>
      <w:r w:rsidR="00CD1EAD">
        <w:rPr>
          <w:rFonts w:ascii="Times New Roman" w:eastAsia="Calibri" w:hAnsi="Times New Roman" w:cs="Times New Roman"/>
        </w:rPr>
        <w:t>s</w:t>
      </w:r>
      <w:r>
        <w:rPr>
          <w:rFonts w:ascii="Times New Roman" w:eastAsia="Calibri" w:hAnsi="Times New Roman" w:cs="Times New Roman"/>
        </w:rPr>
        <w:t xml:space="preserve"> </w:t>
      </w:r>
      <w:r w:rsidR="00077661">
        <w:rPr>
          <w:rFonts w:ascii="Times New Roman" w:eastAsia="Calibri" w:hAnsi="Times New Roman" w:cs="Times New Roman"/>
        </w:rPr>
        <w:t>could</w:t>
      </w:r>
      <w:r w:rsidR="00CD1EAD">
        <w:rPr>
          <w:rFonts w:ascii="Times New Roman" w:eastAsia="Calibri" w:hAnsi="Times New Roman" w:cs="Times New Roman"/>
        </w:rPr>
        <w:t xml:space="preserve"> provide insight </w:t>
      </w:r>
      <w:r>
        <w:rPr>
          <w:rFonts w:ascii="Times New Roman" w:eastAsia="Calibri" w:hAnsi="Times New Roman" w:cs="Times New Roman"/>
        </w:rPr>
        <w:t xml:space="preserve">on the relative magnitude of different effects and </w:t>
      </w:r>
      <w:r w:rsidR="00CD1EAD">
        <w:rPr>
          <w:rFonts w:ascii="Times New Roman" w:eastAsia="Calibri" w:hAnsi="Times New Roman" w:cs="Times New Roman"/>
        </w:rPr>
        <w:t xml:space="preserve">establish </w:t>
      </w:r>
      <w:r w:rsidR="00F009A1">
        <w:rPr>
          <w:rFonts w:ascii="Times New Roman" w:eastAsia="Calibri" w:hAnsi="Times New Roman" w:cs="Times New Roman"/>
        </w:rPr>
        <w:t xml:space="preserve">a reasonable baseline for </w:t>
      </w:r>
      <w:r>
        <w:rPr>
          <w:rFonts w:ascii="Times New Roman" w:eastAsia="Calibri" w:hAnsi="Times New Roman" w:cs="Times New Roman"/>
        </w:rPr>
        <w:t xml:space="preserve">the </w:t>
      </w:r>
      <w:r w:rsidR="00F009A1">
        <w:rPr>
          <w:rFonts w:ascii="Times New Roman" w:eastAsia="Calibri" w:hAnsi="Times New Roman" w:cs="Times New Roman"/>
        </w:rPr>
        <w:t xml:space="preserve">net </w:t>
      </w:r>
      <w:r w:rsidR="00756F8D">
        <w:rPr>
          <w:rFonts w:ascii="Times New Roman" w:eastAsia="Calibri" w:hAnsi="Times New Roman" w:cs="Times New Roman"/>
        </w:rPr>
        <w:t xml:space="preserve">benefits </w:t>
      </w:r>
      <w:r w:rsidR="00F009A1">
        <w:rPr>
          <w:rFonts w:ascii="Times New Roman" w:eastAsia="Calibri" w:hAnsi="Times New Roman" w:cs="Times New Roman"/>
        </w:rPr>
        <w:t>that</w:t>
      </w:r>
      <w:r>
        <w:rPr>
          <w:rFonts w:ascii="Times New Roman" w:eastAsia="Calibri" w:hAnsi="Times New Roman" w:cs="Times New Roman"/>
        </w:rPr>
        <w:t xml:space="preserve"> EVs </w:t>
      </w:r>
      <w:r w:rsidR="00D1312E">
        <w:rPr>
          <w:rFonts w:ascii="Times New Roman" w:eastAsia="Calibri" w:hAnsi="Times New Roman" w:cs="Times New Roman"/>
        </w:rPr>
        <w:t xml:space="preserve">and EVSE </w:t>
      </w:r>
      <w:r w:rsidR="00F009A1">
        <w:rPr>
          <w:rFonts w:ascii="Times New Roman" w:eastAsia="Calibri" w:hAnsi="Times New Roman" w:cs="Times New Roman"/>
        </w:rPr>
        <w:t xml:space="preserve">provide </w:t>
      </w:r>
      <w:r>
        <w:rPr>
          <w:rFonts w:ascii="Times New Roman" w:eastAsia="Calibri" w:hAnsi="Times New Roman" w:cs="Times New Roman"/>
        </w:rPr>
        <w:t>to ratepayers.</w:t>
      </w:r>
    </w:p>
    <w:p w14:paraId="790B4136" w14:textId="77777777" w:rsidR="004B7AAF" w:rsidRDefault="004B7AAF" w:rsidP="00840B2A">
      <w:pPr>
        <w:spacing w:line="360" w:lineRule="auto"/>
        <w:ind w:left="360"/>
        <w:jc w:val="both"/>
        <w:rPr>
          <w:rFonts w:ascii="Times New Roman" w:eastAsia="Calibri" w:hAnsi="Times New Roman" w:cs="Times New Roman"/>
          <w:b/>
        </w:rPr>
      </w:pPr>
    </w:p>
    <w:p w14:paraId="614BEBD5" w14:textId="77777777" w:rsidR="00D419CE" w:rsidRDefault="00756F8D" w:rsidP="00F3153E">
      <w:pPr>
        <w:spacing w:line="360" w:lineRule="auto"/>
        <w:jc w:val="both"/>
        <w:rPr>
          <w:rFonts w:ascii="Times New Roman" w:eastAsia="Calibri" w:hAnsi="Times New Roman" w:cs="Times New Roman"/>
        </w:rPr>
      </w:pPr>
      <w:r w:rsidRPr="00734C2B">
        <w:rPr>
          <w:rFonts w:ascii="Times New Roman" w:eastAsia="Calibri" w:hAnsi="Times New Roman" w:cs="Times New Roman"/>
          <w:b/>
        </w:rPr>
        <w:t>b)</w:t>
      </w:r>
      <w:r w:rsidR="00734C2B">
        <w:rPr>
          <w:rFonts w:ascii="Times New Roman" w:eastAsia="Calibri" w:hAnsi="Times New Roman" w:cs="Times New Roman"/>
          <w:b/>
        </w:rPr>
        <w:t xml:space="preserve"> What real and tangible benefits to ratepayers should electrical companies be required to quantify and demonstrate in order for the Commission to authorize an incentive rate of return?</w:t>
      </w:r>
      <w:r>
        <w:rPr>
          <w:rFonts w:ascii="Times New Roman" w:eastAsia="Calibri" w:hAnsi="Times New Roman" w:cs="Times New Roman"/>
          <w:b/>
        </w:rPr>
        <w:t xml:space="preserve"> </w:t>
      </w:r>
      <w:r w:rsidRPr="004B7AAF">
        <w:rPr>
          <w:rFonts w:ascii="Times New Roman" w:eastAsia="Calibri" w:hAnsi="Times New Roman" w:cs="Times New Roman"/>
        </w:rPr>
        <w:t>T</w:t>
      </w:r>
      <w:r>
        <w:rPr>
          <w:rFonts w:ascii="Times New Roman" w:eastAsia="Calibri" w:hAnsi="Times New Roman" w:cs="Times New Roman"/>
        </w:rPr>
        <w:t xml:space="preserve">he incentive rate of return in RCW 80.28.360(2) is contingent on installation locations </w:t>
      </w:r>
      <w:r w:rsidR="006157BD">
        <w:rPr>
          <w:rFonts w:ascii="Times New Roman" w:eastAsia="Calibri" w:hAnsi="Times New Roman" w:cs="Times New Roman"/>
        </w:rPr>
        <w:t>where</w:t>
      </w:r>
      <w:r>
        <w:rPr>
          <w:rFonts w:ascii="Times New Roman" w:eastAsia="Calibri" w:hAnsi="Times New Roman" w:cs="Times New Roman"/>
        </w:rPr>
        <w:t xml:space="preserve"> EV drivers will park for 2 hours or more.  It </w:t>
      </w:r>
      <w:r w:rsidR="00077661">
        <w:rPr>
          <w:rFonts w:ascii="Times New Roman" w:eastAsia="Calibri" w:hAnsi="Times New Roman" w:cs="Times New Roman"/>
        </w:rPr>
        <w:t>appears</w:t>
      </w:r>
      <w:r>
        <w:rPr>
          <w:rFonts w:ascii="Times New Roman" w:eastAsia="Calibri" w:hAnsi="Times New Roman" w:cs="Times New Roman"/>
        </w:rPr>
        <w:t xml:space="preserve"> that this was intended to direct AC Level 2 EVSE investments proportionately more toward locations where vehicles are parked for longer periods of time, such as at homes, workplaces, and attractive public locations.  This is because 90% or more of EV charging can be accomplished at home and workplace locations where </w:t>
      </w:r>
      <w:r>
        <w:rPr>
          <w:rFonts w:ascii="Times New Roman" w:eastAsia="Calibri" w:hAnsi="Times New Roman" w:cs="Times New Roman"/>
        </w:rPr>
        <w:lastRenderedPageBreak/>
        <w:t>the cost of EVSE installations is typically much lower than in public locations, and to avoid poor siting of AC Level 2 installations in public locations where</w:t>
      </w:r>
      <w:r w:rsidR="006157BD">
        <w:rPr>
          <w:rFonts w:ascii="Times New Roman" w:eastAsia="Calibri" w:hAnsi="Times New Roman" w:cs="Times New Roman"/>
        </w:rPr>
        <w:t xml:space="preserve"> cars may be parked for only short periods of time</w:t>
      </w:r>
      <w:r w:rsidR="00077661">
        <w:rPr>
          <w:rFonts w:ascii="Times New Roman" w:eastAsia="Calibri" w:hAnsi="Times New Roman" w:cs="Times New Roman"/>
        </w:rPr>
        <w:t>,</w:t>
      </w:r>
      <w:r w:rsidR="006157BD">
        <w:rPr>
          <w:rFonts w:ascii="Times New Roman" w:eastAsia="Calibri" w:hAnsi="Times New Roman" w:cs="Times New Roman"/>
        </w:rPr>
        <w:t xml:space="preserve"> or not at all given desired travel patterns</w:t>
      </w:r>
      <w:r w:rsidR="00077661">
        <w:rPr>
          <w:rFonts w:ascii="Times New Roman" w:eastAsia="Calibri" w:hAnsi="Times New Roman" w:cs="Times New Roman"/>
        </w:rPr>
        <w:t xml:space="preserve">. </w:t>
      </w:r>
      <w:r w:rsidR="006157BD">
        <w:rPr>
          <w:rFonts w:ascii="Times New Roman" w:eastAsia="Calibri" w:hAnsi="Times New Roman" w:cs="Times New Roman"/>
        </w:rPr>
        <w:t xml:space="preserve"> </w:t>
      </w:r>
      <w:r w:rsidR="00077661">
        <w:rPr>
          <w:rFonts w:ascii="Times New Roman" w:eastAsia="Calibri" w:hAnsi="Times New Roman" w:cs="Times New Roman"/>
        </w:rPr>
        <w:t>T</w:t>
      </w:r>
      <w:r w:rsidR="006157BD">
        <w:rPr>
          <w:rFonts w:ascii="Times New Roman" w:eastAsia="Calibri" w:hAnsi="Times New Roman" w:cs="Times New Roman"/>
        </w:rPr>
        <w:t xml:space="preserve">he incentive rate of return </w:t>
      </w:r>
      <w:r w:rsidR="00077661">
        <w:rPr>
          <w:rFonts w:ascii="Times New Roman" w:eastAsia="Calibri" w:hAnsi="Times New Roman" w:cs="Times New Roman"/>
        </w:rPr>
        <w:t xml:space="preserve">should </w:t>
      </w:r>
      <w:r w:rsidR="006157BD">
        <w:rPr>
          <w:rFonts w:ascii="Times New Roman" w:eastAsia="Calibri" w:hAnsi="Times New Roman" w:cs="Times New Roman"/>
        </w:rPr>
        <w:t xml:space="preserve">be </w:t>
      </w:r>
      <w:r w:rsidR="00E55A2B">
        <w:rPr>
          <w:rFonts w:ascii="Times New Roman" w:eastAsia="Calibri" w:hAnsi="Times New Roman" w:cs="Times New Roman"/>
        </w:rPr>
        <w:t>applicable to installations at residences</w:t>
      </w:r>
      <w:r w:rsidR="006157BD">
        <w:rPr>
          <w:rFonts w:ascii="Times New Roman" w:eastAsia="Calibri" w:hAnsi="Times New Roman" w:cs="Times New Roman"/>
        </w:rPr>
        <w:t>, at work</w:t>
      </w:r>
      <w:r w:rsidR="00E55A2B">
        <w:rPr>
          <w:rFonts w:ascii="Times New Roman" w:eastAsia="Calibri" w:hAnsi="Times New Roman" w:cs="Times New Roman"/>
        </w:rPr>
        <w:t>places, and in public</w:t>
      </w:r>
      <w:r w:rsidR="006157BD">
        <w:rPr>
          <w:rFonts w:ascii="Times New Roman" w:eastAsia="Calibri" w:hAnsi="Times New Roman" w:cs="Times New Roman"/>
        </w:rPr>
        <w:t xml:space="preserve"> location</w:t>
      </w:r>
      <w:r w:rsidR="00E55A2B">
        <w:rPr>
          <w:rFonts w:ascii="Times New Roman" w:eastAsia="Calibri" w:hAnsi="Times New Roman" w:cs="Times New Roman"/>
        </w:rPr>
        <w:t>s</w:t>
      </w:r>
      <w:r w:rsidR="006157BD">
        <w:rPr>
          <w:rFonts w:ascii="Times New Roman" w:eastAsia="Calibri" w:hAnsi="Times New Roman" w:cs="Times New Roman"/>
        </w:rPr>
        <w:t xml:space="preserve"> within walk</w:t>
      </w:r>
      <w:r w:rsidR="00ED4578">
        <w:rPr>
          <w:rFonts w:ascii="Times New Roman" w:eastAsia="Calibri" w:hAnsi="Times New Roman" w:cs="Times New Roman"/>
        </w:rPr>
        <w:t>ing distance</w:t>
      </w:r>
      <w:r w:rsidR="006157BD">
        <w:rPr>
          <w:rFonts w:ascii="Times New Roman" w:eastAsia="Calibri" w:hAnsi="Times New Roman" w:cs="Times New Roman"/>
        </w:rPr>
        <w:t xml:space="preserve"> to shopping, restaurants, parks, and entertainment venues where </w:t>
      </w:r>
      <w:r w:rsidR="00077661">
        <w:rPr>
          <w:rFonts w:ascii="Times New Roman" w:eastAsia="Calibri" w:hAnsi="Times New Roman" w:cs="Times New Roman"/>
        </w:rPr>
        <w:t>the EV driver</w:t>
      </w:r>
      <w:r w:rsidR="006157BD">
        <w:rPr>
          <w:rFonts w:ascii="Times New Roman" w:eastAsia="Calibri" w:hAnsi="Times New Roman" w:cs="Times New Roman"/>
        </w:rPr>
        <w:t xml:space="preserve"> could be expected to </w:t>
      </w:r>
      <w:r w:rsidR="00E55A2B">
        <w:rPr>
          <w:rFonts w:ascii="Times New Roman" w:eastAsia="Calibri" w:hAnsi="Times New Roman" w:cs="Times New Roman"/>
        </w:rPr>
        <w:t>spend two</w:t>
      </w:r>
      <w:r w:rsidR="006157BD">
        <w:rPr>
          <w:rFonts w:ascii="Times New Roman" w:eastAsia="Calibri" w:hAnsi="Times New Roman" w:cs="Times New Roman"/>
        </w:rPr>
        <w:t xml:space="preserve"> hours or more while their car is parked.</w:t>
      </w:r>
    </w:p>
    <w:p w14:paraId="6A7F92A9" w14:textId="77777777" w:rsidR="00D419CE" w:rsidRDefault="00D419CE" w:rsidP="00F3153E">
      <w:pPr>
        <w:spacing w:line="360" w:lineRule="auto"/>
        <w:jc w:val="both"/>
        <w:rPr>
          <w:rFonts w:ascii="Times New Roman" w:eastAsia="Calibri" w:hAnsi="Times New Roman" w:cs="Times New Roman"/>
        </w:rPr>
      </w:pPr>
    </w:p>
    <w:p w14:paraId="35D76C20" w14:textId="7494589E" w:rsidR="00D419CE" w:rsidRDefault="00D419CE" w:rsidP="00F3153E">
      <w:pPr>
        <w:spacing w:line="360" w:lineRule="auto"/>
        <w:jc w:val="both"/>
        <w:rPr>
          <w:rFonts w:ascii="Times New Roman" w:eastAsia="Calibri" w:hAnsi="Times New Roman" w:cs="Times New Roman"/>
        </w:rPr>
      </w:pPr>
      <w:r>
        <w:rPr>
          <w:rFonts w:ascii="Times New Roman" w:eastAsia="Calibri" w:hAnsi="Times New Roman" w:cs="Times New Roman"/>
        </w:rPr>
        <w:t>In addition to the location of the EVSE, the Commission should consider the same benefits outlined in the response to question 2(a) above.</w:t>
      </w:r>
      <w:r w:rsidR="006157BD">
        <w:rPr>
          <w:rFonts w:ascii="Times New Roman" w:eastAsia="Calibri" w:hAnsi="Times New Roman" w:cs="Times New Roman"/>
        </w:rPr>
        <w:t xml:space="preserve">  </w:t>
      </w:r>
    </w:p>
    <w:p w14:paraId="1A1CE362" w14:textId="77777777" w:rsidR="00D419CE" w:rsidRDefault="00D419CE" w:rsidP="00F3153E">
      <w:pPr>
        <w:spacing w:line="360" w:lineRule="auto"/>
        <w:jc w:val="both"/>
        <w:rPr>
          <w:rFonts w:ascii="Times New Roman" w:eastAsia="Calibri" w:hAnsi="Times New Roman" w:cs="Times New Roman"/>
        </w:rPr>
      </w:pPr>
    </w:p>
    <w:p w14:paraId="2AD3D3AA" w14:textId="77777777" w:rsidR="00840B2A" w:rsidRPr="00F3153E" w:rsidRDefault="00840B2A" w:rsidP="00840B2A">
      <w:pPr>
        <w:pStyle w:val="ListParagraph"/>
        <w:numPr>
          <w:ilvl w:val="0"/>
          <w:numId w:val="18"/>
        </w:numPr>
        <w:autoSpaceDE w:val="0"/>
        <w:autoSpaceDN w:val="0"/>
        <w:adjustRightInd w:val="0"/>
        <w:spacing w:after="83"/>
        <w:rPr>
          <w:b/>
          <w:color w:val="000000"/>
        </w:rPr>
      </w:pPr>
      <w:r w:rsidRPr="00F3153E">
        <w:rPr>
          <w:b/>
          <w:color w:val="000000"/>
        </w:rPr>
        <w:t xml:space="preserve">Should the incentive rate of return authorized in RCW 80.28.360(2) apply to EVSE investments that serve the public at large, or only to investments in infrastructure that serve the company’s electric customers? </w:t>
      </w:r>
    </w:p>
    <w:p w14:paraId="1B6BFB33" w14:textId="77777777" w:rsidR="00840B2A" w:rsidRDefault="00840B2A" w:rsidP="00840B2A">
      <w:pPr>
        <w:autoSpaceDE w:val="0"/>
        <w:autoSpaceDN w:val="0"/>
        <w:adjustRightInd w:val="0"/>
        <w:rPr>
          <w:rFonts w:ascii="Times New Roman" w:hAnsi="Times New Roman" w:cs="Times New Roman"/>
          <w:color w:val="000000"/>
        </w:rPr>
      </w:pPr>
    </w:p>
    <w:p w14:paraId="18909039" w14:textId="5754E80A" w:rsidR="00E22827" w:rsidRDefault="00840B2A" w:rsidP="00F3153E">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r w:rsidR="0065236B">
        <w:rPr>
          <w:rFonts w:ascii="Times New Roman" w:eastAsia="Calibri" w:hAnsi="Times New Roman" w:cs="Times New Roman"/>
        </w:rPr>
        <w:t xml:space="preserve">The incentive rate of return authorized in RCW 80.28.360(2) should apply to EVSE investments </w:t>
      </w:r>
      <w:r w:rsidR="00077661">
        <w:rPr>
          <w:rFonts w:ascii="Times New Roman" w:eastAsia="Calibri" w:hAnsi="Times New Roman" w:cs="Times New Roman"/>
        </w:rPr>
        <w:t>for</w:t>
      </w:r>
      <w:r w:rsidR="0065236B">
        <w:rPr>
          <w:rFonts w:ascii="Times New Roman" w:eastAsia="Calibri" w:hAnsi="Times New Roman" w:cs="Times New Roman"/>
        </w:rPr>
        <w:t xml:space="preserve"> the public at large and those that serve the company’s electric customers.  There are two primary types of EVSE that companies will invest in as part of an EVSE program</w:t>
      </w:r>
      <w:r w:rsidR="00F009A1">
        <w:rPr>
          <w:rFonts w:ascii="Times New Roman" w:eastAsia="Calibri" w:hAnsi="Times New Roman" w:cs="Times New Roman"/>
        </w:rPr>
        <w:t xml:space="preserve"> for light-duty passenger vehicles:</w:t>
      </w:r>
      <w:r w:rsidR="0065236B">
        <w:rPr>
          <w:rFonts w:ascii="Times New Roman" w:eastAsia="Calibri" w:hAnsi="Times New Roman" w:cs="Times New Roman"/>
        </w:rPr>
        <w:t xml:space="preserve"> AC Level 2 and DC </w:t>
      </w:r>
      <w:r w:rsidR="00E313B2">
        <w:rPr>
          <w:rFonts w:ascii="Times New Roman" w:eastAsia="Calibri" w:hAnsi="Times New Roman" w:cs="Times New Roman"/>
        </w:rPr>
        <w:t>F</w:t>
      </w:r>
      <w:r w:rsidR="0065236B">
        <w:rPr>
          <w:rFonts w:ascii="Times New Roman" w:eastAsia="Calibri" w:hAnsi="Times New Roman" w:cs="Times New Roman"/>
        </w:rPr>
        <w:t xml:space="preserve">ast </w:t>
      </w:r>
      <w:r w:rsidR="00E313B2">
        <w:rPr>
          <w:rFonts w:ascii="Times New Roman" w:eastAsia="Calibri" w:hAnsi="Times New Roman" w:cs="Times New Roman"/>
        </w:rPr>
        <w:t>C</w:t>
      </w:r>
      <w:r w:rsidR="0065236B">
        <w:rPr>
          <w:rFonts w:ascii="Times New Roman" w:eastAsia="Calibri" w:hAnsi="Times New Roman" w:cs="Times New Roman"/>
        </w:rPr>
        <w:t xml:space="preserve">hargers.  AC Level 2 </w:t>
      </w:r>
      <w:r w:rsidR="00F009A1">
        <w:rPr>
          <w:rFonts w:ascii="Times New Roman" w:eastAsia="Calibri" w:hAnsi="Times New Roman" w:cs="Times New Roman"/>
        </w:rPr>
        <w:t xml:space="preserve">EVSE </w:t>
      </w:r>
      <w:r w:rsidR="0065236B">
        <w:rPr>
          <w:rFonts w:ascii="Times New Roman" w:eastAsia="Calibri" w:hAnsi="Times New Roman" w:cs="Times New Roman"/>
        </w:rPr>
        <w:t>serve</w:t>
      </w:r>
      <w:r w:rsidR="00077661">
        <w:rPr>
          <w:rFonts w:ascii="Times New Roman" w:eastAsia="Calibri" w:hAnsi="Times New Roman" w:cs="Times New Roman"/>
        </w:rPr>
        <w:t>s</w:t>
      </w:r>
      <w:r w:rsidR="0065236B">
        <w:rPr>
          <w:rFonts w:ascii="Times New Roman" w:eastAsia="Calibri" w:hAnsi="Times New Roman" w:cs="Times New Roman"/>
        </w:rPr>
        <w:t xml:space="preserve"> several purposes including home charging, workplace charging, and public charging.  </w:t>
      </w:r>
      <w:r w:rsidR="00077661">
        <w:rPr>
          <w:rFonts w:ascii="Times New Roman" w:eastAsia="Calibri" w:hAnsi="Times New Roman" w:cs="Times New Roman"/>
        </w:rPr>
        <w:t>A</w:t>
      </w:r>
      <w:r w:rsidR="0065236B">
        <w:rPr>
          <w:rFonts w:ascii="Times New Roman" w:eastAsia="Calibri" w:hAnsi="Times New Roman" w:cs="Times New Roman"/>
        </w:rPr>
        <w:t>ll EVSE investments should be considered together as a</w:t>
      </w:r>
      <w:r w:rsidR="00E22827">
        <w:rPr>
          <w:rFonts w:ascii="Times New Roman" w:eastAsia="Calibri" w:hAnsi="Times New Roman" w:cs="Times New Roman"/>
        </w:rPr>
        <w:t>n</w:t>
      </w:r>
      <w:r w:rsidR="0065236B">
        <w:rPr>
          <w:rFonts w:ascii="Times New Roman" w:eastAsia="Calibri" w:hAnsi="Times New Roman" w:cs="Times New Roman"/>
        </w:rPr>
        <w:t xml:space="preserve"> EVSE program</w:t>
      </w:r>
      <w:r w:rsidR="00077661">
        <w:rPr>
          <w:rFonts w:ascii="Times New Roman" w:eastAsia="Calibri" w:hAnsi="Times New Roman" w:cs="Times New Roman"/>
        </w:rPr>
        <w:t xml:space="preserve">, because </w:t>
      </w:r>
      <w:r w:rsidR="00E22827">
        <w:rPr>
          <w:rFonts w:ascii="Times New Roman" w:eastAsia="Calibri" w:hAnsi="Times New Roman" w:cs="Times New Roman"/>
        </w:rPr>
        <w:t xml:space="preserve">all are necessary in influencing the purchase decision of a consumer buying an </w:t>
      </w:r>
      <w:r w:rsidR="00077661">
        <w:rPr>
          <w:rFonts w:ascii="Times New Roman" w:eastAsia="Calibri" w:hAnsi="Times New Roman" w:cs="Times New Roman"/>
        </w:rPr>
        <w:t>EV</w:t>
      </w:r>
      <w:r w:rsidR="00E22827">
        <w:rPr>
          <w:rFonts w:ascii="Times New Roman" w:eastAsia="Calibri" w:hAnsi="Times New Roman" w:cs="Times New Roman"/>
        </w:rPr>
        <w:t xml:space="preserve"> and in the overall adoption of </w:t>
      </w:r>
      <w:r w:rsidR="00077661">
        <w:rPr>
          <w:rFonts w:ascii="Times New Roman" w:eastAsia="Calibri" w:hAnsi="Times New Roman" w:cs="Times New Roman"/>
        </w:rPr>
        <w:t>EVs</w:t>
      </w:r>
      <w:r w:rsidR="00E22827">
        <w:rPr>
          <w:rFonts w:ascii="Times New Roman" w:eastAsia="Calibri" w:hAnsi="Times New Roman" w:cs="Times New Roman"/>
        </w:rPr>
        <w:t xml:space="preserve">.  </w:t>
      </w:r>
      <w:r w:rsidR="00077661">
        <w:rPr>
          <w:rFonts w:ascii="Times New Roman" w:eastAsia="Calibri" w:hAnsi="Times New Roman" w:cs="Times New Roman"/>
        </w:rPr>
        <w:t>R</w:t>
      </w:r>
      <w:r w:rsidR="00E22827">
        <w:rPr>
          <w:rFonts w:ascii="Times New Roman" w:eastAsia="Calibri" w:hAnsi="Times New Roman" w:cs="Times New Roman"/>
        </w:rPr>
        <w:t xml:space="preserve">esearch studies </w:t>
      </w:r>
      <w:r w:rsidR="00077661">
        <w:rPr>
          <w:rFonts w:ascii="Times New Roman" w:eastAsia="Calibri" w:hAnsi="Times New Roman" w:cs="Times New Roman"/>
        </w:rPr>
        <w:t xml:space="preserve">show </w:t>
      </w:r>
      <w:r w:rsidR="00E22827">
        <w:rPr>
          <w:rFonts w:ascii="Times New Roman" w:eastAsia="Calibri" w:hAnsi="Times New Roman" w:cs="Times New Roman"/>
        </w:rPr>
        <w:t xml:space="preserve">that the primary charging location </w:t>
      </w:r>
      <w:r w:rsidR="00B367AF">
        <w:rPr>
          <w:rFonts w:ascii="Times New Roman" w:eastAsia="Calibri" w:hAnsi="Times New Roman" w:cs="Times New Roman"/>
        </w:rPr>
        <w:t>for EV drivers is at their home, and next at</w:t>
      </w:r>
      <w:r w:rsidR="00E22827">
        <w:rPr>
          <w:rFonts w:ascii="Times New Roman" w:eastAsia="Calibri" w:hAnsi="Times New Roman" w:cs="Times New Roman"/>
        </w:rPr>
        <w:t xml:space="preserve"> their workplace.  Public EVSE are necessary to enable longer distance traveling and in reducing “range anxiety”.  </w:t>
      </w:r>
    </w:p>
    <w:p w14:paraId="7CF99320" w14:textId="77777777" w:rsidR="003F7181" w:rsidRDefault="003F7181" w:rsidP="003F7181">
      <w:pPr>
        <w:spacing w:line="360" w:lineRule="auto"/>
        <w:ind w:left="360"/>
        <w:jc w:val="both"/>
        <w:rPr>
          <w:rFonts w:ascii="Times New Roman" w:eastAsia="Calibri" w:hAnsi="Times New Roman" w:cs="Times New Roman"/>
        </w:rPr>
      </w:pPr>
    </w:p>
    <w:p w14:paraId="0D8E2A37" w14:textId="270B64B1" w:rsidR="00840B2A" w:rsidRDefault="00E22827" w:rsidP="00F3153E">
      <w:pPr>
        <w:spacing w:line="360" w:lineRule="auto"/>
        <w:jc w:val="both"/>
        <w:rPr>
          <w:rFonts w:ascii="Times New Roman" w:eastAsia="Calibri" w:hAnsi="Times New Roman" w:cs="Times New Roman"/>
        </w:rPr>
      </w:pPr>
      <w:r>
        <w:rPr>
          <w:rFonts w:ascii="Times New Roman" w:eastAsia="Calibri" w:hAnsi="Times New Roman" w:cs="Times New Roman"/>
        </w:rPr>
        <w:t xml:space="preserve">In order to increase </w:t>
      </w:r>
      <w:r w:rsidR="00077661">
        <w:rPr>
          <w:rFonts w:ascii="Times New Roman" w:eastAsia="Calibri" w:hAnsi="Times New Roman" w:cs="Times New Roman"/>
        </w:rPr>
        <w:t xml:space="preserve">EV </w:t>
      </w:r>
      <w:r>
        <w:rPr>
          <w:rFonts w:ascii="Times New Roman" w:eastAsia="Calibri" w:hAnsi="Times New Roman" w:cs="Times New Roman"/>
        </w:rPr>
        <w:t>adoption it is important for utilities and others to invest in each type of EVSE</w:t>
      </w:r>
      <w:r w:rsidR="00077661">
        <w:rPr>
          <w:rFonts w:ascii="Times New Roman" w:eastAsia="Calibri" w:hAnsi="Times New Roman" w:cs="Times New Roman"/>
        </w:rPr>
        <w:t xml:space="preserve">. </w:t>
      </w:r>
      <w:r>
        <w:rPr>
          <w:rFonts w:ascii="Times New Roman" w:eastAsia="Calibri" w:hAnsi="Times New Roman" w:cs="Times New Roman"/>
        </w:rPr>
        <w:t xml:space="preserve"> </w:t>
      </w:r>
      <w:r w:rsidR="00F009A1">
        <w:rPr>
          <w:rFonts w:ascii="Times New Roman" w:eastAsia="Calibri" w:hAnsi="Times New Roman" w:cs="Times New Roman"/>
        </w:rPr>
        <w:t>T</w:t>
      </w:r>
      <w:r>
        <w:rPr>
          <w:rFonts w:ascii="Times New Roman" w:eastAsia="Calibri" w:hAnsi="Times New Roman" w:cs="Times New Roman"/>
        </w:rPr>
        <w:t xml:space="preserve">he </w:t>
      </w:r>
      <w:r w:rsidR="001944EB">
        <w:rPr>
          <w:rFonts w:ascii="Times New Roman" w:eastAsia="Calibri" w:hAnsi="Times New Roman" w:cs="Times New Roman"/>
        </w:rPr>
        <w:t>greater the adoption of EVs</w:t>
      </w:r>
      <w:r w:rsidR="00F009A1">
        <w:rPr>
          <w:rFonts w:ascii="Times New Roman" w:eastAsia="Calibri" w:hAnsi="Times New Roman" w:cs="Times New Roman"/>
        </w:rPr>
        <w:t>,</w:t>
      </w:r>
      <w:r w:rsidR="001944EB">
        <w:rPr>
          <w:rFonts w:ascii="Times New Roman" w:eastAsia="Calibri" w:hAnsi="Times New Roman" w:cs="Times New Roman"/>
        </w:rPr>
        <w:t xml:space="preserve"> the greater the benefit to a utility’s electric customers and society at large.  </w:t>
      </w:r>
      <w:r w:rsidR="00693682">
        <w:rPr>
          <w:rFonts w:ascii="Times New Roman" w:eastAsia="Calibri" w:hAnsi="Times New Roman" w:cs="Times New Roman"/>
        </w:rPr>
        <w:t>It is for this r</w:t>
      </w:r>
      <w:r w:rsidR="00B367AF">
        <w:rPr>
          <w:rFonts w:ascii="Times New Roman" w:eastAsia="Calibri" w:hAnsi="Times New Roman" w:cs="Times New Roman"/>
        </w:rPr>
        <w:t xml:space="preserve">eason that Avista believes </w:t>
      </w:r>
      <w:r w:rsidR="00693682">
        <w:rPr>
          <w:rFonts w:ascii="Times New Roman" w:eastAsia="Calibri" w:hAnsi="Times New Roman" w:cs="Times New Roman"/>
        </w:rPr>
        <w:t xml:space="preserve">investments in EVSE should be looked at </w:t>
      </w:r>
      <w:r w:rsidR="000B6281">
        <w:rPr>
          <w:rFonts w:ascii="Times New Roman" w:eastAsia="Calibri" w:hAnsi="Times New Roman" w:cs="Times New Roman"/>
        </w:rPr>
        <w:t>as</w:t>
      </w:r>
      <w:r w:rsidR="00693682">
        <w:rPr>
          <w:rFonts w:ascii="Times New Roman" w:eastAsia="Calibri" w:hAnsi="Times New Roman" w:cs="Times New Roman"/>
        </w:rPr>
        <w:t xml:space="preserve"> a whole </w:t>
      </w:r>
      <w:r w:rsidR="000B6281">
        <w:rPr>
          <w:rFonts w:ascii="Times New Roman" w:eastAsia="Calibri" w:hAnsi="Times New Roman" w:cs="Times New Roman"/>
        </w:rPr>
        <w:t>rather than</w:t>
      </w:r>
      <w:r w:rsidR="00693682">
        <w:rPr>
          <w:rFonts w:ascii="Times New Roman" w:eastAsia="Calibri" w:hAnsi="Times New Roman" w:cs="Times New Roman"/>
        </w:rPr>
        <w:t xml:space="preserve"> individually by EVSE type.</w:t>
      </w:r>
    </w:p>
    <w:p w14:paraId="7B22A3BA" w14:textId="77777777" w:rsidR="00B367AF" w:rsidRDefault="00B367AF" w:rsidP="00F3153E">
      <w:pPr>
        <w:spacing w:line="360" w:lineRule="auto"/>
        <w:jc w:val="both"/>
        <w:rPr>
          <w:rFonts w:ascii="Times New Roman" w:eastAsia="Calibri" w:hAnsi="Times New Roman" w:cs="Times New Roman"/>
        </w:rPr>
      </w:pPr>
    </w:p>
    <w:p w14:paraId="21F62F90" w14:textId="77777777" w:rsidR="00840B2A" w:rsidRPr="00840B2A" w:rsidRDefault="00840B2A" w:rsidP="00840B2A">
      <w:pPr>
        <w:autoSpaceDE w:val="0"/>
        <w:autoSpaceDN w:val="0"/>
        <w:adjustRightInd w:val="0"/>
        <w:rPr>
          <w:rFonts w:ascii="Times New Roman" w:hAnsi="Times New Roman" w:cs="Times New Roman"/>
          <w:color w:val="000000"/>
        </w:rPr>
      </w:pPr>
    </w:p>
    <w:p w14:paraId="7C8B67E6" w14:textId="77777777" w:rsidR="00840B2A" w:rsidRPr="00F3153E" w:rsidRDefault="00840B2A" w:rsidP="00840B2A">
      <w:pPr>
        <w:pStyle w:val="ListParagraph"/>
        <w:numPr>
          <w:ilvl w:val="0"/>
          <w:numId w:val="18"/>
        </w:numPr>
        <w:autoSpaceDE w:val="0"/>
        <w:autoSpaceDN w:val="0"/>
        <w:adjustRightInd w:val="0"/>
        <w:rPr>
          <w:b/>
          <w:color w:val="000000"/>
        </w:rPr>
      </w:pPr>
      <w:r w:rsidRPr="00F3153E">
        <w:rPr>
          <w:b/>
          <w:color w:val="000000"/>
        </w:rPr>
        <w:lastRenderedPageBreak/>
        <w:t xml:space="preserve">While EVSE increases electrical load, existing tests used by the Commission to determine the cost-effectiveness of energy efficiency investments may be applied or adapted for EVSE. Is the Total Resource Cost (TRC) an appropriate measure of whether EVSE investments provide benefits to ratepayers? </w:t>
      </w:r>
    </w:p>
    <w:p w14:paraId="0B1DD26D" w14:textId="77777777" w:rsidR="00840B2A" w:rsidRDefault="00840B2A" w:rsidP="00840B2A">
      <w:pPr>
        <w:autoSpaceDE w:val="0"/>
        <w:autoSpaceDN w:val="0"/>
        <w:adjustRightInd w:val="0"/>
        <w:rPr>
          <w:rFonts w:ascii="Times New Roman" w:hAnsi="Times New Roman" w:cs="Times New Roman"/>
          <w:color w:val="000000"/>
        </w:rPr>
      </w:pPr>
    </w:p>
    <w:p w14:paraId="121E5A6B" w14:textId="65B669A0" w:rsidR="00840B2A" w:rsidRDefault="00840B2A" w:rsidP="00F3153E">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r w:rsidR="00075F09">
        <w:rPr>
          <w:rFonts w:ascii="Times New Roman" w:eastAsia="Calibri" w:hAnsi="Times New Roman" w:cs="Times New Roman"/>
        </w:rPr>
        <w:t>T</w:t>
      </w:r>
      <w:r w:rsidR="00747B68">
        <w:rPr>
          <w:rFonts w:ascii="Times New Roman" w:eastAsia="Calibri" w:hAnsi="Times New Roman" w:cs="Times New Roman"/>
        </w:rPr>
        <w:t xml:space="preserve">he TRC </w:t>
      </w:r>
      <w:r w:rsidR="00D54BE6">
        <w:rPr>
          <w:rFonts w:ascii="Times New Roman" w:eastAsia="Calibri" w:hAnsi="Times New Roman" w:cs="Times New Roman"/>
        </w:rPr>
        <w:t>takes a much broader view of costs and benefits beyond those experienced by ratepayers. As the TRC</w:t>
      </w:r>
      <w:r w:rsidR="00747B68">
        <w:rPr>
          <w:rFonts w:ascii="Times New Roman" w:eastAsia="Calibri" w:hAnsi="Times New Roman" w:cs="Times New Roman"/>
        </w:rPr>
        <w:t xml:space="preserve"> is normally used</w:t>
      </w:r>
      <w:r w:rsidR="00D54BE6">
        <w:rPr>
          <w:rFonts w:ascii="Times New Roman" w:eastAsia="Calibri" w:hAnsi="Times New Roman" w:cs="Times New Roman"/>
        </w:rPr>
        <w:t>,</w:t>
      </w:r>
      <w:r w:rsidR="00747B68">
        <w:rPr>
          <w:rFonts w:ascii="Times New Roman" w:eastAsia="Calibri" w:hAnsi="Times New Roman" w:cs="Times New Roman"/>
        </w:rPr>
        <w:t xml:space="preserve"> </w:t>
      </w:r>
      <w:r w:rsidR="00D54BE6">
        <w:rPr>
          <w:rFonts w:ascii="Times New Roman" w:eastAsia="Calibri" w:hAnsi="Times New Roman" w:cs="Times New Roman"/>
        </w:rPr>
        <w:t xml:space="preserve">it </w:t>
      </w:r>
      <w:r w:rsidR="00B367AF">
        <w:rPr>
          <w:rFonts w:ascii="Times New Roman" w:eastAsia="Calibri" w:hAnsi="Times New Roman" w:cs="Times New Roman"/>
        </w:rPr>
        <w:t>may</w:t>
      </w:r>
      <w:r w:rsidR="00747B68">
        <w:rPr>
          <w:rFonts w:ascii="Times New Roman" w:eastAsia="Calibri" w:hAnsi="Times New Roman" w:cs="Times New Roman"/>
        </w:rPr>
        <w:t xml:space="preserve"> not </w:t>
      </w:r>
      <w:r w:rsidR="00B367AF">
        <w:rPr>
          <w:rFonts w:ascii="Times New Roman" w:eastAsia="Calibri" w:hAnsi="Times New Roman" w:cs="Times New Roman"/>
        </w:rPr>
        <w:t xml:space="preserve">be </w:t>
      </w:r>
      <w:r w:rsidR="00747B68">
        <w:rPr>
          <w:rFonts w:ascii="Times New Roman" w:eastAsia="Calibri" w:hAnsi="Times New Roman" w:cs="Times New Roman"/>
        </w:rPr>
        <w:t xml:space="preserve">an appropriate measure of whether EVSE investments provide </w:t>
      </w:r>
      <w:r w:rsidR="00311F63">
        <w:rPr>
          <w:rFonts w:ascii="Times New Roman" w:eastAsia="Calibri" w:hAnsi="Times New Roman" w:cs="Times New Roman"/>
        </w:rPr>
        <w:t xml:space="preserve">net </w:t>
      </w:r>
      <w:r w:rsidR="00747B68">
        <w:rPr>
          <w:rFonts w:ascii="Times New Roman" w:eastAsia="Calibri" w:hAnsi="Times New Roman" w:cs="Times New Roman"/>
        </w:rPr>
        <w:t>benefits to ratepayers</w:t>
      </w:r>
      <w:r w:rsidR="00D54BE6">
        <w:rPr>
          <w:rFonts w:ascii="Times New Roman" w:eastAsia="Calibri" w:hAnsi="Times New Roman" w:cs="Times New Roman"/>
        </w:rPr>
        <w:t xml:space="preserve"> since the primary benefit calculated with the TRC is typically through avoided energy and capacity costs</w:t>
      </w:r>
      <w:r w:rsidR="00747B68">
        <w:rPr>
          <w:rFonts w:ascii="Times New Roman" w:eastAsia="Calibri" w:hAnsi="Times New Roman" w:cs="Times New Roman"/>
        </w:rPr>
        <w:t>.  Although EVSE at higher voltages result in some efficiency gains from reduced line losses which would be captured by the TRC</w:t>
      </w:r>
      <w:r w:rsidR="00223779">
        <w:rPr>
          <w:rFonts w:ascii="Times New Roman" w:eastAsia="Calibri" w:hAnsi="Times New Roman" w:cs="Times New Roman"/>
        </w:rPr>
        <w:t>,</w:t>
      </w:r>
      <w:r w:rsidR="00D54BE6">
        <w:rPr>
          <w:rFonts w:ascii="Times New Roman" w:eastAsia="Calibri" w:hAnsi="Times New Roman" w:cs="Times New Roman"/>
        </w:rPr>
        <w:t xml:space="preserve"> it would be offset by additional energy consumption and</w:t>
      </w:r>
      <w:r w:rsidR="00747B68">
        <w:rPr>
          <w:rFonts w:ascii="Times New Roman" w:eastAsia="Calibri" w:hAnsi="Times New Roman" w:cs="Times New Roman"/>
        </w:rPr>
        <w:t xml:space="preserve"> it ignores other significant benefits as described in Response 2(a) above. </w:t>
      </w:r>
      <w:r w:rsidR="00077661">
        <w:rPr>
          <w:rFonts w:ascii="Times New Roman" w:eastAsia="Calibri" w:hAnsi="Times New Roman" w:cs="Times New Roman"/>
        </w:rPr>
        <w:t xml:space="preserve"> Also see Avista’s response to Item 5 below.</w:t>
      </w:r>
      <w:r w:rsidR="00747B68">
        <w:rPr>
          <w:rFonts w:ascii="Times New Roman" w:eastAsia="Calibri" w:hAnsi="Times New Roman" w:cs="Times New Roman"/>
        </w:rPr>
        <w:t xml:space="preserve">  </w:t>
      </w:r>
    </w:p>
    <w:p w14:paraId="317F84E7" w14:textId="77777777" w:rsidR="00840B2A" w:rsidRPr="00840B2A" w:rsidRDefault="00840B2A" w:rsidP="00840B2A">
      <w:pPr>
        <w:autoSpaceDE w:val="0"/>
        <w:autoSpaceDN w:val="0"/>
        <w:adjustRightInd w:val="0"/>
        <w:rPr>
          <w:rFonts w:ascii="Times New Roman" w:hAnsi="Times New Roman" w:cs="Times New Roman"/>
          <w:color w:val="000000"/>
        </w:rPr>
      </w:pPr>
    </w:p>
    <w:p w14:paraId="041A5715" w14:textId="77777777" w:rsidR="00840B2A" w:rsidRPr="00F3153E" w:rsidRDefault="00840B2A" w:rsidP="00840B2A">
      <w:pPr>
        <w:pStyle w:val="ListParagraph"/>
        <w:numPr>
          <w:ilvl w:val="0"/>
          <w:numId w:val="18"/>
        </w:numPr>
        <w:autoSpaceDE w:val="0"/>
        <w:autoSpaceDN w:val="0"/>
        <w:adjustRightInd w:val="0"/>
        <w:rPr>
          <w:b/>
          <w:color w:val="000000"/>
        </w:rPr>
      </w:pPr>
      <w:r w:rsidRPr="00F3153E">
        <w:rPr>
          <w:b/>
          <w:color w:val="000000"/>
        </w:rPr>
        <w:t xml:space="preserve">What, if any, modifications to traditional cost-effectiveness tests are necessary or appropriate to use for investments in EVSE? </w:t>
      </w:r>
    </w:p>
    <w:p w14:paraId="018B66D9" w14:textId="77777777" w:rsidR="00840B2A" w:rsidRPr="00840B2A" w:rsidRDefault="00840B2A" w:rsidP="00840B2A">
      <w:pPr>
        <w:autoSpaceDE w:val="0"/>
        <w:autoSpaceDN w:val="0"/>
        <w:adjustRightInd w:val="0"/>
        <w:rPr>
          <w:rFonts w:ascii="Times New Roman" w:hAnsi="Times New Roman" w:cs="Times New Roman"/>
          <w:color w:val="000000"/>
        </w:rPr>
      </w:pPr>
    </w:p>
    <w:p w14:paraId="5BF5385F" w14:textId="4C8FC236" w:rsidR="00311F63" w:rsidRDefault="00840B2A" w:rsidP="00F3153E">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r w:rsidR="00747B68">
        <w:rPr>
          <w:rFonts w:ascii="Times New Roman" w:eastAsia="Calibri" w:hAnsi="Times New Roman" w:cs="Times New Roman"/>
        </w:rPr>
        <w:t>A</w:t>
      </w:r>
      <w:r w:rsidR="00311F63">
        <w:rPr>
          <w:rFonts w:ascii="Times New Roman" w:eastAsia="Calibri" w:hAnsi="Times New Roman" w:cs="Times New Roman"/>
        </w:rPr>
        <w:t xml:space="preserve"> number of different tests could be used to gauge the cost-effectiveness of utility EVSE investments.  A study conducted by </w:t>
      </w:r>
      <w:r w:rsidR="00F60820">
        <w:rPr>
          <w:rFonts w:ascii="Times New Roman" w:eastAsia="Calibri" w:hAnsi="Times New Roman" w:cs="Times New Roman"/>
        </w:rPr>
        <w:t xml:space="preserve">Energy and Environmental Economics: </w:t>
      </w:r>
      <w:r w:rsidR="00311F63">
        <w:rPr>
          <w:rFonts w:ascii="Times New Roman" w:eastAsia="Calibri" w:hAnsi="Times New Roman" w:cs="Times New Roman"/>
        </w:rPr>
        <w:t xml:space="preserve">E3 on behalf of </w:t>
      </w:r>
      <w:r w:rsidR="002C71B6">
        <w:rPr>
          <w:rFonts w:ascii="Times New Roman" w:eastAsia="Calibri" w:hAnsi="Times New Roman" w:cs="Times New Roman"/>
        </w:rPr>
        <w:t>ICF International provides many examples that could be utilized</w:t>
      </w:r>
      <w:r w:rsidR="00630F73">
        <w:rPr>
          <w:rFonts w:ascii="Times New Roman" w:eastAsia="Calibri" w:hAnsi="Times New Roman" w:cs="Times New Roman"/>
        </w:rPr>
        <w:t xml:space="preserve"> as a starting point</w:t>
      </w:r>
      <w:r w:rsidR="000A69FA">
        <w:rPr>
          <w:rFonts w:ascii="Times New Roman" w:eastAsia="Calibri" w:hAnsi="Times New Roman" w:cs="Times New Roman"/>
        </w:rPr>
        <w:t>.  This study is included as A</w:t>
      </w:r>
      <w:r w:rsidR="002C71B6">
        <w:rPr>
          <w:rFonts w:ascii="Times New Roman" w:eastAsia="Calibri" w:hAnsi="Times New Roman" w:cs="Times New Roman"/>
        </w:rPr>
        <w:t>ttachment</w:t>
      </w:r>
      <w:r w:rsidR="000A69FA">
        <w:rPr>
          <w:rFonts w:ascii="Times New Roman" w:eastAsia="Calibri" w:hAnsi="Times New Roman" w:cs="Times New Roman"/>
        </w:rPr>
        <w:t xml:space="preserve"> A</w:t>
      </w:r>
      <w:r w:rsidR="002C71B6">
        <w:rPr>
          <w:rFonts w:ascii="Times New Roman" w:eastAsia="Calibri" w:hAnsi="Times New Roman" w:cs="Times New Roman"/>
        </w:rPr>
        <w:t>, “</w:t>
      </w:r>
      <w:r w:rsidR="00311F63">
        <w:rPr>
          <w:rFonts w:ascii="Times New Roman" w:eastAsia="Calibri" w:hAnsi="Times New Roman" w:cs="Times New Roman"/>
        </w:rPr>
        <w:t>California Transportation Electrification Assessment</w:t>
      </w:r>
      <w:r w:rsidR="00630F73">
        <w:rPr>
          <w:rFonts w:ascii="Times New Roman" w:eastAsia="Calibri" w:hAnsi="Times New Roman" w:cs="Times New Roman"/>
        </w:rPr>
        <w:t xml:space="preserve"> – P</w:t>
      </w:r>
      <w:r w:rsidR="002C71B6">
        <w:rPr>
          <w:rFonts w:ascii="Times New Roman" w:eastAsia="Calibri" w:hAnsi="Times New Roman" w:cs="Times New Roman"/>
        </w:rPr>
        <w:t>hase 2: Grid Impacts”.   The chart below is an excerpt from this study that shows the monetized costs and benefits to the state for each PEV over its lifetime (a TRC test), and an expansion to include environmental and societal benefits that are not monetized but still</w:t>
      </w:r>
      <w:r w:rsidR="00630F73">
        <w:rPr>
          <w:rFonts w:ascii="Times New Roman" w:eastAsia="Calibri" w:hAnsi="Times New Roman" w:cs="Times New Roman"/>
        </w:rPr>
        <w:t xml:space="preserve"> provide quantifiable benefits (an SCT test).</w:t>
      </w:r>
    </w:p>
    <w:p w14:paraId="69806E6D" w14:textId="77777777" w:rsidR="00311F63" w:rsidRDefault="00311F63" w:rsidP="00E313B2">
      <w:pPr>
        <w:spacing w:line="360" w:lineRule="auto"/>
        <w:ind w:left="360"/>
        <w:jc w:val="center"/>
        <w:rPr>
          <w:rFonts w:ascii="Times New Roman" w:eastAsia="Calibri" w:hAnsi="Times New Roman" w:cs="Times New Roman"/>
        </w:rPr>
      </w:pPr>
      <w:r>
        <w:rPr>
          <w:noProof/>
        </w:rPr>
        <w:lastRenderedPageBreak/>
        <w:drawing>
          <wp:inline distT="0" distB="0" distL="0" distR="0" wp14:anchorId="34AA0BB9" wp14:editId="7A909318">
            <wp:extent cx="5295667" cy="33737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7591" cy="3381321"/>
                    </a:xfrm>
                    <a:prstGeom prst="rect">
                      <a:avLst/>
                    </a:prstGeom>
                  </pic:spPr>
                </pic:pic>
              </a:graphicData>
            </a:graphic>
          </wp:inline>
        </w:drawing>
      </w:r>
    </w:p>
    <w:p w14:paraId="118570EE" w14:textId="77777777" w:rsidR="00D21A6E" w:rsidRDefault="00D21A6E" w:rsidP="00747B68">
      <w:pPr>
        <w:spacing w:line="360" w:lineRule="auto"/>
        <w:ind w:left="360"/>
        <w:jc w:val="both"/>
        <w:rPr>
          <w:rFonts w:ascii="Times New Roman" w:eastAsia="Calibri" w:hAnsi="Times New Roman" w:cs="Times New Roman"/>
        </w:rPr>
      </w:pPr>
    </w:p>
    <w:p w14:paraId="0447D9A5" w14:textId="47FAD73A" w:rsidR="00630F73" w:rsidRDefault="00077661" w:rsidP="00F3153E">
      <w:pPr>
        <w:spacing w:line="360" w:lineRule="auto"/>
        <w:jc w:val="both"/>
        <w:rPr>
          <w:rFonts w:ascii="Times New Roman" w:eastAsia="Calibri" w:hAnsi="Times New Roman" w:cs="Times New Roman"/>
        </w:rPr>
      </w:pPr>
      <w:r>
        <w:rPr>
          <w:rFonts w:ascii="Times New Roman" w:eastAsia="Calibri" w:hAnsi="Times New Roman" w:cs="Times New Roman"/>
        </w:rPr>
        <w:t xml:space="preserve">The </w:t>
      </w:r>
      <w:r w:rsidR="00630F73" w:rsidRPr="007C035B">
        <w:rPr>
          <w:rFonts w:ascii="Times New Roman" w:eastAsia="Calibri" w:hAnsi="Times New Roman" w:cs="Times New Roman"/>
        </w:rPr>
        <w:t>Ratepayer Impact Measure</w:t>
      </w:r>
      <w:r w:rsidR="00630F73">
        <w:rPr>
          <w:rFonts w:ascii="Times New Roman" w:eastAsia="Calibri" w:hAnsi="Times New Roman" w:cs="Times New Roman"/>
        </w:rPr>
        <w:t xml:space="preserve"> (RIM</w:t>
      </w:r>
      <w:r w:rsidR="00630F73" w:rsidRPr="007C035B">
        <w:rPr>
          <w:rFonts w:ascii="Times New Roman" w:eastAsia="Calibri" w:hAnsi="Times New Roman" w:cs="Times New Roman"/>
        </w:rPr>
        <w:t>) test</w:t>
      </w:r>
      <w:r w:rsidR="00630F73">
        <w:rPr>
          <w:rFonts w:ascii="Times New Roman" w:eastAsia="Calibri" w:hAnsi="Times New Roman" w:cs="Times New Roman"/>
        </w:rPr>
        <w:t>, which more narrowly gauge</w:t>
      </w:r>
      <w:r>
        <w:rPr>
          <w:rFonts w:ascii="Times New Roman" w:eastAsia="Calibri" w:hAnsi="Times New Roman" w:cs="Times New Roman"/>
        </w:rPr>
        <w:t>s</w:t>
      </w:r>
      <w:r w:rsidR="00630F73">
        <w:rPr>
          <w:rFonts w:ascii="Times New Roman" w:eastAsia="Calibri" w:hAnsi="Times New Roman" w:cs="Times New Roman"/>
        </w:rPr>
        <w:t xml:space="preserve"> the net effects on electricity rates, </w:t>
      </w:r>
      <w:r>
        <w:rPr>
          <w:rFonts w:ascii="Times New Roman" w:eastAsia="Calibri" w:hAnsi="Times New Roman" w:cs="Times New Roman"/>
        </w:rPr>
        <w:t>is</w:t>
      </w:r>
      <w:r w:rsidR="00630F73">
        <w:rPr>
          <w:rFonts w:ascii="Times New Roman" w:eastAsia="Calibri" w:hAnsi="Times New Roman" w:cs="Times New Roman"/>
        </w:rPr>
        <w:t xml:space="preserve"> also covered in this study</w:t>
      </w:r>
      <w:r>
        <w:rPr>
          <w:rFonts w:ascii="Times New Roman" w:eastAsia="Calibri" w:hAnsi="Times New Roman" w:cs="Times New Roman"/>
        </w:rPr>
        <w:t>.</w:t>
      </w:r>
      <w:r w:rsidR="00630F73">
        <w:rPr>
          <w:rFonts w:ascii="Times New Roman" w:eastAsia="Calibri" w:hAnsi="Times New Roman" w:cs="Times New Roman"/>
        </w:rPr>
        <w:t xml:space="preserve">  </w:t>
      </w:r>
      <w:r w:rsidR="006D47D8">
        <w:rPr>
          <w:rFonts w:ascii="Times New Roman" w:eastAsia="Calibri" w:hAnsi="Times New Roman" w:cs="Times New Roman"/>
        </w:rPr>
        <w:t xml:space="preserve">However, </w:t>
      </w:r>
      <w:r>
        <w:rPr>
          <w:rFonts w:ascii="Times New Roman" w:eastAsia="Calibri" w:hAnsi="Times New Roman" w:cs="Times New Roman"/>
        </w:rPr>
        <w:t>the</w:t>
      </w:r>
      <w:r w:rsidR="006D47D8">
        <w:rPr>
          <w:rFonts w:ascii="Times New Roman" w:eastAsia="Calibri" w:hAnsi="Times New Roman" w:cs="Times New Roman"/>
        </w:rPr>
        <w:t xml:space="preserve"> RIM test </w:t>
      </w:r>
      <w:r>
        <w:rPr>
          <w:rFonts w:ascii="Times New Roman" w:eastAsia="Calibri" w:hAnsi="Times New Roman" w:cs="Times New Roman"/>
        </w:rPr>
        <w:t>will not capture all of the benefits associated with EVs and should not be used as the primary cost-effectiveness test</w:t>
      </w:r>
      <w:r w:rsidR="006D47D8">
        <w:rPr>
          <w:rFonts w:ascii="Times New Roman" w:eastAsia="Calibri" w:hAnsi="Times New Roman" w:cs="Times New Roman"/>
        </w:rPr>
        <w:t xml:space="preserve">.  At a minimum, appropriate </w:t>
      </w:r>
      <w:r w:rsidR="00D21A6E">
        <w:rPr>
          <w:rFonts w:ascii="Times New Roman" w:eastAsia="Calibri" w:hAnsi="Times New Roman" w:cs="Times New Roman"/>
        </w:rPr>
        <w:t xml:space="preserve">cost-effectiveness </w:t>
      </w:r>
      <w:r w:rsidR="006D47D8">
        <w:rPr>
          <w:rFonts w:ascii="Times New Roman" w:eastAsia="Calibri" w:hAnsi="Times New Roman" w:cs="Times New Roman"/>
        </w:rPr>
        <w:t>tests must also take into account the net operational cost savings of drivi</w:t>
      </w:r>
      <w:r>
        <w:rPr>
          <w:rFonts w:ascii="Times New Roman" w:eastAsia="Calibri" w:hAnsi="Times New Roman" w:cs="Times New Roman"/>
        </w:rPr>
        <w:t xml:space="preserve">ng electric instead of gasoline, </w:t>
      </w:r>
      <w:r w:rsidR="006D47D8">
        <w:rPr>
          <w:rFonts w:ascii="Times New Roman" w:eastAsia="Calibri" w:hAnsi="Times New Roman" w:cs="Times New Roman"/>
        </w:rPr>
        <w:t xml:space="preserve">and reductions in air pollution and greenhouse gas emissions. </w:t>
      </w:r>
    </w:p>
    <w:p w14:paraId="53754CE8" w14:textId="77777777" w:rsidR="00630F73" w:rsidRDefault="00630F73" w:rsidP="00747B68">
      <w:pPr>
        <w:spacing w:line="360" w:lineRule="auto"/>
        <w:ind w:left="360"/>
        <w:jc w:val="both"/>
        <w:rPr>
          <w:rFonts w:ascii="Times New Roman" w:eastAsia="Calibri" w:hAnsi="Times New Roman" w:cs="Times New Roman"/>
        </w:rPr>
      </w:pPr>
    </w:p>
    <w:p w14:paraId="56144270" w14:textId="7A19AE91" w:rsidR="00630F73" w:rsidRDefault="00077661" w:rsidP="00F3153E">
      <w:pPr>
        <w:spacing w:line="360" w:lineRule="auto"/>
        <w:jc w:val="both"/>
        <w:rPr>
          <w:rFonts w:ascii="Times New Roman" w:eastAsia="Calibri" w:hAnsi="Times New Roman" w:cs="Times New Roman"/>
        </w:rPr>
      </w:pPr>
      <w:r>
        <w:rPr>
          <w:rFonts w:ascii="Times New Roman" w:eastAsia="Calibri" w:hAnsi="Times New Roman" w:cs="Times New Roman"/>
        </w:rPr>
        <w:t>With regard to</w:t>
      </w:r>
      <w:r w:rsidR="00630F73">
        <w:rPr>
          <w:rFonts w:ascii="Times New Roman" w:eastAsia="Calibri" w:hAnsi="Times New Roman" w:cs="Times New Roman"/>
        </w:rPr>
        <w:t xml:space="preserve"> the cost effectiveness of EVSE</w:t>
      </w:r>
      <w:r>
        <w:rPr>
          <w:rFonts w:ascii="Times New Roman" w:eastAsia="Calibri" w:hAnsi="Times New Roman" w:cs="Times New Roman"/>
        </w:rPr>
        <w:t xml:space="preserve">, </w:t>
      </w:r>
      <w:r w:rsidR="00630F73">
        <w:rPr>
          <w:rFonts w:ascii="Times New Roman" w:eastAsia="Calibri" w:hAnsi="Times New Roman" w:cs="Times New Roman"/>
        </w:rPr>
        <w:t>the appropriate time horizon to use in assessing the accumulation of benefits</w:t>
      </w:r>
      <w:r>
        <w:rPr>
          <w:rFonts w:ascii="Times New Roman" w:eastAsia="Calibri" w:hAnsi="Times New Roman" w:cs="Times New Roman"/>
        </w:rPr>
        <w:t xml:space="preserve"> is important because </w:t>
      </w:r>
      <w:r w:rsidR="009434FA">
        <w:rPr>
          <w:rFonts w:ascii="Times New Roman" w:eastAsia="Calibri" w:hAnsi="Times New Roman" w:cs="Times New Roman"/>
        </w:rPr>
        <w:t>investments required to support and</w:t>
      </w:r>
      <w:r w:rsidR="006D47D8">
        <w:rPr>
          <w:rFonts w:ascii="Times New Roman" w:eastAsia="Calibri" w:hAnsi="Times New Roman" w:cs="Times New Roman"/>
        </w:rPr>
        <w:t xml:space="preserve"> encourage EV adoption </w:t>
      </w:r>
      <w:r w:rsidR="00EC514D">
        <w:rPr>
          <w:rFonts w:ascii="Times New Roman" w:eastAsia="Calibri" w:hAnsi="Times New Roman" w:cs="Times New Roman"/>
        </w:rPr>
        <w:t>may</w:t>
      </w:r>
      <w:r w:rsidR="006D47D8">
        <w:rPr>
          <w:rFonts w:ascii="Times New Roman" w:eastAsia="Calibri" w:hAnsi="Times New Roman" w:cs="Times New Roman"/>
        </w:rPr>
        <w:t xml:space="preserve"> not re</w:t>
      </w:r>
      <w:r w:rsidR="009434FA">
        <w:rPr>
          <w:rFonts w:ascii="Times New Roman" w:eastAsia="Calibri" w:hAnsi="Times New Roman" w:cs="Times New Roman"/>
        </w:rPr>
        <w:t xml:space="preserve">sult in immediate benefits, but </w:t>
      </w:r>
      <w:r w:rsidR="00EC514D">
        <w:rPr>
          <w:rFonts w:ascii="Times New Roman" w:eastAsia="Calibri" w:hAnsi="Times New Roman" w:cs="Times New Roman"/>
        </w:rPr>
        <w:t xml:space="preserve">rather may </w:t>
      </w:r>
      <w:r w:rsidR="009434FA">
        <w:rPr>
          <w:rFonts w:ascii="Times New Roman" w:eastAsia="Calibri" w:hAnsi="Times New Roman" w:cs="Times New Roman"/>
        </w:rPr>
        <w:t>accumulate over time as adoption increases, technologies improve</w:t>
      </w:r>
      <w:r w:rsidR="00D21A6E">
        <w:rPr>
          <w:rFonts w:ascii="Times New Roman" w:eastAsia="Calibri" w:hAnsi="Times New Roman" w:cs="Times New Roman"/>
        </w:rPr>
        <w:t>,</w:t>
      </w:r>
      <w:r w:rsidR="009434FA">
        <w:rPr>
          <w:rFonts w:ascii="Times New Roman" w:eastAsia="Calibri" w:hAnsi="Times New Roman" w:cs="Times New Roman"/>
        </w:rPr>
        <w:t xml:space="preserve"> and costs are reduced.  </w:t>
      </w:r>
      <w:r w:rsidR="00AC2E91">
        <w:rPr>
          <w:rFonts w:ascii="Times New Roman" w:eastAsia="Calibri" w:hAnsi="Times New Roman" w:cs="Times New Roman"/>
        </w:rPr>
        <w:t xml:space="preserve">Another </w:t>
      </w:r>
      <w:r w:rsidR="00EC514D">
        <w:rPr>
          <w:rFonts w:ascii="Times New Roman" w:eastAsia="Calibri" w:hAnsi="Times New Roman" w:cs="Times New Roman"/>
        </w:rPr>
        <w:t xml:space="preserve">important consideration </w:t>
      </w:r>
      <w:r w:rsidR="00AC2E91">
        <w:rPr>
          <w:rFonts w:ascii="Times New Roman" w:eastAsia="Calibri" w:hAnsi="Times New Roman" w:cs="Times New Roman"/>
        </w:rPr>
        <w:t xml:space="preserve">is to what degree investments in various EVSE result in increased adoption levels and the accumulation of benefits.  For example, even with low utilization, the availability of public EVSE, including DC fast chargers, </w:t>
      </w:r>
      <w:r w:rsidR="00714841">
        <w:rPr>
          <w:rFonts w:ascii="Times New Roman" w:eastAsia="Calibri" w:hAnsi="Times New Roman" w:cs="Times New Roman"/>
        </w:rPr>
        <w:t>has</w:t>
      </w:r>
      <w:r w:rsidR="00AC2E91">
        <w:rPr>
          <w:rFonts w:ascii="Times New Roman" w:eastAsia="Calibri" w:hAnsi="Times New Roman" w:cs="Times New Roman"/>
        </w:rPr>
        <w:t xml:space="preserve"> a positive influence on </w:t>
      </w:r>
      <w:r w:rsidR="00EC514D">
        <w:rPr>
          <w:rFonts w:ascii="Times New Roman" w:eastAsia="Calibri" w:hAnsi="Times New Roman" w:cs="Times New Roman"/>
        </w:rPr>
        <w:t xml:space="preserve">EV </w:t>
      </w:r>
      <w:r w:rsidR="00AC2E91">
        <w:rPr>
          <w:rFonts w:ascii="Times New Roman" w:eastAsia="Calibri" w:hAnsi="Times New Roman" w:cs="Times New Roman"/>
        </w:rPr>
        <w:t xml:space="preserve">purchase decisions.  </w:t>
      </w:r>
    </w:p>
    <w:p w14:paraId="03D818A1" w14:textId="051164CD" w:rsidR="00840B2A" w:rsidRPr="00840B2A" w:rsidRDefault="00840B2A" w:rsidP="00E313B2">
      <w:pPr>
        <w:tabs>
          <w:tab w:val="center" w:pos="4680"/>
        </w:tabs>
        <w:autoSpaceDE w:val="0"/>
        <w:autoSpaceDN w:val="0"/>
        <w:adjustRightInd w:val="0"/>
        <w:rPr>
          <w:rFonts w:ascii="Times New Roman" w:hAnsi="Times New Roman" w:cs="Times New Roman"/>
          <w:color w:val="000000"/>
        </w:rPr>
      </w:pPr>
    </w:p>
    <w:p w14:paraId="14358B38" w14:textId="77777777" w:rsidR="00840B2A" w:rsidRPr="00F3153E" w:rsidRDefault="00840B2A" w:rsidP="00840B2A">
      <w:pPr>
        <w:pStyle w:val="ListParagraph"/>
        <w:numPr>
          <w:ilvl w:val="0"/>
          <w:numId w:val="18"/>
        </w:numPr>
        <w:autoSpaceDE w:val="0"/>
        <w:autoSpaceDN w:val="0"/>
        <w:adjustRightInd w:val="0"/>
        <w:spacing w:after="83"/>
        <w:rPr>
          <w:b/>
          <w:color w:val="000000"/>
        </w:rPr>
      </w:pPr>
      <w:r w:rsidRPr="00F3153E">
        <w:rPr>
          <w:b/>
          <w:color w:val="000000"/>
        </w:rPr>
        <w:lastRenderedPageBreak/>
        <w:t xml:space="preserve">What policies should the Commission consider to improve access to, and promote fair competition within the market? Please comment separately on how the Commission should address the following: </w:t>
      </w:r>
    </w:p>
    <w:p w14:paraId="652A95B2" w14:textId="77777777" w:rsidR="00840B2A" w:rsidRPr="00F3153E" w:rsidRDefault="00840B2A" w:rsidP="00840B2A">
      <w:pPr>
        <w:pStyle w:val="ListParagraph"/>
        <w:numPr>
          <w:ilvl w:val="0"/>
          <w:numId w:val="21"/>
        </w:numPr>
        <w:autoSpaceDE w:val="0"/>
        <w:autoSpaceDN w:val="0"/>
        <w:adjustRightInd w:val="0"/>
        <w:spacing w:after="83"/>
        <w:rPr>
          <w:b/>
          <w:color w:val="000000"/>
        </w:rPr>
      </w:pPr>
      <w:r w:rsidRPr="00F3153E">
        <w:rPr>
          <w:b/>
          <w:color w:val="000000"/>
        </w:rPr>
        <w:t xml:space="preserve">Improve access to EV charging as a regulated public service </w:t>
      </w:r>
    </w:p>
    <w:p w14:paraId="2DBDA9E7" w14:textId="77777777" w:rsidR="00840B2A" w:rsidRPr="00F3153E" w:rsidRDefault="00840B2A" w:rsidP="00840B2A">
      <w:pPr>
        <w:pStyle w:val="ListParagraph"/>
        <w:numPr>
          <w:ilvl w:val="0"/>
          <w:numId w:val="21"/>
        </w:numPr>
        <w:autoSpaceDE w:val="0"/>
        <w:autoSpaceDN w:val="0"/>
        <w:adjustRightInd w:val="0"/>
        <w:spacing w:after="83"/>
        <w:rPr>
          <w:b/>
          <w:color w:val="000000"/>
        </w:rPr>
      </w:pPr>
      <w:r w:rsidRPr="00F3153E">
        <w:rPr>
          <w:b/>
          <w:color w:val="000000"/>
        </w:rPr>
        <w:t xml:space="preserve">Ensure that the utility procurement process for charging equipment is fair and competitive </w:t>
      </w:r>
    </w:p>
    <w:p w14:paraId="602BCD65" w14:textId="77777777" w:rsidR="00840B2A" w:rsidRPr="00F3153E" w:rsidRDefault="00840B2A" w:rsidP="00840B2A">
      <w:pPr>
        <w:pStyle w:val="ListParagraph"/>
        <w:numPr>
          <w:ilvl w:val="0"/>
          <w:numId w:val="21"/>
        </w:numPr>
        <w:autoSpaceDE w:val="0"/>
        <w:autoSpaceDN w:val="0"/>
        <w:adjustRightInd w:val="0"/>
        <w:rPr>
          <w:b/>
          <w:color w:val="000000"/>
        </w:rPr>
      </w:pPr>
      <w:r w:rsidRPr="00F3153E">
        <w:rPr>
          <w:b/>
          <w:color w:val="000000"/>
        </w:rPr>
        <w:t xml:space="preserve">Allow a competitive market for charging services to develop </w:t>
      </w:r>
    </w:p>
    <w:p w14:paraId="0B738AAA" w14:textId="77777777" w:rsidR="00840B2A" w:rsidRDefault="00840B2A" w:rsidP="00840B2A">
      <w:pPr>
        <w:spacing w:line="360" w:lineRule="auto"/>
        <w:jc w:val="both"/>
        <w:rPr>
          <w:rFonts w:ascii="Times New Roman" w:eastAsia="Calibri" w:hAnsi="Times New Roman" w:cs="Times New Roman"/>
        </w:rPr>
      </w:pPr>
    </w:p>
    <w:p w14:paraId="6A9B4F9B" w14:textId="4099CCE9" w:rsidR="00070446" w:rsidRDefault="00840B2A" w:rsidP="00F3153E">
      <w:pPr>
        <w:spacing w:line="360" w:lineRule="auto"/>
        <w:jc w:val="both"/>
        <w:rPr>
          <w:rFonts w:ascii="Times New Roman" w:eastAsia="Calibri" w:hAnsi="Times New Roman" w:cs="Times New Roman"/>
        </w:rPr>
      </w:pPr>
      <w:r w:rsidRPr="004B7AAF">
        <w:rPr>
          <w:rFonts w:ascii="Times New Roman" w:eastAsia="Calibri" w:hAnsi="Times New Roman" w:cs="Times New Roman"/>
          <w:b/>
        </w:rPr>
        <w:t>Response</w:t>
      </w:r>
      <w:r w:rsidRPr="00747B68">
        <w:rPr>
          <w:rFonts w:ascii="Times New Roman" w:eastAsia="Calibri" w:hAnsi="Times New Roman" w:cs="Times New Roman"/>
          <w:b/>
        </w:rPr>
        <w:t>:</w:t>
      </w:r>
      <w:r>
        <w:rPr>
          <w:rFonts w:ascii="Times New Roman" w:eastAsia="Calibri" w:hAnsi="Times New Roman" w:cs="Times New Roman"/>
        </w:rPr>
        <w:t xml:space="preserve">  </w:t>
      </w:r>
      <w:r w:rsidR="00070446">
        <w:rPr>
          <w:rFonts w:ascii="Times New Roman" w:eastAsia="Calibri" w:hAnsi="Times New Roman" w:cs="Times New Roman"/>
        </w:rPr>
        <w:t>The Commission should consider policies that a</w:t>
      </w:r>
      <w:r w:rsidR="00747B68">
        <w:rPr>
          <w:rFonts w:ascii="Times New Roman" w:eastAsia="Calibri" w:hAnsi="Times New Roman" w:cs="Times New Roman"/>
        </w:rPr>
        <w:t>llow utilities to own and operate public EVSE</w:t>
      </w:r>
      <w:r w:rsidR="00070446">
        <w:rPr>
          <w:rFonts w:ascii="Times New Roman" w:eastAsia="Calibri" w:hAnsi="Times New Roman" w:cs="Times New Roman"/>
        </w:rPr>
        <w:t>,</w:t>
      </w:r>
      <w:r w:rsidR="00747B68">
        <w:rPr>
          <w:rFonts w:ascii="Times New Roman" w:eastAsia="Calibri" w:hAnsi="Times New Roman" w:cs="Times New Roman"/>
        </w:rPr>
        <w:t xml:space="preserve"> including ownership of premises wiring from the transformer to the meter </w:t>
      </w:r>
      <w:r w:rsidR="00B91E24">
        <w:rPr>
          <w:rFonts w:ascii="Times New Roman" w:eastAsia="Calibri" w:hAnsi="Times New Roman" w:cs="Times New Roman"/>
        </w:rPr>
        <w:t>and</w:t>
      </w:r>
      <w:r w:rsidR="008F4868">
        <w:rPr>
          <w:rFonts w:ascii="Times New Roman" w:eastAsia="Calibri" w:hAnsi="Times New Roman" w:cs="Times New Roman"/>
        </w:rPr>
        <w:t xml:space="preserve"> the EVSE</w:t>
      </w:r>
      <w:r w:rsidR="00747B68">
        <w:rPr>
          <w:rFonts w:ascii="Times New Roman" w:eastAsia="Calibri" w:hAnsi="Times New Roman" w:cs="Times New Roman"/>
        </w:rPr>
        <w:t xml:space="preserve">.  </w:t>
      </w:r>
      <w:r w:rsidR="008C0266">
        <w:rPr>
          <w:rFonts w:ascii="Times New Roman" w:eastAsia="Calibri" w:hAnsi="Times New Roman" w:cs="Times New Roman"/>
        </w:rPr>
        <w:t>As outlined in the Company’s EVSE Pilot Program, utility ownership of EVSE allows the utility to learn and understand the impacts of EV charging and EV adoption on the utility grid, in addition to the ability to try demand response experiment</w:t>
      </w:r>
      <w:r w:rsidR="00B367AF">
        <w:rPr>
          <w:rFonts w:ascii="Times New Roman" w:eastAsia="Calibri" w:hAnsi="Times New Roman" w:cs="Times New Roman"/>
        </w:rPr>
        <w:t>s</w:t>
      </w:r>
      <w:r w:rsidR="008C0266">
        <w:rPr>
          <w:rFonts w:ascii="Times New Roman" w:eastAsia="Calibri" w:hAnsi="Times New Roman" w:cs="Times New Roman"/>
        </w:rPr>
        <w:t xml:space="preserve"> and initiatives that shift on-peaking charging when necessary</w:t>
      </w:r>
      <w:r w:rsidR="00C2501A">
        <w:rPr>
          <w:rFonts w:ascii="Times New Roman" w:eastAsia="Calibri" w:hAnsi="Times New Roman" w:cs="Times New Roman"/>
        </w:rPr>
        <w:t xml:space="preserve"> or beneficial</w:t>
      </w:r>
      <w:r w:rsidR="008C0266">
        <w:rPr>
          <w:rFonts w:ascii="Times New Roman" w:eastAsia="Calibri" w:hAnsi="Times New Roman" w:cs="Times New Roman"/>
        </w:rPr>
        <w:t>.</w:t>
      </w:r>
      <w:r w:rsidR="005F73A4">
        <w:rPr>
          <w:rFonts w:ascii="Times New Roman" w:eastAsia="Calibri" w:hAnsi="Times New Roman" w:cs="Times New Roman"/>
        </w:rPr>
        <w:t xml:space="preserve">  Utilities are uniquely situated to be able to</w:t>
      </w:r>
      <w:r w:rsidR="00AD24DB">
        <w:rPr>
          <w:rFonts w:ascii="Times New Roman" w:eastAsia="Calibri" w:hAnsi="Times New Roman" w:cs="Times New Roman"/>
        </w:rPr>
        <w:t xml:space="preserve"> centralize control of back</w:t>
      </w:r>
      <w:r w:rsidR="00B61A28">
        <w:rPr>
          <w:rFonts w:ascii="Times New Roman" w:eastAsia="Calibri" w:hAnsi="Times New Roman" w:cs="Times New Roman"/>
        </w:rPr>
        <w:t>-</w:t>
      </w:r>
      <w:r w:rsidR="00AD24DB">
        <w:rPr>
          <w:rFonts w:ascii="Times New Roman" w:eastAsia="Calibri" w:hAnsi="Times New Roman" w:cs="Times New Roman"/>
        </w:rPr>
        <w:t>office network software that uses open communication protocols, allowing for an open platform and flexibility to utilize various EVSE from a number of different manufacturers that also utilize open communications protocols</w:t>
      </w:r>
      <w:r w:rsidR="00B61A28">
        <w:rPr>
          <w:rFonts w:ascii="Times New Roman" w:eastAsia="Calibri" w:hAnsi="Times New Roman" w:cs="Times New Roman"/>
        </w:rPr>
        <w:t>, and which enable demand-response capabilities</w:t>
      </w:r>
      <w:r w:rsidR="005F73A4">
        <w:rPr>
          <w:rFonts w:ascii="Times New Roman" w:eastAsia="Calibri" w:hAnsi="Times New Roman" w:cs="Times New Roman"/>
        </w:rPr>
        <w:t xml:space="preserve"> and EVSE to be located across its service territory</w:t>
      </w:r>
      <w:r w:rsidR="00B61A28">
        <w:rPr>
          <w:rFonts w:ascii="Times New Roman" w:eastAsia="Calibri" w:hAnsi="Times New Roman" w:cs="Times New Roman"/>
        </w:rPr>
        <w:t>.</w:t>
      </w:r>
      <w:r w:rsidR="005F73A4">
        <w:rPr>
          <w:rFonts w:ascii="Times New Roman" w:eastAsia="Calibri" w:hAnsi="Times New Roman" w:cs="Times New Roman"/>
        </w:rPr>
        <w:t xml:space="preserve">  </w:t>
      </w:r>
      <w:r w:rsidR="001D273A">
        <w:rPr>
          <w:rFonts w:ascii="Times New Roman" w:eastAsia="Calibri" w:hAnsi="Times New Roman" w:cs="Times New Roman"/>
        </w:rPr>
        <w:t>In addition, electric utilities have a vested interest in EVSE</w:t>
      </w:r>
      <w:r w:rsidR="00B367AF">
        <w:rPr>
          <w:rFonts w:ascii="Times New Roman" w:eastAsia="Calibri" w:hAnsi="Times New Roman" w:cs="Times New Roman"/>
        </w:rPr>
        <w:t xml:space="preserve">, especially as it relates to </w:t>
      </w:r>
      <w:r w:rsidR="008310F5">
        <w:rPr>
          <w:rFonts w:ascii="Times New Roman" w:eastAsia="Calibri" w:hAnsi="Times New Roman" w:cs="Times New Roman"/>
        </w:rPr>
        <w:t>areas of their system</w:t>
      </w:r>
      <w:r w:rsidR="001D273A">
        <w:rPr>
          <w:rFonts w:ascii="Times New Roman" w:eastAsia="Calibri" w:hAnsi="Times New Roman" w:cs="Times New Roman"/>
        </w:rPr>
        <w:t xml:space="preserve"> </w:t>
      </w:r>
      <w:r w:rsidR="00B367AF">
        <w:rPr>
          <w:rFonts w:ascii="Times New Roman" w:eastAsia="Calibri" w:hAnsi="Times New Roman" w:cs="Times New Roman"/>
        </w:rPr>
        <w:t xml:space="preserve">that </w:t>
      </w:r>
      <w:r w:rsidR="001D273A">
        <w:rPr>
          <w:rFonts w:ascii="Times New Roman" w:eastAsia="Calibri" w:hAnsi="Times New Roman" w:cs="Times New Roman"/>
        </w:rPr>
        <w:t>can support EVSE without additional distribution upgrades</w:t>
      </w:r>
      <w:r w:rsidR="00B367AF">
        <w:rPr>
          <w:rFonts w:ascii="Times New Roman" w:eastAsia="Calibri" w:hAnsi="Times New Roman" w:cs="Times New Roman"/>
        </w:rPr>
        <w:t xml:space="preserve">. Utilities are also </w:t>
      </w:r>
      <w:r w:rsidR="001D273A">
        <w:rPr>
          <w:rFonts w:ascii="Times New Roman" w:eastAsia="Calibri" w:hAnsi="Times New Roman" w:cs="Times New Roman"/>
        </w:rPr>
        <w:t xml:space="preserve">best situated to implement strategies that make EVSE an asset to the grid.  </w:t>
      </w:r>
    </w:p>
    <w:p w14:paraId="6349E1D2" w14:textId="77777777" w:rsidR="00070446" w:rsidRDefault="00070446" w:rsidP="00840B2A">
      <w:pPr>
        <w:spacing w:line="360" w:lineRule="auto"/>
        <w:ind w:left="360"/>
        <w:jc w:val="both"/>
        <w:rPr>
          <w:rFonts w:ascii="Times New Roman" w:eastAsia="Calibri" w:hAnsi="Times New Roman" w:cs="Times New Roman"/>
        </w:rPr>
      </w:pPr>
    </w:p>
    <w:p w14:paraId="24692070" w14:textId="6756D192" w:rsidR="00070446" w:rsidRDefault="00070446" w:rsidP="00F3153E">
      <w:pPr>
        <w:spacing w:line="360" w:lineRule="auto"/>
        <w:jc w:val="both"/>
        <w:rPr>
          <w:rFonts w:ascii="Times New Roman" w:eastAsia="Calibri" w:hAnsi="Times New Roman" w:cs="Times New Roman"/>
        </w:rPr>
      </w:pPr>
      <w:r>
        <w:rPr>
          <w:rFonts w:ascii="Times New Roman" w:eastAsia="Calibri" w:hAnsi="Times New Roman" w:cs="Times New Roman"/>
        </w:rPr>
        <w:t>Regarding the procurement process of EVSE, policies should direct utilities to f</w:t>
      </w:r>
      <w:r w:rsidR="00AD24DB">
        <w:rPr>
          <w:rFonts w:ascii="Times New Roman" w:eastAsia="Calibri" w:hAnsi="Times New Roman" w:cs="Times New Roman"/>
        </w:rPr>
        <w:t xml:space="preserve">ollow established Request for Proposals (RFP) processes </w:t>
      </w:r>
      <w:r>
        <w:rPr>
          <w:rFonts w:ascii="Times New Roman" w:eastAsia="Calibri" w:hAnsi="Times New Roman" w:cs="Times New Roman"/>
        </w:rPr>
        <w:t xml:space="preserve">in order </w:t>
      </w:r>
      <w:r w:rsidR="00AD24DB">
        <w:rPr>
          <w:rFonts w:ascii="Times New Roman" w:eastAsia="Calibri" w:hAnsi="Times New Roman" w:cs="Times New Roman"/>
        </w:rPr>
        <w:t>to select the products and services</w:t>
      </w:r>
      <w:r>
        <w:rPr>
          <w:rFonts w:ascii="Times New Roman" w:eastAsia="Calibri" w:hAnsi="Times New Roman" w:cs="Times New Roman"/>
        </w:rPr>
        <w:t xml:space="preserve"> that provide </w:t>
      </w:r>
      <w:r w:rsidR="00AD24DB">
        <w:rPr>
          <w:rFonts w:ascii="Times New Roman" w:eastAsia="Calibri" w:hAnsi="Times New Roman" w:cs="Times New Roman"/>
        </w:rPr>
        <w:t xml:space="preserve">the most value to </w:t>
      </w:r>
      <w:r>
        <w:rPr>
          <w:rFonts w:ascii="Times New Roman" w:eastAsia="Calibri" w:hAnsi="Times New Roman" w:cs="Times New Roman"/>
        </w:rPr>
        <w:t xml:space="preserve">its </w:t>
      </w:r>
      <w:r w:rsidR="00AD24DB">
        <w:rPr>
          <w:rFonts w:ascii="Times New Roman" w:eastAsia="Calibri" w:hAnsi="Times New Roman" w:cs="Times New Roman"/>
        </w:rPr>
        <w:t>customers</w:t>
      </w:r>
      <w:r w:rsidR="00B367AF">
        <w:rPr>
          <w:rFonts w:ascii="Times New Roman" w:eastAsia="Calibri" w:hAnsi="Times New Roman" w:cs="Times New Roman"/>
        </w:rPr>
        <w:t xml:space="preserve"> and the public at large</w:t>
      </w:r>
      <w:r w:rsidR="00AD24DB">
        <w:rPr>
          <w:rFonts w:ascii="Times New Roman" w:eastAsia="Calibri" w:hAnsi="Times New Roman" w:cs="Times New Roman"/>
        </w:rPr>
        <w:t xml:space="preserve">.  </w:t>
      </w:r>
    </w:p>
    <w:p w14:paraId="700E38C9" w14:textId="77777777" w:rsidR="00070446" w:rsidRDefault="00070446" w:rsidP="00840B2A">
      <w:pPr>
        <w:spacing w:line="360" w:lineRule="auto"/>
        <w:ind w:left="360"/>
        <w:jc w:val="both"/>
        <w:rPr>
          <w:rFonts w:ascii="Times New Roman" w:eastAsia="Calibri" w:hAnsi="Times New Roman" w:cs="Times New Roman"/>
        </w:rPr>
      </w:pPr>
    </w:p>
    <w:p w14:paraId="6CA55786" w14:textId="734D6AD1" w:rsidR="00840B2A" w:rsidRDefault="00070446" w:rsidP="00F3153E">
      <w:pPr>
        <w:spacing w:line="360" w:lineRule="auto"/>
        <w:jc w:val="both"/>
        <w:rPr>
          <w:rFonts w:ascii="Times New Roman" w:eastAsia="Calibri" w:hAnsi="Times New Roman" w:cs="Times New Roman"/>
        </w:rPr>
      </w:pPr>
      <w:r>
        <w:rPr>
          <w:rFonts w:ascii="Times New Roman" w:eastAsia="Calibri" w:hAnsi="Times New Roman" w:cs="Times New Roman"/>
        </w:rPr>
        <w:t xml:space="preserve">One important component to consider </w:t>
      </w:r>
      <w:r w:rsidR="003D25E1">
        <w:rPr>
          <w:rFonts w:ascii="Times New Roman" w:eastAsia="Calibri" w:hAnsi="Times New Roman" w:cs="Times New Roman"/>
        </w:rPr>
        <w:t xml:space="preserve">when discussing how the Commission should address the competitive market for EVSE is customer preference. When equipment is installed on the customer’s side of the meter some customers want a say in the type of equipment being installed.  The Commission </w:t>
      </w:r>
      <w:r w:rsidR="00E313B2">
        <w:rPr>
          <w:rFonts w:ascii="Times New Roman" w:eastAsia="Calibri" w:hAnsi="Times New Roman" w:cs="Times New Roman"/>
        </w:rPr>
        <w:t>should</w:t>
      </w:r>
      <w:r w:rsidR="003D25E1">
        <w:rPr>
          <w:rFonts w:ascii="Times New Roman" w:eastAsia="Calibri" w:hAnsi="Times New Roman" w:cs="Times New Roman"/>
        </w:rPr>
        <w:t xml:space="preserve"> include within its policies a directive that</w:t>
      </w:r>
      <w:r w:rsidR="00AD24DB">
        <w:rPr>
          <w:rFonts w:ascii="Times New Roman" w:eastAsia="Calibri" w:hAnsi="Times New Roman" w:cs="Times New Roman"/>
        </w:rPr>
        <w:t xml:space="preserve"> customers </w:t>
      </w:r>
      <w:r w:rsidR="003D25E1">
        <w:rPr>
          <w:rFonts w:ascii="Times New Roman" w:eastAsia="Calibri" w:hAnsi="Times New Roman" w:cs="Times New Roman"/>
        </w:rPr>
        <w:t xml:space="preserve">may have the </w:t>
      </w:r>
      <w:r w:rsidR="00AD24DB">
        <w:rPr>
          <w:rFonts w:ascii="Times New Roman" w:eastAsia="Calibri" w:hAnsi="Times New Roman" w:cs="Times New Roman"/>
        </w:rPr>
        <w:t>option to select EVSE</w:t>
      </w:r>
      <w:r w:rsidR="003D25E1">
        <w:rPr>
          <w:rFonts w:ascii="Times New Roman" w:eastAsia="Calibri" w:hAnsi="Times New Roman" w:cs="Times New Roman"/>
        </w:rPr>
        <w:t xml:space="preserve"> installed at their location, but</w:t>
      </w:r>
      <w:r w:rsidR="00AD24DB">
        <w:rPr>
          <w:rFonts w:ascii="Times New Roman" w:eastAsia="Calibri" w:hAnsi="Times New Roman" w:cs="Times New Roman"/>
        </w:rPr>
        <w:t xml:space="preserve"> procured and owned by the utility, provided that </w:t>
      </w:r>
      <w:r w:rsidR="003D25E1">
        <w:rPr>
          <w:rFonts w:ascii="Times New Roman" w:eastAsia="Calibri" w:hAnsi="Times New Roman" w:cs="Times New Roman"/>
        </w:rPr>
        <w:t xml:space="preserve">the EVSE </w:t>
      </w:r>
      <w:r w:rsidR="00AD24DB">
        <w:rPr>
          <w:rFonts w:ascii="Times New Roman" w:eastAsia="Calibri" w:hAnsi="Times New Roman" w:cs="Times New Roman"/>
        </w:rPr>
        <w:t xml:space="preserve">has proven functionality with a utility’s network using open communication protocols. </w:t>
      </w:r>
      <w:r w:rsidR="003D25E1">
        <w:rPr>
          <w:rFonts w:ascii="Times New Roman" w:eastAsia="Calibri" w:hAnsi="Times New Roman" w:cs="Times New Roman"/>
        </w:rPr>
        <w:t xml:space="preserve">The utility </w:t>
      </w:r>
      <w:r w:rsidR="00E313B2">
        <w:rPr>
          <w:rFonts w:ascii="Times New Roman" w:eastAsia="Calibri" w:hAnsi="Times New Roman" w:cs="Times New Roman"/>
        </w:rPr>
        <w:t>should</w:t>
      </w:r>
      <w:r w:rsidR="003D25E1">
        <w:rPr>
          <w:rFonts w:ascii="Times New Roman" w:eastAsia="Calibri" w:hAnsi="Times New Roman" w:cs="Times New Roman"/>
        </w:rPr>
        <w:t xml:space="preserve"> be allowed to require</w:t>
      </w:r>
      <w:r w:rsidR="00AD24DB">
        <w:rPr>
          <w:rFonts w:ascii="Times New Roman" w:eastAsia="Calibri" w:hAnsi="Times New Roman" w:cs="Times New Roman"/>
        </w:rPr>
        <w:t xml:space="preserve"> the customer </w:t>
      </w:r>
      <w:r w:rsidR="00923DE1">
        <w:rPr>
          <w:rFonts w:ascii="Times New Roman" w:eastAsia="Calibri" w:hAnsi="Times New Roman" w:cs="Times New Roman"/>
        </w:rPr>
        <w:t xml:space="preserve">to </w:t>
      </w:r>
      <w:r w:rsidR="00AD24DB">
        <w:rPr>
          <w:rFonts w:ascii="Times New Roman" w:eastAsia="Calibri" w:hAnsi="Times New Roman" w:cs="Times New Roman"/>
        </w:rPr>
        <w:t xml:space="preserve">pay </w:t>
      </w:r>
      <w:r w:rsidR="003D25E1">
        <w:rPr>
          <w:rFonts w:ascii="Times New Roman" w:eastAsia="Calibri" w:hAnsi="Times New Roman" w:cs="Times New Roman"/>
        </w:rPr>
        <w:t xml:space="preserve">a portion of the cost of the EVSE if the </w:t>
      </w:r>
      <w:r w:rsidR="003D25E1">
        <w:rPr>
          <w:rFonts w:ascii="Times New Roman" w:eastAsia="Calibri" w:hAnsi="Times New Roman" w:cs="Times New Roman"/>
        </w:rPr>
        <w:lastRenderedPageBreak/>
        <w:t>unit they cho</w:t>
      </w:r>
      <w:r w:rsidR="00923DE1">
        <w:rPr>
          <w:rFonts w:ascii="Times New Roman" w:eastAsia="Calibri" w:hAnsi="Times New Roman" w:cs="Times New Roman"/>
        </w:rPr>
        <w:t>o</w:t>
      </w:r>
      <w:r w:rsidR="003D25E1">
        <w:rPr>
          <w:rFonts w:ascii="Times New Roman" w:eastAsia="Calibri" w:hAnsi="Times New Roman" w:cs="Times New Roman"/>
        </w:rPr>
        <w:t>se exceeds a certain threshold</w:t>
      </w:r>
      <w:r w:rsidR="00AD24DB">
        <w:rPr>
          <w:rFonts w:ascii="Times New Roman" w:eastAsia="Calibri" w:hAnsi="Times New Roman" w:cs="Times New Roman"/>
        </w:rPr>
        <w:t xml:space="preserve">.  </w:t>
      </w:r>
      <w:r w:rsidR="00E86E0F">
        <w:rPr>
          <w:rFonts w:ascii="Times New Roman" w:eastAsia="Calibri" w:hAnsi="Times New Roman" w:cs="Times New Roman"/>
        </w:rPr>
        <w:t>By directing utilities to allow for the utilization of equipment from multiple EVSE manufacturers, it will provide for a competitive market to continue to develop and progress as demand and technology advances.</w:t>
      </w:r>
    </w:p>
    <w:p w14:paraId="1E1BAE16" w14:textId="77777777" w:rsidR="00840B2A" w:rsidRPr="00840B2A" w:rsidRDefault="00840B2A" w:rsidP="00840B2A">
      <w:pPr>
        <w:autoSpaceDE w:val="0"/>
        <w:autoSpaceDN w:val="0"/>
        <w:adjustRightInd w:val="0"/>
        <w:rPr>
          <w:rFonts w:ascii="Times New Roman" w:hAnsi="Times New Roman" w:cs="Times New Roman"/>
          <w:color w:val="000000"/>
        </w:rPr>
      </w:pPr>
    </w:p>
    <w:p w14:paraId="26F245F4" w14:textId="77777777" w:rsidR="00840B2A" w:rsidRPr="00F3153E" w:rsidRDefault="00D1685E" w:rsidP="00840B2A">
      <w:pPr>
        <w:pStyle w:val="ListParagraph"/>
        <w:numPr>
          <w:ilvl w:val="0"/>
          <w:numId w:val="18"/>
        </w:numPr>
        <w:autoSpaceDE w:val="0"/>
        <w:autoSpaceDN w:val="0"/>
        <w:adjustRightInd w:val="0"/>
        <w:spacing w:after="83"/>
        <w:rPr>
          <w:b/>
          <w:color w:val="000000"/>
        </w:rPr>
      </w:pPr>
      <w:r w:rsidRPr="00F3153E">
        <w:rPr>
          <w:b/>
          <w:color w:val="000000"/>
        </w:rPr>
        <w:t>Considering RCW 80.12.020</w:t>
      </w:r>
      <w:r w:rsidR="00840B2A" w:rsidRPr="00F3153E">
        <w:rPr>
          <w:b/>
          <w:color w:val="000000"/>
        </w:rPr>
        <w:t xml:space="preserve"> when would it be appropriate for an electrical company to “gift” EVSE to a customer, as provided in RCW 80.28.360(4)? What notice should be given? </w:t>
      </w:r>
    </w:p>
    <w:p w14:paraId="377271D1" w14:textId="77777777" w:rsidR="00840B2A" w:rsidRDefault="00840B2A" w:rsidP="00840B2A">
      <w:pPr>
        <w:autoSpaceDE w:val="0"/>
        <w:autoSpaceDN w:val="0"/>
        <w:adjustRightInd w:val="0"/>
        <w:rPr>
          <w:rFonts w:ascii="Times New Roman" w:hAnsi="Times New Roman" w:cs="Times New Roman"/>
          <w:color w:val="000000"/>
        </w:rPr>
      </w:pPr>
    </w:p>
    <w:p w14:paraId="712D68DB" w14:textId="0B9E169D" w:rsidR="000C249F" w:rsidRDefault="00840B2A" w:rsidP="00F3153E">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r w:rsidR="00D1685E">
        <w:rPr>
          <w:rFonts w:ascii="Times New Roman" w:eastAsia="Calibri" w:hAnsi="Times New Roman" w:cs="Times New Roman"/>
        </w:rPr>
        <w:t xml:space="preserve">As described in RCW 80.28.360(4), Avista believes it is appropriate to gift EVSE to the property </w:t>
      </w:r>
      <w:r w:rsidR="00B91E24">
        <w:rPr>
          <w:rFonts w:ascii="Times New Roman" w:eastAsia="Calibri" w:hAnsi="Times New Roman" w:cs="Times New Roman"/>
        </w:rPr>
        <w:t xml:space="preserve">owner </w:t>
      </w:r>
      <w:r w:rsidR="00D1685E">
        <w:rPr>
          <w:rFonts w:ascii="Times New Roman" w:eastAsia="Calibri" w:hAnsi="Times New Roman" w:cs="Times New Roman"/>
        </w:rPr>
        <w:t xml:space="preserve">on which </w:t>
      </w:r>
      <w:r w:rsidR="00B91E24">
        <w:rPr>
          <w:rFonts w:ascii="Times New Roman" w:eastAsia="Calibri" w:hAnsi="Times New Roman" w:cs="Times New Roman"/>
        </w:rPr>
        <w:t>the EVSE</w:t>
      </w:r>
      <w:r w:rsidR="00D1685E">
        <w:rPr>
          <w:rFonts w:ascii="Times New Roman" w:eastAsia="Calibri" w:hAnsi="Times New Roman" w:cs="Times New Roman"/>
        </w:rPr>
        <w:t xml:space="preserve"> is located when the capital investment has been fully depreciated</w:t>
      </w:r>
      <w:r w:rsidR="00B367AF">
        <w:rPr>
          <w:rFonts w:ascii="Times New Roman" w:eastAsia="Calibri" w:hAnsi="Times New Roman" w:cs="Times New Roman"/>
        </w:rPr>
        <w:t>, or at such other time that economics or other circumstances would warrant</w:t>
      </w:r>
      <w:r w:rsidR="00D1685E">
        <w:rPr>
          <w:rFonts w:ascii="Times New Roman" w:eastAsia="Calibri" w:hAnsi="Times New Roman" w:cs="Times New Roman"/>
        </w:rPr>
        <w:t xml:space="preserve">.  </w:t>
      </w:r>
      <w:r w:rsidR="00781B75">
        <w:rPr>
          <w:rFonts w:ascii="Times New Roman" w:eastAsia="Calibri" w:hAnsi="Times New Roman" w:cs="Times New Roman"/>
        </w:rPr>
        <w:t>If a utility maintains ownership of the EVSE they will likely have to pay for ongoing maintenance and operations expense of the equipment.</w:t>
      </w:r>
      <w:r w:rsidR="005F39C5">
        <w:rPr>
          <w:rFonts w:ascii="Times New Roman" w:eastAsia="Calibri" w:hAnsi="Times New Roman" w:cs="Times New Roman"/>
        </w:rPr>
        <w:t xml:space="preserve">  Gifting the equipment</w:t>
      </w:r>
      <w:r w:rsidR="00B367AF">
        <w:rPr>
          <w:rFonts w:ascii="Times New Roman" w:eastAsia="Calibri" w:hAnsi="Times New Roman" w:cs="Times New Roman"/>
        </w:rPr>
        <w:t xml:space="preserve"> after its depreciable life and/or other circumstances may not </w:t>
      </w:r>
      <w:r w:rsidR="005F39C5">
        <w:rPr>
          <w:rFonts w:ascii="Times New Roman" w:eastAsia="Calibri" w:hAnsi="Times New Roman" w:cs="Times New Roman"/>
        </w:rPr>
        <w:t>alter the impact of the benefits associated with greater EV adoption as the</w:t>
      </w:r>
      <w:r w:rsidR="00405852">
        <w:rPr>
          <w:rFonts w:ascii="Times New Roman" w:eastAsia="Calibri" w:hAnsi="Times New Roman" w:cs="Times New Roman"/>
        </w:rPr>
        <w:t xml:space="preserve"> equipment will likely continue</w:t>
      </w:r>
      <w:r w:rsidR="005F39C5">
        <w:rPr>
          <w:rFonts w:ascii="Times New Roman" w:eastAsia="Calibri" w:hAnsi="Times New Roman" w:cs="Times New Roman"/>
        </w:rPr>
        <w:t xml:space="preserve"> to be used.  </w:t>
      </w:r>
    </w:p>
    <w:p w14:paraId="0A558B8B" w14:textId="77777777" w:rsidR="00F3153E" w:rsidRDefault="00F3153E" w:rsidP="00F3153E">
      <w:pPr>
        <w:spacing w:line="360" w:lineRule="auto"/>
        <w:jc w:val="both"/>
        <w:rPr>
          <w:rFonts w:ascii="Times New Roman" w:eastAsia="Calibri" w:hAnsi="Times New Roman" w:cs="Times New Roman"/>
        </w:rPr>
      </w:pPr>
    </w:p>
    <w:p w14:paraId="42F5D792" w14:textId="4AD62CE6" w:rsidR="00D1685E" w:rsidRDefault="00D27283" w:rsidP="00F3153E">
      <w:pPr>
        <w:spacing w:line="360" w:lineRule="auto"/>
        <w:jc w:val="both"/>
        <w:rPr>
          <w:rFonts w:ascii="Times New Roman" w:eastAsia="Calibri" w:hAnsi="Times New Roman" w:cs="Times New Roman"/>
        </w:rPr>
      </w:pPr>
      <w:r>
        <w:rPr>
          <w:rFonts w:ascii="Times New Roman" w:eastAsia="Calibri" w:hAnsi="Times New Roman" w:cs="Times New Roman"/>
        </w:rPr>
        <w:t>RCW 80.12.020(1) states “</w:t>
      </w:r>
      <w:r w:rsidRPr="00D27283">
        <w:rPr>
          <w:rFonts w:ascii="Times New Roman" w:eastAsia="Calibri" w:hAnsi="Times New Roman" w:cs="Times New Roman"/>
        </w:rPr>
        <w:t>No public service company shall sell, lease, assign or otherwise dispose of the whole or any part of its franchises, properties or facilities whatsoever, which are necessary or useful in the performance of its duties to the public</w:t>
      </w:r>
      <w:r>
        <w:rPr>
          <w:rFonts w:ascii="Times New Roman" w:eastAsia="Calibri" w:hAnsi="Times New Roman" w:cs="Times New Roman"/>
        </w:rPr>
        <w:t>.</w:t>
      </w:r>
      <w:r w:rsidRPr="00D27283">
        <w:rPr>
          <w:rFonts w:ascii="Times New Roman" w:eastAsia="Calibri" w:hAnsi="Times New Roman" w:cs="Times New Roman"/>
        </w:rPr>
        <w:t>”</w:t>
      </w:r>
      <w:r>
        <w:rPr>
          <w:rFonts w:ascii="Times New Roman" w:eastAsia="Calibri" w:hAnsi="Times New Roman" w:cs="Times New Roman"/>
        </w:rPr>
        <w:t xml:space="preserve">  </w:t>
      </w:r>
      <w:r w:rsidR="00CF414B">
        <w:rPr>
          <w:rFonts w:ascii="Times New Roman" w:eastAsia="Calibri" w:hAnsi="Times New Roman" w:cs="Times New Roman"/>
        </w:rPr>
        <w:t>Avista believe</w:t>
      </w:r>
      <w:r w:rsidR="00B91E24">
        <w:rPr>
          <w:rFonts w:ascii="Times New Roman" w:eastAsia="Calibri" w:hAnsi="Times New Roman" w:cs="Times New Roman"/>
        </w:rPr>
        <w:t>s</w:t>
      </w:r>
      <w:r w:rsidR="00CF414B">
        <w:rPr>
          <w:rFonts w:ascii="Times New Roman" w:eastAsia="Calibri" w:hAnsi="Times New Roman" w:cs="Times New Roman"/>
        </w:rPr>
        <w:t xml:space="preserve"> there is </w:t>
      </w:r>
      <w:r w:rsidR="00B91E24">
        <w:rPr>
          <w:rFonts w:ascii="Times New Roman" w:eastAsia="Calibri" w:hAnsi="Times New Roman" w:cs="Times New Roman"/>
        </w:rPr>
        <w:t>no</w:t>
      </w:r>
      <w:r w:rsidR="00CF414B">
        <w:rPr>
          <w:rFonts w:ascii="Times New Roman" w:eastAsia="Calibri" w:hAnsi="Times New Roman" w:cs="Times New Roman"/>
        </w:rPr>
        <w:t xml:space="preserve"> conflict with this statute and RCW 80.28.360.  </w:t>
      </w:r>
      <w:r w:rsidR="00B715E8">
        <w:rPr>
          <w:rFonts w:ascii="Times New Roman" w:eastAsia="Calibri" w:hAnsi="Times New Roman" w:cs="Times New Roman"/>
        </w:rPr>
        <w:t xml:space="preserve">As discussed, there are benefits to a utility’s electric customers with greater adoption of EVs.  Gifting EVSE infrastructure will not impact these benefits. </w:t>
      </w:r>
    </w:p>
    <w:p w14:paraId="2E5280CB" w14:textId="77777777" w:rsidR="00B91E24" w:rsidRDefault="00B91E24" w:rsidP="00F3153E">
      <w:pPr>
        <w:spacing w:line="360" w:lineRule="auto"/>
        <w:jc w:val="both"/>
        <w:rPr>
          <w:rFonts w:ascii="Times New Roman" w:eastAsia="Calibri" w:hAnsi="Times New Roman" w:cs="Times New Roman"/>
        </w:rPr>
      </w:pPr>
    </w:p>
    <w:p w14:paraId="2E23C271" w14:textId="4327A519" w:rsidR="00B91E24" w:rsidRPr="00D1685E" w:rsidRDefault="005A2764" w:rsidP="00F3153E">
      <w:pPr>
        <w:spacing w:line="360" w:lineRule="auto"/>
        <w:jc w:val="both"/>
        <w:rPr>
          <w:rFonts w:ascii="Times New Roman" w:eastAsia="Calibri" w:hAnsi="Times New Roman" w:cs="Times New Roman"/>
        </w:rPr>
      </w:pPr>
      <w:r>
        <w:rPr>
          <w:rFonts w:ascii="Times New Roman" w:eastAsia="Calibri" w:hAnsi="Times New Roman" w:cs="Times New Roman"/>
        </w:rPr>
        <w:t xml:space="preserve">In terms of notice, Avista would recommend that a </w:t>
      </w:r>
      <w:r w:rsidR="00405852">
        <w:rPr>
          <w:rFonts w:ascii="Times New Roman" w:eastAsia="Calibri" w:hAnsi="Times New Roman" w:cs="Times New Roman"/>
        </w:rPr>
        <w:t>utility’</w:t>
      </w:r>
      <w:r>
        <w:rPr>
          <w:rFonts w:ascii="Times New Roman" w:eastAsia="Calibri" w:hAnsi="Times New Roman" w:cs="Times New Roman"/>
        </w:rPr>
        <w:t>s policy for gifting of EVSE be described within its tariff for an EVSE program or described prior to the installation of EVSE.  Providing notice each time a single EVSE would be gifted would be inef</w:t>
      </w:r>
      <w:r w:rsidR="00405852">
        <w:rPr>
          <w:rFonts w:ascii="Times New Roman" w:eastAsia="Calibri" w:hAnsi="Times New Roman" w:cs="Times New Roman"/>
        </w:rPr>
        <w:t>ficient</w:t>
      </w:r>
      <w:r>
        <w:rPr>
          <w:rFonts w:ascii="Times New Roman" w:eastAsia="Calibri" w:hAnsi="Times New Roman" w:cs="Times New Roman"/>
        </w:rPr>
        <w:t xml:space="preserve">.  </w:t>
      </w:r>
    </w:p>
    <w:p w14:paraId="6C5BC325" w14:textId="77777777" w:rsidR="00840B2A" w:rsidRPr="00840B2A" w:rsidRDefault="00840B2A" w:rsidP="00840B2A">
      <w:pPr>
        <w:autoSpaceDE w:val="0"/>
        <w:autoSpaceDN w:val="0"/>
        <w:adjustRightInd w:val="0"/>
        <w:rPr>
          <w:rFonts w:ascii="Times New Roman" w:hAnsi="Times New Roman" w:cs="Times New Roman"/>
          <w:color w:val="000000"/>
        </w:rPr>
      </w:pPr>
    </w:p>
    <w:p w14:paraId="175A4ABF" w14:textId="77777777" w:rsidR="00840B2A" w:rsidRPr="00F3153E" w:rsidRDefault="00840B2A" w:rsidP="00840B2A">
      <w:pPr>
        <w:pStyle w:val="ListParagraph"/>
        <w:numPr>
          <w:ilvl w:val="0"/>
          <w:numId w:val="18"/>
        </w:numPr>
        <w:autoSpaceDE w:val="0"/>
        <w:autoSpaceDN w:val="0"/>
        <w:adjustRightInd w:val="0"/>
        <w:rPr>
          <w:b/>
          <w:color w:val="000000"/>
        </w:rPr>
      </w:pPr>
      <w:r w:rsidRPr="00F3153E">
        <w:rPr>
          <w:b/>
          <w:color w:val="000000"/>
        </w:rPr>
        <w:t xml:space="preserve">Considering RCW 80.28.320, what other factors should the Commission consider in order to approve investor-owned utility proposals to own and operate EVSE as a regulated service? </w:t>
      </w:r>
    </w:p>
    <w:p w14:paraId="7DF22EDD" w14:textId="77777777" w:rsidR="00840B2A" w:rsidRDefault="00840B2A" w:rsidP="00840B2A">
      <w:pPr>
        <w:spacing w:line="360" w:lineRule="auto"/>
        <w:jc w:val="both"/>
        <w:rPr>
          <w:rFonts w:ascii="Times New Roman" w:eastAsia="Calibri" w:hAnsi="Times New Roman" w:cs="Times New Roman"/>
        </w:rPr>
      </w:pPr>
    </w:p>
    <w:p w14:paraId="4EFCDE4D" w14:textId="284514EA" w:rsidR="0013094D" w:rsidRDefault="00840B2A" w:rsidP="00F3153E">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r w:rsidR="00AF0093">
        <w:rPr>
          <w:rFonts w:ascii="Times New Roman" w:eastAsia="Calibri" w:hAnsi="Times New Roman" w:cs="Times New Roman"/>
        </w:rPr>
        <w:t xml:space="preserve">As discussed during the proceedings of Docket UE-160082, Avista’s EVSE pilot program, </w:t>
      </w:r>
      <w:r w:rsidR="0013094D">
        <w:rPr>
          <w:rFonts w:ascii="Times New Roman" w:eastAsia="Calibri" w:hAnsi="Times New Roman" w:cs="Times New Roman"/>
        </w:rPr>
        <w:t>Avista believes it is</w:t>
      </w:r>
      <w:r w:rsidR="00AF0093">
        <w:rPr>
          <w:rFonts w:ascii="Times New Roman" w:eastAsia="Calibri" w:hAnsi="Times New Roman" w:cs="Times New Roman"/>
        </w:rPr>
        <w:t xml:space="preserve"> important to look at investments in EVSE as a program rather than individual assets.  Each different type of EVSE, home, workplace, and public (both Level 2 and </w:t>
      </w:r>
      <w:r w:rsidR="00AF0093">
        <w:rPr>
          <w:rFonts w:ascii="Times New Roman" w:eastAsia="Calibri" w:hAnsi="Times New Roman" w:cs="Times New Roman"/>
        </w:rPr>
        <w:lastRenderedPageBreak/>
        <w:t xml:space="preserve">DC Fast Charging), is necessary to enable </w:t>
      </w:r>
      <w:r w:rsidR="0013094D">
        <w:rPr>
          <w:rFonts w:ascii="Times New Roman" w:eastAsia="Calibri" w:hAnsi="Times New Roman" w:cs="Times New Roman"/>
        </w:rPr>
        <w:t xml:space="preserve">travel with </w:t>
      </w:r>
      <w:r w:rsidR="005A2764">
        <w:rPr>
          <w:rFonts w:ascii="Times New Roman" w:eastAsia="Calibri" w:hAnsi="Times New Roman" w:cs="Times New Roman"/>
        </w:rPr>
        <w:t>EVs</w:t>
      </w:r>
      <w:r w:rsidR="0013094D">
        <w:rPr>
          <w:rFonts w:ascii="Times New Roman" w:eastAsia="Calibri" w:hAnsi="Times New Roman" w:cs="Times New Roman"/>
        </w:rPr>
        <w:t xml:space="preserve"> and to support a greater adoption of </w:t>
      </w:r>
      <w:r w:rsidR="005A2764">
        <w:rPr>
          <w:rFonts w:ascii="Times New Roman" w:eastAsia="Calibri" w:hAnsi="Times New Roman" w:cs="Times New Roman"/>
        </w:rPr>
        <w:t>EV</w:t>
      </w:r>
      <w:r w:rsidR="0013094D">
        <w:rPr>
          <w:rFonts w:ascii="Times New Roman" w:eastAsia="Calibri" w:hAnsi="Times New Roman" w:cs="Times New Roman"/>
        </w:rPr>
        <w:t xml:space="preserve"> purchases.  For example, Public Level 2 and DC Fast Chargers are imperative to an EVSE program as they eliminate range anxiety for consumers when making a purchase decision.  On their own the utilization of these assets may be low for a period of time, however, without a complete EVSE infrastructure in place </w:t>
      </w:r>
      <w:r w:rsidR="005A2764">
        <w:rPr>
          <w:rFonts w:ascii="Times New Roman" w:eastAsia="Calibri" w:hAnsi="Times New Roman" w:cs="Times New Roman"/>
        </w:rPr>
        <w:t xml:space="preserve">fewer </w:t>
      </w:r>
      <w:r w:rsidR="0013094D">
        <w:rPr>
          <w:rFonts w:ascii="Times New Roman" w:eastAsia="Calibri" w:hAnsi="Times New Roman" w:cs="Times New Roman"/>
        </w:rPr>
        <w:t xml:space="preserve">people will purchase </w:t>
      </w:r>
      <w:r w:rsidR="00121FC9">
        <w:rPr>
          <w:rFonts w:ascii="Times New Roman" w:eastAsia="Calibri" w:hAnsi="Times New Roman" w:cs="Times New Roman"/>
        </w:rPr>
        <w:t>EVs</w:t>
      </w:r>
      <w:r w:rsidR="0013094D">
        <w:rPr>
          <w:rFonts w:ascii="Times New Roman" w:eastAsia="Calibri" w:hAnsi="Times New Roman" w:cs="Times New Roman"/>
        </w:rPr>
        <w:t>.</w:t>
      </w:r>
    </w:p>
    <w:p w14:paraId="55E9204A" w14:textId="77777777" w:rsidR="0013094D" w:rsidRDefault="0013094D" w:rsidP="00840B2A">
      <w:pPr>
        <w:spacing w:line="360" w:lineRule="auto"/>
        <w:ind w:left="360"/>
        <w:jc w:val="both"/>
        <w:rPr>
          <w:rFonts w:ascii="Times New Roman" w:eastAsia="Calibri" w:hAnsi="Times New Roman" w:cs="Times New Roman"/>
        </w:rPr>
      </w:pPr>
    </w:p>
    <w:p w14:paraId="6B889B6F" w14:textId="309BF630" w:rsidR="003F7181" w:rsidRDefault="005A2764" w:rsidP="00F3153E">
      <w:pPr>
        <w:spacing w:line="360" w:lineRule="auto"/>
        <w:jc w:val="both"/>
        <w:rPr>
          <w:rFonts w:ascii="Times New Roman" w:eastAsia="Calibri" w:hAnsi="Times New Roman" w:cs="Times New Roman"/>
        </w:rPr>
      </w:pPr>
      <w:r>
        <w:rPr>
          <w:rFonts w:ascii="Times New Roman" w:eastAsia="Calibri" w:hAnsi="Times New Roman" w:cs="Times New Roman"/>
        </w:rPr>
        <w:t xml:space="preserve">The </w:t>
      </w:r>
      <w:r w:rsidR="0013094D">
        <w:rPr>
          <w:rFonts w:ascii="Times New Roman" w:eastAsia="Calibri" w:hAnsi="Times New Roman" w:cs="Times New Roman"/>
        </w:rPr>
        <w:t xml:space="preserve">Commission should also consider EVSE programs beyond </w:t>
      </w:r>
      <w:r w:rsidR="00923DE1">
        <w:rPr>
          <w:rFonts w:ascii="Times New Roman" w:eastAsia="Calibri" w:hAnsi="Times New Roman" w:cs="Times New Roman"/>
        </w:rPr>
        <w:t xml:space="preserve">light-duty </w:t>
      </w:r>
      <w:r w:rsidR="0013094D">
        <w:rPr>
          <w:rFonts w:ascii="Times New Roman" w:eastAsia="Calibri" w:hAnsi="Times New Roman" w:cs="Times New Roman"/>
        </w:rPr>
        <w:t>passenger vehicles.  As discussed in the intent of House Bill 1853</w:t>
      </w:r>
      <w:r w:rsidR="00923DE1">
        <w:rPr>
          <w:rFonts w:ascii="Times New Roman" w:eastAsia="Calibri" w:hAnsi="Times New Roman" w:cs="Times New Roman"/>
        </w:rPr>
        <w:t>,</w:t>
      </w:r>
      <w:r w:rsidR="0013094D">
        <w:rPr>
          <w:rFonts w:ascii="Times New Roman" w:eastAsia="Calibri" w:hAnsi="Times New Roman" w:cs="Times New Roman"/>
        </w:rPr>
        <w:t xml:space="preserve"> transportation is the largest contributor to greenhouse gas emissions.  This includes </w:t>
      </w:r>
      <w:r w:rsidR="00B353BB">
        <w:rPr>
          <w:rFonts w:ascii="Times New Roman" w:eastAsia="Calibri" w:hAnsi="Times New Roman" w:cs="Times New Roman"/>
        </w:rPr>
        <w:t>all forms of transportation, not just passenger vehicles.  Fleet and mass transit electrification are two additional opportunities that may make sense for an electric company to pursue.</w:t>
      </w:r>
    </w:p>
    <w:p w14:paraId="72BFE862" w14:textId="77777777" w:rsidR="003F7181" w:rsidRDefault="003F7181" w:rsidP="00F3153E">
      <w:pPr>
        <w:spacing w:line="360" w:lineRule="auto"/>
        <w:jc w:val="both"/>
        <w:rPr>
          <w:rFonts w:ascii="Times New Roman" w:eastAsia="Calibri" w:hAnsi="Times New Roman" w:cs="Times New Roman"/>
        </w:rPr>
      </w:pPr>
    </w:p>
    <w:p w14:paraId="4742E991" w14:textId="5571DCA4" w:rsidR="00AF0093" w:rsidRDefault="003F7181" w:rsidP="00F3153E">
      <w:pPr>
        <w:spacing w:line="360" w:lineRule="auto"/>
        <w:jc w:val="both"/>
        <w:rPr>
          <w:rFonts w:ascii="Times New Roman" w:eastAsia="Calibri" w:hAnsi="Times New Roman" w:cs="Times New Roman"/>
        </w:rPr>
      </w:pPr>
      <w:r>
        <w:rPr>
          <w:rFonts w:ascii="Times New Roman" w:eastAsia="Calibri" w:hAnsi="Times New Roman" w:cs="Times New Roman"/>
        </w:rPr>
        <w:t>Lastly, the Commission should consider alternatives to traditional rate design when considering the</w:t>
      </w:r>
      <w:r w:rsidR="00405852">
        <w:rPr>
          <w:rFonts w:ascii="Times New Roman" w:eastAsia="Calibri" w:hAnsi="Times New Roman" w:cs="Times New Roman"/>
        </w:rPr>
        <w:t xml:space="preserve"> rates to be charged at utility-</w:t>
      </w:r>
      <w:r>
        <w:rPr>
          <w:rFonts w:ascii="Times New Roman" w:eastAsia="Calibri" w:hAnsi="Times New Roman" w:cs="Times New Roman"/>
        </w:rPr>
        <w:t xml:space="preserve">owned public EVSE.  Rates for public EVSE must be competitive with the market.  If they are not, it may impact a consumer’s purchasing decision and have the negative effect of </w:t>
      </w:r>
      <w:r w:rsidR="005A2764">
        <w:rPr>
          <w:rFonts w:ascii="Times New Roman" w:eastAsia="Calibri" w:hAnsi="Times New Roman" w:cs="Times New Roman"/>
        </w:rPr>
        <w:t xml:space="preserve">choosing </w:t>
      </w:r>
      <w:r>
        <w:rPr>
          <w:rFonts w:ascii="Times New Roman" w:eastAsia="Calibri" w:hAnsi="Times New Roman" w:cs="Times New Roman"/>
        </w:rPr>
        <w:t xml:space="preserve">their gasoline powered vehicle </w:t>
      </w:r>
      <w:r w:rsidR="00405852">
        <w:rPr>
          <w:rFonts w:ascii="Times New Roman" w:eastAsia="Calibri" w:hAnsi="Times New Roman" w:cs="Times New Roman"/>
        </w:rPr>
        <w:t>instead of an</w:t>
      </w:r>
      <w:r>
        <w:rPr>
          <w:rFonts w:ascii="Times New Roman" w:eastAsia="Calibri" w:hAnsi="Times New Roman" w:cs="Times New Roman"/>
        </w:rPr>
        <w:t xml:space="preserve"> </w:t>
      </w:r>
      <w:r w:rsidR="005A2764">
        <w:rPr>
          <w:rFonts w:ascii="Times New Roman" w:eastAsia="Calibri" w:hAnsi="Times New Roman" w:cs="Times New Roman"/>
        </w:rPr>
        <w:t>EV</w:t>
      </w:r>
      <w:r>
        <w:rPr>
          <w:rFonts w:ascii="Times New Roman" w:eastAsia="Calibri" w:hAnsi="Times New Roman" w:cs="Times New Roman"/>
        </w:rPr>
        <w:t xml:space="preserve"> for longer trips</w:t>
      </w:r>
      <w:r w:rsidR="00A576A9">
        <w:rPr>
          <w:rFonts w:ascii="Times New Roman" w:eastAsia="Calibri" w:hAnsi="Times New Roman" w:cs="Times New Roman"/>
        </w:rPr>
        <w:t>, which negates the benefit of an EVSE network</w:t>
      </w:r>
      <w:r>
        <w:rPr>
          <w:rFonts w:ascii="Times New Roman" w:eastAsia="Calibri" w:hAnsi="Times New Roman" w:cs="Times New Roman"/>
        </w:rPr>
        <w:t>.</w:t>
      </w:r>
      <w:r w:rsidR="007B392C">
        <w:rPr>
          <w:rFonts w:ascii="Times New Roman" w:eastAsia="Calibri" w:hAnsi="Times New Roman" w:cs="Times New Roman"/>
        </w:rPr>
        <w:t xml:space="preserve"> </w:t>
      </w:r>
      <w:r w:rsidR="008310F5">
        <w:rPr>
          <w:rFonts w:ascii="Times New Roman" w:eastAsia="Calibri" w:hAnsi="Times New Roman" w:cs="Times New Roman"/>
        </w:rPr>
        <w:t xml:space="preserve"> Along with the design of the rate, the Commission should consider policies or provisions that allow rates to be changed quickly to align with the market without necessarily requiring approval via a tariff filing.  For example, a banded rate design could be an option to allow utilities to adjust the rates at public EVSE within a specified range without seeking approval from the Commission each time the rate needs to be changed.</w:t>
      </w:r>
      <w:r w:rsidR="007B392C">
        <w:rPr>
          <w:rFonts w:ascii="Times New Roman" w:eastAsia="Calibri" w:hAnsi="Times New Roman" w:cs="Times New Roman"/>
        </w:rPr>
        <w:t xml:space="preserve"> </w:t>
      </w:r>
      <w:r w:rsidR="0013094D">
        <w:rPr>
          <w:rFonts w:ascii="Times New Roman" w:eastAsia="Calibri" w:hAnsi="Times New Roman" w:cs="Times New Roman"/>
        </w:rPr>
        <w:t xml:space="preserve">   </w:t>
      </w:r>
    </w:p>
    <w:p w14:paraId="6D074427" w14:textId="77777777" w:rsidR="00AF0093" w:rsidRDefault="00AF0093" w:rsidP="00AF0093">
      <w:pPr>
        <w:spacing w:line="360" w:lineRule="auto"/>
        <w:jc w:val="both"/>
        <w:rPr>
          <w:rFonts w:ascii="Times New Roman" w:eastAsia="Calibri" w:hAnsi="Times New Roman" w:cs="Times New Roman"/>
        </w:rPr>
      </w:pPr>
    </w:p>
    <w:p w14:paraId="0C2A5992" w14:textId="77777777" w:rsidR="00405852" w:rsidRDefault="00B353BB" w:rsidP="00F3153E">
      <w:pPr>
        <w:spacing w:line="360" w:lineRule="auto"/>
        <w:jc w:val="both"/>
        <w:rPr>
          <w:rFonts w:ascii="Times New Roman" w:eastAsia="Calibri" w:hAnsi="Times New Roman" w:cs="Times New Roman"/>
        </w:rPr>
      </w:pPr>
      <w:r>
        <w:rPr>
          <w:rFonts w:ascii="Times New Roman" w:eastAsia="Calibri" w:hAnsi="Times New Roman" w:cs="Times New Roman"/>
        </w:rPr>
        <w:t>House Bill 1853 and RCW 80.28.360 have directed utilities to participate in the electrification of the transportation sector in Washington because of their understanding and engineering of the electric grid.  In order to do this</w:t>
      </w:r>
      <w:r w:rsidR="00A62CE4">
        <w:rPr>
          <w:rFonts w:ascii="Times New Roman" w:eastAsia="Calibri" w:hAnsi="Times New Roman" w:cs="Times New Roman"/>
        </w:rPr>
        <w:t>,</w:t>
      </w:r>
      <w:r>
        <w:rPr>
          <w:rFonts w:ascii="Times New Roman" w:eastAsia="Calibri" w:hAnsi="Times New Roman" w:cs="Times New Roman"/>
        </w:rPr>
        <w:t xml:space="preserve"> utilities need the policy direction and support of the Commission to operate successful EVSE program</w:t>
      </w:r>
      <w:r w:rsidR="00A62CE4">
        <w:rPr>
          <w:rFonts w:ascii="Times New Roman" w:eastAsia="Calibri" w:hAnsi="Times New Roman" w:cs="Times New Roman"/>
        </w:rPr>
        <w:t>s</w:t>
      </w:r>
      <w:r>
        <w:rPr>
          <w:rFonts w:ascii="Times New Roman" w:eastAsia="Calibri" w:hAnsi="Times New Roman" w:cs="Times New Roman"/>
        </w:rPr>
        <w:t xml:space="preserve">.  </w:t>
      </w:r>
    </w:p>
    <w:p w14:paraId="233C43E1" w14:textId="5A04C3F0" w:rsidR="00405852" w:rsidRDefault="00405852" w:rsidP="00405852">
      <w:pPr>
        <w:rPr>
          <w:rFonts w:ascii="Times New Roman" w:eastAsia="Calibri" w:hAnsi="Times New Roman" w:cs="Times New Roman"/>
        </w:rPr>
      </w:pPr>
      <w:r>
        <w:rPr>
          <w:rFonts w:ascii="Times New Roman" w:eastAsia="Calibri" w:hAnsi="Times New Roman" w:cs="Times New Roman"/>
        </w:rPr>
        <w:br w:type="page"/>
      </w:r>
    </w:p>
    <w:p w14:paraId="4ACE7C43" w14:textId="6CC2A0D6" w:rsidR="00F45919" w:rsidRPr="00DA1C41" w:rsidRDefault="00F45919" w:rsidP="00405852">
      <w:pPr>
        <w:spacing w:line="360" w:lineRule="auto"/>
        <w:ind w:firstLine="720"/>
        <w:jc w:val="both"/>
        <w:rPr>
          <w:rFonts w:ascii="Times New Roman" w:hAnsi="Times New Roman" w:cs="Times New Roman"/>
        </w:rPr>
      </w:pPr>
      <w:r w:rsidRPr="0067498C">
        <w:rPr>
          <w:rFonts w:ascii="Times New Roman" w:hAnsi="Times New Roman" w:cs="Times New Roman"/>
        </w:rPr>
        <w:lastRenderedPageBreak/>
        <w:t xml:space="preserve">Avista appreciates the opportunity to provide these comments, and we look forward to participating in the workshop scheduled for </w:t>
      </w:r>
      <w:r w:rsidR="00F20848">
        <w:rPr>
          <w:rFonts w:ascii="Times New Roman" w:hAnsi="Times New Roman" w:cs="Times New Roman"/>
        </w:rPr>
        <w:t>September 13, 2016</w:t>
      </w:r>
      <w:r w:rsidRPr="0067498C">
        <w:rPr>
          <w:rFonts w:ascii="Times New Roman" w:hAnsi="Times New Roman" w:cs="Times New Roman"/>
        </w:rPr>
        <w:t>.</w:t>
      </w:r>
      <w:r w:rsidR="00DA1C41">
        <w:rPr>
          <w:rFonts w:ascii="Times New Roman" w:hAnsi="Times New Roman" w:cs="Times New Roman"/>
        </w:rPr>
        <w:t xml:space="preserve"> </w:t>
      </w:r>
      <w:r w:rsidR="00A62CE4">
        <w:rPr>
          <w:rFonts w:ascii="Times New Roman" w:hAnsi="Times New Roman" w:cs="Times New Roman"/>
        </w:rPr>
        <w:t xml:space="preserve"> </w:t>
      </w:r>
      <w:r w:rsidRPr="0067498C">
        <w:rPr>
          <w:rFonts w:ascii="Times New Roman" w:hAnsi="Times New Roman"/>
        </w:rPr>
        <w:t xml:space="preserve">If you have any questions regarding these comments, please contact </w:t>
      </w:r>
      <w:r w:rsidR="00F20848">
        <w:rPr>
          <w:rFonts w:ascii="Times New Roman" w:hAnsi="Times New Roman"/>
        </w:rPr>
        <w:t xml:space="preserve">me </w:t>
      </w:r>
      <w:r w:rsidR="00D42609">
        <w:rPr>
          <w:rFonts w:ascii="Times New Roman" w:hAnsi="Times New Roman"/>
        </w:rPr>
        <w:t>at 509-495-2782</w:t>
      </w:r>
      <w:r w:rsidR="00F20848">
        <w:rPr>
          <w:rFonts w:ascii="Times New Roman" w:hAnsi="Times New Roman"/>
        </w:rPr>
        <w:t xml:space="preserve"> or by email </w:t>
      </w:r>
      <w:r w:rsidR="00405852">
        <w:rPr>
          <w:rFonts w:ascii="Times New Roman" w:hAnsi="Times New Roman"/>
        </w:rPr>
        <w:t xml:space="preserve">provided </w:t>
      </w:r>
      <w:r w:rsidR="00F20848">
        <w:rPr>
          <w:rFonts w:ascii="Times New Roman" w:hAnsi="Times New Roman"/>
        </w:rPr>
        <w:t>below</w:t>
      </w:r>
      <w:r w:rsidR="00DA1C41">
        <w:rPr>
          <w:rFonts w:ascii="Times New Roman" w:hAnsi="Times New Roman"/>
        </w:rPr>
        <w:t>.</w:t>
      </w:r>
    </w:p>
    <w:p w14:paraId="6E81E5FC" w14:textId="77777777" w:rsidR="001B29A5" w:rsidRPr="0067498C" w:rsidRDefault="001B29A5" w:rsidP="00F45919">
      <w:pPr>
        <w:pStyle w:val="NoSpacing"/>
        <w:spacing w:line="360" w:lineRule="auto"/>
        <w:ind w:right="-270" w:firstLine="720"/>
        <w:jc w:val="both"/>
        <w:rPr>
          <w:rFonts w:ascii="Times New Roman" w:hAnsi="Times New Roman"/>
          <w:sz w:val="24"/>
          <w:szCs w:val="24"/>
        </w:rPr>
      </w:pPr>
    </w:p>
    <w:p w14:paraId="0860F7FA" w14:textId="77777777"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14:paraId="0B15D604" w14:textId="77777777" w:rsidR="00337F64" w:rsidRPr="000D15BF" w:rsidRDefault="00337F64" w:rsidP="00337F64">
      <w:pPr>
        <w:jc w:val="both"/>
        <w:rPr>
          <w:rFonts w:ascii="Times New Roman" w:hAnsi="Times New Roman" w:cs="Times New Roman"/>
        </w:rPr>
      </w:pPr>
    </w:p>
    <w:p w14:paraId="5FC000A9" w14:textId="77777777" w:rsidR="00337F64" w:rsidRPr="00F20848" w:rsidRDefault="00F20848" w:rsidP="00337F64">
      <w:pPr>
        <w:jc w:val="both"/>
        <w:rPr>
          <w:rFonts w:ascii="Brush Script MT" w:hAnsi="Brush Script MT" w:cs="Times New Roman"/>
          <w:noProof/>
          <w:sz w:val="32"/>
        </w:rPr>
      </w:pPr>
      <w:r w:rsidRPr="00F20848">
        <w:rPr>
          <w:rFonts w:ascii="Brush Script MT" w:hAnsi="Brush Script MT" w:cs="Times New Roman"/>
          <w:noProof/>
          <w:sz w:val="32"/>
        </w:rPr>
        <w:t>Shawn Bonfield</w:t>
      </w:r>
    </w:p>
    <w:p w14:paraId="63E64FD9" w14:textId="77777777" w:rsidR="00337F64" w:rsidRPr="000D15BF" w:rsidRDefault="00337F64" w:rsidP="00337F64">
      <w:pPr>
        <w:jc w:val="both"/>
        <w:rPr>
          <w:rFonts w:ascii="Times New Roman" w:hAnsi="Times New Roman" w:cs="Times New Roman"/>
        </w:rPr>
      </w:pPr>
    </w:p>
    <w:p w14:paraId="15922CB9" w14:textId="77777777" w:rsidR="00337F64" w:rsidRPr="000D15BF" w:rsidRDefault="00F20848" w:rsidP="00337F64">
      <w:pPr>
        <w:jc w:val="both"/>
        <w:rPr>
          <w:rFonts w:ascii="Times New Roman" w:hAnsi="Times New Roman" w:cs="Times New Roman"/>
        </w:rPr>
      </w:pPr>
      <w:r>
        <w:rPr>
          <w:rFonts w:ascii="Times New Roman" w:hAnsi="Times New Roman" w:cs="Times New Roman"/>
        </w:rPr>
        <w:t>Sr. Regulatory Policy Analyst</w:t>
      </w:r>
    </w:p>
    <w:p w14:paraId="23CA7679" w14:textId="77777777"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14:paraId="292FBB74" w14:textId="77777777" w:rsidR="00337F64" w:rsidRPr="00FF70D0" w:rsidRDefault="00A5470B" w:rsidP="00337F64">
      <w:pPr>
        <w:jc w:val="both"/>
        <w:rPr>
          <w:rFonts w:ascii="Times New Roman" w:hAnsi="Times New Roman" w:cs="Times New Roman"/>
          <w:lang w:val="fr-FR"/>
        </w:rPr>
      </w:pPr>
      <w:hyperlink r:id="rId12" w:history="1">
        <w:r w:rsidR="00F20848" w:rsidRPr="00C50BFA">
          <w:rPr>
            <w:rStyle w:val="Hyperlink"/>
            <w:rFonts w:ascii="Times New Roman" w:hAnsi="Times New Roman" w:cs="Times New Roman"/>
            <w:lang w:val="fr-FR"/>
          </w:rPr>
          <w:t>shawn.bonfield@avistacorp.com</w:t>
        </w:r>
      </w:hyperlink>
    </w:p>
    <w:p w14:paraId="27370D29" w14:textId="77777777" w:rsidR="00337F64" w:rsidRPr="000D15BF" w:rsidRDefault="00F20848" w:rsidP="00337F64">
      <w:pPr>
        <w:jc w:val="both"/>
        <w:rPr>
          <w:rFonts w:ascii="Times New Roman" w:hAnsi="Times New Roman" w:cs="Times New Roman"/>
          <w:lang w:val="fr-FR"/>
        </w:rPr>
      </w:pPr>
      <w:r>
        <w:rPr>
          <w:rFonts w:ascii="Times New Roman" w:hAnsi="Times New Roman" w:cs="Times New Roman"/>
          <w:lang w:val="fr-FR"/>
        </w:rPr>
        <w:t>509-495-2782</w:t>
      </w:r>
    </w:p>
    <w:p w14:paraId="0600A455" w14:textId="77777777"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3"/>
      <w:footerReference w:type="default" r:id="rId14"/>
      <w:headerReference w:type="first" r:id="rId15"/>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5F331" w14:textId="77777777" w:rsidR="00001105" w:rsidRDefault="00001105" w:rsidP="002A1126">
      <w:r>
        <w:separator/>
      </w:r>
    </w:p>
  </w:endnote>
  <w:endnote w:type="continuationSeparator" w:id="0">
    <w:p w14:paraId="508C0587" w14:textId="77777777" w:rsidR="00001105" w:rsidRDefault="00001105"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5AD2" w14:textId="77777777" w:rsidR="00A62CE4" w:rsidRDefault="00A5470B"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13</w:t>
        </w:r>
        <w:r w:rsidR="00A62CE4" w:rsidRPr="00F54081">
          <w:rPr>
            <w:rFonts w:ascii="Times New Roman" w:hAnsi="Times New Roman" w:cs="Times New Roman"/>
          </w:rPr>
          <w:fldChar w:fldCharType="end"/>
        </w:r>
      </w:sdtContent>
    </w:sdt>
  </w:p>
  <w:p w14:paraId="4E4F0686" w14:textId="77777777" w:rsidR="00A62CE4" w:rsidRDefault="00A62CE4">
    <w:pPr>
      <w:pStyle w:val="Footer"/>
      <w:pBdr>
        <w:top w:val="single" w:sz="4" w:space="1" w:color="D9D9D9" w:themeColor="background1" w:themeShade="D9"/>
      </w:pBdr>
      <w:jc w:val="right"/>
    </w:pPr>
  </w:p>
  <w:p w14:paraId="48BA3386"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3A2CE" w14:textId="77777777" w:rsidR="00001105" w:rsidRDefault="00001105" w:rsidP="002A1126">
      <w:r>
        <w:separator/>
      </w:r>
    </w:p>
  </w:footnote>
  <w:footnote w:type="continuationSeparator" w:id="0">
    <w:p w14:paraId="11B95151" w14:textId="77777777" w:rsidR="00001105" w:rsidRDefault="00001105" w:rsidP="002A1126">
      <w:r>
        <w:continuationSeparator/>
      </w:r>
    </w:p>
  </w:footnote>
  <w:footnote w:id="1">
    <w:p w14:paraId="569A3EE9" w14:textId="77777777" w:rsidR="00A62CE4" w:rsidRDefault="00A62CE4">
      <w:pPr>
        <w:pStyle w:val="FootnoteText"/>
      </w:pPr>
      <w:r>
        <w:rPr>
          <w:rStyle w:val="FootnoteReference"/>
        </w:rPr>
        <w:footnoteRef/>
      </w:r>
      <w:r>
        <w:t xml:space="preserve"> AC Level 2 chargers operate at approximately 220 volts AC (alternating current), and typically result in 11 to 22 miles of driving range gained per hour of charging.</w:t>
      </w:r>
    </w:p>
  </w:footnote>
  <w:footnote w:id="2">
    <w:p w14:paraId="766C575E" w14:textId="77777777" w:rsidR="00A62CE4" w:rsidRDefault="00A62CE4">
      <w:pPr>
        <w:pStyle w:val="FootnoteText"/>
      </w:pPr>
      <w:r>
        <w:rPr>
          <w:rStyle w:val="FootnoteReference"/>
        </w:rPr>
        <w:footnoteRef/>
      </w:r>
      <w:r>
        <w:t xml:space="preserve"> DC (direct current) fast chargers provide electricity at high voltage (usually delivering power at 50 kW or more) and typically result in total charging time as low as 15 minutes.</w:t>
      </w:r>
    </w:p>
  </w:footnote>
  <w:footnote w:id="3">
    <w:p w14:paraId="670F5194" w14:textId="7D1F9E30" w:rsidR="0074403E" w:rsidRPr="00D54BE6" w:rsidRDefault="00734C2B" w:rsidP="0074403E">
      <w:pPr>
        <w:pStyle w:val="Default"/>
        <w:rPr>
          <w:sz w:val="20"/>
          <w:szCs w:val="20"/>
        </w:rPr>
      </w:pPr>
      <w:r w:rsidRPr="00D54BE6">
        <w:rPr>
          <w:rStyle w:val="FootnoteReference"/>
          <w:sz w:val="20"/>
          <w:szCs w:val="20"/>
        </w:rPr>
        <w:footnoteRef/>
      </w:r>
      <w:r w:rsidR="0074403E" w:rsidRPr="00D54BE6">
        <w:rPr>
          <w:sz w:val="20"/>
          <w:szCs w:val="20"/>
        </w:rPr>
        <w:t>The test the Commission applies to measure prudence is</w:t>
      </w:r>
      <w:r w:rsidR="00223779">
        <w:rPr>
          <w:sz w:val="20"/>
          <w:szCs w:val="20"/>
        </w:rPr>
        <w:t>,</w:t>
      </w:r>
      <w:r w:rsidR="0074403E" w:rsidRPr="00D54BE6">
        <w:rPr>
          <w:sz w:val="20"/>
          <w:szCs w:val="20"/>
        </w:rPr>
        <w:t xml:space="preserve"> what would a reasonable board of directors and company management have decided given what they knew or reasonably should have known to be true at the time they made a decision.</w:t>
      </w:r>
      <w:r w:rsidR="0074403E" w:rsidRPr="00D54BE6">
        <w:rPr>
          <w:position w:val="8"/>
          <w:sz w:val="20"/>
          <w:szCs w:val="20"/>
          <w:vertAlign w:val="superscript"/>
        </w:rPr>
        <w:t xml:space="preserve"> </w:t>
      </w:r>
      <w:r w:rsidR="0074403E" w:rsidRPr="00D54BE6">
        <w:rPr>
          <w:sz w:val="20"/>
          <w:szCs w:val="20"/>
        </w:rPr>
        <w:t>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 Order No. 12, Docket UE-031725, Washington Utilities and Transportation Commission v. Puget Sound Energy, Inc. April 7, 2004. At page 8.</w:t>
      </w:r>
    </w:p>
    <w:p w14:paraId="426DCFA7" w14:textId="49AD1BF2" w:rsidR="00734C2B" w:rsidRDefault="0074403E">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A9D4"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1EBB" w14:textId="77777777" w:rsidR="00A62CE4" w:rsidRDefault="00A62CE4" w:rsidP="003D0502">
    <w:pPr>
      <w:pStyle w:val="Header"/>
      <w:spacing w:after="480"/>
      <w:ind w:left="-1166" w:right="-1166"/>
    </w:pPr>
    <w:r w:rsidRPr="0071027A">
      <w:rPr>
        <w:noProof/>
      </w:rPr>
      <w:drawing>
        <wp:inline distT="0" distB="0" distL="0" distR="0" wp14:anchorId="58A52448" wp14:editId="526DBA8B">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0"/>
  </w:num>
  <w:num w:numId="4">
    <w:abstractNumId w:val="15"/>
  </w:num>
  <w:num w:numId="5">
    <w:abstractNumId w:val="4"/>
  </w:num>
  <w:num w:numId="6">
    <w:abstractNumId w:val="18"/>
  </w:num>
  <w:num w:numId="7">
    <w:abstractNumId w:val="16"/>
  </w:num>
  <w:num w:numId="8">
    <w:abstractNumId w:val="22"/>
  </w:num>
  <w:num w:numId="9">
    <w:abstractNumId w:val="21"/>
  </w:num>
  <w:num w:numId="10">
    <w:abstractNumId w:val="20"/>
  </w:num>
  <w:num w:numId="11">
    <w:abstractNumId w:val="17"/>
  </w:num>
  <w:num w:numId="12">
    <w:abstractNumId w:val="6"/>
  </w:num>
  <w:num w:numId="13">
    <w:abstractNumId w:val="2"/>
  </w:num>
  <w:num w:numId="14">
    <w:abstractNumId w:val="0"/>
  </w:num>
  <w:num w:numId="15">
    <w:abstractNumId w:val="1"/>
  </w:num>
  <w:num w:numId="16">
    <w:abstractNumId w:val="12"/>
  </w:num>
  <w:num w:numId="17">
    <w:abstractNumId w:val="7"/>
  </w:num>
  <w:num w:numId="18">
    <w:abstractNumId w:val="13"/>
  </w:num>
  <w:num w:numId="19">
    <w:abstractNumId w:val="8"/>
  </w:num>
  <w:num w:numId="20">
    <w:abstractNumId w:val="5"/>
  </w:num>
  <w:num w:numId="21">
    <w:abstractNumId w:val="3"/>
  </w:num>
  <w:num w:numId="22">
    <w:abstractNumId w:val="14"/>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4D7"/>
    <w:rsid w:val="000248C6"/>
    <w:rsid w:val="00027FB7"/>
    <w:rsid w:val="000369B1"/>
    <w:rsid w:val="00047C30"/>
    <w:rsid w:val="000515D1"/>
    <w:rsid w:val="00070446"/>
    <w:rsid w:val="000749BD"/>
    <w:rsid w:val="00075F09"/>
    <w:rsid w:val="00077661"/>
    <w:rsid w:val="000829EC"/>
    <w:rsid w:val="00096744"/>
    <w:rsid w:val="000A610C"/>
    <w:rsid w:val="000A69FA"/>
    <w:rsid w:val="000A6C6F"/>
    <w:rsid w:val="000B6281"/>
    <w:rsid w:val="000C249F"/>
    <w:rsid w:val="000F350D"/>
    <w:rsid w:val="000F4873"/>
    <w:rsid w:val="00105BBC"/>
    <w:rsid w:val="00114E77"/>
    <w:rsid w:val="00121FC9"/>
    <w:rsid w:val="001223C1"/>
    <w:rsid w:val="00122E57"/>
    <w:rsid w:val="001255C2"/>
    <w:rsid w:val="0013094D"/>
    <w:rsid w:val="00142E03"/>
    <w:rsid w:val="00161957"/>
    <w:rsid w:val="00165AB5"/>
    <w:rsid w:val="00183969"/>
    <w:rsid w:val="001856CB"/>
    <w:rsid w:val="001944EB"/>
    <w:rsid w:val="0019753A"/>
    <w:rsid w:val="001A7D8F"/>
    <w:rsid w:val="001B255F"/>
    <w:rsid w:val="001B29A5"/>
    <w:rsid w:val="001B4184"/>
    <w:rsid w:val="001B459E"/>
    <w:rsid w:val="001C3F7D"/>
    <w:rsid w:val="001D273A"/>
    <w:rsid w:val="001D2DB5"/>
    <w:rsid w:val="001D4E89"/>
    <w:rsid w:val="001D5E5E"/>
    <w:rsid w:val="001E2AB9"/>
    <w:rsid w:val="001E72F0"/>
    <w:rsid w:val="001E7D9B"/>
    <w:rsid w:val="001F5FCA"/>
    <w:rsid w:val="001F60FF"/>
    <w:rsid w:val="002071FB"/>
    <w:rsid w:val="00207727"/>
    <w:rsid w:val="0022116D"/>
    <w:rsid w:val="00223779"/>
    <w:rsid w:val="00236DDB"/>
    <w:rsid w:val="0023794F"/>
    <w:rsid w:val="002433D5"/>
    <w:rsid w:val="00247995"/>
    <w:rsid w:val="0026107E"/>
    <w:rsid w:val="002664BF"/>
    <w:rsid w:val="002671D5"/>
    <w:rsid w:val="0027135F"/>
    <w:rsid w:val="00273E68"/>
    <w:rsid w:val="002756FF"/>
    <w:rsid w:val="00287463"/>
    <w:rsid w:val="00287DF2"/>
    <w:rsid w:val="002A1126"/>
    <w:rsid w:val="002B7D0E"/>
    <w:rsid w:val="002C2722"/>
    <w:rsid w:val="002C71B6"/>
    <w:rsid w:val="002D14D8"/>
    <w:rsid w:val="002D74BF"/>
    <w:rsid w:val="002E6643"/>
    <w:rsid w:val="002F218E"/>
    <w:rsid w:val="002F536E"/>
    <w:rsid w:val="00311F63"/>
    <w:rsid w:val="00313771"/>
    <w:rsid w:val="00314215"/>
    <w:rsid w:val="00321EEC"/>
    <w:rsid w:val="0032776A"/>
    <w:rsid w:val="00336A40"/>
    <w:rsid w:val="00337F64"/>
    <w:rsid w:val="00344DC2"/>
    <w:rsid w:val="0035206C"/>
    <w:rsid w:val="00355E5A"/>
    <w:rsid w:val="00367A25"/>
    <w:rsid w:val="00370CA6"/>
    <w:rsid w:val="00376A2F"/>
    <w:rsid w:val="00381CA4"/>
    <w:rsid w:val="003B16D1"/>
    <w:rsid w:val="003D0502"/>
    <w:rsid w:val="003D25E1"/>
    <w:rsid w:val="003D2B0E"/>
    <w:rsid w:val="003D3048"/>
    <w:rsid w:val="003D53A1"/>
    <w:rsid w:val="003F3678"/>
    <w:rsid w:val="003F4623"/>
    <w:rsid w:val="003F7181"/>
    <w:rsid w:val="00405852"/>
    <w:rsid w:val="00407476"/>
    <w:rsid w:val="00421E87"/>
    <w:rsid w:val="00441F4A"/>
    <w:rsid w:val="00443A3B"/>
    <w:rsid w:val="004708AF"/>
    <w:rsid w:val="004712D1"/>
    <w:rsid w:val="00477F3F"/>
    <w:rsid w:val="00485E4F"/>
    <w:rsid w:val="004913E4"/>
    <w:rsid w:val="004A2ECD"/>
    <w:rsid w:val="004A5DE1"/>
    <w:rsid w:val="004A6346"/>
    <w:rsid w:val="004B5927"/>
    <w:rsid w:val="004B7AAF"/>
    <w:rsid w:val="004C0897"/>
    <w:rsid w:val="004D1DBE"/>
    <w:rsid w:val="004E29CE"/>
    <w:rsid w:val="004E5D26"/>
    <w:rsid w:val="004F1B02"/>
    <w:rsid w:val="004F4A73"/>
    <w:rsid w:val="004F7450"/>
    <w:rsid w:val="004F7A19"/>
    <w:rsid w:val="005011E0"/>
    <w:rsid w:val="00507690"/>
    <w:rsid w:val="00525902"/>
    <w:rsid w:val="0053159B"/>
    <w:rsid w:val="005342EC"/>
    <w:rsid w:val="005343ED"/>
    <w:rsid w:val="00547E25"/>
    <w:rsid w:val="00552886"/>
    <w:rsid w:val="00561E47"/>
    <w:rsid w:val="00566AAE"/>
    <w:rsid w:val="00570699"/>
    <w:rsid w:val="00593876"/>
    <w:rsid w:val="00593ABF"/>
    <w:rsid w:val="005A2764"/>
    <w:rsid w:val="005A3212"/>
    <w:rsid w:val="005B5CF9"/>
    <w:rsid w:val="005D2CE5"/>
    <w:rsid w:val="005E44E7"/>
    <w:rsid w:val="005E7898"/>
    <w:rsid w:val="005F39C5"/>
    <w:rsid w:val="005F73A4"/>
    <w:rsid w:val="00604544"/>
    <w:rsid w:val="00604CE3"/>
    <w:rsid w:val="006071C6"/>
    <w:rsid w:val="006157BD"/>
    <w:rsid w:val="0062299D"/>
    <w:rsid w:val="00630F73"/>
    <w:rsid w:val="00646748"/>
    <w:rsid w:val="00646B6B"/>
    <w:rsid w:val="00651A83"/>
    <w:rsid w:val="0065236B"/>
    <w:rsid w:val="006568DF"/>
    <w:rsid w:val="00663BBB"/>
    <w:rsid w:val="006651BF"/>
    <w:rsid w:val="006663EA"/>
    <w:rsid w:val="006722CD"/>
    <w:rsid w:val="00672EEE"/>
    <w:rsid w:val="0067498C"/>
    <w:rsid w:val="006761C1"/>
    <w:rsid w:val="00677B8B"/>
    <w:rsid w:val="00693682"/>
    <w:rsid w:val="00694FC3"/>
    <w:rsid w:val="006952D1"/>
    <w:rsid w:val="00695A31"/>
    <w:rsid w:val="00696A33"/>
    <w:rsid w:val="006A2183"/>
    <w:rsid w:val="006A4367"/>
    <w:rsid w:val="006B353D"/>
    <w:rsid w:val="006C4729"/>
    <w:rsid w:val="006C6708"/>
    <w:rsid w:val="006C670C"/>
    <w:rsid w:val="006D47D8"/>
    <w:rsid w:val="006D6987"/>
    <w:rsid w:val="006E1080"/>
    <w:rsid w:val="006F2F2A"/>
    <w:rsid w:val="006F7A91"/>
    <w:rsid w:val="00706C17"/>
    <w:rsid w:val="00714841"/>
    <w:rsid w:val="00723985"/>
    <w:rsid w:val="00726B3F"/>
    <w:rsid w:val="0072705C"/>
    <w:rsid w:val="007316BE"/>
    <w:rsid w:val="00732BD3"/>
    <w:rsid w:val="00734B77"/>
    <w:rsid w:val="00734C2B"/>
    <w:rsid w:val="0074403E"/>
    <w:rsid w:val="00747B68"/>
    <w:rsid w:val="00756F8D"/>
    <w:rsid w:val="0075745A"/>
    <w:rsid w:val="00767B87"/>
    <w:rsid w:val="00771953"/>
    <w:rsid w:val="00781B75"/>
    <w:rsid w:val="00797CBA"/>
    <w:rsid w:val="00797D29"/>
    <w:rsid w:val="007B392C"/>
    <w:rsid w:val="007B42CD"/>
    <w:rsid w:val="007B5D52"/>
    <w:rsid w:val="007B73D2"/>
    <w:rsid w:val="007C035B"/>
    <w:rsid w:val="007C6D2C"/>
    <w:rsid w:val="007D0AB9"/>
    <w:rsid w:val="007E3FE5"/>
    <w:rsid w:val="00801F8E"/>
    <w:rsid w:val="00804EA2"/>
    <w:rsid w:val="00807809"/>
    <w:rsid w:val="008301C3"/>
    <w:rsid w:val="008310F5"/>
    <w:rsid w:val="00840B2A"/>
    <w:rsid w:val="0085158D"/>
    <w:rsid w:val="00852DF8"/>
    <w:rsid w:val="0085359E"/>
    <w:rsid w:val="00860818"/>
    <w:rsid w:val="00864A8A"/>
    <w:rsid w:val="00874769"/>
    <w:rsid w:val="00876BB7"/>
    <w:rsid w:val="00894A4C"/>
    <w:rsid w:val="008A1409"/>
    <w:rsid w:val="008A44E5"/>
    <w:rsid w:val="008A797C"/>
    <w:rsid w:val="008C0266"/>
    <w:rsid w:val="008C1322"/>
    <w:rsid w:val="008C4B2D"/>
    <w:rsid w:val="008D35B9"/>
    <w:rsid w:val="008F4868"/>
    <w:rsid w:val="008F6493"/>
    <w:rsid w:val="00923DE1"/>
    <w:rsid w:val="009434FA"/>
    <w:rsid w:val="00971839"/>
    <w:rsid w:val="0098158F"/>
    <w:rsid w:val="00995742"/>
    <w:rsid w:val="009A0D5F"/>
    <w:rsid w:val="009A756B"/>
    <w:rsid w:val="009C033C"/>
    <w:rsid w:val="009C2491"/>
    <w:rsid w:val="009C70E6"/>
    <w:rsid w:val="009F0C95"/>
    <w:rsid w:val="00A0631B"/>
    <w:rsid w:val="00A20A2E"/>
    <w:rsid w:val="00A30728"/>
    <w:rsid w:val="00A41F89"/>
    <w:rsid w:val="00A46051"/>
    <w:rsid w:val="00A5470B"/>
    <w:rsid w:val="00A56024"/>
    <w:rsid w:val="00A576A9"/>
    <w:rsid w:val="00A61203"/>
    <w:rsid w:val="00A618F4"/>
    <w:rsid w:val="00A62CE4"/>
    <w:rsid w:val="00A711C1"/>
    <w:rsid w:val="00A75F9C"/>
    <w:rsid w:val="00A87384"/>
    <w:rsid w:val="00A906F9"/>
    <w:rsid w:val="00A96FC3"/>
    <w:rsid w:val="00AA24C6"/>
    <w:rsid w:val="00AB0867"/>
    <w:rsid w:val="00AC2E91"/>
    <w:rsid w:val="00AC6759"/>
    <w:rsid w:val="00AD03B9"/>
    <w:rsid w:val="00AD24DB"/>
    <w:rsid w:val="00AD7A30"/>
    <w:rsid w:val="00AE1633"/>
    <w:rsid w:val="00AE5EB4"/>
    <w:rsid w:val="00AF0093"/>
    <w:rsid w:val="00AF347F"/>
    <w:rsid w:val="00AF3EBB"/>
    <w:rsid w:val="00B11231"/>
    <w:rsid w:val="00B156C5"/>
    <w:rsid w:val="00B1620E"/>
    <w:rsid w:val="00B219F7"/>
    <w:rsid w:val="00B353BB"/>
    <w:rsid w:val="00B367AF"/>
    <w:rsid w:val="00B3771B"/>
    <w:rsid w:val="00B42145"/>
    <w:rsid w:val="00B55D6C"/>
    <w:rsid w:val="00B616B5"/>
    <w:rsid w:val="00B61A28"/>
    <w:rsid w:val="00B65377"/>
    <w:rsid w:val="00B715E8"/>
    <w:rsid w:val="00B872D4"/>
    <w:rsid w:val="00B91DAF"/>
    <w:rsid w:val="00B91E24"/>
    <w:rsid w:val="00BA7904"/>
    <w:rsid w:val="00BC5AAA"/>
    <w:rsid w:val="00BD2677"/>
    <w:rsid w:val="00BE0F0F"/>
    <w:rsid w:val="00BE7169"/>
    <w:rsid w:val="00C06B49"/>
    <w:rsid w:val="00C150E6"/>
    <w:rsid w:val="00C15D7D"/>
    <w:rsid w:val="00C23D94"/>
    <w:rsid w:val="00C2501A"/>
    <w:rsid w:val="00C46768"/>
    <w:rsid w:val="00C51FB2"/>
    <w:rsid w:val="00C52CD3"/>
    <w:rsid w:val="00CA01B0"/>
    <w:rsid w:val="00CA0BE6"/>
    <w:rsid w:val="00CA3409"/>
    <w:rsid w:val="00CC2222"/>
    <w:rsid w:val="00CC5505"/>
    <w:rsid w:val="00CC7323"/>
    <w:rsid w:val="00CD1EAD"/>
    <w:rsid w:val="00CE0718"/>
    <w:rsid w:val="00CE384B"/>
    <w:rsid w:val="00CF1FAC"/>
    <w:rsid w:val="00CF262F"/>
    <w:rsid w:val="00CF414B"/>
    <w:rsid w:val="00D057E1"/>
    <w:rsid w:val="00D12F3E"/>
    <w:rsid w:val="00D1312E"/>
    <w:rsid w:val="00D1685E"/>
    <w:rsid w:val="00D17CED"/>
    <w:rsid w:val="00D21A6E"/>
    <w:rsid w:val="00D21F05"/>
    <w:rsid w:val="00D22D57"/>
    <w:rsid w:val="00D27283"/>
    <w:rsid w:val="00D31876"/>
    <w:rsid w:val="00D33AC5"/>
    <w:rsid w:val="00D3580E"/>
    <w:rsid w:val="00D3585F"/>
    <w:rsid w:val="00D419CE"/>
    <w:rsid w:val="00D42609"/>
    <w:rsid w:val="00D54BE6"/>
    <w:rsid w:val="00D64EBE"/>
    <w:rsid w:val="00D70AAA"/>
    <w:rsid w:val="00D86E50"/>
    <w:rsid w:val="00D92984"/>
    <w:rsid w:val="00D92B05"/>
    <w:rsid w:val="00D967E7"/>
    <w:rsid w:val="00D96E8B"/>
    <w:rsid w:val="00DA1C41"/>
    <w:rsid w:val="00DB4255"/>
    <w:rsid w:val="00DC294F"/>
    <w:rsid w:val="00DD113A"/>
    <w:rsid w:val="00DD4CB5"/>
    <w:rsid w:val="00DD6584"/>
    <w:rsid w:val="00DD7835"/>
    <w:rsid w:val="00DD7D43"/>
    <w:rsid w:val="00DE020E"/>
    <w:rsid w:val="00E0217D"/>
    <w:rsid w:val="00E15441"/>
    <w:rsid w:val="00E22827"/>
    <w:rsid w:val="00E25158"/>
    <w:rsid w:val="00E260FE"/>
    <w:rsid w:val="00E313B2"/>
    <w:rsid w:val="00E32E5D"/>
    <w:rsid w:val="00E3352F"/>
    <w:rsid w:val="00E361CE"/>
    <w:rsid w:val="00E3756F"/>
    <w:rsid w:val="00E4016E"/>
    <w:rsid w:val="00E55815"/>
    <w:rsid w:val="00E55A2B"/>
    <w:rsid w:val="00E56E77"/>
    <w:rsid w:val="00E6063E"/>
    <w:rsid w:val="00E63013"/>
    <w:rsid w:val="00E66589"/>
    <w:rsid w:val="00E72C00"/>
    <w:rsid w:val="00E75691"/>
    <w:rsid w:val="00E76057"/>
    <w:rsid w:val="00E83AF0"/>
    <w:rsid w:val="00E83CFB"/>
    <w:rsid w:val="00E86E0F"/>
    <w:rsid w:val="00EA038A"/>
    <w:rsid w:val="00EC514D"/>
    <w:rsid w:val="00ED4578"/>
    <w:rsid w:val="00EE6172"/>
    <w:rsid w:val="00EF335F"/>
    <w:rsid w:val="00F009A1"/>
    <w:rsid w:val="00F06262"/>
    <w:rsid w:val="00F12AD4"/>
    <w:rsid w:val="00F15690"/>
    <w:rsid w:val="00F204F8"/>
    <w:rsid w:val="00F20848"/>
    <w:rsid w:val="00F23345"/>
    <w:rsid w:val="00F3153E"/>
    <w:rsid w:val="00F31804"/>
    <w:rsid w:val="00F3627B"/>
    <w:rsid w:val="00F45919"/>
    <w:rsid w:val="00F47613"/>
    <w:rsid w:val="00F53A7D"/>
    <w:rsid w:val="00F54081"/>
    <w:rsid w:val="00F606FB"/>
    <w:rsid w:val="00F60820"/>
    <w:rsid w:val="00F6459F"/>
    <w:rsid w:val="00F70323"/>
    <w:rsid w:val="00F8014E"/>
    <w:rsid w:val="00F80B03"/>
    <w:rsid w:val="00F86C06"/>
    <w:rsid w:val="00F9145C"/>
    <w:rsid w:val="00F973EF"/>
    <w:rsid w:val="00F978BA"/>
    <w:rsid w:val="00FA15E0"/>
    <w:rsid w:val="00FA2FFF"/>
    <w:rsid w:val="00FB57E5"/>
    <w:rsid w:val="00FB5A32"/>
    <w:rsid w:val="00FC1D02"/>
    <w:rsid w:val="00FC2D89"/>
    <w:rsid w:val="00FD18DB"/>
    <w:rsid w:val="00FD44D5"/>
    <w:rsid w:val="00FE0CE5"/>
    <w:rsid w:val="00FE75BB"/>
    <w:rsid w:val="00FF18F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04AE2219"/>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wn.bonfield@avistacor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2016-08-16T07:00:00+00:00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FF8BD-8B36-4E28-B361-3A5106D1D2A3}"/>
</file>

<file path=customXml/itemProps2.xml><?xml version="1.0" encoding="utf-8"?>
<ds:datastoreItem xmlns:ds="http://schemas.openxmlformats.org/officeDocument/2006/customXml" ds:itemID="{9171DCB2-9BF3-458C-8FB3-34D3F599C4F9}"/>
</file>

<file path=customXml/itemProps3.xml><?xml version="1.0" encoding="utf-8"?>
<ds:datastoreItem xmlns:ds="http://schemas.openxmlformats.org/officeDocument/2006/customXml" ds:itemID="{A958CD25-6759-47E4-8B9B-4932F709EC04}"/>
</file>

<file path=customXml/itemProps4.xml><?xml version="1.0" encoding="utf-8"?>
<ds:datastoreItem xmlns:ds="http://schemas.openxmlformats.org/officeDocument/2006/customXml" ds:itemID="{C86FB62D-B6BD-454B-88E6-6433944FEFBD}"/>
</file>

<file path=customXml/itemProps5.xml><?xml version="1.0" encoding="utf-8"?>
<ds:datastoreItem xmlns:ds="http://schemas.openxmlformats.org/officeDocument/2006/customXml" ds:itemID="{FE332AA3-8A77-4364-858C-2BCE0C5C3AE3}"/>
</file>

<file path=docProps/app.xml><?xml version="1.0" encoding="utf-8"?>
<Properties xmlns="http://schemas.openxmlformats.org/officeDocument/2006/extended-properties" xmlns:vt="http://schemas.openxmlformats.org/officeDocument/2006/docPropsVTypes">
  <Template>Normal</Template>
  <TotalTime>0</TotalTime>
  <Pages>13</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2016-08-16T20:21:00Z</cp:lastPrinted>
  <dcterms:created xsi:type="dcterms:W3CDTF">2016-08-16T22:12:00Z</dcterms:created>
  <dcterms:modified xsi:type="dcterms:W3CDTF">2016-08-16T22:12:00Z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ies>
</file>