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FF" w:rsidRPr="00DC25FF" w:rsidRDefault="00DC25FF" w:rsidP="00DC25FF">
      <w:pPr>
        <w:pStyle w:val="Heading6"/>
        <w:rPr>
          <w:rFonts w:cs="Arial"/>
          <w:b w:val="0"/>
          <w:u w:val="single"/>
        </w:rPr>
      </w:pPr>
      <w:bookmarkStart w:id="0" w:name="_GoBack"/>
      <w:bookmarkEnd w:id="0"/>
      <w:r w:rsidRPr="00DC25FF">
        <w:rPr>
          <w:rFonts w:cs="Arial"/>
          <w:b w:val="0"/>
          <w:u w:val="single"/>
        </w:rPr>
        <w:t>ENERGY EXCHANGE VALUE</w:t>
      </w:r>
      <w:r w:rsidRPr="00DC25FF">
        <w:rPr>
          <w:rFonts w:cs="Arial"/>
          <w:b w:val="0"/>
        </w:rPr>
        <w:t>: (continued)</w:t>
      </w:r>
    </w:p>
    <w:p w:rsidR="00DC25FF" w:rsidRPr="00DC25FF" w:rsidRDefault="00DC25FF" w:rsidP="00DC25FF">
      <w:pPr>
        <w:pStyle w:val="Heading6"/>
        <w:rPr>
          <w:rFonts w:cs="Arial"/>
          <w:b w:val="0"/>
          <w:u w:val="single"/>
        </w:rPr>
      </w:pPr>
    </w:p>
    <w:p w:rsidR="00DC25FF" w:rsidRPr="00DC25FF" w:rsidRDefault="00DC25FF" w:rsidP="00DC25FF">
      <w:pPr>
        <w:pStyle w:val="Heading6"/>
        <w:rPr>
          <w:rFonts w:cs="Arial"/>
          <w:b w:val="0"/>
          <w:u w:val="single"/>
        </w:rPr>
      </w:pPr>
      <w:r w:rsidRPr="00DC25FF">
        <w:rPr>
          <w:rFonts w:cs="Arial"/>
          <w:b w:val="0"/>
          <w:u w:val="single"/>
        </w:rPr>
        <w:t>Hourly Credit</w:t>
      </w:r>
      <w:r w:rsidRPr="00DC25FF">
        <w:rPr>
          <w:rFonts w:cs="Arial"/>
          <w:b w:val="0"/>
        </w:rPr>
        <w:t>:</w:t>
      </w:r>
    </w:p>
    <w:p w:rsidR="00DC25FF" w:rsidRPr="00DC25FF" w:rsidRDefault="00DC25FF" w:rsidP="00DC25FF">
      <w:pPr>
        <w:ind w:left="720"/>
        <w:jc w:val="both"/>
        <w:rPr>
          <w:rFonts w:ascii="Arial" w:hAnsi="Arial" w:cs="Arial"/>
          <w:sz w:val="20"/>
        </w:rPr>
      </w:pPr>
      <w:r w:rsidRPr="00DC25FF">
        <w:rPr>
          <w:rFonts w:ascii="Arial" w:hAnsi="Arial" w:cs="Arial"/>
          <w:sz w:val="20"/>
        </w:rPr>
        <w:t>Exchange Amount (kWh) X Hourly Credit Rate = Hourly Credit</w:t>
      </w:r>
    </w:p>
    <w:p w:rsidR="00DC25FF" w:rsidRPr="00DC25FF" w:rsidRDefault="00DC25FF" w:rsidP="00DC25FF">
      <w:pPr>
        <w:ind w:left="720"/>
        <w:jc w:val="both"/>
        <w:rPr>
          <w:rFonts w:ascii="Arial" w:hAnsi="Arial" w:cs="Arial"/>
          <w:sz w:val="20"/>
        </w:rPr>
      </w:pPr>
    </w:p>
    <w:p w:rsidR="00DC25FF" w:rsidRPr="00DC25FF" w:rsidRDefault="00DC25FF" w:rsidP="00DC25FF">
      <w:pPr>
        <w:pStyle w:val="BodyTextIndent2"/>
        <w:ind w:left="0"/>
        <w:rPr>
          <w:rFonts w:cs="Arial"/>
        </w:rPr>
      </w:pPr>
      <w:r w:rsidRPr="00DC25FF">
        <w:rPr>
          <w:rFonts w:cs="Arial"/>
        </w:rPr>
        <w:tab/>
        <w:t>The Hourly Credit is the amount owed to the Customer for each hour of curtailment pledged during the Exchange Event.  The Hourly Credit is determined by multiplying the Exchange Amount by the Hourly Credit Rate.  The Hourly Credit shall not be less than zero.</w:t>
      </w:r>
    </w:p>
    <w:p w:rsidR="00DC25FF" w:rsidRPr="00DC25FF" w:rsidRDefault="00DC25FF" w:rsidP="00DC25FF">
      <w:pPr>
        <w:ind w:left="720"/>
        <w:jc w:val="both"/>
        <w:rPr>
          <w:rFonts w:ascii="Arial" w:hAnsi="Arial" w:cs="Arial"/>
          <w:sz w:val="20"/>
        </w:rPr>
      </w:pPr>
    </w:p>
    <w:p w:rsidR="00DC25FF" w:rsidRPr="00DC25FF" w:rsidRDefault="00DC25FF" w:rsidP="00DC25FF">
      <w:pPr>
        <w:pStyle w:val="Heading6"/>
        <w:rPr>
          <w:rFonts w:cs="Arial"/>
          <w:b w:val="0"/>
        </w:rPr>
      </w:pPr>
      <w:r w:rsidRPr="00DC25FF">
        <w:rPr>
          <w:rFonts w:cs="Arial"/>
          <w:b w:val="0"/>
          <w:u w:val="single"/>
        </w:rPr>
        <w:t>Exchange Credit</w:t>
      </w:r>
      <w:r w:rsidRPr="00DC25FF">
        <w:rPr>
          <w:rFonts w:cs="Arial"/>
          <w:b w:val="0"/>
        </w:rPr>
        <w:t>:</w:t>
      </w:r>
    </w:p>
    <w:p w:rsidR="00DC25FF" w:rsidRPr="00DC25FF" w:rsidRDefault="00DC25FF" w:rsidP="00DC25FF">
      <w:pPr>
        <w:pStyle w:val="BodyTextIndent3"/>
        <w:tabs>
          <w:tab w:val="clear" w:pos="5040"/>
        </w:tabs>
        <w:ind w:left="90" w:firstLine="0"/>
        <w:rPr>
          <w:rFonts w:cs="Arial"/>
        </w:rPr>
      </w:pPr>
      <w:r w:rsidRPr="00DC25FF">
        <w:rPr>
          <w:rFonts w:cs="Arial"/>
        </w:rPr>
        <w:tab/>
        <w:t>The Exchange Credit is the amount paid to the Customer for the Exchange Event and is the sum of each Hourly Credit during such event.</w:t>
      </w:r>
    </w:p>
    <w:p w:rsidR="00DC25FF" w:rsidRPr="00DC25FF" w:rsidRDefault="00DC25FF" w:rsidP="00DC25FF">
      <w:pPr>
        <w:ind w:left="720"/>
        <w:jc w:val="both"/>
        <w:rPr>
          <w:rFonts w:ascii="Arial" w:hAnsi="Arial" w:cs="Arial"/>
          <w:sz w:val="20"/>
        </w:rPr>
      </w:pPr>
    </w:p>
    <w:p w:rsidR="00DC25FF" w:rsidRPr="00DC25FF" w:rsidRDefault="00DC25FF" w:rsidP="00DC25FF">
      <w:pPr>
        <w:pStyle w:val="Heading4"/>
        <w:jc w:val="both"/>
        <w:rPr>
          <w:rFonts w:cs="Arial"/>
          <w:b w:val="0"/>
        </w:rPr>
      </w:pPr>
      <w:r w:rsidRPr="00DC25FF">
        <w:rPr>
          <w:rFonts w:cs="Arial"/>
          <w:b w:val="0"/>
        </w:rPr>
        <w:t>PAYMENTS:</w:t>
      </w:r>
    </w:p>
    <w:p w:rsidR="00DC25FF" w:rsidRPr="00DC25FF" w:rsidRDefault="00DC25FF" w:rsidP="00DC25FF">
      <w:pPr>
        <w:pStyle w:val="BodyTextIndent3"/>
        <w:ind w:left="0" w:firstLine="720"/>
        <w:rPr>
          <w:rFonts w:cs="Arial"/>
        </w:rPr>
      </w:pPr>
      <w:r w:rsidRPr="00DC25FF">
        <w:rPr>
          <w:rFonts w:cs="Arial"/>
        </w:rPr>
        <w:t>The Company will pay the Customer within 45 days of the Exchange Event.  At Company’s discretion, payment may be applied as a credit to the Customer’s Monthly Billing.</w:t>
      </w:r>
    </w:p>
    <w:p w:rsidR="00DC25FF" w:rsidRPr="00DC25FF" w:rsidRDefault="00DC25FF" w:rsidP="00DC25FF">
      <w:pPr>
        <w:ind w:left="720"/>
        <w:jc w:val="both"/>
        <w:rPr>
          <w:rFonts w:ascii="Arial" w:hAnsi="Arial" w:cs="Arial"/>
          <w:sz w:val="20"/>
        </w:rPr>
      </w:pPr>
    </w:p>
    <w:p w:rsidR="00DC25FF" w:rsidRPr="00DC25FF" w:rsidRDefault="00DC25FF" w:rsidP="00DC25FF">
      <w:pPr>
        <w:pStyle w:val="Heading4"/>
        <w:jc w:val="both"/>
        <w:rPr>
          <w:rFonts w:cs="Arial"/>
          <w:b w:val="0"/>
        </w:rPr>
      </w:pPr>
      <w:r w:rsidRPr="00DC25FF">
        <w:rPr>
          <w:rFonts w:cs="Arial"/>
          <w:b w:val="0"/>
        </w:rPr>
        <w:t>EXCHANGE AMOUNT:</w:t>
      </w:r>
    </w:p>
    <w:p w:rsidR="00DC25FF" w:rsidRPr="00DC25FF" w:rsidRDefault="00DC25FF" w:rsidP="00DC25FF">
      <w:pPr>
        <w:pStyle w:val="BodyTextIndent3"/>
        <w:ind w:left="0" w:firstLine="720"/>
        <w:rPr>
          <w:rFonts w:cs="Arial"/>
        </w:rPr>
      </w:pPr>
      <w:r w:rsidRPr="00DC25FF">
        <w:rPr>
          <w:rFonts w:cs="Arial"/>
        </w:rPr>
        <w:t>The Exchange Amount shall be the difference between the Customer’s Baseline Service Level and Customer’s measured load for each hour during the term of the Pledge Period.  The Customer’s Baseline Service Level shall be defined as the average usage for each hour during approximately fourteen typical operational days prior to the Pledge Period.  Holidays and weekends will be excluded when determining the Baseline Service Level for non-holiday weekday Exchange Events.  The Company may utilize an alternate method to determine Baseline Service Level when the Customer’s usage is highly variable or when a prior Exchange Amount has been implemented within the period used to establish a subsequent Baseline Service Level.</w:t>
      </w:r>
    </w:p>
    <w:p w:rsidR="00DC25FF" w:rsidRPr="00DC25FF" w:rsidRDefault="00DC25FF" w:rsidP="00DC25FF">
      <w:pPr>
        <w:ind w:left="720"/>
        <w:jc w:val="both"/>
        <w:rPr>
          <w:rFonts w:ascii="Arial" w:hAnsi="Arial" w:cs="Arial"/>
          <w:sz w:val="20"/>
        </w:rPr>
      </w:pPr>
    </w:p>
    <w:p w:rsidR="00DC25FF" w:rsidRPr="00DC25FF" w:rsidRDefault="00DC25FF" w:rsidP="00DC25FF">
      <w:pPr>
        <w:pStyle w:val="Heading4"/>
        <w:jc w:val="both"/>
        <w:rPr>
          <w:rFonts w:cs="Arial"/>
          <w:b w:val="0"/>
        </w:rPr>
      </w:pPr>
      <w:r w:rsidRPr="00DC25FF">
        <w:rPr>
          <w:rFonts w:cs="Arial"/>
          <w:b w:val="0"/>
        </w:rPr>
        <w:t>RATE SCHEDULE EFFECTIVE ENERGY PRICE:</w:t>
      </w:r>
    </w:p>
    <w:p w:rsidR="00257BDC" w:rsidRPr="00DC25FF" w:rsidRDefault="00DC25FF" w:rsidP="00DC25FF">
      <w:pPr>
        <w:ind w:firstLine="720"/>
        <w:rPr>
          <w:rFonts w:ascii="Arial" w:hAnsi="Arial" w:cs="Arial"/>
          <w:sz w:val="20"/>
        </w:rPr>
      </w:pPr>
      <w:r w:rsidRPr="00DC25FF">
        <w:rPr>
          <w:rFonts w:ascii="Arial" w:hAnsi="Arial" w:cs="Arial"/>
          <w:sz w:val="20"/>
        </w:rPr>
        <w:t>The Rate Schedule Effective Energy Price shall be the Energy Charge Effective Rate contained in the rate schedule under which the Customer is served.</w:t>
      </w:r>
    </w:p>
    <w:sectPr w:rsidR="00257BDC" w:rsidRPr="00DC25FF"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26" w:rsidRDefault="00E56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56A26" w:rsidRDefault="00E56A26" w:rsidP="00E56A2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56D73">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A56D73">
      <w:rPr>
        <w:rFonts w:ascii="Arial" w:hAnsi="Arial" w:cs="Arial"/>
        <w:sz w:val="20"/>
      </w:rPr>
      <w:t>June 13</w:t>
    </w:r>
    <w:r>
      <w:rPr>
        <w:rFonts w:ascii="Arial" w:hAnsi="Arial" w:cs="Arial"/>
        <w:sz w:val="20"/>
      </w:rPr>
      <w:t>, 2011</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56D73" w:rsidRDefault="00A56D73" w:rsidP="00A56D73">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26" w:rsidRDefault="00E56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26" w:rsidRDefault="00AE2C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30019" o:spid="_x0000_s10244" type="#_x0000_t136" style="position:absolute;margin-left:0;margin-top:0;width:715.5pt;height:134.25pt;rotation:315;z-index:-251637760;mso-position-horizontal:center;mso-position-horizontal-relative:margin;mso-position-vertical:center;mso-position-vertical-relative:margin" o:allowincell="f" fillcolor="#7f7f7f [1612]" stroked="f">
          <v:textpath style="font-family:&quot;TIMES&quot;;font-size:120pt" string="CANCEL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E3792C" w:rsidRDefault="00AE2CF3" w:rsidP="00E3792C">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30020" o:spid="_x0000_s10245" type="#_x0000_t136" style="position:absolute;margin-left:0;margin-top:0;width:715.5pt;height:134.25pt;rotation:315;z-index:-251635712;mso-position-horizontal:center;mso-position-horizontal-relative:margin;mso-position-vertical:center;mso-position-vertical-relative:margin" o:allowincell="f" fillcolor="#7f7f7f [1612]" stroked="f">
          <v:textpath style="font-family:&quot;TIMES&quot;;font-size:120pt" string="CANCELLED"/>
        </v:shape>
      </w:pict>
    </w: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E3792C">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257BDC">
      <w:rPr>
        <w:rFonts w:ascii="Arial" w:hAnsi="Arial" w:cs="Arial"/>
        <w:sz w:val="20"/>
      </w:rPr>
      <w:t xml:space="preserve"> No. 71</w:t>
    </w:r>
    <w:r w:rsidR="00162DE3">
      <w:rPr>
        <w:rFonts w:ascii="Arial" w:hAnsi="Arial" w:cs="Arial"/>
        <w:sz w:val="20"/>
      </w:rPr>
      <w:t>.</w:t>
    </w:r>
    <w:r w:rsidR="00DC25FF">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257BDC" w:rsidP="00A91A21">
    <w:pPr>
      <w:tabs>
        <w:tab w:val="left" w:pos="7200"/>
      </w:tabs>
      <w:ind w:right="2160"/>
      <w:rPr>
        <w:rFonts w:ascii="Arial" w:hAnsi="Arial" w:cs="Arial"/>
        <w:b/>
        <w:sz w:val="24"/>
        <w:szCs w:val="24"/>
      </w:rPr>
    </w:pPr>
    <w:r>
      <w:rPr>
        <w:rFonts w:ascii="Arial" w:hAnsi="Arial" w:cs="Arial"/>
        <w:b/>
        <w:sz w:val="24"/>
        <w:szCs w:val="24"/>
      </w:rPr>
      <w:t>Schedule 71</w:t>
    </w:r>
  </w:p>
  <w:p w:rsidR="003960AD" w:rsidRDefault="00257BDC" w:rsidP="00A91A21">
    <w:pPr>
      <w:pBdr>
        <w:bottom w:val="single" w:sz="12" w:space="1" w:color="auto"/>
      </w:pBdr>
      <w:rPr>
        <w:rFonts w:ascii="Arial" w:hAnsi="Arial" w:cs="Arial"/>
        <w:b/>
        <w:sz w:val="20"/>
      </w:rPr>
    </w:pPr>
    <w:r>
      <w:rPr>
        <w:rFonts w:ascii="Arial" w:hAnsi="Arial" w:cs="Arial"/>
        <w:b/>
        <w:sz w:val="20"/>
      </w:rPr>
      <w:t>ENERGY EXCHANGE PROGRAM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26" w:rsidRDefault="00AE2C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30018" o:spid="_x0000_s10243" type="#_x0000_t136" style="position:absolute;margin-left:0;margin-top:0;width:715.5pt;height:134.25pt;rotation:315;z-index:-251639808;mso-position-horizontal:center;mso-position-horizontal-relative:margin;mso-position-vertical:center;mso-position-vertical-relative:margin" o:allowincell="f" fillcolor="#7f7f7f [1612]" stroked="f">
          <v:textpath style="font-family:&quot;TIMES&quot;;font-size:120pt" string="CANCEL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64C7E"/>
    <w:rsid w:val="00490AF3"/>
    <w:rsid w:val="004A30F3"/>
    <w:rsid w:val="004A52F7"/>
    <w:rsid w:val="004B1617"/>
    <w:rsid w:val="004C5FE8"/>
    <w:rsid w:val="00534D32"/>
    <w:rsid w:val="005369F8"/>
    <w:rsid w:val="00546A05"/>
    <w:rsid w:val="00555712"/>
    <w:rsid w:val="00564506"/>
    <w:rsid w:val="00577682"/>
    <w:rsid w:val="00580EC3"/>
    <w:rsid w:val="00583749"/>
    <w:rsid w:val="00590227"/>
    <w:rsid w:val="005A1156"/>
    <w:rsid w:val="005C397C"/>
    <w:rsid w:val="005E008E"/>
    <w:rsid w:val="005E29DE"/>
    <w:rsid w:val="005F64B9"/>
    <w:rsid w:val="005F7880"/>
    <w:rsid w:val="00622B69"/>
    <w:rsid w:val="006638F3"/>
    <w:rsid w:val="00683DDC"/>
    <w:rsid w:val="0068713C"/>
    <w:rsid w:val="006A266F"/>
    <w:rsid w:val="006E1287"/>
    <w:rsid w:val="006E424F"/>
    <w:rsid w:val="00710518"/>
    <w:rsid w:val="00716B4A"/>
    <w:rsid w:val="0072316D"/>
    <w:rsid w:val="007504BF"/>
    <w:rsid w:val="0077488B"/>
    <w:rsid w:val="007854E0"/>
    <w:rsid w:val="00790CE2"/>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3BE6"/>
    <w:rsid w:val="00920A5D"/>
    <w:rsid w:val="009421D3"/>
    <w:rsid w:val="009B1635"/>
    <w:rsid w:val="009B59D6"/>
    <w:rsid w:val="009E0C82"/>
    <w:rsid w:val="00A068E1"/>
    <w:rsid w:val="00A261ED"/>
    <w:rsid w:val="00A43A23"/>
    <w:rsid w:val="00A56D73"/>
    <w:rsid w:val="00A84ABB"/>
    <w:rsid w:val="00A91A21"/>
    <w:rsid w:val="00AA4FC3"/>
    <w:rsid w:val="00AA6EAF"/>
    <w:rsid w:val="00AD4335"/>
    <w:rsid w:val="00AE07BB"/>
    <w:rsid w:val="00AE0A76"/>
    <w:rsid w:val="00AE1E9E"/>
    <w:rsid w:val="00AE2CF3"/>
    <w:rsid w:val="00AE4288"/>
    <w:rsid w:val="00AE7611"/>
    <w:rsid w:val="00AF0EAC"/>
    <w:rsid w:val="00B14270"/>
    <w:rsid w:val="00B20EEB"/>
    <w:rsid w:val="00B43CBE"/>
    <w:rsid w:val="00B54432"/>
    <w:rsid w:val="00B62CA7"/>
    <w:rsid w:val="00B64140"/>
    <w:rsid w:val="00B8202C"/>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C25FF"/>
    <w:rsid w:val="00DE2657"/>
    <w:rsid w:val="00DE409D"/>
    <w:rsid w:val="00E13A5F"/>
    <w:rsid w:val="00E1466C"/>
    <w:rsid w:val="00E3792C"/>
    <w:rsid w:val="00E44254"/>
    <w:rsid w:val="00E52C0F"/>
    <w:rsid w:val="00E53EC5"/>
    <w:rsid w:val="00E56A26"/>
    <w:rsid w:val="00E84454"/>
    <w:rsid w:val="00E86C83"/>
    <w:rsid w:val="00EE629E"/>
    <w:rsid w:val="00EF6074"/>
    <w:rsid w:val="00F07160"/>
    <w:rsid w:val="00F30DDC"/>
    <w:rsid w:val="00F3756B"/>
    <w:rsid w:val="00F50525"/>
    <w:rsid w:val="00F528E2"/>
    <w:rsid w:val="00F66F8A"/>
    <w:rsid w:val="00FB35B6"/>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5214">
      <w:bodyDiv w:val="1"/>
      <w:marLeft w:val="0"/>
      <w:marRight w:val="0"/>
      <w:marTop w:val="0"/>
      <w:marBottom w:val="0"/>
      <w:divBdr>
        <w:top w:val="none" w:sz="0" w:space="0" w:color="auto"/>
        <w:left w:val="none" w:sz="0" w:space="0" w:color="auto"/>
        <w:bottom w:val="none" w:sz="0" w:space="0" w:color="auto"/>
        <w:right w:val="none" w:sz="0" w:space="0" w:color="auto"/>
      </w:divBdr>
    </w:div>
    <w:div w:id="10153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18EB9-CF36-4B48-B72E-D4429510EF08}"/>
</file>

<file path=customXml/itemProps2.xml><?xml version="1.0" encoding="utf-8"?>
<ds:datastoreItem xmlns:ds="http://schemas.openxmlformats.org/officeDocument/2006/customXml" ds:itemID="{0F5A186B-2D8F-4F9F-B58E-705E5ED7B0EC}"/>
</file>

<file path=customXml/itemProps3.xml><?xml version="1.0" encoding="utf-8"?>
<ds:datastoreItem xmlns:ds="http://schemas.openxmlformats.org/officeDocument/2006/customXml" ds:itemID="{5BDA249C-6C3F-414F-BB8D-C1717F620518}"/>
</file>

<file path=customXml/itemProps4.xml><?xml version="1.0" encoding="utf-8"?>
<ds:datastoreItem xmlns:ds="http://schemas.openxmlformats.org/officeDocument/2006/customXml" ds:itemID="{493C3876-3829-483D-AF25-4C95CCF5FDE4}"/>
</file>

<file path=customXml/itemProps5.xml><?xml version="1.0" encoding="utf-8"?>
<ds:datastoreItem xmlns:ds="http://schemas.openxmlformats.org/officeDocument/2006/customXml" ds:itemID="{4CE4F050-75DC-4C67-B7F5-0B152D5ECEC7}"/>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AEissler</cp:lastModifiedBy>
  <cp:revision>7</cp:revision>
  <cp:lastPrinted>2015-11-19T23:22:00Z</cp:lastPrinted>
  <dcterms:created xsi:type="dcterms:W3CDTF">2011-04-12T21:41:00Z</dcterms:created>
  <dcterms:modified xsi:type="dcterms:W3CDTF">2015-11-19T23:22:00Z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0x0101006E56B4D1795A2E4DB2F0B01679ED314A003A31E8B196AE2640BE2D63F81E7EF8BB</vt:lpwstr>
  </property>
  <property fmtid="{D5CDD505-2E9C-101B-9397-08002B2CF9AE}" pid="3" name="_docset_NoMedatataSyncRequired">
    <vt:lpwstr>False</vt:lpwstr>
  </property>
</Properties>
</file>