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8F" w:rsidRPr="00647E55" w:rsidRDefault="00D0390D" w:rsidP="006606D8">
      <w:pPr>
        <w:rPr>
          <w:rFonts w:ascii="Times New Roman" w:hAnsi="Times New Roman"/>
          <w:szCs w:val="24"/>
        </w:rPr>
        <w:sectPr w:rsidR="008A048F" w:rsidRPr="00647E55" w:rsidSect="006606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  <w:r w:rsidRPr="00647E55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 wp14:anchorId="614F082D" wp14:editId="2FF983EF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06D8" w:rsidRPr="0015463D" w:rsidRDefault="006606D8" w:rsidP="00647E55">
      <w:pPr>
        <w:rPr>
          <w:rFonts w:ascii="Times New Roman" w:hAnsi="Times New Roman"/>
          <w:szCs w:val="24"/>
        </w:rPr>
      </w:pPr>
    </w:p>
    <w:p w:rsidR="00964072" w:rsidRPr="00647E55" w:rsidRDefault="001F5AAF" w:rsidP="00647E5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November 19</w:t>
      </w:r>
      <w:r w:rsidR="00D4307C">
        <w:rPr>
          <w:rFonts w:ascii="Times New Roman" w:hAnsi="Times New Roman"/>
          <w:szCs w:val="24"/>
        </w:rPr>
        <w:t xml:space="preserve">, </w:t>
      </w:r>
      <w:r w:rsidR="007F2B60" w:rsidRPr="00647E55">
        <w:rPr>
          <w:rFonts w:ascii="Times New Roman" w:hAnsi="Times New Roman"/>
          <w:szCs w:val="24"/>
        </w:rPr>
        <w:t xml:space="preserve">2015 </w:t>
      </w:r>
    </w:p>
    <w:p w:rsidR="00964072" w:rsidRPr="00647E55" w:rsidRDefault="00964072" w:rsidP="00647E55">
      <w:pPr>
        <w:rPr>
          <w:rFonts w:ascii="Times New Roman" w:hAnsi="Times New Roman"/>
          <w:szCs w:val="24"/>
        </w:rPr>
      </w:pPr>
    </w:p>
    <w:p w:rsidR="00964072" w:rsidRPr="00647E55" w:rsidRDefault="00964072" w:rsidP="00647E55">
      <w:pPr>
        <w:rPr>
          <w:rFonts w:ascii="Times New Roman" w:hAnsi="Times New Roman"/>
          <w:b/>
          <w:bCs/>
          <w:i/>
          <w:iCs/>
          <w:szCs w:val="24"/>
        </w:rPr>
      </w:pPr>
      <w:smartTag w:uri="urn:schemas-microsoft-com:office:smarttags" w:element="stockticker">
        <w:r w:rsidRPr="00647E55">
          <w:rPr>
            <w:rFonts w:ascii="Times New Roman" w:hAnsi="Times New Roman"/>
            <w:b/>
            <w:bCs/>
            <w:i/>
            <w:iCs/>
            <w:szCs w:val="24"/>
          </w:rPr>
          <w:t>VIA</w:t>
        </w:r>
      </w:smartTag>
      <w:r w:rsidRPr="00647E55">
        <w:rPr>
          <w:rFonts w:ascii="Times New Roman" w:hAnsi="Times New Roman"/>
          <w:b/>
          <w:bCs/>
          <w:i/>
          <w:iCs/>
          <w:szCs w:val="24"/>
        </w:rPr>
        <w:t xml:space="preserve"> ELECTRONIC FILING</w:t>
      </w:r>
    </w:p>
    <w:p w:rsidR="00964072" w:rsidRPr="00290F35" w:rsidRDefault="00964072" w:rsidP="00647E55">
      <w:pPr>
        <w:rPr>
          <w:rFonts w:ascii="Times New Roman" w:hAnsi="Times New Roman"/>
          <w:szCs w:val="24"/>
        </w:rPr>
      </w:pPr>
    </w:p>
    <w:p w:rsidR="006606D8" w:rsidRPr="006606D8" w:rsidRDefault="006606D8" w:rsidP="0015463D">
      <w:pPr>
        <w:rPr>
          <w:rFonts w:ascii="Times New Roman" w:hAnsi="Times New Roman"/>
          <w:szCs w:val="24"/>
        </w:rPr>
      </w:pPr>
      <w:r w:rsidRPr="006606D8">
        <w:rPr>
          <w:rFonts w:ascii="Times New Roman" w:hAnsi="Times New Roman"/>
          <w:szCs w:val="24"/>
        </w:rPr>
        <w:t>Steven V. King</w:t>
      </w:r>
    </w:p>
    <w:p w:rsidR="006606D8" w:rsidRPr="006606D8" w:rsidRDefault="006606D8">
      <w:pPr>
        <w:rPr>
          <w:rFonts w:ascii="Times New Roman" w:hAnsi="Times New Roman"/>
          <w:szCs w:val="24"/>
        </w:rPr>
      </w:pPr>
      <w:r w:rsidRPr="006606D8">
        <w:rPr>
          <w:rFonts w:ascii="Times New Roman" w:hAnsi="Times New Roman"/>
          <w:szCs w:val="24"/>
        </w:rPr>
        <w:t>Executive Director and Secretary</w:t>
      </w:r>
    </w:p>
    <w:p w:rsidR="006606D8" w:rsidRPr="006606D8" w:rsidRDefault="006606D8">
      <w:pPr>
        <w:rPr>
          <w:rFonts w:ascii="Times New Roman" w:hAnsi="Times New Roman"/>
          <w:szCs w:val="24"/>
        </w:rPr>
      </w:pPr>
      <w:r w:rsidRPr="006606D8">
        <w:rPr>
          <w:rFonts w:ascii="Times New Roman" w:hAnsi="Times New Roman"/>
          <w:szCs w:val="24"/>
        </w:rPr>
        <w:t>Washington Utilities and Transportation Commission</w:t>
      </w:r>
    </w:p>
    <w:p w:rsidR="006606D8" w:rsidRPr="006606D8" w:rsidRDefault="006606D8">
      <w:pPr>
        <w:rPr>
          <w:rFonts w:ascii="Times New Roman" w:hAnsi="Times New Roman"/>
          <w:szCs w:val="24"/>
        </w:rPr>
      </w:pPr>
      <w:r w:rsidRPr="006606D8">
        <w:rPr>
          <w:rFonts w:ascii="Times New Roman" w:hAnsi="Times New Roman"/>
          <w:szCs w:val="24"/>
        </w:rPr>
        <w:t>1300 S. Evergreen Park Drive SW</w:t>
      </w:r>
    </w:p>
    <w:p w:rsidR="006606D8" w:rsidRPr="006606D8" w:rsidRDefault="006606D8">
      <w:pPr>
        <w:rPr>
          <w:rFonts w:ascii="Times New Roman" w:hAnsi="Times New Roman"/>
          <w:szCs w:val="24"/>
        </w:rPr>
      </w:pPr>
      <w:r w:rsidRPr="006606D8">
        <w:rPr>
          <w:rFonts w:ascii="Times New Roman" w:hAnsi="Times New Roman"/>
          <w:szCs w:val="24"/>
        </w:rPr>
        <w:t>PO Box 47250</w:t>
      </w:r>
    </w:p>
    <w:p w:rsidR="006606D8" w:rsidRPr="006606D8" w:rsidRDefault="006606D8">
      <w:pPr>
        <w:rPr>
          <w:rFonts w:ascii="Times New Roman" w:hAnsi="Times New Roman"/>
          <w:szCs w:val="24"/>
        </w:rPr>
      </w:pPr>
      <w:r w:rsidRPr="006606D8">
        <w:rPr>
          <w:rFonts w:ascii="Times New Roman" w:hAnsi="Times New Roman"/>
          <w:szCs w:val="24"/>
        </w:rPr>
        <w:t>Olympia, WA  98504 – 7250</w:t>
      </w:r>
    </w:p>
    <w:p w:rsidR="00FF7F41" w:rsidRPr="006606D8" w:rsidRDefault="00FF7F41" w:rsidP="00647E55">
      <w:pPr>
        <w:ind w:left="1440" w:hanging="1440"/>
        <w:rPr>
          <w:rFonts w:ascii="Times New Roman" w:hAnsi="Times New Roman"/>
          <w:szCs w:val="24"/>
        </w:rPr>
      </w:pPr>
    </w:p>
    <w:p w:rsidR="00FF7F41" w:rsidRPr="00647E55" w:rsidRDefault="00964072" w:rsidP="00647E55">
      <w:pPr>
        <w:ind w:left="720" w:hanging="720"/>
        <w:rPr>
          <w:rFonts w:ascii="Times New Roman" w:hAnsi="Times New Roman"/>
          <w:b/>
          <w:szCs w:val="24"/>
        </w:rPr>
      </w:pPr>
      <w:r w:rsidRPr="00647E55">
        <w:rPr>
          <w:rFonts w:ascii="Times New Roman" w:hAnsi="Times New Roman"/>
          <w:b/>
          <w:szCs w:val="24"/>
        </w:rPr>
        <w:t>RE:</w:t>
      </w:r>
      <w:r w:rsidR="006606D8" w:rsidRPr="0015463D">
        <w:rPr>
          <w:rFonts w:ascii="Times New Roman" w:hAnsi="Times New Roman"/>
          <w:b/>
          <w:szCs w:val="24"/>
        </w:rPr>
        <w:tab/>
      </w:r>
      <w:r w:rsidR="00EA6726">
        <w:rPr>
          <w:rFonts w:ascii="Times New Roman" w:hAnsi="Times New Roman"/>
          <w:b/>
          <w:szCs w:val="24"/>
        </w:rPr>
        <w:t>Advice 15-04</w:t>
      </w:r>
      <w:r w:rsidR="006606D8" w:rsidRPr="00647E55">
        <w:rPr>
          <w:rFonts w:ascii="Times New Roman" w:hAnsi="Times New Roman"/>
          <w:b/>
          <w:szCs w:val="24"/>
        </w:rPr>
        <w:t>—Schedule 107—Refrigerator Recycl</w:t>
      </w:r>
      <w:r w:rsidR="002C1713">
        <w:rPr>
          <w:rFonts w:ascii="Times New Roman" w:hAnsi="Times New Roman"/>
          <w:b/>
          <w:szCs w:val="24"/>
        </w:rPr>
        <w:t xml:space="preserve">ing </w:t>
      </w:r>
      <w:r w:rsidR="006606D8" w:rsidRPr="00647E55">
        <w:rPr>
          <w:rFonts w:ascii="Times New Roman" w:hAnsi="Times New Roman"/>
          <w:b/>
          <w:szCs w:val="24"/>
        </w:rPr>
        <w:t>Program Service Optional for Qualifying Customers</w:t>
      </w:r>
    </w:p>
    <w:p w:rsidR="00FF7F41" w:rsidRPr="00647E55" w:rsidRDefault="00FF7F41" w:rsidP="00647E55">
      <w:pPr>
        <w:rPr>
          <w:rFonts w:ascii="Times New Roman" w:hAnsi="Times New Roman"/>
          <w:b/>
          <w:szCs w:val="24"/>
        </w:rPr>
      </w:pPr>
    </w:p>
    <w:p w:rsidR="0027628C" w:rsidRDefault="0083036E" w:rsidP="0027628C">
      <w:pPr>
        <w:contextualSpacing/>
        <w:rPr>
          <w:rFonts w:ascii="Times New Roman" w:hAnsi="Times New Roman"/>
          <w:szCs w:val="24"/>
        </w:rPr>
      </w:pPr>
      <w:r w:rsidRPr="00647E55">
        <w:rPr>
          <w:rFonts w:ascii="Times New Roman" w:hAnsi="Times New Roman"/>
          <w:szCs w:val="24"/>
        </w:rPr>
        <w:t xml:space="preserve">Pacific Power &amp; </w:t>
      </w:r>
      <w:r w:rsidRPr="0027628C">
        <w:rPr>
          <w:rFonts w:ascii="Times New Roman" w:hAnsi="Times New Roman"/>
          <w:szCs w:val="24"/>
        </w:rPr>
        <w:t>Light Company, a division of PacifiCorp</w:t>
      </w:r>
      <w:r w:rsidR="006606D8" w:rsidRPr="0027628C">
        <w:rPr>
          <w:rFonts w:ascii="Times New Roman" w:hAnsi="Times New Roman"/>
          <w:szCs w:val="24"/>
        </w:rPr>
        <w:t xml:space="preserve"> (Pacific Power or Company)</w:t>
      </w:r>
      <w:r w:rsidRPr="0027628C">
        <w:rPr>
          <w:rFonts w:ascii="Times New Roman" w:hAnsi="Times New Roman"/>
          <w:szCs w:val="24"/>
        </w:rPr>
        <w:t xml:space="preserve">, submits </w:t>
      </w:r>
      <w:r w:rsidR="0027628C">
        <w:rPr>
          <w:rFonts w:ascii="Times New Roman" w:hAnsi="Times New Roman"/>
          <w:szCs w:val="24"/>
        </w:rPr>
        <w:t>this advice filing to cancel the</w:t>
      </w:r>
      <w:r w:rsidR="00290F35" w:rsidRPr="0027628C">
        <w:rPr>
          <w:rFonts w:ascii="Times New Roman" w:hAnsi="Times New Roman"/>
          <w:szCs w:val="24"/>
        </w:rPr>
        <w:t xml:space="preserve"> following tariff sheet</w:t>
      </w:r>
      <w:r w:rsidR="006606D8" w:rsidRPr="0027628C">
        <w:rPr>
          <w:rFonts w:ascii="Times New Roman" w:hAnsi="Times New Roman"/>
          <w:szCs w:val="24"/>
        </w:rPr>
        <w:t xml:space="preserve"> in accordance with</w:t>
      </w:r>
      <w:r w:rsidRPr="0027628C">
        <w:rPr>
          <w:rFonts w:ascii="Times New Roman" w:hAnsi="Times New Roman"/>
          <w:szCs w:val="24"/>
        </w:rPr>
        <w:t xml:space="preserve"> RCW 80.28.050</w:t>
      </w:r>
      <w:r w:rsidR="00290F35" w:rsidRPr="0027628C">
        <w:rPr>
          <w:rFonts w:ascii="Times New Roman" w:hAnsi="Times New Roman"/>
          <w:szCs w:val="24"/>
        </w:rPr>
        <w:t xml:space="preserve"> and WAC chapter 480-80</w:t>
      </w:r>
      <w:r w:rsidR="00981127" w:rsidRPr="0027628C">
        <w:rPr>
          <w:rFonts w:ascii="Times New Roman" w:hAnsi="Times New Roman"/>
          <w:szCs w:val="24"/>
        </w:rPr>
        <w:t>.</w:t>
      </w:r>
      <w:r w:rsidRPr="00647E55">
        <w:rPr>
          <w:rFonts w:ascii="Times New Roman" w:hAnsi="Times New Roman"/>
          <w:szCs w:val="24"/>
        </w:rPr>
        <w:t xml:space="preserve"> </w:t>
      </w:r>
      <w:r w:rsidR="006402E8">
        <w:rPr>
          <w:rFonts w:ascii="Times New Roman" w:hAnsi="Times New Roman"/>
          <w:szCs w:val="24"/>
        </w:rPr>
        <w:t xml:space="preserve"> </w:t>
      </w:r>
      <w:r w:rsidR="0027628C" w:rsidRPr="00012307">
        <w:rPr>
          <w:rFonts w:ascii="Times New Roman" w:hAnsi="Times New Roman"/>
          <w:szCs w:val="24"/>
        </w:rPr>
        <w:t>The Company respectfully requests an effective date of January 1, 2016.</w:t>
      </w:r>
    </w:p>
    <w:p w:rsidR="005E0503" w:rsidRDefault="005E0503" w:rsidP="0027628C">
      <w:pPr>
        <w:contextualSpacing/>
        <w:rPr>
          <w:rFonts w:ascii="Times New Roman" w:hAnsi="Times New Roman"/>
          <w:szCs w:val="24"/>
        </w:rPr>
      </w:pPr>
    </w:p>
    <w:tbl>
      <w:tblPr>
        <w:tblStyle w:val="TableGrid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1530"/>
        <w:gridCol w:w="3330"/>
      </w:tblGrid>
      <w:tr w:rsidR="005E0503" w:rsidRPr="005E52F0" w:rsidTr="005E0503">
        <w:trPr>
          <w:trHeight w:val="333"/>
        </w:trPr>
        <w:tc>
          <w:tcPr>
            <w:tcW w:w="4680" w:type="dxa"/>
          </w:tcPr>
          <w:p w:rsidR="005E0503" w:rsidRPr="00992A85" w:rsidRDefault="005E0503" w:rsidP="00794103">
            <w:pPr>
              <w:ind w:left="-108"/>
              <w:rPr>
                <w:rFonts w:ascii="Times New Roman" w:hAnsi="Times New Roman"/>
                <w:szCs w:val="24"/>
              </w:rPr>
            </w:pPr>
            <w:r w:rsidRPr="00992A85">
              <w:rPr>
                <w:rFonts w:ascii="Times New Roman" w:hAnsi="Times New Roman"/>
                <w:szCs w:val="24"/>
              </w:rPr>
              <w:t>Eighth Revision of Sheet No. INDEX.3</w:t>
            </w:r>
          </w:p>
        </w:tc>
        <w:tc>
          <w:tcPr>
            <w:tcW w:w="1530" w:type="dxa"/>
          </w:tcPr>
          <w:p w:rsidR="005E0503" w:rsidRPr="005E52F0" w:rsidRDefault="005E0503" w:rsidP="0079410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30" w:type="dxa"/>
          </w:tcPr>
          <w:p w:rsidR="005E0503" w:rsidRDefault="005E0503" w:rsidP="0079410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Tariff Index</w:t>
            </w:r>
          </w:p>
        </w:tc>
      </w:tr>
      <w:tr w:rsidR="006402E8" w:rsidRPr="005E52F0" w:rsidTr="00647E55">
        <w:trPr>
          <w:trHeight w:val="458"/>
        </w:trPr>
        <w:tc>
          <w:tcPr>
            <w:tcW w:w="4680" w:type="dxa"/>
          </w:tcPr>
          <w:p w:rsidR="00981127" w:rsidRPr="005E52F0" w:rsidRDefault="00981127" w:rsidP="000A3FD3">
            <w:pPr>
              <w:ind w:left="-108"/>
              <w:rPr>
                <w:rFonts w:ascii="Times New Roman" w:hAnsi="Times New Roman"/>
                <w:szCs w:val="24"/>
              </w:rPr>
            </w:pPr>
            <w:r w:rsidRPr="00647E55">
              <w:rPr>
                <w:rFonts w:ascii="Times New Roman" w:hAnsi="Times New Roman"/>
                <w:b/>
                <w:szCs w:val="24"/>
                <w:u w:val="single"/>
              </w:rPr>
              <w:t>CANCEL</w:t>
            </w:r>
            <w:r w:rsidR="006402E8">
              <w:rPr>
                <w:rFonts w:ascii="Times New Roman" w:hAnsi="Times New Roman"/>
                <w:szCs w:val="24"/>
              </w:rPr>
              <w:t xml:space="preserve"> Second Revision to Sheet No. 107.1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981127" w:rsidRPr="005E52F0" w:rsidRDefault="00981127" w:rsidP="000A3FD3">
            <w:pPr>
              <w:rPr>
                <w:rFonts w:ascii="Times New Roman" w:hAnsi="Times New Roman"/>
                <w:szCs w:val="24"/>
              </w:rPr>
            </w:pPr>
            <w:r w:rsidRPr="005E52F0">
              <w:rPr>
                <w:rFonts w:ascii="Times New Roman" w:hAnsi="Times New Roman"/>
                <w:szCs w:val="24"/>
              </w:rPr>
              <w:t xml:space="preserve">Schedule </w:t>
            </w:r>
            <w:r w:rsidR="006402E8">
              <w:rPr>
                <w:rFonts w:ascii="Times New Roman" w:hAnsi="Times New Roman"/>
                <w:szCs w:val="24"/>
              </w:rPr>
              <w:t>107</w:t>
            </w:r>
          </w:p>
        </w:tc>
        <w:tc>
          <w:tcPr>
            <w:tcW w:w="3330" w:type="dxa"/>
          </w:tcPr>
          <w:p w:rsidR="00981127" w:rsidRPr="005E52F0" w:rsidRDefault="006402E8" w:rsidP="002C171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Refrigerator Recycl</w:t>
            </w:r>
            <w:r w:rsidR="002C1713">
              <w:rPr>
                <w:rFonts w:ascii="Times New Roman" w:hAnsi="Times New Roman"/>
                <w:szCs w:val="24"/>
              </w:rPr>
              <w:t xml:space="preserve">ing </w:t>
            </w:r>
            <w:r>
              <w:rPr>
                <w:rFonts w:ascii="Times New Roman" w:hAnsi="Times New Roman"/>
                <w:szCs w:val="24"/>
              </w:rPr>
              <w:t>Program Service Optional for Qualifying Customers</w:t>
            </w:r>
          </w:p>
        </w:tc>
      </w:tr>
    </w:tbl>
    <w:p w:rsidR="0015463D" w:rsidRDefault="0015463D" w:rsidP="00647E55">
      <w:pPr>
        <w:contextualSpacing/>
        <w:rPr>
          <w:rFonts w:ascii="Times New Roman" w:hAnsi="Times New Roman"/>
          <w:szCs w:val="24"/>
        </w:rPr>
      </w:pPr>
    </w:p>
    <w:p w:rsidR="0015463D" w:rsidRPr="00384236" w:rsidRDefault="0015463D" w:rsidP="00647E55">
      <w:pPr>
        <w:contextualSpacing/>
        <w:rPr>
          <w:rFonts w:ascii="Times New Roman" w:hAnsi="Times New Roman"/>
          <w:b/>
          <w:szCs w:val="24"/>
        </w:rPr>
      </w:pPr>
      <w:r w:rsidRPr="00647E55">
        <w:rPr>
          <w:rFonts w:ascii="Times New Roman" w:hAnsi="Times New Roman"/>
          <w:b/>
          <w:szCs w:val="24"/>
        </w:rPr>
        <w:t>Background</w:t>
      </w:r>
    </w:p>
    <w:p w:rsidR="0083036E" w:rsidRPr="00647E55" w:rsidRDefault="00A52533" w:rsidP="00647E55">
      <w:pPr>
        <w:contextualSpacing/>
        <w:rPr>
          <w:rFonts w:ascii="Times New Roman" w:hAnsi="Times New Roman"/>
          <w:szCs w:val="24"/>
        </w:rPr>
      </w:pPr>
      <w:r w:rsidRPr="00647E55">
        <w:rPr>
          <w:rFonts w:ascii="Times New Roman" w:hAnsi="Times New Roman"/>
          <w:szCs w:val="24"/>
        </w:rPr>
        <w:t>T</w:t>
      </w:r>
      <w:r w:rsidR="0083036E" w:rsidRPr="00647E55">
        <w:rPr>
          <w:rFonts w:ascii="Times New Roman" w:hAnsi="Times New Roman"/>
          <w:szCs w:val="24"/>
        </w:rPr>
        <w:t xml:space="preserve">he Refrigerator Recycling Program (Program) </w:t>
      </w:r>
      <w:r w:rsidRPr="00647E55">
        <w:rPr>
          <w:rFonts w:ascii="Times New Roman" w:hAnsi="Times New Roman"/>
          <w:szCs w:val="24"/>
        </w:rPr>
        <w:t>has been offered to Washington customer</w:t>
      </w:r>
      <w:r w:rsidR="006402E8" w:rsidRPr="0015463D">
        <w:rPr>
          <w:rFonts w:ascii="Times New Roman" w:hAnsi="Times New Roman"/>
          <w:szCs w:val="24"/>
        </w:rPr>
        <w:t>s</w:t>
      </w:r>
      <w:r w:rsidRPr="00647E55">
        <w:rPr>
          <w:rFonts w:ascii="Times New Roman" w:hAnsi="Times New Roman"/>
          <w:szCs w:val="24"/>
        </w:rPr>
        <w:t xml:space="preserve"> since 2005 and </w:t>
      </w:r>
      <w:r w:rsidR="0083036E" w:rsidRPr="00647E55">
        <w:rPr>
          <w:rFonts w:ascii="Times New Roman" w:hAnsi="Times New Roman"/>
          <w:szCs w:val="24"/>
        </w:rPr>
        <w:t xml:space="preserve">has acquired cost-effective electric savings by recycling </w:t>
      </w:r>
      <w:r w:rsidRPr="00647E55">
        <w:rPr>
          <w:rFonts w:ascii="Times New Roman" w:hAnsi="Times New Roman"/>
          <w:szCs w:val="24"/>
        </w:rPr>
        <w:t>older</w:t>
      </w:r>
      <w:r w:rsidR="006402E8">
        <w:rPr>
          <w:rFonts w:ascii="Times New Roman" w:hAnsi="Times New Roman"/>
          <w:szCs w:val="24"/>
        </w:rPr>
        <w:t>,</w:t>
      </w:r>
      <w:r w:rsidRPr="00647E55">
        <w:rPr>
          <w:rFonts w:ascii="Times New Roman" w:hAnsi="Times New Roman"/>
          <w:szCs w:val="24"/>
        </w:rPr>
        <w:t xml:space="preserve"> less</w:t>
      </w:r>
      <w:r w:rsidR="006402E8">
        <w:rPr>
          <w:rFonts w:ascii="Times New Roman" w:hAnsi="Times New Roman"/>
          <w:szCs w:val="24"/>
        </w:rPr>
        <w:t>-</w:t>
      </w:r>
      <w:r w:rsidRPr="00647E55">
        <w:rPr>
          <w:rFonts w:ascii="Times New Roman" w:hAnsi="Times New Roman"/>
          <w:szCs w:val="24"/>
        </w:rPr>
        <w:t xml:space="preserve">efficient </w:t>
      </w:r>
      <w:r w:rsidR="0083036E" w:rsidRPr="00647E55">
        <w:rPr>
          <w:rFonts w:ascii="Times New Roman" w:hAnsi="Times New Roman"/>
          <w:szCs w:val="24"/>
        </w:rPr>
        <w:t>refrigerators and free</w:t>
      </w:r>
      <w:r w:rsidRPr="00647E55">
        <w:rPr>
          <w:rFonts w:ascii="Times New Roman" w:hAnsi="Times New Roman"/>
          <w:szCs w:val="24"/>
        </w:rPr>
        <w:t>zers from residential homes</w:t>
      </w:r>
      <w:r w:rsidR="006402E8">
        <w:rPr>
          <w:rFonts w:ascii="Times New Roman" w:hAnsi="Times New Roman"/>
          <w:szCs w:val="24"/>
        </w:rPr>
        <w:t>,</w:t>
      </w:r>
      <w:r w:rsidRPr="00647E55">
        <w:rPr>
          <w:rFonts w:ascii="Times New Roman" w:hAnsi="Times New Roman"/>
          <w:szCs w:val="24"/>
        </w:rPr>
        <w:t xml:space="preserve"> and more recently from businesses locations and retailers who sell new appliances.  </w:t>
      </w:r>
    </w:p>
    <w:p w:rsidR="00D9027F" w:rsidRPr="00647E55" w:rsidRDefault="00D9027F" w:rsidP="00647E55">
      <w:pPr>
        <w:contextualSpacing/>
        <w:rPr>
          <w:rFonts w:ascii="Times New Roman" w:hAnsi="Times New Roman"/>
          <w:szCs w:val="24"/>
        </w:rPr>
      </w:pPr>
    </w:p>
    <w:p w:rsidR="006F71BF" w:rsidRPr="00647E55" w:rsidRDefault="00D9027F" w:rsidP="00647E55">
      <w:pPr>
        <w:contextualSpacing/>
        <w:rPr>
          <w:rFonts w:ascii="Times New Roman" w:hAnsi="Times New Roman"/>
          <w:szCs w:val="24"/>
        </w:rPr>
      </w:pPr>
      <w:r w:rsidRPr="00647E55">
        <w:rPr>
          <w:rFonts w:ascii="Times New Roman" w:hAnsi="Times New Roman"/>
          <w:szCs w:val="24"/>
        </w:rPr>
        <w:t xml:space="preserve">Unit energy savings delivered by this program </w:t>
      </w:r>
      <w:r w:rsidR="00384236">
        <w:rPr>
          <w:rFonts w:ascii="Times New Roman" w:hAnsi="Times New Roman"/>
          <w:szCs w:val="24"/>
        </w:rPr>
        <w:t>we</w:t>
      </w:r>
      <w:r w:rsidR="00682751">
        <w:rPr>
          <w:rFonts w:ascii="Times New Roman" w:hAnsi="Times New Roman"/>
          <w:szCs w:val="24"/>
        </w:rPr>
        <w:t xml:space="preserve">re </w:t>
      </w:r>
      <w:r w:rsidRPr="00647E55">
        <w:rPr>
          <w:rFonts w:ascii="Times New Roman" w:hAnsi="Times New Roman"/>
          <w:szCs w:val="24"/>
        </w:rPr>
        <w:t>directly tied to</w:t>
      </w:r>
      <w:r w:rsidR="006402E8">
        <w:rPr>
          <w:rFonts w:ascii="Times New Roman" w:hAnsi="Times New Roman"/>
          <w:szCs w:val="24"/>
        </w:rPr>
        <w:t xml:space="preserve">: </w:t>
      </w:r>
      <w:r w:rsidRPr="00647E55">
        <w:rPr>
          <w:rFonts w:ascii="Times New Roman" w:hAnsi="Times New Roman"/>
          <w:szCs w:val="24"/>
        </w:rPr>
        <w:t xml:space="preserve"> a) the age of the appliances recycled</w:t>
      </w:r>
      <w:r w:rsidR="006402E8">
        <w:rPr>
          <w:rFonts w:ascii="Times New Roman" w:hAnsi="Times New Roman"/>
          <w:szCs w:val="24"/>
        </w:rPr>
        <w:t>;</w:t>
      </w:r>
      <w:r w:rsidRPr="00647E55">
        <w:rPr>
          <w:rFonts w:ascii="Times New Roman" w:hAnsi="Times New Roman"/>
          <w:szCs w:val="24"/>
        </w:rPr>
        <w:t xml:space="preserve"> b) what customers would do in the absence of the program</w:t>
      </w:r>
      <w:r w:rsidR="004B77B2">
        <w:rPr>
          <w:rFonts w:ascii="Times New Roman" w:hAnsi="Times New Roman"/>
          <w:szCs w:val="24"/>
        </w:rPr>
        <w:t>;</w:t>
      </w:r>
      <w:r w:rsidR="00682751">
        <w:rPr>
          <w:rFonts w:ascii="Times New Roman" w:hAnsi="Times New Roman"/>
          <w:szCs w:val="24"/>
        </w:rPr>
        <w:t xml:space="preserve"> and c) </w:t>
      </w:r>
      <w:r w:rsidRPr="00647E55">
        <w:rPr>
          <w:rFonts w:ascii="Times New Roman" w:hAnsi="Times New Roman"/>
          <w:szCs w:val="24"/>
        </w:rPr>
        <w:t xml:space="preserve">what the program </w:t>
      </w:r>
      <w:r w:rsidR="006402E8">
        <w:rPr>
          <w:rFonts w:ascii="Times New Roman" w:hAnsi="Times New Roman"/>
          <w:szCs w:val="24"/>
        </w:rPr>
        <w:t>helps customers</w:t>
      </w:r>
      <w:r w:rsidRPr="00647E55">
        <w:rPr>
          <w:rFonts w:ascii="Times New Roman" w:hAnsi="Times New Roman"/>
          <w:szCs w:val="24"/>
        </w:rPr>
        <w:t xml:space="preserve"> to do</w:t>
      </w:r>
      <w:r w:rsidR="004B77B2">
        <w:rPr>
          <w:rFonts w:ascii="Times New Roman" w:hAnsi="Times New Roman"/>
          <w:szCs w:val="24"/>
        </w:rPr>
        <w:t>;</w:t>
      </w:r>
      <w:r w:rsidRPr="00647E55">
        <w:rPr>
          <w:rFonts w:ascii="Times New Roman" w:hAnsi="Times New Roman"/>
          <w:szCs w:val="24"/>
        </w:rPr>
        <w:t xml:space="preserve"> i.e</w:t>
      </w:r>
      <w:r w:rsidR="006402E8">
        <w:rPr>
          <w:rFonts w:ascii="Times New Roman" w:hAnsi="Times New Roman"/>
          <w:szCs w:val="24"/>
        </w:rPr>
        <w:t>.</w:t>
      </w:r>
      <w:r w:rsidRPr="00647E55">
        <w:rPr>
          <w:rFonts w:ascii="Times New Roman" w:hAnsi="Times New Roman"/>
          <w:szCs w:val="24"/>
        </w:rPr>
        <w:t xml:space="preserve">, purchase a replacement appliance. </w:t>
      </w:r>
      <w:r w:rsidR="006402E8">
        <w:rPr>
          <w:rFonts w:ascii="Times New Roman" w:hAnsi="Times New Roman"/>
          <w:szCs w:val="24"/>
        </w:rPr>
        <w:t xml:space="preserve"> </w:t>
      </w:r>
      <w:r w:rsidR="006F71BF" w:rsidRPr="00647E55">
        <w:rPr>
          <w:rFonts w:ascii="Times New Roman" w:hAnsi="Times New Roman"/>
          <w:szCs w:val="24"/>
        </w:rPr>
        <w:t xml:space="preserve">The </w:t>
      </w:r>
      <w:r w:rsidR="006402E8">
        <w:rPr>
          <w:rFonts w:ascii="Times New Roman" w:hAnsi="Times New Roman"/>
          <w:szCs w:val="24"/>
        </w:rPr>
        <w:t>C</w:t>
      </w:r>
      <w:r w:rsidR="006F71BF" w:rsidRPr="00647E55">
        <w:rPr>
          <w:rFonts w:ascii="Times New Roman" w:hAnsi="Times New Roman"/>
          <w:szCs w:val="24"/>
        </w:rPr>
        <w:t xml:space="preserve">ompany </w:t>
      </w:r>
      <w:r w:rsidR="00674C68">
        <w:rPr>
          <w:rFonts w:ascii="Times New Roman" w:hAnsi="Times New Roman"/>
          <w:szCs w:val="24"/>
        </w:rPr>
        <w:t xml:space="preserve">has </w:t>
      </w:r>
      <w:r w:rsidR="006F71BF" w:rsidRPr="00647E55">
        <w:rPr>
          <w:rFonts w:ascii="Times New Roman" w:hAnsi="Times New Roman"/>
          <w:szCs w:val="24"/>
        </w:rPr>
        <w:t xml:space="preserve">regularly </w:t>
      </w:r>
      <w:r w:rsidR="00674C68" w:rsidRPr="00647E55">
        <w:rPr>
          <w:rFonts w:ascii="Times New Roman" w:hAnsi="Times New Roman"/>
          <w:szCs w:val="24"/>
        </w:rPr>
        <w:t>evaluate</w:t>
      </w:r>
      <w:r w:rsidR="00674C68">
        <w:rPr>
          <w:rFonts w:ascii="Times New Roman" w:hAnsi="Times New Roman"/>
          <w:szCs w:val="24"/>
        </w:rPr>
        <w:t>d</w:t>
      </w:r>
      <w:r w:rsidR="00674C68" w:rsidRPr="00647E55">
        <w:rPr>
          <w:rFonts w:ascii="Times New Roman" w:hAnsi="Times New Roman"/>
          <w:szCs w:val="24"/>
        </w:rPr>
        <w:t xml:space="preserve"> </w:t>
      </w:r>
      <w:r w:rsidR="006F71BF" w:rsidRPr="00647E55">
        <w:rPr>
          <w:rFonts w:ascii="Times New Roman" w:hAnsi="Times New Roman"/>
          <w:szCs w:val="24"/>
        </w:rPr>
        <w:t xml:space="preserve">this program (as well as other programs in the portfolio) to ensure the </w:t>
      </w:r>
      <w:r w:rsidR="00D83AE4" w:rsidRPr="00647E55">
        <w:rPr>
          <w:rFonts w:ascii="Times New Roman" w:hAnsi="Times New Roman"/>
          <w:szCs w:val="24"/>
        </w:rPr>
        <w:t xml:space="preserve">most current </w:t>
      </w:r>
      <w:r w:rsidR="006F71BF" w:rsidRPr="00647E55">
        <w:rPr>
          <w:rFonts w:ascii="Times New Roman" w:hAnsi="Times New Roman"/>
          <w:szCs w:val="24"/>
        </w:rPr>
        <w:t xml:space="preserve">information for planning and savings reporting is available. </w:t>
      </w:r>
    </w:p>
    <w:p w:rsidR="006F71BF" w:rsidRPr="00647E55" w:rsidRDefault="006F71BF" w:rsidP="00647E55">
      <w:pPr>
        <w:contextualSpacing/>
        <w:rPr>
          <w:rFonts w:ascii="Times New Roman" w:hAnsi="Times New Roman"/>
          <w:szCs w:val="24"/>
        </w:rPr>
      </w:pPr>
    </w:p>
    <w:p w:rsidR="00556E82" w:rsidRPr="00647E55" w:rsidRDefault="00D83AE4" w:rsidP="00647E55">
      <w:pPr>
        <w:contextualSpacing/>
        <w:rPr>
          <w:rFonts w:ascii="Times New Roman" w:hAnsi="Times New Roman"/>
          <w:szCs w:val="24"/>
        </w:rPr>
      </w:pPr>
      <w:r w:rsidRPr="00647E55">
        <w:rPr>
          <w:rFonts w:ascii="Times New Roman" w:hAnsi="Times New Roman"/>
          <w:szCs w:val="24"/>
        </w:rPr>
        <w:t>On both a regional and national level, e</w:t>
      </w:r>
      <w:r w:rsidR="00C82073" w:rsidRPr="00647E55">
        <w:rPr>
          <w:rFonts w:ascii="Times New Roman" w:hAnsi="Times New Roman"/>
          <w:szCs w:val="24"/>
        </w:rPr>
        <w:t xml:space="preserve">valuation methodologies </w:t>
      </w:r>
      <w:r w:rsidR="00674C68">
        <w:rPr>
          <w:rFonts w:ascii="Times New Roman" w:hAnsi="Times New Roman"/>
          <w:szCs w:val="24"/>
        </w:rPr>
        <w:t>used</w:t>
      </w:r>
      <w:r w:rsidR="00674C68" w:rsidRPr="00647E55">
        <w:rPr>
          <w:rFonts w:ascii="Times New Roman" w:hAnsi="Times New Roman"/>
          <w:szCs w:val="24"/>
        </w:rPr>
        <w:t xml:space="preserve"> </w:t>
      </w:r>
      <w:r w:rsidR="00C82073" w:rsidRPr="00647E55">
        <w:rPr>
          <w:rFonts w:ascii="Times New Roman" w:hAnsi="Times New Roman"/>
          <w:szCs w:val="24"/>
        </w:rPr>
        <w:t>to measure the</w:t>
      </w:r>
      <w:r w:rsidR="006F71BF" w:rsidRPr="00647E55">
        <w:rPr>
          <w:rFonts w:ascii="Times New Roman" w:hAnsi="Times New Roman"/>
          <w:szCs w:val="24"/>
        </w:rPr>
        <w:t xml:space="preserve"> </w:t>
      </w:r>
      <w:r w:rsidR="00C82073" w:rsidRPr="00647E55">
        <w:rPr>
          <w:rFonts w:ascii="Times New Roman" w:hAnsi="Times New Roman"/>
          <w:szCs w:val="24"/>
        </w:rPr>
        <w:t xml:space="preserve">impacts </w:t>
      </w:r>
      <w:r w:rsidR="006F71BF" w:rsidRPr="00647E55">
        <w:rPr>
          <w:rFonts w:ascii="Times New Roman" w:hAnsi="Times New Roman"/>
          <w:szCs w:val="24"/>
        </w:rPr>
        <w:t xml:space="preserve">from appliance recycling programs </w:t>
      </w:r>
      <w:r w:rsidR="00C82073" w:rsidRPr="00647E55">
        <w:rPr>
          <w:rFonts w:ascii="Times New Roman" w:hAnsi="Times New Roman"/>
          <w:szCs w:val="24"/>
        </w:rPr>
        <w:t>ha</w:t>
      </w:r>
      <w:r w:rsidR="00556E82" w:rsidRPr="00647E55">
        <w:rPr>
          <w:rFonts w:ascii="Times New Roman" w:hAnsi="Times New Roman"/>
          <w:szCs w:val="24"/>
        </w:rPr>
        <w:t xml:space="preserve">ve </w:t>
      </w:r>
      <w:r w:rsidR="00C82073" w:rsidRPr="00647E55">
        <w:rPr>
          <w:rFonts w:ascii="Times New Roman" w:hAnsi="Times New Roman"/>
          <w:szCs w:val="24"/>
        </w:rPr>
        <w:t>evolved since th</w:t>
      </w:r>
      <w:r w:rsidR="006F71BF" w:rsidRPr="00647E55">
        <w:rPr>
          <w:rFonts w:ascii="Times New Roman" w:hAnsi="Times New Roman"/>
          <w:szCs w:val="24"/>
        </w:rPr>
        <w:t xml:space="preserve">is </w:t>
      </w:r>
      <w:r w:rsidR="00C82073" w:rsidRPr="00647E55">
        <w:rPr>
          <w:rFonts w:ascii="Times New Roman" w:hAnsi="Times New Roman"/>
          <w:szCs w:val="24"/>
        </w:rPr>
        <w:t xml:space="preserve">program was originally launched in Washington. </w:t>
      </w:r>
      <w:r w:rsidR="00674C68">
        <w:rPr>
          <w:rFonts w:ascii="Times New Roman" w:hAnsi="Times New Roman"/>
          <w:szCs w:val="24"/>
        </w:rPr>
        <w:t xml:space="preserve"> </w:t>
      </w:r>
      <w:r w:rsidR="00556E82" w:rsidRPr="00647E55">
        <w:rPr>
          <w:rFonts w:ascii="Times New Roman" w:hAnsi="Times New Roman"/>
          <w:szCs w:val="24"/>
        </w:rPr>
        <w:t xml:space="preserve">In the </w:t>
      </w:r>
      <w:r w:rsidR="00384236">
        <w:rPr>
          <w:rFonts w:ascii="Times New Roman" w:hAnsi="Times New Roman"/>
          <w:szCs w:val="24"/>
        </w:rPr>
        <w:t>N</w:t>
      </w:r>
      <w:r w:rsidR="00556E82" w:rsidRPr="00647E55">
        <w:rPr>
          <w:rFonts w:ascii="Times New Roman" w:hAnsi="Times New Roman"/>
          <w:szCs w:val="24"/>
        </w:rPr>
        <w:t xml:space="preserve">orthwest, the Regional Technical Forum (RTF) has moved from a savings calculator to establishing a unit energy savings value in June 2005. </w:t>
      </w:r>
      <w:r w:rsidR="00674C68">
        <w:rPr>
          <w:rFonts w:ascii="Times New Roman" w:hAnsi="Times New Roman"/>
          <w:szCs w:val="24"/>
        </w:rPr>
        <w:t xml:space="preserve"> </w:t>
      </w:r>
      <w:r w:rsidR="00556E82" w:rsidRPr="00647E55">
        <w:rPr>
          <w:rFonts w:ascii="Times New Roman" w:hAnsi="Times New Roman"/>
          <w:szCs w:val="24"/>
        </w:rPr>
        <w:t xml:space="preserve">In 2010 the RTF started to consider what would happen in </w:t>
      </w:r>
      <w:r w:rsidR="00674C68">
        <w:rPr>
          <w:rFonts w:ascii="Times New Roman" w:hAnsi="Times New Roman"/>
          <w:szCs w:val="24"/>
        </w:rPr>
        <w:t xml:space="preserve">the </w:t>
      </w:r>
      <w:r w:rsidR="00556E82" w:rsidRPr="00647E55">
        <w:rPr>
          <w:rFonts w:ascii="Times New Roman" w:hAnsi="Times New Roman"/>
          <w:szCs w:val="24"/>
        </w:rPr>
        <w:t xml:space="preserve">absence of the program. </w:t>
      </w:r>
      <w:r w:rsidR="00674C68">
        <w:rPr>
          <w:rFonts w:ascii="Times New Roman" w:hAnsi="Times New Roman"/>
          <w:szCs w:val="24"/>
        </w:rPr>
        <w:t xml:space="preserve"> </w:t>
      </w:r>
      <w:r w:rsidR="00C82073" w:rsidRPr="00647E55">
        <w:rPr>
          <w:rFonts w:ascii="Times New Roman" w:hAnsi="Times New Roman"/>
          <w:szCs w:val="24"/>
        </w:rPr>
        <w:t xml:space="preserve">In April 2013, the National Renewable Energy Laboratory (NREL) funded by the US Department of Energy published their first sets of protocols for determining energy savings. </w:t>
      </w:r>
      <w:r w:rsidR="00674C68">
        <w:rPr>
          <w:rFonts w:ascii="Times New Roman" w:hAnsi="Times New Roman"/>
          <w:szCs w:val="24"/>
        </w:rPr>
        <w:t xml:space="preserve"> </w:t>
      </w:r>
      <w:r w:rsidR="00C82073" w:rsidRPr="00647E55">
        <w:rPr>
          <w:rFonts w:ascii="Times New Roman" w:hAnsi="Times New Roman"/>
          <w:szCs w:val="24"/>
        </w:rPr>
        <w:t>These protocols are part of a larger effort known as th</w:t>
      </w:r>
      <w:r w:rsidR="001C7ADC" w:rsidRPr="00647E55">
        <w:rPr>
          <w:rFonts w:ascii="Times New Roman" w:hAnsi="Times New Roman"/>
          <w:szCs w:val="24"/>
        </w:rPr>
        <w:t xml:space="preserve">e Uniform Methods Project (UMP). </w:t>
      </w:r>
      <w:r w:rsidR="00674C68">
        <w:rPr>
          <w:rFonts w:ascii="Times New Roman" w:hAnsi="Times New Roman"/>
          <w:szCs w:val="24"/>
        </w:rPr>
        <w:t xml:space="preserve"> </w:t>
      </w:r>
      <w:r w:rsidR="001C7ADC" w:rsidRPr="00647E55">
        <w:rPr>
          <w:rFonts w:ascii="Times New Roman" w:hAnsi="Times New Roman"/>
          <w:szCs w:val="24"/>
        </w:rPr>
        <w:t xml:space="preserve">The refrigerator recycling protocol was among the first set of protocols. </w:t>
      </w:r>
      <w:r w:rsidR="00C82073" w:rsidRPr="00647E55">
        <w:rPr>
          <w:rFonts w:ascii="Times New Roman" w:hAnsi="Times New Roman"/>
          <w:szCs w:val="24"/>
        </w:rPr>
        <w:t xml:space="preserve"> </w:t>
      </w:r>
      <w:r w:rsidR="00556E82" w:rsidRPr="00647E55">
        <w:rPr>
          <w:rFonts w:ascii="Times New Roman" w:hAnsi="Times New Roman"/>
          <w:szCs w:val="24"/>
        </w:rPr>
        <w:t xml:space="preserve">In 2013, the RTF aligned their methodology with the UMP protocol </w:t>
      </w:r>
      <w:r w:rsidR="00556E82" w:rsidRPr="00647E55">
        <w:rPr>
          <w:rFonts w:ascii="Times New Roman" w:hAnsi="Times New Roman"/>
          <w:szCs w:val="24"/>
        </w:rPr>
        <w:lastRenderedPageBreak/>
        <w:t xml:space="preserve">when the organization updated the unit energy savings values. A summary of the most recent evaluations is provided below.  </w:t>
      </w:r>
    </w:p>
    <w:p w:rsidR="00556E82" w:rsidRPr="0015463D" w:rsidRDefault="00556E82" w:rsidP="00647E55">
      <w:pPr>
        <w:pStyle w:val="NormalWeb"/>
        <w:spacing w:before="0" w:beforeAutospacing="0" w:after="0" w:afterAutospacing="0"/>
        <w:contextualSpacing/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357"/>
        <w:gridCol w:w="4028"/>
        <w:gridCol w:w="3191"/>
      </w:tblGrid>
      <w:tr w:rsidR="00556E82" w:rsidRPr="006606D8" w:rsidTr="00647E55">
        <w:trPr>
          <w:jc w:val="center"/>
        </w:trPr>
        <w:tc>
          <w:tcPr>
            <w:tcW w:w="1231" w:type="pct"/>
            <w:shd w:val="clear" w:color="auto" w:fill="BFBFBF" w:themeFill="background1" w:themeFillShade="BF"/>
          </w:tcPr>
          <w:p w:rsidR="00556E82" w:rsidRPr="00647E55" w:rsidRDefault="00556E82" w:rsidP="00647E55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647E55">
              <w:rPr>
                <w:rFonts w:ascii="Times New Roman" w:hAnsi="Times New Roman"/>
                <w:b/>
                <w:szCs w:val="24"/>
              </w:rPr>
              <w:t>Program year(s)</w:t>
            </w:r>
          </w:p>
        </w:tc>
        <w:tc>
          <w:tcPr>
            <w:tcW w:w="2103" w:type="pct"/>
            <w:shd w:val="clear" w:color="auto" w:fill="BFBFBF" w:themeFill="background1" w:themeFillShade="BF"/>
          </w:tcPr>
          <w:p w:rsidR="00556E82" w:rsidRPr="00647E55" w:rsidRDefault="00556E82" w:rsidP="00647E55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647E55">
              <w:rPr>
                <w:rFonts w:ascii="Times New Roman" w:hAnsi="Times New Roman"/>
                <w:b/>
                <w:szCs w:val="24"/>
              </w:rPr>
              <w:t>Report date</w:t>
            </w:r>
          </w:p>
        </w:tc>
        <w:tc>
          <w:tcPr>
            <w:tcW w:w="1666" w:type="pct"/>
            <w:shd w:val="clear" w:color="auto" w:fill="BFBFBF" w:themeFill="background1" w:themeFillShade="BF"/>
          </w:tcPr>
          <w:p w:rsidR="00556E82" w:rsidRPr="00647E55" w:rsidRDefault="00556E82" w:rsidP="00647E55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647E55">
              <w:rPr>
                <w:rFonts w:ascii="Times New Roman" w:hAnsi="Times New Roman"/>
                <w:b/>
                <w:szCs w:val="24"/>
              </w:rPr>
              <w:t>Evaluation firm</w:t>
            </w:r>
          </w:p>
        </w:tc>
      </w:tr>
      <w:tr w:rsidR="00556E82" w:rsidRPr="006606D8" w:rsidTr="000A3FD3">
        <w:trPr>
          <w:jc w:val="center"/>
        </w:trPr>
        <w:tc>
          <w:tcPr>
            <w:tcW w:w="1231" w:type="pct"/>
          </w:tcPr>
          <w:p w:rsidR="00556E82" w:rsidRPr="00682751" w:rsidRDefault="00556E82" w:rsidP="00647E55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82751">
              <w:rPr>
                <w:rFonts w:ascii="Times New Roman" w:hAnsi="Times New Roman"/>
                <w:szCs w:val="24"/>
              </w:rPr>
              <w:t>2006-2008</w:t>
            </w:r>
          </w:p>
        </w:tc>
        <w:tc>
          <w:tcPr>
            <w:tcW w:w="2103" w:type="pct"/>
          </w:tcPr>
          <w:p w:rsidR="00556E82" w:rsidRPr="00682751" w:rsidRDefault="00556E82" w:rsidP="00647E55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82751">
              <w:rPr>
                <w:rFonts w:ascii="Times New Roman" w:hAnsi="Times New Roman"/>
                <w:szCs w:val="24"/>
              </w:rPr>
              <w:t>September 22, 2010</w:t>
            </w:r>
          </w:p>
        </w:tc>
        <w:tc>
          <w:tcPr>
            <w:tcW w:w="1666" w:type="pct"/>
          </w:tcPr>
          <w:p w:rsidR="00556E82" w:rsidRPr="00682751" w:rsidRDefault="00556E82" w:rsidP="00647E55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82751">
              <w:rPr>
                <w:rFonts w:ascii="Times New Roman" w:hAnsi="Times New Roman"/>
                <w:szCs w:val="24"/>
              </w:rPr>
              <w:t>Cadmus</w:t>
            </w:r>
          </w:p>
        </w:tc>
      </w:tr>
      <w:tr w:rsidR="00556E82" w:rsidRPr="006606D8" w:rsidTr="000A3FD3">
        <w:trPr>
          <w:jc w:val="center"/>
        </w:trPr>
        <w:tc>
          <w:tcPr>
            <w:tcW w:w="1231" w:type="pct"/>
          </w:tcPr>
          <w:p w:rsidR="00556E82" w:rsidRPr="00682751" w:rsidRDefault="00556E82" w:rsidP="00647E55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82751">
              <w:rPr>
                <w:rFonts w:ascii="Times New Roman" w:hAnsi="Times New Roman"/>
                <w:szCs w:val="24"/>
              </w:rPr>
              <w:t>2009-2010</w:t>
            </w:r>
          </w:p>
        </w:tc>
        <w:tc>
          <w:tcPr>
            <w:tcW w:w="2103" w:type="pct"/>
          </w:tcPr>
          <w:p w:rsidR="00556E82" w:rsidRPr="00682751" w:rsidRDefault="00556E82" w:rsidP="00647E55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82751">
              <w:rPr>
                <w:rFonts w:ascii="Times New Roman" w:hAnsi="Times New Roman"/>
                <w:szCs w:val="24"/>
              </w:rPr>
              <w:t>January 6, 2012</w:t>
            </w:r>
          </w:p>
        </w:tc>
        <w:tc>
          <w:tcPr>
            <w:tcW w:w="1666" w:type="pct"/>
          </w:tcPr>
          <w:p w:rsidR="00556E82" w:rsidRPr="00682751" w:rsidRDefault="00556E82" w:rsidP="00647E55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82751">
              <w:rPr>
                <w:rFonts w:ascii="Times New Roman" w:hAnsi="Times New Roman"/>
                <w:szCs w:val="24"/>
              </w:rPr>
              <w:t>Cadmus</w:t>
            </w:r>
          </w:p>
        </w:tc>
      </w:tr>
      <w:tr w:rsidR="00556E82" w:rsidRPr="006606D8" w:rsidTr="000A3FD3">
        <w:trPr>
          <w:jc w:val="center"/>
        </w:trPr>
        <w:tc>
          <w:tcPr>
            <w:tcW w:w="1231" w:type="pct"/>
          </w:tcPr>
          <w:p w:rsidR="00556E82" w:rsidRPr="00682751" w:rsidRDefault="00556E82" w:rsidP="00647E55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82751">
              <w:rPr>
                <w:rFonts w:ascii="Times New Roman" w:hAnsi="Times New Roman"/>
                <w:szCs w:val="24"/>
              </w:rPr>
              <w:t>2011-2012</w:t>
            </w:r>
          </w:p>
        </w:tc>
        <w:tc>
          <w:tcPr>
            <w:tcW w:w="2103" w:type="pct"/>
          </w:tcPr>
          <w:p w:rsidR="00556E82" w:rsidRPr="00682751" w:rsidRDefault="00556E82" w:rsidP="00647E55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82751">
              <w:rPr>
                <w:rFonts w:ascii="Times New Roman" w:hAnsi="Times New Roman"/>
                <w:szCs w:val="24"/>
              </w:rPr>
              <w:t>October 23, 2013</w:t>
            </w:r>
          </w:p>
        </w:tc>
        <w:tc>
          <w:tcPr>
            <w:tcW w:w="1666" w:type="pct"/>
          </w:tcPr>
          <w:p w:rsidR="00556E82" w:rsidRPr="00682751" w:rsidRDefault="00556E82" w:rsidP="00647E55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82751">
              <w:rPr>
                <w:rFonts w:ascii="Times New Roman" w:hAnsi="Times New Roman"/>
                <w:szCs w:val="24"/>
              </w:rPr>
              <w:t>Cadmus</w:t>
            </w:r>
          </w:p>
        </w:tc>
      </w:tr>
      <w:tr w:rsidR="00556E82" w:rsidRPr="006606D8" w:rsidTr="000A3FD3">
        <w:trPr>
          <w:jc w:val="center"/>
        </w:trPr>
        <w:tc>
          <w:tcPr>
            <w:tcW w:w="1231" w:type="pct"/>
          </w:tcPr>
          <w:p w:rsidR="00556E82" w:rsidRPr="00682751" w:rsidRDefault="00556E82" w:rsidP="00647E55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82751">
              <w:rPr>
                <w:rFonts w:ascii="Times New Roman" w:hAnsi="Times New Roman"/>
                <w:szCs w:val="24"/>
              </w:rPr>
              <w:t>2013-2014</w:t>
            </w:r>
          </w:p>
        </w:tc>
        <w:tc>
          <w:tcPr>
            <w:tcW w:w="2103" w:type="pct"/>
          </w:tcPr>
          <w:p w:rsidR="00556E82" w:rsidRPr="00682751" w:rsidRDefault="00556E82" w:rsidP="00647E55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82751">
              <w:rPr>
                <w:rFonts w:ascii="Times New Roman" w:hAnsi="Times New Roman"/>
                <w:szCs w:val="24"/>
              </w:rPr>
              <w:t>September 18, 2015 (results memo)</w:t>
            </w:r>
          </w:p>
        </w:tc>
        <w:tc>
          <w:tcPr>
            <w:tcW w:w="1666" w:type="pct"/>
          </w:tcPr>
          <w:p w:rsidR="00556E82" w:rsidRPr="00682751" w:rsidRDefault="00556E82" w:rsidP="00647E55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82751">
              <w:rPr>
                <w:rFonts w:ascii="Times New Roman" w:hAnsi="Times New Roman"/>
                <w:szCs w:val="24"/>
              </w:rPr>
              <w:t>Cadmus</w:t>
            </w:r>
          </w:p>
        </w:tc>
      </w:tr>
    </w:tbl>
    <w:p w:rsidR="00745524" w:rsidRPr="0015463D" w:rsidRDefault="00745524" w:rsidP="00647E55">
      <w:pPr>
        <w:pStyle w:val="NormalWeb"/>
        <w:spacing w:before="0" w:beforeAutospacing="0" w:after="0" w:afterAutospacing="0"/>
        <w:contextualSpacing/>
      </w:pPr>
    </w:p>
    <w:p w:rsidR="00556E82" w:rsidRPr="00647E55" w:rsidRDefault="00556E82" w:rsidP="00647E55">
      <w:pPr>
        <w:contextualSpacing/>
        <w:rPr>
          <w:rFonts w:ascii="Times New Roman" w:hAnsi="Times New Roman"/>
          <w:szCs w:val="24"/>
        </w:rPr>
      </w:pPr>
      <w:r w:rsidRPr="00647E55">
        <w:rPr>
          <w:rFonts w:ascii="Times New Roman" w:hAnsi="Times New Roman"/>
          <w:szCs w:val="24"/>
        </w:rPr>
        <w:t xml:space="preserve">The 2011-2012 evaluation </w:t>
      </w:r>
      <w:r w:rsidR="00674C68">
        <w:rPr>
          <w:rFonts w:ascii="Times New Roman" w:hAnsi="Times New Roman"/>
          <w:szCs w:val="24"/>
        </w:rPr>
        <w:t>used</w:t>
      </w:r>
      <w:r w:rsidR="00674C68" w:rsidRPr="00647E55">
        <w:rPr>
          <w:rFonts w:ascii="Times New Roman" w:hAnsi="Times New Roman"/>
          <w:szCs w:val="24"/>
        </w:rPr>
        <w:t xml:space="preserve"> </w:t>
      </w:r>
      <w:r w:rsidRPr="00647E55">
        <w:rPr>
          <w:rFonts w:ascii="Times New Roman" w:hAnsi="Times New Roman"/>
          <w:szCs w:val="24"/>
        </w:rPr>
        <w:t xml:space="preserve">the UMP and RTF protocols to </w:t>
      </w:r>
      <w:r w:rsidR="00F8061D" w:rsidRPr="00647E55">
        <w:rPr>
          <w:rFonts w:ascii="Times New Roman" w:hAnsi="Times New Roman"/>
          <w:szCs w:val="24"/>
        </w:rPr>
        <w:t xml:space="preserve">determine </w:t>
      </w:r>
      <w:r w:rsidRPr="00647E55">
        <w:rPr>
          <w:rFonts w:ascii="Times New Roman" w:hAnsi="Times New Roman"/>
          <w:szCs w:val="24"/>
        </w:rPr>
        <w:t>updated unit energy savings</w:t>
      </w:r>
      <w:r w:rsidR="00F8061D" w:rsidRPr="00647E55">
        <w:rPr>
          <w:rFonts w:ascii="Times New Roman" w:hAnsi="Times New Roman"/>
          <w:szCs w:val="24"/>
        </w:rPr>
        <w:t xml:space="preserve"> for recycled refrigerators and freezers. </w:t>
      </w:r>
      <w:r w:rsidR="00674C68">
        <w:rPr>
          <w:rFonts w:ascii="Times New Roman" w:hAnsi="Times New Roman"/>
          <w:szCs w:val="24"/>
        </w:rPr>
        <w:t xml:space="preserve"> </w:t>
      </w:r>
      <w:r w:rsidR="00F8061D" w:rsidRPr="00647E55">
        <w:rPr>
          <w:rFonts w:ascii="Times New Roman" w:hAnsi="Times New Roman"/>
          <w:szCs w:val="24"/>
        </w:rPr>
        <w:t xml:space="preserve">The 2013-2014 evaluation currently underway follows the same approach. </w:t>
      </w:r>
    </w:p>
    <w:p w:rsidR="00234841" w:rsidRPr="00647E55" w:rsidRDefault="00234841" w:rsidP="00647E55">
      <w:pPr>
        <w:contextualSpacing/>
        <w:rPr>
          <w:rFonts w:ascii="Times New Roman" w:hAnsi="Times New Roman"/>
          <w:szCs w:val="24"/>
        </w:rPr>
      </w:pPr>
    </w:p>
    <w:p w:rsidR="00F8061D" w:rsidRPr="00663FC3" w:rsidRDefault="00F8061D" w:rsidP="0015463D">
      <w:pPr>
        <w:rPr>
          <w:rFonts w:ascii="Times New Roman" w:hAnsi="Times New Roman"/>
          <w:szCs w:val="24"/>
        </w:rPr>
      </w:pPr>
      <w:r w:rsidRPr="00682751">
        <w:rPr>
          <w:rFonts w:ascii="Times New Roman" w:hAnsi="Times New Roman"/>
          <w:szCs w:val="24"/>
        </w:rPr>
        <w:t xml:space="preserve">During preparation of the </w:t>
      </w:r>
      <w:r w:rsidRPr="00663FC3">
        <w:rPr>
          <w:rFonts w:ascii="Times New Roman" w:hAnsi="Times New Roman"/>
          <w:szCs w:val="24"/>
        </w:rPr>
        <w:t>2016-</w:t>
      </w:r>
      <w:r w:rsidR="005258C7" w:rsidRPr="00663FC3">
        <w:rPr>
          <w:rFonts w:ascii="Times New Roman" w:hAnsi="Times New Roman"/>
          <w:szCs w:val="24"/>
        </w:rPr>
        <w:t>2025</w:t>
      </w:r>
      <w:r w:rsidR="005258C7" w:rsidRPr="00682751">
        <w:rPr>
          <w:rFonts w:ascii="Times New Roman" w:hAnsi="Times New Roman"/>
          <w:szCs w:val="24"/>
        </w:rPr>
        <w:t xml:space="preserve"> </w:t>
      </w:r>
      <w:r w:rsidRPr="00682751">
        <w:rPr>
          <w:rFonts w:ascii="Times New Roman" w:hAnsi="Times New Roman"/>
          <w:szCs w:val="24"/>
        </w:rPr>
        <w:t xml:space="preserve">conservation forecast, the </w:t>
      </w:r>
      <w:r w:rsidR="00674C68" w:rsidRPr="00682751">
        <w:rPr>
          <w:rFonts w:ascii="Times New Roman" w:hAnsi="Times New Roman"/>
          <w:szCs w:val="24"/>
        </w:rPr>
        <w:t>C</w:t>
      </w:r>
      <w:r w:rsidRPr="00682751">
        <w:rPr>
          <w:rFonts w:ascii="Times New Roman" w:hAnsi="Times New Roman"/>
          <w:szCs w:val="24"/>
        </w:rPr>
        <w:t xml:space="preserve">ompany compared the unit energy savings </w:t>
      </w:r>
      <w:r w:rsidR="00674C68" w:rsidRPr="00663FC3">
        <w:rPr>
          <w:rFonts w:ascii="Times New Roman" w:hAnsi="Times New Roman"/>
          <w:szCs w:val="24"/>
        </w:rPr>
        <w:t xml:space="preserve">used </w:t>
      </w:r>
      <w:r w:rsidRPr="00663FC3">
        <w:rPr>
          <w:rFonts w:ascii="Times New Roman" w:hAnsi="Times New Roman"/>
          <w:szCs w:val="24"/>
        </w:rPr>
        <w:t>i</w:t>
      </w:r>
      <w:r w:rsidR="00674C68" w:rsidRPr="00663FC3">
        <w:rPr>
          <w:rFonts w:ascii="Times New Roman" w:hAnsi="Times New Roman"/>
          <w:szCs w:val="24"/>
        </w:rPr>
        <w:t>n</w:t>
      </w:r>
      <w:r w:rsidRPr="00663FC3">
        <w:rPr>
          <w:rFonts w:ascii="Times New Roman" w:hAnsi="Times New Roman"/>
          <w:szCs w:val="24"/>
        </w:rPr>
        <w:t xml:space="preserve"> the conservation potential assessment (CPA) with the updated information from the in-progress 2013-2014 program impact evaluation. </w:t>
      </w:r>
      <w:r w:rsidR="00674C68" w:rsidRPr="00663FC3">
        <w:rPr>
          <w:rFonts w:ascii="Times New Roman" w:hAnsi="Times New Roman"/>
          <w:szCs w:val="24"/>
        </w:rPr>
        <w:t xml:space="preserve"> </w:t>
      </w:r>
      <w:r w:rsidR="00A52533" w:rsidRPr="00663FC3">
        <w:rPr>
          <w:rFonts w:ascii="Times New Roman" w:eastAsiaTheme="minorHAnsi" w:hAnsi="Times New Roman"/>
          <w:szCs w:val="24"/>
        </w:rPr>
        <w:t xml:space="preserve">The CPA </w:t>
      </w:r>
      <w:r w:rsidR="00674C68" w:rsidRPr="00663FC3">
        <w:rPr>
          <w:rFonts w:ascii="Times New Roman" w:eastAsiaTheme="minorHAnsi" w:hAnsi="Times New Roman"/>
          <w:szCs w:val="24"/>
        </w:rPr>
        <w:t xml:space="preserve">used </w:t>
      </w:r>
      <w:r w:rsidR="0010290D" w:rsidRPr="00663FC3">
        <w:rPr>
          <w:rFonts w:ascii="Times New Roman" w:eastAsiaTheme="minorHAnsi" w:hAnsi="Times New Roman"/>
          <w:szCs w:val="24"/>
        </w:rPr>
        <w:t xml:space="preserve">unit energy savings values of 583 kWh for refrigerators and </w:t>
      </w:r>
      <w:r w:rsidR="00A52533" w:rsidRPr="00663FC3">
        <w:rPr>
          <w:rFonts w:ascii="Times New Roman" w:eastAsiaTheme="minorHAnsi" w:hAnsi="Times New Roman"/>
          <w:szCs w:val="24"/>
        </w:rPr>
        <w:t>495 kWh for freezers</w:t>
      </w:r>
      <w:r w:rsidR="0010290D" w:rsidRPr="00663FC3">
        <w:rPr>
          <w:rFonts w:ascii="Times New Roman" w:eastAsiaTheme="minorHAnsi" w:hAnsi="Times New Roman"/>
          <w:szCs w:val="24"/>
        </w:rPr>
        <w:t xml:space="preserve"> </w:t>
      </w:r>
      <w:r w:rsidR="00A52533" w:rsidRPr="00663FC3">
        <w:rPr>
          <w:rFonts w:ascii="Times New Roman" w:eastAsiaTheme="minorHAnsi" w:hAnsi="Times New Roman"/>
          <w:szCs w:val="24"/>
        </w:rPr>
        <w:t xml:space="preserve">from the </w:t>
      </w:r>
      <w:r w:rsidR="00674C68" w:rsidRPr="00663FC3">
        <w:rPr>
          <w:rFonts w:ascii="Times New Roman" w:eastAsiaTheme="minorHAnsi" w:hAnsi="Times New Roman"/>
          <w:szCs w:val="24"/>
        </w:rPr>
        <w:t xml:space="preserve">previous </w:t>
      </w:r>
      <w:r w:rsidR="00A52533" w:rsidRPr="00663FC3">
        <w:rPr>
          <w:rFonts w:ascii="Times New Roman" w:eastAsiaTheme="minorHAnsi" w:hAnsi="Times New Roman"/>
          <w:szCs w:val="24"/>
        </w:rPr>
        <w:t>program impact evaluation</w:t>
      </w:r>
      <w:r w:rsidR="00674C68" w:rsidRPr="00663FC3">
        <w:rPr>
          <w:rFonts w:ascii="Times New Roman" w:eastAsiaTheme="minorHAnsi" w:hAnsi="Times New Roman"/>
          <w:szCs w:val="24"/>
        </w:rPr>
        <w:t>,</w:t>
      </w:r>
      <w:r w:rsidR="00A52533" w:rsidRPr="00663FC3">
        <w:rPr>
          <w:rFonts w:ascii="Times New Roman" w:eastAsiaTheme="minorHAnsi" w:hAnsi="Times New Roman"/>
          <w:szCs w:val="24"/>
        </w:rPr>
        <w:t xml:space="preserve"> which </w:t>
      </w:r>
      <w:r w:rsidR="00674C68" w:rsidRPr="00663FC3">
        <w:rPr>
          <w:rFonts w:ascii="Times New Roman" w:eastAsiaTheme="minorHAnsi" w:hAnsi="Times New Roman"/>
          <w:szCs w:val="24"/>
        </w:rPr>
        <w:t xml:space="preserve">used </w:t>
      </w:r>
      <w:r w:rsidR="00A52533" w:rsidRPr="00663FC3">
        <w:rPr>
          <w:rFonts w:ascii="Times New Roman" w:eastAsiaTheme="minorHAnsi" w:hAnsi="Times New Roman"/>
          <w:szCs w:val="24"/>
        </w:rPr>
        <w:t xml:space="preserve">a methodology consistent with the RTF methodology. </w:t>
      </w:r>
    </w:p>
    <w:p w:rsidR="00F8061D" w:rsidRPr="00663FC3" w:rsidRDefault="00F8061D" w:rsidP="0015463D">
      <w:pPr>
        <w:rPr>
          <w:rFonts w:ascii="Times New Roman" w:eastAsiaTheme="minorHAnsi" w:hAnsi="Times New Roman"/>
          <w:szCs w:val="24"/>
        </w:rPr>
      </w:pPr>
    </w:p>
    <w:p w:rsidR="00A52533" w:rsidRPr="00647E55" w:rsidRDefault="00F8061D" w:rsidP="0015463D">
      <w:pPr>
        <w:rPr>
          <w:rFonts w:ascii="Times New Roman" w:eastAsiaTheme="minorHAnsi" w:hAnsi="Times New Roman"/>
          <w:szCs w:val="24"/>
        </w:rPr>
      </w:pPr>
      <w:r w:rsidRPr="00663FC3">
        <w:rPr>
          <w:rFonts w:ascii="Times New Roman" w:eastAsiaTheme="minorHAnsi" w:hAnsi="Times New Roman"/>
          <w:szCs w:val="24"/>
        </w:rPr>
        <w:t>I</w:t>
      </w:r>
      <w:r w:rsidR="00A52533" w:rsidRPr="00663FC3">
        <w:rPr>
          <w:rFonts w:ascii="Times New Roman" w:eastAsiaTheme="minorHAnsi" w:hAnsi="Times New Roman"/>
          <w:szCs w:val="24"/>
        </w:rPr>
        <w:t xml:space="preserve">n August 2015, the Company received draft evaluation results </w:t>
      </w:r>
      <w:r w:rsidR="00674C68" w:rsidRPr="00663FC3">
        <w:rPr>
          <w:rFonts w:ascii="Times New Roman" w:eastAsiaTheme="minorHAnsi" w:hAnsi="Times New Roman"/>
          <w:szCs w:val="24"/>
        </w:rPr>
        <w:t xml:space="preserve">using </w:t>
      </w:r>
      <w:r w:rsidR="00A52533" w:rsidRPr="00663FC3">
        <w:rPr>
          <w:rFonts w:ascii="Times New Roman" w:eastAsiaTheme="minorHAnsi" w:hAnsi="Times New Roman"/>
          <w:szCs w:val="24"/>
        </w:rPr>
        <w:t>the U</w:t>
      </w:r>
      <w:r w:rsidR="0010290D" w:rsidRPr="00663FC3">
        <w:rPr>
          <w:rFonts w:ascii="Times New Roman" w:eastAsiaTheme="minorHAnsi" w:hAnsi="Times New Roman"/>
          <w:szCs w:val="24"/>
        </w:rPr>
        <w:t xml:space="preserve">MP </w:t>
      </w:r>
      <w:r w:rsidR="00A52533" w:rsidRPr="00663FC3">
        <w:rPr>
          <w:rFonts w:ascii="Times New Roman" w:eastAsiaTheme="minorHAnsi" w:hAnsi="Times New Roman"/>
          <w:szCs w:val="24"/>
        </w:rPr>
        <w:t xml:space="preserve">methodology for appliance recycling, which is consistent with the current RTF methodology. </w:t>
      </w:r>
      <w:r w:rsidR="00674C68" w:rsidRPr="00663FC3">
        <w:rPr>
          <w:rFonts w:ascii="Times New Roman" w:eastAsiaTheme="minorHAnsi" w:hAnsi="Times New Roman"/>
          <w:szCs w:val="24"/>
        </w:rPr>
        <w:t xml:space="preserve"> </w:t>
      </w:r>
      <w:r w:rsidR="00A52533" w:rsidRPr="00663FC3">
        <w:rPr>
          <w:rFonts w:ascii="Times New Roman" w:eastAsiaTheme="minorHAnsi" w:hAnsi="Times New Roman"/>
          <w:szCs w:val="24"/>
        </w:rPr>
        <w:t xml:space="preserve">This evaluation </w:t>
      </w:r>
      <w:r w:rsidR="00674C68" w:rsidRPr="00663FC3">
        <w:rPr>
          <w:rFonts w:ascii="Times New Roman" w:eastAsiaTheme="minorHAnsi" w:hAnsi="Times New Roman"/>
          <w:szCs w:val="24"/>
        </w:rPr>
        <w:t xml:space="preserve">used </w:t>
      </w:r>
      <w:r w:rsidR="00A52533" w:rsidRPr="00663FC3">
        <w:rPr>
          <w:rFonts w:ascii="Times New Roman" w:eastAsiaTheme="minorHAnsi" w:hAnsi="Times New Roman"/>
          <w:szCs w:val="24"/>
        </w:rPr>
        <w:t xml:space="preserve">a set of legacy RTF values (50% </w:t>
      </w:r>
      <w:r w:rsidRPr="00663FC3">
        <w:rPr>
          <w:rFonts w:ascii="Times New Roman" w:eastAsiaTheme="minorHAnsi" w:hAnsi="Times New Roman"/>
          <w:szCs w:val="24"/>
        </w:rPr>
        <w:t>“</w:t>
      </w:r>
      <w:r w:rsidR="00A52533" w:rsidRPr="00663FC3">
        <w:rPr>
          <w:rFonts w:ascii="Times New Roman" w:eastAsiaTheme="minorHAnsi" w:hAnsi="Times New Roman"/>
          <w:szCs w:val="24"/>
        </w:rPr>
        <w:t>yes</w:t>
      </w:r>
      <w:r w:rsidRPr="00663FC3">
        <w:rPr>
          <w:rFonts w:ascii="Times New Roman" w:eastAsiaTheme="minorHAnsi" w:hAnsi="Times New Roman"/>
          <w:szCs w:val="24"/>
        </w:rPr>
        <w:t>”</w:t>
      </w:r>
      <w:r w:rsidR="00A52533" w:rsidRPr="00663FC3">
        <w:rPr>
          <w:rFonts w:ascii="Times New Roman" w:eastAsiaTheme="minorHAnsi" w:hAnsi="Times New Roman"/>
          <w:szCs w:val="24"/>
        </w:rPr>
        <w:t xml:space="preserve">, 50% </w:t>
      </w:r>
      <w:r w:rsidRPr="00663FC3">
        <w:rPr>
          <w:rFonts w:ascii="Times New Roman" w:eastAsiaTheme="minorHAnsi" w:hAnsi="Times New Roman"/>
          <w:szCs w:val="24"/>
        </w:rPr>
        <w:t>“</w:t>
      </w:r>
      <w:r w:rsidR="00A52533" w:rsidRPr="00663FC3">
        <w:rPr>
          <w:rFonts w:ascii="Times New Roman" w:eastAsiaTheme="minorHAnsi" w:hAnsi="Times New Roman"/>
          <w:szCs w:val="24"/>
        </w:rPr>
        <w:t>no</w:t>
      </w:r>
      <w:r w:rsidRPr="00663FC3">
        <w:rPr>
          <w:rFonts w:ascii="Times New Roman" w:eastAsiaTheme="minorHAnsi" w:hAnsi="Times New Roman"/>
          <w:szCs w:val="24"/>
        </w:rPr>
        <w:t>”</w:t>
      </w:r>
      <w:r w:rsidR="00A52533" w:rsidRPr="00663FC3">
        <w:rPr>
          <w:rFonts w:ascii="Times New Roman" w:eastAsiaTheme="minorHAnsi" w:hAnsi="Times New Roman"/>
          <w:szCs w:val="24"/>
        </w:rPr>
        <w:t xml:space="preserve">) in response to </w:t>
      </w:r>
      <w:r w:rsidRPr="00663FC3">
        <w:rPr>
          <w:rFonts w:ascii="Times New Roman" w:eastAsiaTheme="minorHAnsi" w:hAnsi="Times New Roman"/>
          <w:szCs w:val="24"/>
        </w:rPr>
        <w:t xml:space="preserve">a protocol question about </w:t>
      </w:r>
      <w:r w:rsidR="00A52533" w:rsidRPr="00663FC3">
        <w:rPr>
          <w:rFonts w:ascii="Times New Roman" w:eastAsiaTheme="minorHAnsi" w:hAnsi="Times New Roman"/>
          <w:szCs w:val="24"/>
        </w:rPr>
        <w:t>whether the “would-be acquirer finds an alternate unit</w:t>
      </w:r>
      <w:r w:rsidR="00674C68" w:rsidRPr="00663FC3">
        <w:rPr>
          <w:rFonts w:ascii="Times New Roman" w:eastAsiaTheme="minorHAnsi" w:hAnsi="Times New Roman"/>
          <w:szCs w:val="24"/>
        </w:rPr>
        <w:t>.</w:t>
      </w:r>
      <w:r w:rsidR="00A52533" w:rsidRPr="00663FC3">
        <w:rPr>
          <w:rFonts w:ascii="Times New Roman" w:eastAsiaTheme="minorHAnsi" w:hAnsi="Times New Roman"/>
          <w:szCs w:val="24"/>
        </w:rPr>
        <w:t>”</w:t>
      </w:r>
      <w:r w:rsidRPr="00663FC3">
        <w:rPr>
          <w:rFonts w:ascii="Times New Roman" w:eastAsiaTheme="minorHAnsi" w:hAnsi="Times New Roman"/>
          <w:szCs w:val="24"/>
        </w:rPr>
        <w:t xml:space="preserve">  </w:t>
      </w:r>
      <w:r w:rsidR="00F6202B" w:rsidRPr="00663FC3">
        <w:rPr>
          <w:rFonts w:ascii="Times New Roman" w:eastAsiaTheme="minorHAnsi" w:hAnsi="Times New Roman"/>
          <w:szCs w:val="24"/>
        </w:rPr>
        <w:t>The revised unit energy savings for refrigerators decline</w:t>
      </w:r>
      <w:r w:rsidR="00674C68" w:rsidRPr="00663FC3">
        <w:rPr>
          <w:rFonts w:ascii="Times New Roman" w:eastAsiaTheme="minorHAnsi" w:hAnsi="Times New Roman"/>
          <w:szCs w:val="24"/>
        </w:rPr>
        <w:t>d</w:t>
      </w:r>
      <w:r w:rsidR="00F6202B" w:rsidRPr="00663FC3">
        <w:rPr>
          <w:rFonts w:ascii="Times New Roman" w:eastAsiaTheme="minorHAnsi" w:hAnsi="Times New Roman"/>
          <w:szCs w:val="24"/>
        </w:rPr>
        <w:t xml:space="preserve"> to 328 kWh. </w:t>
      </w:r>
      <w:r w:rsidR="00674C68" w:rsidRPr="00663FC3">
        <w:rPr>
          <w:rFonts w:ascii="Times New Roman" w:eastAsiaTheme="minorHAnsi" w:hAnsi="Times New Roman"/>
          <w:szCs w:val="24"/>
        </w:rPr>
        <w:t xml:space="preserve"> </w:t>
      </w:r>
      <w:r w:rsidR="00F6202B" w:rsidRPr="00663FC3">
        <w:rPr>
          <w:rFonts w:ascii="Times New Roman" w:eastAsiaTheme="minorHAnsi" w:hAnsi="Times New Roman"/>
          <w:szCs w:val="24"/>
        </w:rPr>
        <w:t>Freezers decline</w:t>
      </w:r>
      <w:r w:rsidR="00674C68" w:rsidRPr="00663FC3">
        <w:rPr>
          <w:rFonts w:ascii="Times New Roman" w:eastAsiaTheme="minorHAnsi" w:hAnsi="Times New Roman"/>
          <w:szCs w:val="24"/>
        </w:rPr>
        <w:t>d</w:t>
      </w:r>
      <w:r w:rsidR="00F6202B" w:rsidRPr="00663FC3">
        <w:rPr>
          <w:rFonts w:ascii="Times New Roman" w:eastAsiaTheme="minorHAnsi" w:hAnsi="Times New Roman"/>
          <w:szCs w:val="24"/>
        </w:rPr>
        <w:t xml:space="preserve"> to 321 kWh. </w:t>
      </w:r>
      <w:r w:rsidR="00674C68" w:rsidRPr="00663FC3">
        <w:rPr>
          <w:rFonts w:ascii="Times New Roman" w:eastAsiaTheme="minorHAnsi" w:hAnsi="Times New Roman"/>
          <w:szCs w:val="24"/>
        </w:rPr>
        <w:t xml:space="preserve"> </w:t>
      </w:r>
      <w:r w:rsidR="00A52533" w:rsidRPr="00663FC3">
        <w:rPr>
          <w:rFonts w:ascii="Times New Roman" w:eastAsiaTheme="minorHAnsi" w:hAnsi="Times New Roman"/>
          <w:szCs w:val="24"/>
        </w:rPr>
        <w:t xml:space="preserve">Table </w:t>
      </w:r>
      <w:r w:rsidR="00F6202B" w:rsidRPr="00663FC3">
        <w:rPr>
          <w:rFonts w:ascii="Times New Roman" w:eastAsiaTheme="minorHAnsi" w:hAnsi="Times New Roman"/>
          <w:szCs w:val="24"/>
        </w:rPr>
        <w:t xml:space="preserve">10 in </w:t>
      </w:r>
      <w:r w:rsidR="00901C36">
        <w:rPr>
          <w:rFonts w:ascii="Times New Roman" w:eastAsiaTheme="minorHAnsi" w:hAnsi="Times New Roman"/>
          <w:szCs w:val="24"/>
        </w:rPr>
        <w:t xml:space="preserve">the </w:t>
      </w:r>
      <w:r w:rsidR="00DB3CE0" w:rsidRPr="00663FC3">
        <w:rPr>
          <w:rFonts w:ascii="Times New Roman" w:eastAsiaTheme="minorHAnsi" w:hAnsi="Times New Roman"/>
          <w:szCs w:val="24"/>
        </w:rPr>
        <w:t>Cadmus September 18, 2015 Results Memo</w:t>
      </w:r>
      <w:r w:rsidR="00901C36">
        <w:rPr>
          <w:rFonts w:ascii="Times New Roman" w:eastAsiaTheme="minorHAnsi" w:hAnsi="Times New Roman"/>
          <w:szCs w:val="24"/>
        </w:rPr>
        <w:t>,</w:t>
      </w:r>
      <w:r w:rsidR="00DB3CE0" w:rsidRPr="00663FC3">
        <w:rPr>
          <w:rFonts w:ascii="Times New Roman" w:eastAsiaTheme="minorHAnsi" w:hAnsi="Times New Roman"/>
          <w:szCs w:val="24"/>
        </w:rPr>
        <w:t xml:space="preserve"> included as A</w:t>
      </w:r>
      <w:r w:rsidR="00F6202B" w:rsidRPr="00663FC3">
        <w:rPr>
          <w:rFonts w:ascii="Times New Roman" w:eastAsiaTheme="minorHAnsi" w:hAnsi="Times New Roman"/>
          <w:szCs w:val="24"/>
        </w:rPr>
        <w:t xml:space="preserve">ttachment </w:t>
      </w:r>
      <w:r w:rsidR="00674C68" w:rsidRPr="00682751">
        <w:rPr>
          <w:rFonts w:ascii="Times New Roman" w:eastAsiaTheme="minorHAnsi" w:hAnsi="Times New Roman"/>
          <w:szCs w:val="24"/>
        </w:rPr>
        <w:t>1</w:t>
      </w:r>
      <w:r w:rsidR="00901C36">
        <w:rPr>
          <w:rFonts w:ascii="Times New Roman" w:eastAsiaTheme="minorHAnsi" w:hAnsi="Times New Roman"/>
          <w:szCs w:val="24"/>
        </w:rPr>
        <w:t>,</w:t>
      </w:r>
      <w:r w:rsidR="00674C68" w:rsidRPr="00682751">
        <w:rPr>
          <w:rFonts w:ascii="Times New Roman" w:eastAsiaTheme="minorHAnsi" w:hAnsi="Times New Roman"/>
          <w:szCs w:val="24"/>
        </w:rPr>
        <w:t xml:space="preserve"> </w:t>
      </w:r>
      <w:r w:rsidR="00F6202B" w:rsidRPr="00682751">
        <w:rPr>
          <w:rFonts w:ascii="Times New Roman" w:eastAsiaTheme="minorHAnsi" w:hAnsi="Times New Roman"/>
          <w:szCs w:val="24"/>
        </w:rPr>
        <w:t>provides additional information on the key fact</w:t>
      </w:r>
      <w:r w:rsidR="00F6202B" w:rsidRPr="00663FC3">
        <w:rPr>
          <w:rFonts w:ascii="Times New Roman" w:eastAsiaTheme="minorHAnsi" w:hAnsi="Times New Roman"/>
          <w:szCs w:val="24"/>
        </w:rPr>
        <w:t xml:space="preserve">ors </w:t>
      </w:r>
      <w:r w:rsidR="0015614C" w:rsidRPr="00663FC3">
        <w:rPr>
          <w:rFonts w:ascii="Times New Roman" w:eastAsiaTheme="minorHAnsi" w:hAnsi="Times New Roman"/>
          <w:szCs w:val="24"/>
        </w:rPr>
        <w:t xml:space="preserve">contributing to these </w:t>
      </w:r>
      <w:r w:rsidR="00F6202B" w:rsidRPr="00663FC3">
        <w:rPr>
          <w:rFonts w:ascii="Times New Roman" w:eastAsiaTheme="minorHAnsi" w:hAnsi="Times New Roman"/>
          <w:szCs w:val="24"/>
        </w:rPr>
        <w:t>revised values.</w:t>
      </w:r>
      <w:r w:rsidR="00F6202B" w:rsidRPr="00647E55">
        <w:rPr>
          <w:rFonts w:ascii="Times New Roman" w:eastAsiaTheme="minorHAnsi" w:hAnsi="Times New Roman"/>
          <w:szCs w:val="24"/>
        </w:rPr>
        <w:t xml:space="preserve"> </w:t>
      </w:r>
    </w:p>
    <w:p w:rsidR="00A52533" w:rsidRPr="00647E55" w:rsidRDefault="00A52533" w:rsidP="00647E55">
      <w:pPr>
        <w:rPr>
          <w:rFonts w:ascii="Times New Roman" w:eastAsiaTheme="minorHAnsi" w:hAnsi="Times New Roman"/>
          <w:szCs w:val="24"/>
          <w:u w:val="single"/>
        </w:rPr>
      </w:pPr>
    </w:p>
    <w:p w:rsidR="00A52533" w:rsidRPr="00647E55" w:rsidRDefault="001D1145" w:rsidP="00647E55">
      <w:pPr>
        <w:rPr>
          <w:rFonts w:ascii="Times New Roman" w:eastAsiaTheme="minorHAnsi" w:hAnsi="Times New Roman"/>
          <w:szCs w:val="24"/>
        </w:rPr>
      </w:pPr>
      <w:r w:rsidRPr="00647E55">
        <w:rPr>
          <w:rFonts w:ascii="Times New Roman" w:eastAsiaTheme="minorHAnsi" w:hAnsi="Times New Roman"/>
          <w:szCs w:val="24"/>
        </w:rPr>
        <w:t xml:space="preserve">During the </w:t>
      </w:r>
      <w:r w:rsidR="0015614C" w:rsidRPr="00647E55">
        <w:rPr>
          <w:rFonts w:ascii="Times New Roman" w:eastAsiaTheme="minorHAnsi" w:hAnsi="Times New Roman"/>
          <w:szCs w:val="24"/>
        </w:rPr>
        <w:t xml:space="preserve">latter part of the </w:t>
      </w:r>
      <w:r w:rsidRPr="00647E55">
        <w:rPr>
          <w:rFonts w:ascii="Times New Roman" w:eastAsiaTheme="minorHAnsi" w:hAnsi="Times New Roman"/>
          <w:szCs w:val="24"/>
        </w:rPr>
        <w:t>conservation forecast process</w:t>
      </w:r>
      <w:r w:rsidR="0015614C" w:rsidRPr="00647E55">
        <w:rPr>
          <w:rFonts w:ascii="Times New Roman" w:eastAsiaTheme="minorHAnsi" w:hAnsi="Times New Roman"/>
          <w:szCs w:val="24"/>
        </w:rPr>
        <w:t xml:space="preserve"> (August/September 2015)</w:t>
      </w:r>
      <w:r w:rsidRPr="00647E55">
        <w:rPr>
          <w:rFonts w:ascii="Times New Roman" w:eastAsiaTheme="minorHAnsi" w:hAnsi="Times New Roman"/>
          <w:szCs w:val="24"/>
        </w:rPr>
        <w:t>, t</w:t>
      </w:r>
      <w:r w:rsidR="00A52533" w:rsidRPr="00647E55">
        <w:rPr>
          <w:rFonts w:ascii="Times New Roman" w:eastAsiaTheme="minorHAnsi" w:hAnsi="Times New Roman"/>
          <w:szCs w:val="24"/>
        </w:rPr>
        <w:t>he RTF updat</w:t>
      </w:r>
      <w:r w:rsidRPr="00647E55">
        <w:rPr>
          <w:rFonts w:ascii="Times New Roman" w:eastAsiaTheme="minorHAnsi" w:hAnsi="Times New Roman"/>
          <w:szCs w:val="24"/>
        </w:rPr>
        <w:t xml:space="preserve">ed </w:t>
      </w:r>
      <w:r w:rsidR="00A52533" w:rsidRPr="00647E55">
        <w:rPr>
          <w:rFonts w:ascii="Times New Roman" w:eastAsiaTheme="minorHAnsi" w:hAnsi="Times New Roman"/>
          <w:szCs w:val="24"/>
        </w:rPr>
        <w:t>the</w:t>
      </w:r>
      <w:r w:rsidRPr="00647E55">
        <w:rPr>
          <w:rFonts w:ascii="Times New Roman" w:eastAsiaTheme="minorHAnsi" w:hAnsi="Times New Roman"/>
          <w:szCs w:val="24"/>
        </w:rPr>
        <w:t>ir</w:t>
      </w:r>
      <w:r w:rsidR="00A52533" w:rsidRPr="00647E55">
        <w:rPr>
          <w:rFonts w:ascii="Times New Roman" w:eastAsiaTheme="minorHAnsi" w:hAnsi="Times New Roman"/>
          <w:szCs w:val="24"/>
        </w:rPr>
        <w:t xml:space="preserve"> unit energy savings for appliance recycling. While the </w:t>
      </w:r>
      <w:r w:rsidR="00674C68">
        <w:rPr>
          <w:rFonts w:ascii="Times New Roman" w:eastAsiaTheme="minorHAnsi" w:hAnsi="Times New Roman"/>
          <w:szCs w:val="24"/>
        </w:rPr>
        <w:t>C</w:t>
      </w:r>
      <w:r w:rsidRPr="0015463D">
        <w:rPr>
          <w:rFonts w:ascii="Times New Roman" w:eastAsiaTheme="minorHAnsi" w:hAnsi="Times New Roman"/>
          <w:szCs w:val="24"/>
        </w:rPr>
        <w:t xml:space="preserve">ompany </w:t>
      </w:r>
      <w:r w:rsidR="00674C68">
        <w:rPr>
          <w:rFonts w:ascii="Times New Roman" w:eastAsiaTheme="minorHAnsi" w:hAnsi="Times New Roman"/>
          <w:szCs w:val="24"/>
        </w:rPr>
        <w:t>used</w:t>
      </w:r>
      <w:r w:rsidR="00674C68" w:rsidRPr="0015463D">
        <w:rPr>
          <w:rFonts w:ascii="Times New Roman" w:eastAsiaTheme="minorHAnsi" w:hAnsi="Times New Roman"/>
          <w:szCs w:val="24"/>
        </w:rPr>
        <w:t xml:space="preserve"> </w:t>
      </w:r>
      <w:r w:rsidRPr="0015463D">
        <w:rPr>
          <w:rFonts w:ascii="Times New Roman" w:eastAsiaTheme="minorHAnsi" w:hAnsi="Times New Roman"/>
          <w:szCs w:val="24"/>
        </w:rPr>
        <w:t xml:space="preserve">the RTF methodology, but not the unit energy savings values </w:t>
      </w:r>
      <w:r w:rsidR="0015614C" w:rsidRPr="00647E55">
        <w:rPr>
          <w:rFonts w:ascii="Times New Roman" w:eastAsiaTheme="minorHAnsi" w:hAnsi="Times New Roman"/>
          <w:szCs w:val="24"/>
        </w:rPr>
        <w:t>(</w:t>
      </w:r>
      <w:r w:rsidRPr="00647E55">
        <w:rPr>
          <w:rFonts w:ascii="Times New Roman" w:eastAsiaTheme="minorHAnsi" w:hAnsi="Times New Roman"/>
          <w:szCs w:val="24"/>
        </w:rPr>
        <w:t>which are more applicable to the region as a whole</w:t>
      </w:r>
      <w:r w:rsidR="0015614C" w:rsidRPr="00415699">
        <w:rPr>
          <w:rFonts w:ascii="Times New Roman" w:eastAsiaTheme="minorHAnsi" w:hAnsi="Times New Roman"/>
          <w:szCs w:val="24"/>
        </w:rPr>
        <w:t>)</w:t>
      </w:r>
      <w:r w:rsidRPr="00415699">
        <w:rPr>
          <w:rFonts w:ascii="Times New Roman" w:eastAsiaTheme="minorHAnsi" w:hAnsi="Times New Roman"/>
          <w:szCs w:val="24"/>
        </w:rPr>
        <w:t xml:space="preserve">, </w:t>
      </w:r>
      <w:r w:rsidR="00A52533" w:rsidRPr="00415699">
        <w:rPr>
          <w:rFonts w:ascii="Times New Roman" w:eastAsiaTheme="minorHAnsi" w:hAnsi="Times New Roman"/>
          <w:szCs w:val="24"/>
        </w:rPr>
        <w:t xml:space="preserve">the </w:t>
      </w:r>
      <w:r w:rsidR="00674C68">
        <w:rPr>
          <w:rFonts w:ascii="Times New Roman" w:eastAsiaTheme="minorHAnsi" w:hAnsi="Times New Roman"/>
          <w:szCs w:val="24"/>
        </w:rPr>
        <w:t>C</w:t>
      </w:r>
      <w:r w:rsidRPr="0015463D">
        <w:rPr>
          <w:rFonts w:ascii="Times New Roman" w:eastAsiaTheme="minorHAnsi" w:hAnsi="Times New Roman"/>
          <w:szCs w:val="24"/>
        </w:rPr>
        <w:t>ompany’</w:t>
      </w:r>
      <w:r w:rsidR="00674C68">
        <w:rPr>
          <w:rFonts w:ascii="Times New Roman" w:eastAsiaTheme="minorHAnsi" w:hAnsi="Times New Roman"/>
          <w:szCs w:val="24"/>
        </w:rPr>
        <w:t>s</w:t>
      </w:r>
      <w:r w:rsidRPr="0015463D">
        <w:rPr>
          <w:rFonts w:ascii="Times New Roman" w:eastAsiaTheme="minorHAnsi" w:hAnsi="Times New Roman"/>
          <w:szCs w:val="24"/>
        </w:rPr>
        <w:t xml:space="preserve"> evaluation team at Cadmus </w:t>
      </w:r>
      <w:r w:rsidR="00674C68">
        <w:rPr>
          <w:rFonts w:ascii="Times New Roman" w:eastAsiaTheme="minorHAnsi" w:hAnsi="Times New Roman"/>
          <w:szCs w:val="24"/>
        </w:rPr>
        <w:t>stayed</w:t>
      </w:r>
      <w:r w:rsidR="0015614C" w:rsidRPr="0015463D">
        <w:rPr>
          <w:rFonts w:ascii="Times New Roman" w:eastAsiaTheme="minorHAnsi" w:hAnsi="Times New Roman"/>
          <w:szCs w:val="24"/>
        </w:rPr>
        <w:t xml:space="preserve"> connected with the RTF update process to ensure alignment. </w:t>
      </w:r>
      <w:r w:rsidR="00674C68">
        <w:rPr>
          <w:rFonts w:ascii="Times New Roman" w:eastAsiaTheme="minorHAnsi" w:hAnsi="Times New Roman"/>
          <w:szCs w:val="24"/>
        </w:rPr>
        <w:t xml:space="preserve"> </w:t>
      </w:r>
      <w:r w:rsidR="0015614C" w:rsidRPr="0015463D">
        <w:rPr>
          <w:rFonts w:ascii="Times New Roman" w:eastAsiaTheme="minorHAnsi" w:hAnsi="Times New Roman"/>
          <w:szCs w:val="24"/>
        </w:rPr>
        <w:t xml:space="preserve">The </w:t>
      </w:r>
      <w:r w:rsidR="00A52533" w:rsidRPr="0015463D">
        <w:rPr>
          <w:rFonts w:ascii="Times New Roman" w:eastAsiaTheme="minorHAnsi" w:hAnsi="Times New Roman"/>
          <w:szCs w:val="24"/>
        </w:rPr>
        <w:t xml:space="preserve">RTF </w:t>
      </w:r>
      <w:r w:rsidR="0015614C" w:rsidRPr="0015463D">
        <w:rPr>
          <w:rFonts w:ascii="Times New Roman" w:eastAsiaTheme="minorHAnsi" w:hAnsi="Times New Roman"/>
          <w:szCs w:val="24"/>
        </w:rPr>
        <w:t>updates, appr</w:t>
      </w:r>
      <w:r w:rsidR="0015614C" w:rsidRPr="00647E55">
        <w:rPr>
          <w:rFonts w:ascii="Times New Roman" w:eastAsiaTheme="minorHAnsi" w:hAnsi="Times New Roman"/>
          <w:szCs w:val="24"/>
        </w:rPr>
        <w:t xml:space="preserve">oved at the September meeting changed the </w:t>
      </w:r>
      <w:r w:rsidR="00A52533" w:rsidRPr="00647E55">
        <w:rPr>
          <w:rFonts w:ascii="Times New Roman" w:eastAsiaTheme="minorHAnsi" w:hAnsi="Times New Roman"/>
          <w:szCs w:val="24"/>
        </w:rPr>
        <w:t>values incorporated in the “would</w:t>
      </w:r>
      <w:r w:rsidR="00674C68">
        <w:rPr>
          <w:rFonts w:ascii="Times New Roman" w:eastAsiaTheme="minorHAnsi" w:hAnsi="Times New Roman"/>
          <w:szCs w:val="24"/>
        </w:rPr>
        <w:t>-</w:t>
      </w:r>
      <w:r w:rsidR="00A52533" w:rsidRPr="0015463D">
        <w:rPr>
          <w:rFonts w:ascii="Times New Roman" w:eastAsiaTheme="minorHAnsi" w:hAnsi="Times New Roman"/>
          <w:szCs w:val="24"/>
        </w:rPr>
        <w:t xml:space="preserve">be acquirer” program logic question to 75% </w:t>
      </w:r>
      <w:r w:rsidR="0015614C" w:rsidRPr="0015463D">
        <w:rPr>
          <w:rFonts w:ascii="Times New Roman" w:eastAsiaTheme="minorHAnsi" w:hAnsi="Times New Roman"/>
          <w:szCs w:val="24"/>
        </w:rPr>
        <w:t>“</w:t>
      </w:r>
      <w:r w:rsidR="00A52533" w:rsidRPr="00647E55">
        <w:rPr>
          <w:rFonts w:ascii="Times New Roman" w:eastAsiaTheme="minorHAnsi" w:hAnsi="Times New Roman"/>
          <w:szCs w:val="24"/>
        </w:rPr>
        <w:t>yes</w:t>
      </w:r>
      <w:r w:rsidR="0015614C" w:rsidRPr="00647E55">
        <w:rPr>
          <w:rFonts w:ascii="Times New Roman" w:eastAsiaTheme="minorHAnsi" w:hAnsi="Times New Roman"/>
          <w:szCs w:val="24"/>
        </w:rPr>
        <w:t>”</w:t>
      </w:r>
      <w:r w:rsidR="00A52533" w:rsidRPr="00647E55">
        <w:rPr>
          <w:rFonts w:ascii="Times New Roman" w:eastAsiaTheme="minorHAnsi" w:hAnsi="Times New Roman"/>
          <w:szCs w:val="24"/>
        </w:rPr>
        <w:t xml:space="preserve">, 25% </w:t>
      </w:r>
      <w:r w:rsidR="0015614C" w:rsidRPr="00647E55">
        <w:rPr>
          <w:rFonts w:ascii="Times New Roman" w:eastAsiaTheme="minorHAnsi" w:hAnsi="Times New Roman"/>
          <w:szCs w:val="24"/>
        </w:rPr>
        <w:t>“</w:t>
      </w:r>
      <w:r w:rsidR="00A52533" w:rsidRPr="00647E55">
        <w:rPr>
          <w:rFonts w:ascii="Times New Roman" w:eastAsiaTheme="minorHAnsi" w:hAnsi="Times New Roman"/>
          <w:szCs w:val="24"/>
        </w:rPr>
        <w:t>no</w:t>
      </w:r>
      <w:r w:rsidR="0015614C" w:rsidRPr="00647E55">
        <w:rPr>
          <w:rFonts w:ascii="Times New Roman" w:eastAsiaTheme="minorHAnsi" w:hAnsi="Times New Roman"/>
          <w:szCs w:val="24"/>
        </w:rPr>
        <w:t>”</w:t>
      </w:r>
      <w:r w:rsidR="00A52533" w:rsidRPr="00647E55">
        <w:rPr>
          <w:rFonts w:ascii="Times New Roman" w:eastAsiaTheme="minorHAnsi" w:hAnsi="Times New Roman"/>
          <w:szCs w:val="24"/>
        </w:rPr>
        <w:t xml:space="preserve">, </w:t>
      </w:r>
      <w:r w:rsidR="0015614C" w:rsidRPr="00647E55">
        <w:rPr>
          <w:rFonts w:ascii="Times New Roman" w:eastAsiaTheme="minorHAnsi" w:hAnsi="Times New Roman"/>
          <w:szCs w:val="24"/>
        </w:rPr>
        <w:t xml:space="preserve">When these factors </w:t>
      </w:r>
      <w:r w:rsidR="00674C68">
        <w:rPr>
          <w:rFonts w:ascii="Times New Roman" w:eastAsiaTheme="minorHAnsi" w:hAnsi="Times New Roman"/>
          <w:szCs w:val="24"/>
        </w:rPr>
        <w:t>we</w:t>
      </w:r>
      <w:r w:rsidR="0015614C" w:rsidRPr="0015463D">
        <w:rPr>
          <w:rFonts w:ascii="Times New Roman" w:eastAsiaTheme="minorHAnsi" w:hAnsi="Times New Roman"/>
          <w:szCs w:val="24"/>
        </w:rPr>
        <w:t xml:space="preserve">re incorporated into the </w:t>
      </w:r>
      <w:r w:rsidR="00674C68">
        <w:rPr>
          <w:rFonts w:ascii="Times New Roman" w:eastAsiaTheme="minorHAnsi" w:hAnsi="Times New Roman"/>
          <w:szCs w:val="24"/>
        </w:rPr>
        <w:t>C</w:t>
      </w:r>
      <w:r w:rsidR="0015614C" w:rsidRPr="0015463D">
        <w:rPr>
          <w:rFonts w:ascii="Times New Roman" w:eastAsiaTheme="minorHAnsi" w:hAnsi="Times New Roman"/>
          <w:szCs w:val="24"/>
        </w:rPr>
        <w:t>ompany’s evaluation results, they further lower</w:t>
      </w:r>
      <w:r w:rsidR="00674C68">
        <w:rPr>
          <w:rFonts w:ascii="Times New Roman" w:eastAsiaTheme="minorHAnsi" w:hAnsi="Times New Roman"/>
          <w:szCs w:val="24"/>
        </w:rPr>
        <w:t>ed</w:t>
      </w:r>
      <w:r w:rsidR="0015614C" w:rsidRPr="0015463D">
        <w:rPr>
          <w:rFonts w:ascii="Times New Roman" w:eastAsiaTheme="minorHAnsi" w:hAnsi="Times New Roman"/>
          <w:szCs w:val="24"/>
        </w:rPr>
        <w:t xml:space="preserve"> the unit energy savings to 299 kWh for refrigerators and 265 kWh for freezers. </w:t>
      </w:r>
      <w:r w:rsidR="00674C68">
        <w:rPr>
          <w:rFonts w:ascii="Times New Roman" w:eastAsiaTheme="minorHAnsi" w:hAnsi="Times New Roman"/>
          <w:szCs w:val="24"/>
        </w:rPr>
        <w:t xml:space="preserve"> </w:t>
      </w:r>
      <w:r w:rsidR="00A52533" w:rsidRPr="0015463D">
        <w:rPr>
          <w:rFonts w:ascii="Times New Roman" w:eastAsiaTheme="minorHAnsi" w:hAnsi="Times New Roman"/>
          <w:szCs w:val="24"/>
        </w:rPr>
        <w:t xml:space="preserve">Table </w:t>
      </w:r>
      <w:r w:rsidR="0015614C" w:rsidRPr="0015463D">
        <w:rPr>
          <w:rFonts w:ascii="Times New Roman" w:eastAsiaTheme="minorHAnsi" w:hAnsi="Times New Roman"/>
          <w:szCs w:val="24"/>
        </w:rPr>
        <w:t xml:space="preserve">11 in Attachment </w:t>
      </w:r>
      <w:r w:rsidR="00674C68">
        <w:rPr>
          <w:rFonts w:ascii="Times New Roman" w:eastAsiaTheme="minorHAnsi" w:hAnsi="Times New Roman"/>
          <w:szCs w:val="24"/>
        </w:rPr>
        <w:t>1</w:t>
      </w:r>
      <w:r w:rsidR="00674C68" w:rsidRPr="0015463D">
        <w:rPr>
          <w:rFonts w:ascii="Times New Roman" w:eastAsiaTheme="minorHAnsi" w:hAnsi="Times New Roman"/>
          <w:szCs w:val="24"/>
        </w:rPr>
        <w:t xml:space="preserve"> </w:t>
      </w:r>
      <w:r w:rsidR="0015614C" w:rsidRPr="0015463D">
        <w:rPr>
          <w:rFonts w:ascii="Times New Roman" w:eastAsiaTheme="minorHAnsi" w:hAnsi="Times New Roman"/>
          <w:szCs w:val="24"/>
        </w:rPr>
        <w:t xml:space="preserve">provides additional information on key factors contributing to these revised values. </w:t>
      </w:r>
      <w:r w:rsidR="00DB3CE0" w:rsidRPr="00647E55">
        <w:rPr>
          <w:rFonts w:ascii="Times New Roman" w:eastAsiaTheme="minorHAnsi" w:hAnsi="Times New Roman"/>
          <w:szCs w:val="24"/>
        </w:rPr>
        <w:t xml:space="preserve"> </w:t>
      </w:r>
    </w:p>
    <w:p w:rsidR="00A52533" w:rsidRPr="00415699" w:rsidRDefault="00A52533" w:rsidP="00647E55">
      <w:pPr>
        <w:rPr>
          <w:rFonts w:ascii="Times New Roman" w:eastAsiaTheme="minorHAnsi" w:hAnsi="Times New Roman"/>
          <w:b/>
          <w:szCs w:val="24"/>
        </w:rPr>
      </w:pPr>
    </w:p>
    <w:p w:rsidR="00A52533" w:rsidRPr="00647E55" w:rsidRDefault="00DB3CE0" w:rsidP="0015463D">
      <w:pPr>
        <w:rPr>
          <w:rFonts w:ascii="Times New Roman" w:hAnsi="Times New Roman"/>
          <w:szCs w:val="24"/>
        </w:rPr>
      </w:pPr>
      <w:r w:rsidRPr="00663FC3">
        <w:rPr>
          <w:rFonts w:ascii="Times New Roman" w:hAnsi="Times New Roman"/>
          <w:szCs w:val="24"/>
        </w:rPr>
        <w:t>The Company and the</w:t>
      </w:r>
      <w:r w:rsidR="00674C68" w:rsidRPr="00663FC3">
        <w:rPr>
          <w:rFonts w:ascii="Times New Roman" w:hAnsi="Times New Roman"/>
          <w:szCs w:val="24"/>
        </w:rPr>
        <w:t xml:space="preserve"> </w:t>
      </w:r>
      <w:r w:rsidR="001027E4" w:rsidRPr="00663FC3">
        <w:rPr>
          <w:rFonts w:ascii="Times New Roman" w:hAnsi="Times New Roman"/>
          <w:szCs w:val="24"/>
        </w:rPr>
        <w:t xml:space="preserve">Washington </w:t>
      </w:r>
      <w:r w:rsidR="00682751" w:rsidRPr="00663FC3">
        <w:rPr>
          <w:rFonts w:ascii="Times New Roman" w:hAnsi="Times New Roman"/>
          <w:szCs w:val="24"/>
        </w:rPr>
        <w:t>D</w:t>
      </w:r>
      <w:r w:rsidR="00674C68" w:rsidRPr="00663FC3">
        <w:rPr>
          <w:rFonts w:ascii="Times New Roman" w:hAnsi="Times New Roman"/>
          <w:szCs w:val="24"/>
        </w:rPr>
        <w:t xml:space="preserve">emand-side </w:t>
      </w:r>
      <w:r w:rsidR="00682751" w:rsidRPr="00663FC3">
        <w:rPr>
          <w:rFonts w:ascii="Times New Roman" w:hAnsi="Times New Roman"/>
          <w:szCs w:val="24"/>
        </w:rPr>
        <w:t>M</w:t>
      </w:r>
      <w:r w:rsidR="00674C68" w:rsidRPr="00663FC3">
        <w:rPr>
          <w:rFonts w:ascii="Times New Roman" w:hAnsi="Times New Roman"/>
          <w:szCs w:val="24"/>
        </w:rPr>
        <w:t>anagement</w:t>
      </w:r>
      <w:r w:rsidRPr="00663FC3">
        <w:rPr>
          <w:rFonts w:ascii="Times New Roman" w:hAnsi="Times New Roman"/>
          <w:szCs w:val="24"/>
        </w:rPr>
        <w:t xml:space="preserve"> </w:t>
      </w:r>
      <w:r w:rsidR="00674C68" w:rsidRPr="00663FC3">
        <w:rPr>
          <w:rFonts w:ascii="Times New Roman" w:hAnsi="Times New Roman"/>
          <w:szCs w:val="24"/>
        </w:rPr>
        <w:t>(</w:t>
      </w:r>
      <w:r w:rsidRPr="00663FC3">
        <w:rPr>
          <w:rFonts w:ascii="Times New Roman" w:hAnsi="Times New Roman"/>
          <w:szCs w:val="24"/>
        </w:rPr>
        <w:t>DSM</w:t>
      </w:r>
      <w:r w:rsidR="00674C68" w:rsidRPr="00663FC3">
        <w:rPr>
          <w:rFonts w:ascii="Times New Roman" w:hAnsi="Times New Roman"/>
          <w:szCs w:val="24"/>
        </w:rPr>
        <w:t>)</w:t>
      </w:r>
      <w:r w:rsidRPr="00663FC3">
        <w:rPr>
          <w:rFonts w:ascii="Times New Roman" w:hAnsi="Times New Roman"/>
          <w:szCs w:val="24"/>
        </w:rPr>
        <w:t xml:space="preserve"> Advisory group </w:t>
      </w:r>
      <w:r w:rsidR="001027E4" w:rsidRPr="00663FC3">
        <w:rPr>
          <w:rFonts w:ascii="Times New Roman" w:hAnsi="Times New Roman"/>
          <w:szCs w:val="24"/>
        </w:rPr>
        <w:t xml:space="preserve">(Advisory Group) </w:t>
      </w:r>
      <w:r w:rsidRPr="00663FC3">
        <w:rPr>
          <w:rFonts w:ascii="Times New Roman" w:hAnsi="Times New Roman"/>
          <w:szCs w:val="24"/>
        </w:rPr>
        <w:t xml:space="preserve">discussed the </w:t>
      </w:r>
      <w:r w:rsidR="00A52533" w:rsidRPr="00663FC3">
        <w:rPr>
          <w:rFonts w:ascii="Times New Roman" w:hAnsi="Times New Roman"/>
          <w:szCs w:val="24"/>
        </w:rPr>
        <w:t xml:space="preserve">material decline in </w:t>
      </w:r>
      <w:r w:rsidRPr="00663FC3">
        <w:rPr>
          <w:rFonts w:ascii="Times New Roman" w:hAnsi="Times New Roman"/>
          <w:szCs w:val="24"/>
        </w:rPr>
        <w:t xml:space="preserve">current evaluated unit energy savings </w:t>
      </w:r>
      <w:r w:rsidR="00A52533" w:rsidRPr="00663FC3">
        <w:rPr>
          <w:rFonts w:ascii="Times New Roman" w:hAnsi="Times New Roman"/>
          <w:szCs w:val="24"/>
        </w:rPr>
        <w:t>values rel</w:t>
      </w:r>
      <w:r w:rsidRPr="00663FC3">
        <w:rPr>
          <w:rFonts w:ascii="Times New Roman" w:hAnsi="Times New Roman"/>
          <w:szCs w:val="24"/>
        </w:rPr>
        <w:t>ative to the 2014-2015 biennium</w:t>
      </w:r>
      <w:r w:rsidR="00674C68" w:rsidRPr="00663FC3">
        <w:rPr>
          <w:rFonts w:ascii="Times New Roman" w:hAnsi="Times New Roman"/>
          <w:szCs w:val="24"/>
        </w:rPr>
        <w:t xml:space="preserve"> and</w:t>
      </w:r>
      <w:r w:rsidRPr="00663FC3">
        <w:rPr>
          <w:rFonts w:ascii="Times New Roman" w:hAnsi="Times New Roman"/>
          <w:szCs w:val="24"/>
        </w:rPr>
        <w:t xml:space="preserve"> the comparable results generated by the RTF</w:t>
      </w:r>
      <w:r w:rsidR="0027628C">
        <w:rPr>
          <w:rFonts w:ascii="Times New Roman" w:hAnsi="Times New Roman"/>
          <w:szCs w:val="24"/>
        </w:rPr>
        <w:t>.</w:t>
      </w:r>
      <w:r w:rsidR="005258C7" w:rsidRPr="00663FC3">
        <w:rPr>
          <w:rStyle w:val="FootnoteReference"/>
          <w:rFonts w:ascii="Times New Roman" w:hAnsi="Times New Roman"/>
          <w:szCs w:val="24"/>
        </w:rPr>
        <w:footnoteReference w:id="2"/>
      </w:r>
      <w:r w:rsidRPr="00663FC3">
        <w:rPr>
          <w:rFonts w:ascii="Times New Roman" w:hAnsi="Times New Roman"/>
          <w:szCs w:val="24"/>
        </w:rPr>
        <w:t xml:space="preserve"> </w:t>
      </w:r>
      <w:r w:rsidR="00674C68" w:rsidRPr="00663FC3">
        <w:rPr>
          <w:rFonts w:ascii="Times New Roman" w:hAnsi="Times New Roman"/>
          <w:szCs w:val="24"/>
        </w:rPr>
        <w:t xml:space="preserve"> </w:t>
      </w:r>
      <w:r w:rsidRPr="00663FC3">
        <w:rPr>
          <w:rFonts w:ascii="Times New Roman" w:hAnsi="Times New Roman"/>
          <w:szCs w:val="24"/>
        </w:rPr>
        <w:t>The group agreed on the need to assess cost</w:t>
      </w:r>
      <w:r w:rsidR="00674C68" w:rsidRPr="00663FC3">
        <w:rPr>
          <w:rFonts w:ascii="Times New Roman" w:hAnsi="Times New Roman"/>
          <w:szCs w:val="24"/>
        </w:rPr>
        <w:t xml:space="preserve"> </w:t>
      </w:r>
      <w:r w:rsidRPr="00663FC3">
        <w:rPr>
          <w:rFonts w:ascii="Times New Roman" w:hAnsi="Times New Roman"/>
          <w:szCs w:val="24"/>
        </w:rPr>
        <w:t xml:space="preserve">effectiveness of the measure to inform the decision about leaving the savings in the 2016-2025 forecast and including the program in the 2016-2017 </w:t>
      </w:r>
      <w:r w:rsidR="00682751" w:rsidRPr="00663FC3">
        <w:rPr>
          <w:rFonts w:ascii="Times New Roman" w:hAnsi="Times New Roman"/>
          <w:szCs w:val="24"/>
        </w:rPr>
        <w:t xml:space="preserve">DSM </w:t>
      </w:r>
      <w:r w:rsidRPr="00663FC3">
        <w:rPr>
          <w:rFonts w:ascii="Times New Roman" w:hAnsi="Times New Roman"/>
          <w:szCs w:val="24"/>
        </w:rPr>
        <w:t xml:space="preserve">business plan. </w:t>
      </w:r>
      <w:r w:rsidR="00674C68" w:rsidRPr="00663FC3">
        <w:rPr>
          <w:rFonts w:ascii="Times New Roman" w:hAnsi="Times New Roman"/>
          <w:szCs w:val="24"/>
        </w:rPr>
        <w:t xml:space="preserve"> The </w:t>
      </w:r>
      <w:r w:rsidR="00A52533" w:rsidRPr="00663FC3">
        <w:rPr>
          <w:rFonts w:ascii="Times New Roman" w:hAnsi="Times New Roman"/>
          <w:szCs w:val="24"/>
        </w:rPr>
        <w:t>Company evaluated cost effectiveness by appliance and channel (i.e</w:t>
      </w:r>
      <w:r w:rsidR="0027628C">
        <w:rPr>
          <w:rFonts w:ascii="Times New Roman" w:hAnsi="Times New Roman"/>
          <w:szCs w:val="24"/>
        </w:rPr>
        <w:t>.</w:t>
      </w:r>
      <w:r w:rsidR="00682751" w:rsidRPr="00663FC3">
        <w:rPr>
          <w:rFonts w:ascii="Times New Roman" w:hAnsi="Times New Roman"/>
          <w:szCs w:val="24"/>
        </w:rPr>
        <w:t>,</w:t>
      </w:r>
      <w:r w:rsidR="00A52533" w:rsidRPr="00663FC3">
        <w:rPr>
          <w:rFonts w:ascii="Times New Roman" w:hAnsi="Times New Roman"/>
          <w:szCs w:val="24"/>
        </w:rPr>
        <w:t xml:space="preserve"> customer or </w:t>
      </w:r>
      <w:r w:rsidR="00A52533" w:rsidRPr="00663FC3">
        <w:rPr>
          <w:rFonts w:ascii="Times New Roman" w:hAnsi="Times New Roman"/>
          <w:szCs w:val="24"/>
        </w:rPr>
        <w:lastRenderedPageBreak/>
        <w:t xml:space="preserve">retailer pick-up) basis </w:t>
      </w:r>
      <w:r w:rsidR="00674C68" w:rsidRPr="00663FC3">
        <w:rPr>
          <w:rFonts w:ascii="Times New Roman" w:hAnsi="Times New Roman"/>
          <w:szCs w:val="24"/>
        </w:rPr>
        <w:t xml:space="preserve">using </w:t>
      </w:r>
      <w:r w:rsidR="00A52533" w:rsidRPr="00663FC3">
        <w:rPr>
          <w:rFonts w:ascii="Times New Roman" w:hAnsi="Times New Roman"/>
          <w:szCs w:val="24"/>
        </w:rPr>
        <w:t>the 20</w:t>
      </w:r>
      <w:r w:rsidRPr="00663FC3">
        <w:rPr>
          <w:rFonts w:ascii="Times New Roman" w:hAnsi="Times New Roman"/>
          <w:szCs w:val="24"/>
        </w:rPr>
        <w:t xml:space="preserve">15 Class 2 DSM decrement values. </w:t>
      </w:r>
      <w:r w:rsidR="00A52533" w:rsidRPr="00663FC3">
        <w:rPr>
          <w:rFonts w:ascii="Times New Roman" w:hAnsi="Times New Roman"/>
          <w:szCs w:val="24"/>
        </w:rPr>
        <w:t xml:space="preserve"> </w:t>
      </w:r>
      <w:r w:rsidR="001F1BA9" w:rsidRPr="00663FC3">
        <w:rPr>
          <w:rFonts w:ascii="Times New Roman" w:hAnsi="Times New Roman"/>
          <w:szCs w:val="24"/>
        </w:rPr>
        <w:t xml:space="preserve">When the analysis </w:t>
      </w:r>
      <w:r w:rsidR="001027E4" w:rsidRPr="00663FC3">
        <w:rPr>
          <w:rFonts w:ascii="Times New Roman" w:hAnsi="Times New Roman"/>
          <w:szCs w:val="24"/>
        </w:rPr>
        <w:t xml:space="preserve">used </w:t>
      </w:r>
      <w:r w:rsidR="001F1BA9" w:rsidRPr="00663FC3">
        <w:rPr>
          <w:rFonts w:ascii="Times New Roman" w:hAnsi="Times New Roman"/>
          <w:szCs w:val="24"/>
        </w:rPr>
        <w:t xml:space="preserve">unit </w:t>
      </w:r>
      <w:r w:rsidRPr="00663FC3">
        <w:rPr>
          <w:rFonts w:ascii="Times New Roman" w:hAnsi="Times New Roman"/>
          <w:szCs w:val="24"/>
        </w:rPr>
        <w:t xml:space="preserve">energy savings </w:t>
      </w:r>
      <w:r w:rsidR="001F1BA9" w:rsidRPr="00663FC3">
        <w:rPr>
          <w:rFonts w:ascii="Times New Roman" w:hAnsi="Times New Roman"/>
          <w:szCs w:val="24"/>
        </w:rPr>
        <w:t xml:space="preserve">with </w:t>
      </w:r>
      <w:r w:rsidR="00A52533" w:rsidRPr="00663FC3">
        <w:rPr>
          <w:rFonts w:ascii="Times New Roman" w:hAnsi="Times New Roman"/>
          <w:szCs w:val="24"/>
        </w:rPr>
        <w:t>the UMP assumptions</w:t>
      </w:r>
      <w:r w:rsidR="00682751" w:rsidRPr="00663FC3">
        <w:rPr>
          <w:rFonts w:ascii="Times New Roman" w:hAnsi="Times New Roman"/>
          <w:szCs w:val="24"/>
        </w:rPr>
        <w:t xml:space="preserve"> for “would-be-acquirer”</w:t>
      </w:r>
      <w:r w:rsidR="00A52533" w:rsidRPr="00663FC3">
        <w:rPr>
          <w:rFonts w:ascii="Times New Roman" w:hAnsi="Times New Roman"/>
          <w:szCs w:val="24"/>
        </w:rPr>
        <w:t xml:space="preserve"> (</w:t>
      </w:r>
      <w:r w:rsidRPr="00663FC3">
        <w:rPr>
          <w:rFonts w:ascii="Times New Roman" w:hAnsi="Times New Roman"/>
          <w:szCs w:val="24"/>
        </w:rPr>
        <w:t xml:space="preserve">generating </w:t>
      </w:r>
      <w:r w:rsidR="00A52533" w:rsidRPr="00663FC3">
        <w:rPr>
          <w:rFonts w:ascii="Times New Roman" w:hAnsi="Times New Roman"/>
          <w:szCs w:val="24"/>
        </w:rPr>
        <w:t xml:space="preserve">highest unit energy savings), three of the four appliance/channel configurations were not cost-effective. </w:t>
      </w:r>
      <w:r w:rsidR="001027E4" w:rsidRPr="00663FC3">
        <w:rPr>
          <w:rFonts w:ascii="Times New Roman" w:hAnsi="Times New Roman"/>
          <w:szCs w:val="24"/>
        </w:rPr>
        <w:t xml:space="preserve"> </w:t>
      </w:r>
      <w:r w:rsidR="00A52533" w:rsidRPr="00663FC3">
        <w:rPr>
          <w:rFonts w:ascii="Times New Roman" w:hAnsi="Times New Roman"/>
          <w:szCs w:val="24"/>
        </w:rPr>
        <w:t>The remaining configuration (refrigerator/retailer pick-up) was not cost effective when the unit energy savings associated with the RTF values for “would</w:t>
      </w:r>
      <w:r w:rsidR="001027E4" w:rsidRPr="00663FC3">
        <w:rPr>
          <w:rFonts w:ascii="Times New Roman" w:hAnsi="Times New Roman"/>
          <w:szCs w:val="24"/>
        </w:rPr>
        <w:t>-</w:t>
      </w:r>
      <w:r w:rsidR="00A52533" w:rsidRPr="00663FC3">
        <w:rPr>
          <w:rFonts w:ascii="Times New Roman" w:hAnsi="Times New Roman"/>
          <w:szCs w:val="24"/>
        </w:rPr>
        <w:t xml:space="preserve">be acquirer” </w:t>
      </w:r>
      <w:r w:rsidR="001027E4" w:rsidRPr="00663FC3">
        <w:rPr>
          <w:rFonts w:ascii="Times New Roman" w:hAnsi="Times New Roman"/>
          <w:szCs w:val="24"/>
        </w:rPr>
        <w:t>we</w:t>
      </w:r>
      <w:r w:rsidR="00A52533" w:rsidRPr="00663FC3">
        <w:rPr>
          <w:rFonts w:ascii="Times New Roman" w:hAnsi="Times New Roman"/>
          <w:szCs w:val="24"/>
        </w:rPr>
        <w:t xml:space="preserve">re </w:t>
      </w:r>
      <w:r w:rsidR="001027E4" w:rsidRPr="00663FC3">
        <w:rPr>
          <w:rFonts w:ascii="Times New Roman" w:hAnsi="Times New Roman"/>
          <w:szCs w:val="24"/>
        </w:rPr>
        <w:t>used</w:t>
      </w:r>
      <w:r w:rsidR="00A52533" w:rsidRPr="00663FC3">
        <w:rPr>
          <w:rFonts w:ascii="Times New Roman" w:hAnsi="Times New Roman"/>
          <w:szCs w:val="24"/>
        </w:rPr>
        <w:t xml:space="preserve">. </w:t>
      </w:r>
      <w:r w:rsidR="001027E4" w:rsidRPr="00663FC3">
        <w:rPr>
          <w:rFonts w:ascii="Times New Roman" w:hAnsi="Times New Roman"/>
          <w:szCs w:val="24"/>
        </w:rPr>
        <w:t xml:space="preserve"> </w:t>
      </w:r>
      <w:r w:rsidR="00A52533" w:rsidRPr="00663FC3">
        <w:rPr>
          <w:rFonts w:ascii="Times New Roman" w:hAnsi="Times New Roman"/>
          <w:szCs w:val="24"/>
        </w:rPr>
        <w:t>The benefit/cost results are provided in the Navigant memo dated September 10, 2015</w:t>
      </w:r>
      <w:r w:rsidR="001027E4" w:rsidRPr="00663FC3">
        <w:rPr>
          <w:rFonts w:ascii="Times New Roman" w:hAnsi="Times New Roman"/>
          <w:szCs w:val="24"/>
        </w:rPr>
        <w:t>, which is</w:t>
      </w:r>
      <w:r w:rsidR="00A52533" w:rsidRPr="00663FC3">
        <w:rPr>
          <w:rFonts w:ascii="Times New Roman" w:hAnsi="Times New Roman"/>
          <w:szCs w:val="24"/>
        </w:rPr>
        <w:t xml:space="preserve"> included as Attachment </w:t>
      </w:r>
      <w:r w:rsidR="001027E4" w:rsidRPr="00663FC3">
        <w:rPr>
          <w:rFonts w:ascii="Times New Roman" w:hAnsi="Times New Roman"/>
          <w:szCs w:val="24"/>
        </w:rPr>
        <w:t>2</w:t>
      </w:r>
      <w:r w:rsidRPr="00663FC3">
        <w:rPr>
          <w:rFonts w:ascii="Times New Roman" w:hAnsi="Times New Roman"/>
          <w:szCs w:val="24"/>
        </w:rPr>
        <w:t xml:space="preserve">. </w:t>
      </w:r>
      <w:r w:rsidR="001027E4" w:rsidRPr="00663FC3">
        <w:rPr>
          <w:rFonts w:ascii="Times New Roman" w:hAnsi="Times New Roman"/>
          <w:szCs w:val="24"/>
        </w:rPr>
        <w:t xml:space="preserve"> </w:t>
      </w:r>
      <w:r w:rsidR="001F1BA9" w:rsidRPr="00663FC3">
        <w:rPr>
          <w:rFonts w:ascii="Times New Roman" w:hAnsi="Times New Roman"/>
          <w:szCs w:val="24"/>
        </w:rPr>
        <w:t xml:space="preserve">Based on the results of the cost effectiveness analysis, the </w:t>
      </w:r>
      <w:r w:rsidR="00682751" w:rsidRPr="00663FC3">
        <w:rPr>
          <w:rFonts w:ascii="Times New Roman" w:hAnsi="Times New Roman"/>
          <w:szCs w:val="24"/>
        </w:rPr>
        <w:t xml:space="preserve">Advisory group </w:t>
      </w:r>
      <w:r w:rsidR="001F1BA9" w:rsidRPr="00663FC3">
        <w:rPr>
          <w:rFonts w:ascii="Times New Roman" w:hAnsi="Times New Roman"/>
          <w:szCs w:val="24"/>
        </w:rPr>
        <w:t xml:space="preserve">was supportive of the </w:t>
      </w:r>
      <w:r w:rsidR="001027E4" w:rsidRPr="00663FC3">
        <w:rPr>
          <w:rFonts w:ascii="Times New Roman" w:hAnsi="Times New Roman"/>
          <w:szCs w:val="24"/>
        </w:rPr>
        <w:t>C</w:t>
      </w:r>
      <w:r w:rsidR="001F1BA9" w:rsidRPr="00663FC3">
        <w:rPr>
          <w:rFonts w:ascii="Times New Roman" w:hAnsi="Times New Roman"/>
          <w:szCs w:val="24"/>
        </w:rPr>
        <w:t>ompany’s decision to remove the savings from the conservation forecast and remove the program from the business plan.</w:t>
      </w:r>
      <w:r w:rsidR="001F1BA9" w:rsidRPr="00647E55">
        <w:rPr>
          <w:rFonts w:ascii="Times New Roman" w:hAnsi="Times New Roman"/>
          <w:szCs w:val="24"/>
        </w:rPr>
        <w:t xml:space="preserve"> </w:t>
      </w:r>
    </w:p>
    <w:p w:rsidR="0083036E" w:rsidRPr="00647E55" w:rsidRDefault="0083036E" w:rsidP="0015463D">
      <w:pPr>
        <w:contextualSpacing/>
        <w:rPr>
          <w:rFonts w:ascii="Times New Roman" w:hAnsi="Times New Roman"/>
          <w:szCs w:val="24"/>
        </w:rPr>
      </w:pPr>
    </w:p>
    <w:p w:rsidR="009F794D" w:rsidRDefault="009F794D" w:rsidP="009F794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Company is providing notice of the proposed change to affected customers in accordance with WAC 480-100-194(2).  The customer notice is enclosed as Attachment 3.</w:t>
      </w:r>
    </w:p>
    <w:p w:rsidR="009F794D" w:rsidRDefault="009F794D" w:rsidP="00647E55">
      <w:pPr>
        <w:contextualSpacing/>
        <w:rPr>
          <w:rFonts w:ascii="Times New Roman" w:hAnsi="Times New Roman"/>
          <w:szCs w:val="24"/>
        </w:rPr>
      </w:pPr>
    </w:p>
    <w:p w:rsidR="00BA1A21" w:rsidRPr="00647E55" w:rsidRDefault="0083036E" w:rsidP="00647E55">
      <w:pPr>
        <w:contextualSpacing/>
        <w:rPr>
          <w:rFonts w:ascii="Times New Roman" w:hAnsi="Times New Roman"/>
          <w:szCs w:val="24"/>
        </w:rPr>
      </w:pPr>
      <w:r w:rsidRPr="00647E55">
        <w:rPr>
          <w:rFonts w:ascii="Times New Roman" w:hAnsi="Times New Roman"/>
          <w:szCs w:val="24"/>
        </w:rPr>
        <w:t>It is respectfully requested that all formal correspondence and Staff requests regarding this filing be addressed to:</w:t>
      </w:r>
    </w:p>
    <w:p w:rsidR="00BA1A21" w:rsidRPr="00647E55" w:rsidRDefault="00BA1A21" w:rsidP="00647E55">
      <w:pPr>
        <w:contextualSpacing/>
        <w:rPr>
          <w:rFonts w:ascii="Times New Roman" w:hAnsi="Times New Roman"/>
          <w:szCs w:val="24"/>
        </w:rPr>
      </w:pPr>
    </w:p>
    <w:p w:rsidR="0083036E" w:rsidRPr="00647E55" w:rsidRDefault="0083036E" w:rsidP="00647E55">
      <w:pPr>
        <w:contextualSpacing/>
        <w:rPr>
          <w:rFonts w:ascii="Times New Roman" w:hAnsi="Times New Roman"/>
          <w:szCs w:val="24"/>
        </w:rPr>
      </w:pPr>
      <w:r w:rsidRPr="00647E55">
        <w:rPr>
          <w:rFonts w:ascii="Times New Roman" w:hAnsi="Times New Roman"/>
          <w:szCs w:val="24"/>
        </w:rPr>
        <w:t>By e-mail (preferred):</w:t>
      </w:r>
      <w:r w:rsidRPr="00647E55">
        <w:rPr>
          <w:rFonts w:ascii="Times New Roman" w:hAnsi="Times New Roman"/>
          <w:szCs w:val="24"/>
        </w:rPr>
        <w:tab/>
      </w:r>
      <w:r w:rsidRPr="00647E55">
        <w:rPr>
          <w:rFonts w:ascii="Times New Roman" w:hAnsi="Times New Roman"/>
          <w:szCs w:val="24"/>
        </w:rPr>
        <w:tab/>
      </w:r>
      <w:hyperlink r:id="rId15" w:history="1">
        <w:r w:rsidRPr="00647E55">
          <w:rPr>
            <w:rStyle w:val="Hyperlink"/>
            <w:rFonts w:ascii="Times New Roman" w:hAnsi="Times New Roman"/>
            <w:szCs w:val="24"/>
          </w:rPr>
          <w:t>datarequest@pacificorp.com</w:t>
        </w:r>
      </w:hyperlink>
      <w:r w:rsidRPr="00647E55">
        <w:rPr>
          <w:rFonts w:ascii="Times New Roman" w:hAnsi="Times New Roman"/>
          <w:szCs w:val="24"/>
        </w:rPr>
        <w:t xml:space="preserve"> </w:t>
      </w:r>
    </w:p>
    <w:p w:rsidR="0083036E" w:rsidRPr="00647E55" w:rsidRDefault="0083036E" w:rsidP="00647E55">
      <w:pPr>
        <w:contextualSpacing/>
        <w:rPr>
          <w:rFonts w:ascii="Times New Roman" w:hAnsi="Times New Roman"/>
          <w:szCs w:val="24"/>
        </w:rPr>
      </w:pPr>
    </w:p>
    <w:p w:rsidR="0083036E" w:rsidRPr="00647E55" w:rsidRDefault="0083036E" w:rsidP="00647E55">
      <w:pPr>
        <w:keepNext/>
        <w:contextualSpacing/>
        <w:rPr>
          <w:rFonts w:ascii="Times New Roman" w:hAnsi="Times New Roman"/>
          <w:szCs w:val="24"/>
        </w:rPr>
      </w:pPr>
      <w:r w:rsidRPr="00647E55">
        <w:rPr>
          <w:rFonts w:ascii="Times New Roman" w:hAnsi="Times New Roman"/>
          <w:szCs w:val="24"/>
        </w:rPr>
        <w:t>By regular mail:</w:t>
      </w:r>
      <w:r w:rsidRPr="00647E55">
        <w:rPr>
          <w:rFonts w:ascii="Times New Roman" w:hAnsi="Times New Roman"/>
          <w:szCs w:val="24"/>
        </w:rPr>
        <w:tab/>
      </w:r>
      <w:r w:rsidRPr="00647E55">
        <w:rPr>
          <w:rFonts w:ascii="Times New Roman" w:hAnsi="Times New Roman"/>
          <w:szCs w:val="24"/>
        </w:rPr>
        <w:tab/>
        <w:t>Data Request Response Center</w:t>
      </w:r>
    </w:p>
    <w:p w:rsidR="0083036E" w:rsidRPr="00647E55" w:rsidRDefault="0083036E" w:rsidP="00647E55">
      <w:pPr>
        <w:keepNext/>
        <w:contextualSpacing/>
        <w:rPr>
          <w:rFonts w:ascii="Times New Roman" w:hAnsi="Times New Roman"/>
          <w:szCs w:val="24"/>
        </w:rPr>
      </w:pPr>
      <w:r w:rsidRPr="00647E55">
        <w:rPr>
          <w:rFonts w:ascii="Times New Roman" w:hAnsi="Times New Roman"/>
          <w:szCs w:val="24"/>
        </w:rPr>
        <w:tab/>
      </w:r>
      <w:r w:rsidRPr="00647E55">
        <w:rPr>
          <w:rFonts w:ascii="Times New Roman" w:hAnsi="Times New Roman"/>
          <w:szCs w:val="24"/>
        </w:rPr>
        <w:tab/>
      </w:r>
      <w:r w:rsidRPr="00647E55">
        <w:rPr>
          <w:rFonts w:ascii="Times New Roman" w:hAnsi="Times New Roman"/>
          <w:szCs w:val="24"/>
        </w:rPr>
        <w:tab/>
      </w:r>
      <w:r w:rsidRPr="00647E55">
        <w:rPr>
          <w:rFonts w:ascii="Times New Roman" w:hAnsi="Times New Roman"/>
          <w:szCs w:val="24"/>
        </w:rPr>
        <w:tab/>
        <w:t>PacifiCorp</w:t>
      </w:r>
    </w:p>
    <w:p w:rsidR="0083036E" w:rsidRPr="00647E55" w:rsidRDefault="0083036E" w:rsidP="00647E55">
      <w:pPr>
        <w:keepNext/>
        <w:contextualSpacing/>
        <w:rPr>
          <w:rFonts w:ascii="Times New Roman" w:hAnsi="Times New Roman"/>
          <w:szCs w:val="24"/>
        </w:rPr>
      </w:pPr>
      <w:r w:rsidRPr="00647E55">
        <w:rPr>
          <w:rFonts w:ascii="Times New Roman" w:hAnsi="Times New Roman"/>
          <w:szCs w:val="24"/>
        </w:rPr>
        <w:tab/>
      </w:r>
      <w:r w:rsidRPr="00647E55">
        <w:rPr>
          <w:rFonts w:ascii="Times New Roman" w:hAnsi="Times New Roman"/>
          <w:szCs w:val="24"/>
        </w:rPr>
        <w:tab/>
      </w:r>
      <w:r w:rsidRPr="00647E55">
        <w:rPr>
          <w:rFonts w:ascii="Times New Roman" w:hAnsi="Times New Roman"/>
          <w:szCs w:val="24"/>
        </w:rPr>
        <w:tab/>
      </w:r>
      <w:r w:rsidRPr="00647E55">
        <w:rPr>
          <w:rFonts w:ascii="Times New Roman" w:hAnsi="Times New Roman"/>
          <w:szCs w:val="24"/>
        </w:rPr>
        <w:tab/>
        <w:t>825 NE Multnomah, Suite 2000</w:t>
      </w:r>
    </w:p>
    <w:p w:rsidR="0083036E" w:rsidRPr="00647E55" w:rsidRDefault="0083036E" w:rsidP="00647E55">
      <w:pPr>
        <w:contextualSpacing/>
        <w:rPr>
          <w:rFonts w:ascii="Times New Roman" w:hAnsi="Times New Roman"/>
          <w:szCs w:val="24"/>
        </w:rPr>
      </w:pPr>
      <w:r w:rsidRPr="00647E55">
        <w:rPr>
          <w:rFonts w:ascii="Times New Roman" w:hAnsi="Times New Roman"/>
          <w:szCs w:val="24"/>
        </w:rPr>
        <w:tab/>
      </w:r>
      <w:r w:rsidRPr="00647E55">
        <w:rPr>
          <w:rFonts w:ascii="Times New Roman" w:hAnsi="Times New Roman"/>
          <w:szCs w:val="24"/>
        </w:rPr>
        <w:tab/>
      </w:r>
      <w:r w:rsidRPr="00647E55">
        <w:rPr>
          <w:rFonts w:ascii="Times New Roman" w:hAnsi="Times New Roman"/>
          <w:szCs w:val="24"/>
        </w:rPr>
        <w:tab/>
      </w:r>
      <w:r w:rsidRPr="00647E55">
        <w:rPr>
          <w:rFonts w:ascii="Times New Roman" w:hAnsi="Times New Roman"/>
          <w:szCs w:val="24"/>
        </w:rPr>
        <w:tab/>
        <w:t>Portland, Oregon, 97232</w:t>
      </w:r>
    </w:p>
    <w:p w:rsidR="0083036E" w:rsidRPr="00647E55" w:rsidRDefault="0083036E" w:rsidP="00647E55">
      <w:pPr>
        <w:contextualSpacing/>
        <w:rPr>
          <w:rFonts w:ascii="Times New Roman" w:hAnsi="Times New Roman"/>
          <w:b/>
          <w:szCs w:val="24"/>
        </w:rPr>
      </w:pPr>
    </w:p>
    <w:p w:rsidR="00BA1A21" w:rsidRPr="0015463D" w:rsidRDefault="0083036E" w:rsidP="00647E55">
      <w:pPr>
        <w:pStyle w:val="Heading3"/>
        <w:tabs>
          <w:tab w:val="left" w:pos="720"/>
          <w:tab w:val="left" w:pos="1440"/>
        </w:tabs>
        <w:spacing w:before="0"/>
        <w:contextualSpacing/>
      </w:pPr>
      <w:r w:rsidRPr="0015463D">
        <w:rPr>
          <w:rFonts w:ascii="Times New Roman" w:hAnsi="Times New Roman" w:cs="Times New Roman"/>
          <w:b w:val="0"/>
          <w:color w:val="auto"/>
          <w:szCs w:val="24"/>
        </w:rPr>
        <w:t xml:space="preserve">Please direct any informal inquiries regarding this filing to </w:t>
      </w:r>
      <w:r w:rsidR="00BA1A21" w:rsidRPr="00647E55">
        <w:rPr>
          <w:rFonts w:ascii="Times New Roman" w:hAnsi="Times New Roman" w:cs="Times New Roman"/>
          <w:b w:val="0"/>
          <w:color w:val="auto"/>
          <w:szCs w:val="24"/>
        </w:rPr>
        <w:t xml:space="preserve">Ariel Son </w:t>
      </w:r>
      <w:r w:rsidRPr="00647E55">
        <w:rPr>
          <w:rFonts w:ascii="Times New Roman" w:hAnsi="Times New Roman" w:cs="Times New Roman"/>
          <w:b w:val="0"/>
          <w:color w:val="auto"/>
          <w:szCs w:val="24"/>
        </w:rPr>
        <w:t>at (</w:t>
      </w:r>
      <w:r w:rsidR="00BA1A21" w:rsidRPr="00647E55">
        <w:rPr>
          <w:rFonts w:ascii="Times New Roman" w:hAnsi="Times New Roman" w:cs="Times New Roman"/>
          <w:b w:val="0"/>
          <w:color w:val="auto"/>
          <w:szCs w:val="24"/>
        </w:rPr>
        <w:t>503) 813-5410</w:t>
      </w:r>
      <w:r w:rsidRPr="00647E55">
        <w:rPr>
          <w:rFonts w:ascii="Times New Roman" w:hAnsi="Times New Roman" w:cs="Times New Roman"/>
          <w:b w:val="0"/>
          <w:color w:val="auto"/>
          <w:szCs w:val="24"/>
        </w:rPr>
        <w:t>.</w:t>
      </w:r>
    </w:p>
    <w:p w:rsidR="00BA1A21" w:rsidRPr="00647E55" w:rsidRDefault="00BA1A21" w:rsidP="0015463D">
      <w:pPr>
        <w:rPr>
          <w:rFonts w:ascii="Times New Roman" w:hAnsi="Times New Roman"/>
          <w:szCs w:val="24"/>
        </w:rPr>
      </w:pPr>
    </w:p>
    <w:p w:rsidR="0083036E" w:rsidRPr="00647E55" w:rsidRDefault="0083036E" w:rsidP="00647E55">
      <w:pPr>
        <w:contextualSpacing/>
        <w:rPr>
          <w:rFonts w:ascii="Times New Roman" w:hAnsi="Times New Roman"/>
          <w:szCs w:val="24"/>
        </w:rPr>
      </w:pPr>
      <w:r w:rsidRPr="00647E55">
        <w:rPr>
          <w:rFonts w:ascii="Times New Roman" w:hAnsi="Times New Roman"/>
          <w:szCs w:val="24"/>
        </w:rPr>
        <w:t>Sincerely,</w:t>
      </w:r>
    </w:p>
    <w:p w:rsidR="0083036E" w:rsidRPr="00647E55" w:rsidRDefault="0083036E" w:rsidP="00647E55">
      <w:pPr>
        <w:contextualSpacing/>
        <w:rPr>
          <w:rFonts w:ascii="Times New Roman" w:hAnsi="Times New Roman"/>
          <w:szCs w:val="24"/>
        </w:rPr>
      </w:pPr>
    </w:p>
    <w:p w:rsidR="0083036E" w:rsidRPr="00647E55" w:rsidRDefault="0083036E" w:rsidP="00647E55">
      <w:pPr>
        <w:contextualSpacing/>
        <w:rPr>
          <w:rFonts w:ascii="Times New Roman" w:hAnsi="Times New Roman"/>
          <w:szCs w:val="24"/>
        </w:rPr>
      </w:pPr>
    </w:p>
    <w:p w:rsidR="0083036E" w:rsidRDefault="0083036E" w:rsidP="00647E55">
      <w:pPr>
        <w:contextualSpacing/>
        <w:rPr>
          <w:rFonts w:ascii="Times New Roman" w:hAnsi="Times New Roman"/>
          <w:szCs w:val="24"/>
        </w:rPr>
      </w:pPr>
    </w:p>
    <w:p w:rsidR="001027E4" w:rsidRDefault="001027E4" w:rsidP="00647E55">
      <w:pPr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R. Bryce Dalley</w:t>
      </w:r>
    </w:p>
    <w:p w:rsidR="001027E4" w:rsidRDefault="001027E4" w:rsidP="00647E55">
      <w:pPr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Vice President, Regulation</w:t>
      </w:r>
    </w:p>
    <w:p w:rsidR="001027E4" w:rsidRDefault="001027E4" w:rsidP="00647E55">
      <w:pPr>
        <w:contextualSpacing/>
        <w:rPr>
          <w:rFonts w:ascii="Times New Roman" w:hAnsi="Times New Roman"/>
          <w:szCs w:val="24"/>
        </w:rPr>
      </w:pPr>
    </w:p>
    <w:p w:rsidR="001027E4" w:rsidRPr="00647E55" w:rsidRDefault="001027E4" w:rsidP="00647E55">
      <w:pPr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Enclosures: </w:t>
      </w:r>
    </w:p>
    <w:p w:rsidR="001A1AAA" w:rsidRPr="00647E55" w:rsidRDefault="001F1BA9" w:rsidP="00647E55">
      <w:pPr>
        <w:rPr>
          <w:rFonts w:ascii="Times New Roman" w:hAnsi="Times New Roman"/>
          <w:szCs w:val="24"/>
        </w:rPr>
      </w:pPr>
      <w:r w:rsidRPr="0015463D">
        <w:rPr>
          <w:rFonts w:ascii="Times New Roman" w:eastAsiaTheme="minorHAnsi" w:hAnsi="Times New Roman"/>
          <w:szCs w:val="24"/>
        </w:rPr>
        <w:t xml:space="preserve">Attachment </w:t>
      </w:r>
      <w:r w:rsidR="001027E4">
        <w:rPr>
          <w:rFonts w:ascii="Times New Roman" w:eastAsiaTheme="minorHAnsi" w:hAnsi="Times New Roman"/>
          <w:szCs w:val="24"/>
        </w:rPr>
        <w:t>1</w:t>
      </w:r>
      <w:r w:rsidRPr="0015463D">
        <w:rPr>
          <w:rFonts w:ascii="Times New Roman" w:eastAsiaTheme="minorHAnsi" w:hAnsi="Times New Roman"/>
          <w:szCs w:val="24"/>
        </w:rPr>
        <w:t>: Cadmus Septem</w:t>
      </w:r>
      <w:r w:rsidRPr="00647E55">
        <w:rPr>
          <w:rFonts w:ascii="Times New Roman" w:eastAsiaTheme="minorHAnsi" w:hAnsi="Times New Roman"/>
          <w:szCs w:val="24"/>
        </w:rPr>
        <w:t xml:space="preserve">ber 18, 2015 Results Memo </w:t>
      </w:r>
    </w:p>
    <w:p w:rsidR="00F8061D" w:rsidRDefault="001F1BA9" w:rsidP="00647E55">
      <w:pPr>
        <w:rPr>
          <w:rFonts w:ascii="Times New Roman" w:hAnsi="Times New Roman"/>
          <w:szCs w:val="24"/>
        </w:rPr>
      </w:pPr>
      <w:r w:rsidRPr="00647E55">
        <w:rPr>
          <w:rFonts w:ascii="Times New Roman" w:hAnsi="Times New Roman"/>
          <w:szCs w:val="24"/>
        </w:rPr>
        <w:t xml:space="preserve">Attachment </w:t>
      </w:r>
      <w:r w:rsidR="001027E4">
        <w:rPr>
          <w:rFonts w:ascii="Times New Roman" w:hAnsi="Times New Roman"/>
          <w:szCs w:val="24"/>
        </w:rPr>
        <w:t>2</w:t>
      </w:r>
      <w:r w:rsidRPr="00647E55">
        <w:rPr>
          <w:rFonts w:ascii="Times New Roman" w:hAnsi="Times New Roman"/>
          <w:szCs w:val="24"/>
        </w:rPr>
        <w:t xml:space="preserve">: Navigant memo dated September 10, 2015  </w:t>
      </w:r>
    </w:p>
    <w:p w:rsidR="009F794D" w:rsidRPr="00647E55" w:rsidRDefault="009F794D" w:rsidP="00647E5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Attachment 3: Customer Notice</w:t>
      </w:r>
    </w:p>
    <w:sectPr w:rsidR="009F794D" w:rsidRPr="00647E55" w:rsidSect="00384236">
      <w:headerReference w:type="default" r:id="rId16"/>
      <w:type w:val="continuous"/>
      <w:pgSz w:w="12240" w:h="15840" w:code="1"/>
      <w:pgMar w:top="1440" w:right="1440" w:bottom="72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C12" w:rsidRDefault="00594C12" w:rsidP="00964072">
      <w:r>
        <w:separator/>
      </w:r>
    </w:p>
  </w:endnote>
  <w:endnote w:type="continuationSeparator" w:id="0">
    <w:p w:rsidR="00594C12" w:rsidRDefault="00594C12" w:rsidP="00964072">
      <w:r>
        <w:continuationSeparator/>
      </w:r>
    </w:p>
  </w:endnote>
  <w:endnote w:type="continuationNotice" w:id="1">
    <w:p w:rsidR="00594C12" w:rsidRDefault="00594C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BED" w:rsidRDefault="003A6B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BED" w:rsidRDefault="003A6B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BED" w:rsidRDefault="003A6B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C12" w:rsidRDefault="00594C12" w:rsidP="00964072">
      <w:r>
        <w:separator/>
      </w:r>
    </w:p>
  </w:footnote>
  <w:footnote w:type="continuationSeparator" w:id="0">
    <w:p w:rsidR="00594C12" w:rsidRDefault="00594C12" w:rsidP="00964072">
      <w:r>
        <w:continuationSeparator/>
      </w:r>
    </w:p>
  </w:footnote>
  <w:footnote w:type="continuationNotice" w:id="1">
    <w:p w:rsidR="00594C12" w:rsidRDefault="00594C12"/>
  </w:footnote>
  <w:footnote w:id="2">
    <w:p w:rsidR="00384236" w:rsidRDefault="003842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47E55">
        <w:rPr>
          <w:rFonts w:ascii="Times New Roman" w:hAnsi="Times New Roman"/>
          <w:szCs w:val="24"/>
        </w:rPr>
        <w:t xml:space="preserve">The Company reviewed this information with the Advisory Group </w:t>
      </w:r>
      <w:r>
        <w:rPr>
          <w:rFonts w:ascii="Times New Roman" w:hAnsi="Times New Roman"/>
          <w:szCs w:val="24"/>
        </w:rPr>
        <w:t>in</w:t>
      </w:r>
      <w:r w:rsidRPr="00647E55">
        <w:rPr>
          <w:rFonts w:ascii="Times New Roman" w:hAnsi="Times New Roman"/>
          <w:szCs w:val="24"/>
        </w:rPr>
        <w:t xml:space="preserve"> meetings held August 20, 2015</w:t>
      </w:r>
      <w:r>
        <w:rPr>
          <w:rFonts w:ascii="Times New Roman" w:hAnsi="Times New Roman"/>
          <w:szCs w:val="24"/>
        </w:rPr>
        <w:t>,</w:t>
      </w:r>
      <w:r w:rsidRPr="00647E55">
        <w:rPr>
          <w:rFonts w:ascii="Times New Roman" w:hAnsi="Times New Roman"/>
          <w:szCs w:val="24"/>
        </w:rPr>
        <w:t xml:space="preserve"> and September 14, 2015. </w:t>
      </w:r>
      <w:r>
        <w:rPr>
          <w:rFonts w:ascii="Times New Roman" w:hAnsi="Times New Roman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BED" w:rsidRDefault="003A6B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BED" w:rsidRDefault="003A6B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BED" w:rsidRDefault="003A6BE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236" w:rsidRDefault="00384236">
    <w:pPr>
      <w:pStyle w:val="Header"/>
    </w:pPr>
    <w:r>
      <w:t>Washington Utilities and Transportation Commission</w:t>
    </w:r>
  </w:p>
  <w:p w:rsidR="00384236" w:rsidRDefault="001F5AAF">
    <w:pPr>
      <w:pStyle w:val="Header"/>
    </w:pPr>
    <w:r>
      <w:t>November 19</w:t>
    </w:r>
    <w:r w:rsidR="00384236">
      <w:t xml:space="preserve">, 2015  </w:t>
    </w:r>
  </w:p>
  <w:p w:rsidR="00384236" w:rsidRDefault="00384236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A6BED">
      <w:rPr>
        <w:noProof/>
      </w:rPr>
      <w:t>3</w:t>
    </w:r>
    <w:r>
      <w:rPr>
        <w:noProof/>
      </w:rPr>
      <w:fldChar w:fldCharType="end"/>
    </w:r>
  </w:p>
  <w:p w:rsidR="00384236" w:rsidRDefault="003842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93707A"/>
    <w:multiLevelType w:val="hybridMultilevel"/>
    <w:tmpl w:val="8956515A"/>
    <w:lvl w:ilvl="0" w:tplc="16D8CE72">
      <w:start w:val="1"/>
      <w:numFmt w:val="decimal"/>
      <w:lvlText w:val="Exhibit %1 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F06564"/>
    <w:multiLevelType w:val="hybridMultilevel"/>
    <w:tmpl w:val="D562B51E"/>
    <w:lvl w:ilvl="0" w:tplc="E800F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EADE2">
      <w:start w:val="14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48D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8AD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A2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184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BCB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1C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26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8F"/>
    <w:rsid w:val="000078B5"/>
    <w:rsid w:val="000127EA"/>
    <w:rsid w:val="00070353"/>
    <w:rsid w:val="00087031"/>
    <w:rsid w:val="00093756"/>
    <w:rsid w:val="000A039D"/>
    <w:rsid w:val="000A3FD3"/>
    <w:rsid w:val="000B3DB4"/>
    <w:rsid w:val="000B679C"/>
    <w:rsid w:val="000D424B"/>
    <w:rsid w:val="000D6421"/>
    <w:rsid w:val="000D6469"/>
    <w:rsid w:val="000D6661"/>
    <w:rsid w:val="000E52A3"/>
    <w:rsid w:val="001027E4"/>
    <w:rsid w:val="001028F3"/>
    <w:rsid w:val="0010290D"/>
    <w:rsid w:val="0010419F"/>
    <w:rsid w:val="00104940"/>
    <w:rsid w:val="00120ED6"/>
    <w:rsid w:val="00146750"/>
    <w:rsid w:val="0015296C"/>
    <w:rsid w:val="001544F1"/>
    <w:rsid w:val="0015463D"/>
    <w:rsid w:val="0015614C"/>
    <w:rsid w:val="001711C6"/>
    <w:rsid w:val="001810B6"/>
    <w:rsid w:val="00184DEC"/>
    <w:rsid w:val="00194B73"/>
    <w:rsid w:val="001A1AAA"/>
    <w:rsid w:val="001B5731"/>
    <w:rsid w:val="001C03CC"/>
    <w:rsid w:val="001C7ADC"/>
    <w:rsid w:val="001D1145"/>
    <w:rsid w:val="001D5E3E"/>
    <w:rsid w:val="001E7A07"/>
    <w:rsid w:val="001F1BA9"/>
    <w:rsid w:val="001F5AAF"/>
    <w:rsid w:val="001F666C"/>
    <w:rsid w:val="002023C3"/>
    <w:rsid w:val="00204C32"/>
    <w:rsid w:val="002305B1"/>
    <w:rsid w:val="00234841"/>
    <w:rsid w:val="0023742A"/>
    <w:rsid w:val="00246066"/>
    <w:rsid w:val="00264351"/>
    <w:rsid w:val="002732B3"/>
    <w:rsid w:val="0027628C"/>
    <w:rsid w:val="00290F35"/>
    <w:rsid w:val="00294D95"/>
    <w:rsid w:val="00295285"/>
    <w:rsid w:val="002B6E29"/>
    <w:rsid w:val="002C1713"/>
    <w:rsid w:val="002C4019"/>
    <w:rsid w:val="002D4B38"/>
    <w:rsid w:val="002D4F83"/>
    <w:rsid w:val="002D566A"/>
    <w:rsid w:val="002F6AAF"/>
    <w:rsid w:val="00324462"/>
    <w:rsid w:val="003529A2"/>
    <w:rsid w:val="00362362"/>
    <w:rsid w:val="00384236"/>
    <w:rsid w:val="003A6BED"/>
    <w:rsid w:val="003C06E2"/>
    <w:rsid w:val="003C0961"/>
    <w:rsid w:val="003C3A72"/>
    <w:rsid w:val="003F1BF1"/>
    <w:rsid w:val="003F46BF"/>
    <w:rsid w:val="00415673"/>
    <w:rsid w:val="00415699"/>
    <w:rsid w:val="00416F66"/>
    <w:rsid w:val="004251F1"/>
    <w:rsid w:val="00427F34"/>
    <w:rsid w:val="00430A5B"/>
    <w:rsid w:val="00433F8F"/>
    <w:rsid w:val="00444015"/>
    <w:rsid w:val="00461F6B"/>
    <w:rsid w:val="004864BC"/>
    <w:rsid w:val="00490EF1"/>
    <w:rsid w:val="004912AA"/>
    <w:rsid w:val="004A2CB1"/>
    <w:rsid w:val="004B77B2"/>
    <w:rsid w:val="004C0652"/>
    <w:rsid w:val="004E21BD"/>
    <w:rsid w:val="005170B0"/>
    <w:rsid w:val="005258C7"/>
    <w:rsid w:val="0055510F"/>
    <w:rsid w:val="00556E82"/>
    <w:rsid w:val="00567B61"/>
    <w:rsid w:val="00570932"/>
    <w:rsid w:val="00594C12"/>
    <w:rsid w:val="005B5B0D"/>
    <w:rsid w:val="005B6C80"/>
    <w:rsid w:val="005C7B60"/>
    <w:rsid w:val="005D0D90"/>
    <w:rsid w:val="005D31B6"/>
    <w:rsid w:val="005E0503"/>
    <w:rsid w:val="005E13D7"/>
    <w:rsid w:val="00602D96"/>
    <w:rsid w:val="00607AC6"/>
    <w:rsid w:val="006256E3"/>
    <w:rsid w:val="0062691B"/>
    <w:rsid w:val="00630B8F"/>
    <w:rsid w:val="00630E32"/>
    <w:rsid w:val="00630EFC"/>
    <w:rsid w:val="006402E8"/>
    <w:rsid w:val="00647E55"/>
    <w:rsid w:val="006545EE"/>
    <w:rsid w:val="006606D8"/>
    <w:rsid w:val="00663FC3"/>
    <w:rsid w:val="00673B1F"/>
    <w:rsid w:val="00674C68"/>
    <w:rsid w:val="00682751"/>
    <w:rsid w:val="0069250E"/>
    <w:rsid w:val="006970F0"/>
    <w:rsid w:val="006C4A31"/>
    <w:rsid w:val="006E0B27"/>
    <w:rsid w:val="006F71BF"/>
    <w:rsid w:val="00707CB4"/>
    <w:rsid w:val="00736C33"/>
    <w:rsid w:val="00740321"/>
    <w:rsid w:val="00745524"/>
    <w:rsid w:val="00761271"/>
    <w:rsid w:val="00761853"/>
    <w:rsid w:val="00761CD2"/>
    <w:rsid w:val="007644B8"/>
    <w:rsid w:val="00765F30"/>
    <w:rsid w:val="00797F5A"/>
    <w:rsid w:val="007A1865"/>
    <w:rsid w:val="007B7BE5"/>
    <w:rsid w:val="007D4D94"/>
    <w:rsid w:val="007E22BC"/>
    <w:rsid w:val="007E2AA1"/>
    <w:rsid w:val="007E5F59"/>
    <w:rsid w:val="007F2B60"/>
    <w:rsid w:val="00800B4E"/>
    <w:rsid w:val="00813422"/>
    <w:rsid w:val="00816E57"/>
    <w:rsid w:val="0083036E"/>
    <w:rsid w:val="00830EE8"/>
    <w:rsid w:val="00831FE0"/>
    <w:rsid w:val="0083371F"/>
    <w:rsid w:val="00870075"/>
    <w:rsid w:val="008720A4"/>
    <w:rsid w:val="00874DFF"/>
    <w:rsid w:val="00875C27"/>
    <w:rsid w:val="008806A0"/>
    <w:rsid w:val="00881054"/>
    <w:rsid w:val="00884EE8"/>
    <w:rsid w:val="008A048F"/>
    <w:rsid w:val="008E5EB7"/>
    <w:rsid w:val="00901C36"/>
    <w:rsid w:val="009100EA"/>
    <w:rsid w:val="00910441"/>
    <w:rsid w:val="009115EE"/>
    <w:rsid w:val="00921099"/>
    <w:rsid w:val="00953370"/>
    <w:rsid w:val="00964072"/>
    <w:rsid w:val="00981127"/>
    <w:rsid w:val="00982FD2"/>
    <w:rsid w:val="00985F57"/>
    <w:rsid w:val="00990199"/>
    <w:rsid w:val="009A7E4D"/>
    <w:rsid w:val="009B2806"/>
    <w:rsid w:val="009B35AF"/>
    <w:rsid w:val="009B4F02"/>
    <w:rsid w:val="009B6768"/>
    <w:rsid w:val="009D7379"/>
    <w:rsid w:val="009F165A"/>
    <w:rsid w:val="009F1DA9"/>
    <w:rsid w:val="009F794D"/>
    <w:rsid w:val="00A165B3"/>
    <w:rsid w:val="00A52533"/>
    <w:rsid w:val="00A76DD3"/>
    <w:rsid w:val="00A86A08"/>
    <w:rsid w:val="00AA6891"/>
    <w:rsid w:val="00AB6B55"/>
    <w:rsid w:val="00AC175E"/>
    <w:rsid w:val="00AC713D"/>
    <w:rsid w:val="00AD525E"/>
    <w:rsid w:val="00AD5E3D"/>
    <w:rsid w:val="00AE3851"/>
    <w:rsid w:val="00AF35A9"/>
    <w:rsid w:val="00AF4DE3"/>
    <w:rsid w:val="00B37839"/>
    <w:rsid w:val="00B428AA"/>
    <w:rsid w:val="00B45451"/>
    <w:rsid w:val="00B74533"/>
    <w:rsid w:val="00BA1A21"/>
    <w:rsid w:val="00BA4CEE"/>
    <w:rsid w:val="00BC716A"/>
    <w:rsid w:val="00BD22FD"/>
    <w:rsid w:val="00BD3612"/>
    <w:rsid w:val="00C02FB1"/>
    <w:rsid w:val="00C05C76"/>
    <w:rsid w:val="00C219B7"/>
    <w:rsid w:val="00C52A4A"/>
    <w:rsid w:val="00C56CB3"/>
    <w:rsid w:val="00C64F06"/>
    <w:rsid w:val="00C66AEE"/>
    <w:rsid w:val="00C76B10"/>
    <w:rsid w:val="00C82073"/>
    <w:rsid w:val="00C8212F"/>
    <w:rsid w:val="00C90214"/>
    <w:rsid w:val="00CA03E0"/>
    <w:rsid w:val="00CA3520"/>
    <w:rsid w:val="00CB7DAC"/>
    <w:rsid w:val="00CD240F"/>
    <w:rsid w:val="00CE3E12"/>
    <w:rsid w:val="00D0390D"/>
    <w:rsid w:val="00D16AF8"/>
    <w:rsid w:val="00D1787B"/>
    <w:rsid w:val="00D4307C"/>
    <w:rsid w:val="00D57F9B"/>
    <w:rsid w:val="00D604AC"/>
    <w:rsid w:val="00D72C2E"/>
    <w:rsid w:val="00D73BE9"/>
    <w:rsid w:val="00D83AE4"/>
    <w:rsid w:val="00D9027F"/>
    <w:rsid w:val="00D9496C"/>
    <w:rsid w:val="00DA3AED"/>
    <w:rsid w:val="00DB3CE0"/>
    <w:rsid w:val="00DD322E"/>
    <w:rsid w:val="00DF786C"/>
    <w:rsid w:val="00E10ABB"/>
    <w:rsid w:val="00E27A65"/>
    <w:rsid w:val="00E5529C"/>
    <w:rsid w:val="00E61028"/>
    <w:rsid w:val="00E648C5"/>
    <w:rsid w:val="00E76F0B"/>
    <w:rsid w:val="00E8112C"/>
    <w:rsid w:val="00E927DA"/>
    <w:rsid w:val="00E96C13"/>
    <w:rsid w:val="00EA6726"/>
    <w:rsid w:val="00EB2F1F"/>
    <w:rsid w:val="00EC13EE"/>
    <w:rsid w:val="00ED3559"/>
    <w:rsid w:val="00ED434E"/>
    <w:rsid w:val="00EF0CF7"/>
    <w:rsid w:val="00F050E2"/>
    <w:rsid w:val="00F179BA"/>
    <w:rsid w:val="00F4002C"/>
    <w:rsid w:val="00F5586E"/>
    <w:rsid w:val="00F61D02"/>
    <w:rsid w:val="00F6202B"/>
    <w:rsid w:val="00F63A42"/>
    <w:rsid w:val="00F8061D"/>
    <w:rsid w:val="00FA61BD"/>
    <w:rsid w:val="00FC1B0A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0E3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03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4072"/>
    <w:rPr>
      <w:rFonts w:cs="Times"/>
    </w:rPr>
  </w:style>
  <w:style w:type="character" w:styleId="FootnoteReference">
    <w:name w:val="footnote reference"/>
    <w:basedOn w:val="DefaultParagraphFont"/>
    <w:uiPriority w:val="99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E3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mmentText">
    <w:name w:val="annotation text"/>
    <w:basedOn w:val="Normal"/>
    <w:link w:val="CommentTextChar"/>
    <w:rsid w:val="008E5EB7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8E5EB7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761CD2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06E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6E2"/>
    <w:rPr>
      <w:rFonts w:ascii="Times" w:eastAsia="Times" w:hAnsi="Times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6E2"/>
    <w:rPr>
      <w:rFonts w:ascii="Times New Roman" w:eastAsia="Times New Roman" w:hAnsi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3036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NormalWeb">
    <w:name w:val="Normal (Web)"/>
    <w:basedOn w:val="Normal"/>
    <w:unhideWhenUsed/>
    <w:rsid w:val="0083036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1C7ADC"/>
    <w:pPr>
      <w:ind w:left="720"/>
      <w:contextualSpacing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0E3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03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4072"/>
    <w:rPr>
      <w:rFonts w:cs="Times"/>
    </w:rPr>
  </w:style>
  <w:style w:type="character" w:styleId="FootnoteReference">
    <w:name w:val="footnote reference"/>
    <w:basedOn w:val="DefaultParagraphFont"/>
    <w:uiPriority w:val="99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E3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mmentText">
    <w:name w:val="annotation text"/>
    <w:basedOn w:val="Normal"/>
    <w:link w:val="CommentTextChar"/>
    <w:rsid w:val="008E5EB7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8E5EB7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761CD2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06E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6E2"/>
    <w:rPr>
      <w:rFonts w:ascii="Times" w:eastAsia="Times" w:hAnsi="Times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6E2"/>
    <w:rPr>
      <w:rFonts w:ascii="Times New Roman" w:eastAsia="Times New Roman" w:hAnsi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3036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NormalWeb">
    <w:name w:val="Normal (Web)"/>
    <w:basedOn w:val="Normal"/>
    <w:unhideWhenUsed/>
    <w:rsid w:val="0083036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1C7ADC"/>
    <w:pPr>
      <w:ind w:left="720"/>
      <w:contextualSpacing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25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95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459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datarequest@pacificorp.com" TargetMode="External"/><Relationship Id="rId10" Type="http://schemas.openxmlformats.org/officeDocument/2006/relationships/footer" Target="footer1.xm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2015-11-19T08:00:00+00:00</OpenedDate>
    <Date1 xmlns="dc463f71-b30c-4ab2-9473-d307f9d35888">2015-11-19T08:00:00+00:00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CDD576E0706B4FA7A40E10112E091E" ma:contentTypeVersion="119" ma:contentTypeDescription="" ma:contentTypeScope="" ma:versionID="181245e6c16310369b8739bc6d7b865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4B3485F-5FCC-4CAA-962E-C4D6C2ADA63C}"/>
</file>

<file path=customXml/itemProps2.xml><?xml version="1.0" encoding="utf-8"?>
<ds:datastoreItem xmlns:ds="http://schemas.openxmlformats.org/officeDocument/2006/customXml" ds:itemID="{F01018FC-ACFD-4158-9ECB-DE78962DB780}"/>
</file>

<file path=customXml/itemProps3.xml><?xml version="1.0" encoding="utf-8"?>
<ds:datastoreItem xmlns:ds="http://schemas.openxmlformats.org/officeDocument/2006/customXml" ds:itemID="{389456E5-84CD-45C6-B89B-B4EAA9DCD4E3}"/>
</file>

<file path=customXml/itemProps4.xml><?xml version="1.0" encoding="utf-8"?>
<ds:datastoreItem xmlns:ds="http://schemas.openxmlformats.org/officeDocument/2006/customXml" ds:itemID="{CFDEAC05-CF9E-426C-B82E-70E19602E7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5978</Characters>
  <Application>Microsoft Office Word</Application>
  <DocSecurity>0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2015-11-19T23:32:00Z</dcterms:created>
  <dcterms:modified xsi:type="dcterms:W3CDTF">2015-11-19T23:32:00Z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0x0101006E56B4D1795A2E4DB2F0B01679ED314A0060CDD576E0706B4FA7A40E10112E091E</vt:lpwstr>
  </property>
  <property fmtid="{D5CDD505-2E9C-101B-9397-08002B2CF9AE}" pid="4" name="_docset_NoMedatataSyncRequired">
    <vt:lpwstr>False</vt:lpwstr>
  </property>
</Properties>
</file>