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C2" w:rsidRPr="00B87730" w:rsidRDefault="00100EB5" w:rsidP="007B14C2">
      <w:pPr>
        <w:jc w:val="both"/>
        <w:rPr>
          <w:rFonts w:cs="Arial"/>
          <w:sz w:val="20"/>
        </w:rPr>
      </w:pPr>
      <w:r>
        <w:rPr>
          <w:rFonts w:cs="Arial"/>
          <w:sz w:val="20"/>
        </w:rPr>
        <w:t>July 27</w:t>
      </w:r>
      <w:r w:rsidR="007B14C2" w:rsidRPr="00B87730">
        <w:rPr>
          <w:rFonts w:cs="Arial"/>
          <w:sz w:val="20"/>
        </w:rPr>
        <w:t>, 2015</w:t>
      </w:r>
    </w:p>
    <w:p w:rsidR="007B14C2" w:rsidRPr="00B87730" w:rsidRDefault="007B14C2" w:rsidP="007B14C2">
      <w:pPr>
        <w:jc w:val="both"/>
        <w:rPr>
          <w:rFonts w:cs="Arial"/>
          <w:sz w:val="20"/>
        </w:rPr>
      </w:pPr>
      <w:r w:rsidRPr="00B87730">
        <w:rPr>
          <w:b/>
          <w:bCs/>
          <w:sz w:val="20"/>
          <w:u w:val="single"/>
        </w:rPr>
        <w:t>Via Electronic Filing</w:t>
      </w:r>
    </w:p>
    <w:p w:rsidR="0020277E" w:rsidRPr="0037265E" w:rsidRDefault="0020277E" w:rsidP="00E9473E">
      <w:pPr>
        <w:jc w:val="both"/>
        <w:rPr>
          <w:rFonts w:cs="Arial"/>
          <w:sz w:val="20"/>
        </w:rPr>
      </w:pPr>
    </w:p>
    <w:p w:rsidR="0020277E" w:rsidRPr="0037265E" w:rsidRDefault="0020277E" w:rsidP="00E9473E">
      <w:pPr>
        <w:jc w:val="both"/>
        <w:rPr>
          <w:rFonts w:cs="Arial"/>
          <w:sz w:val="20"/>
        </w:rPr>
      </w:pPr>
    </w:p>
    <w:p w:rsidR="00CC54CA" w:rsidRPr="00AF6888" w:rsidRDefault="00CC54CA" w:rsidP="00CC54CA">
      <w:pPr>
        <w:jc w:val="both"/>
        <w:rPr>
          <w:rFonts w:cs="Arial"/>
          <w:sz w:val="20"/>
        </w:rPr>
      </w:pPr>
      <w:r w:rsidRPr="00AF6888">
        <w:rPr>
          <w:rFonts w:cs="Arial"/>
          <w:sz w:val="20"/>
        </w:rPr>
        <w:t xml:space="preserve">Mr. </w:t>
      </w:r>
      <w:r>
        <w:rPr>
          <w:rFonts w:cs="Arial"/>
          <w:sz w:val="20"/>
        </w:rPr>
        <w:t>Steven V. King</w:t>
      </w:r>
      <w:r w:rsidRPr="00AF6888">
        <w:rPr>
          <w:rFonts w:cs="Arial"/>
          <w:sz w:val="20"/>
        </w:rPr>
        <w:t>, Executive Director and Secretary</w:t>
      </w:r>
    </w:p>
    <w:p w:rsidR="00CC54CA" w:rsidRPr="00AF6888" w:rsidRDefault="00CC54CA" w:rsidP="00CC54CA">
      <w:pPr>
        <w:jc w:val="both"/>
        <w:rPr>
          <w:rFonts w:cs="Arial"/>
          <w:sz w:val="20"/>
        </w:rPr>
      </w:pPr>
      <w:smartTag w:uri="urn:schemas-microsoft-com:office:smarttags" w:element="State">
        <w:smartTag w:uri="urn:schemas-microsoft-com:office:smarttags" w:element="place">
          <w:r w:rsidRPr="00AF6888">
            <w:rPr>
              <w:rFonts w:cs="Arial"/>
              <w:sz w:val="20"/>
            </w:rPr>
            <w:t>Washington</w:t>
          </w:r>
        </w:smartTag>
      </w:smartTag>
      <w:r w:rsidRPr="00AF6888">
        <w:rPr>
          <w:rFonts w:cs="Arial"/>
          <w:sz w:val="20"/>
        </w:rPr>
        <w:t xml:space="preserve"> Utilities and Transportation Commission</w:t>
      </w:r>
    </w:p>
    <w:p w:rsidR="00CC54CA" w:rsidRPr="00AF6888" w:rsidRDefault="00CC54CA" w:rsidP="00CC54CA">
      <w:pPr>
        <w:jc w:val="both"/>
        <w:rPr>
          <w:rFonts w:cs="Arial"/>
          <w:sz w:val="20"/>
        </w:rPr>
      </w:pPr>
      <w:smartTag w:uri="urn:schemas-microsoft-com:office:smarttags" w:element="address">
        <w:smartTag w:uri="urn:schemas-microsoft-com:office:smarttags" w:element="Street">
          <w:r w:rsidRPr="00AF6888">
            <w:rPr>
              <w:rFonts w:cs="Arial"/>
              <w:sz w:val="20"/>
            </w:rPr>
            <w:t>P.O. Box</w:t>
          </w:r>
        </w:smartTag>
        <w:r w:rsidRPr="00AF6888">
          <w:rPr>
            <w:rFonts w:cs="Arial"/>
            <w:sz w:val="20"/>
          </w:rPr>
          <w:t xml:space="preserve"> 47250</w:t>
        </w:r>
      </w:smartTag>
    </w:p>
    <w:p w:rsidR="00CC54CA" w:rsidRPr="00AF6888" w:rsidRDefault="00CC54CA" w:rsidP="00CC54CA">
      <w:pPr>
        <w:jc w:val="both"/>
        <w:rPr>
          <w:rFonts w:cs="Arial"/>
          <w:sz w:val="20"/>
        </w:rPr>
      </w:pPr>
      <w:smartTag w:uri="urn:schemas-microsoft-com:office:smarttags" w:element="Street">
        <w:smartTag w:uri="urn:schemas-microsoft-com:office:smarttags" w:element="address">
          <w:r w:rsidRPr="00AF6888">
            <w:rPr>
              <w:rFonts w:cs="Arial"/>
              <w:sz w:val="20"/>
            </w:rPr>
            <w:t>1300 S. Evergreen Park Drive SW</w:t>
          </w:r>
        </w:smartTag>
      </w:smartTag>
    </w:p>
    <w:p w:rsidR="00CC54CA" w:rsidRPr="00AF6888" w:rsidRDefault="00CC54CA" w:rsidP="00CC54CA">
      <w:pPr>
        <w:jc w:val="both"/>
        <w:rPr>
          <w:rFonts w:cs="Arial"/>
          <w:sz w:val="20"/>
        </w:rPr>
      </w:pPr>
      <w:smartTag w:uri="urn:schemas-microsoft-com:office:smarttags" w:element="place">
        <w:smartTag w:uri="urn:schemas-microsoft-com:office:smarttags" w:element="City">
          <w:r w:rsidRPr="00AF6888">
            <w:rPr>
              <w:rFonts w:cs="Arial"/>
              <w:sz w:val="20"/>
            </w:rPr>
            <w:t>Olympia</w:t>
          </w:r>
        </w:smartTag>
        <w:r w:rsidRPr="00AF6888">
          <w:rPr>
            <w:rFonts w:cs="Arial"/>
            <w:sz w:val="20"/>
          </w:rPr>
          <w:t xml:space="preserve">, </w:t>
        </w:r>
        <w:smartTag w:uri="urn:schemas-microsoft-com:office:smarttags" w:element="State">
          <w:r w:rsidRPr="00AF6888">
            <w:rPr>
              <w:rFonts w:cs="Arial"/>
              <w:sz w:val="20"/>
            </w:rPr>
            <w:t>WA</w:t>
          </w:r>
        </w:smartTag>
        <w:r w:rsidRPr="00AF6888">
          <w:rPr>
            <w:rFonts w:cs="Arial"/>
            <w:sz w:val="20"/>
          </w:rPr>
          <w:t xml:space="preserve">  </w:t>
        </w:r>
        <w:smartTag w:uri="urn:schemas-microsoft-com:office:smarttags" w:element="PostalCode">
          <w:r w:rsidRPr="00AF6888">
            <w:rPr>
              <w:rFonts w:cs="Arial"/>
              <w:sz w:val="20"/>
            </w:rPr>
            <w:t>98504-7250</w:t>
          </w:r>
        </w:smartTag>
      </w:smartTag>
    </w:p>
    <w:p w:rsidR="0019488B" w:rsidRDefault="0019488B" w:rsidP="00E9473E">
      <w:pPr>
        <w:jc w:val="both"/>
        <w:rPr>
          <w:rFonts w:cs="Arial"/>
          <w:sz w:val="20"/>
        </w:rPr>
      </w:pPr>
    </w:p>
    <w:p w:rsidR="00CC54CA" w:rsidRPr="00AF6888" w:rsidRDefault="00CC54CA" w:rsidP="00CC54CA">
      <w:pPr>
        <w:ind w:left="600" w:hanging="600"/>
        <w:rPr>
          <w:rFonts w:cs="Arial"/>
          <w:sz w:val="20"/>
        </w:rPr>
      </w:pPr>
      <w:r w:rsidRPr="00AF6888">
        <w:rPr>
          <w:rFonts w:cs="Arial"/>
          <w:sz w:val="20"/>
        </w:rPr>
        <w:t>RE:</w:t>
      </w:r>
      <w:r w:rsidRPr="00AF6888">
        <w:rPr>
          <w:rFonts w:cs="Arial"/>
          <w:sz w:val="20"/>
        </w:rPr>
        <w:tab/>
      </w:r>
      <w:r w:rsidRPr="00E40CFF">
        <w:rPr>
          <w:rFonts w:cs="Arial"/>
          <w:sz w:val="20"/>
        </w:rPr>
        <w:t>Advice N</w:t>
      </w:r>
      <w:r w:rsidRPr="00CC54CA">
        <w:rPr>
          <w:rFonts w:cs="Arial"/>
          <w:sz w:val="20"/>
        </w:rPr>
        <w:t xml:space="preserve">o. </w:t>
      </w:r>
      <w:proofErr w:type="gramStart"/>
      <w:r w:rsidRPr="00CC54CA">
        <w:rPr>
          <w:rFonts w:cs="Arial"/>
          <w:sz w:val="20"/>
        </w:rPr>
        <w:t>WA</w:t>
      </w:r>
      <w:r w:rsidRPr="00CC54CA">
        <w:rPr>
          <w:rFonts w:cs="Arial"/>
          <w:color w:val="FF0000"/>
          <w:sz w:val="20"/>
        </w:rPr>
        <w:t xml:space="preserve"> </w:t>
      </w:r>
      <w:r w:rsidR="00B26F10" w:rsidRPr="00B26F10">
        <w:rPr>
          <w:rFonts w:cs="Arial"/>
          <w:sz w:val="20"/>
        </w:rPr>
        <w:t>ACQ</w:t>
      </w:r>
      <w:r w:rsidR="007B14C2" w:rsidRPr="00B26F10">
        <w:rPr>
          <w:rFonts w:cs="Arial"/>
          <w:sz w:val="20"/>
        </w:rPr>
        <w:t xml:space="preserve"> 15-21</w:t>
      </w:r>
      <w:r w:rsidRPr="00E40CFF">
        <w:rPr>
          <w:rFonts w:cs="Arial"/>
          <w:sz w:val="20"/>
        </w:rPr>
        <w:t xml:space="preserve"> for </w:t>
      </w:r>
      <w:r w:rsidR="007B14C2" w:rsidRPr="00733952">
        <w:rPr>
          <w:rFonts w:cs="Arial"/>
          <w:sz w:val="20"/>
        </w:rPr>
        <w:t>CenturyTel of Washington, Inc.</w:t>
      </w:r>
      <w:r w:rsidR="00F071E8">
        <w:rPr>
          <w:rFonts w:cs="Arial"/>
          <w:sz w:val="20"/>
        </w:rPr>
        <w:t xml:space="preserve"> </w:t>
      </w:r>
      <w:r w:rsidRPr="00AF6888">
        <w:rPr>
          <w:rFonts w:cs="Arial"/>
          <w:sz w:val="20"/>
        </w:rPr>
        <w:t xml:space="preserve">d/b/a CenturyLink </w:t>
      </w:r>
      <w:r w:rsidR="00F071E8" w:rsidRPr="00733952">
        <w:rPr>
          <w:rFonts w:cs="Arial"/>
          <w:sz w:val="20"/>
        </w:rPr>
        <w:t>WN U-</w:t>
      </w:r>
      <w:r w:rsidR="00F071E8">
        <w:rPr>
          <w:rFonts w:cs="Arial"/>
          <w:sz w:val="20"/>
        </w:rPr>
        <w:t>11</w:t>
      </w:r>
      <w:r w:rsidR="00601B2D">
        <w:rPr>
          <w:rFonts w:cs="Arial"/>
          <w:sz w:val="20"/>
        </w:rPr>
        <w:t>.</w:t>
      </w:r>
      <w:proofErr w:type="gramEnd"/>
    </w:p>
    <w:p w:rsidR="00CC54CA" w:rsidRDefault="00CC54CA" w:rsidP="007B14C2">
      <w:pPr>
        <w:tabs>
          <w:tab w:val="left" w:pos="2625"/>
        </w:tabs>
        <w:jc w:val="both"/>
        <w:rPr>
          <w:rFonts w:cs="Arial"/>
          <w:sz w:val="20"/>
        </w:rPr>
      </w:pPr>
    </w:p>
    <w:p w:rsidR="00701905" w:rsidRPr="0037265E" w:rsidRDefault="00701905" w:rsidP="00E9473E">
      <w:pPr>
        <w:jc w:val="both"/>
        <w:rPr>
          <w:rFonts w:cs="Arial"/>
          <w:sz w:val="20"/>
        </w:rPr>
      </w:pPr>
    </w:p>
    <w:p w:rsidR="00CC54CA" w:rsidRPr="00AF6888" w:rsidRDefault="00CC54CA" w:rsidP="00CC54CA">
      <w:pPr>
        <w:jc w:val="both"/>
        <w:rPr>
          <w:rFonts w:cs="Arial"/>
          <w:sz w:val="20"/>
        </w:rPr>
      </w:pPr>
      <w:r w:rsidRPr="00AF6888">
        <w:rPr>
          <w:rFonts w:cs="Arial"/>
          <w:sz w:val="20"/>
        </w:rPr>
        <w:t xml:space="preserve">Dear Mr. </w:t>
      </w:r>
      <w:r>
        <w:rPr>
          <w:rFonts w:cs="Arial"/>
          <w:sz w:val="20"/>
        </w:rPr>
        <w:t>King</w:t>
      </w:r>
      <w:r w:rsidRPr="00AF6888">
        <w:rPr>
          <w:rFonts w:cs="Arial"/>
          <w:sz w:val="20"/>
        </w:rPr>
        <w:t>:</w:t>
      </w:r>
    </w:p>
    <w:p w:rsidR="0020277E" w:rsidRPr="0037265E" w:rsidRDefault="0020277E" w:rsidP="00E9473E">
      <w:pPr>
        <w:tabs>
          <w:tab w:val="left" w:pos="8010"/>
        </w:tabs>
        <w:ind w:right="810"/>
        <w:jc w:val="both"/>
        <w:rPr>
          <w:rFonts w:cs="Arial"/>
          <w:sz w:val="20"/>
        </w:rPr>
      </w:pPr>
    </w:p>
    <w:p w:rsidR="0032460D" w:rsidRDefault="00C951D6" w:rsidP="00485B51">
      <w:pPr>
        <w:jc w:val="both"/>
        <w:rPr>
          <w:rFonts w:cs="Arial"/>
          <w:sz w:val="20"/>
        </w:rPr>
      </w:pPr>
      <w:r>
        <w:rPr>
          <w:rFonts w:cs="Arial"/>
          <w:sz w:val="20"/>
        </w:rPr>
        <w:t xml:space="preserve">The enclosed tariff pages replace the revisions that were originally submitted on July 23, 2015 under </w:t>
      </w:r>
      <w:r w:rsidR="0032460D" w:rsidRPr="0032460D">
        <w:rPr>
          <w:rFonts w:cs="Arial"/>
          <w:sz w:val="20"/>
        </w:rPr>
        <w:t>E-File ID 2730 on behalf of</w:t>
      </w:r>
      <w:r w:rsidR="007B14C2" w:rsidRPr="0032460D">
        <w:rPr>
          <w:rFonts w:cs="Arial"/>
          <w:sz w:val="20"/>
        </w:rPr>
        <w:t xml:space="preserve"> C</w:t>
      </w:r>
      <w:r w:rsidR="007B14C2" w:rsidRPr="00733952">
        <w:rPr>
          <w:rFonts w:cs="Arial"/>
          <w:sz w:val="20"/>
        </w:rPr>
        <w:t xml:space="preserve">enturyTel of </w:t>
      </w:r>
      <w:r w:rsidR="00F071E8" w:rsidRPr="00733952">
        <w:rPr>
          <w:rFonts w:cs="Arial"/>
          <w:sz w:val="20"/>
        </w:rPr>
        <w:t>Washington</w:t>
      </w:r>
      <w:r w:rsidR="007B14C2" w:rsidRPr="00733952">
        <w:rPr>
          <w:rFonts w:cs="Arial"/>
          <w:sz w:val="20"/>
        </w:rPr>
        <w:t>, Inc. d/b/a CenturyLink WN U-</w:t>
      </w:r>
      <w:r w:rsidR="007B14C2">
        <w:rPr>
          <w:rFonts w:cs="Arial"/>
          <w:sz w:val="20"/>
        </w:rPr>
        <w:t>11</w:t>
      </w:r>
      <w:r w:rsidR="007B14C2" w:rsidRPr="00733952">
        <w:rPr>
          <w:rFonts w:cs="Arial"/>
          <w:sz w:val="20"/>
        </w:rPr>
        <w:t>.</w:t>
      </w:r>
    </w:p>
    <w:p w:rsidR="00CC54CA" w:rsidRDefault="0032460D" w:rsidP="00485B51">
      <w:pPr>
        <w:jc w:val="both"/>
        <w:rPr>
          <w:rFonts w:cs="Arial"/>
          <w:sz w:val="20"/>
        </w:rPr>
      </w:pPr>
      <w:r>
        <w:rPr>
          <w:rFonts w:cs="Arial"/>
          <w:sz w:val="20"/>
        </w:rPr>
        <w:t xml:space="preserve"> </w:t>
      </w:r>
    </w:p>
    <w:p w:rsidR="0020277E" w:rsidRPr="0037265E" w:rsidRDefault="00915F75" w:rsidP="00485B51">
      <w:pPr>
        <w:jc w:val="both"/>
        <w:rPr>
          <w:rFonts w:cs="Arial"/>
          <w:sz w:val="20"/>
        </w:rPr>
      </w:pPr>
      <w:r w:rsidRPr="0037265E">
        <w:rPr>
          <w:rFonts w:cs="Arial"/>
          <w:sz w:val="20"/>
        </w:rPr>
        <w:t>The following revisions are included in this filing:</w:t>
      </w:r>
    </w:p>
    <w:tbl>
      <w:tblPr>
        <w:tblW w:w="9468" w:type="dxa"/>
        <w:tblLayout w:type="fixed"/>
        <w:tblLook w:val="0000"/>
      </w:tblPr>
      <w:tblGrid>
        <w:gridCol w:w="1548"/>
        <w:gridCol w:w="3150"/>
        <w:gridCol w:w="2250"/>
        <w:gridCol w:w="2520"/>
      </w:tblGrid>
      <w:tr w:rsidR="007B14C2" w:rsidRPr="00B87730" w:rsidTr="00336A66">
        <w:tc>
          <w:tcPr>
            <w:tcW w:w="1548" w:type="dxa"/>
          </w:tcPr>
          <w:p w:rsidR="007B14C2" w:rsidRPr="000042D4" w:rsidRDefault="007B14C2" w:rsidP="00336A66">
            <w:pPr>
              <w:ind w:right="-108"/>
              <w:rPr>
                <w:rFonts w:cs="Arial"/>
                <w:sz w:val="20"/>
              </w:rPr>
            </w:pPr>
            <w:r w:rsidRPr="000042D4">
              <w:rPr>
                <w:rFonts w:cs="Arial"/>
                <w:sz w:val="20"/>
              </w:rPr>
              <w:t>Preface</w:t>
            </w:r>
          </w:p>
        </w:tc>
        <w:tc>
          <w:tcPr>
            <w:tcW w:w="3150" w:type="dxa"/>
          </w:tcPr>
          <w:p w:rsidR="007B14C2" w:rsidRPr="000042D4" w:rsidRDefault="007B14C2" w:rsidP="00336A66">
            <w:pPr>
              <w:tabs>
                <w:tab w:val="left" w:pos="1332"/>
              </w:tabs>
              <w:ind w:right="-108"/>
              <w:rPr>
                <w:rFonts w:cs="Arial"/>
                <w:sz w:val="20"/>
              </w:rPr>
            </w:pPr>
            <w:r w:rsidRPr="000042D4">
              <w:rPr>
                <w:rFonts w:cs="Arial"/>
                <w:sz w:val="20"/>
              </w:rPr>
              <w:t>First Revised Sheet 1</w:t>
            </w:r>
          </w:p>
        </w:tc>
        <w:tc>
          <w:tcPr>
            <w:tcW w:w="2250" w:type="dxa"/>
          </w:tcPr>
          <w:p w:rsidR="007B14C2" w:rsidRPr="00B87730" w:rsidRDefault="007B14C2" w:rsidP="00336A66">
            <w:pPr>
              <w:ind w:right="-108"/>
              <w:jc w:val="both"/>
              <w:rPr>
                <w:rFonts w:cs="Arial"/>
                <w:sz w:val="20"/>
              </w:rPr>
            </w:pPr>
          </w:p>
        </w:tc>
        <w:tc>
          <w:tcPr>
            <w:tcW w:w="2520" w:type="dxa"/>
          </w:tcPr>
          <w:p w:rsidR="007B14C2" w:rsidRPr="00B87730" w:rsidRDefault="007B14C2" w:rsidP="00336A66">
            <w:pPr>
              <w:tabs>
                <w:tab w:val="left" w:pos="1332"/>
              </w:tabs>
              <w:jc w:val="both"/>
              <w:rPr>
                <w:rFonts w:cs="Arial"/>
                <w:sz w:val="20"/>
              </w:rPr>
            </w:pPr>
          </w:p>
        </w:tc>
      </w:tr>
      <w:tr w:rsidR="007B14C2" w:rsidRPr="00B87730" w:rsidTr="00336A66">
        <w:tc>
          <w:tcPr>
            <w:tcW w:w="1548" w:type="dxa"/>
          </w:tcPr>
          <w:p w:rsidR="007B14C2" w:rsidRPr="000042D4" w:rsidRDefault="007B14C2" w:rsidP="00336A66">
            <w:pPr>
              <w:ind w:right="-108"/>
              <w:rPr>
                <w:rFonts w:cs="Arial"/>
                <w:sz w:val="20"/>
              </w:rPr>
            </w:pPr>
            <w:r w:rsidRPr="000042D4">
              <w:rPr>
                <w:rFonts w:cs="Arial"/>
                <w:sz w:val="20"/>
              </w:rPr>
              <w:t>Section 2</w:t>
            </w:r>
          </w:p>
        </w:tc>
        <w:tc>
          <w:tcPr>
            <w:tcW w:w="3150" w:type="dxa"/>
          </w:tcPr>
          <w:p w:rsidR="007B14C2" w:rsidRPr="000042D4" w:rsidRDefault="007B14C2" w:rsidP="00336A66">
            <w:pPr>
              <w:tabs>
                <w:tab w:val="left" w:pos="1332"/>
              </w:tabs>
              <w:ind w:right="-108"/>
              <w:rPr>
                <w:rFonts w:cs="Arial"/>
                <w:sz w:val="20"/>
              </w:rPr>
            </w:pPr>
            <w:r w:rsidRPr="000042D4">
              <w:rPr>
                <w:rFonts w:cs="Arial"/>
                <w:sz w:val="20"/>
              </w:rPr>
              <w:t>First Revised Contents Sheet 1</w:t>
            </w:r>
          </w:p>
        </w:tc>
        <w:tc>
          <w:tcPr>
            <w:tcW w:w="2250" w:type="dxa"/>
          </w:tcPr>
          <w:p w:rsidR="007B14C2" w:rsidRPr="00B87730" w:rsidRDefault="007B14C2" w:rsidP="00336A66">
            <w:pPr>
              <w:ind w:right="-108"/>
              <w:jc w:val="both"/>
              <w:rPr>
                <w:rFonts w:cs="Arial"/>
                <w:sz w:val="20"/>
              </w:rPr>
            </w:pPr>
          </w:p>
        </w:tc>
        <w:tc>
          <w:tcPr>
            <w:tcW w:w="2520" w:type="dxa"/>
          </w:tcPr>
          <w:p w:rsidR="007B14C2" w:rsidRPr="00B87730" w:rsidRDefault="007B14C2" w:rsidP="00336A66">
            <w:pPr>
              <w:tabs>
                <w:tab w:val="left" w:pos="1332"/>
              </w:tabs>
              <w:jc w:val="both"/>
              <w:rPr>
                <w:rFonts w:cs="Arial"/>
                <w:sz w:val="20"/>
              </w:rPr>
            </w:pPr>
          </w:p>
        </w:tc>
      </w:tr>
      <w:tr w:rsidR="007B14C2" w:rsidRPr="00B87730" w:rsidTr="00336A66">
        <w:tc>
          <w:tcPr>
            <w:tcW w:w="1548" w:type="dxa"/>
          </w:tcPr>
          <w:p w:rsidR="007B14C2" w:rsidRPr="000042D4" w:rsidRDefault="007B14C2" w:rsidP="00336A66">
            <w:pPr>
              <w:ind w:right="-108"/>
              <w:rPr>
                <w:rFonts w:cs="Arial"/>
                <w:sz w:val="20"/>
              </w:rPr>
            </w:pPr>
          </w:p>
        </w:tc>
        <w:tc>
          <w:tcPr>
            <w:tcW w:w="3150" w:type="dxa"/>
          </w:tcPr>
          <w:p w:rsidR="007B14C2" w:rsidRPr="000042D4" w:rsidRDefault="007B14C2" w:rsidP="00336A66">
            <w:pPr>
              <w:tabs>
                <w:tab w:val="left" w:pos="1332"/>
              </w:tabs>
              <w:ind w:right="-108"/>
              <w:rPr>
                <w:rFonts w:cs="Arial"/>
                <w:sz w:val="20"/>
              </w:rPr>
            </w:pPr>
            <w:r w:rsidRPr="000042D4">
              <w:rPr>
                <w:rFonts w:cs="Arial"/>
                <w:sz w:val="20"/>
              </w:rPr>
              <w:t>First Revised Sheet 1</w:t>
            </w:r>
          </w:p>
        </w:tc>
        <w:tc>
          <w:tcPr>
            <w:tcW w:w="2250" w:type="dxa"/>
          </w:tcPr>
          <w:p w:rsidR="007B14C2" w:rsidRPr="00B87730" w:rsidRDefault="007B14C2" w:rsidP="00336A66">
            <w:pPr>
              <w:ind w:right="-108"/>
              <w:jc w:val="both"/>
              <w:rPr>
                <w:rFonts w:cs="Arial"/>
                <w:sz w:val="20"/>
              </w:rPr>
            </w:pPr>
          </w:p>
        </w:tc>
        <w:tc>
          <w:tcPr>
            <w:tcW w:w="2520" w:type="dxa"/>
          </w:tcPr>
          <w:p w:rsidR="007B14C2" w:rsidRPr="00B87730" w:rsidRDefault="007B14C2" w:rsidP="00336A66">
            <w:pPr>
              <w:tabs>
                <w:tab w:val="left" w:pos="1332"/>
              </w:tabs>
              <w:jc w:val="both"/>
              <w:rPr>
                <w:rFonts w:cs="Arial"/>
                <w:sz w:val="20"/>
              </w:rPr>
            </w:pPr>
          </w:p>
        </w:tc>
      </w:tr>
      <w:tr w:rsidR="007B14C2" w:rsidRPr="00B87730" w:rsidTr="00336A66">
        <w:tc>
          <w:tcPr>
            <w:tcW w:w="1548" w:type="dxa"/>
          </w:tcPr>
          <w:p w:rsidR="007B14C2" w:rsidRPr="0032460D" w:rsidRDefault="007B14C2" w:rsidP="00336A66">
            <w:pPr>
              <w:ind w:right="-108"/>
              <w:rPr>
                <w:rFonts w:cs="Arial"/>
                <w:sz w:val="20"/>
                <w:highlight w:val="yellow"/>
              </w:rPr>
            </w:pPr>
          </w:p>
        </w:tc>
        <w:tc>
          <w:tcPr>
            <w:tcW w:w="3150" w:type="dxa"/>
          </w:tcPr>
          <w:p w:rsidR="007B14C2" w:rsidRPr="0032460D" w:rsidRDefault="000042D4" w:rsidP="00336A66">
            <w:pPr>
              <w:tabs>
                <w:tab w:val="left" w:pos="1332"/>
              </w:tabs>
              <w:ind w:right="-108"/>
              <w:rPr>
                <w:rFonts w:cs="Arial"/>
                <w:sz w:val="20"/>
                <w:highlight w:val="yellow"/>
              </w:rPr>
            </w:pPr>
            <w:r w:rsidRPr="000A45DB">
              <w:rPr>
                <w:sz w:val="20"/>
              </w:rPr>
              <w:t>Original Sheet 1</w:t>
            </w:r>
            <w:r>
              <w:rPr>
                <w:sz w:val="20"/>
              </w:rPr>
              <w:t>.1</w:t>
            </w:r>
          </w:p>
        </w:tc>
        <w:tc>
          <w:tcPr>
            <w:tcW w:w="2250" w:type="dxa"/>
          </w:tcPr>
          <w:p w:rsidR="007B14C2" w:rsidRPr="00B87730" w:rsidRDefault="007B14C2" w:rsidP="00336A66">
            <w:pPr>
              <w:ind w:right="-108"/>
              <w:jc w:val="both"/>
              <w:rPr>
                <w:rFonts w:cs="Arial"/>
                <w:sz w:val="20"/>
              </w:rPr>
            </w:pPr>
          </w:p>
        </w:tc>
        <w:tc>
          <w:tcPr>
            <w:tcW w:w="2520" w:type="dxa"/>
          </w:tcPr>
          <w:p w:rsidR="007B14C2" w:rsidRPr="00B87730" w:rsidRDefault="007B14C2" w:rsidP="00336A66">
            <w:pPr>
              <w:tabs>
                <w:tab w:val="left" w:pos="1332"/>
              </w:tabs>
              <w:jc w:val="both"/>
              <w:rPr>
                <w:rFonts w:cs="Arial"/>
                <w:sz w:val="20"/>
              </w:rPr>
            </w:pPr>
          </w:p>
        </w:tc>
      </w:tr>
    </w:tbl>
    <w:p w:rsidR="0090337A" w:rsidRPr="0037265E" w:rsidRDefault="0090337A" w:rsidP="005673EB">
      <w:pPr>
        <w:jc w:val="both"/>
        <w:rPr>
          <w:rFonts w:cs="Arial"/>
          <w:sz w:val="20"/>
        </w:rPr>
      </w:pPr>
    </w:p>
    <w:p w:rsidR="007B14C2" w:rsidRPr="00B87730" w:rsidRDefault="007B14C2" w:rsidP="007B14C2">
      <w:pPr>
        <w:jc w:val="both"/>
        <w:rPr>
          <w:rFonts w:cs="Arial"/>
          <w:sz w:val="20"/>
        </w:rPr>
      </w:pPr>
      <w:r w:rsidRPr="00B87730">
        <w:rPr>
          <w:rFonts w:cs="Arial"/>
          <w:sz w:val="20"/>
        </w:rPr>
        <w:t>This filing deletes the Washington Telephone Assistance Program (WTAP) from the tariff.  In addition to the notice that will be sent to CenturyLink’s WTAP subscribers by the Department of Social and Health Services, CenturyLink is also notifying its customers by bill message of the elimination of the WTAP credit due to the legislative change that resulted in the discontinuance of the Washington Telephone Assistance Program.   WTAP subscribers are being notified that they will see an increase in their local phone bill for services as of September 1, 2015, after the elimination of the WTAP credit.</w:t>
      </w:r>
    </w:p>
    <w:p w:rsidR="005673EB" w:rsidRPr="0037265E" w:rsidRDefault="005673EB" w:rsidP="00485B51">
      <w:pPr>
        <w:jc w:val="both"/>
        <w:rPr>
          <w:rFonts w:cs="Arial"/>
          <w:sz w:val="20"/>
        </w:rPr>
      </w:pPr>
    </w:p>
    <w:p w:rsidR="00CC54CA" w:rsidRPr="00CC54CA" w:rsidRDefault="00CC54CA" w:rsidP="00CC54CA">
      <w:pPr>
        <w:jc w:val="both"/>
        <w:rPr>
          <w:rFonts w:cs="Arial"/>
          <w:sz w:val="20"/>
        </w:rPr>
      </w:pPr>
      <w:r w:rsidRPr="00CC54CA">
        <w:rPr>
          <w:rFonts w:cs="Arial"/>
          <w:sz w:val="20"/>
        </w:rPr>
        <w:t xml:space="preserve">I, </w:t>
      </w:r>
      <w:r>
        <w:rPr>
          <w:rFonts w:cs="Arial"/>
          <w:sz w:val="20"/>
        </w:rPr>
        <w:t>Zarneisha Winters</w:t>
      </w:r>
      <w:r w:rsidRPr="00CC54CA">
        <w:rPr>
          <w:rFonts w:cs="Arial"/>
          <w:sz w:val="20"/>
        </w:rPr>
        <w:t>, in compliance with WAC 480-80-123, certify that I have authority to issue tariff revisions on behalf of</w:t>
      </w:r>
      <w:r w:rsidR="007B14C2" w:rsidRPr="007B14C2">
        <w:rPr>
          <w:rFonts w:cs="Arial"/>
          <w:sz w:val="20"/>
        </w:rPr>
        <w:t xml:space="preserve"> </w:t>
      </w:r>
      <w:r w:rsidR="007B14C2" w:rsidRPr="00733952">
        <w:rPr>
          <w:rFonts w:cs="Arial"/>
          <w:sz w:val="20"/>
        </w:rPr>
        <w:t>CenturyTel of Washington, Inc.</w:t>
      </w:r>
      <w:r w:rsidRPr="00CC54CA">
        <w:rPr>
          <w:rFonts w:cs="Arial"/>
          <w:color w:val="FF0000"/>
          <w:sz w:val="20"/>
        </w:rPr>
        <w:t xml:space="preserve"> </w:t>
      </w:r>
      <w:r w:rsidRPr="00CC54CA">
        <w:rPr>
          <w:rFonts w:cs="Arial"/>
          <w:sz w:val="20"/>
        </w:rPr>
        <w:t>d/b/a CenturyLink.</w:t>
      </w:r>
    </w:p>
    <w:p w:rsidR="00CC54CA" w:rsidRPr="00CC54CA" w:rsidRDefault="00CC54CA" w:rsidP="00CC54CA">
      <w:pPr>
        <w:jc w:val="both"/>
        <w:rPr>
          <w:rFonts w:cs="Arial"/>
          <w:sz w:val="20"/>
        </w:rPr>
      </w:pPr>
    </w:p>
    <w:p w:rsidR="00CC54CA" w:rsidRPr="0037265E" w:rsidRDefault="00CC54CA" w:rsidP="00CC54CA">
      <w:pPr>
        <w:jc w:val="both"/>
        <w:rPr>
          <w:rFonts w:cs="Arial"/>
          <w:sz w:val="20"/>
        </w:rPr>
      </w:pPr>
      <w:r w:rsidRPr="0037265E">
        <w:rPr>
          <w:rFonts w:cs="Arial"/>
          <w:sz w:val="20"/>
        </w:rPr>
        <w:t>If you have questions or need additional information regarding this filing, you may call</w:t>
      </w:r>
      <w:r>
        <w:rPr>
          <w:rFonts w:cs="Arial"/>
          <w:sz w:val="20"/>
        </w:rPr>
        <w:t xml:space="preserve"> </w:t>
      </w:r>
      <w:r w:rsidRPr="0037265E">
        <w:rPr>
          <w:rFonts w:cs="Arial"/>
          <w:sz w:val="20"/>
        </w:rPr>
        <w:t>me at (</w:t>
      </w:r>
      <w:r>
        <w:rPr>
          <w:rFonts w:cs="Arial"/>
          <w:sz w:val="20"/>
        </w:rPr>
        <w:t>318</w:t>
      </w:r>
      <w:r w:rsidRPr="0037265E">
        <w:rPr>
          <w:rFonts w:cs="Arial"/>
          <w:sz w:val="20"/>
        </w:rPr>
        <w:t xml:space="preserve">) </w:t>
      </w:r>
      <w:r>
        <w:rPr>
          <w:rFonts w:cs="Arial"/>
          <w:sz w:val="20"/>
        </w:rPr>
        <w:t>340</w:t>
      </w:r>
      <w:r w:rsidRPr="0037265E">
        <w:rPr>
          <w:rFonts w:cs="Arial"/>
          <w:sz w:val="20"/>
        </w:rPr>
        <w:t>-</w:t>
      </w:r>
      <w:r>
        <w:rPr>
          <w:rFonts w:cs="Arial"/>
          <w:sz w:val="20"/>
        </w:rPr>
        <w:t>5938</w:t>
      </w:r>
      <w:r w:rsidRPr="0037265E">
        <w:rPr>
          <w:rFonts w:cs="Arial"/>
          <w:sz w:val="20"/>
        </w:rPr>
        <w:t>.</w:t>
      </w:r>
    </w:p>
    <w:p w:rsidR="00CC54CA" w:rsidRPr="0037265E" w:rsidRDefault="00CC54CA" w:rsidP="00CC54CA">
      <w:pPr>
        <w:jc w:val="both"/>
        <w:rPr>
          <w:rFonts w:cs="Arial"/>
          <w:sz w:val="20"/>
        </w:rPr>
      </w:pPr>
    </w:p>
    <w:p w:rsidR="00CC54CA" w:rsidRPr="0037265E" w:rsidRDefault="00CC54CA" w:rsidP="00CC54CA">
      <w:pPr>
        <w:jc w:val="both"/>
        <w:rPr>
          <w:rFonts w:cs="Arial"/>
          <w:sz w:val="20"/>
        </w:rPr>
      </w:pPr>
      <w:r w:rsidRPr="0037265E">
        <w:rPr>
          <w:rFonts w:cs="Arial"/>
          <w:sz w:val="20"/>
        </w:rPr>
        <w:t>Sincerely,</w:t>
      </w:r>
    </w:p>
    <w:p w:rsidR="00CC54CA" w:rsidRDefault="00CC54CA" w:rsidP="00CC54CA">
      <w:pPr>
        <w:jc w:val="both"/>
        <w:rPr>
          <w:rFonts w:cs="Arial"/>
          <w:sz w:val="20"/>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align>inside</wp:align>
            </wp:positionV>
            <wp:extent cx="1895475" cy="555625"/>
            <wp:effectExtent l="19050" t="0" r="9525" b="0"/>
            <wp:wrapNone/>
            <wp:docPr id="22" name="Picture 21" descr="C:\Users\rmc076143\Desktop\Zarnei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mc076143\Desktop\Zarneisha.JPG"/>
                    <pic:cNvPicPr>
                      <a:picLocks noChangeAspect="1" noChangeArrowheads="1"/>
                    </pic:cNvPicPr>
                  </pic:nvPicPr>
                  <pic:blipFill>
                    <a:blip r:embed="rId6"/>
                    <a:srcRect/>
                    <a:stretch>
                      <a:fillRect/>
                    </a:stretch>
                  </pic:blipFill>
                  <pic:spPr bwMode="auto">
                    <a:xfrm>
                      <a:off x="0" y="0"/>
                      <a:ext cx="1895475" cy="555625"/>
                    </a:xfrm>
                    <a:prstGeom prst="rect">
                      <a:avLst/>
                    </a:prstGeom>
                    <a:noFill/>
                    <a:ln w="9525">
                      <a:noFill/>
                      <a:miter lim="800000"/>
                      <a:headEnd/>
                      <a:tailEnd/>
                    </a:ln>
                  </pic:spPr>
                </pic:pic>
              </a:graphicData>
            </a:graphic>
          </wp:anchor>
        </w:drawing>
      </w:r>
    </w:p>
    <w:p w:rsidR="00CC54CA" w:rsidRDefault="00CC54CA" w:rsidP="00CC54CA">
      <w:pPr>
        <w:jc w:val="both"/>
        <w:rPr>
          <w:rFonts w:cs="Arial"/>
          <w:sz w:val="20"/>
        </w:rPr>
      </w:pPr>
    </w:p>
    <w:p w:rsidR="00CC54CA" w:rsidRPr="0037265E" w:rsidRDefault="00CC54CA" w:rsidP="00CC54CA">
      <w:pPr>
        <w:jc w:val="both"/>
        <w:rPr>
          <w:rFonts w:cs="Arial"/>
          <w:sz w:val="20"/>
        </w:rPr>
      </w:pPr>
    </w:p>
    <w:p w:rsidR="00CC54CA" w:rsidRDefault="00CC54CA" w:rsidP="00CC54CA">
      <w:pPr>
        <w:jc w:val="both"/>
        <w:rPr>
          <w:rFonts w:cs="Arial"/>
          <w:sz w:val="20"/>
        </w:rPr>
      </w:pPr>
    </w:p>
    <w:p w:rsidR="00CC54CA" w:rsidRPr="00F57409" w:rsidRDefault="00865C03" w:rsidP="00CC54CA">
      <w:pPr>
        <w:jc w:val="both"/>
        <w:rPr>
          <w:rFonts w:cs="Arial"/>
          <w:sz w:val="20"/>
        </w:rPr>
      </w:pPr>
      <w:r>
        <w:rPr>
          <w:rFonts w:cs="Arial"/>
          <w:noProof/>
          <w:sz w:val="20"/>
        </w:rPr>
        <w:pict>
          <v:shapetype id="_x0000_t202" coordsize="21600,21600" o:spt="202" path="m,l,21600r21600,l21600,xe">
            <v:stroke joinstyle="miter"/>
            <v:path gradientshapeok="t" o:connecttype="rect"/>
          </v:shapetype>
          <v:shape id="_x0000_s1045" type="#_x0000_t202" style="position:absolute;left:0;text-align:left;margin-left:332.25pt;margin-top:644.25pt;width:214.65pt;height:90.75pt;z-index:251661312;mso-position-horizontal-relative:page;mso-position-vertical-relative:page" filled="f" stroked="f">
            <v:textbox style="mso-next-textbox:#_x0000_s1045">
              <w:txbxContent>
                <w:p w:rsidR="00CC54CA" w:rsidRDefault="00CC54CA" w:rsidP="00CC54CA">
                  <w:pPr>
                    <w:ind w:left="90"/>
                    <w:jc w:val="right"/>
                    <w:rPr>
                      <w:rFonts w:cs="Arial"/>
                      <w:b/>
                      <w:color w:val="00B050"/>
                      <w:sz w:val="20"/>
                    </w:rPr>
                  </w:pPr>
                  <w:r>
                    <w:rPr>
                      <w:rFonts w:cs="Arial"/>
                      <w:b/>
                      <w:color w:val="00B050"/>
                      <w:sz w:val="20"/>
                    </w:rPr>
                    <w:t>ZARNEISHA WINTERS</w:t>
                  </w:r>
                </w:p>
                <w:p w:rsidR="00CC54CA" w:rsidRDefault="00CC54CA" w:rsidP="00CC54CA">
                  <w:pPr>
                    <w:ind w:left="90"/>
                    <w:jc w:val="right"/>
                    <w:rPr>
                      <w:rFonts w:cs="Arial"/>
                      <w:sz w:val="18"/>
                      <w:szCs w:val="18"/>
                    </w:rPr>
                  </w:pPr>
                  <w:r>
                    <w:rPr>
                      <w:rFonts w:cs="Arial"/>
                      <w:sz w:val="18"/>
                      <w:szCs w:val="18"/>
                    </w:rPr>
                    <w:t>Tariff Analyst III</w:t>
                  </w:r>
                </w:p>
                <w:p w:rsidR="00CC54CA" w:rsidRPr="00F57409" w:rsidRDefault="00865C03" w:rsidP="00CC54CA">
                  <w:pPr>
                    <w:ind w:left="90"/>
                    <w:jc w:val="right"/>
                    <w:rPr>
                      <w:rFonts w:cs="Arial"/>
                      <w:sz w:val="18"/>
                      <w:szCs w:val="18"/>
                    </w:rPr>
                  </w:pPr>
                  <w:hyperlink r:id="rId7" w:history="1">
                    <w:r w:rsidR="00CC54CA" w:rsidRPr="008046F8">
                      <w:rPr>
                        <w:rStyle w:val="Hyperlink"/>
                        <w:sz w:val="18"/>
                        <w:szCs w:val="18"/>
                      </w:rPr>
                      <w:t>Zarneisha.Winters</w:t>
                    </w:r>
                    <w:r w:rsidR="00CC54CA" w:rsidRPr="00453FB2">
                      <w:rPr>
                        <w:rStyle w:val="Hyperlink"/>
                        <w:sz w:val="18"/>
                        <w:szCs w:val="18"/>
                      </w:rPr>
                      <w:t>@Centurylink.com</w:t>
                    </w:r>
                  </w:hyperlink>
                </w:p>
                <w:p w:rsidR="00CC54CA" w:rsidRDefault="00CC54CA" w:rsidP="00CC54CA">
                  <w:pPr>
                    <w:ind w:left="90"/>
                    <w:jc w:val="right"/>
                    <w:rPr>
                      <w:rFonts w:cs="Arial"/>
                      <w:sz w:val="18"/>
                      <w:szCs w:val="18"/>
                    </w:rPr>
                  </w:pPr>
                  <w:r>
                    <w:rPr>
                      <w:rFonts w:cs="Arial"/>
                      <w:sz w:val="18"/>
                      <w:szCs w:val="18"/>
                    </w:rPr>
                    <w:t>22 Accent Drive Suite 1</w:t>
                  </w:r>
                </w:p>
                <w:p w:rsidR="00CC54CA" w:rsidRDefault="00CC54CA" w:rsidP="00CC54CA">
                  <w:pPr>
                    <w:spacing w:after="20"/>
                    <w:ind w:left="90"/>
                    <w:jc w:val="right"/>
                    <w:rPr>
                      <w:rFonts w:cs="Arial"/>
                      <w:sz w:val="18"/>
                      <w:szCs w:val="18"/>
                    </w:rPr>
                  </w:pPr>
                  <w:r w:rsidRPr="00F57409">
                    <w:rPr>
                      <w:rFonts w:cs="Arial"/>
                      <w:sz w:val="18"/>
                      <w:szCs w:val="18"/>
                    </w:rPr>
                    <w:t>Monroe, LA, 71202</w:t>
                  </w:r>
                </w:p>
                <w:p w:rsidR="00CC54CA" w:rsidRDefault="00CC54CA" w:rsidP="00CC54CA">
                  <w:pPr>
                    <w:ind w:left="90"/>
                    <w:jc w:val="right"/>
                    <w:rPr>
                      <w:rFonts w:cs="Arial"/>
                      <w:sz w:val="18"/>
                      <w:szCs w:val="18"/>
                    </w:rPr>
                  </w:pPr>
                  <w:proofErr w:type="gramStart"/>
                  <w:r w:rsidRPr="00C4203D">
                    <w:rPr>
                      <w:rFonts w:cs="Arial"/>
                      <w:sz w:val="18"/>
                      <w:szCs w:val="18"/>
                    </w:rPr>
                    <w:t>voice</w:t>
                  </w:r>
                  <w:proofErr w:type="gramEnd"/>
                  <w:r w:rsidRPr="00C4203D">
                    <w:rPr>
                      <w:rFonts w:cs="Arial"/>
                      <w:sz w:val="18"/>
                      <w:szCs w:val="18"/>
                    </w:rPr>
                    <w:t>: (</w:t>
                  </w:r>
                  <w:r>
                    <w:rPr>
                      <w:rFonts w:cs="Arial"/>
                      <w:sz w:val="18"/>
                      <w:szCs w:val="18"/>
                    </w:rPr>
                    <w:t>318</w:t>
                  </w:r>
                  <w:r w:rsidRPr="00C4203D">
                    <w:rPr>
                      <w:rFonts w:cs="Arial"/>
                      <w:sz w:val="18"/>
                      <w:szCs w:val="18"/>
                    </w:rPr>
                    <w:t xml:space="preserve">) </w:t>
                  </w:r>
                  <w:r>
                    <w:rPr>
                      <w:rFonts w:cs="Arial"/>
                      <w:sz w:val="18"/>
                      <w:szCs w:val="18"/>
                    </w:rPr>
                    <w:t>340-5938</w:t>
                  </w:r>
                </w:p>
              </w:txbxContent>
            </v:textbox>
            <w10:wrap anchorx="page" anchory="page"/>
          </v:shape>
        </w:pict>
      </w:r>
      <w:r w:rsidR="00CC54CA">
        <w:rPr>
          <w:rFonts w:cs="Arial"/>
          <w:sz w:val="20"/>
        </w:rPr>
        <w:t xml:space="preserve">Zarneisha </w:t>
      </w:r>
      <w:proofErr w:type="gramStart"/>
      <w:r w:rsidR="00CC54CA">
        <w:rPr>
          <w:rFonts w:cs="Arial"/>
          <w:sz w:val="20"/>
        </w:rPr>
        <w:t>Winters</w:t>
      </w:r>
      <w:proofErr w:type="gramEnd"/>
    </w:p>
    <w:p w:rsidR="00485B51" w:rsidRDefault="00485B51" w:rsidP="00E9473E">
      <w:pPr>
        <w:pStyle w:val="Header"/>
        <w:tabs>
          <w:tab w:val="left" w:pos="360"/>
          <w:tab w:val="left" w:pos="8010"/>
        </w:tabs>
        <w:ind w:right="810"/>
        <w:jc w:val="both"/>
        <w:rPr>
          <w:rFonts w:ascii="Arial" w:hAnsi="Arial" w:cs="Arial"/>
          <w:sz w:val="20"/>
          <w:szCs w:val="20"/>
        </w:rPr>
      </w:pPr>
    </w:p>
    <w:p w:rsidR="0020277E" w:rsidRPr="00CC54CA" w:rsidRDefault="0020277E" w:rsidP="00E9473E">
      <w:pPr>
        <w:pStyle w:val="Header"/>
        <w:tabs>
          <w:tab w:val="left" w:pos="360"/>
          <w:tab w:val="left" w:pos="8010"/>
        </w:tabs>
        <w:ind w:right="810"/>
        <w:jc w:val="both"/>
        <w:rPr>
          <w:rFonts w:ascii="Arial" w:hAnsi="Arial" w:cs="Arial"/>
          <w:sz w:val="20"/>
          <w:szCs w:val="20"/>
        </w:rPr>
      </w:pPr>
      <w:r w:rsidRPr="0037265E">
        <w:rPr>
          <w:rFonts w:ascii="Arial" w:hAnsi="Arial" w:cs="Arial"/>
          <w:sz w:val="20"/>
          <w:szCs w:val="20"/>
        </w:rPr>
        <w:t xml:space="preserve">cc: </w:t>
      </w:r>
      <w:r w:rsidRPr="0037265E">
        <w:rPr>
          <w:rFonts w:ascii="Arial" w:hAnsi="Arial" w:cs="Arial"/>
          <w:sz w:val="20"/>
          <w:szCs w:val="20"/>
        </w:rPr>
        <w:tab/>
      </w:r>
      <w:r w:rsidR="00CC54CA" w:rsidRPr="00CC54CA">
        <w:rPr>
          <w:rFonts w:ascii="Arial" w:hAnsi="Arial" w:cs="Arial"/>
          <w:sz w:val="20"/>
          <w:szCs w:val="20"/>
        </w:rPr>
        <w:t>Mark Reynolds</w:t>
      </w:r>
      <w:r w:rsidR="00E16F17" w:rsidRPr="00CC54CA">
        <w:rPr>
          <w:rFonts w:ascii="Arial" w:hAnsi="Arial" w:cs="Arial"/>
          <w:sz w:val="20"/>
          <w:szCs w:val="20"/>
        </w:rPr>
        <w:t>, C</w:t>
      </w:r>
      <w:r w:rsidR="00CC54CA" w:rsidRPr="00CC54CA">
        <w:rPr>
          <w:rFonts w:ascii="Arial" w:hAnsi="Arial" w:cs="Arial"/>
          <w:sz w:val="20"/>
          <w:szCs w:val="20"/>
        </w:rPr>
        <w:t>enturyLink</w:t>
      </w:r>
    </w:p>
    <w:p w:rsidR="002E57D9" w:rsidRPr="00CC54CA" w:rsidRDefault="002E57D9" w:rsidP="00E9473E">
      <w:pPr>
        <w:pStyle w:val="Header"/>
        <w:tabs>
          <w:tab w:val="left" w:pos="360"/>
          <w:tab w:val="left" w:pos="8010"/>
        </w:tabs>
        <w:ind w:right="810"/>
        <w:jc w:val="both"/>
        <w:rPr>
          <w:rFonts w:ascii="Arial" w:hAnsi="Arial" w:cs="Arial"/>
          <w:sz w:val="20"/>
          <w:szCs w:val="20"/>
        </w:rPr>
      </w:pPr>
      <w:r w:rsidRPr="00CC54CA">
        <w:rPr>
          <w:rFonts w:ascii="Arial" w:hAnsi="Arial" w:cs="Arial"/>
          <w:sz w:val="20"/>
          <w:szCs w:val="20"/>
        </w:rPr>
        <w:tab/>
      </w:r>
      <w:r w:rsidR="00CC54CA" w:rsidRPr="00CC54CA">
        <w:rPr>
          <w:rFonts w:ascii="Arial" w:hAnsi="Arial" w:cs="Arial"/>
          <w:sz w:val="20"/>
          <w:szCs w:val="20"/>
        </w:rPr>
        <w:t>John Felz, CenturyLink</w:t>
      </w:r>
    </w:p>
    <w:p w:rsidR="0020277E" w:rsidRDefault="0020277E" w:rsidP="00E9473E">
      <w:pPr>
        <w:pStyle w:val="NoSpacing"/>
        <w:rPr>
          <w:rFonts w:ascii="Arial" w:hAnsi="Arial" w:cs="Arial"/>
          <w:noProof/>
          <w:sz w:val="20"/>
          <w:szCs w:val="20"/>
        </w:rPr>
      </w:pPr>
    </w:p>
    <w:p w:rsidR="0020277E" w:rsidRPr="007B14C2" w:rsidRDefault="0020277E" w:rsidP="007B14C2">
      <w:pPr>
        <w:pStyle w:val="NoSpacing"/>
        <w:rPr>
          <w:rFonts w:ascii="Arial" w:hAnsi="Arial" w:cs="Arial"/>
          <w:szCs w:val="20"/>
        </w:rPr>
      </w:pPr>
    </w:p>
    <w:sectPr w:rsidR="0020277E" w:rsidRPr="007B14C2" w:rsidSect="0037265E">
      <w:headerReference w:type="default" r:id="rId8"/>
      <w:pgSz w:w="12240" w:h="15840"/>
      <w:pgMar w:top="28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4C2" w:rsidRDefault="007B14C2" w:rsidP="007649B5">
      <w:r>
        <w:separator/>
      </w:r>
    </w:p>
  </w:endnote>
  <w:endnote w:type="continuationSeparator" w:id="0">
    <w:p w:rsidR="007B14C2" w:rsidRDefault="007B14C2" w:rsidP="00764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4C2" w:rsidRDefault="007B14C2" w:rsidP="007649B5">
      <w:r>
        <w:separator/>
      </w:r>
    </w:p>
  </w:footnote>
  <w:footnote w:type="continuationSeparator" w:id="0">
    <w:p w:rsidR="007B14C2" w:rsidRDefault="007B14C2" w:rsidP="00764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EB" w:rsidRPr="007649B5" w:rsidRDefault="005673EB" w:rsidP="00485B51">
    <w:pPr>
      <w:pStyle w:val="Header"/>
    </w:pPr>
    <w:r w:rsidRPr="00EE01C4">
      <w:rPr>
        <w:noProof/>
      </w:rPr>
      <w:drawing>
        <wp:anchor distT="0" distB="0" distL="114300" distR="114300" simplePos="0" relativeHeight="251659264" behindDoc="1" locked="0" layoutInCell="1" allowOverlap="1">
          <wp:simplePos x="0" y="0"/>
          <wp:positionH relativeFrom="column">
            <wp:posOffset>3524250</wp:posOffset>
          </wp:positionH>
          <wp:positionV relativeFrom="paragraph">
            <wp:posOffset>152400</wp:posOffset>
          </wp:positionV>
          <wp:extent cx="2609850" cy="876300"/>
          <wp:effectExtent l="0" t="0" r="0" b="0"/>
          <wp:wrapNone/>
          <wp:docPr id="5" name="Picture 5"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3CP_rgb_0412"/>
                  <pic:cNvPicPr>
                    <a:picLocks noChangeAspect="1" noChangeArrowheads="1"/>
                  </pic:cNvPicPr>
                </pic:nvPicPr>
                <pic:blipFill>
                  <a:blip r:embed="rId1"/>
                  <a:srcRect/>
                  <a:stretch>
                    <a:fillRect/>
                  </a:stretch>
                </pic:blipFill>
                <pic:spPr bwMode="auto">
                  <a:xfrm>
                    <a:off x="0" y="0"/>
                    <a:ext cx="2609850" cy="8763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rsids>
    <w:rsidRoot w:val="00406579"/>
    <w:rsid w:val="000042D4"/>
    <w:rsid w:val="000073F4"/>
    <w:rsid w:val="00031E19"/>
    <w:rsid w:val="0004232F"/>
    <w:rsid w:val="00045D7E"/>
    <w:rsid w:val="0004653E"/>
    <w:rsid w:val="00054FA5"/>
    <w:rsid w:val="000741D9"/>
    <w:rsid w:val="00074EB4"/>
    <w:rsid w:val="00077566"/>
    <w:rsid w:val="00087B5D"/>
    <w:rsid w:val="000A0C31"/>
    <w:rsid w:val="000A1BDE"/>
    <w:rsid w:val="000A244D"/>
    <w:rsid w:val="000E3A0F"/>
    <w:rsid w:val="000F29FB"/>
    <w:rsid w:val="00100EB5"/>
    <w:rsid w:val="00132B41"/>
    <w:rsid w:val="00147072"/>
    <w:rsid w:val="0016574B"/>
    <w:rsid w:val="00170AAF"/>
    <w:rsid w:val="0019222B"/>
    <w:rsid w:val="0019488B"/>
    <w:rsid w:val="00197C0F"/>
    <w:rsid w:val="001C4BC2"/>
    <w:rsid w:val="001D51DC"/>
    <w:rsid w:val="001E7440"/>
    <w:rsid w:val="0020277E"/>
    <w:rsid w:val="00205B6A"/>
    <w:rsid w:val="00221870"/>
    <w:rsid w:val="00222B3C"/>
    <w:rsid w:val="00231578"/>
    <w:rsid w:val="00242A7B"/>
    <w:rsid w:val="002639C2"/>
    <w:rsid w:val="00263A05"/>
    <w:rsid w:val="0026577E"/>
    <w:rsid w:val="00277382"/>
    <w:rsid w:val="00282E46"/>
    <w:rsid w:val="002D40A4"/>
    <w:rsid w:val="002E57D9"/>
    <w:rsid w:val="0032460D"/>
    <w:rsid w:val="00351759"/>
    <w:rsid w:val="00361799"/>
    <w:rsid w:val="0037265E"/>
    <w:rsid w:val="00387E4A"/>
    <w:rsid w:val="003958A8"/>
    <w:rsid w:val="003974FC"/>
    <w:rsid w:val="00406579"/>
    <w:rsid w:val="0044798D"/>
    <w:rsid w:val="00483711"/>
    <w:rsid w:val="00484D09"/>
    <w:rsid w:val="00485B51"/>
    <w:rsid w:val="004A2447"/>
    <w:rsid w:val="004A30C5"/>
    <w:rsid w:val="004B2B9E"/>
    <w:rsid w:val="004D1B18"/>
    <w:rsid w:val="004D51C8"/>
    <w:rsid w:val="00510EFE"/>
    <w:rsid w:val="00552DBF"/>
    <w:rsid w:val="00556309"/>
    <w:rsid w:val="005673EB"/>
    <w:rsid w:val="005A5247"/>
    <w:rsid w:val="005A74F0"/>
    <w:rsid w:val="005B12B2"/>
    <w:rsid w:val="005B5229"/>
    <w:rsid w:val="005C3C8D"/>
    <w:rsid w:val="005C41C9"/>
    <w:rsid w:val="005D2433"/>
    <w:rsid w:val="005E5899"/>
    <w:rsid w:val="005F0F59"/>
    <w:rsid w:val="00601B2D"/>
    <w:rsid w:val="006056FE"/>
    <w:rsid w:val="0068045B"/>
    <w:rsid w:val="006916F6"/>
    <w:rsid w:val="006A7023"/>
    <w:rsid w:val="006C75FF"/>
    <w:rsid w:val="006D394C"/>
    <w:rsid w:val="006E7BB1"/>
    <w:rsid w:val="00701905"/>
    <w:rsid w:val="007075B6"/>
    <w:rsid w:val="00711D56"/>
    <w:rsid w:val="007159C1"/>
    <w:rsid w:val="00750B9C"/>
    <w:rsid w:val="00751AE3"/>
    <w:rsid w:val="007649B5"/>
    <w:rsid w:val="00773CF2"/>
    <w:rsid w:val="00775B8A"/>
    <w:rsid w:val="00775EDE"/>
    <w:rsid w:val="00776604"/>
    <w:rsid w:val="007B14C2"/>
    <w:rsid w:val="007C3683"/>
    <w:rsid w:val="007E0AAE"/>
    <w:rsid w:val="007E4181"/>
    <w:rsid w:val="007F2955"/>
    <w:rsid w:val="0081115D"/>
    <w:rsid w:val="00823379"/>
    <w:rsid w:val="00825171"/>
    <w:rsid w:val="008302D2"/>
    <w:rsid w:val="00841883"/>
    <w:rsid w:val="00853D37"/>
    <w:rsid w:val="00862C1D"/>
    <w:rsid w:val="00865C03"/>
    <w:rsid w:val="00891C94"/>
    <w:rsid w:val="00897FC1"/>
    <w:rsid w:val="008C38A9"/>
    <w:rsid w:val="008E5D21"/>
    <w:rsid w:val="0090337A"/>
    <w:rsid w:val="009107CC"/>
    <w:rsid w:val="00911000"/>
    <w:rsid w:val="00915F75"/>
    <w:rsid w:val="009224F7"/>
    <w:rsid w:val="009326D1"/>
    <w:rsid w:val="0096746E"/>
    <w:rsid w:val="0098033C"/>
    <w:rsid w:val="0098172C"/>
    <w:rsid w:val="00983116"/>
    <w:rsid w:val="00984981"/>
    <w:rsid w:val="0099572A"/>
    <w:rsid w:val="009C6EAE"/>
    <w:rsid w:val="009D18C6"/>
    <w:rsid w:val="009F1AF6"/>
    <w:rsid w:val="00A00C50"/>
    <w:rsid w:val="00A014C7"/>
    <w:rsid w:val="00A14AF4"/>
    <w:rsid w:val="00AA5A2A"/>
    <w:rsid w:val="00AC005D"/>
    <w:rsid w:val="00AD3FF1"/>
    <w:rsid w:val="00B068BC"/>
    <w:rsid w:val="00B14AC4"/>
    <w:rsid w:val="00B23989"/>
    <w:rsid w:val="00B23CDA"/>
    <w:rsid w:val="00B26F10"/>
    <w:rsid w:val="00B53DDF"/>
    <w:rsid w:val="00B566BF"/>
    <w:rsid w:val="00B635BF"/>
    <w:rsid w:val="00B9082E"/>
    <w:rsid w:val="00BE5077"/>
    <w:rsid w:val="00C10430"/>
    <w:rsid w:val="00C951D6"/>
    <w:rsid w:val="00CC54CA"/>
    <w:rsid w:val="00CD4160"/>
    <w:rsid w:val="00D13B21"/>
    <w:rsid w:val="00D1610C"/>
    <w:rsid w:val="00D21482"/>
    <w:rsid w:val="00D31F8B"/>
    <w:rsid w:val="00D83CCE"/>
    <w:rsid w:val="00DA73F6"/>
    <w:rsid w:val="00DD1F75"/>
    <w:rsid w:val="00DD6E23"/>
    <w:rsid w:val="00DD7C0F"/>
    <w:rsid w:val="00DE1F66"/>
    <w:rsid w:val="00E01FF0"/>
    <w:rsid w:val="00E14640"/>
    <w:rsid w:val="00E16F17"/>
    <w:rsid w:val="00E35EC4"/>
    <w:rsid w:val="00E576E1"/>
    <w:rsid w:val="00E751F6"/>
    <w:rsid w:val="00E93CC1"/>
    <w:rsid w:val="00E9473E"/>
    <w:rsid w:val="00EA67FB"/>
    <w:rsid w:val="00EC4116"/>
    <w:rsid w:val="00EE01C4"/>
    <w:rsid w:val="00EF64A4"/>
    <w:rsid w:val="00F071E8"/>
    <w:rsid w:val="00F5323E"/>
    <w:rsid w:val="00F649C6"/>
    <w:rsid w:val="00F671AD"/>
    <w:rsid w:val="00F733FA"/>
    <w:rsid w:val="00F77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D37"/>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51DC"/>
  </w:style>
  <w:style w:type="table" w:styleId="TableGrid">
    <w:name w:val="Table Grid"/>
    <w:basedOn w:val="TableNormal"/>
    <w:uiPriority w:val="99"/>
    <w:rsid w:val="001D51D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49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49B5"/>
    <w:rPr>
      <w:rFonts w:ascii="Tahoma" w:hAnsi="Tahoma" w:cs="Tahoma"/>
      <w:sz w:val="16"/>
      <w:szCs w:val="16"/>
    </w:rPr>
  </w:style>
  <w:style w:type="paragraph" w:styleId="Header">
    <w:name w:val="header"/>
    <w:basedOn w:val="Normal"/>
    <w:link w:val="HeaderChar"/>
    <w:uiPriority w:val="99"/>
    <w:semiHidden/>
    <w:rsid w:val="007649B5"/>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semiHidden/>
    <w:locked/>
    <w:rsid w:val="007649B5"/>
    <w:rPr>
      <w:rFonts w:cs="Times New Roman"/>
    </w:rPr>
  </w:style>
  <w:style w:type="paragraph" w:styleId="Footer">
    <w:name w:val="footer"/>
    <w:basedOn w:val="Normal"/>
    <w:link w:val="FooterChar"/>
    <w:uiPriority w:val="99"/>
    <w:semiHidden/>
    <w:rsid w:val="007649B5"/>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semiHidden/>
    <w:locked/>
    <w:rsid w:val="007649B5"/>
    <w:rPr>
      <w:rFonts w:cs="Times New Roman"/>
    </w:rPr>
  </w:style>
  <w:style w:type="character" w:styleId="Hyperlink">
    <w:name w:val="Hyperlink"/>
    <w:basedOn w:val="DefaultParagraphFont"/>
    <w:uiPriority w:val="99"/>
    <w:rsid w:val="005A52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6143070">
      <w:marLeft w:val="0"/>
      <w:marRight w:val="0"/>
      <w:marTop w:val="0"/>
      <w:marBottom w:val="0"/>
      <w:divBdr>
        <w:top w:val="none" w:sz="0" w:space="0" w:color="auto"/>
        <w:left w:val="none" w:sz="0" w:space="0" w:color="auto"/>
        <w:bottom w:val="none" w:sz="0" w:space="0" w:color="auto"/>
        <w:right w:val="none" w:sz="0" w:space="0" w:color="auto"/>
      </w:divBdr>
    </w:div>
    <w:div w:id="13614307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Ashley.Douglas@Centurylink.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Washington\WA-In%20Process\WA%20LEC%20LTR%20Template%202015-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13D16976FCE54B90F247B69842EB5D" ma:contentTypeVersion="119" ma:contentTypeDescription="" ma:contentTypeScope="" ma:versionID="445c45a63db3a2c0b34d328fe66222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2015-07-23T07:00:00+00:00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151524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451F85-9F98-4BCE-890A-C01865D00DB0}"/>
</file>

<file path=customXml/itemProps2.xml><?xml version="1.0" encoding="utf-8"?>
<ds:datastoreItem xmlns:ds="http://schemas.openxmlformats.org/officeDocument/2006/customXml" ds:itemID="{87FED837-5B4F-40D0-950B-8D8B5FCD537A}"/>
</file>

<file path=customXml/itemProps3.xml><?xml version="1.0" encoding="utf-8"?>
<ds:datastoreItem xmlns:ds="http://schemas.openxmlformats.org/officeDocument/2006/customXml" ds:itemID="{27E6BCA4-85A7-4005-A92C-8B1804F18EE2}"/>
</file>

<file path=customXml/itemProps4.xml><?xml version="1.0" encoding="utf-8"?>
<ds:datastoreItem xmlns:ds="http://schemas.openxmlformats.org/officeDocument/2006/customXml" ds:itemID="{0B2D8B4F-84D1-45E4-9A08-EA7215D47FB3}"/>
</file>

<file path=docProps/app.xml><?xml version="1.0" encoding="utf-8"?>
<Properties xmlns="http://schemas.openxmlformats.org/officeDocument/2006/extended-properties" xmlns:vt="http://schemas.openxmlformats.org/officeDocument/2006/docPropsVTypes">
  <Template>WA LEC LTR Template 2015-07-21.dotx</Template>
  <TotalTime>26</TotalTime>
  <Pages>1</Pages>
  <Words>255</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11</cp:revision>
  <cp:lastPrinted>2013-01-29T16:46:00Z</cp:lastPrinted>
  <dcterms:created xsi:type="dcterms:W3CDTF">2015-07-22T15:04:00Z</dcterms:created>
  <dcterms:modified xsi:type="dcterms:W3CDTF">2015-07-27T21:07:00Z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0x0101006E56B4D1795A2E4DB2F0B01679ED314A004713D16976FCE54B90F247B69842EB5D</vt:lpwstr>
  </property>
  <property fmtid="{D5CDD505-2E9C-101B-9397-08002B2CF9AE}" pid="3" name="_docset_NoMedatataSyncRequired">
    <vt:lpwstr>False</vt:lpwstr>
  </property>
</Properties>
</file>