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F0A4E00" w:rsidR="005B43A6" w:rsidRDefault="00081142" w:rsidP="00BC4721">
      <w:pPr>
        <w:pStyle w:val="NoSpacing"/>
      </w:pPr>
      <w:r>
        <w:t>June 22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594CC09" w:rsidR="005B43A6" w:rsidRDefault="005B43A6" w:rsidP="00081142">
      <w:pPr>
        <w:pStyle w:val="NoSpacing"/>
        <w:ind w:left="504" w:hanging="504"/>
        <w:rPr>
          <w:i/>
        </w:rPr>
      </w:pPr>
      <w:r>
        <w:t xml:space="preserve">RE:  </w:t>
      </w:r>
      <w:r>
        <w:rPr>
          <w:i/>
        </w:rPr>
        <w:t xml:space="preserve">Washington Utilities and Transportation Commission v. </w:t>
      </w:r>
      <w:r w:rsidR="00081142">
        <w:rPr>
          <w:i/>
        </w:rPr>
        <w:t>City/</w:t>
      </w:r>
      <w:proofErr w:type="spellStart"/>
      <w:r w:rsidR="00081142">
        <w:rPr>
          <w:i/>
        </w:rPr>
        <w:t>Suddath</w:t>
      </w:r>
      <w:proofErr w:type="spellEnd"/>
      <w:r w:rsidR="00081142">
        <w:rPr>
          <w:i/>
        </w:rPr>
        <w:t xml:space="preserve"> Relocation Systems, LLC</w:t>
      </w:r>
    </w:p>
    <w:p w14:paraId="0AFBF38B" w14:textId="77777777" w:rsidR="005B43A6" w:rsidRDefault="005B43A6" w:rsidP="00BC4721">
      <w:pPr>
        <w:pStyle w:val="NoSpacing"/>
      </w:pPr>
    </w:p>
    <w:p w14:paraId="5ECB61D4" w14:textId="7F0A8BB7" w:rsidR="005B43A6" w:rsidRDefault="005B43A6" w:rsidP="00BC4721">
      <w:pPr>
        <w:pStyle w:val="NoSpacing"/>
      </w:pPr>
      <w:r>
        <w:tab/>
        <w:t xml:space="preserve">Commission Staff’s Response to Application for Mitigation of Penalties </w:t>
      </w:r>
      <w:r w:rsidR="00081142">
        <w:t>TV-150890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54BA056" w:rsidR="005B43A6" w:rsidRDefault="005B43A6" w:rsidP="00BC4721">
      <w:pPr>
        <w:pStyle w:val="NoSpacing"/>
      </w:pPr>
      <w:r>
        <w:t>On May 27, 2015, the Utilities and Transportation Commission issued a $1,000 Penalt</w:t>
      </w:r>
      <w:r w:rsidR="00081142">
        <w:t>y Assessment in Docket TV-150890</w:t>
      </w:r>
      <w:r>
        <w:t xml:space="preserve"> against</w:t>
      </w:r>
      <w:r w:rsidR="00635B04">
        <w:t xml:space="preserve"> </w:t>
      </w:r>
      <w:r w:rsidR="00081142">
        <w:t>City/</w:t>
      </w:r>
      <w:proofErr w:type="spellStart"/>
      <w:r w:rsidR="00081142">
        <w:t>Suddath</w:t>
      </w:r>
      <w:proofErr w:type="spellEnd"/>
      <w:r w:rsidR="00081142">
        <w:t xml:space="preserve"> Relocation Systems, LLC</w:t>
      </w:r>
      <w:r>
        <w:t xml:space="preserve">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7654E25E" w:rsidR="005B43A6" w:rsidRDefault="005B43A6" w:rsidP="00BC4721">
      <w:pPr>
        <w:pStyle w:val="NoSpacing"/>
      </w:pPr>
      <w:r>
        <w:t xml:space="preserve">On </w:t>
      </w:r>
      <w:r w:rsidR="00081142">
        <w:t>June 9</w:t>
      </w:r>
      <w:r w:rsidR="00635B04">
        <w:t>, 2015</w:t>
      </w:r>
      <w:r>
        <w:t xml:space="preserve">, </w:t>
      </w:r>
      <w:r w:rsidR="00081142">
        <w:t>City/</w:t>
      </w:r>
      <w:proofErr w:type="spellStart"/>
      <w:r w:rsidR="00081142">
        <w:t>Suddath</w:t>
      </w:r>
      <w:proofErr w:type="spellEnd"/>
      <w:r w:rsidR="00081142">
        <w:t xml:space="preserve"> Relocation Systems, LLC </w:t>
      </w:r>
      <w:r>
        <w:t xml:space="preserve">wrote the commission requesting mitigation of penalties.  In its mitigation request, </w:t>
      </w:r>
      <w:r w:rsidR="00081142">
        <w:t>City/</w:t>
      </w:r>
      <w:proofErr w:type="spellStart"/>
      <w:r w:rsidR="00081142">
        <w:t>Suddath</w:t>
      </w:r>
      <w:proofErr w:type="spellEnd"/>
      <w:r w:rsidR="00081142">
        <w:t xml:space="preserve"> Relocation Systems, LLC disputes</w:t>
      </w:r>
      <w:r>
        <w:t xml:space="preserve"> the violation occurred.  The company states, “</w:t>
      </w:r>
      <w:r w:rsidR="00081142">
        <w:t>The report was filed timely without intent of omission of any item.  Information required is informational only.  Lack of response to the email dated May 5, 2015 from Katie Hancock was merely an oversight and was not intended as avoidance to respond.  In prior years the information requested was not required and “n/a” was accepted”.  The company requests the penalty be omitted.</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3EF308C3" w14:textId="12D93918" w:rsidR="00081142" w:rsidRDefault="00081142" w:rsidP="00BC4721">
      <w:pPr>
        <w:pStyle w:val="NoSpacing"/>
      </w:pPr>
      <w:r>
        <w:rPr>
          <w:noProof/>
        </w:rPr>
        <mc:AlternateContent>
          <mc:Choice Requires="wps">
            <w:drawing>
              <wp:anchor distT="0" distB="0" distL="114300" distR="114300" simplePos="0" relativeHeight="251663360" behindDoc="0" locked="0" layoutInCell="1" allowOverlap="1" wp14:anchorId="72EEFDEB" wp14:editId="1786A6E4">
                <wp:simplePos x="0" y="0"/>
                <wp:positionH relativeFrom="margin">
                  <wp:align>left</wp:align>
                </wp:positionH>
                <wp:positionV relativeFrom="paragraph">
                  <wp:posOffset>6350</wp:posOffset>
                </wp:positionV>
                <wp:extent cx="2743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30A4E" id="Straight Connector 2"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5pt" to="3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" strokecolor="black [3213]">
                <w10:wrap anchorx="margin"/>
              </v:line>
            </w:pict>
          </mc:Fallback>
        </mc:AlternateContent>
      </w:r>
    </w:p>
    <w:p w14:paraId="23BD4555" w14:textId="64BCF9FE" w:rsidR="00081142" w:rsidRPr="00C42BDA" w:rsidRDefault="00081142" w:rsidP="00081142">
      <w:pPr>
        <w:pStyle w:val="NoSpacing"/>
      </w:pPr>
      <w:r>
        <w:rPr>
          <w:vertAlign w:val="superscript"/>
        </w:rPr>
        <w:t>1</w:t>
      </w:r>
      <w:r>
        <w:t>See Attachment A for email communication related to 2013 Annual Report for City/</w:t>
      </w:r>
      <w:proofErr w:type="spellStart"/>
      <w:r>
        <w:t>Suddath</w:t>
      </w:r>
      <w:proofErr w:type="spellEnd"/>
    </w:p>
    <w:p w14:paraId="1463902E" w14:textId="77777777" w:rsidR="00081142" w:rsidRDefault="00081142" w:rsidP="00081142">
      <w:pPr>
        <w:pStyle w:val="NoSpacing"/>
      </w:pPr>
    </w:p>
    <w:p w14:paraId="4076A2F8" w14:textId="77777777" w:rsidR="00081142" w:rsidRDefault="00081142" w:rsidP="00081142">
      <w:pPr>
        <w:pStyle w:val="NoSpacing"/>
      </w:pPr>
      <w:r>
        <w:lastRenderedPageBreak/>
        <w:t>UTC Annual Reports</w:t>
      </w:r>
    </w:p>
    <w:p w14:paraId="2256E7C0" w14:textId="1E38DD29" w:rsidR="00081142" w:rsidRDefault="00081142" w:rsidP="00081142">
      <w:pPr>
        <w:pStyle w:val="NoSpacing"/>
      </w:pPr>
      <w:r>
        <w:t>June 22, 2015</w:t>
      </w:r>
    </w:p>
    <w:p w14:paraId="7B057A8D" w14:textId="77777777" w:rsidR="00081142" w:rsidRDefault="00081142" w:rsidP="00081142">
      <w:pPr>
        <w:pStyle w:val="NoSpacing"/>
      </w:pPr>
      <w:r>
        <w:t>Page 2</w:t>
      </w:r>
    </w:p>
    <w:p w14:paraId="4493D28B" w14:textId="77777777" w:rsidR="00081142" w:rsidRDefault="00081142" w:rsidP="00BC4721">
      <w:pPr>
        <w:pStyle w:val="NoSpacing"/>
      </w:pPr>
    </w:p>
    <w:p w14:paraId="52EACE78" w14:textId="698375F7" w:rsidR="00F7120B" w:rsidRDefault="005B43A6" w:rsidP="00BC4721">
      <w:pPr>
        <w:pStyle w:val="NoSpacing"/>
      </w:pPr>
      <w:r>
        <w:t xml:space="preserve">On </w:t>
      </w:r>
      <w:r w:rsidR="00635B04">
        <w:t xml:space="preserve">May </w:t>
      </w:r>
      <w:r w:rsidR="00081142">
        <w:t>1</w:t>
      </w:r>
      <w:r w:rsidR="00635B04">
        <w:t>, 2015</w:t>
      </w:r>
      <w:r>
        <w:t xml:space="preserve">, </w:t>
      </w:r>
      <w:r w:rsidR="00081142">
        <w:t>City/</w:t>
      </w:r>
      <w:proofErr w:type="spellStart"/>
      <w:r w:rsidR="00081142">
        <w:t>Suddath</w:t>
      </w:r>
      <w:proofErr w:type="spellEnd"/>
      <w:r w:rsidR="00081142">
        <w:t xml:space="preserve"> Relocation Systems, LLC </w:t>
      </w:r>
      <w:r>
        <w:t xml:space="preserve">filed </w:t>
      </w:r>
      <w:r w:rsidR="00635B04">
        <w:t>an incomplete</w:t>
      </w:r>
      <w:r>
        <w:t xml:space="preserve"> 2014 annual report and paid the required regulatory fees.</w:t>
      </w:r>
      <w:r w:rsidR="00081142">
        <w:t xml:space="preserve">  On June 9</w:t>
      </w:r>
      <w:r w:rsidR="00635B04">
        <w:t>, 2015, the company filed the required information and the report was consid</w:t>
      </w:r>
      <w:r w:rsidR="00081142">
        <w:t>e</w:t>
      </w:r>
      <w:r w:rsidR="00635B04">
        <w:t xml:space="preserve">red complete.  </w:t>
      </w:r>
      <w:r w:rsidR="00081142">
        <w:t>The company has been active since 2011.  No prior violations of WAC 480-15-480 are on commission record.</w:t>
      </w:r>
    </w:p>
    <w:p w14:paraId="151CBAAC" w14:textId="77777777" w:rsidR="00081142" w:rsidRDefault="00081142" w:rsidP="00BC4721">
      <w:pPr>
        <w:pStyle w:val="NoSpacing"/>
      </w:pPr>
    </w:p>
    <w:p w14:paraId="103BAB5B" w14:textId="19D68C74" w:rsidR="00743AAA" w:rsidRDefault="00081142" w:rsidP="00BC4721">
      <w:pPr>
        <w:pStyle w:val="NoSpacing"/>
      </w:pPr>
      <w:r>
        <w:t>T</w:t>
      </w:r>
      <w:r w:rsidR="00F7120B">
        <w:t xml:space="preserve">he </w:t>
      </w:r>
      <w:r w:rsidR="00C42BDA">
        <w:t xml:space="preserve">household goods moves </w:t>
      </w:r>
      <w:r w:rsidR="00F7120B">
        <w:t xml:space="preserve">information omitted from </w:t>
      </w:r>
      <w:r w:rsidR="00C42BDA">
        <w:t xml:space="preserve">Schedule 1 of the </w:t>
      </w:r>
      <w:r w:rsidR="00F7120B">
        <w:t>2014 report</w:t>
      </w:r>
      <w:r w:rsidR="00C42BDA">
        <w:t>,</w:t>
      </w:r>
      <w:r w:rsidR="00F7120B">
        <w:t xml:space="preserve"> which resulted in the report being incomplete, was also omitted from the 2013 report.  However, commission staff contacted the company regarding the 2013 report requiring the information be submitted on </w:t>
      </w:r>
      <w:r>
        <w:t>May 1, 2014</w:t>
      </w:r>
      <w:r w:rsidR="00F7120B">
        <w:t xml:space="preserve"> via email</w:t>
      </w:r>
      <w:r>
        <w:t>.  The company complied on May 1</w:t>
      </w:r>
      <w:r w:rsidR="00F7120B">
        <w:t>, 2014 via email</w:t>
      </w:r>
      <w:r>
        <w:rPr>
          <w:vertAlign w:val="superscript"/>
        </w:rPr>
        <w:t>1</w:t>
      </w:r>
      <w:r w:rsidR="00F7120B">
        <w:t xml:space="preserve">.  </w:t>
      </w:r>
      <w:r w:rsidR="00743AAA">
        <w:t xml:space="preserve">Staff does not support the company’s request for the penalty to be waived.  Staff supports the request for mitigation as this </w:t>
      </w:r>
      <w:r w:rsidR="008D640D">
        <w:t>is City/</w:t>
      </w:r>
      <w:proofErr w:type="spellStart"/>
      <w:r w:rsidR="008D640D">
        <w:t>Suddath’s</w:t>
      </w:r>
      <w:proofErr w:type="spellEnd"/>
      <w:r w:rsidR="008D640D">
        <w:t xml:space="preserve"> </w:t>
      </w:r>
      <w:r w:rsidR="00743AAA">
        <w:t>first delinquent filing despite the company’s knowledge of the household goods move information being required.  Staff recommends a reduced penalty of $25 per day for a total penalty assessment of $250.</w:t>
      </w:r>
      <w:bookmarkStart w:id="0" w:name="_GoBack"/>
      <w:bookmarkEnd w:id="0"/>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7AFB78D" w14:textId="77777777" w:rsidR="00C42BDA" w:rsidRDefault="00C42BDA" w:rsidP="00F84BFD">
      <w:pPr>
        <w:tabs>
          <w:tab w:val="left" w:pos="6262"/>
        </w:tabs>
      </w:pPr>
      <w:r>
        <w:t>ATTACHMENT A</w:t>
      </w:r>
    </w:p>
    <w:p w14:paraId="0EDD686D" w14:textId="77777777" w:rsidR="00C42BDA" w:rsidRDefault="00C42BDA" w:rsidP="00F84BFD">
      <w:pPr>
        <w:tabs>
          <w:tab w:val="left" w:pos="6262"/>
        </w:tabs>
      </w:pPr>
    </w:p>
    <w:p w14:paraId="2B033B3D" w14:textId="0488DE43" w:rsidR="00121610" w:rsidRDefault="00F84BFD" w:rsidP="00F84BFD">
      <w:pPr>
        <w:tabs>
          <w:tab w:val="left" w:pos="6262"/>
        </w:tabs>
      </w:pPr>
      <w:r>
        <w:tab/>
      </w:r>
    </w:p>
    <w:p w14:paraId="5663AE9A" w14:textId="13B28254" w:rsidR="00C42BDA" w:rsidRDefault="00743AAA" w:rsidP="00743AAA">
      <w:pPr>
        <w:tabs>
          <w:tab w:val="left" w:pos="6262"/>
        </w:tabs>
        <w:jc w:val="center"/>
      </w:pPr>
      <w:r>
        <w:rPr>
          <w:noProof/>
        </w:rPr>
        <w:drawing>
          <wp:inline distT="0" distB="0" distL="0" distR="0" wp14:anchorId="423E9334" wp14:editId="7640258B">
            <wp:extent cx="5806999" cy="73304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113" cy="7335633"/>
                    </a:xfrm>
                    <a:prstGeom prst="rect">
                      <a:avLst/>
                    </a:prstGeom>
                  </pic:spPr>
                </pic:pic>
              </a:graphicData>
            </a:graphic>
          </wp:inline>
        </w:drawing>
      </w:r>
    </w:p>
    <w:p w14:paraId="0CCBC8EA" w14:textId="125CFDA2" w:rsidR="00C42BDA" w:rsidRDefault="00C42BDA" w:rsidP="00F84BFD">
      <w:pPr>
        <w:tabs>
          <w:tab w:val="left" w:pos="6262"/>
        </w:tabs>
      </w:pPr>
      <w:r>
        <w:lastRenderedPageBreak/>
        <w:br w:type="textWrapping" w:clear="all"/>
      </w:r>
    </w:p>
    <w:p w14:paraId="229FD601" w14:textId="77777777" w:rsidR="00C42BDA" w:rsidRDefault="00C42BDA" w:rsidP="00F84BFD">
      <w:pPr>
        <w:tabs>
          <w:tab w:val="left" w:pos="6262"/>
        </w:tabs>
      </w:pPr>
    </w:p>
    <w:p w14:paraId="7C654CD3" w14:textId="77777777" w:rsidR="00C42BDA" w:rsidRDefault="00C42BDA" w:rsidP="00F84BFD">
      <w:pPr>
        <w:tabs>
          <w:tab w:val="left" w:pos="6262"/>
        </w:tabs>
      </w:pPr>
    </w:p>
    <w:p w14:paraId="55412FEA" w14:textId="147AE07C" w:rsidR="00C42BDA" w:rsidRDefault="00C42BDA" w:rsidP="00F84BFD">
      <w:pPr>
        <w:tabs>
          <w:tab w:val="left" w:pos="6262"/>
        </w:tabs>
      </w:pPr>
    </w:p>
    <w:p w14:paraId="62B4AD1B" w14:textId="77777777" w:rsidR="00743AAA" w:rsidRDefault="00743AAA" w:rsidP="00F84BFD">
      <w:pPr>
        <w:tabs>
          <w:tab w:val="left" w:pos="6262"/>
        </w:tabs>
      </w:pPr>
    </w:p>
    <w:p w14:paraId="4861D8B9" w14:textId="77777777" w:rsidR="00743AAA" w:rsidRDefault="00743AAA" w:rsidP="00F84BFD">
      <w:pPr>
        <w:tabs>
          <w:tab w:val="left" w:pos="6262"/>
        </w:tabs>
      </w:pPr>
    </w:p>
    <w:p w14:paraId="6CC40AF8" w14:textId="6C8BB153" w:rsidR="00743AAA" w:rsidRDefault="00743AAA" w:rsidP="00743AAA">
      <w:pPr>
        <w:tabs>
          <w:tab w:val="left" w:pos="6262"/>
        </w:tabs>
        <w:jc w:val="center"/>
      </w:pPr>
      <w:r>
        <w:rPr>
          <w:noProof/>
        </w:rPr>
        <w:drawing>
          <wp:inline distT="0" distB="0" distL="0" distR="0" wp14:anchorId="461EB9FC" wp14:editId="15D98BF7">
            <wp:extent cx="6253348" cy="3467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1020" cy="3471353"/>
                    </a:xfrm>
                    <a:prstGeom prst="rect">
                      <a:avLst/>
                    </a:prstGeom>
                  </pic:spPr>
                </pic:pic>
              </a:graphicData>
            </a:graphic>
          </wp:inline>
        </w:drawing>
      </w:r>
    </w:p>
    <w:p w14:paraId="40D80830" w14:textId="22CAD537" w:rsidR="00C42BDA" w:rsidRDefault="00C42BDA" w:rsidP="00F84BFD">
      <w:pPr>
        <w:tabs>
          <w:tab w:val="left" w:pos="6262"/>
        </w:tabs>
      </w:pPr>
    </w:p>
    <w:p w14:paraId="5A62681C" w14:textId="77777777" w:rsidR="00C42BDA" w:rsidRDefault="00C42BDA" w:rsidP="00C42BDA">
      <w:pPr>
        <w:ind w:firstLine="720"/>
      </w:pPr>
    </w:p>
    <w:p w14:paraId="0C40DECE" w14:textId="77777777" w:rsidR="00C42BDA" w:rsidRDefault="00C42BDA" w:rsidP="00C42BDA">
      <w:pPr>
        <w:ind w:firstLine="720"/>
      </w:pPr>
    </w:p>
    <w:p w14:paraId="2FB03624" w14:textId="4902A41A" w:rsidR="00C42BDA" w:rsidRDefault="00C42BDA" w:rsidP="00C42BDA">
      <w:pPr>
        <w:ind w:firstLine="720"/>
      </w:pPr>
    </w:p>
    <w:p w14:paraId="11E41939" w14:textId="055E55FC" w:rsidR="00C42BDA" w:rsidRDefault="00C42BDA" w:rsidP="00C42BDA">
      <w:pPr>
        <w:jc w:val="both"/>
      </w:pPr>
    </w:p>
    <w:p w14:paraId="6BB5985D" w14:textId="77777777" w:rsidR="00C42BDA" w:rsidRPr="00C42BDA" w:rsidRDefault="00C42BDA" w:rsidP="00C42BDA"/>
    <w:p w14:paraId="7E2527F2" w14:textId="77777777" w:rsidR="00C42BDA" w:rsidRDefault="00C42BDA" w:rsidP="00C42BDA">
      <w:pPr>
        <w:jc w:val="right"/>
      </w:pPr>
    </w:p>
    <w:p w14:paraId="222B9EE0" w14:textId="77777777" w:rsidR="00C42BDA" w:rsidRDefault="00C42BDA" w:rsidP="00C42BDA">
      <w:pPr>
        <w:jc w:val="right"/>
      </w:pPr>
    </w:p>
    <w:p w14:paraId="7E7ACD77" w14:textId="77777777" w:rsidR="00C42BDA" w:rsidRDefault="00C42BDA" w:rsidP="00C42BDA">
      <w:pPr>
        <w:jc w:val="right"/>
      </w:pPr>
    </w:p>
    <w:p w14:paraId="4829431E" w14:textId="77777777" w:rsidR="00C42BDA" w:rsidRDefault="00C42BDA" w:rsidP="00C42BDA">
      <w:pPr>
        <w:jc w:val="right"/>
      </w:pPr>
    </w:p>
    <w:p w14:paraId="2D22B758" w14:textId="77777777" w:rsidR="00C42BDA" w:rsidRDefault="00C42BDA" w:rsidP="00C42BDA"/>
    <w:p w14:paraId="68A1E9E8" w14:textId="0F15648A" w:rsidR="00C42BDA" w:rsidRDefault="00C42BDA" w:rsidP="00C42BDA"/>
    <w:p w14:paraId="1DD33BF9" w14:textId="77777777" w:rsidR="00C42BDA" w:rsidRDefault="00C42BDA" w:rsidP="00C42BDA"/>
    <w:p w14:paraId="60E6A161" w14:textId="42BEBA41" w:rsidR="00C42BDA" w:rsidRPr="00C42BDA" w:rsidRDefault="00C42BDA" w:rsidP="00C42BDA"/>
    <w:p w14:paraId="5F6CF367" w14:textId="77777777" w:rsidR="00C42BDA" w:rsidRPr="00C42BDA" w:rsidRDefault="00C42BDA" w:rsidP="00C42BDA"/>
    <w:p w14:paraId="167D51F5" w14:textId="77777777" w:rsidR="00C42BDA" w:rsidRPr="00C42BDA" w:rsidRDefault="00C42BDA" w:rsidP="00C42BDA"/>
    <w:p w14:paraId="70F45957" w14:textId="77777777" w:rsidR="00C42BDA" w:rsidRPr="00C42BDA" w:rsidRDefault="00C42BDA" w:rsidP="00C42BDA"/>
    <w:p w14:paraId="4C01EE54" w14:textId="29FC2B54" w:rsidR="00C42BDA" w:rsidRPr="00C42BDA" w:rsidRDefault="00C42BDA" w:rsidP="00C42BDA"/>
    <w:sectPr w:rsidR="00C42BDA" w:rsidRPr="00C42BDA"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69C1E" w14:textId="77777777" w:rsidR="009F77C0" w:rsidRDefault="009F77C0" w:rsidP="00AB61BF">
      <w:r>
        <w:separator/>
      </w:r>
    </w:p>
  </w:endnote>
  <w:endnote w:type="continuationSeparator" w:id="0">
    <w:p w14:paraId="58DE6A95" w14:textId="77777777" w:rsidR="009F77C0" w:rsidRDefault="009F77C0"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4076" w14:textId="77777777" w:rsidR="009F77C0" w:rsidRDefault="009F77C0" w:rsidP="00AB61BF">
      <w:r>
        <w:separator/>
      </w:r>
    </w:p>
  </w:footnote>
  <w:footnote w:type="continuationSeparator" w:id="0">
    <w:p w14:paraId="1B159127" w14:textId="77777777" w:rsidR="009F77C0" w:rsidRDefault="009F77C0"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1142"/>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03E5A"/>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3AAA"/>
    <w:rsid w:val="00745630"/>
    <w:rsid w:val="007571E6"/>
    <w:rsid w:val="00763902"/>
    <w:rsid w:val="00767710"/>
    <w:rsid w:val="00772E32"/>
    <w:rsid w:val="007A2CAE"/>
    <w:rsid w:val="007C5E20"/>
    <w:rsid w:val="007F6D68"/>
    <w:rsid w:val="008230E3"/>
    <w:rsid w:val="00826FEA"/>
    <w:rsid w:val="0083782A"/>
    <w:rsid w:val="00856CAA"/>
    <w:rsid w:val="008C283E"/>
    <w:rsid w:val="008D4F02"/>
    <w:rsid w:val="008D640D"/>
    <w:rsid w:val="008F1B59"/>
    <w:rsid w:val="009246E4"/>
    <w:rsid w:val="00944B34"/>
    <w:rsid w:val="0097341B"/>
    <w:rsid w:val="009765B2"/>
    <w:rsid w:val="009D14CC"/>
    <w:rsid w:val="009F496B"/>
    <w:rsid w:val="009F69BF"/>
    <w:rsid w:val="009F6D8C"/>
    <w:rsid w:val="009F77C0"/>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4D8C199EF9F5459CB9673178D8FA17" ma:contentTypeVersion="119" ma:contentTypeDescription="" ma:contentTypeScope="" ma:versionID="820fbd178bc6543d1e9a7e4320cb97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2015-06-22T21:39:01+00:00</Date1>
    <IsDocumentOrder xmlns="dc463f71-b30c-4ab2-9473-d307f9d35888" xsi:nil="true"/>
    <IsHighlyConfidential xmlns="dc463f71-b30c-4ab2-9473-d307f9d35888">false</IsHighlyConfidential>
    <CaseCompanyNames xmlns="dc463f71-b30c-4ab2-9473-d307f9d35888">City/Suddath Relocation Systems, LLC</CaseCompanyNames>
    <DocketNumber xmlns="dc463f71-b30c-4ab2-9473-d307f9d35888">150890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A3A8E-84F5-4CFA-94FE-D2F24DA0948D}"/>
</file>

<file path=customXml/itemProps2.xml><?xml version="1.0" encoding="utf-8"?>
<ds:datastoreItem xmlns:ds="http://schemas.openxmlformats.org/officeDocument/2006/customXml" ds:itemID="{D5168349-CA4D-4F35-85B3-2888C3B227C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D2DAB561-9822-45FE-B049-A0252F438856}"/>
</file>

<file path=customXml/itemProps5.xml><?xml version="1.0" encoding="utf-8"?>
<ds:datastoreItem xmlns:ds="http://schemas.openxmlformats.org/officeDocument/2006/customXml" ds:itemID="{2DC668A0-3BB1-4AF7-9B2A-82FC0E613E56}"/>
</file>

<file path=docProps/app.xml><?xml version="1.0" encoding="utf-8"?>
<Properties xmlns="http://schemas.openxmlformats.org/officeDocument/2006/extended-properties" xmlns:vt="http://schemas.openxmlformats.org/officeDocument/2006/docPropsVTypes">
  <Template>Normal</Template>
  <TotalTime>2</TotalTime>
  <Pages>4</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2009-09-23T22:56:00Z</cp:lastPrinted>
  <dcterms:created xsi:type="dcterms:W3CDTF">2015-06-19T20:49:00Z</dcterms:created>
  <dcterms:modified xsi:type="dcterms:W3CDTF">2015-06-19T21:47:00Z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0x0101006E56B4D1795A2E4DB2F0B01679ED314A001D4D8C199EF9F5459CB9673178D8FA17</vt:lpwstr>
  </property>
  <property fmtid="{D5CDD505-2E9C-101B-9397-08002B2CF9AE}" pid="3" name="Status">
    <vt:lpwstr>Templates</vt:lpwstr>
  </property>
  <property fmtid="{D5CDD505-2E9C-101B-9397-08002B2CF9AE}" pid="4" name="_docset_NoMedatataSyncRequired">
    <vt:lpwstr>False</vt:lpwstr>
  </property>
</Properties>
</file>