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2F6" w:rsidRDefault="006A22F6">
      <w:bookmarkStart w:id="0" w:name="_GoBack"/>
      <w:bookmarkEnd w:id="0"/>
    </w:p>
    <w:p w:rsidR="006A22F6" w:rsidRDefault="006A22F6">
      <w:r>
        <w:rPr>
          <w:noProof/>
          <w:szCs w:val="24"/>
        </w:rPr>
        <w:drawing>
          <wp:anchor distT="0" distB="0" distL="114300" distR="114300" simplePos="0" relativeHeight="251659264" behindDoc="0" locked="0" layoutInCell="1" allowOverlap="1" wp14:anchorId="2D609C22" wp14:editId="6E529619">
            <wp:simplePos x="0" y="0"/>
            <wp:positionH relativeFrom="column">
              <wp:posOffset>-205740</wp:posOffset>
            </wp:positionH>
            <wp:positionV relativeFrom="paragraph">
              <wp:posOffset>10160</wp:posOffset>
            </wp:positionV>
            <wp:extent cx="276606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6060" cy="1028700"/>
                    </a:xfrm>
                    <a:prstGeom prst="rect">
                      <a:avLst/>
                    </a:prstGeom>
                    <a:noFill/>
                  </pic:spPr>
                </pic:pic>
              </a:graphicData>
            </a:graphic>
            <wp14:sizeRelH relativeFrom="page">
              <wp14:pctWidth>0</wp14:pctWidth>
            </wp14:sizeRelH>
            <wp14:sizeRelV relativeFrom="page">
              <wp14:pctHeight>0</wp14:pctHeight>
            </wp14:sizeRelV>
          </wp:anchor>
        </w:drawing>
      </w:r>
    </w:p>
    <w:p w:rsidR="006A22F6" w:rsidRDefault="006A22F6" w:rsidP="006A22F6">
      <w:pPr>
        <w:rPr>
          <w:sz w:val="22"/>
          <w:szCs w:val="22"/>
        </w:rPr>
      </w:pPr>
    </w:p>
    <w:p w:rsidR="006A22F6" w:rsidRDefault="006A22F6" w:rsidP="006A22F6">
      <w:pPr>
        <w:rPr>
          <w:sz w:val="22"/>
          <w:szCs w:val="22"/>
        </w:rPr>
      </w:pPr>
    </w:p>
    <w:p w:rsidR="006A22F6" w:rsidRDefault="006A22F6" w:rsidP="006A22F6">
      <w:pPr>
        <w:rPr>
          <w:sz w:val="22"/>
          <w:szCs w:val="22"/>
        </w:rPr>
      </w:pPr>
    </w:p>
    <w:p w:rsidR="006A22F6" w:rsidRDefault="006A22F6" w:rsidP="006A22F6">
      <w:pPr>
        <w:rPr>
          <w:sz w:val="22"/>
          <w:szCs w:val="22"/>
        </w:rPr>
      </w:pPr>
    </w:p>
    <w:p w:rsidR="006A22F6" w:rsidRDefault="006A22F6" w:rsidP="006A22F6">
      <w:pPr>
        <w:rPr>
          <w:sz w:val="22"/>
          <w:szCs w:val="22"/>
        </w:rPr>
      </w:pPr>
    </w:p>
    <w:p w:rsidR="006A22F6" w:rsidRDefault="006A22F6" w:rsidP="006A22F6">
      <w:pPr>
        <w:rPr>
          <w:sz w:val="22"/>
          <w:szCs w:val="22"/>
        </w:rPr>
      </w:pPr>
    </w:p>
    <w:p w:rsidR="006A22F6" w:rsidRDefault="006A22F6" w:rsidP="006A22F6">
      <w:pPr>
        <w:rPr>
          <w:sz w:val="22"/>
          <w:szCs w:val="22"/>
        </w:rPr>
      </w:pPr>
    </w:p>
    <w:p w:rsidR="006A22F6" w:rsidRDefault="006A22F6" w:rsidP="006A22F6">
      <w:pPr>
        <w:rPr>
          <w:sz w:val="22"/>
          <w:szCs w:val="22"/>
        </w:rPr>
      </w:pPr>
    </w:p>
    <w:p w:rsidR="006A22F6" w:rsidRDefault="006A22F6" w:rsidP="006A22F6">
      <w:pPr>
        <w:pStyle w:val="Heading1"/>
        <w:ind w:left="0" w:firstLine="0"/>
        <w:rPr>
          <w:szCs w:val="24"/>
        </w:rPr>
      </w:pPr>
    </w:p>
    <w:p w:rsidR="006A22F6" w:rsidRPr="004F4FE7" w:rsidRDefault="00650215" w:rsidP="006A22F6">
      <w:pPr>
        <w:pStyle w:val="Heading1"/>
        <w:rPr>
          <w:b/>
          <w:szCs w:val="24"/>
        </w:rPr>
      </w:pPr>
      <w:r>
        <w:rPr>
          <w:szCs w:val="24"/>
        </w:rPr>
        <w:t>May 1</w:t>
      </w:r>
      <w:r w:rsidR="006A22F6" w:rsidRPr="004F4FE7">
        <w:rPr>
          <w:szCs w:val="24"/>
        </w:rPr>
        <w:t>, 201</w:t>
      </w:r>
      <w:r w:rsidR="006A22F6">
        <w:rPr>
          <w:szCs w:val="24"/>
        </w:rPr>
        <w:t>5</w:t>
      </w:r>
    </w:p>
    <w:p w:rsidR="006A22F6" w:rsidRDefault="006A22F6" w:rsidP="006A22F6">
      <w:pPr>
        <w:rPr>
          <w:sz w:val="24"/>
          <w:szCs w:val="24"/>
        </w:rPr>
      </w:pPr>
    </w:p>
    <w:p w:rsidR="006A22F6" w:rsidRPr="004F4FE7" w:rsidRDefault="006A22F6" w:rsidP="006A22F6">
      <w:pPr>
        <w:rPr>
          <w:sz w:val="24"/>
          <w:szCs w:val="24"/>
        </w:rPr>
      </w:pPr>
      <w:r w:rsidRPr="004F4FE7">
        <w:rPr>
          <w:sz w:val="24"/>
          <w:szCs w:val="24"/>
        </w:rPr>
        <w:tab/>
      </w:r>
    </w:p>
    <w:p w:rsidR="006A22F6" w:rsidRPr="00866858" w:rsidRDefault="006A22F6" w:rsidP="006A22F6">
      <w:pPr>
        <w:rPr>
          <w:sz w:val="24"/>
          <w:szCs w:val="24"/>
        </w:rPr>
      </w:pPr>
      <w:r>
        <w:rPr>
          <w:sz w:val="24"/>
          <w:szCs w:val="24"/>
        </w:rPr>
        <w:t>Dear Customer</w:t>
      </w:r>
      <w:r w:rsidRPr="004F4FE7">
        <w:rPr>
          <w:sz w:val="24"/>
          <w:szCs w:val="24"/>
        </w:rPr>
        <w:t>:</w:t>
      </w:r>
    </w:p>
    <w:p w:rsidR="006A22F6" w:rsidRDefault="006A22F6" w:rsidP="006A22F6">
      <w:pPr>
        <w:rPr>
          <w:sz w:val="22"/>
          <w:szCs w:val="22"/>
        </w:rPr>
      </w:pPr>
    </w:p>
    <w:p w:rsidR="006A22F6" w:rsidRDefault="00650215" w:rsidP="006A22F6">
      <w:pPr>
        <w:rPr>
          <w:sz w:val="22"/>
          <w:szCs w:val="22"/>
        </w:rPr>
      </w:pPr>
      <w:r>
        <w:rPr>
          <w:sz w:val="22"/>
          <w:szCs w:val="22"/>
        </w:rPr>
        <w:t>Puget Sound Energy, on May 1</w:t>
      </w:r>
      <w:r w:rsidR="00E12D7B">
        <w:rPr>
          <w:sz w:val="22"/>
          <w:szCs w:val="22"/>
        </w:rPr>
        <w:t xml:space="preserve">, 2015, </w:t>
      </w:r>
      <w:r w:rsidR="007D1EA7">
        <w:rPr>
          <w:sz w:val="22"/>
          <w:szCs w:val="22"/>
        </w:rPr>
        <w:t>filed a requ</w:t>
      </w:r>
      <w:r w:rsidR="008865CE">
        <w:rPr>
          <w:sz w:val="22"/>
          <w:szCs w:val="22"/>
        </w:rPr>
        <w:t xml:space="preserve">est with the state UTC for </w:t>
      </w:r>
      <w:r w:rsidR="008B3A00">
        <w:rPr>
          <w:sz w:val="22"/>
          <w:szCs w:val="22"/>
        </w:rPr>
        <w:t xml:space="preserve">an overall </w:t>
      </w:r>
      <w:r w:rsidR="008865CE">
        <w:rPr>
          <w:sz w:val="22"/>
          <w:szCs w:val="22"/>
        </w:rPr>
        <w:t>reduction in</w:t>
      </w:r>
      <w:r w:rsidR="007D1EA7">
        <w:rPr>
          <w:sz w:val="22"/>
          <w:szCs w:val="22"/>
        </w:rPr>
        <w:t xml:space="preserve"> natural gas rates </w:t>
      </w:r>
      <w:r w:rsidR="008865CE">
        <w:rPr>
          <w:sz w:val="22"/>
          <w:szCs w:val="22"/>
        </w:rPr>
        <w:t>due to a decrease in property taxes actually paid by PSE.  This request results in a decrease in rates for most customers but an increase for some customers</w:t>
      </w:r>
      <w:r w:rsidR="007D1EA7">
        <w:rPr>
          <w:sz w:val="22"/>
          <w:szCs w:val="22"/>
        </w:rPr>
        <w:t xml:space="preserve">.  </w:t>
      </w:r>
      <w:r w:rsidR="008865CE">
        <w:rPr>
          <w:sz w:val="22"/>
          <w:szCs w:val="22"/>
        </w:rPr>
        <w:t xml:space="preserve">The reason that you are receiving this letter is because this request results in an increase in rates for your natural gas service.  </w:t>
      </w:r>
      <w:r w:rsidR="0025065F">
        <w:rPr>
          <w:sz w:val="22"/>
          <w:szCs w:val="22"/>
        </w:rPr>
        <w:t xml:space="preserve">The reason for the </w:t>
      </w:r>
      <w:r w:rsidR="008B3A00">
        <w:rPr>
          <w:sz w:val="22"/>
          <w:szCs w:val="22"/>
        </w:rPr>
        <w:t>increase</w:t>
      </w:r>
      <w:r w:rsidR="0025065F">
        <w:rPr>
          <w:sz w:val="22"/>
          <w:szCs w:val="22"/>
        </w:rPr>
        <w:t xml:space="preserve"> is primarily because the projected usage being lower in the upcoming year for those customers </w:t>
      </w:r>
      <w:r w:rsidR="008B3A00">
        <w:rPr>
          <w:sz w:val="22"/>
          <w:szCs w:val="22"/>
        </w:rPr>
        <w:t>on Schedule 87</w:t>
      </w:r>
      <w:r w:rsidR="0025065F">
        <w:rPr>
          <w:sz w:val="22"/>
          <w:szCs w:val="22"/>
        </w:rPr>
        <w:t>.</w:t>
      </w:r>
      <w:r w:rsidR="008B3A00">
        <w:rPr>
          <w:sz w:val="22"/>
          <w:szCs w:val="22"/>
        </w:rPr>
        <w:t xml:space="preserve">  Property taxes are a fixed cost but are included in rates as a volumetric charge, the lower volumes result in a higher charge per therm.</w:t>
      </w:r>
      <w:r w:rsidR="0025065F">
        <w:rPr>
          <w:sz w:val="22"/>
          <w:szCs w:val="22"/>
        </w:rPr>
        <w:t xml:space="preserve">  </w:t>
      </w:r>
      <w:r w:rsidR="007D1EA7">
        <w:rPr>
          <w:sz w:val="22"/>
          <w:szCs w:val="22"/>
        </w:rPr>
        <w:t>The request is proposed to become</w:t>
      </w:r>
      <w:r w:rsidR="008865CE">
        <w:rPr>
          <w:sz w:val="22"/>
          <w:szCs w:val="22"/>
        </w:rPr>
        <w:t xml:space="preserve"> </w:t>
      </w:r>
      <w:r w:rsidR="007D1EA7">
        <w:rPr>
          <w:sz w:val="22"/>
          <w:szCs w:val="22"/>
        </w:rPr>
        <w:t>effect</w:t>
      </w:r>
      <w:r w:rsidR="008865CE">
        <w:rPr>
          <w:sz w:val="22"/>
          <w:szCs w:val="22"/>
        </w:rPr>
        <w:t xml:space="preserve">ive on June 1, 2015. </w:t>
      </w:r>
      <w:r w:rsidR="006A22F6">
        <w:rPr>
          <w:sz w:val="22"/>
          <w:szCs w:val="22"/>
        </w:rPr>
        <w:tab/>
      </w:r>
    </w:p>
    <w:p w:rsidR="006A22F6" w:rsidRDefault="006A22F6" w:rsidP="006A22F6">
      <w:pPr>
        <w:rPr>
          <w:sz w:val="22"/>
          <w:szCs w:val="22"/>
        </w:rPr>
      </w:pPr>
    </w:p>
    <w:p w:rsidR="006A22F6" w:rsidRDefault="0025065F" w:rsidP="006A22F6">
      <w:pPr>
        <w:rPr>
          <w:sz w:val="22"/>
          <w:szCs w:val="22"/>
        </w:rPr>
      </w:pPr>
      <w:r>
        <w:rPr>
          <w:sz w:val="22"/>
          <w:szCs w:val="22"/>
        </w:rPr>
        <w:t>The overall average change</w:t>
      </w:r>
      <w:r w:rsidR="006A22F6">
        <w:rPr>
          <w:sz w:val="22"/>
          <w:szCs w:val="22"/>
        </w:rPr>
        <w:t xml:space="preserve"> for natural gas customers is as follows:</w:t>
      </w:r>
    </w:p>
    <w:p w:rsidR="006A22F6" w:rsidRDefault="006A22F6" w:rsidP="006A22F6">
      <w:pPr>
        <w:rPr>
          <w:sz w:val="22"/>
          <w:szCs w:val="22"/>
        </w:rPr>
      </w:pPr>
    </w:p>
    <w:p w:rsidR="006A22F6" w:rsidRPr="000C196B" w:rsidRDefault="006A22F6" w:rsidP="006A22F6">
      <w:pPr>
        <w:rPr>
          <w:b/>
          <w:sz w:val="22"/>
          <w:szCs w:val="22"/>
        </w:rPr>
      </w:pPr>
      <w:r>
        <w:rPr>
          <w:sz w:val="22"/>
          <w:szCs w:val="22"/>
        </w:rPr>
        <w:tab/>
      </w:r>
      <w:r w:rsidRPr="000C196B">
        <w:rPr>
          <w:b/>
          <w:sz w:val="22"/>
          <w:szCs w:val="22"/>
        </w:rPr>
        <w:t>Schedules/Type of Service</w:t>
      </w:r>
      <w:r w:rsidRPr="000C196B">
        <w:rPr>
          <w:b/>
          <w:sz w:val="22"/>
          <w:szCs w:val="22"/>
        </w:rPr>
        <w:tab/>
      </w:r>
      <w:r w:rsidRPr="000C196B">
        <w:rPr>
          <w:b/>
          <w:sz w:val="22"/>
          <w:szCs w:val="22"/>
        </w:rPr>
        <w:tab/>
      </w:r>
      <w:r w:rsidRPr="000C196B">
        <w:rPr>
          <w:b/>
          <w:sz w:val="22"/>
          <w:szCs w:val="22"/>
        </w:rPr>
        <w:tab/>
      </w:r>
      <w:r w:rsidRPr="000C196B">
        <w:rPr>
          <w:b/>
          <w:sz w:val="22"/>
          <w:szCs w:val="22"/>
        </w:rPr>
        <w:tab/>
      </w:r>
      <w:r w:rsidRPr="000C196B">
        <w:rPr>
          <w:b/>
          <w:sz w:val="22"/>
          <w:szCs w:val="22"/>
        </w:rPr>
        <w:tab/>
        <w:t>Percent Change</w:t>
      </w:r>
    </w:p>
    <w:p w:rsidR="006A22F6" w:rsidRPr="008B3A00" w:rsidRDefault="006A22F6" w:rsidP="006A22F6">
      <w:pPr>
        <w:rPr>
          <w:sz w:val="22"/>
          <w:szCs w:val="22"/>
        </w:rPr>
      </w:pPr>
      <w:r>
        <w:rPr>
          <w:sz w:val="22"/>
          <w:szCs w:val="22"/>
        </w:rPr>
        <w:tab/>
        <w:t xml:space="preserve">Schedules </w:t>
      </w:r>
      <w:r w:rsidR="00E12D7B">
        <w:rPr>
          <w:sz w:val="22"/>
          <w:szCs w:val="22"/>
        </w:rPr>
        <w:t xml:space="preserve">16, </w:t>
      </w:r>
      <w:r>
        <w:rPr>
          <w:sz w:val="22"/>
          <w:szCs w:val="22"/>
        </w:rPr>
        <w:t>2</w:t>
      </w:r>
      <w:r w:rsidR="00E12D7B">
        <w:rPr>
          <w:sz w:val="22"/>
          <w:szCs w:val="22"/>
        </w:rPr>
        <w:t>3 &amp; 53 - Residential Service</w:t>
      </w:r>
      <w:r w:rsidR="00E12D7B">
        <w:rPr>
          <w:sz w:val="22"/>
          <w:szCs w:val="22"/>
        </w:rPr>
        <w:tab/>
      </w:r>
      <w:r w:rsidR="00E12D7B">
        <w:rPr>
          <w:sz w:val="22"/>
          <w:szCs w:val="22"/>
        </w:rPr>
        <w:tab/>
      </w:r>
      <w:r w:rsidR="00E12D7B">
        <w:rPr>
          <w:sz w:val="22"/>
          <w:szCs w:val="22"/>
        </w:rPr>
        <w:tab/>
      </w:r>
      <w:r w:rsidR="00400BA2" w:rsidRPr="008B3A00">
        <w:rPr>
          <w:sz w:val="22"/>
          <w:szCs w:val="22"/>
        </w:rPr>
        <w:t>0.2</w:t>
      </w:r>
      <w:r w:rsidR="008B3A00" w:rsidRPr="008B3A00">
        <w:rPr>
          <w:sz w:val="22"/>
          <w:szCs w:val="22"/>
        </w:rPr>
        <w:t>1</w:t>
      </w:r>
      <w:r w:rsidR="0025065F" w:rsidRPr="008B3A00">
        <w:rPr>
          <w:sz w:val="22"/>
          <w:szCs w:val="22"/>
        </w:rPr>
        <w:t>% decrease</w:t>
      </w:r>
    </w:p>
    <w:p w:rsidR="006A22F6" w:rsidRPr="008B3A00" w:rsidRDefault="006A22F6" w:rsidP="006A22F6">
      <w:pPr>
        <w:rPr>
          <w:sz w:val="22"/>
          <w:szCs w:val="22"/>
        </w:rPr>
      </w:pPr>
      <w:r w:rsidRPr="008B3A00">
        <w:rPr>
          <w:sz w:val="22"/>
          <w:szCs w:val="22"/>
        </w:rPr>
        <w:tab/>
        <w:t>Schedule</w:t>
      </w:r>
      <w:r w:rsidR="00E12D7B">
        <w:rPr>
          <w:sz w:val="22"/>
          <w:szCs w:val="22"/>
        </w:rPr>
        <w:t>s</w:t>
      </w:r>
      <w:r w:rsidRPr="008B3A00">
        <w:rPr>
          <w:sz w:val="22"/>
          <w:szCs w:val="22"/>
        </w:rPr>
        <w:t xml:space="preserve"> 31</w:t>
      </w:r>
      <w:r w:rsidR="00E12D7B">
        <w:rPr>
          <w:sz w:val="22"/>
          <w:szCs w:val="22"/>
        </w:rPr>
        <w:t xml:space="preserve"> &amp; </w:t>
      </w:r>
      <w:proofErr w:type="spellStart"/>
      <w:r w:rsidR="00E12D7B">
        <w:rPr>
          <w:sz w:val="22"/>
          <w:szCs w:val="22"/>
        </w:rPr>
        <w:t>31T</w:t>
      </w:r>
      <w:proofErr w:type="spellEnd"/>
      <w:r w:rsidR="00E12D7B">
        <w:rPr>
          <w:sz w:val="22"/>
          <w:szCs w:val="22"/>
        </w:rPr>
        <w:t xml:space="preserve"> – Commercial &amp; Industrial</w:t>
      </w:r>
      <w:r w:rsidR="00E12D7B">
        <w:rPr>
          <w:sz w:val="22"/>
          <w:szCs w:val="22"/>
        </w:rPr>
        <w:tab/>
      </w:r>
      <w:r w:rsidR="00E12D7B">
        <w:rPr>
          <w:sz w:val="22"/>
          <w:szCs w:val="22"/>
        </w:rPr>
        <w:tab/>
      </w:r>
      <w:r w:rsidR="00E12D7B">
        <w:rPr>
          <w:sz w:val="22"/>
          <w:szCs w:val="22"/>
        </w:rPr>
        <w:tab/>
      </w:r>
      <w:r w:rsidR="008B3A00" w:rsidRPr="008B3A00">
        <w:rPr>
          <w:sz w:val="22"/>
          <w:szCs w:val="22"/>
        </w:rPr>
        <w:t>0.27</w:t>
      </w:r>
      <w:r w:rsidR="0025065F" w:rsidRPr="008B3A00">
        <w:rPr>
          <w:sz w:val="22"/>
          <w:szCs w:val="22"/>
        </w:rPr>
        <w:t>% decrease</w:t>
      </w:r>
    </w:p>
    <w:p w:rsidR="006A22F6" w:rsidRPr="008B3A00" w:rsidRDefault="006A22F6" w:rsidP="006A22F6">
      <w:pPr>
        <w:rPr>
          <w:sz w:val="22"/>
          <w:szCs w:val="22"/>
        </w:rPr>
      </w:pPr>
      <w:r w:rsidRPr="008B3A00">
        <w:rPr>
          <w:sz w:val="22"/>
          <w:szCs w:val="22"/>
        </w:rPr>
        <w:tab/>
        <w:t>Schedule</w:t>
      </w:r>
      <w:r w:rsidR="00E12D7B">
        <w:rPr>
          <w:sz w:val="22"/>
          <w:szCs w:val="22"/>
        </w:rPr>
        <w:t>s</w:t>
      </w:r>
      <w:r w:rsidRPr="008B3A00">
        <w:rPr>
          <w:sz w:val="22"/>
          <w:szCs w:val="22"/>
        </w:rPr>
        <w:t xml:space="preserve"> 41</w:t>
      </w:r>
      <w:r w:rsidR="00E12D7B">
        <w:rPr>
          <w:sz w:val="22"/>
          <w:szCs w:val="22"/>
        </w:rPr>
        <w:t xml:space="preserve"> &amp; </w:t>
      </w:r>
      <w:proofErr w:type="spellStart"/>
      <w:r w:rsidR="00E12D7B">
        <w:rPr>
          <w:sz w:val="22"/>
          <w:szCs w:val="22"/>
        </w:rPr>
        <w:t>41T</w:t>
      </w:r>
      <w:proofErr w:type="spellEnd"/>
      <w:r w:rsidR="00E12D7B">
        <w:rPr>
          <w:sz w:val="22"/>
          <w:szCs w:val="22"/>
        </w:rPr>
        <w:t xml:space="preserve"> – Large Volume</w:t>
      </w:r>
      <w:r w:rsidR="00E12D7B">
        <w:rPr>
          <w:sz w:val="22"/>
          <w:szCs w:val="22"/>
        </w:rPr>
        <w:tab/>
      </w:r>
      <w:r w:rsidR="00E12D7B">
        <w:rPr>
          <w:sz w:val="22"/>
          <w:szCs w:val="22"/>
        </w:rPr>
        <w:tab/>
      </w:r>
      <w:r w:rsidR="00E12D7B">
        <w:rPr>
          <w:sz w:val="22"/>
          <w:szCs w:val="22"/>
        </w:rPr>
        <w:tab/>
      </w:r>
      <w:r w:rsidR="00E12D7B">
        <w:rPr>
          <w:sz w:val="22"/>
          <w:szCs w:val="22"/>
        </w:rPr>
        <w:tab/>
      </w:r>
      <w:r w:rsidR="00400BA2" w:rsidRPr="008B3A00">
        <w:rPr>
          <w:sz w:val="22"/>
          <w:szCs w:val="22"/>
        </w:rPr>
        <w:t>0.1</w:t>
      </w:r>
      <w:r w:rsidR="00E12D7B">
        <w:rPr>
          <w:sz w:val="22"/>
          <w:szCs w:val="22"/>
        </w:rPr>
        <w:t>6</w:t>
      </w:r>
      <w:r w:rsidR="0025065F" w:rsidRPr="008B3A00">
        <w:rPr>
          <w:sz w:val="22"/>
          <w:szCs w:val="22"/>
        </w:rPr>
        <w:t>% decrease</w:t>
      </w:r>
    </w:p>
    <w:p w:rsidR="006A22F6" w:rsidRPr="008B3A00" w:rsidRDefault="008B3A00" w:rsidP="006A22F6">
      <w:pPr>
        <w:ind w:firstLine="720"/>
        <w:rPr>
          <w:sz w:val="22"/>
          <w:szCs w:val="22"/>
        </w:rPr>
      </w:pPr>
      <w:r w:rsidRPr="008B3A00">
        <w:rPr>
          <w:sz w:val="22"/>
          <w:szCs w:val="22"/>
        </w:rPr>
        <w:t>Schedule</w:t>
      </w:r>
      <w:r w:rsidR="00E12D7B">
        <w:rPr>
          <w:sz w:val="22"/>
          <w:szCs w:val="22"/>
        </w:rPr>
        <w:t>s</w:t>
      </w:r>
      <w:r w:rsidRPr="008B3A00">
        <w:rPr>
          <w:sz w:val="22"/>
          <w:szCs w:val="22"/>
        </w:rPr>
        <w:t xml:space="preserve"> 85</w:t>
      </w:r>
      <w:r w:rsidR="00E12D7B">
        <w:rPr>
          <w:sz w:val="22"/>
          <w:szCs w:val="22"/>
        </w:rPr>
        <w:t xml:space="preserve"> &amp; </w:t>
      </w:r>
      <w:proofErr w:type="spellStart"/>
      <w:r w:rsidR="00E12D7B">
        <w:rPr>
          <w:sz w:val="22"/>
          <w:szCs w:val="22"/>
        </w:rPr>
        <w:t>85T</w:t>
      </w:r>
      <w:proofErr w:type="spellEnd"/>
      <w:r w:rsidR="006A22F6" w:rsidRPr="008B3A00">
        <w:rPr>
          <w:sz w:val="22"/>
          <w:szCs w:val="22"/>
        </w:rPr>
        <w:t xml:space="preserve"> – Interruptible with Firm Option</w:t>
      </w:r>
      <w:r w:rsidR="006A22F6" w:rsidRPr="008B3A00">
        <w:rPr>
          <w:sz w:val="22"/>
          <w:szCs w:val="22"/>
        </w:rPr>
        <w:tab/>
      </w:r>
      <w:r w:rsidR="006A22F6" w:rsidRPr="008B3A00">
        <w:rPr>
          <w:sz w:val="22"/>
          <w:szCs w:val="22"/>
        </w:rPr>
        <w:tab/>
      </w:r>
      <w:r w:rsidR="00E12D7B">
        <w:rPr>
          <w:sz w:val="22"/>
          <w:szCs w:val="22"/>
        </w:rPr>
        <w:t>0.09</w:t>
      </w:r>
      <w:r w:rsidR="006A22F6" w:rsidRPr="008B3A00">
        <w:rPr>
          <w:sz w:val="22"/>
          <w:szCs w:val="22"/>
        </w:rPr>
        <w:t xml:space="preserve">% </w:t>
      </w:r>
      <w:r w:rsidR="0025065F" w:rsidRPr="008B3A00">
        <w:rPr>
          <w:sz w:val="22"/>
          <w:szCs w:val="22"/>
        </w:rPr>
        <w:t>decrease</w:t>
      </w:r>
    </w:p>
    <w:p w:rsidR="006A22F6" w:rsidRPr="008B3A00" w:rsidRDefault="006A22F6" w:rsidP="006A22F6">
      <w:pPr>
        <w:ind w:firstLine="720"/>
        <w:rPr>
          <w:sz w:val="22"/>
          <w:szCs w:val="22"/>
        </w:rPr>
      </w:pPr>
      <w:r w:rsidRPr="008B3A00">
        <w:rPr>
          <w:sz w:val="22"/>
          <w:szCs w:val="22"/>
        </w:rPr>
        <w:t>Schedule</w:t>
      </w:r>
      <w:r w:rsidR="00E12D7B">
        <w:rPr>
          <w:sz w:val="22"/>
          <w:szCs w:val="22"/>
        </w:rPr>
        <w:t>s</w:t>
      </w:r>
      <w:r w:rsidRPr="008B3A00">
        <w:rPr>
          <w:sz w:val="22"/>
          <w:szCs w:val="22"/>
        </w:rPr>
        <w:t xml:space="preserve"> 86</w:t>
      </w:r>
      <w:r w:rsidR="00E12D7B">
        <w:rPr>
          <w:sz w:val="22"/>
          <w:szCs w:val="22"/>
        </w:rPr>
        <w:t xml:space="preserve"> &amp; </w:t>
      </w:r>
      <w:proofErr w:type="spellStart"/>
      <w:r w:rsidR="00E12D7B">
        <w:rPr>
          <w:sz w:val="22"/>
          <w:szCs w:val="22"/>
        </w:rPr>
        <w:t>86T</w:t>
      </w:r>
      <w:proofErr w:type="spellEnd"/>
      <w:r w:rsidR="00E12D7B">
        <w:rPr>
          <w:sz w:val="22"/>
          <w:szCs w:val="22"/>
        </w:rPr>
        <w:t xml:space="preserve"> – Limited Interruptible</w:t>
      </w:r>
      <w:r w:rsidR="00E12D7B">
        <w:rPr>
          <w:sz w:val="22"/>
          <w:szCs w:val="22"/>
        </w:rPr>
        <w:tab/>
      </w:r>
      <w:r w:rsidR="00E12D7B">
        <w:rPr>
          <w:sz w:val="22"/>
          <w:szCs w:val="22"/>
        </w:rPr>
        <w:tab/>
      </w:r>
      <w:r w:rsidR="00E12D7B">
        <w:rPr>
          <w:sz w:val="22"/>
          <w:szCs w:val="22"/>
        </w:rPr>
        <w:tab/>
        <w:t>0.41</w:t>
      </w:r>
      <w:r w:rsidR="0025065F" w:rsidRPr="008B3A00">
        <w:rPr>
          <w:sz w:val="22"/>
          <w:szCs w:val="22"/>
        </w:rPr>
        <w:t>% decrease</w:t>
      </w:r>
    </w:p>
    <w:p w:rsidR="006A22F6" w:rsidRDefault="006A22F6" w:rsidP="006A22F6">
      <w:pPr>
        <w:ind w:firstLine="720"/>
        <w:rPr>
          <w:sz w:val="22"/>
          <w:szCs w:val="22"/>
        </w:rPr>
      </w:pPr>
      <w:r w:rsidRPr="008B3A00">
        <w:rPr>
          <w:sz w:val="22"/>
          <w:szCs w:val="22"/>
        </w:rPr>
        <w:t>Schedule</w:t>
      </w:r>
      <w:r w:rsidR="00E12D7B">
        <w:rPr>
          <w:sz w:val="22"/>
          <w:szCs w:val="22"/>
        </w:rPr>
        <w:t>s</w:t>
      </w:r>
      <w:r w:rsidRPr="008B3A00">
        <w:rPr>
          <w:sz w:val="22"/>
          <w:szCs w:val="22"/>
        </w:rPr>
        <w:t xml:space="preserve"> 87</w:t>
      </w:r>
      <w:r w:rsidR="00E12D7B">
        <w:rPr>
          <w:sz w:val="22"/>
          <w:szCs w:val="22"/>
        </w:rPr>
        <w:t xml:space="preserve"> &amp; </w:t>
      </w:r>
      <w:proofErr w:type="spellStart"/>
      <w:r w:rsidR="00E12D7B">
        <w:rPr>
          <w:sz w:val="22"/>
          <w:szCs w:val="22"/>
        </w:rPr>
        <w:t>87T</w:t>
      </w:r>
      <w:proofErr w:type="spellEnd"/>
      <w:r w:rsidRPr="008B3A00">
        <w:rPr>
          <w:sz w:val="22"/>
          <w:szCs w:val="22"/>
        </w:rPr>
        <w:t xml:space="preserve"> – Non-Exclusive Interrupti</w:t>
      </w:r>
      <w:r w:rsidR="00E12D7B">
        <w:rPr>
          <w:sz w:val="22"/>
          <w:szCs w:val="22"/>
        </w:rPr>
        <w:t>ble</w:t>
      </w:r>
      <w:r w:rsidRPr="008B3A00">
        <w:rPr>
          <w:sz w:val="22"/>
          <w:szCs w:val="22"/>
        </w:rPr>
        <w:tab/>
      </w:r>
      <w:r w:rsidR="00E12D7B">
        <w:rPr>
          <w:sz w:val="22"/>
          <w:szCs w:val="22"/>
        </w:rPr>
        <w:tab/>
        <w:t>0.21</w:t>
      </w:r>
      <w:r w:rsidR="0025065F" w:rsidRPr="008B3A00">
        <w:rPr>
          <w:sz w:val="22"/>
          <w:szCs w:val="22"/>
        </w:rPr>
        <w:t>%</w:t>
      </w:r>
      <w:r w:rsidRPr="008B3A00">
        <w:rPr>
          <w:sz w:val="22"/>
          <w:szCs w:val="22"/>
        </w:rPr>
        <w:t xml:space="preserve"> increase</w:t>
      </w:r>
    </w:p>
    <w:p w:rsidR="00E12D7B" w:rsidRPr="008B3A00" w:rsidRDefault="00E12D7B" w:rsidP="006A22F6">
      <w:pPr>
        <w:ind w:firstLine="720"/>
        <w:rPr>
          <w:sz w:val="22"/>
          <w:szCs w:val="22"/>
        </w:rPr>
      </w:pPr>
    </w:p>
    <w:p w:rsidR="006A22F6" w:rsidRPr="00D56C6E" w:rsidRDefault="006A22F6" w:rsidP="006A22F6">
      <w:pPr>
        <w:rPr>
          <w:snapToGrid w:val="0"/>
          <w:sz w:val="22"/>
          <w:szCs w:val="22"/>
        </w:rPr>
      </w:pPr>
      <w:r>
        <w:rPr>
          <w:sz w:val="22"/>
          <w:szCs w:val="22"/>
        </w:rPr>
        <w:t>PSE requested these changes</w:t>
      </w:r>
      <w:r w:rsidRPr="00D56C6E">
        <w:rPr>
          <w:sz w:val="22"/>
          <w:szCs w:val="22"/>
        </w:rPr>
        <w:t xml:space="preserve"> through the existing</w:t>
      </w:r>
      <w:r w:rsidR="0025065F">
        <w:rPr>
          <w:sz w:val="22"/>
          <w:szCs w:val="22"/>
        </w:rPr>
        <w:t xml:space="preserve"> Property Tax Tracker</w:t>
      </w:r>
      <w:r>
        <w:rPr>
          <w:sz w:val="22"/>
          <w:szCs w:val="22"/>
        </w:rPr>
        <w:t xml:space="preserve"> mechanism</w:t>
      </w:r>
      <w:r w:rsidRPr="00D56C6E">
        <w:rPr>
          <w:sz w:val="22"/>
          <w:szCs w:val="22"/>
        </w:rPr>
        <w:t xml:space="preserve"> previously approved by the UTC.  The </w:t>
      </w:r>
      <w:r w:rsidRPr="00D56C6E">
        <w:rPr>
          <w:snapToGrid w:val="0"/>
          <w:sz w:val="22"/>
          <w:szCs w:val="22"/>
        </w:rPr>
        <w:t>mechanism allow</w:t>
      </w:r>
      <w:r w:rsidR="0025065F">
        <w:rPr>
          <w:snapToGrid w:val="0"/>
          <w:sz w:val="22"/>
          <w:szCs w:val="22"/>
        </w:rPr>
        <w:t>s</w:t>
      </w:r>
      <w:r w:rsidRPr="00D56C6E">
        <w:rPr>
          <w:snapToGrid w:val="0"/>
          <w:sz w:val="22"/>
          <w:szCs w:val="22"/>
        </w:rPr>
        <w:t xml:space="preserve"> PSE to periodically adjust its </w:t>
      </w:r>
      <w:r>
        <w:rPr>
          <w:snapToGrid w:val="0"/>
          <w:sz w:val="22"/>
          <w:szCs w:val="22"/>
        </w:rPr>
        <w:t>natural gas</w:t>
      </w:r>
      <w:r w:rsidRPr="00D56C6E">
        <w:rPr>
          <w:snapToGrid w:val="0"/>
          <w:sz w:val="22"/>
          <w:szCs w:val="22"/>
        </w:rPr>
        <w:t xml:space="preserve"> </w:t>
      </w:r>
      <w:r>
        <w:rPr>
          <w:snapToGrid w:val="0"/>
          <w:sz w:val="22"/>
          <w:szCs w:val="22"/>
        </w:rPr>
        <w:t>rates to reflect changes in actual costs</w:t>
      </w:r>
      <w:r w:rsidR="0025065F">
        <w:rPr>
          <w:snapToGrid w:val="0"/>
          <w:sz w:val="22"/>
          <w:szCs w:val="22"/>
        </w:rPr>
        <w:t xml:space="preserve"> and projected loads</w:t>
      </w:r>
      <w:r w:rsidRPr="00D56C6E">
        <w:rPr>
          <w:snapToGrid w:val="0"/>
          <w:sz w:val="22"/>
          <w:szCs w:val="22"/>
        </w:rPr>
        <w:t xml:space="preserve">. </w:t>
      </w:r>
    </w:p>
    <w:p w:rsidR="006A22F6" w:rsidRPr="00D56C6E" w:rsidRDefault="006A22F6" w:rsidP="006A22F6">
      <w:pPr>
        <w:rPr>
          <w:snapToGrid w:val="0"/>
          <w:sz w:val="22"/>
          <w:szCs w:val="22"/>
        </w:rPr>
      </w:pPr>
    </w:p>
    <w:p w:rsidR="006A22F6" w:rsidRPr="00D56C6E" w:rsidRDefault="006A22F6" w:rsidP="006A22F6">
      <w:pPr>
        <w:rPr>
          <w:snapToGrid w:val="0"/>
          <w:sz w:val="22"/>
          <w:szCs w:val="22"/>
        </w:rPr>
      </w:pPr>
      <w:r w:rsidRPr="00D56C6E">
        <w:rPr>
          <w:snapToGrid w:val="0"/>
          <w:sz w:val="22"/>
          <w:szCs w:val="22"/>
        </w:rPr>
        <w:t>The UTC has the authority to set final rates that may vary from PSE’s request</w:t>
      </w:r>
      <w:r>
        <w:rPr>
          <w:snapToGrid w:val="0"/>
          <w:sz w:val="22"/>
          <w:szCs w:val="22"/>
        </w:rPr>
        <w:t>s</w:t>
      </w:r>
      <w:r w:rsidRPr="00D56C6E">
        <w:rPr>
          <w:snapToGrid w:val="0"/>
          <w:sz w:val="22"/>
          <w:szCs w:val="22"/>
        </w:rPr>
        <w:t xml:space="preserve">, either higher or lower or structured differently depending on the results of its </w:t>
      </w:r>
      <w:r>
        <w:rPr>
          <w:snapToGrid w:val="0"/>
          <w:sz w:val="22"/>
          <w:szCs w:val="22"/>
        </w:rPr>
        <w:t>review</w:t>
      </w:r>
      <w:r w:rsidRPr="00D56C6E">
        <w:rPr>
          <w:snapToGrid w:val="0"/>
          <w:sz w:val="22"/>
          <w:szCs w:val="22"/>
        </w:rPr>
        <w:t>.</w:t>
      </w:r>
    </w:p>
    <w:p w:rsidR="006A22F6" w:rsidRDefault="006A22F6" w:rsidP="006A22F6">
      <w:pPr>
        <w:rPr>
          <w:snapToGrid w:val="0"/>
          <w:sz w:val="22"/>
          <w:szCs w:val="22"/>
        </w:rPr>
      </w:pPr>
    </w:p>
    <w:p w:rsidR="006A22F6" w:rsidRPr="000F3A09" w:rsidRDefault="006A22F6" w:rsidP="006A22F6">
      <w:pPr>
        <w:rPr>
          <w:b/>
          <w:snapToGrid w:val="0"/>
          <w:sz w:val="22"/>
          <w:szCs w:val="22"/>
        </w:rPr>
      </w:pPr>
      <w:r w:rsidRPr="000F3A09">
        <w:rPr>
          <w:b/>
          <w:snapToGrid w:val="0"/>
          <w:sz w:val="22"/>
          <w:szCs w:val="22"/>
        </w:rPr>
        <w:t>Comments or questions on proposal</w:t>
      </w:r>
      <w:r>
        <w:rPr>
          <w:b/>
          <w:snapToGrid w:val="0"/>
          <w:sz w:val="22"/>
          <w:szCs w:val="22"/>
        </w:rPr>
        <w:t>s</w:t>
      </w:r>
      <w:r w:rsidRPr="000F3A09">
        <w:rPr>
          <w:b/>
          <w:snapToGrid w:val="0"/>
          <w:sz w:val="22"/>
          <w:szCs w:val="22"/>
        </w:rPr>
        <w:t xml:space="preserve">: </w:t>
      </w:r>
    </w:p>
    <w:p w:rsidR="006A22F6" w:rsidRPr="00901699" w:rsidRDefault="006A22F6" w:rsidP="006A22F6">
      <w:pPr>
        <w:pStyle w:val="BodyText"/>
        <w:rPr>
          <w:snapToGrid w:val="0"/>
          <w:color w:val="auto"/>
          <w:sz w:val="22"/>
          <w:szCs w:val="22"/>
        </w:rPr>
      </w:pPr>
      <w:r>
        <w:rPr>
          <w:snapToGrid w:val="0"/>
          <w:color w:val="auto"/>
          <w:sz w:val="22"/>
          <w:szCs w:val="22"/>
        </w:rPr>
        <w:t>PSE customers</w:t>
      </w:r>
      <w:r w:rsidRPr="00D56C6E">
        <w:rPr>
          <w:snapToGrid w:val="0"/>
          <w:color w:val="auto"/>
          <w:sz w:val="22"/>
          <w:szCs w:val="22"/>
        </w:rPr>
        <w:t xml:space="preserve"> may submit comments to the UTC about th</w:t>
      </w:r>
      <w:r>
        <w:rPr>
          <w:snapToGrid w:val="0"/>
          <w:color w:val="auto"/>
          <w:sz w:val="22"/>
          <w:szCs w:val="22"/>
        </w:rPr>
        <w:t>is</w:t>
      </w:r>
      <w:r w:rsidRPr="00D56C6E">
        <w:rPr>
          <w:snapToGrid w:val="0"/>
          <w:color w:val="auto"/>
          <w:sz w:val="22"/>
          <w:szCs w:val="22"/>
        </w:rPr>
        <w:t xml:space="preserve"> proposal by</w:t>
      </w:r>
      <w:r>
        <w:rPr>
          <w:snapToGrid w:val="0"/>
          <w:color w:val="auto"/>
          <w:sz w:val="22"/>
          <w:szCs w:val="22"/>
        </w:rPr>
        <w:t xml:space="preserve"> using the online comment form at </w:t>
      </w:r>
      <w:hyperlink r:id="rId9" w:history="1">
        <w:r w:rsidRPr="006A2666">
          <w:rPr>
            <w:rStyle w:val="Hyperlink"/>
            <w:snapToGrid w:val="0"/>
            <w:sz w:val="22"/>
            <w:szCs w:val="22"/>
          </w:rPr>
          <w:t>http://www.utc.wa.gov/comment</w:t>
        </w:r>
      </w:hyperlink>
      <w:r>
        <w:rPr>
          <w:snapToGrid w:val="0"/>
          <w:color w:val="auto"/>
          <w:sz w:val="22"/>
          <w:szCs w:val="22"/>
        </w:rPr>
        <w:t xml:space="preserve">; </w:t>
      </w:r>
      <w:r w:rsidRPr="00D56C6E">
        <w:rPr>
          <w:snapToGrid w:val="0"/>
          <w:color w:val="auto"/>
          <w:sz w:val="22"/>
          <w:szCs w:val="22"/>
        </w:rPr>
        <w:t>e-mail</w:t>
      </w:r>
      <w:r>
        <w:rPr>
          <w:snapToGrid w:val="0"/>
          <w:color w:val="auto"/>
          <w:sz w:val="22"/>
          <w:szCs w:val="22"/>
        </w:rPr>
        <w:t>ing to</w:t>
      </w:r>
      <w:r w:rsidRPr="00D56C6E">
        <w:rPr>
          <w:snapToGrid w:val="0"/>
          <w:color w:val="auto"/>
          <w:sz w:val="22"/>
          <w:szCs w:val="22"/>
        </w:rPr>
        <w:t xml:space="preserve"> </w:t>
      </w:r>
      <w:hyperlink r:id="rId10" w:history="1">
        <w:r w:rsidRPr="006A2666">
          <w:rPr>
            <w:rStyle w:val="Hyperlink"/>
            <w:snapToGrid w:val="0"/>
            <w:sz w:val="22"/>
            <w:szCs w:val="22"/>
          </w:rPr>
          <w:t>comments@utc.wa.gov</w:t>
        </w:r>
      </w:hyperlink>
      <w:r>
        <w:rPr>
          <w:snapToGrid w:val="0"/>
          <w:color w:val="auto"/>
          <w:sz w:val="22"/>
          <w:szCs w:val="22"/>
        </w:rPr>
        <w:t xml:space="preserve">; </w:t>
      </w:r>
      <w:r w:rsidRPr="00D56C6E">
        <w:rPr>
          <w:snapToGrid w:val="0"/>
          <w:color w:val="auto"/>
          <w:sz w:val="22"/>
          <w:szCs w:val="22"/>
        </w:rPr>
        <w:t xml:space="preserve">faxing </w:t>
      </w:r>
      <w:r>
        <w:rPr>
          <w:snapToGrid w:val="0"/>
          <w:color w:val="auto"/>
          <w:sz w:val="22"/>
          <w:szCs w:val="22"/>
        </w:rPr>
        <w:t xml:space="preserve">to 360-664-4291; </w:t>
      </w:r>
      <w:r w:rsidRPr="00D56C6E">
        <w:rPr>
          <w:snapToGrid w:val="0"/>
          <w:color w:val="auto"/>
          <w:sz w:val="22"/>
          <w:szCs w:val="22"/>
        </w:rPr>
        <w:t>or mailing your comments to the UTC at: P.O. Box 47250, Olympia, WA, 98504</w:t>
      </w:r>
      <w:r>
        <w:rPr>
          <w:snapToGrid w:val="0"/>
          <w:color w:val="auto"/>
          <w:sz w:val="22"/>
          <w:szCs w:val="22"/>
        </w:rPr>
        <w:t>.</w:t>
      </w:r>
      <w:r w:rsidRPr="00D56C6E">
        <w:rPr>
          <w:snapToGrid w:val="0"/>
          <w:color w:val="auto"/>
          <w:sz w:val="22"/>
          <w:szCs w:val="22"/>
        </w:rPr>
        <w:t xml:space="preserve"> </w:t>
      </w:r>
      <w:r>
        <w:rPr>
          <w:snapToGrid w:val="0"/>
          <w:color w:val="auto"/>
          <w:sz w:val="22"/>
          <w:szCs w:val="22"/>
        </w:rPr>
        <w:t xml:space="preserve"> </w:t>
      </w:r>
      <w:r w:rsidRPr="00D56C6E">
        <w:rPr>
          <w:snapToGrid w:val="0"/>
          <w:color w:val="auto"/>
          <w:sz w:val="22"/>
          <w:szCs w:val="22"/>
        </w:rPr>
        <w:t xml:space="preserve">If you write, include your name and mailing address, the name of </w:t>
      </w:r>
      <w:r>
        <w:rPr>
          <w:snapToGrid w:val="0"/>
          <w:color w:val="auto"/>
          <w:sz w:val="22"/>
          <w:szCs w:val="22"/>
        </w:rPr>
        <w:t xml:space="preserve">the company (PSE), and </w:t>
      </w:r>
      <w:r w:rsidR="0025065F">
        <w:rPr>
          <w:snapToGrid w:val="0"/>
          <w:color w:val="auto"/>
          <w:sz w:val="22"/>
          <w:szCs w:val="22"/>
        </w:rPr>
        <w:t>specify that your comments pertain to Advice No. 2015-10</w:t>
      </w:r>
      <w:r>
        <w:rPr>
          <w:snapToGrid w:val="0"/>
          <w:color w:val="auto"/>
          <w:sz w:val="22"/>
          <w:szCs w:val="22"/>
        </w:rPr>
        <w:t xml:space="preserve"> for natural gas property tax.  You may also ask questions of the UTC and request that the UTC notify you of the open meeting at which these proposals will be considered by the Commission.  </w:t>
      </w:r>
      <w:r w:rsidRPr="00901699">
        <w:rPr>
          <w:color w:val="auto"/>
          <w:sz w:val="22"/>
          <w:szCs w:val="22"/>
        </w:rPr>
        <w:t xml:space="preserve">The UTC is committed to providing reasonable accommodation to participants with disabilities. If you need reasonable accommodation, please contact the commission at (360) 664-1132 or </w:t>
      </w:r>
      <w:hyperlink r:id="rId11" w:history="1">
        <w:r w:rsidRPr="00901699">
          <w:rPr>
            <w:rStyle w:val="Hyperlink"/>
            <w:color w:val="auto"/>
            <w:sz w:val="22"/>
            <w:szCs w:val="22"/>
          </w:rPr>
          <w:t>human_resources@utc.wa.gov</w:t>
        </w:r>
      </w:hyperlink>
      <w:r>
        <w:rPr>
          <w:color w:val="auto"/>
          <w:sz w:val="22"/>
          <w:szCs w:val="22"/>
        </w:rPr>
        <w:t>.</w:t>
      </w:r>
    </w:p>
    <w:p w:rsidR="006A22F6" w:rsidRPr="00901699" w:rsidRDefault="006A22F6" w:rsidP="006A22F6">
      <w:pPr>
        <w:pStyle w:val="BodyText"/>
        <w:rPr>
          <w:snapToGrid w:val="0"/>
          <w:color w:val="auto"/>
          <w:sz w:val="22"/>
          <w:szCs w:val="22"/>
        </w:rPr>
      </w:pPr>
    </w:p>
    <w:p w:rsidR="006A22F6" w:rsidRPr="00D56C6E" w:rsidRDefault="006A22F6" w:rsidP="006A22F6">
      <w:pPr>
        <w:pStyle w:val="BodyText"/>
        <w:rPr>
          <w:snapToGrid w:val="0"/>
          <w:color w:val="auto"/>
          <w:sz w:val="22"/>
          <w:szCs w:val="22"/>
        </w:rPr>
      </w:pPr>
      <w:r w:rsidRPr="00D56C6E">
        <w:rPr>
          <w:snapToGrid w:val="0"/>
          <w:color w:val="auto"/>
          <w:sz w:val="22"/>
          <w:szCs w:val="22"/>
        </w:rPr>
        <w:lastRenderedPageBreak/>
        <w:t xml:space="preserve">The public, including residential and small business customers, is represented by the Public Counsel Section of the Washington State Attorney General’s office.  You can reach the Public Counsel Section by writing to Public Counsel, Assistant Attorney General, </w:t>
      </w:r>
      <w:smartTag w:uri="urn:schemas-microsoft-com:office:smarttags" w:element="address">
        <w:smartTag w:uri="urn:schemas-microsoft-com:office:smarttags" w:element="Street">
          <w:r w:rsidRPr="00D56C6E">
            <w:rPr>
              <w:snapToGrid w:val="0"/>
              <w:color w:val="auto"/>
              <w:sz w:val="22"/>
              <w:szCs w:val="22"/>
            </w:rPr>
            <w:t>800 5</w:t>
          </w:r>
          <w:r w:rsidRPr="00D56C6E">
            <w:rPr>
              <w:snapToGrid w:val="0"/>
              <w:color w:val="auto"/>
              <w:sz w:val="22"/>
              <w:szCs w:val="22"/>
              <w:vertAlign w:val="superscript"/>
            </w:rPr>
            <w:t>th</w:t>
          </w:r>
          <w:r w:rsidRPr="00D56C6E">
            <w:rPr>
              <w:snapToGrid w:val="0"/>
              <w:color w:val="auto"/>
              <w:sz w:val="22"/>
              <w:szCs w:val="22"/>
            </w:rPr>
            <w:t xml:space="preserve"> Avenue, Suite 2000</w:t>
          </w:r>
        </w:smartTag>
        <w:r w:rsidRPr="00D56C6E">
          <w:rPr>
            <w:snapToGrid w:val="0"/>
            <w:color w:val="auto"/>
            <w:sz w:val="22"/>
            <w:szCs w:val="22"/>
          </w:rPr>
          <w:t xml:space="preserve">, </w:t>
        </w:r>
        <w:smartTag w:uri="urn:schemas-microsoft-com:office:smarttags" w:element="City">
          <w:r w:rsidRPr="00D56C6E">
            <w:rPr>
              <w:snapToGrid w:val="0"/>
              <w:color w:val="auto"/>
              <w:sz w:val="22"/>
              <w:szCs w:val="22"/>
            </w:rPr>
            <w:t>Seattle</w:t>
          </w:r>
        </w:smartTag>
        <w:r w:rsidRPr="00D56C6E">
          <w:rPr>
            <w:snapToGrid w:val="0"/>
            <w:color w:val="auto"/>
            <w:sz w:val="22"/>
            <w:szCs w:val="22"/>
          </w:rPr>
          <w:t xml:space="preserve">, </w:t>
        </w:r>
        <w:smartTag w:uri="urn:schemas-microsoft-com:office:smarttags" w:element="State">
          <w:r w:rsidRPr="00D56C6E">
            <w:rPr>
              <w:snapToGrid w:val="0"/>
              <w:color w:val="auto"/>
              <w:sz w:val="22"/>
              <w:szCs w:val="22"/>
            </w:rPr>
            <w:t>WA</w:t>
          </w:r>
        </w:smartTag>
        <w:r w:rsidRPr="00D56C6E">
          <w:rPr>
            <w:snapToGrid w:val="0"/>
            <w:color w:val="auto"/>
            <w:sz w:val="22"/>
            <w:szCs w:val="22"/>
          </w:rPr>
          <w:t xml:space="preserve"> </w:t>
        </w:r>
        <w:smartTag w:uri="urn:schemas-microsoft-com:office:smarttags" w:element="PostalCode">
          <w:r w:rsidRPr="00D56C6E">
            <w:rPr>
              <w:snapToGrid w:val="0"/>
              <w:color w:val="auto"/>
              <w:sz w:val="22"/>
              <w:szCs w:val="22"/>
            </w:rPr>
            <w:t>98104-3188</w:t>
          </w:r>
        </w:smartTag>
      </w:smartTag>
      <w:r w:rsidRPr="00D56C6E">
        <w:rPr>
          <w:snapToGrid w:val="0"/>
          <w:color w:val="auto"/>
          <w:sz w:val="22"/>
          <w:szCs w:val="22"/>
        </w:rPr>
        <w:t>, or by e-mail at utility@atg.wa.gov.</w:t>
      </w:r>
    </w:p>
    <w:p w:rsidR="006A22F6" w:rsidRPr="00D56C6E" w:rsidRDefault="006A22F6" w:rsidP="006A22F6">
      <w:pPr>
        <w:rPr>
          <w:snapToGrid w:val="0"/>
          <w:sz w:val="22"/>
          <w:szCs w:val="22"/>
        </w:rPr>
      </w:pPr>
    </w:p>
    <w:p w:rsidR="00400BA2" w:rsidRPr="00400BA2" w:rsidRDefault="006A22F6" w:rsidP="00400BA2">
      <w:pPr>
        <w:rPr>
          <w:snapToGrid w:val="0"/>
          <w:sz w:val="22"/>
          <w:szCs w:val="22"/>
        </w:rPr>
      </w:pPr>
      <w:r w:rsidRPr="00D56C6E">
        <w:rPr>
          <w:snapToGrid w:val="0"/>
          <w:sz w:val="22"/>
          <w:szCs w:val="22"/>
        </w:rPr>
        <w:t>If you have questions or comments for PSE about th</w:t>
      </w:r>
      <w:r w:rsidR="0025065F">
        <w:rPr>
          <w:snapToGrid w:val="0"/>
          <w:sz w:val="22"/>
          <w:szCs w:val="22"/>
        </w:rPr>
        <w:t>is</w:t>
      </w:r>
      <w:r w:rsidRPr="00D56C6E">
        <w:rPr>
          <w:snapToGrid w:val="0"/>
          <w:sz w:val="22"/>
          <w:szCs w:val="22"/>
        </w:rPr>
        <w:t xml:space="preserve"> proposal, you may submit those questions or comments by mailing, e-mailing or calling PSE at:  Puget Sound Energy, ATTN: Customer Service, P.O. Box 90868, Bellevue, WA 98009-0868, by e-mail at customercare@pse.com or by telephone at 1-888-225-5773.  Additional information about the </w:t>
      </w:r>
      <w:r>
        <w:rPr>
          <w:snapToGrid w:val="0"/>
          <w:sz w:val="22"/>
          <w:szCs w:val="22"/>
        </w:rPr>
        <w:t xml:space="preserve">natural gas </w:t>
      </w:r>
      <w:r w:rsidRPr="00D56C6E">
        <w:rPr>
          <w:snapToGrid w:val="0"/>
          <w:sz w:val="22"/>
          <w:szCs w:val="22"/>
        </w:rPr>
        <w:t xml:space="preserve">filing is available at </w:t>
      </w:r>
      <w:hyperlink r:id="rId12" w:history="1">
        <w:r w:rsidRPr="00D56C6E">
          <w:rPr>
            <w:rStyle w:val="Hyperlink"/>
            <w:color w:val="auto"/>
            <w:sz w:val="22"/>
            <w:szCs w:val="22"/>
          </w:rPr>
          <w:t>www.pse.com</w:t>
        </w:r>
      </w:hyperlink>
      <w:r w:rsidRPr="00D56C6E">
        <w:rPr>
          <w:snapToGrid w:val="0"/>
          <w:sz w:val="22"/>
          <w:szCs w:val="22"/>
        </w:rPr>
        <w:t>.</w:t>
      </w:r>
    </w:p>
    <w:p w:rsidR="00400BA2" w:rsidRPr="00B84DB4" w:rsidRDefault="00400BA2" w:rsidP="00400BA2">
      <w:pPr>
        <w:pStyle w:val="BodyText"/>
        <w:rPr>
          <w:szCs w:val="24"/>
        </w:rPr>
      </w:pPr>
    </w:p>
    <w:p w:rsidR="00400BA2" w:rsidRPr="0012097E" w:rsidRDefault="00400BA2" w:rsidP="00400BA2">
      <w:pPr>
        <w:ind w:left="3600" w:firstLine="720"/>
        <w:rPr>
          <w:sz w:val="24"/>
          <w:szCs w:val="24"/>
        </w:rPr>
      </w:pPr>
      <w:r>
        <w:rPr>
          <w:sz w:val="24"/>
          <w:szCs w:val="24"/>
        </w:rPr>
        <w:t>Sincerely</w:t>
      </w:r>
      <w:r w:rsidRPr="0012097E">
        <w:rPr>
          <w:sz w:val="24"/>
          <w:szCs w:val="24"/>
        </w:rPr>
        <w:t>,</w:t>
      </w:r>
    </w:p>
    <w:p w:rsidR="00400BA2" w:rsidRPr="0012097E" w:rsidRDefault="00400BA2" w:rsidP="00400BA2">
      <w:pPr>
        <w:rPr>
          <w:sz w:val="24"/>
          <w:szCs w:val="24"/>
        </w:rPr>
      </w:pPr>
    </w:p>
    <w:p w:rsidR="00400BA2" w:rsidRDefault="00400BA2" w:rsidP="00400BA2">
      <w:pPr>
        <w:rPr>
          <w:sz w:val="24"/>
          <w:szCs w:val="24"/>
        </w:rPr>
      </w:pPr>
    </w:p>
    <w:p w:rsidR="00400BA2" w:rsidRPr="0012097E" w:rsidRDefault="00400BA2" w:rsidP="00400BA2">
      <w:pPr>
        <w:rPr>
          <w:sz w:val="24"/>
          <w:szCs w:val="24"/>
        </w:rPr>
      </w:pPr>
    </w:p>
    <w:p w:rsidR="00400BA2" w:rsidRPr="0012097E" w:rsidRDefault="00400BA2" w:rsidP="00400BA2">
      <w:pPr>
        <w:ind w:left="3600" w:firstLine="720"/>
        <w:outlineLvl w:val="0"/>
        <w:rPr>
          <w:sz w:val="24"/>
          <w:szCs w:val="24"/>
        </w:rPr>
      </w:pPr>
      <w:r>
        <w:rPr>
          <w:sz w:val="24"/>
          <w:szCs w:val="24"/>
        </w:rPr>
        <w:t>Ken Johnson</w:t>
      </w:r>
    </w:p>
    <w:p w:rsidR="00400BA2" w:rsidRPr="0012097E" w:rsidRDefault="00400BA2" w:rsidP="00400BA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Director, </w:t>
      </w:r>
      <w:r w:rsidRPr="0012097E">
        <w:rPr>
          <w:sz w:val="24"/>
          <w:szCs w:val="24"/>
        </w:rPr>
        <w:t>State Regulatory Affairs</w:t>
      </w:r>
    </w:p>
    <w:p w:rsidR="00D35172" w:rsidRPr="00D56C6E" w:rsidRDefault="00D35172" w:rsidP="006A22F6">
      <w:pPr>
        <w:rPr>
          <w:snapToGrid w:val="0"/>
          <w:sz w:val="22"/>
          <w:szCs w:val="22"/>
        </w:rPr>
      </w:pPr>
    </w:p>
    <w:p w:rsidR="006A22F6" w:rsidRDefault="006A22F6"/>
    <w:sectPr w:rsidR="006A22F6" w:rsidSect="00E9168D">
      <w:headerReference w:type="even"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BA2" w:rsidRDefault="00400BA2" w:rsidP="00400BA2">
      <w:r>
        <w:separator/>
      </w:r>
    </w:p>
  </w:endnote>
  <w:endnote w:type="continuationSeparator" w:id="0">
    <w:p w:rsidR="00400BA2" w:rsidRDefault="00400BA2" w:rsidP="0040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BA2" w:rsidRDefault="00400BA2" w:rsidP="00400BA2">
      <w:r>
        <w:separator/>
      </w:r>
    </w:p>
  </w:footnote>
  <w:footnote w:type="continuationSeparator" w:id="0">
    <w:p w:rsidR="00400BA2" w:rsidRDefault="00400BA2" w:rsidP="00400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BA2" w:rsidRDefault="00400BA2" w:rsidP="00400BA2">
    <w:pPr>
      <w:pStyle w:val="Header"/>
    </w:pPr>
  </w:p>
  <w:p w:rsidR="00400BA2" w:rsidRPr="00400BA2" w:rsidRDefault="00650215" w:rsidP="00400BA2">
    <w:pPr>
      <w:pStyle w:val="Header"/>
      <w:tabs>
        <w:tab w:val="clear" w:pos="4680"/>
        <w:tab w:val="clear" w:pos="9360"/>
        <w:tab w:val="left" w:pos="2508"/>
      </w:tabs>
      <w:rPr>
        <w:bCs/>
        <w:sz w:val="24"/>
        <w:szCs w:val="24"/>
      </w:rPr>
    </w:pPr>
    <w:r>
      <w:rPr>
        <w:bCs/>
        <w:sz w:val="24"/>
        <w:szCs w:val="24"/>
      </w:rPr>
      <w:t>May 1</w:t>
    </w:r>
    <w:r w:rsidR="00400BA2" w:rsidRPr="00400BA2">
      <w:rPr>
        <w:bCs/>
        <w:sz w:val="24"/>
        <w:szCs w:val="24"/>
      </w:rPr>
      <w:t>, 2015</w:t>
    </w:r>
    <w:r w:rsidR="00400BA2">
      <w:rPr>
        <w:bCs/>
        <w:sz w:val="24"/>
        <w:szCs w:val="24"/>
      </w:rPr>
      <w:tab/>
    </w:r>
  </w:p>
  <w:p w:rsidR="00400BA2" w:rsidRPr="00400BA2" w:rsidRDefault="00400BA2" w:rsidP="00400BA2">
    <w:pPr>
      <w:pStyle w:val="Header"/>
    </w:pPr>
    <w:r w:rsidRPr="00400BA2">
      <w:rPr>
        <w:bCs/>
        <w:sz w:val="24"/>
        <w:szCs w:val="24"/>
      </w:rPr>
      <w:t>Page 2 of 2</w:t>
    </w:r>
  </w:p>
  <w:p w:rsidR="00400BA2" w:rsidRDefault="00400BA2" w:rsidP="00400BA2">
    <w:pPr>
      <w:pStyle w:val="Header"/>
    </w:pPr>
  </w:p>
  <w:p w:rsidR="00400BA2" w:rsidRDefault="00400B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2F6"/>
    <w:rsid w:val="0025065F"/>
    <w:rsid w:val="00400BA2"/>
    <w:rsid w:val="00485DAD"/>
    <w:rsid w:val="004C33A0"/>
    <w:rsid w:val="00650215"/>
    <w:rsid w:val="006A22F6"/>
    <w:rsid w:val="007D1EA7"/>
    <w:rsid w:val="00866858"/>
    <w:rsid w:val="008865CE"/>
    <w:rsid w:val="008B3A00"/>
    <w:rsid w:val="00C568B5"/>
    <w:rsid w:val="00D35172"/>
    <w:rsid w:val="00D43EF1"/>
    <w:rsid w:val="00E12D7B"/>
    <w:rsid w:val="00E5361C"/>
    <w:rsid w:val="00E91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F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A22F6"/>
    <w:pPr>
      <w:keepNext/>
      <w:ind w:left="3600" w:firstLine="72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22F6"/>
    <w:rPr>
      <w:color w:val="0000FF"/>
      <w:sz w:val="24"/>
    </w:rPr>
  </w:style>
  <w:style w:type="character" w:customStyle="1" w:styleId="BodyTextChar">
    <w:name w:val="Body Text Char"/>
    <w:basedOn w:val="DefaultParagraphFont"/>
    <w:link w:val="BodyText"/>
    <w:rsid w:val="006A22F6"/>
    <w:rPr>
      <w:rFonts w:ascii="Times New Roman" w:eastAsia="Times New Roman" w:hAnsi="Times New Roman" w:cs="Times New Roman"/>
      <w:color w:val="0000FF"/>
      <w:sz w:val="24"/>
      <w:szCs w:val="20"/>
    </w:rPr>
  </w:style>
  <w:style w:type="character" w:styleId="Hyperlink">
    <w:name w:val="Hyperlink"/>
    <w:basedOn w:val="DefaultParagraphFont"/>
    <w:rsid w:val="006A22F6"/>
    <w:rPr>
      <w:color w:val="0000FF"/>
      <w:u w:val="single"/>
    </w:rPr>
  </w:style>
  <w:style w:type="character" w:customStyle="1" w:styleId="Heading1Char">
    <w:name w:val="Heading 1 Char"/>
    <w:basedOn w:val="DefaultParagraphFont"/>
    <w:link w:val="Heading1"/>
    <w:rsid w:val="006A22F6"/>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00BA2"/>
    <w:pPr>
      <w:tabs>
        <w:tab w:val="center" w:pos="4680"/>
        <w:tab w:val="right" w:pos="9360"/>
      </w:tabs>
    </w:pPr>
  </w:style>
  <w:style w:type="character" w:customStyle="1" w:styleId="HeaderChar">
    <w:name w:val="Header Char"/>
    <w:basedOn w:val="DefaultParagraphFont"/>
    <w:link w:val="Header"/>
    <w:uiPriority w:val="99"/>
    <w:rsid w:val="00400BA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00BA2"/>
    <w:pPr>
      <w:tabs>
        <w:tab w:val="center" w:pos="4680"/>
        <w:tab w:val="right" w:pos="9360"/>
      </w:tabs>
    </w:pPr>
  </w:style>
  <w:style w:type="character" w:customStyle="1" w:styleId="FooterChar">
    <w:name w:val="Footer Char"/>
    <w:basedOn w:val="DefaultParagraphFont"/>
    <w:link w:val="Footer"/>
    <w:uiPriority w:val="99"/>
    <w:rsid w:val="00400BA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00BA2"/>
    <w:rPr>
      <w:rFonts w:ascii="Tahoma" w:hAnsi="Tahoma" w:cs="Tahoma"/>
      <w:sz w:val="16"/>
      <w:szCs w:val="16"/>
    </w:rPr>
  </w:style>
  <w:style w:type="character" w:customStyle="1" w:styleId="BalloonTextChar">
    <w:name w:val="Balloon Text Char"/>
    <w:basedOn w:val="DefaultParagraphFont"/>
    <w:link w:val="BalloonText"/>
    <w:uiPriority w:val="99"/>
    <w:semiHidden/>
    <w:rsid w:val="00400BA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F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A22F6"/>
    <w:pPr>
      <w:keepNext/>
      <w:ind w:left="3600" w:firstLine="72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22F6"/>
    <w:rPr>
      <w:color w:val="0000FF"/>
      <w:sz w:val="24"/>
    </w:rPr>
  </w:style>
  <w:style w:type="character" w:customStyle="1" w:styleId="BodyTextChar">
    <w:name w:val="Body Text Char"/>
    <w:basedOn w:val="DefaultParagraphFont"/>
    <w:link w:val="BodyText"/>
    <w:rsid w:val="006A22F6"/>
    <w:rPr>
      <w:rFonts w:ascii="Times New Roman" w:eastAsia="Times New Roman" w:hAnsi="Times New Roman" w:cs="Times New Roman"/>
      <w:color w:val="0000FF"/>
      <w:sz w:val="24"/>
      <w:szCs w:val="20"/>
    </w:rPr>
  </w:style>
  <w:style w:type="character" w:styleId="Hyperlink">
    <w:name w:val="Hyperlink"/>
    <w:basedOn w:val="DefaultParagraphFont"/>
    <w:rsid w:val="006A22F6"/>
    <w:rPr>
      <w:color w:val="0000FF"/>
      <w:u w:val="single"/>
    </w:rPr>
  </w:style>
  <w:style w:type="character" w:customStyle="1" w:styleId="Heading1Char">
    <w:name w:val="Heading 1 Char"/>
    <w:basedOn w:val="DefaultParagraphFont"/>
    <w:link w:val="Heading1"/>
    <w:rsid w:val="006A22F6"/>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00BA2"/>
    <w:pPr>
      <w:tabs>
        <w:tab w:val="center" w:pos="4680"/>
        <w:tab w:val="right" w:pos="9360"/>
      </w:tabs>
    </w:pPr>
  </w:style>
  <w:style w:type="character" w:customStyle="1" w:styleId="HeaderChar">
    <w:name w:val="Header Char"/>
    <w:basedOn w:val="DefaultParagraphFont"/>
    <w:link w:val="Header"/>
    <w:uiPriority w:val="99"/>
    <w:rsid w:val="00400BA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00BA2"/>
    <w:pPr>
      <w:tabs>
        <w:tab w:val="center" w:pos="4680"/>
        <w:tab w:val="right" w:pos="9360"/>
      </w:tabs>
    </w:pPr>
  </w:style>
  <w:style w:type="character" w:customStyle="1" w:styleId="FooterChar">
    <w:name w:val="Footer Char"/>
    <w:basedOn w:val="DefaultParagraphFont"/>
    <w:link w:val="Footer"/>
    <w:uiPriority w:val="99"/>
    <w:rsid w:val="00400BA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00BA2"/>
    <w:rPr>
      <w:rFonts w:ascii="Tahoma" w:hAnsi="Tahoma" w:cs="Tahoma"/>
      <w:sz w:val="16"/>
      <w:szCs w:val="16"/>
    </w:rPr>
  </w:style>
  <w:style w:type="character" w:customStyle="1" w:styleId="BalloonTextChar">
    <w:name w:val="Balloon Text Char"/>
    <w:basedOn w:val="DefaultParagraphFont"/>
    <w:link w:val="BalloonText"/>
    <w:uiPriority w:val="99"/>
    <w:semiHidden/>
    <w:rsid w:val="00400BA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se.com"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_resources@utc.w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ments@utc.wa.gov"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utc.wa.gov/com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F311FB67FEC8146956B99F90596F4C2" ma:contentTypeVersion="119" ma:contentTypeDescription="" ma:contentTypeScope="" ma:versionID="b7cc6abced5a6b08801bab63af060c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2015-05-01T07:00:00+00:00</OpenedDate>
    <Date1 xmlns="dc463f71-b30c-4ab2-9473-d307f9d35888">2015-05-07T07:00:00+00:00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150714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27A6A84-98CC-456C-A2BC-C20783BC4F97}"/>
</file>

<file path=customXml/itemProps2.xml><?xml version="1.0" encoding="utf-8"?>
<ds:datastoreItem xmlns:ds="http://schemas.openxmlformats.org/officeDocument/2006/customXml" ds:itemID="{BA5CA14C-3FFD-4ECF-A426-0BC211FAA285}"/>
</file>

<file path=customXml/itemProps3.xml><?xml version="1.0" encoding="utf-8"?>
<ds:datastoreItem xmlns:ds="http://schemas.openxmlformats.org/officeDocument/2006/customXml" ds:itemID="{E129F459-E749-47D1-8E41-DA19008E21C4}"/>
</file>

<file path=customXml/itemProps4.xml><?xml version="1.0" encoding="utf-8"?>
<ds:datastoreItem xmlns:ds="http://schemas.openxmlformats.org/officeDocument/2006/customXml" ds:itemID="{C8D36F4D-969A-4E74-A821-18BDD60058B9}"/>
</file>

<file path=customXml/itemProps5.xml><?xml version="1.0" encoding="utf-8"?>
<ds:datastoreItem xmlns:ds="http://schemas.openxmlformats.org/officeDocument/2006/customXml" ds:itemID="{C587750A-5447-44C6-8065-662A9EE212B3}"/>
</file>

<file path=docProps/app.xml><?xml version="1.0" encoding="utf-8"?>
<Properties xmlns="http://schemas.openxmlformats.org/officeDocument/2006/extended-properties" xmlns:vt="http://schemas.openxmlformats.org/officeDocument/2006/docPropsVTypes">
  <Template>Normal.dotm</Template>
  <TotalTime>2</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Logen</dc:creator>
  <cp:lastModifiedBy>Lynn Logen</cp:lastModifiedBy>
  <cp:revision>2</cp:revision>
  <cp:lastPrinted>2015-05-06T19:10:00Z</cp:lastPrinted>
  <dcterms:created xsi:type="dcterms:W3CDTF">2015-05-06T19:13:00Z</dcterms:created>
  <dcterms:modified xsi:type="dcterms:W3CDTF">2015-05-06T19:13:00Z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0x0101006E56B4D1795A2E4DB2F0B01679ED314A001F311FB67FEC8146956B99F90596F4C2</vt:lpwstr>
  </property>
  <property fmtid="{D5CDD505-2E9C-101B-9397-08002B2CF9AE}" pid="3" name="_docset_NoMedatataSyncRequired">
    <vt:lpwstr>False</vt:lpwstr>
  </property>
</Properties>
</file>