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6733E" w14:textId="77777777" w:rsidR="00755416" w:rsidRPr="004A535E" w:rsidRDefault="00755416">
      <w:pPr>
        <w:pStyle w:val="BodyText"/>
        <w:jc w:val="center"/>
        <w:rPr>
          <w:b/>
          <w:bCs/>
        </w:rPr>
      </w:pPr>
      <w:bookmarkStart w:id="0" w:name="_GoBack"/>
      <w:bookmarkEnd w:id="0"/>
      <w:r w:rsidRPr="004A535E">
        <w:rPr>
          <w:b/>
          <w:bCs/>
        </w:rPr>
        <w:t>BEFORE THE WASHINGTON</w:t>
      </w:r>
    </w:p>
    <w:p w14:paraId="2C400E35" w14:textId="495FA0AE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UTILITIES AND TRANSPORTATION </w:t>
      </w:r>
      <w:r w:rsidR="003A7520">
        <w:rPr>
          <w:b/>
          <w:bCs/>
        </w:rPr>
        <w:t>COMMISSION</w:t>
      </w:r>
    </w:p>
    <w:p w14:paraId="306DC452" w14:textId="77777777"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1"/>
        <w:gridCol w:w="491"/>
        <w:gridCol w:w="4248"/>
      </w:tblGrid>
      <w:tr w:rsidR="00755416" w:rsidRPr="004A535E" w14:paraId="5459561D" w14:textId="77777777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14:paraId="7E11590C" w14:textId="77777777"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14:paraId="7A922AB3" w14:textId="77777777" w:rsidR="00755416" w:rsidRPr="004A535E" w:rsidRDefault="00755416">
            <w:pPr>
              <w:pStyle w:val="BodyText"/>
            </w:pPr>
          </w:p>
          <w:p w14:paraId="547D1348" w14:textId="0001EFF1" w:rsidR="00CE212B" w:rsidRDefault="0027416A" w:rsidP="00CE212B">
            <w:pPr>
              <w:pStyle w:val="BodyText"/>
            </w:pPr>
            <w:r>
              <w:t>TACOMA RAIL</w:t>
            </w:r>
            <w:r w:rsidR="00D43DE0">
              <w:t xml:space="preserve"> MOUNTAIN DIVISION</w:t>
            </w:r>
            <w:r w:rsidR="00CE212B" w:rsidRPr="00DD3311">
              <w:t>,</w:t>
            </w:r>
          </w:p>
          <w:p w14:paraId="5D598D8B" w14:textId="77777777" w:rsidR="00755416" w:rsidRPr="004A535E" w:rsidRDefault="00755416">
            <w:pPr>
              <w:pStyle w:val="BodyText"/>
            </w:pPr>
          </w:p>
          <w:p w14:paraId="4F97E5E9" w14:textId="77777777" w:rsidR="00755416" w:rsidRPr="004A535E" w:rsidRDefault="00755416">
            <w:pPr>
              <w:pStyle w:val="BodyText"/>
            </w:pPr>
          </w:p>
          <w:p w14:paraId="115C0260" w14:textId="77777777"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14:paraId="11D3D17A" w14:textId="77777777" w:rsidR="00755416" w:rsidRPr="004A535E" w:rsidRDefault="00755416">
            <w:pPr>
              <w:pStyle w:val="BodyText"/>
            </w:pPr>
          </w:p>
          <w:p w14:paraId="0617FC6E" w14:textId="77777777"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14:paraId="613BC9E5" w14:textId="4F9EE7FC" w:rsidR="00755416" w:rsidRPr="004A535E" w:rsidRDefault="00755416" w:rsidP="00B35F15">
            <w:pPr>
              <w:pStyle w:val="BodyText"/>
              <w:rPr>
                <w:b/>
                <w:bCs/>
              </w:rPr>
            </w:pPr>
            <w:r w:rsidRPr="004A535E">
              <w:t>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DBD5066" w14:textId="77777777"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14:paraId="72C23CB5" w14:textId="77777777" w:rsidR="00755416" w:rsidRDefault="00755416" w:rsidP="00EE3E61">
            <w:pPr>
              <w:pStyle w:val="BodyText"/>
              <w:jc w:val="center"/>
            </w:pPr>
            <w:r w:rsidRPr="004A535E">
              <w:t>)</w:t>
            </w:r>
          </w:p>
          <w:p w14:paraId="1E368B9C" w14:textId="77777777" w:rsidR="00DE3FDB" w:rsidRDefault="00DE3FDB" w:rsidP="00EE3E61">
            <w:pPr>
              <w:pStyle w:val="BodyText"/>
              <w:jc w:val="center"/>
            </w:pPr>
            <w:r>
              <w:t>)</w:t>
            </w:r>
          </w:p>
          <w:p w14:paraId="209FDBEC" w14:textId="2D96AA14" w:rsidR="00B35F15" w:rsidRPr="004A535E" w:rsidRDefault="00B35F15" w:rsidP="00EE3E61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14:paraId="2FC4C36D" w14:textId="16387717"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C93666">
              <w:t>TR-</w:t>
            </w:r>
            <w:r w:rsidR="0027416A">
              <w:t>143692</w:t>
            </w:r>
          </w:p>
          <w:p w14:paraId="77823D76" w14:textId="77777777" w:rsidR="003E37C4" w:rsidRDefault="003E37C4"/>
          <w:p w14:paraId="2A8A0C82" w14:textId="77777777" w:rsidR="00755416" w:rsidRPr="004A535E" w:rsidRDefault="00755416">
            <w:r w:rsidRPr="004A535E">
              <w:t xml:space="preserve">ORDER </w:t>
            </w:r>
            <w:r w:rsidR="00C93666">
              <w:t>01</w:t>
            </w:r>
          </w:p>
          <w:p w14:paraId="0D0E9DE3" w14:textId="77777777" w:rsidR="00755416" w:rsidRPr="004A535E" w:rsidRDefault="00755416">
            <w:pPr>
              <w:pStyle w:val="Header"/>
              <w:tabs>
                <w:tab w:val="clear" w:pos="8300"/>
              </w:tabs>
            </w:pPr>
          </w:p>
          <w:p w14:paraId="04CBCBF5" w14:textId="77777777" w:rsidR="00755416" w:rsidRDefault="00755416"/>
          <w:p w14:paraId="195C3C37" w14:textId="77777777" w:rsidR="00DE3FDB" w:rsidRPr="004A535E" w:rsidRDefault="00DE3FDB"/>
          <w:p w14:paraId="5A7CC171" w14:textId="77777777" w:rsidR="003E37C4" w:rsidRDefault="003E37C4"/>
          <w:p w14:paraId="027EC507" w14:textId="77777777" w:rsidR="00755416" w:rsidRPr="004A535E" w:rsidRDefault="00755416">
            <w:r w:rsidRPr="004A535E">
              <w:t>ORDER GRANTING REQUEST FOR DISBURSEMENT FROM THE GRADE CROSSING PROTECTIVE FUND</w:t>
            </w:r>
          </w:p>
        </w:tc>
      </w:tr>
    </w:tbl>
    <w:p w14:paraId="024975B3" w14:textId="77777777" w:rsidR="00755416" w:rsidRPr="004A535E" w:rsidRDefault="00755416">
      <w:pPr>
        <w:pStyle w:val="BodyText"/>
        <w:jc w:val="center"/>
        <w:rPr>
          <w:b/>
          <w:bCs/>
        </w:rPr>
      </w:pPr>
    </w:p>
    <w:p w14:paraId="5735125E" w14:textId="77777777" w:rsidR="00755416" w:rsidRPr="004A535E" w:rsidRDefault="00755416" w:rsidP="00160663">
      <w:pPr>
        <w:pStyle w:val="SectionHeading"/>
        <w:spacing w:line="320" w:lineRule="exact"/>
        <w:rPr>
          <w:szCs w:val="24"/>
        </w:rPr>
      </w:pPr>
      <w:r w:rsidRPr="004A535E">
        <w:rPr>
          <w:szCs w:val="24"/>
        </w:rPr>
        <w:t>BACKGROUND</w:t>
      </w:r>
    </w:p>
    <w:p w14:paraId="2A0E7EC9" w14:textId="3000C5C7" w:rsidR="00755416" w:rsidRPr="004A535E" w:rsidRDefault="00755416" w:rsidP="00160663">
      <w:pPr>
        <w:pStyle w:val="NumberedParagraph"/>
        <w:spacing w:line="320" w:lineRule="exact"/>
        <w:rPr>
          <w:iCs/>
        </w:rPr>
      </w:pPr>
      <w:r w:rsidRPr="004A535E">
        <w:t>On</w:t>
      </w:r>
      <w:r w:rsidR="00CE212B">
        <w:t xml:space="preserve"> </w:t>
      </w:r>
      <w:r w:rsidR="00C93666">
        <w:t>July 1, 2013</w:t>
      </w:r>
      <w:r w:rsidRPr="004A535E">
        <w:t xml:space="preserve">, </w:t>
      </w:r>
      <w:r w:rsidR="00F267F5">
        <w:t>the</w:t>
      </w:r>
      <w:r w:rsidR="00F67D40">
        <w:t xml:space="preserve"> </w:t>
      </w:r>
      <w:r w:rsidRPr="004A535E">
        <w:t>Washington Utilities a</w:t>
      </w:r>
      <w:r w:rsidR="0093606C" w:rsidRPr="004A535E">
        <w:t xml:space="preserve">nd Transportation </w:t>
      </w:r>
      <w:r w:rsidR="003A7520">
        <w:t>Commission</w:t>
      </w:r>
      <w:r w:rsidR="0093606C" w:rsidRPr="004A535E">
        <w:t xml:space="preserve"> (</w:t>
      </w:r>
      <w:r w:rsidR="003A7520">
        <w:t>Commission</w:t>
      </w:r>
      <w:r w:rsidRPr="004A535E">
        <w:t xml:space="preserve">) sent </w:t>
      </w:r>
      <w:r w:rsidR="00A35289">
        <w:t xml:space="preserve">to various interested parties </w:t>
      </w:r>
      <w:r w:rsidRPr="004A535E">
        <w:t xml:space="preserve">a “Notice of Opportunity to Apply for Grant Monies from the Grade Crossing Protective Fund” </w:t>
      </w:r>
      <w:r w:rsidR="0093606C" w:rsidRPr="004A535E">
        <w:t xml:space="preserve">in </w:t>
      </w:r>
      <w:r w:rsidR="00F43902">
        <w:t xml:space="preserve">Docket </w:t>
      </w:r>
      <w:r w:rsidR="00C93666">
        <w:t>TR-131246</w:t>
      </w:r>
      <w:r w:rsidRPr="004A535E">
        <w:t>.</w:t>
      </w:r>
      <w:r w:rsidR="00C22DFE">
        <w:t xml:space="preserve"> </w:t>
      </w:r>
      <w:r w:rsidR="00CE212B">
        <w:t xml:space="preserve"> </w:t>
      </w:r>
    </w:p>
    <w:p w14:paraId="0922BF50" w14:textId="08887CAC" w:rsidR="00755416" w:rsidRPr="004A535E" w:rsidRDefault="00755416" w:rsidP="00160663">
      <w:pPr>
        <w:pStyle w:val="NumberedParagraph"/>
        <w:spacing w:line="320" w:lineRule="exact"/>
        <w:rPr>
          <w:iCs/>
        </w:rPr>
      </w:pPr>
      <w:r w:rsidRPr="004A535E">
        <w:rPr>
          <w:iCs/>
        </w:rPr>
        <w:t>On</w:t>
      </w:r>
      <w:r w:rsidR="00826DC9">
        <w:rPr>
          <w:iCs/>
        </w:rPr>
        <w:t xml:space="preserve"> </w:t>
      </w:r>
      <w:r w:rsidR="0027416A">
        <w:rPr>
          <w:iCs/>
        </w:rPr>
        <w:t>October 15</w:t>
      </w:r>
      <w:r w:rsidR="00C93666">
        <w:rPr>
          <w:iCs/>
        </w:rPr>
        <w:t>, 2014</w:t>
      </w:r>
      <w:r w:rsidRPr="004A535E">
        <w:rPr>
          <w:bCs/>
          <w:iCs/>
        </w:rPr>
        <w:t xml:space="preserve">, </w:t>
      </w:r>
      <w:r w:rsidR="0027416A">
        <w:t>Tacoma Rail Mountain Division</w:t>
      </w:r>
      <w:r w:rsidR="00C93666">
        <w:t xml:space="preserve"> </w:t>
      </w:r>
      <w:r w:rsidR="00883467">
        <w:rPr>
          <w:bCs/>
          <w:iCs/>
        </w:rPr>
        <w:t>(</w:t>
      </w:r>
      <w:r w:rsidR="0027416A">
        <w:t>Tacoma Rail</w:t>
      </w:r>
      <w:r w:rsidR="00883467">
        <w:rPr>
          <w:bCs/>
          <w:iCs/>
        </w:rPr>
        <w:t xml:space="preserve"> or </w:t>
      </w:r>
      <w:r w:rsidR="00F267F5">
        <w:rPr>
          <w:bCs/>
          <w:iCs/>
        </w:rPr>
        <w:t>the Applicant</w:t>
      </w:r>
      <w:r w:rsidR="00883467">
        <w:rPr>
          <w:bCs/>
          <w:iCs/>
        </w:rPr>
        <w:t>)</w:t>
      </w:r>
      <w:r w:rsidR="00BF14D6">
        <w:rPr>
          <w:bCs/>
          <w:iCs/>
        </w:rPr>
        <w:t xml:space="preserve"> </w:t>
      </w:r>
      <w:r w:rsidR="0093606C" w:rsidRPr="004A535E">
        <w:rPr>
          <w:iCs/>
        </w:rPr>
        <w:t xml:space="preserve">filed with the </w:t>
      </w:r>
      <w:r w:rsidR="003A7520">
        <w:rPr>
          <w:iCs/>
        </w:rPr>
        <w:t>Commission</w:t>
      </w:r>
      <w:r w:rsidR="00F36635" w:rsidRPr="00F36635">
        <w:rPr>
          <w:iCs/>
        </w:rPr>
        <w:t xml:space="preserve"> </w:t>
      </w:r>
      <w:r w:rsidR="00F36635" w:rsidRPr="004A535E">
        <w:rPr>
          <w:iCs/>
        </w:rPr>
        <w:t>an application</w:t>
      </w:r>
      <w:r w:rsidRPr="004A535E">
        <w:rPr>
          <w:iCs/>
        </w:rPr>
        <w:t xml:space="preserve"> requesting </w:t>
      </w:r>
      <w:r w:rsidR="0093606C" w:rsidRPr="004A535E">
        <w:rPr>
          <w:iCs/>
        </w:rPr>
        <w:t xml:space="preserve">a </w:t>
      </w:r>
      <w:r w:rsidRPr="004A535E">
        <w:rPr>
          <w:iCs/>
        </w:rPr>
        <w:t xml:space="preserve">disbursement </w:t>
      </w:r>
      <w:r w:rsidR="0093606C" w:rsidRPr="004A535E">
        <w:rPr>
          <w:iCs/>
        </w:rPr>
        <w:t xml:space="preserve">of </w:t>
      </w:r>
      <w:r w:rsidR="00C93666">
        <w:rPr>
          <w:iCs/>
        </w:rPr>
        <w:t>$</w:t>
      </w:r>
      <w:r w:rsidR="0027416A">
        <w:rPr>
          <w:iCs/>
        </w:rPr>
        <w:t>15,896.55</w:t>
      </w:r>
      <w:r w:rsidR="0093606C" w:rsidRPr="004A535E">
        <w:rPr>
          <w:iCs/>
        </w:rPr>
        <w:t xml:space="preserve"> </w:t>
      </w:r>
      <w:r w:rsidRPr="004A535E">
        <w:rPr>
          <w:iCs/>
        </w:rPr>
        <w:t xml:space="preserve">from the </w:t>
      </w:r>
      <w:r w:rsidR="00DA1880">
        <w:rPr>
          <w:iCs/>
        </w:rPr>
        <w:t>Grade Crossing Protective Fund (</w:t>
      </w:r>
      <w:r w:rsidRPr="004A535E">
        <w:rPr>
          <w:iCs/>
        </w:rPr>
        <w:t>GCPF</w:t>
      </w:r>
      <w:r w:rsidR="00DA1880">
        <w:rPr>
          <w:iCs/>
        </w:rPr>
        <w:t>)</w:t>
      </w:r>
      <w:r w:rsidRPr="004A535E">
        <w:rPr>
          <w:iCs/>
        </w:rPr>
        <w:t xml:space="preserve"> to pay for a project related to </w:t>
      </w:r>
      <w:r w:rsidR="00C93666">
        <w:t xml:space="preserve">establishing a public safety fence in </w:t>
      </w:r>
      <w:r w:rsidR="0027416A">
        <w:t>Tacoma</w:t>
      </w:r>
      <w:r w:rsidR="00C93666">
        <w:t xml:space="preserve"> between the railroad right-of-way and </w:t>
      </w:r>
      <w:r w:rsidR="0027416A">
        <w:t>an apartment complex</w:t>
      </w:r>
      <w:r w:rsidRPr="004A535E">
        <w:rPr>
          <w:iCs/>
        </w:rPr>
        <w:t xml:space="preserve">.  </w:t>
      </w:r>
    </w:p>
    <w:p w14:paraId="15120ED2" w14:textId="15CF9845" w:rsidR="0093606C" w:rsidRDefault="0027416A" w:rsidP="005F6AD6">
      <w:pPr>
        <w:pStyle w:val="NumberedParagraph"/>
        <w:spacing w:line="320" w:lineRule="exact"/>
      </w:pPr>
      <w:r>
        <w:t>Tacoma Rail</w:t>
      </w:r>
      <w:r w:rsidR="003A7520">
        <w:t>’</w:t>
      </w:r>
      <w:r>
        <w:t>s right</w:t>
      </w:r>
      <w:r w:rsidR="0073731B">
        <w:t>-</w:t>
      </w:r>
      <w:r>
        <w:t>of</w:t>
      </w:r>
      <w:r w:rsidR="0073731B">
        <w:t>-</w:t>
      </w:r>
      <w:r>
        <w:t>way abuts the Coventry Court Apartment complex near McKinley Avenue and 73</w:t>
      </w:r>
      <w:r w:rsidRPr="0027416A">
        <w:rPr>
          <w:vertAlign w:val="superscript"/>
        </w:rPr>
        <w:t>rd</w:t>
      </w:r>
      <w:r>
        <w:t xml:space="preserve"> Street East in Tacoma.</w:t>
      </w:r>
      <w:r w:rsidR="00B35F15">
        <w:t xml:space="preserve"> </w:t>
      </w:r>
      <w:r>
        <w:t xml:space="preserve"> Tacoma Rail seeks to install 600 lineal feet of 84-inch high, nine-gauge chain link fence to abate persistent trespass and vandalism problems in the area. </w:t>
      </w:r>
      <w:r w:rsidR="00B35F15">
        <w:t xml:space="preserve"> </w:t>
      </w:r>
      <w:r w:rsidR="005F6AD6" w:rsidRPr="005F6AD6">
        <w:rPr>
          <w:iCs/>
        </w:rPr>
        <w:t xml:space="preserve">The fence will be installed on </w:t>
      </w:r>
      <w:r>
        <w:rPr>
          <w:iCs/>
        </w:rPr>
        <w:t>Tacoma Rail</w:t>
      </w:r>
      <w:r w:rsidR="003A7520">
        <w:rPr>
          <w:iCs/>
        </w:rPr>
        <w:t>’</w:t>
      </w:r>
      <w:r>
        <w:rPr>
          <w:iCs/>
        </w:rPr>
        <w:t>s</w:t>
      </w:r>
      <w:r w:rsidR="005F6AD6" w:rsidRPr="005F6AD6">
        <w:rPr>
          <w:iCs/>
        </w:rPr>
        <w:t xml:space="preserve"> right-of-way and the railroad will be responsible for long-term maintenance.</w:t>
      </w:r>
    </w:p>
    <w:p w14:paraId="70CF4EF3" w14:textId="617829A2" w:rsidR="00C93666" w:rsidRPr="004A535E" w:rsidRDefault="0027416A" w:rsidP="00C93666">
      <w:pPr>
        <w:pStyle w:val="NumberedParagraph"/>
        <w:spacing w:line="320" w:lineRule="exact"/>
      </w:pPr>
      <w:r>
        <w:t xml:space="preserve">The existing apartment complex fence is deteriorated to the point of being ineffective at preventing pedestrian trespassing. </w:t>
      </w:r>
      <w:r w:rsidR="00B35F15">
        <w:t xml:space="preserve"> </w:t>
      </w:r>
      <w:r>
        <w:t>Tacoma Rail routinely uses the siding track at this location for staging and short-term storage of various types of rail cars.</w:t>
      </w:r>
      <w:r w:rsidR="00B35F15">
        <w:t xml:space="preserve"> </w:t>
      </w:r>
      <w:r>
        <w:t xml:space="preserve"> </w:t>
      </w:r>
      <w:r w:rsidR="00C93666">
        <w:t xml:space="preserve">Constructing a fence will </w:t>
      </w:r>
      <w:r w:rsidR="00B93668">
        <w:t>direct</w:t>
      </w:r>
      <w:r w:rsidR="00C93666">
        <w:t xml:space="preserve"> the public away from the railroad tracks, thereby enhancing rail and public safety.</w:t>
      </w:r>
    </w:p>
    <w:p w14:paraId="5C14B71D" w14:textId="266A1BFA" w:rsidR="00755416" w:rsidRPr="004A535E" w:rsidRDefault="00B305D3" w:rsidP="00160663">
      <w:pPr>
        <w:pStyle w:val="NumberedParagraph"/>
        <w:spacing w:line="320" w:lineRule="exact"/>
        <w:rPr>
          <w:iCs/>
        </w:rPr>
      </w:pPr>
      <w:r>
        <w:t xml:space="preserve">A </w:t>
      </w:r>
      <w:r w:rsidR="0093606C" w:rsidRPr="004A535E">
        <w:t xml:space="preserve">site visit by </w:t>
      </w:r>
      <w:r w:rsidR="003A7520">
        <w:t>Commission</w:t>
      </w:r>
      <w:r w:rsidR="0093606C" w:rsidRPr="004A535E">
        <w:t xml:space="preserve"> </w:t>
      </w:r>
      <w:r w:rsidR="003A7520">
        <w:t>Staff</w:t>
      </w:r>
      <w:r w:rsidR="0093606C" w:rsidRPr="004A535E">
        <w:t xml:space="preserve"> </w:t>
      </w:r>
      <w:r w:rsidR="00677E09">
        <w:t>confirm</w:t>
      </w:r>
      <w:r w:rsidR="00F267F5">
        <w:t>ed</w:t>
      </w:r>
      <w:r w:rsidR="0093606C" w:rsidRPr="004A535E">
        <w:t xml:space="preserve"> </w:t>
      </w:r>
      <w:r w:rsidR="00F267F5">
        <w:t xml:space="preserve">that </w:t>
      </w:r>
      <w:r w:rsidR="0093606C" w:rsidRPr="004A535E">
        <w:t xml:space="preserve">the safety problem described by </w:t>
      </w:r>
      <w:r w:rsidR="0027416A">
        <w:t>Tacoma Rail</w:t>
      </w:r>
      <w:r w:rsidR="00475BEF">
        <w:t xml:space="preserve"> </w:t>
      </w:r>
      <w:r w:rsidR="0093606C" w:rsidRPr="004A535E">
        <w:t xml:space="preserve">exists and that the proposed </w:t>
      </w:r>
      <w:r w:rsidR="00C93666">
        <w:t>safety fence</w:t>
      </w:r>
      <w:r w:rsidR="00475BEF">
        <w:t xml:space="preserve"> </w:t>
      </w:r>
      <w:r w:rsidR="0093606C" w:rsidRPr="004A535E">
        <w:t>wil</w:t>
      </w:r>
      <w:r w:rsidR="00C93666">
        <w:t xml:space="preserve">l </w:t>
      </w:r>
      <w:r w:rsidR="00B93668">
        <w:t xml:space="preserve">deter </w:t>
      </w:r>
      <w:r w:rsidR="00C93666">
        <w:t>pedestrian trespass onto the railroad right-of-way and increase public safety</w:t>
      </w:r>
      <w:r w:rsidR="0093606C" w:rsidRPr="004A535E">
        <w:t>.</w:t>
      </w:r>
    </w:p>
    <w:p w14:paraId="21C1B086" w14:textId="59E2108E" w:rsidR="00755416" w:rsidRDefault="00D43DE0" w:rsidP="00160663">
      <w:pPr>
        <w:pStyle w:val="NumberedParagraph"/>
        <w:spacing w:line="320" w:lineRule="exact"/>
        <w:rPr>
          <w:iCs/>
        </w:rPr>
      </w:pPr>
      <w:r>
        <w:lastRenderedPageBreak/>
        <w:t>Tacoma Rail</w:t>
      </w:r>
      <w:r w:rsidR="003A22CD">
        <w:rPr>
          <w:iCs/>
        </w:rPr>
        <w:t xml:space="preserve"> </w:t>
      </w:r>
      <w:r w:rsidR="00755416" w:rsidRPr="004A535E">
        <w:rPr>
          <w:iCs/>
        </w:rPr>
        <w:t xml:space="preserve">seeks </w:t>
      </w:r>
      <w:r w:rsidR="00DE15EF">
        <w:rPr>
          <w:iCs/>
        </w:rPr>
        <w:t>$</w:t>
      </w:r>
      <w:r>
        <w:rPr>
          <w:iCs/>
        </w:rPr>
        <w:t>15,896.55</w:t>
      </w:r>
      <w:r w:rsidR="00755416" w:rsidRPr="004A535E">
        <w:rPr>
          <w:iCs/>
        </w:rPr>
        <w:t xml:space="preserve"> to pay for the cost of the </w:t>
      </w:r>
      <w:r w:rsidR="00DE15EF">
        <w:t>fencing</w:t>
      </w:r>
      <w:r w:rsidR="00755416" w:rsidRPr="004A535E">
        <w:rPr>
          <w:iCs/>
        </w:rPr>
        <w:t>.</w:t>
      </w:r>
      <w:r w:rsidR="00B35F15">
        <w:rPr>
          <w:iCs/>
        </w:rPr>
        <w:t xml:space="preserve"> </w:t>
      </w:r>
      <w:r w:rsidR="00755416" w:rsidRPr="004A535E">
        <w:rPr>
          <w:iCs/>
        </w:rPr>
        <w:t xml:space="preserve"> There </w:t>
      </w:r>
      <w:r w:rsidR="00F267F5">
        <w:rPr>
          <w:iCs/>
        </w:rPr>
        <w:t xml:space="preserve">currently </w:t>
      </w:r>
      <w:r w:rsidR="00755416" w:rsidRPr="004A535E">
        <w:rPr>
          <w:iCs/>
        </w:rPr>
        <w:t>are funds available to pay for the project.</w:t>
      </w:r>
    </w:p>
    <w:p w14:paraId="1E9DC81E" w14:textId="480CBE5E" w:rsidR="00B17B50" w:rsidRPr="001366EC" w:rsidRDefault="00D43DE0" w:rsidP="00160663">
      <w:pPr>
        <w:pStyle w:val="NumberedParagraph"/>
        <w:spacing w:line="320" w:lineRule="exact"/>
        <w:rPr>
          <w:iCs/>
        </w:rPr>
      </w:pPr>
      <w:r>
        <w:rPr>
          <w:iCs/>
        </w:rPr>
        <w:t>Tacoma Rail</w:t>
      </w:r>
      <w:r w:rsidR="00B17B50" w:rsidRPr="001366EC">
        <w:rPr>
          <w:iCs/>
        </w:rPr>
        <w:t xml:space="preserve"> must also meet the following conditions for administering the GCPF grant.</w:t>
      </w:r>
    </w:p>
    <w:p w14:paraId="2612ECA9" w14:textId="314C4A9B" w:rsidR="00B17B50" w:rsidRPr="001366EC" w:rsidRDefault="00B17B50" w:rsidP="00B35F15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t xml:space="preserve">Expenditure from the Grade Crossing Protective Fund must not exceed </w:t>
      </w:r>
      <w:r w:rsidR="00D43DE0">
        <w:rPr>
          <w:iCs/>
        </w:rPr>
        <w:t>$15,896.55</w:t>
      </w:r>
      <w:r w:rsidRPr="001366EC">
        <w:rPr>
          <w:iCs/>
        </w:rPr>
        <w:t>.</w:t>
      </w:r>
    </w:p>
    <w:p w14:paraId="3F0DC6FE" w14:textId="77777777" w:rsidR="00B17B50" w:rsidRPr="001366EC" w:rsidRDefault="00B17B50" w:rsidP="00B35F15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rPr>
          <w:iCs/>
        </w:rPr>
        <w:t>The work for which the Grade Crossing Protective Fund disbursement was approved must conform to the project description specified in the application.</w:t>
      </w:r>
    </w:p>
    <w:p w14:paraId="0E97CF93" w14:textId="1AA9DD8B" w:rsidR="00B17B50" w:rsidRPr="001366EC" w:rsidRDefault="00D43DE0" w:rsidP="00B35F15">
      <w:pPr>
        <w:pStyle w:val="NumberedParagraph"/>
        <w:numPr>
          <w:ilvl w:val="0"/>
          <w:numId w:val="26"/>
        </w:numPr>
        <w:spacing w:line="320" w:lineRule="exact"/>
        <w:ind w:left="1080"/>
      </w:pPr>
      <w:r>
        <w:t>Tacoma Rail</w:t>
      </w:r>
      <w:r w:rsidR="000A3B4B">
        <w:t xml:space="preserve"> </w:t>
      </w:r>
      <w:r w:rsidR="00B17B50" w:rsidRPr="001366EC">
        <w:rPr>
          <w:bCs/>
          <w:iCs/>
        </w:rPr>
        <w:t>must sign and return the attached project agreement.</w:t>
      </w:r>
    </w:p>
    <w:p w14:paraId="7102F0F3" w14:textId="13EB1D5A" w:rsidR="00B17B50" w:rsidRPr="001366EC" w:rsidRDefault="00B17B50" w:rsidP="00B35F15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rPr>
          <w:bCs/>
          <w:iCs/>
        </w:rPr>
        <w:t xml:space="preserve">Payment will be made upon presentation of claim for reimbursement and verification by </w:t>
      </w:r>
      <w:r w:rsidR="003A7520">
        <w:rPr>
          <w:bCs/>
          <w:iCs/>
        </w:rPr>
        <w:t>Commission</w:t>
      </w:r>
      <w:r w:rsidRPr="001366EC">
        <w:rPr>
          <w:bCs/>
          <w:iCs/>
        </w:rPr>
        <w:t xml:space="preserve"> </w:t>
      </w:r>
      <w:r w:rsidR="003A7520">
        <w:rPr>
          <w:bCs/>
          <w:iCs/>
        </w:rPr>
        <w:t>Staff</w:t>
      </w:r>
      <w:r w:rsidRPr="001366EC">
        <w:rPr>
          <w:bCs/>
          <w:iCs/>
        </w:rPr>
        <w:t xml:space="preserve"> that the work has been satisfactorily completed.</w:t>
      </w:r>
    </w:p>
    <w:p w14:paraId="18E27D1C" w14:textId="3323CE5D" w:rsidR="00B17B50" w:rsidRPr="001366EC" w:rsidRDefault="00B17B50" w:rsidP="00B35F15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t xml:space="preserve">The project must be completed and the associated request for reimbursement from the Grade Crossing Protective Fund must be filed with the </w:t>
      </w:r>
      <w:r w:rsidR="003A7520">
        <w:t>Commission</w:t>
      </w:r>
      <w:r w:rsidRPr="001366EC">
        <w:t xml:space="preserve"> no later than </w:t>
      </w:r>
      <w:r w:rsidR="00D43DE0">
        <w:t>January 31, 2015</w:t>
      </w:r>
      <w:r w:rsidRPr="001366EC">
        <w:t>.</w:t>
      </w:r>
    </w:p>
    <w:p w14:paraId="43E66520" w14:textId="77777777" w:rsidR="00755416" w:rsidRDefault="00755416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4A535E">
        <w:rPr>
          <w:b/>
          <w:bCs/>
        </w:rPr>
        <w:t>FINDINGS AND CONCLUSIONS</w:t>
      </w:r>
    </w:p>
    <w:p w14:paraId="78C2612D" w14:textId="77777777" w:rsidR="00B17B50" w:rsidRPr="004A535E" w:rsidRDefault="00B17B50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14:paraId="5416F268" w14:textId="32C3B302" w:rsidR="00755416" w:rsidRPr="00880608" w:rsidRDefault="00755416" w:rsidP="00160663">
      <w:pPr>
        <w:pStyle w:val="NumberedParagraph"/>
        <w:spacing w:line="320" w:lineRule="exact"/>
        <w:ind w:left="700" w:hanging="1420"/>
        <w:rPr>
          <w:iCs/>
        </w:rPr>
      </w:pPr>
      <w:r w:rsidRPr="004A535E">
        <w:t>(1)</w:t>
      </w:r>
      <w:r w:rsidRPr="004A535E">
        <w:tab/>
        <w:t xml:space="preserve">The Washington Utilities and Transportation </w:t>
      </w:r>
      <w:r w:rsidR="003A7520">
        <w:t>Commission</w:t>
      </w:r>
      <w:r w:rsidRPr="004A535E">
        <w:t xml:space="preserve"> is an agency of the </w:t>
      </w:r>
      <w:r w:rsidR="00D94733">
        <w:t>S</w:t>
      </w:r>
      <w:r w:rsidRPr="004A535E">
        <w:t>tate of Washington having authority to approve and administer disbursements from the Grade Crossing Protective Fund.</w:t>
      </w:r>
      <w:r w:rsidR="00B35F15">
        <w:t xml:space="preserve"> </w:t>
      </w:r>
      <w:r w:rsidRPr="004A535E">
        <w:t xml:space="preserve"> </w:t>
      </w:r>
      <w:r w:rsidR="003A22CD" w:rsidRPr="00DE15EF">
        <w:rPr>
          <w:iCs/>
        </w:rPr>
        <w:t>RCW 81.53.271</w:t>
      </w:r>
      <w:r w:rsidR="003A22CD" w:rsidRPr="00880608">
        <w:rPr>
          <w:iCs/>
        </w:rPr>
        <w:t xml:space="preserve">; </w:t>
      </w:r>
      <w:r w:rsidR="003A22CD" w:rsidRPr="00DE15EF">
        <w:rPr>
          <w:iCs/>
        </w:rPr>
        <w:t>RCW 81.53.281</w:t>
      </w:r>
      <w:r w:rsidRPr="00880608">
        <w:rPr>
          <w:iCs/>
        </w:rPr>
        <w:t>.</w:t>
      </w:r>
    </w:p>
    <w:p w14:paraId="0F5E71C0" w14:textId="46C360B1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(2)</w:t>
      </w:r>
      <w:r w:rsidRPr="004A535E">
        <w:tab/>
        <w:t xml:space="preserve">The project for which </w:t>
      </w:r>
      <w:r w:rsidR="00D43DE0">
        <w:t>Tacoma Rail</w:t>
      </w:r>
      <w:r w:rsidR="00883467">
        <w:rPr>
          <w:b/>
          <w:bCs/>
          <w:iCs/>
        </w:rPr>
        <w:t xml:space="preserve"> </w:t>
      </w:r>
      <w:r w:rsidR="00883467" w:rsidRPr="00883467">
        <w:rPr>
          <w:bCs/>
          <w:iCs/>
        </w:rPr>
        <w:t>seeks</w:t>
      </w:r>
      <w:r w:rsidR="00883467">
        <w:t xml:space="preserve"> </w:t>
      </w:r>
      <w:r w:rsidRPr="004A535E">
        <w:t xml:space="preserve">disbursement from the Grade Crossing Protective Fund is eligible for funding consideration under </w:t>
      </w:r>
      <w:r w:rsidR="003A7520">
        <w:t>Commission</w:t>
      </w:r>
      <w:r w:rsidR="0093606C" w:rsidRPr="004A535E">
        <w:t xml:space="preserve"> rules</w:t>
      </w:r>
      <w:r w:rsidRPr="004A535E">
        <w:t xml:space="preserve"> and complies with the requirements of </w:t>
      </w:r>
      <w:r w:rsidR="003A22CD" w:rsidRPr="00DE15EF">
        <w:t>RCW 81.53.271</w:t>
      </w:r>
      <w:r w:rsidR="00F75BF2" w:rsidRPr="00880608">
        <w:t>,</w:t>
      </w:r>
      <w:r w:rsidRPr="00880608">
        <w:t xml:space="preserve"> </w:t>
      </w:r>
      <w:r w:rsidR="003A22CD" w:rsidRPr="00DE15EF">
        <w:rPr>
          <w:iCs/>
        </w:rPr>
        <w:t>RCW 81.53.281</w:t>
      </w:r>
      <w:r w:rsidR="00F75BF2">
        <w:t xml:space="preserve">, and </w:t>
      </w:r>
      <w:r w:rsidR="00F75BF2" w:rsidRPr="00DE15EF">
        <w:t>WAC 480-62</w:t>
      </w:r>
      <w:r w:rsidRPr="004A535E">
        <w:t>.</w:t>
      </w:r>
    </w:p>
    <w:p w14:paraId="353E90CB" w14:textId="3C5708E0" w:rsidR="00755416" w:rsidRDefault="00755416" w:rsidP="00160663">
      <w:pPr>
        <w:pStyle w:val="NumberedParagraph"/>
        <w:spacing w:line="320" w:lineRule="exact"/>
        <w:ind w:left="700" w:hanging="1420"/>
      </w:pPr>
      <w:r w:rsidRPr="004A535E">
        <w:t>(3)</w:t>
      </w:r>
      <w:r w:rsidRPr="004A535E">
        <w:tab/>
      </w:r>
      <w:r w:rsidR="003A7520">
        <w:t>Commission</w:t>
      </w:r>
      <w:r w:rsidRPr="004A535E">
        <w:t xml:space="preserve"> </w:t>
      </w:r>
      <w:r w:rsidR="003A7520">
        <w:t>Staff</w:t>
      </w:r>
      <w:r w:rsidRPr="004A535E">
        <w:t xml:space="preserve"> investigated the request based on the review criteria specified in the </w:t>
      </w:r>
      <w:r w:rsidR="003A7520">
        <w:t>Commission’</w:t>
      </w:r>
      <w:r w:rsidR="00F75BF2">
        <w:t xml:space="preserve">s </w:t>
      </w:r>
      <w:r w:rsidR="0093606C" w:rsidRPr="004A535E">
        <w:t xml:space="preserve">rules </w:t>
      </w:r>
      <w:r w:rsidRPr="004A535E">
        <w:t>and recommended that it be granted, subject to specified conditions</w:t>
      </w:r>
      <w:r w:rsidR="00883467">
        <w:t xml:space="preserve"> for administering the grant</w:t>
      </w:r>
      <w:r w:rsidRPr="004A535E">
        <w:t xml:space="preserve">.   </w:t>
      </w:r>
    </w:p>
    <w:p w14:paraId="3C457E82" w14:textId="7FA34295" w:rsidR="00124A90" w:rsidRPr="003B2C12" w:rsidRDefault="00124A90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Expenditure from the Grade Crossing Protective Fund must not exceed </w:t>
      </w:r>
      <w:r w:rsidR="00D43DE0">
        <w:rPr>
          <w:iCs/>
        </w:rPr>
        <w:t>$15,896.55</w:t>
      </w:r>
      <w:r w:rsidR="003B2C12">
        <w:rPr>
          <w:iCs/>
        </w:rPr>
        <w:t>.</w:t>
      </w:r>
    </w:p>
    <w:p w14:paraId="511314FF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iCs/>
        </w:rPr>
        <w:t>The work for which the Grade Crossing Protective Fund disbursement was approved must conform to the project description specified in the application.</w:t>
      </w:r>
    </w:p>
    <w:p w14:paraId="64195752" w14:textId="030222DC" w:rsidR="003B2C12" w:rsidRPr="003B2C12" w:rsidRDefault="00D43DE0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Tacoma Rail </w:t>
      </w:r>
      <w:r w:rsidR="003B2C12">
        <w:rPr>
          <w:bCs/>
          <w:iCs/>
        </w:rPr>
        <w:t>must sign and return the attached project agreement.</w:t>
      </w:r>
    </w:p>
    <w:p w14:paraId="3B37D914" w14:textId="77BB1188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bCs/>
          <w:iCs/>
        </w:rPr>
        <w:t xml:space="preserve">Payment will be made upon presentation of claim for reimbursement and verification by </w:t>
      </w:r>
      <w:r w:rsidR="003A7520">
        <w:rPr>
          <w:bCs/>
          <w:iCs/>
        </w:rPr>
        <w:t>Commission</w:t>
      </w:r>
      <w:r>
        <w:rPr>
          <w:bCs/>
          <w:iCs/>
        </w:rPr>
        <w:t xml:space="preserve"> </w:t>
      </w:r>
      <w:r w:rsidR="003A7520">
        <w:rPr>
          <w:bCs/>
          <w:iCs/>
        </w:rPr>
        <w:t>Staff</w:t>
      </w:r>
      <w:r>
        <w:rPr>
          <w:bCs/>
          <w:iCs/>
        </w:rPr>
        <w:t xml:space="preserve"> that the work has been satisfactorily completed.</w:t>
      </w:r>
    </w:p>
    <w:p w14:paraId="688FAA82" w14:textId="36F549F9" w:rsid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The project must be completed and the associated request for reimbursement from the Grade Crossing Protective Fund must be filed with the </w:t>
      </w:r>
      <w:r w:rsidR="003A7520">
        <w:t>Commission</w:t>
      </w:r>
      <w:r>
        <w:t xml:space="preserve"> no later than</w:t>
      </w:r>
      <w:r w:rsidR="00E2571F">
        <w:t xml:space="preserve"> </w:t>
      </w:r>
      <w:r w:rsidR="00D43DE0">
        <w:t>January 31, 2015</w:t>
      </w:r>
      <w:r>
        <w:t>.</w:t>
      </w:r>
    </w:p>
    <w:p w14:paraId="6A8D19B0" w14:textId="1FEC8C1B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(4)</w:t>
      </w:r>
      <w:r w:rsidRPr="004A535E">
        <w:tab/>
        <w:t xml:space="preserve">This matter </w:t>
      </w:r>
      <w:r w:rsidR="00F36635">
        <w:t>came</w:t>
      </w:r>
      <w:r w:rsidRPr="004A535E">
        <w:t xml:space="preserve"> before the </w:t>
      </w:r>
      <w:r w:rsidR="003A7520">
        <w:t>Commission</w:t>
      </w:r>
      <w:r w:rsidRPr="004A535E">
        <w:t xml:space="preserve"> at its regularly scheduled meeting on</w:t>
      </w:r>
      <w:r w:rsidR="000C4966">
        <w:t xml:space="preserve"> </w:t>
      </w:r>
      <w:r w:rsidR="00D43DE0">
        <w:t>November 14, 2014</w:t>
      </w:r>
      <w:r w:rsidR="003A22CD">
        <w:t>.</w:t>
      </w:r>
    </w:p>
    <w:p w14:paraId="421F5452" w14:textId="18E71FCB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(5)</w:t>
      </w:r>
      <w:r w:rsidRPr="004A535E">
        <w:tab/>
        <w:t xml:space="preserve">After </w:t>
      </w:r>
      <w:r w:rsidR="00F36635">
        <w:t>reviewing</w:t>
      </w:r>
      <w:r w:rsidR="000C4966">
        <w:t xml:space="preserve"> </w:t>
      </w:r>
      <w:r w:rsidR="00D43DE0">
        <w:t>Tacoma Rail</w:t>
      </w:r>
      <w:r w:rsidR="003A7520">
        <w:rPr>
          <w:bCs/>
          <w:iCs/>
        </w:rPr>
        <w:t>’</w:t>
      </w:r>
      <w:r w:rsidR="004D476F" w:rsidRPr="0060234B">
        <w:rPr>
          <w:bCs/>
          <w:iCs/>
        </w:rPr>
        <w:t>s</w:t>
      </w:r>
      <w:r w:rsidRPr="004A535E">
        <w:t xml:space="preserve"> application filed on</w:t>
      </w:r>
      <w:r w:rsidR="000C4966">
        <w:t xml:space="preserve"> </w:t>
      </w:r>
      <w:r w:rsidR="00D43DE0">
        <w:rPr>
          <w:iCs/>
        </w:rPr>
        <w:t>October 15, 2014</w:t>
      </w:r>
      <w:r w:rsidRPr="004A535E">
        <w:t xml:space="preserve">, and giving </w:t>
      </w:r>
      <w:r w:rsidR="003874B3">
        <w:t xml:space="preserve">due </w:t>
      </w:r>
      <w:r w:rsidRPr="004A535E">
        <w:t xml:space="preserve">consideration to all relevant matters and for good cause shown, the </w:t>
      </w:r>
      <w:r w:rsidR="003A7520">
        <w:t>Commission</w:t>
      </w:r>
      <w:r w:rsidRPr="004A535E">
        <w:t xml:space="preserve"> grants the request for disbursement of funds.</w:t>
      </w:r>
    </w:p>
    <w:p w14:paraId="46F2B065" w14:textId="77777777" w:rsidR="00755416" w:rsidRPr="004A535E" w:rsidRDefault="00755416" w:rsidP="00160663">
      <w:pPr>
        <w:pStyle w:val="SectionHeading"/>
        <w:spacing w:line="320" w:lineRule="exact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t>O R D E R</w:t>
      </w:r>
    </w:p>
    <w:p w14:paraId="6765EE07" w14:textId="306EF97C" w:rsidR="00755416" w:rsidRPr="004D476F" w:rsidRDefault="00755416" w:rsidP="00160663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4D476F">
        <w:rPr>
          <w:b/>
          <w:iCs/>
        </w:rPr>
        <w:t xml:space="preserve">THE </w:t>
      </w:r>
      <w:r w:rsidR="003A7520">
        <w:rPr>
          <w:b/>
          <w:iCs/>
        </w:rPr>
        <w:t>COMMISSION</w:t>
      </w:r>
      <w:r w:rsidRPr="004D476F">
        <w:rPr>
          <w:b/>
          <w:iCs/>
        </w:rPr>
        <w:t xml:space="preserve"> ORDERS: </w:t>
      </w:r>
    </w:p>
    <w:p w14:paraId="4C696C7E" w14:textId="1322913E" w:rsidR="00755416" w:rsidRPr="004A535E" w:rsidRDefault="00D43DE0" w:rsidP="00160663">
      <w:pPr>
        <w:pStyle w:val="NumberedParagraph"/>
        <w:spacing w:line="320" w:lineRule="exact"/>
      </w:pPr>
      <w:r>
        <w:t>Tacoma Rail Mountain Division</w:t>
      </w:r>
      <w:r w:rsidR="003A7520">
        <w:t>’</w:t>
      </w:r>
      <w:r>
        <w:t>s</w:t>
      </w:r>
      <w:r w:rsidR="004D476F">
        <w:rPr>
          <w:bCs/>
          <w:iCs/>
        </w:rPr>
        <w:t xml:space="preserve"> </w:t>
      </w:r>
      <w:r w:rsidR="002805D3">
        <w:rPr>
          <w:bCs/>
          <w:iCs/>
        </w:rPr>
        <w:t xml:space="preserve">application </w:t>
      </w:r>
      <w:r w:rsidR="004D476F">
        <w:rPr>
          <w:bCs/>
          <w:iCs/>
        </w:rPr>
        <w:t xml:space="preserve">for </w:t>
      </w:r>
      <w:r w:rsidR="00755416" w:rsidRPr="004A535E">
        <w:t xml:space="preserve">disbursement from the Grade Crossing Protective Fund for </w:t>
      </w:r>
      <w:r w:rsidR="00DE15EF">
        <w:t xml:space="preserve">installation of safety fencing in </w:t>
      </w:r>
      <w:r>
        <w:t>Tacoma</w:t>
      </w:r>
      <w:r w:rsidR="00DE15EF">
        <w:t xml:space="preserve"> between the railroad</w:t>
      </w:r>
      <w:r w:rsidR="003A7520">
        <w:t>’</w:t>
      </w:r>
      <w:r w:rsidR="00DE15EF">
        <w:t>s right-of-way an</w:t>
      </w:r>
      <w:r w:rsidR="005F6AD6">
        <w:t>d</w:t>
      </w:r>
      <w:r w:rsidR="00DE15EF">
        <w:t xml:space="preserve"> </w:t>
      </w:r>
      <w:r>
        <w:t>the Coventry Court Apartments</w:t>
      </w:r>
      <w:r w:rsidR="00755416" w:rsidRPr="004A535E">
        <w:t xml:space="preserve"> is granted, subject to the following conditions:  </w:t>
      </w:r>
    </w:p>
    <w:p w14:paraId="0373F179" w14:textId="189FBE78" w:rsidR="00755416" w:rsidRPr="004A535E" w:rsidRDefault="00755416" w:rsidP="00B35F15">
      <w:pPr>
        <w:numPr>
          <w:ilvl w:val="1"/>
          <w:numId w:val="21"/>
        </w:numPr>
        <w:tabs>
          <w:tab w:val="clear" w:pos="1800"/>
          <w:tab w:val="num" w:pos="540"/>
        </w:tabs>
        <w:spacing w:line="320" w:lineRule="exact"/>
        <w:ind w:left="540" w:hanging="540"/>
        <w:rPr>
          <w:iCs/>
        </w:rPr>
      </w:pPr>
      <w:r w:rsidRPr="004A535E">
        <w:t xml:space="preserve">Expenditure from the Grade Crossing Protective Fund must not exceed </w:t>
      </w:r>
      <w:r w:rsidR="00D43DE0">
        <w:rPr>
          <w:iCs/>
        </w:rPr>
        <w:t>$15,896.55</w:t>
      </w:r>
      <w:r w:rsidRPr="004A535E">
        <w:t>.</w:t>
      </w:r>
    </w:p>
    <w:p w14:paraId="12035E51" w14:textId="77777777" w:rsidR="00755416" w:rsidRPr="004A535E" w:rsidRDefault="00755416" w:rsidP="00B35F15">
      <w:pPr>
        <w:tabs>
          <w:tab w:val="num" w:pos="540"/>
        </w:tabs>
        <w:spacing w:line="320" w:lineRule="exact"/>
        <w:ind w:left="540" w:hanging="540"/>
        <w:rPr>
          <w:iCs/>
        </w:rPr>
      </w:pPr>
    </w:p>
    <w:p w14:paraId="2645F51C" w14:textId="77777777" w:rsidR="00001295" w:rsidRDefault="00755416" w:rsidP="00B35F15">
      <w:pPr>
        <w:numPr>
          <w:ilvl w:val="1"/>
          <w:numId w:val="21"/>
        </w:numPr>
        <w:tabs>
          <w:tab w:val="clear" w:pos="1800"/>
          <w:tab w:val="num" w:pos="540"/>
        </w:tabs>
        <w:spacing w:line="320" w:lineRule="exact"/>
        <w:ind w:left="540" w:hanging="540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14:paraId="64D9090A" w14:textId="77777777" w:rsidR="00001295" w:rsidRDefault="00001295" w:rsidP="00B35F15">
      <w:pPr>
        <w:tabs>
          <w:tab w:val="num" w:pos="540"/>
        </w:tabs>
        <w:spacing w:line="320" w:lineRule="exact"/>
        <w:ind w:left="540" w:hanging="540"/>
        <w:rPr>
          <w:b/>
          <w:iCs/>
        </w:rPr>
      </w:pPr>
    </w:p>
    <w:p w14:paraId="753CA49D" w14:textId="4D2FEC40" w:rsidR="00755416" w:rsidRPr="004A535E" w:rsidRDefault="00D43DE0" w:rsidP="00B35F15">
      <w:pPr>
        <w:numPr>
          <w:ilvl w:val="1"/>
          <w:numId w:val="21"/>
        </w:numPr>
        <w:tabs>
          <w:tab w:val="clear" w:pos="1800"/>
          <w:tab w:val="num" w:pos="540"/>
        </w:tabs>
        <w:spacing w:line="320" w:lineRule="exact"/>
        <w:ind w:left="540" w:hanging="540"/>
        <w:rPr>
          <w:iCs/>
        </w:rPr>
      </w:pPr>
      <w:r>
        <w:t>Tacoma Rail</w:t>
      </w:r>
      <w:r w:rsidR="00B35F15">
        <w:t xml:space="preserve"> Mountain Division</w:t>
      </w:r>
      <w:r w:rsidR="00600888">
        <w:rPr>
          <w:iCs/>
        </w:rPr>
        <w:t xml:space="preserve"> </w:t>
      </w:r>
      <w:r w:rsidR="00B76974">
        <w:rPr>
          <w:iCs/>
        </w:rPr>
        <w:t>must s</w:t>
      </w:r>
      <w:r w:rsidR="00B76974">
        <w:t>ign and return the attached project agreement.</w:t>
      </w:r>
      <w:r w:rsidR="00F43902">
        <w:br/>
      </w:r>
    </w:p>
    <w:p w14:paraId="32840F06" w14:textId="596BE996" w:rsidR="00755416" w:rsidRPr="004A535E" w:rsidRDefault="00755416" w:rsidP="00B35F15">
      <w:pPr>
        <w:numPr>
          <w:ilvl w:val="1"/>
          <w:numId w:val="21"/>
        </w:numPr>
        <w:tabs>
          <w:tab w:val="clear" w:pos="1800"/>
          <w:tab w:val="num" w:pos="540"/>
          <w:tab w:val="left" w:pos="4900"/>
        </w:tabs>
        <w:spacing w:line="320" w:lineRule="exact"/>
        <w:ind w:left="540" w:hanging="540"/>
        <w:rPr>
          <w:iCs/>
        </w:rPr>
      </w:pPr>
      <w:r w:rsidRPr="004A535E">
        <w:t xml:space="preserve">Payment will be made upon presentation of claim for reimbursement and verification by </w:t>
      </w:r>
      <w:r w:rsidR="003A7520">
        <w:t>Commission</w:t>
      </w:r>
      <w:r w:rsidR="004A535E" w:rsidRPr="004A535E">
        <w:t xml:space="preserve"> </w:t>
      </w:r>
      <w:r w:rsidR="003A7520">
        <w:t>Staff</w:t>
      </w:r>
      <w:r w:rsidRPr="004A535E">
        <w:t xml:space="preserve"> that the work has been satisfactorily completed.</w:t>
      </w:r>
    </w:p>
    <w:p w14:paraId="0F4139EA" w14:textId="77777777" w:rsidR="00755416" w:rsidRPr="004A535E" w:rsidRDefault="00755416" w:rsidP="00B35F15">
      <w:pPr>
        <w:tabs>
          <w:tab w:val="num" w:pos="540"/>
          <w:tab w:val="left" w:pos="4900"/>
        </w:tabs>
        <w:spacing w:line="320" w:lineRule="exact"/>
        <w:ind w:left="540" w:hanging="540"/>
        <w:rPr>
          <w:iCs/>
        </w:rPr>
      </w:pPr>
    </w:p>
    <w:p w14:paraId="54578C97" w14:textId="70B81A6C" w:rsidR="00755416" w:rsidRPr="00B97955" w:rsidRDefault="00755416" w:rsidP="00B35F15">
      <w:pPr>
        <w:numPr>
          <w:ilvl w:val="1"/>
          <w:numId w:val="21"/>
        </w:numPr>
        <w:tabs>
          <w:tab w:val="clear" w:pos="1800"/>
          <w:tab w:val="num" w:pos="540"/>
          <w:tab w:val="left" w:pos="4900"/>
        </w:tabs>
        <w:spacing w:line="320" w:lineRule="exact"/>
        <w:ind w:left="540" w:hanging="540"/>
        <w:rPr>
          <w:iCs/>
        </w:rPr>
      </w:pPr>
      <w:r w:rsidRPr="004A535E">
        <w:t>The project must be completed and the associated request for reimbursement from the Grade Crossing Protective Fund must be file</w:t>
      </w:r>
      <w:r w:rsidR="004D476F">
        <w:t>d</w:t>
      </w:r>
      <w:r w:rsidRPr="004A535E">
        <w:t xml:space="preserve"> with the </w:t>
      </w:r>
      <w:r w:rsidR="003A7520">
        <w:t>Commission</w:t>
      </w:r>
      <w:r w:rsidRPr="004A535E">
        <w:t xml:space="preserve"> no later than</w:t>
      </w:r>
      <w:r w:rsidR="003B2C12">
        <w:t xml:space="preserve"> </w:t>
      </w:r>
      <w:r w:rsidR="00D43DE0">
        <w:t>January 31, 2015</w:t>
      </w:r>
      <w:r w:rsidRPr="004A535E">
        <w:t xml:space="preserve">.  </w:t>
      </w:r>
    </w:p>
    <w:p w14:paraId="3DB95ABE" w14:textId="77777777" w:rsidR="00B97955" w:rsidRPr="004A535E" w:rsidRDefault="00B97955" w:rsidP="00B35F15">
      <w:pPr>
        <w:tabs>
          <w:tab w:val="num" w:pos="540"/>
          <w:tab w:val="left" w:pos="4900"/>
        </w:tabs>
        <w:spacing w:line="320" w:lineRule="exact"/>
        <w:ind w:left="540" w:hanging="540"/>
        <w:rPr>
          <w:iCs/>
        </w:rPr>
      </w:pPr>
    </w:p>
    <w:p w14:paraId="0ADAF55B" w14:textId="1A7322D1" w:rsidR="00AC3EC9" w:rsidRDefault="00AC3EC9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  <w:r>
        <w:t xml:space="preserve">The </w:t>
      </w:r>
      <w:r w:rsidR="003A7520">
        <w:t>Commission</w:t>
      </w:r>
      <w:r>
        <w:t>ers, having determined this Order to be consistent with the public interest, directed the Secretary to enter this Order.</w:t>
      </w:r>
    </w:p>
    <w:p w14:paraId="0D035EBB" w14:textId="77777777" w:rsidR="00C63728" w:rsidRDefault="00C63728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</w:p>
    <w:p w14:paraId="5555E806" w14:textId="12AC3D8E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  <w:r w:rsidRPr="00B97955">
        <w:rPr>
          <w:iCs/>
        </w:rPr>
        <w:t>DATED at Olympia, Washington, and effective</w:t>
      </w:r>
      <w:r w:rsidR="002839D2">
        <w:rPr>
          <w:iCs/>
        </w:rPr>
        <w:t xml:space="preserve"> </w:t>
      </w:r>
      <w:r w:rsidR="00D43DE0">
        <w:t>November 14, 2014</w:t>
      </w:r>
      <w:r w:rsidRPr="00B97955">
        <w:rPr>
          <w:iCs/>
        </w:rPr>
        <w:t>.</w:t>
      </w:r>
    </w:p>
    <w:p w14:paraId="5BB321F1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22A0CBF" w14:textId="28ECBAD6" w:rsidR="00B97955" w:rsidRPr="00B97955" w:rsidRDefault="00B97955" w:rsidP="00160663">
      <w:pPr>
        <w:tabs>
          <w:tab w:val="left" w:pos="4900"/>
        </w:tabs>
        <w:spacing w:line="320" w:lineRule="exact"/>
        <w:jc w:val="center"/>
        <w:rPr>
          <w:iCs/>
        </w:rPr>
      </w:pPr>
      <w:r w:rsidRPr="00B97955">
        <w:rPr>
          <w:iCs/>
        </w:rPr>
        <w:t xml:space="preserve">WASHINGTON UTILITIES AND TRANSPORTATION </w:t>
      </w:r>
      <w:r w:rsidR="003A7520">
        <w:rPr>
          <w:iCs/>
        </w:rPr>
        <w:t>COMMISSION</w:t>
      </w:r>
    </w:p>
    <w:p w14:paraId="2237A7F9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4C33B1DB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763B0A74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520CF38F" w14:textId="77777777" w:rsidR="00755416" w:rsidRPr="004A535E" w:rsidRDefault="002E4BDD" w:rsidP="00160663">
      <w:pPr>
        <w:tabs>
          <w:tab w:val="left" w:pos="4900"/>
        </w:tabs>
        <w:spacing w:line="320" w:lineRule="exact"/>
        <w:rPr>
          <w:iCs/>
        </w:rPr>
      </w:pPr>
      <w:r>
        <w:t xml:space="preserve">                                       </w:t>
      </w:r>
      <w:r w:rsidR="002F0C73">
        <w:t>STEVEN V. KING</w:t>
      </w:r>
      <w:r w:rsidR="009802F8">
        <w:t>,</w:t>
      </w:r>
      <w:r w:rsidR="007E061F">
        <w:t xml:space="preserve"> </w:t>
      </w:r>
      <w:r w:rsidR="001B7D3A">
        <w:t>Executive Director</w:t>
      </w:r>
      <w:r>
        <w:t xml:space="preserve"> and Secretary</w:t>
      </w:r>
    </w:p>
    <w:p w14:paraId="55E892AF" w14:textId="77777777" w:rsidR="005F391B" w:rsidRDefault="005F391B" w:rsidP="00160663">
      <w:pPr>
        <w:spacing w:line="320" w:lineRule="exact"/>
        <w:rPr>
          <w:iCs/>
        </w:rPr>
        <w:sectPr w:rsidR="005F391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56502654" w14:textId="77777777" w:rsidR="005F391B" w:rsidRDefault="005F391B" w:rsidP="00160663">
      <w:pPr>
        <w:spacing w:line="320" w:lineRule="exact"/>
        <w:rPr>
          <w:iCs/>
        </w:rPr>
        <w:sectPr w:rsidR="005F391B"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5BDB4DCA" w14:textId="77777777" w:rsidR="00755416" w:rsidRPr="004A535E" w:rsidRDefault="00755416" w:rsidP="00160663">
      <w:pPr>
        <w:spacing w:line="320" w:lineRule="exact"/>
        <w:rPr>
          <w:iCs/>
        </w:rPr>
      </w:pPr>
    </w:p>
    <w:p w14:paraId="07442018" w14:textId="77777777" w:rsidR="00755416" w:rsidRPr="004A535E" w:rsidRDefault="00DE15EF" w:rsidP="00DE15EF">
      <w:pPr>
        <w:spacing w:line="320" w:lineRule="exact"/>
        <w:rPr>
          <w:iCs/>
        </w:rPr>
      </w:pPr>
      <w:r w:rsidRPr="004A535E">
        <w:rPr>
          <w:iCs/>
        </w:rPr>
        <w:t xml:space="preserve"> </w:t>
      </w:r>
    </w:p>
    <w:p w14:paraId="5B8FE6CC" w14:textId="77777777" w:rsidR="00755416" w:rsidRPr="004A535E" w:rsidRDefault="00755416" w:rsidP="00160663">
      <w:pPr>
        <w:spacing w:line="320" w:lineRule="exact"/>
        <w:rPr>
          <w:iCs/>
        </w:rPr>
      </w:pPr>
    </w:p>
    <w:sectPr w:rsidR="00755416" w:rsidRPr="004A535E" w:rsidSect="00F34A07">
      <w:headerReference w:type="default" r:id="rId16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78608" w14:textId="77777777" w:rsidR="00B93668" w:rsidRDefault="00B93668">
      <w:r>
        <w:separator/>
      </w:r>
    </w:p>
  </w:endnote>
  <w:endnote w:type="continuationSeparator" w:id="0">
    <w:p w14:paraId="4539590B" w14:textId="77777777" w:rsidR="00B93668" w:rsidRDefault="00B9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C7749" w14:textId="77777777" w:rsidR="003A7520" w:rsidRDefault="003A75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19DED" w14:textId="77777777" w:rsidR="003A7520" w:rsidRDefault="003A75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A0EC9" w14:textId="77777777" w:rsidR="003A7520" w:rsidRDefault="003A75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61526" w14:textId="77777777" w:rsidR="00B93668" w:rsidRDefault="00B93668">
      <w:r>
        <w:separator/>
      </w:r>
    </w:p>
  </w:footnote>
  <w:footnote w:type="continuationSeparator" w:id="0">
    <w:p w14:paraId="284359FB" w14:textId="77777777" w:rsidR="00B93668" w:rsidRDefault="00B93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B841A" w14:textId="77777777" w:rsidR="003A7520" w:rsidRDefault="003A75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FADBB" w14:textId="50A9DE0F" w:rsidR="00B93668" w:rsidRPr="00A748CC" w:rsidRDefault="00B93668" w:rsidP="00B5510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C93666">
      <w:rPr>
        <w:b/>
        <w:sz w:val="20"/>
      </w:rPr>
      <w:t>TR-</w:t>
    </w:r>
    <w:r w:rsidR="00995CC1">
      <w:rPr>
        <w:b/>
        <w:sz w:val="20"/>
      </w:rPr>
      <w:t>143692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567505">
      <w:rPr>
        <w:rStyle w:val="PageNumber"/>
        <w:b/>
        <w:noProof/>
        <w:sz w:val="20"/>
      </w:rPr>
      <w:t>4</w:t>
    </w:r>
    <w:r w:rsidRPr="00A748CC">
      <w:rPr>
        <w:rStyle w:val="PageNumber"/>
        <w:b/>
        <w:sz w:val="20"/>
      </w:rPr>
      <w:fldChar w:fldCharType="end"/>
    </w:r>
  </w:p>
  <w:p w14:paraId="0438DAA5" w14:textId="77777777" w:rsidR="00B93668" w:rsidRPr="0050337D" w:rsidRDefault="00B93668" w:rsidP="00B5510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C93666">
      <w:rPr>
        <w:b/>
        <w:sz w:val="20"/>
      </w:rPr>
      <w:t>01</w:t>
    </w:r>
  </w:p>
  <w:p w14:paraId="14289B39" w14:textId="77777777" w:rsidR="00B93668" w:rsidRPr="008C66E3" w:rsidRDefault="00B93668">
    <w:pPr>
      <w:pStyle w:val="Header"/>
      <w:tabs>
        <w:tab w:val="left" w:pos="7100"/>
      </w:tabs>
      <w:rPr>
        <w:rStyle w:val="PageNumber"/>
        <w:b/>
        <w:sz w:val="20"/>
      </w:rPr>
    </w:pPr>
  </w:p>
  <w:p w14:paraId="74D7A4C8" w14:textId="77777777" w:rsidR="00B93668" w:rsidRPr="005E5651" w:rsidRDefault="00B93668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A49DB" w14:textId="77777777" w:rsidR="00B93668" w:rsidRDefault="00B93668">
    <w:pPr>
      <w:pStyle w:val="Header"/>
      <w:tabs>
        <w:tab w:val="left" w:pos="700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33AD9" w14:textId="77777777" w:rsidR="00B93668" w:rsidRPr="00A748CC" w:rsidRDefault="00B93668" w:rsidP="00600888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NO. </w:t>
    </w:r>
    <w:r w:rsidR="0073731B">
      <w:fldChar w:fldCharType="begin"/>
    </w:r>
    <w:r w:rsidR="0073731B">
      <w:instrText xml:space="preserve"> REF docket_no  \* MERGEFORMAT </w:instrText>
    </w:r>
    <w:r w:rsidR="0073731B">
      <w:fldChar w:fldCharType="separate"/>
    </w:r>
    <w:r w:rsidR="00567505">
      <w:rPr>
        <w:b/>
        <w:bCs/>
      </w:rPr>
      <w:t>Error! Reference source not found.</w:t>
    </w:r>
    <w:r w:rsidR="0073731B">
      <w:rPr>
        <w:b/>
        <w:sz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>
      <w:rPr>
        <w:rStyle w:val="PageNumber"/>
        <w:b/>
        <w:noProof/>
        <w:sz w:val="20"/>
      </w:rPr>
      <w:t>5</w:t>
    </w:r>
    <w:r w:rsidRPr="00A748CC">
      <w:rPr>
        <w:rStyle w:val="PageNumber"/>
        <w:b/>
        <w:sz w:val="20"/>
      </w:rPr>
      <w:fldChar w:fldCharType="end"/>
    </w:r>
  </w:p>
  <w:p w14:paraId="3675638F" w14:textId="77777777" w:rsidR="00B93668" w:rsidRPr="0050337D" w:rsidRDefault="00B93668" w:rsidP="00600888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NO. </w:t>
    </w:r>
    <w:r w:rsidR="0073731B">
      <w:fldChar w:fldCharType="begin"/>
    </w:r>
    <w:r w:rsidR="0073731B">
      <w:instrText xml:space="preserve"> REF order_no  \* MERGEFORMAT </w:instrText>
    </w:r>
    <w:r w:rsidR="0073731B">
      <w:fldChar w:fldCharType="separate"/>
    </w:r>
    <w:r w:rsidR="00567505">
      <w:rPr>
        <w:b/>
        <w:bCs/>
      </w:rPr>
      <w:t>Error! Reference source not found.</w:t>
    </w:r>
    <w:r w:rsidR="0073731B">
      <w:rPr>
        <w:b/>
        <w:sz w:val="20"/>
      </w:rPr>
      <w:fldChar w:fldCharType="end"/>
    </w:r>
  </w:p>
  <w:p w14:paraId="50793ECA" w14:textId="77777777" w:rsidR="00B93668" w:rsidRPr="00883467" w:rsidRDefault="00B93668">
    <w:pPr>
      <w:pStyle w:val="Header"/>
      <w:rPr>
        <w:b/>
      </w:rPr>
    </w:pPr>
  </w:p>
  <w:p w14:paraId="566A9D0E" w14:textId="77777777" w:rsidR="00B93668" w:rsidRPr="00883467" w:rsidRDefault="00B93668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2DBB"/>
    <w:multiLevelType w:val="hybridMultilevel"/>
    <w:tmpl w:val="76C28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2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E6797"/>
    <w:multiLevelType w:val="hybridMultilevel"/>
    <w:tmpl w:val="007CF25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22"/>
  </w:num>
  <w:num w:numId="5">
    <w:abstractNumId w:val="5"/>
  </w:num>
  <w:num w:numId="6">
    <w:abstractNumId w:val="17"/>
  </w:num>
  <w:num w:numId="7">
    <w:abstractNumId w:val="8"/>
  </w:num>
  <w:num w:numId="8">
    <w:abstractNumId w:val="21"/>
  </w:num>
  <w:num w:numId="9">
    <w:abstractNumId w:val="12"/>
  </w:num>
  <w:num w:numId="10">
    <w:abstractNumId w:val="6"/>
  </w:num>
  <w:num w:numId="11">
    <w:abstractNumId w:val="16"/>
  </w:num>
  <w:num w:numId="12">
    <w:abstractNumId w:val="6"/>
  </w:num>
  <w:num w:numId="13">
    <w:abstractNumId w:val="18"/>
  </w:num>
  <w:num w:numId="14">
    <w:abstractNumId w:val="23"/>
  </w:num>
  <w:num w:numId="15">
    <w:abstractNumId w:val="7"/>
  </w:num>
  <w:num w:numId="16">
    <w:abstractNumId w:val="13"/>
  </w:num>
  <w:num w:numId="17">
    <w:abstractNumId w:val="4"/>
  </w:num>
  <w:num w:numId="18">
    <w:abstractNumId w:val="11"/>
  </w:num>
  <w:num w:numId="19">
    <w:abstractNumId w:val="6"/>
  </w:num>
  <w:num w:numId="20">
    <w:abstractNumId w:val="1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66"/>
    <w:rsid w:val="00001295"/>
    <w:rsid w:val="000517A3"/>
    <w:rsid w:val="00064144"/>
    <w:rsid w:val="0006644A"/>
    <w:rsid w:val="000A3B4B"/>
    <w:rsid w:val="000C0968"/>
    <w:rsid w:val="000C4966"/>
    <w:rsid w:val="000C4E1C"/>
    <w:rsid w:val="000F7FD3"/>
    <w:rsid w:val="0011356B"/>
    <w:rsid w:val="00124A90"/>
    <w:rsid w:val="001366EC"/>
    <w:rsid w:val="00160663"/>
    <w:rsid w:val="00165E71"/>
    <w:rsid w:val="001750C8"/>
    <w:rsid w:val="001804BE"/>
    <w:rsid w:val="00186E46"/>
    <w:rsid w:val="001B0F2A"/>
    <w:rsid w:val="001B2EE5"/>
    <w:rsid w:val="001B7D3A"/>
    <w:rsid w:val="001C13E2"/>
    <w:rsid w:val="001E5614"/>
    <w:rsid w:val="001E6E37"/>
    <w:rsid w:val="002151C2"/>
    <w:rsid w:val="00242690"/>
    <w:rsid w:val="00267FAB"/>
    <w:rsid w:val="0027416A"/>
    <w:rsid w:val="002805D3"/>
    <w:rsid w:val="002839D2"/>
    <w:rsid w:val="002939BE"/>
    <w:rsid w:val="002E2315"/>
    <w:rsid w:val="002E4BDD"/>
    <w:rsid w:val="002F0C73"/>
    <w:rsid w:val="00325F6A"/>
    <w:rsid w:val="00354DC5"/>
    <w:rsid w:val="00360CB5"/>
    <w:rsid w:val="003677FF"/>
    <w:rsid w:val="00377D0F"/>
    <w:rsid w:val="003874B3"/>
    <w:rsid w:val="0039537D"/>
    <w:rsid w:val="003A22CD"/>
    <w:rsid w:val="003A7520"/>
    <w:rsid w:val="003B2C12"/>
    <w:rsid w:val="003E37C4"/>
    <w:rsid w:val="003E674B"/>
    <w:rsid w:val="004010F5"/>
    <w:rsid w:val="0040769D"/>
    <w:rsid w:val="00451316"/>
    <w:rsid w:val="00475BEF"/>
    <w:rsid w:val="00484C26"/>
    <w:rsid w:val="004A535E"/>
    <w:rsid w:val="004C78AB"/>
    <w:rsid w:val="004D476F"/>
    <w:rsid w:val="004E580C"/>
    <w:rsid w:val="004F41BC"/>
    <w:rsid w:val="00536397"/>
    <w:rsid w:val="00567505"/>
    <w:rsid w:val="005846B0"/>
    <w:rsid w:val="005918D2"/>
    <w:rsid w:val="00591A5C"/>
    <w:rsid w:val="00597858"/>
    <w:rsid w:val="005A088A"/>
    <w:rsid w:val="005A56F3"/>
    <w:rsid w:val="005F391B"/>
    <w:rsid w:val="005F6AD6"/>
    <w:rsid w:val="00600888"/>
    <w:rsid w:val="0060234B"/>
    <w:rsid w:val="00615EB0"/>
    <w:rsid w:val="0062184C"/>
    <w:rsid w:val="00656926"/>
    <w:rsid w:val="00677E09"/>
    <w:rsid w:val="0068196A"/>
    <w:rsid w:val="006F755E"/>
    <w:rsid w:val="0073731B"/>
    <w:rsid w:val="00755416"/>
    <w:rsid w:val="00785CBC"/>
    <w:rsid w:val="00785DAF"/>
    <w:rsid w:val="007A0666"/>
    <w:rsid w:val="007C18E9"/>
    <w:rsid w:val="007D3201"/>
    <w:rsid w:val="007E061F"/>
    <w:rsid w:val="007E3307"/>
    <w:rsid w:val="00800858"/>
    <w:rsid w:val="008042E9"/>
    <w:rsid w:val="00826DC9"/>
    <w:rsid w:val="00841AEB"/>
    <w:rsid w:val="0085092B"/>
    <w:rsid w:val="008639BD"/>
    <w:rsid w:val="00880608"/>
    <w:rsid w:val="00883467"/>
    <w:rsid w:val="008B2156"/>
    <w:rsid w:val="008C3590"/>
    <w:rsid w:val="008E01A0"/>
    <w:rsid w:val="008E3DDB"/>
    <w:rsid w:val="008F10E3"/>
    <w:rsid w:val="008F5D61"/>
    <w:rsid w:val="00902B48"/>
    <w:rsid w:val="0093606C"/>
    <w:rsid w:val="00942182"/>
    <w:rsid w:val="00962547"/>
    <w:rsid w:val="009802F8"/>
    <w:rsid w:val="00995CC1"/>
    <w:rsid w:val="009A176F"/>
    <w:rsid w:val="009D0633"/>
    <w:rsid w:val="009D42A4"/>
    <w:rsid w:val="009E7C5F"/>
    <w:rsid w:val="00A35289"/>
    <w:rsid w:val="00AC3EC9"/>
    <w:rsid w:val="00AF1EFB"/>
    <w:rsid w:val="00B035E3"/>
    <w:rsid w:val="00B043DE"/>
    <w:rsid w:val="00B17B50"/>
    <w:rsid w:val="00B305D3"/>
    <w:rsid w:val="00B35F15"/>
    <w:rsid w:val="00B45FBE"/>
    <w:rsid w:val="00B5510A"/>
    <w:rsid w:val="00B76974"/>
    <w:rsid w:val="00B83200"/>
    <w:rsid w:val="00B93668"/>
    <w:rsid w:val="00B97955"/>
    <w:rsid w:val="00BA03CE"/>
    <w:rsid w:val="00BD2585"/>
    <w:rsid w:val="00BE1110"/>
    <w:rsid w:val="00BF14D6"/>
    <w:rsid w:val="00C22DFE"/>
    <w:rsid w:val="00C23341"/>
    <w:rsid w:val="00C379D0"/>
    <w:rsid w:val="00C46DB4"/>
    <w:rsid w:val="00C63728"/>
    <w:rsid w:val="00C722E7"/>
    <w:rsid w:val="00C85ACE"/>
    <w:rsid w:val="00C92746"/>
    <w:rsid w:val="00C93666"/>
    <w:rsid w:val="00C94645"/>
    <w:rsid w:val="00CB7214"/>
    <w:rsid w:val="00CB799E"/>
    <w:rsid w:val="00CD3EC9"/>
    <w:rsid w:val="00CE212B"/>
    <w:rsid w:val="00D17A40"/>
    <w:rsid w:val="00D43DE0"/>
    <w:rsid w:val="00D45ACA"/>
    <w:rsid w:val="00D93605"/>
    <w:rsid w:val="00D94733"/>
    <w:rsid w:val="00D96B59"/>
    <w:rsid w:val="00DA1880"/>
    <w:rsid w:val="00DB5DC7"/>
    <w:rsid w:val="00DC4A60"/>
    <w:rsid w:val="00DE0F80"/>
    <w:rsid w:val="00DE15EF"/>
    <w:rsid w:val="00DE27AA"/>
    <w:rsid w:val="00DE3FDB"/>
    <w:rsid w:val="00DE60F2"/>
    <w:rsid w:val="00DF5ECF"/>
    <w:rsid w:val="00E07530"/>
    <w:rsid w:val="00E141BA"/>
    <w:rsid w:val="00E2571F"/>
    <w:rsid w:val="00E9138C"/>
    <w:rsid w:val="00ED0375"/>
    <w:rsid w:val="00ED62C2"/>
    <w:rsid w:val="00EE3E61"/>
    <w:rsid w:val="00F11310"/>
    <w:rsid w:val="00F267F5"/>
    <w:rsid w:val="00F32B11"/>
    <w:rsid w:val="00F34A07"/>
    <w:rsid w:val="00F36635"/>
    <w:rsid w:val="00F43569"/>
    <w:rsid w:val="00F43902"/>
    <w:rsid w:val="00F54653"/>
    <w:rsid w:val="00F67D40"/>
    <w:rsid w:val="00F75BF2"/>
    <w:rsid w:val="00F828C5"/>
    <w:rsid w:val="00FC45FB"/>
    <w:rsid w:val="00FD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36E03"/>
  <w15:docId w15:val="{EF2FCD04-C17F-4EA8-8D64-905A3E80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GCPF%20Safety%20Improv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6EED70E62D0D42B03D8A36F7CEBF54" ma:contentTypeVersion="175" ma:contentTypeDescription="" ma:contentTypeScope="" ma:versionID="b7a80d7790f9a41f0231346e7a46ae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2014-10-15T07:00:00+00:00</OpenedDate>
    <Date1 xmlns="dc463f71-b30c-4ab2-9473-d307f9d35888">2014-11-14T08:00:00+00:00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Tacoma Rail Mountain Division</CaseCompanyNames>
    <DocketNumber xmlns="dc463f71-b30c-4ab2-9473-d307f9d35888">143692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71F1DF3-6482-416E-8F07-9DCC97E18FFF}"/>
</file>

<file path=customXml/itemProps2.xml><?xml version="1.0" encoding="utf-8"?>
<ds:datastoreItem xmlns:ds="http://schemas.openxmlformats.org/officeDocument/2006/customXml" ds:itemID="{7976534D-3F61-4B56-826A-133F1F381693}"/>
</file>

<file path=customXml/itemProps3.xml><?xml version="1.0" encoding="utf-8"?>
<ds:datastoreItem xmlns:ds="http://schemas.openxmlformats.org/officeDocument/2006/customXml" ds:itemID="{A8E781BF-6B98-440C-A361-9096EA93B5F0}"/>
</file>

<file path=customXml/itemProps4.xml><?xml version="1.0" encoding="utf-8"?>
<ds:datastoreItem xmlns:ds="http://schemas.openxmlformats.org/officeDocument/2006/customXml" ds:itemID="{87E3E331-F192-4B77-8F57-BC2ECCE17F13}"/>
</file>

<file path=docProps/app.xml><?xml version="1.0" encoding="utf-8"?>
<Properties xmlns="http://schemas.openxmlformats.org/officeDocument/2006/extended-properties" xmlns:vt="http://schemas.openxmlformats.org/officeDocument/2006/docPropsVTypes">
  <Template>GCPF Safety Improvement</Template>
  <TotalTime>3</TotalTime>
  <Pages>4</Pages>
  <Words>900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TR-143692 Order</vt:lpstr>
    </vt:vector>
  </TitlesOfParts>
  <Company>WUTC</Company>
  <LinksUpToDate>false</LinksUpToDate>
  <CharactersWithSpaces>5777</CharactersWithSpaces>
  <SharedDoc>false</SharedDoc>
  <HLinks>
    <vt:vector size="36" baseType="variant">
      <vt:variant>
        <vt:i4>2490368</vt:i4>
      </vt:variant>
      <vt:variant>
        <vt:i4>169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101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TR-143692 Order</dc:title>
  <dc:creator>Young, Betty (UTC)</dc:creator>
  <cp:lastModifiedBy>Kern, Cathy (UTC)</cp:lastModifiedBy>
  <cp:revision>3</cp:revision>
  <cp:lastPrinted>2014-11-14T00:07:00Z</cp:lastPrinted>
  <dcterms:created xsi:type="dcterms:W3CDTF">2014-11-14T00:07:00Z</dcterms:created>
  <dcterms:modified xsi:type="dcterms:W3CDTF">2014-11-14T00:10:00Z</dcterms:modified>
  <cp:category>Railroad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0x0101006E56B4D1795A2E4DB2F0B01679ED314A00B36EED70E62D0D42B03D8A36F7CEBF54</vt:lpwstr>
  </property>
  <property fmtid="{D5CDD505-2E9C-101B-9397-08002B2CF9AE}" pid="3" name="_docset_NoMedatataSyncRequired">
    <vt:lpwstr>False</vt:lpwstr>
  </property>
</Properties>
</file>