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78A7141"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June 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D63C7D4"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D03E1A">
        <w:rPr>
          <w:rFonts w:ascii="Times New Roman" w:hAnsi="Times New Roman"/>
          <w:i/>
          <w:sz w:val="24"/>
          <w:szCs w:val="24"/>
        </w:rPr>
        <w:t>A Blackstone Limousine, Inc.</w:t>
      </w:r>
    </w:p>
    <w:p w14:paraId="2079200F" w14:textId="77777777" w:rsidR="00B33055" w:rsidRDefault="00B33055" w:rsidP="009008D5">
      <w:pPr>
        <w:spacing w:after="0" w:line="240" w:lineRule="auto"/>
        <w:rPr>
          <w:rFonts w:ascii="Times New Roman" w:hAnsi="Times New Roman"/>
          <w:sz w:val="24"/>
          <w:szCs w:val="24"/>
        </w:rPr>
      </w:pPr>
    </w:p>
    <w:p w14:paraId="61CF9C97" w14:textId="74EC1ECC"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TE-141043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DA7B068"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232810">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D03E1A">
        <w:rPr>
          <w:rFonts w:ascii="Times New Roman" w:hAnsi="Times New Roman"/>
          <w:sz w:val="24"/>
          <w:szCs w:val="24"/>
        </w:rPr>
        <w:t>141043</w:t>
      </w:r>
      <w:r>
        <w:rPr>
          <w:rFonts w:ascii="Times New Roman" w:hAnsi="Times New Roman"/>
          <w:sz w:val="24"/>
          <w:szCs w:val="24"/>
        </w:rPr>
        <w:t xml:space="preserve"> against </w:t>
      </w:r>
      <w:r w:rsidR="00D03E1A">
        <w:rPr>
          <w:rFonts w:ascii="Times New Roman" w:hAnsi="Times New Roman"/>
          <w:sz w:val="24"/>
          <w:szCs w:val="24"/>
        </w:rPr>
        <w:t>A Blackstone Limousine, Inc.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1DCED37A"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On May 30</w:t>
      </w:r>
      <w:r w:rsidR="000260AC">
        <w:rPr>
          <w:rFonts w:ascii="Times New Roman" w:hAnsi="Times New Roman"/>
          <w:sz w:val="24"/>
          <w:szCs w:val="24"/>
        </w:rPr>
        <w:t xml:space="preserve">, 2014, </w:t>
      </w:r>
      <w:r w:rsidR="00D03E1A">
        <w:rPr>
          <w:rFonts w:ascii="Times New Roman" w:hAnsi="Times New Roman"/>
          <w:sz w:val="24"/>
          <w:szCs w:val="24"/>
        </w:rPr>
        <w:t>A Blackstone Limousine, Inc</w:t>
      </w:r>
      <w:r>
        <w:rPr>
          <w:rFonts w:ascii="Times New Roman" w:hAnsi="Times New Roman"/>
          <w:sz w:val="24"/>
          <w:szCs w:val="24"/>
        </w:rPr>
        <w:t>.</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D03E1A">
        <w:rPr>
          <w:rFonts w:ascii="Times New Roman" w:hAnsi="Times New Roman"/>
          <w:sz w:val="24"/>
          <w:szCs w:val="24"/>
        </w:rPr>
        <w:t>A Blackstone Limousine</w:t>
      </w:r>
      <w:r>
        <w:rPr>
          <w:rFonts w:ascii="Times New Roman" w:hAnsi="Times New Roman"/>
          <w:sz w:val="24"/>
          <w:szCs w:val="24"/>
        </w:rPr>
        <w:t xml:space="preserve">, Inc.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D03E1A">
        <w:rPr>
          <w:rFonts w:ascii="Times New Roman" w:hAnsi="Times New Roman"/>
          <w:sz w:val="24"/>
          <w:szCs w:val="24"/>
        </w:rPr>
        <w:t>The first notice I received of this notification was your letter dated May 23.  I received no other notification”.</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E4E7AE7" w14:textId="77777777" w:rsidR="00232810" w:rsidRDefault="00232810" w:rsidP="009008D5">
      <w:pPr>
        <w:spacing w:after="0" w:line="240" w:lineRule="auto"/>
        <w:rPr>
          <w:rFonts w:ascii="Times New Roman" w:hAnsi="Times New Roman"/>
          <w:sz w:val="24"/>
          <w:szCs w:val="24"/>
        </w:rPr>
      </w:pPr>
    </w:p>
    <w:p w14:paraId="19BCFA6D" w14:textId="77777777" w:rsidR="00232810" w:rsidRDefault="00232810" w:rsidP="009008D5">
      <w:pPr>
        <w:spacing w:after="0" w:line="240" w:lineRule="auto"/>
        <w:rPr>
          <w:rFonts w:ascii="Times New Roman" w:hAnsi="Times New Roman"/>
          <w:sz w:val="24"/>
          <w:szCs w:val="24"/>
        </w:rPr>
      </w:pPr>
    </w:p>
    <w:p w14:paraId="01DFE8CA" w14:textId="77777777" w:rsidR="00232810" w:rsidRDefault="00232810" w:rsidP="009008D5">
      <w:pPr>
        <w:spacing w:after="0" w:line="240" w:lineRule="auto"/>
        <w:rPr>
          <w:rFonts w:ascii="Times New Roman" w:hAnsi="Times New Roman"/>
          <w:sz w:val="24"/>
          <w:szCs w:val="24"/>
        </w:rPr>
      </w:pPr>
    </w:p>
    <w:p w14:paraId="39D747C9" w14:textId="77777777" w:rsidR="00232810" w:rsidRDefault="00232810" w:rsidP="009008D5">
      <w:pPr>
        <w:spacing w:after="0" w:line="240" w:lineRule="auto"/>
        <w:rPr>
          <w:rFonts w:ascii="Times New Roman" w:hAnsi="Times New Roman"/>
          <w:sz w:val="24"/>
          <w:szCs w:val="24"/>
        </w:rPr>
      </w:pPr>
    </w:p>
    <w:p w14:paraId="03CDE602"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7810C91B"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June 6,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1DA6A666"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May 30, 2014, </w:t>
      </w:r>
      <w:r w:rsidR="00D03E1A">
        <w:rPr>
          <w:rFonts w:ascii="Times New Roman" w:hAnsi="Times New Roman"/>
          <w:sz w:val="24"/>
          <w:szCs w:val="24"/>
        </w:rPr>
        <w:t>A Blackstone Limousine</w:t>
      </w:r>
      <w:r>
        <w:rPr>
          <w:rFonts w:ascii="Times New Roman" w:hAnsi="Times New Roman"/>
          <w:sz w:val="24"/>
          <w:szCs w:val="24"/>
        </w:rPr>
        <w:t xml:space="preserve">, Inc. filed the 2013 annual report and timely paid the required regulatory fees on December </w:t>
      </w:r>
      <w:r w:rsidR="00D03E1A">
        <w:rPr>
          <w:rFonts w:ascii="Times New Roman" w:hAnsi="Times New Roman"/>
          <w:sz w:val="24"/>
          <w:szCs w:val="24"/>
        </w:rPr>
        <w:t>9</w:t>
      </w:r>
      <w:r>
        <w:rPr>
          <w:rFonts w:ascii="Times New Roman" w:hAnsi="Times New Roman"/>
          <w:sz w:val="24"/>
          <w:szCs w:val="24"/>
        </w:rPr>
        <w:t xml:space="preserve">, 2013.  The company </w:t>
      </w:r>
      <w:r w:rsidR="00D03E1A">
        <w:rPr>
          <w:rFonts w:ascii="Times New Roman" w:hAnsi="Times New Roman"/>
          <w:sz w:val="24"/>
          <w:szCs w:val="24"/>
        </w:rPr>
        <w:t>permit was issued on April 8, 2010</w:t>
      </w:r>
      <w:r>
        <w:rPr>
          <w:rFonts w:ascii="Times New Roman" w:hAnsi="Times New Roman"/>
          <w:sz w:val="24"/>
          <w:szCs w:val="24"/>
        </w:rPr>
        <w:t xml:space="preserve">.  No previous violations of WAC </w:t>
      </w:r>
      <w:r>
        <w:rPr>
          <w:rFonts w:ascii="Times New Roman" w:hAnsi="Times New Roman"/>
          <w:sz w:val="24"/>
          <w:szCs w:val="24"/>
        </w:rPr>
        <w:t>480-30-071</w:t>
      </w:r>
      <w:r>
        <w:rPr>
          <w:rFonts w:ascii="Times New Roman" w:hAnsi="Times New Roman"/>
          <w:sz w:val="24"/>
          <w:szCs w:val="24"/>
        </w:rPr>
        <w:t xml:space="preserve">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21E829B7" w:rsidR="000D42CE" w:rsidRDefault="000D42CE" w:rsidP="000D42CE">
      <w:pPr>
        <w:rPr>
          <w:rFonts w:ascii="Times New Roman" w:hAnsi="Times New Roman"/>
          <w:sz w:val="24"/>
          <w:szCs w:val="24"/>
        </w:rPr>
      </w:pPr>
      <w:r>
        <w:rPr>
          <w:rFonts w:ascii="Times New Roman" w:hAnsi="Times New Roman"/>
          <w:sz w:val="24"/>
          <w:szCs w:val="24"/>
        </w:rPr>
        <w:br w:type="textWrapping" w:clear="all"/>
      </w:r>
      <w:r w:rsidR="00D03E1A">
        <w:rPr>
          <w:noProof/>
        </w:rPr>
        <w:drawing>
          <wp:inline distT="0" distB="0" distL="0" distR="0" wp14:anchorId="62951729" wp14:editId="11AE5075">
            <wp:extent cx="5501640" cy="7298284"/>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6004" cy="7304073"/>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1260E603" w:rsidR="000D42CE" w:rsidRPr="000D42CE" w:rsidRDefault="00D03E1A" w:rsidP="000D42CE">
      <w:pPr>
        <w:rPr>
          <w:rFonts w:ascii="Times New Roman" w:hAnsi="Times New Roman"/>
          <w:sz w:val="24"/>
          <w:szCs w:val="24"/>
        </w:rPr>
      </w:pPr>
      <w:r>
        <w:rPr>
          <w:noProof/>
        </w:rPr>
        <w:lastRenderedPageBreak/>
        <w:drawing>
          <wp:inline distT="0" distB="0" distL="0" distR="0" wp14:anchorId="2A64ADD3" wp14:editId="09C309A0">
            <wp:extent cx="6217920" cy="63400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498" cy="6345727"/>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418E6534" w:rsidR="00D03E1A" w:rsidRPr="000D42CE" w:rsidRDefault="00D03E1A" w:rsidP="000D42CE">
      <w:pPr>
        <w:rPr>
          <w:rFonts w:ascii="Times New Roman" w:hAnsi="Times New Roman"/>
          <w:sz w:val="24"/>
          <w:szCs w:val="24"/>
        </w:rPr>
      </w:pPr>
      <w:r>
        <w:rPr>
          <w:noProof/>
        </w:rPr>
        <w:lastRenderedPageBreak/>
        <w:drawing>
          <wp:inline distT="0" distB="0" distL="0" distR="0" wp14:anchorId="0ECD48C5" wp14:editId="4C385E73">
            <wp:extent cx="5524500" cy="742411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0440" cy="7432101"/>
                    </a:xfrm>
                    <a:prstGeom prst="rect">
                      <a:avLst/>
                    </a:prstGeom>
                  </pic:spPr>
                </pic:pic>
              </a:graphicData>
            </a:graphic>
          </wp:inline>
        </w:drawing>
      </w:r>
    </w:p>
    <w:p w14:paraId="2A2288FF" w14:textId="64C86EFA" w:rsidR="000D42CE" w:rsidRDefault="000D42CE" w:rsidP="00232810">
      <w:pPr>
        <w:ind w:firstLine="720"/>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2481933" w:rsidR="000D42CE" w:rsidRDefault="00D03E1A" w:rsidP="000D42CE">
      <w:pPr>
        <w:tabs>
          <w:tab w:val="left" w:pos="1020"/>
        </w:tabs>
        <w:jc w:val="center"/>
        <w:rPr>
          <w:rFonts w:ascii="Times New Roman" w:hAnsi="Times New Roman"/>
          <w:sz w:val="24"/>
          <w:szCs w:val="24"/>
        </w:rPr>
      </w:pPr>
      <w:r>
        <w:rPr>
          <w:noProof/>
        </w:rPr>
        <w:drawing>
          <wp:inline distT="0" distB="0" distL="0" distR="0" wp14:anchorId="22FB7A44" wp14:editId="457CEF22">
            <wp:extent cx="5837870" cy="769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2933" cy="7702875"/>
                    </a:xfrm>
                    <a:prstGeom prst="rect">
                      <a:avLst/>
                    </a:prstGeom>
                  </pic:spPr>
                </pic:pic>
              </a:graphicData>
            </a:graphic>
          </wp:inline>
        </w:drawing>
      </w:r>
      <w:bookmarkStart w:id="0" w:name="_GoBack"/>
      <w:bookmarkEnd w:id="0"/>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CBB3" w14:textId="77777777" w:rsidR="0022310E" w:rsidRDefault="0022310E" w:rsidP="00CE5EE6">
      <w:pPr>
        <w:spacing w:after="0" w:line="240" w:lineRule="auto"/>
      </w:pPr>
      <w:r>
        <w:separator/>
      </w:r>
    </w:p>
  </w:endnote>
  <w:endnote w:type="continuationSeparator" w:id="0">
    <w:p w14:paraId="4F68102A" w14:textId="77777777" w:rsidR="0022310E" w:rsidRDefault="0022310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AEDC78C" w14:textId="1D721303" w:rsidR="0060644B" w:rsidRPr="0060644B" w:rsidRDefault="0060644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See attachment A for a copy of the penalty assessment sent on May 2</w:t>
    </w:r>
    <w:r w:rsidR="00232810">
      <w:rPr>
        <w:rFonts w:ascii="Times New Roman" w:hAnsi="Times New Roman"/>
        <w:sz w:val="20"/>
      </w:rPr>
      <w:t>3</w:t>
    </w:r>
    <w:r w:rsidRPr="0060644B">
      <w:rPr>
        <w:rFonts w:ascii="Times New Roman" w:hAnsi="Times New Roman"/>
        <w:sz w:val="20"/>
      </w:rPr>
      <w:t>, 2014</w:t>
    </w:r>
  </w:p>
  <w:p w14:paraId="3227F097" w14:textId="545A61A6" w:rsidR="0060644B" w:rsidRPr="0060644B" w:rsidRDefault="0060644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D03E1A">
      <w:rPr>
        <w:rFonts w:ascii="Times New Roman" w:hAnsi="Times New Roman"/>
        <w:sz w:val="20"/>
      </w:rPr>
      <w:t>A Blackstone Limousine’s</w:t>
    </w:r>
    <w:r w:rsidRPr="0060644B">
      <w:rPr>
        <w:rFonts w:ascii="Times New Roman" w:hAnsi="Times New Roman"/>
        <w:sz w:val="20"/>
      </w:rPr>
      <w:t xml:space="preserve"> Miti</w:t>
    </w:r>
    <w:r w:rsidR="00232810">
      <w:rPr>
        <w:rFonts w:ascii="Times New Roman" w:hAnsi="Times New Roman"/>
        <w:sz w:val="20"/>
      </w:rPr>
      <w:t>gation Request received on May 30</w:t>
    </w:r>
    <w:r w:rsidRPr="0060644B">
      <w:rPr>
        <w:rFonts w:ascii="Times New Roman" w:hAnsi="Times New Roman"/>
        <w:sz w:val="20"/>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54893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23</w:t>
    </w:r>
    <w:r w:rsidRPr="0060644B">
      <w:rPr>
        <w:rFonts w:ascii="Times New Roman" w:hAnsi="Times New Roman"/>
        <w:sz w:val="20"/>
      </w:rPr>
      <w:t>, 2014</w:t>
    </w:r>
  </w:p>
  <w:p w14:paraId="230E04AD" w14:textId="096AD286"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D03E1A">
      <w:rPr>
        <w:rFonts w:ascii="Times New Roman" w:hAnsi="Times New Roman"/>
        <w:sz w:val="20"/>
      </w:rPr>
      <w:t>A Blackstone Limousine’s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May </w:t>
    </w:r>
    <w:r w:rsidR="00232810">
      <w:rPr>
        <w:rFonts w:ascii="Times New Roman" w:hAnsi="Times New Roman"/>
        <w:sz w:val="20"/>
      </w:rPr>
      <w:t>30</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2D2F" w14:textId="77777777" w:rsidR="0022310E" w:rsidRDefault="0022310E" w:rsidP="00CE5EE6">
      <w:pPr>
        <w:spacing w:after="0" w:line="240" w:lineRule="auto"/>
      </w:pPr>
      <w:r>
        <w:separator/>
      </w:r>
    </w:p>
  </w:footnote>
  <w:footnote w:type="continuationSeparator" w:id="0">
    <w:p w14:paraId="289E6F2C" w14:textId="77777777" w:rsidR="0022310E" w:rsidRDefault="0022310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9008D5"/>
    <w:rsid w:val="0093094A"/>
    <w:rsid w:val="00B33055"/>
    <w:rsid w:val="00B478A1"/>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0EF8AB668744A87CCE5FCA20A1FC3" ma:contentTypeVersion="167" ma:contentTypeDescription="" ma:contentTypeScope="" ma:versionID="cf3e8b4163c0a76c40dc3f6651e5f0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2014-06-06T07:00:00+00:00</Date1>
    <IsDocumentOrder xmlns="dc463f71-b30c-4ab2-9473-d307f9d35888" xsi:nil="true"/>
    <IsHighlyConfidential xmlns="dc463f71-b30c-4ab2-9473-d307f9d35888">false</IsHighlyConfidential>
    <CaseCompanyNames xmlns="dc463f71-b30c-4ab2-9473-d307f9d35888">A Blackstone Limousine, Inc.</CaseCompanyNames>
    <DocketNumber xmlns="dc463f71-b30c-4ab2-9473-d307f9d35888">141043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F82F9D-D2D0-44DC-8396-A5994E3C92AB}"/>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55D8AFF9-D101-432F-B245-1F767CADB7FC}"/>
</file>

<file path=docProps/app.xml><?xml version="1.0" encoding="utf-8"?>
<Properties xmlns="http://schemas.openxmlformats.org/officeDocument/2006/extended-properties" xmlns:vt="http://schemas.openxmlformats.org/officeDocument/2006/docPropsVTypes">
  <Template>Normal</Template>
  <TotalTime>0</TotalTime>
  <Pages>6</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2014-06-05T23:19:00Z</dcterms:created>
  <dcterms:modified xsi:type="dcterms:W3CDTF">2014-06-05T23:19:00Z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0x0101006E56B4D1795A2E4DB2F0B01679ED314A000BC0EF8AB668744A87CCE5FCA20A1FC3</vt:lpwstr>
  </property>
  <property fmtid="{D5CDD505-2E9C-101B-9397-08002B2CF9AE}" pid="3" name="_docset_NoMedatataSyncRequired">
    <vt:lpwstr>False</vt:lpwstr>
  </property>
</Properties>
</file>