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43" w:rsidRPr="00DA0B8A" w:rsidRDefault="008D13E1" w:rsidP="00DA3619">
      <w:pPr>
        <w:rPr>
          <w:rFonts w:ascii="Times New Roman" w:hAnsi="Times New Roman"/>
          <w:noProof/>
          <w:szCs w:val="24"/>
        </w:rPr>
      </w:pPr>
      <w:bookmarkStart w:id="0" w:name="_GoBack"/>
      <w:bookmarkEnd w:id="0"/>
      <w:r w:rsidRPr="00DA0B8A">
        <w:rPr>
          <w:rFonts w:ascii="Times New Roman" w:hAnsi="Times New Roman"/>
          <w:noProof/>
          <w:szCs w:val="24"/>
        </w:rPr>
        <w:drawing>
          <wp:anchor distT="0" distB="0" distL="114300" distR="114300" simplePos="0" relativeHeight="251657728" behindDoc="1" locked="0" layoutInCell="1" allowOverlap="1" wp14:anchorId="00FF7AF0" wp14:editId="641C02CE">
            <wp:simplePos x="0" y="0"/>
            <wp:positionH relativeFrom="column">
              <wp:posOffset>-390525</wp:posOffset>
            </wp:positionH>
            <wp:positionV relativeFrom="page">
              <wp:posOffset>590550</wp:posOffset>
            </wp:positionV>
            <wp:extent cx="6486525" cy="381000"/>
            <wp:effectExtent l="19050" t="0" r="9525"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486525" cy="381000"/>
                    </a:xfrm>
                    <a:prstGeom prst="rect">
                      <a:avLst/>
                    </a:prstGeom>
                    <a:noFill/>
                  </pic:spPr>
                </pic:pic>
              </a:graphicData>
            </a:graphic>
          </wp:anchor>
        </w:drawing>
      </w:r>
    </w:p>
    <w:p w:rsidR="00B4081E" w:rsidRDefault="00B4081E" w:rsidP="00DA3619">
      <w:pPr>
        <w:rPr>
          <w:rFonts w:ascii="Times New Roman" w:hAnsi="Times New Roman"/>
          <w:noProof/>
          <w:szCs w:val="24"/>
        </w:rPr>
      </w:pPr>
    </w:p>
    <w:p w:rsidR="00DA3619" w:rsidRPr="00DA0B8A" w:rsidRDefault="0090427E" w:rsidP="00DA3619">
      <w:pPr>
        <w:rPr>
          <w:rFonts w:ascii="Times New Roman" w:hAnsi="Times New Roman"/>
          <w:szCs w:val="24"/>
        </w:rPr>
      </w:pPr>
      <w:r w:rsidRPr="00DA0B8A">
        <w:rPr>
          <w:rFonts w:ascii="Times New Roman" w:hAnsi="Times New Roman"/>
          <w:noProof/>
          <w:szCs w:val="24"/>
        </w:rPr>
        <w:t xml:space="preserve">April </w:t>
      </w:r>
      <w:r w:rsidR="005F3F43" w:rsidRPr="00DA0B8A">
        <w:rPr>
          <w:rFonts w:ascii="Times New Roman" w:hAnsi="Times New Roman"/>
          <w:noProof/>
          <w:szCs w:val="24"/>
        </w:rPr>
        <w:t>14</w:t>
      </w:r>
      <w:r w:rsidRPr="00DA0B8A">
        <w:rPr>
          <w:rFonts w:ascii="Times New Roman" w:hAnsi="Times New Roman"/>
          <w:noProof/>
          <w:szCs w:val="24"/>
        </w:rPr>
        <w:t>, 2014</w:t>
      </w:r>
    </w:p>
    <w:p w:rsidR="00DA3619" w:rsidRPr="00DA0B8A" w:rsidRDefault="00DA3619" w:rsidP="00DA3619">
      <w:pPr>
        <w:rPr>
          <w:rFonts w:ascii="Times New Roman" w:hAnsi="Times New Roman"/>
          <w:szCs w:val="24"/>
        </w:rPr>
      </w:pPr>
    </w:p>
    <w:p w:rsidR="004C5017" w:rsidRDefault="00D726A0" w:rsidP="00DA3619">
      <w:pPr>
        <w:rPr>
          <w:rFonts w:ascii="Times New Roman" w:hAnsi="Times New Roman"/>
          <w:b/>
          <w:i/>
          <w:szCs w:val="24"/>
        </w:rPr>
      </w:pPr>
      <w:r w:rsidRPr="00DA0B8A">
        <w:rPr>
          <w:rFonts w:ascii="Times New Roman" w:hAnsi="Times New Roman"/>
          <w:b/>
          <w:i/>
          <w:szCs w:val="24"/>
        </w:rPr>
        <w:t xml:space="preserve">VIA </w:t>
      </w:r>
      <w:r w:rsidR="004C5017" w:rsidRPr="00DA0B8A">
        <w:rPr>
          <w:rFonts w:ascii="Times New Roman" w:hAnsi="Times New Roman"/>
          <w:b/>
          <w:i/>
          <w:szCs w:val="24"/>
        </w:rPr>
        <w:t xml:space="preserve">ELECTRONIC FILING </w:t>
      </w:r>
    </w:p>
    <w:p w:rsidR="006C2D35" w:rsidRPr="00DA0B8A" w:rsidRDefault="006C2D35" w:rsidP="00DA3619">
      <w:pPr>
        <w:rPr>
          <w:rFonts w:ascii="Times New Roman" w:hAnsi="Times New Roman"/>
          <w:b/>
          <w:i/>
          <w:szCs w:val="24"/>
        </w:rPr>
      </w:pPr>
      <w:r>
        <w:rPr>
          <w:rFonts w:ascii="Times New Roman" w:hAnsi="Times New Roman"/>
          <w:b/>
          <w:i/>
          <w:szCs w:val="24"/>
        </w:rPr>
        <w:t>AND OVERNIGHT DELIVERY</w:t>
      </w:r>
    </w:p>
    <w:p w:rsidR="00D726A0" w:rsidRPr="00DA0B8A" w:rsidRDefault="00D726A0" w:rsidP="00DA3619">
      <w:pPr>
        <w:rPr>
          <w:rFonts w:ascii="Times New Roman" w:hAnsi="Times New Roman"/>
          <w:szCs w:val="24"/>
        </w:rPr>
      </w:pPr>
    </w:p>
    <w:p w:rsidR="00DA3619" w:rsidRPr="00DA0B8A" w:rsidRDefault="00DA3619" w:rsidP="00DA3619">
      <w:pPr>
        <w:rPr>
          <w:rFonts w:ascii="Times New Roman" w:hAnsi="Times New Roman"/>
          <w:szCs w:val="24"/>
        </w:rPr>
      </w:pPr>
      <w:r w:rsidRPr="00DA0B8A">
        <w:rPr>
          <w:rFonts w:ascii="Times New Roman" w:hAnsi="Times New Roman"/>
          <w:szCs w:val="24"/>
        </w:rPr>
        <w:t>Washington Utilities and Transportation Commission</w:t>
      </w:r>
      <w:r w:rsidRPr="00DA0B8A">
        <w:rPr>
          <w:rFonts w:ascii="Times New Roman" w:hAnsi="Times New Roman"/>
          <w:szCs w:val="24"/>
        </w:rPr>
        <w:br/>
        <w:t>1300 S. Evergreen Park Drive S.W</w:t>
      </w:r>
      <w:proofErr w:type="gramStart"/>
      <w:r w:rsidRPr="00DA0B8A">
        <w:rPr>
          <w:rFonts w:ascii="Times New Roman" w:hAnsi="Times New Roman"/>
          <w:szCs w:val="24"/>
        </w:rPr>
        <w:t>.</w:t>
      </w:r>
      <w:proofErr w:type="gramEnd"/>
      <w:r w:rsidRPr="00DA0B8A">
        <w:rPr>
          <w:rFonts w:ascii="Times New Roman" w:hAnsi="Times New Roman"/>
          <w:szCs w:val="24"/>
        </w:rPr>
        <w:br/>
        <w:t>P.O. Box 47250</w:t>
      </w:r>
      <w:r w:rsidRPr="00DA0B8A">
        <w:rPr>
          <w:rFonts w:ascii="Times New Roman" w:hAnsi="Times New Roman"/>
          <w:szCs w:val="24"/>
        </w:rPr>
        <w:br/>
        <w:t>Olympia, WA</w:t>
      </w:r>
      <w:r w:rsidR="005F3F43" w:rsidRPr="00DA0B8A">
        <w:rPr>
          <w:rFonts w:ascii="Times New Roman" w:hAnsi="Times New Roman"/>
          <w:szCs w:val="24"/>
        </w:rPr>
        <w:t xml:space="preserve"> 98504-</w:t>
      </w:r>
      <w:r w:rsidRPr="00DA0B8A">
        <w:rPr>
          <w:rFonts w:ascii="Times New Roman" w:hAnsi="Times New Roman"/>
          <w:szCs w:val="24"/>
        </w:rPr>
        <w:t>7250</w:t>
      </w:r>
    </w:p>
    <w:p w:rsidR="00A8075D" w:rsidRPr="00DA0B8A" w:rsidRDefault="00A8075D" w:rsidP="00DA3619">
      <w:pPr>
        <w:rPr>
          <w:rFonts w:ascii="Times New Roman" w:hAnsi="Times New Roman"/>
          <w:szCs w:val="24"/>
        </w:rPr>
      </w:pPr>
    </w:p>
    <w:p w:rsidR="00DA3619" w:rsidRPr="00DA0B8A" w:rsidRDefault="00DA3619" w:rsidP="00DA3619">
      <w:pPr>
        <w:rPr>
          <w:rFonts w:ascii="Times New Roman" w:hAnsi="Times New Roman"/>
          <w:szCs w:val="24"/>
        </w:rPr>
      </w:pPr>
      <w:r w:rsidRPr="00DA0B8A">
        <w:rPr>
          <w:rFonts w:ascii="Times New Roman" w:hAnsi="Times New Roman"/>
          <w:szCs w:val="24"/>
        </w:rPr>
        <w:t>Attention:</w:t>
      </w:r>
      <w:r w:rsidRPr="00DA0B8A">
        <w:rPr>
          <w:rFonts w:ascii="Times New Roman" w:hAnsi="Times New Roman"/>
          <w:szCs w:val="24"/>
        </w:rPr>
        <w:tab/>
      </w:r>
      <w:r w:rsidR="005F3F43" w:rsidRPr="00DA0B8A">
        <w:rPr>
          <w:rFonts w:ascii="Times New Roman" w:hAnsi="Times New Roman"/>
          <w:szCs w:val="24"/>
        </w:rPr>
        <w:t>Steven V. King</w:t>
      </w:r>
      <w:r w:rsidRPr="00DA0B8A">
        <w:rPr>
          <w:rFonts w:ascii="Times New Roman" w:hAnsi="Times New Roman"/>
          <w:szCs w:val="24"/>
        </w:rPr>
        <w:br/>
      </w:r>
      <w:r w:rsidRPr="00DA0B8A">
        <w:rPr>
          <w:rFonts w:ascii="Times New Roman" w:hAnsi="Times New Roman"/>
          <w:szCs w:val="24"/>
        </w:rPr>
        <w:tab/>
      </w:r>
      <w:r w:rsidRPr="00DA0B8A">
        <w:rPr>
          <w:rFonts w:ascii="Times New Roman" w:hAnsi="Times New Roman"/>
          <w:szCs w:val="24"/>
        </w:rPr>
        <w:tab/>
        <w:t xml:space="preserve">Executive </w:t>
      </w:r>
      <w:r w:rsidR="00C47BD7" w:rsidRPr="00DA0B8A">
        <w:rPr>
          <w:rFonts w:ascii="Times New Roman" w:hAnsi="Times New Roman"/>
          <w:szCs w:val="24"/>
        </w:rPr>
        <w:t xml:space="preserve">Director and </w:t>
      </w:r>
      <w:r w:rsidRPr="00DA0B8A">
        <w:rPr>
          <w:rFonts w:ascii="Times New Roman" w:hAnsi="Times New Roman"/>
          <w:szCs w:val="24"/>
        </w:rPr>
        <w:t>Secretary</w:t>
      </w:r>
    </w:p>
    <w:p w:rsidR="004C5017" w:rsidRPr="00DA0B8A" w:rsidRDefault="004C5017" w:rsidP="00DA3619">
      <w:pPr>
        <w:rPr>
          <w:rFonts w:ascii="Times New Roman" w:hAnsi="Times New Roman"/>
          <w:szCs w:val="24"/>
        </w:rPr>
      </w:pPr>
    </w:p>
    <w:p w:rsidR="004C5017" w:rsidRPr="00DA0B8A" w:rsidRDefault="00062493" w:rsidP="00DA3619">
      <w:pPr>
        <w:rPr>
          <w:rFonts w:ascii="Times New Roman" w:hAnsi="Times New Roman"/>
          <w:b/>
          <w:szCs w:val="24"/>
        </w:rPr>
      </w:pPr>
      <w:r w:rsidRPr="00DA0B8A">
        <w:rPr>
          <w:rFonts w:ascii="Times New Roman" w:hAnsi="Times New Roman"/>
          <w:b/>
          <w:szCs w:val="24"/>
        </w:rPr>
        <w:t>RE:</w:t>
      </w:r>
      <w:r w:rsidRPr="00DA0B8A">
        <w:rPr>
          <w:rFonts w:ascii="Times New Roman" w:hAnsi="Times New Roman"/>
          <w:b/>
          <w:szCs w:val="24"/>
        </w:rPr>
        <w:tab/>
      </w:r>
      <w:r w:rsidR="005F3F43" w:rsidRPr="00DA0B8A">
        <w:rPr>
          <w:rFonts w:ascii="Times New Roman" w:hAnsi="Times New Roman"/>
          <w:b/>
          <w:szCs w:val="24"/>
        </w:rPr>
        <w:tab/>
      </w:r>
      <w:r w:rsidRPr="00DA0B8A">
        <w:rPr>
          <w:rFonts w:ascii="Times New Roman" w:hAnsi="Times New Roman"/>
          <w:b/>
          <w:szCs w:val="24"/>
        </w:rPr>
        <w:t xml:space="preserve">Advice No. </w:t>
      </w:r>
      <w:r w:rsidR="007E27A1">
        <w:rPr>
          <w:rFonts w:ascii="Times New Roman" w:hAnsi="Times New Roman"/>
          <w:b/>
          <w:szCs w:val="24"/>
        </w:rPr>
        <w:t>14-03</w:t>
      </w:r>
      <w:r w:rsidR="00B4081E" w:rsidRPr="00DA0B8A">
        <w:rPr>
          <w:rFonts w:ascii="Times New Roman" w:hAnsi="Times New Roman"/>
          <w:b/>
          <w:szCs w:val="24"/>
        </w:rPr>
        <w:t>—H</w:t>
      </w:r>
      <w:r w:rsidR="005F3F43" w:rsidRPr="00DA0B8A">
        <w:rPr>
          <w:rFonts w:ascii="Times New Roman" w:hAnsi="Times New Roman"/>
          <w:b/>
          <w:szCs w:val="24"/>
        </w:rPr>
        <w:t>ydro Investment Adjustment</w:t>
      </w:r>
    </w:p>
    <w:p w:rsidR="005F3F43" w:rsidRPr="00DA0B8A" w:rsidRDefault="005F3F43" w:rsidP="000B2C12">
      <w:pPr>
        <w:rPr>
          <w:rFonts w:ascii="Times New Roman" w:hAnsi="Times New Roman"/>
          <w:b/>
          <w:szCs w:val="24"/>
        </w:rPr>
      </w:pPr>
    </w:p>
    <w:p w:rsidR="005F3F43" w:rsidRPr="00DA0B8A" w:rsidRDefault="005F3F43" w:rsidP="000B2C12">
      <w:pPr>
        <w:rPr>
          <w:rFonts w:ascii="Times New Roman" w:hAnsi="Times New Roman"/>
          <w:szCs w:val="24"/>
        </w:rPr>
      </w:pPr>
      <w:r w:rsidRPr="00DA0B8A">
        <w:rPr>
          <w:rFonts w:ascii="Times New Roman" w:hAnsi="Times New Roman"/>
          <w:szCs w:val="24"/>
        </w:rPr>
        <w:t>Dear Mr. King:</w:t>
      </w:r>
    </w:p>
    <w:p w:rsidR="000B2C12" w:rsidRPr="00DA0B8A" w:rsidRDefault="000B2C12" w:rsidP="000B2C12">
      <w:pPr>
        <w:rPr>
          <w:rFonts w:ascii="Times New Roman" w:hAnsi="Times New Roman"/>
          <w:szCs w:val="24"/>
        </w:rPr>
      </w:pPr>
    </w:p>
    <w:p w:rsidR="00EE73CF" w:rsidRPr="00DA0B8A" w:rsidRDefault="008D13E1" w:rsidP="000B2C12">
      <w:pPr>
        <w:rPr>
          <w:rFonts w:ascii="Times New Roman" w:hAnsi="Times New Roman"/>
          <w:szCs w:val="24"/>
        </w:rPr>
      </w:pPr>
      <w:r w:rsidRPr="00DA0B8A">
        <w:rPr>
          <w:rFonts w:ascii="Times New Roman" w:hAnsi="Times New Roman"/>
          <w:szCs w:val="24"/>
        </w:rPr>
        <w:t>Pacific Power &amp; Light Company (Pacific Power or Company), a division of PacifiCorp, submits</w:t>
      </w:r>
      <w:r w:rsidR="00EE73CF" w:rsidRPr="00DA0B8A">
        <w:rPr>
          <w:rFonts w:ascii="Times New Roman" w:hAnsi="Times New Roman"/>
          <w:szCs w:val="24"/>
        </w:rPr>
        <w:t xml:space="preserve"> </w:t>
      </w:r>
      <w:r w:rsidR="001C541C" w:rsidRPr="00DA0B8A">
        <w:rPr>
          <w:rFonts w:ascii="Times New Roman" w:hAnsi="Times New Roman"/>
          <w:szCs w:val="24"/>
        </w:rPr>
        <w:t xml:space="preserve">for filing with the Washington Utilities and Transportation Commission (Commission) </w:t>
      </w:r>
      <w:r w:rsidR="00EE73CF" w:rsidRPr="00DA0B8A">
        <w:rPr>
          <w:rFonts w:ascii="Times New Roman" w:hAnsi="Times New Roman"/>
          <w:szCs w:val="24"/>
        </w:rPr>
        <w:t>the following original tariff sheet</w:t>
      </w:r>
      <w:r w:rsidRPr="00DA0B8A">
        <w:rPr>
          <w:rFonts w:ascii="Times New Roman" w:hAnsi="Times New Roman"/>
          <w:szCs w:val="24"/>
        </w:rPr>
        <w:t xml:space="preserve"> in acc</w:t>
      </w:r>
      <w:r w:rsidR="001C541C" w:rsidRPr="00DA0B8A">
        <w:rPr>
          <w:rFonts w:ascii="Times New Roman" w:hAnsi="Times New Roman"/>
          <w:szCs w:val="24"/>
        </w:rPr>
        <w:t>ordance with RCW 80.28.050, RCW </w:t>
      </w:r>
      <w:r w:rsidRPr="00DA0B8A">
        <w:rPr>
          <w:rFonts w:ascii="Times New Roman" w:hAnsi="Times New Roman"/>
          <w:szCs w:val="24"/>
        </w:rPr>
        <w:t>80.28.060, WAC Chapter 480-80,</w:t>
      </w:r>
      <w:r w:rsidR="00687DE2" w:rsidRPr="00DA0B8A">
        <w:rPr>
          <w:rFonts w:ascii="Times New Roman" w:hAnsi="Times New Roman"/>
          <w:szCs w:val="24"/>
        </w:rPr>
        <w:t xml:space="preserve"> </w:t>
      </w:r>
      <w:r w:rsidR="00EE73CF" w:rsidRPr="00DA0B8A">
        <w:rPr>
          <w:rFonts w:ascii="Times New Roman" w:hAnsi="Times New Roman"/>
          <w:szCs w:val="24"/>
        </w:rPr>
        <w:t>and WAC 480-100-194:</w:t>
      </w:r>
    </w:p>
    <w:p w:rsidR="007E27A1" w:rsidRDefault="007E27A1" w:rsidP="000870BB">
      <w:pPr>
        <w:tabs>
          <w:tab w:val="left" w:pos="3240"/>
          <w:tab w:val="left" w:pos="5040"/>
        </w:tabs>
        <w:rPr>
          <w:rFonts w:ascii="Times New Roman" w:hAnsi="Times New Roman"/>
          <w:b/>
          <w:szCs w:val="24"/>
        </w:rPr>
      </w:pPr>
    </w:p>
    <w:p w:rsidR="00EE73CF" w:rsidRPr="00DA0B8A" w:rsidRDefault="00EE73CF" w:rsidP="000870BB">
      <w:pPr>
        <w:tabs>
          <w:tab w:val="left" w:pos="3240"/>
          <w:tab w:val="left" w:pos="5040"/>
        </w:tabs>
        <w:rPr>
          <w:rFonts w:ascii="Times New Roman" w:hAnsi="Times New Roman"/>
          <w:b/>
          <w:szCs w:val="24"/>
        </w:rPr>
      </w:pPr>
      <w:r w:rsidRPr="00DA0B8A">
        <w:rPr>
          <w:rFonts w:ascii="Times New Roman" w:hAnsi="Times New Roman"/>
          <w:b/>
          <w:szCs w:val="24"/>
        </w:rPr>
        <w:t>Original Sheet No. 90.1</w:t>
      </w:r>
      <w:r w:rsidRPr="00DA0B8A">
        <w:rPr>
          <w:rFonts w:ascii="Times New Roman" w:hAnsi="Times New Roman"/>
          <w:b/>
          <w:szCs w:val="24"/>
        </w:rPr>
        <w:tab/>
        <w:t>Schedule 90</w:t>
      </w:r>
      <w:r w:rsidRPr="00DA0B8A">
        <w:rPr>
          <w:rFonts w:ascii="Times New Roman" w:hAnsi="Times New Roman"/>
          <w:b/>
          <w:szCs w:val="24"/>
        </w:rPr>
        <w:tab/>
        <w:t>Hydro Investment Adjustment</w:t>
      </w:r>
    </w:p>
    <w:p w:rsidR="00EE73CF" w:rsidRPr="00DA0B8A" w:rsidRDefault="00EE73CF" w:rsidP="00EE73CF">
      <w:pPr>
        <w:tabs>
          <w:tab w:val="left" w:pos="4320"/>
          <w:tab w:val="left" w:pos="5040"/>
        </w:tabs>
        <w:rPr>
          <w:rFonts w:ascii="Times New Roman" w:hAnsi="Times New Roman"/>
          <w:b/>
          <w:szCs w:val="24"/>
        </w:rPr>
      </w:pPr>
    </w:p>
    <w:p w:rsidR="00EE73CF" w:rsidRPr="00DA0B8A" w:rsidRDefault="000870BB" w:rsidP="000B2C12">
      <w:pPr>
        <w:rPr>
          <w:rFonts w:ascii="Times New Roman" w:hAnsi="Times New Roman"/>
          <w:szCs w:val="24"/>
        </w:rPr>
      </w:pPr>
      <w:r w:rsidRPr="00DA0B8A">
        <w:rPr>
          <w:rFonts w:ascii="Times New Roman" w:hAnsi="Times New Roman"/>
          <w:szCs w:val="24"/>
        </w:rPr>
        <w:t>The purpose of this filing is</w:t>
      </w:r>
      <w:r w:rsidR="00687DE2" w:rsidRPr="00DA0B8A">
        <w:rPr>
          <w:rFonts w:ascii="Times New Roman" w:hAnsi="Times New Roman"/>
          <w:szCs w:val="24"/>
        </w:rPr>
        <w:t xml:space="preserve"> to reflect in customer rates the Washington-allocated revenue requirement associated with the Company’s investment in the </w:t>
      </w:r>
      <w:proofErr w:type="spellStart"/>
      <w:r w:rsidR="00687DE2" w:rsidRPr="00DA0B8A">
        <w:rPr>
          <w:rFonts w:ascii="Times New Roman" w:hAnsi="Times New Roman"/>
          <w:szCs w:val="24"/>
        </w:rPr>
        <w:t>Merwin</w:t>
      </w:r>
      <w:proofErr w:type="spellEnd"/>
      <w:r w:rsidR="00687DE2" w:rsidRPr="00DA0B8A">
        <w:rPr>
          <w:rFonts w:ascii="Times New Roman" w:hAnsi="Times New Roman"/>
          <w:szCs w:val="24"/>
        </w:rPr>
        <w:t xml:space="preserve"> Fish Collector.  The </w:t>
      </w:r>
      <w:proofErr w:type="spellStart"/>
      <w:r w:rsidR="001A173E" w:rsidRPr="00DA0B8A">
        <w:rPr>
          <w:rFonts w:ascii="Times New Roman" w:hAnsi="Times New Roman"/>
          <w:szCs w:val="24"/>
        </w:rPr>
        <w:t>Merwin</w:t>
      </w:r>
      <w:proofErr w:type="spellEnd"/>
      <w:r w:rsidR="001A173E" w:rsidRPr="00DA0B8A">
        <w:rPr>
          <w:rFonts w:ascii="Times New Roman" w:hAnsi="Times New Roman"/>
          <w:szCs w:val="24"/>
        </w:rPr>
        <w:t xml:space="preserve"> Fish C</w:t>
      </w:r>
      <w:r w:rsidR="00687DE2" w:rsidRPr="00DA0B8A">
        <w:rPr>
          <w:rFonts w:ascii="Times New Roman" w:hAnsi="Times New Roman"/>
          <w:szCs w:val="24"/>
        </w:rPr>
        <w:t>ollector was completed and fully operational on March 28, 2014, and is necessary to comply with the F</w:t>
      </w:r>
      <w:r w:rsidR="00EE73CF" w:rsidRPr="00DA0B8A">
        <w:rPr>
          <w:rFonts w:ascii="Times New Roman" w:hAnsi="Times New Roman"/>
          <w:szCs w:val="24"/>
        </w:rPr>
        <w:t>ederal Energy Regulatory Commission (F</w:t>
      </w:r>
      <w:r w:rsidR="00687DE2" w:rsidRPr="00DA0B8A">
        <w:rPr>
          <w:rFonts w:ascii="Times New Roman" w:hAnsi="Times New Roman"/>
          <w:szCs w:val="24"/>
        </w:rPr>
        <w:t>ERC</w:t>
      </w:r>
      <w:r w:rsidR="00EE73CF" w:rsidRPr="00DA0B8A">
        <w:rPr>
          <w:rFonts w:ascii="Times New Roman" w:hAnsi="Times New Roman"/>
          <w:szCs w:val="24"/>
        </w:rPr>
        <w:t>)</w:t>
      </w:r>
      <w:r w:rsidR="00687DE2" w:rsidRPr="00DA0B8A">
        <w:rPr>
          <w:rFonts w:ascii="Times New Roman" w:hAnsi="Times New Roman"/>
          <w:szCs w:val="24"/>
        </w:rPr>
        <w:t xml:space="preserve"> licenses for the Lewis River hydroelectric project.  </w:t>
      </w:r>
      <w:r w:rsidR="00EE73CF" w:rsidRPr="00DA0B8A">
        <w:rPr>
          <w:rFonts w:ascii="Times New Roman" w:hAnsi="Times New Roman"/>
          <w:szCs w:val="24"/>
        </w:rPr>
        <w:t>In support of this filing, Pacific Power includes the following attachments:</w:t>
      </w:r>
    </w:p>
    <w:p w:rsidR="00EE73CF" w:rsidRPr="00DA0B8A" w:rsidRDefault="00EE73CF" w:rsidP="000B2C12">
      <w:pPr>
        <w:rPr>
          <w:rFonts w:ascii="Times New Roman" w:hAnsi="Times New Roman"/>
          <w:szCs w:val="24"/>
        </w:rPr>
      </w:pPr>
    </w:p>
    <w:p w:rsidR="00EE73CF" w:rsidRDefault="00EE73CF" w:rsidP="00EE73CF">
      <w:pPr>
        <w:tabs>
          <w:tab w:val="left" w:pos="1080"/>
        </w:tabs>
        <w:rPr>
          <w:rFonts w:ascii="Times New Roman" w:hAnsi="Times New Roman"/>
          <w:szCs w:val="24"/>
        </w:rPr>
      </w:pPr>
      <w:r w:rsidRPr="00DA0B8A">
        <w:rPr>
          <w:rFonts w:ascii="Times New Roman" w:hAnsi="Times New Roman"/>
          <w:szCs w:val="24"/>
        </w:rPr>
        <w:t xml:space="preserve">Attachment </w:t>
      </w:r>
      <w:proofErr w:type="gramStart"/>
      <w:r w:rsidRPr="00DA0B8A">
        <w:rPr>
          <w:rFonts w:ascii="Times New Roman" w:hAnsi="Times New Roman"/>
          <w:szCs w:val="24"/>
        </w:rPr>
        <w:t>A—</w:t>
      </w:r>
      <w:proofErr w:type="gramEnd"/>
      <w:r w:rsidRPr="00DA0B8A">
        <w:rPr>
          <w:rFonts w:ascii="Times New Roman" w:hAnsi="Times New Roman"/>
          <w:szCs w:val="24"/>
        </w:rPr>
        <w:t>Notice</w:t>
      </w:r>
    </w:p>
    <w:p w:rsidR="007E27A1" w:rsidRPr="00DA0B8A" w:rsidRDefault="007E27A1" w:rsidP="007E27A1">
      <w:pPr>
        <w:tabs>
          <w:tab w:val="left" w:pos="1080"/>
        </w:tabs>
        <w:rPr>
          <w:rFonts w:ascii="Times New Roman" w:hAnsi="Times New Roman"/>
          <w:szCs w:val="24"/>
        </w:rPr>
      </w:pPr>
      <w:r>
        <w:rPr>
          <w:rFonts w:ascii="Times New Roman" w:hAnsi="Times New Roman"/>
          <w:szCs w:val="24"/>
        </w:rPr>
        <w:t>Attachment B</w:t>
      </w:r>
      <w:r w:rsidRPr="00DA0B8A">
        <w:rPr>
          <w:rFonts w:ascii="Times New Roman" w:hAnsi="Times New Roman"/>
          <w:szCs w:val="24"/>
        </w:rPr>
        <w:t>—</w:t>
      </w:r>
      <w:r>
        <w:rPr>
          <w:rFonts w:ascii="Times New Roman" w:hAnsi="Times New Roman"/>
          <w:szCs w:val="24"/>
        </w:rPr>
        <w:t>List of Proposed Tariff Revisions</w:t>
      </w:r>
    </w:p>
    <w:p w:rsidR="000870BB" w:rsidRPr="00DA0B8A" w:rsidRDefault="007E27A1" w:rsidP="00EE73CF">
      <w:pPr>
        <w:tabs>
          <w:tab w:val="left" w:pos="1620"/>
        </w:tabs>
        <w:rPr>
          <w:rFonts w:ascii="Times New Roman" w:hAnsi="Times New Roman"/>
          <w:szCs w:val="24"/>
        </w:rPr>
      </w:pPr>
      <w:r>
        <w:rPr>
          <w:rFonts w:ascii="Times New Roman" w:hAnsi="Times New Roman"/>
          <w:szCs w:val="24"/>
        </w:rPr>
        <w:t>Attachment C</w:t>
      </w:r>
      <w:r w:rsidR="00EE73CF" w:rsidRPr="00DA0B8A">
        <w:rPr>
          <w:rFonts w:ascii="Times New Roman" w:hAnsi="Times New Roman"/>
          <w:szCs w:val="24"/>
        </w:rPr>
        <w:t>—</w:t>
      </w:r>
      <w:r w:rsidR="001C541C" w:rsidRPr="00DA0B8A">
        <w:rPr>
          <w:rFonts w:ascii="Times New Roman" w:hAnsi="Times New Roman"/>
          <w:szCs w:val="24"/>
        </w:rPr>
        <w:t>Exhibit No.__</w:t>
      </w:r>
      <w:proofErr w:type="gramStart"/>
      <w:r w:rsidR="001C541C" w:rsidRPr="00DA0B8A">
        <w:rPr>
          <w:rFonts w:ascii="Times New Roman" w:hAnsi="Times New Roman"/>
          <w:szCs w:val="24"/>
        </w:rPr>
        <w:t>_(</w:t>
      </w:r>
      <w:proofErr w:type="gramEnd"/>
      <w:r w:rsidR="001C541C" w:rsidRPr="00DA0B8A">
        <w:rPr>
          <w:rFonts w:ascii="Times New Roman" w:hAnsi="Times New Roman"/>
          <w:szCs w:val="24"/>
        </w:rPr>
        <w:t>MRT-1T): T</w:t>
      </w:r>
      <w:r w:rsidR="00EE73CF" w:rsidRPr="00DA0B8A">
        <w:rPr>
          <w:rFonts w:ascii="Times New Roman" w:hAnsi="Times New Roman"/>
          <w:szCs w:val="24"/>
        </w:rPr>
        <w:t>estimony of Mark R. Tallman</w:t>
      </w:r>
    </w:p>
    <w:p w:rsidR="000870BB" w:rsidRPr="00DA0B8A" w:rsidRDefault="000870BB" w:rsidP="00EE73CF">
      <w:pPr>
        <w:tabs>
          <w:tab w:val="left" w:pos="1620"/>
        </w:tabs>
        <w:rPr>
          <w:rFonts w:ascii="Times New Roman" w:hAnsi="Times New Roman"/>
          <w:szCs w:val="24"/>
        </w:rPr>
      </w:pPr>
      <w:r w:rsidRPr="00DA0B8A">
        <w:rPr>
          <w:rFonts w:ascii="Times New Roman" w:hAnsi="Times New Roman"/>
          <w:szCs w:val="24"/>
        </w:rPr>
        <w:tab/>
        <w:t>Exhibit No.__</w:t>
      </w:r>
      <w:proofErr w:type="gramStart"/>
      <w:r w:rsidRPr="00DA0B8A">
        <w:rPr>
          <w:rFonts w:ascii="Times New Roman" w:hAnsi="Times New Roman"/>
          <w:szCs w:val="24"/>
        </w:rPr>
        <w:t>_(</w:t>
      </w:r>
      <w:proofErr w:type="gramEnd"/>
      <w:r w:rsidRPr="00DA0B8A">
        <w:rPr>
          <w:rFonts w:ascii="Times New Roman" w:hAnsi="Times New Roman"/>
          <w:szCs w:val="24"/>
        </w:rPr>
        <w:t xml:space="preserve">MRT-2): </w:t>
      </w:r>
      <w:r w:rsidR="001C541C" w:rsidRPr="00DA0B8A">
        <w:rPr>
          <w:rFonts w:ascii="Times New Roman" w:hAnsi="Times New Roman"/>
          <w:szCs w:val="24"/>
        </w:rPr>
        <w:t>FERC Order Issuing New License (June 26, 2008)</w:t>
      </w:r>
    </w:p>
    <w:p w:rsidR="00EE73CF" w:rsidRPr="00DA0B8A" w:rsidRDefault="000870BB" w:rsidP="00EE73CF">
      <w:pPr>
        <w:tabs>
          <w:tab w:val="left" w:pos="1620"/>
        </w:tabs>
        <w:rPr>
          <w:rFonts w:ascii="Times New Roman" w:hAnsi="Times New Roman"/>
          <w:szCs w:val="24"/>
        </w:rPr>
      </w:pPr>
      <w:r w:rsidRPr="00DA0B8A">
        <w:rPr>
          <w:rFonts w:ascii="Times New Roman" w:hAnsi="Times New Roman"/>
          <w:szCs w:val="24"/>
        </w:rPr>
        <w:tab/>
      </w:r>
      <w:r w:rsidR="00EE73CF" w:rsidRPr="00DA0B8A">
        <w:rPr>
          <w:rFonts w:ascii="Times New Roman" w:hAnsi="Times New Roman"/>
          <w:szCs w:val="24"/>
        </w:rPr>
        <w:t>Exhibit No.__</w:t>
      </w:r>
      <w:proofErr w:type="gramStart"/>
      <w:r w:rsidR="00EE73CF" w:rsidRPr="00DA0B8A">
        <w:rPr>
          <w:rFonts w:ascii="Times New Roman" w:hAnsi="Times New Roman"/>
          <w:szCs w:val="24"/>
        </w:rPr>
        <w:t>_(</w:t>
      </w:r>
      <w:proofErr w:type="gramEnd"/>
      <w:r w:rsidR="00EE73CF" w:rsidRPr="00DA0B8A">
        <w:rPr>
          <w:rFonts w:ascii="Times New Roman" w:hAnsi="Times New Roman"/>
          <w:szCs w:val="24"/>
        </w:rPr>
        <w:t>MRT-3)</w:t>
      </w:r>
      <w:r w:rsidRPr="00DA0B8A">
        <w:rPr>
          <w:rFonts w:ascii="Times New Roman" w:hAnsi="Times New Roman"/>
          <w:szCs w:val="24"/>
        </w:rPr>
        <w:t xml:space="preserve">: </w:t>
      </w:r>
      <w:r w:rsidR="001C541C" w:rsidRPr="00DA0B8A">
        <w:rPr>
          <w:rFonts w:ascii="Times New Roman" w:hAnsi="Times New Roman"/>
          <w:szCs w:val="24"/>
        </w:rPr>
        <w:t>FERC Order on Rehearing (October 16, 2008)</w:t>
      </w:r>
      <w:r w:rsidRPr="00DA0B8A">
        <w:rPr>
          <w:rFonts w:ascii="Times New Roman" w:hAnsi="Times New Roman"/>
          <w:szCs w:val="24"/>
        </w:rPr>
        <w:t xml:space="preserve"> </w:t>
      </w:r>
    </w:p>
    <w:p w:rsidR="00EE73CF" w:rsidRPr="00DA0B8A" w:rsidRDefault="00EE73CF" w:rsidP="00EE73CF">
      <w:pPr>
        <w:tabs>
          <w:tab w:val="left" w:pos="1080"/>
        </w:tabs>
        <w:rPr>
          <w:rFonts w:ascii="Times New Roman" w:hAnsi="Times New Roman"/>
          <w:szCs w:val="24"/>
        </w:rPr>
      </w:pPr>
      <w:r w:rsidRPr="00DA0B8A">
        <w:rPr>
          <w:rFonts w:ascii="Times New Roman" w:hAnsi="Times New Roman"/>
          <w:szCs w:val="24"/>
        </w:rPr>
        <w:t>Attachment D—</w:t>
      </w:r>
      <w:r w:rsidR="000870BB" w:rsidRPr="00DA0B8A">
        <w:rPr>
          <w:rFonts w:ascii="Times New Roman" w:hAnsi="Times New Roman"/>
          <w:szCs w:val="24"/>
        </w:rPr>
        <w:t xml:space="preserve">Original </w:t>
      </w:r>
      <w:r w:rsidRPr="00DA0B8A">
        <w:rPr>
          <w:rFonts w:ascii="Times New Roman" w:hAnsi="Times New Roman"/>
          <w:szCs w:val="24"/>
        </w:rPr>
        <w:t>Tariff Schedule 90</w:t>
      </w:r>
    </w:p>
    <w:p w:rsidR="00EE73CF" w:rsidRPr="00DA0B8A" w:rsidRDefault="00EE73CF" w:rsidP="00EE73CF">
      <w:pPr>
        <w:tabs>
          <w:tab w:val="left" w:pos="1080"/>
        </w:tabs>
        <w:rPr>
          <w:rFonts w:ascii="Times New Roman" w:hAnsi="Times New Roman"/>
          <w:szCs w:val="24"/>
        </w:rPr>
      </w:pPr>
      <w:r w:rsidRPr="00DA0B8A">
        <w:rPr>
          <w:rFonts w:ascii="Times New Roman" w:hAnsi="Times New Roman"/>
          <w:szCs w:val="24"/>
        </w:rPr>
        <w:t>Attachment E—Table Showing Bill Impacts</w:t>
      </w:r>
    </w:p>
    <w:p w:rsidR="00EE73CF" w:rsidRPr="00DA0B8A" w:rsidRDefault="00EE73CF" w:rsidP="00EE73CF">
      <w:pPr>
        <w:tabs>
          <w:tab w:val="left" w:pos="1080"/>
        </w:tabs>
        <w:rPr>
          <w:rFonts w:ascii="Times New Roman" w:hAnsi="Times New Roman"/>
          <w:szCs w:val="24"/>
        </w:rPr>
      </w:pPr>
      <w:r w:rsidRPr="00DA0B8A">
        <w:rPr>
          <w:rFonts w:ascii="Times New Roman" w:hAnsi="Times New Roman"/>
          <w:szCs w:val="24"/>
        </w:rPr>
        <w:t>Attachment F—Revenue Requirement</w:t>
      </w:r>
      <w:r w:rsidR="000870BB" w:rsidRPr="00DA0B8A">
        <w:rPr>
          <w:rFonts w:ascii="Times New Roman" w:hAnsi="Times New Roman"/>
          <w:szCs w:val="24"/>
        </w:rPr>
        <w:t xml:space="preserve"> Calculation</w:t>
      </w:r>
    </w:p>
    <w:p w:rsidR="00EE73CF" w:rsidRPr="00DA0B8A" w:rsidRDefault="009574A9" w:rsidP="00EE73CF">
      <w:pPr>
        <w:tabs>
          <w:tab w:val="left" w:pos="1080"/>
        </w:tabs>
        <w:rPr>
          <w:rFonts w:ascii="Times New Roman" w:hAnsi="Times New Roman"/>
          <w:szCs w:val="24"/>
        </w:rPr>
      </w:pPr>
      <w:r w:rsidRPr="00DA0B8A">
        <w:rPr>
          <w:rFonts w:ascii="Times New Roman" w:hAnsi="Times New Roman"/>
          <w:szCs w:val="24"/>
        </w:rPr>
        <w:t>Attachment G—</w:t>
      </w:r>
      <w:r w:rsidR="00EE73CF" w:rsidRPr="00DA0B8A">
        <w:rPr>
          <w:rFonts w:ascii="Times New Roman" w:hAnsi="Times New Roman"/>
          <w:szCs w:val="24"/>
        </w:rPr>
        <w:t>Alternative Petition for Deferred Accounting</w:t>
      </w:r>
    </w:p>
    <w:p w:rsidR="00EE73CF" w:rsidRPr="00DA0B8A" w:rsidRDefault="00EE73CF" w:rsidP="00EE73CF">
      <w:pPr>
        <w:tabs>
          <w:tab w:val="left" w:pos="1080"/>
        </w:tabs>
        <w:rPr>
          <w:rFonts w:ascii="Times New Roman" w:hAnsi="Times New Roman"/>
          <w:szCs w:val="24"/>
        </w:rPr>
      </w:pPr>
    </w:p>
    <w:p w:rsidR="0090427E" w:rsidRPr="00DA0B8A" w:rsidRDefault="0090427E" w:rsidP="0090427E">
      <w:pPr>
        <w:pStyle w:val="BodyText"/>
      </w:pPr>
      <w:r w:rsidRPr="00DA0B8A">
        <w:t xml:space="preserve">The </w:t>
      </w:r>
      <w:proofErr w:type="spellStart"/>
      <w:r w:rsidRPr="00DA0B8A">
        <w:t>Merwin</w:t>
      </w:r>
      <w:proofErr w:type="spellEnd"/>
      <w:r w:rsidRPr="00DA0B8A">
        <w:t xml:space="preserve"> Fish Collector is a fish passage system designed to collect, trap, and haul juvenile and adult </w:t>
      </w:r>
      <w:proofErr w:type="spellStart"/>
      <w:r w:rsidRPr="00DA0B8A">
        <w:t>anadromo</w:t>
      </w:r>
      <w:r w:rsidR="00EE73CF" w:rsidRPr="00DA0B8A">
        <w:t>us</w:t>
      </w:r>
      <w:proofErr w:type="spellEnd"/>
      <w:r w:rsidR="00EE73CF" w:rsidRPr="00DA0B8A">
        <w:t xml:space="preserve"> fish around the three Lewis R</w:t>
      </w:r>
      <w:r w:rsidRPr="00DA0B8A">
        <w:t xml:space="preserve">iver dams. </w:t>
      </w:r>
      <w:r w:rsidR="00B9001F" w:rsidRPr="00DA0B8A">
        <w:t xml:space="preserve"> </w:t>
      </w:r>
      <w:r w:rsidR="00EE73CF" w:rsidRPr="00DA0B8A">
        <w:t>As discussed in the testimony of Mr. Mark R. Tallman, t</w:t>
      </w:r>
      <w:r w:rsidRPr="00DA0B8A">
        <w:t xml:space="preserve">he </w:t>
      </w:r>
      <w:proofErr w:type="spellStart"/>
      <w:r w:rsidR="001A173E" w:rsidRPr="00DA0B8A">
        <w:t>Merwin</w:t>
      </w:r>
      <w:proofErr w:type="spellEnd"/>
      <w:r w:rsidR="001A173E" w:rsidRPr="00DA0B8A">
        <w:t xml:space="preserve"> Fish C</w:t>
      </w:r>
      <w:r w:rsidR="00EE73CF" w:rsidRPr="00DA0B8A">
        <w:t>ollector is</w:t>
      </w:r>
      <w:r w:rsidRPr="00DA0B8A">
        <w:t xml:space="preserve"> necessary to comply with </w:t>
      </w:r>
      <w:r w:rsidRPr="00DA0B8A">
        <w:lastRenderedPageBreak/>
        <w:t xml:space="preserve">the Company’s obligations under the </w:t>
      </w:r>
      <w:r w:rsidR="00EE73CF" w:rsidRPr="00DA0B8A">
        <w:t>FERC license</w:t>
      </w:r>
      <w:r w:rsidR="001A173E" w:rsidRPr="00DA0B8A">
        <w:t>s</w:t>
      </w:r>
      <w:r w:rsidR="00EE73CF" w:rsidRPr="00DA0B8A">
        <w:t xml:space="preserve"> issued for the </w:t>
      </w:r>
      <w:r w:rsidR="001A173E" w:rsidRPr="00DA0B8A">
        <w:t xml:space="preserve">Lewis River </w:t>
      </w:r>
      <w:r w:rsidRPr="00DA0B8A">
        <w:t xml:space="preserve">hydroelectric project.  </w:t>
      </w:r>
      <w:r w:rsidR="00B9001F" w:rsidRPr="00DA0B8A">
        <w:t>Because of this investment, customers continue to benefit from the Company’s emission-free, low-cost hydropower generation at the Lewis River hydroelectric project, which was reflected in the Company’s net power cost modeling in its 2013 general rate case</w:t>
      </w:r>
      <w:r w:rsidR="00606DF0" w:rsidRPr="00DA0B8A">
        <w:t xml:space="preserve">, Docket No. </w:t>
      </w:r>
      <w:proofErr w:type="gramStart"/>
      <w:r w:rsidR="00606DF0" w:rsidRPr="00DA0B8A">
        <w:t>UE-130043</w:t>
      </w:r>
      <w:r w:rsidR="00B9001F" w:rsidRPr="00DA0B8A">
        <w:t>.</w:t>
      </w:r>
      <w:proofErr w:type="gramEnd"/>
      <w:r w:rsidR="00606DF0" w:rsidRPr="00DA0B8A">
        <w:rPr>
          <w:rStyle w:val="FootnoteReference"/>
        </w:rPr>
        <w:footnoteReference w:id="1"/>
      </w:r>
      <w:r w:rsidR="00B9001F" w:rsidRPr="00DA0B8A">
        <w:t xml:space="preserve">  </w:t>
      </w:r>
      <w:r w:rsidR="001A173E" w:rsidRPr="00DA0B8A">
        <w:t xml:space="preserve">The final design of the </w:t>
      </w:r>
      <w:proofErr w:type="spellStart"/>
      <w:r w:rsidR="001A173E" w:rsidRPr="00DA0B8A">
        <w:t>Merwin</w:t>
      </w:r>
      <w:proofErr w:type="spellEnd"/>
      <w:r w:rsidR="001A173E" w:rsidRPr="00DA0B8A">
        <w:t xml:space="preserve"> Fish Collector </w:t>
      </w:r>
      <w:r w:rsidRPr="00DA0B8A">
        <w:t>was</w:t>
      </w:r>
      <w:r w:rsidR="00BA3F90" w:rsidRPr="00DA0B8A">
        <w:t xml:space="preserve"> reviewed by the Washington Department of Fish and Wildlife and</w:t>
      </w:r>
      <w:r w:rsidRPr="00DA0B8A">
        <w:t xml:space="preserve"> </w:t>
      </w:r>
      <w:r w:rsidR="00BA3F90" w:rsidRPr="00DA0B8A">
        <w:t xml:space="preserve">required </w:t>
      </w:r>
      <w:r w:rsidRPr="00DA0B8A">
        <w:t xml:space="preserve">by the National </w:t>
      </w:r>
      <w:r w:rsidR="00BA3F90" w:rsidRPr="00DA0B8A">
        <w:t>Marine Fisheries Services</w:t>
      </w:r>
      <w:r w:rsidRPr="00DA0B8A">
        <w:t xml:space="preserve"> and the U.S. Fish and Wildlife Service.</w:t>
      </w:r>
    </w:p>
    <w:p w:rsidR="001A173E" w:rsidRPr="00DA0B8A" w:rsidRDefault="001A173E" w:rsidP="0090427E">
      <w:pPr>
        <w:pStyle w:val="BodyText"/>
      </w:pPr>
      <w:r w:rsidRPr="00DA0B8A">
        <w:t xml:space="preserve">The Company’s total capital investment in the </w:t>
      </w:r>
      <w:proofErr w:type="spellStart"/>
      <w:r w:rsidRPr="00DA0B8A">
        <w:t>Merwin</w:t>
      </w:r>
      <w:proofErr w:type="spellEnd"/>
      <w:r w:rsidRPr="00DA0B8A">
        <w:t xml:space="preserve"> Fish Collector is approximately $58.4 million (</w:t>
      </w:r>
      <w:r w:rsidR="0090427E" w:rsidRPr="00DA0B8A">
        <w:t>total-company</w:t>
      </w:r>
      <w:r w:rsidRPr="00DA0B8A">
        <w:t>).  The Washington-allocate</w:t>
      </w:r>
      <w:r w:rsidR="007141BE" w:rsidRPr="00DA0B8A">
        <w:t>d annual revenue requirement is </w:t>
      </w:r>
      <w:r w:rsidRPr="00DA0B8A">
        <w:t>approximately $1.7 million, resulting in an overall rat</w:t>
      </w:r>
      <w:r w:rsidR="007141BE" w:rsidRPr="00DA0B8A">
        <w:t>e increase of approximately 0.5 </w:t>
      </w:r>
      <w:r w:rsidRPr="00DA0B8A">
        <w:t>percent.</w:t>
      </w:r>
      <w:r w:rsidR="007141BE" w:rsidRPr="00DA0B8A">
        <w:rPr>
          <w:rStyle w:val="FootnoteReference"/>
        </w:rPr>
        <w:footnoteReference w:id="2"/>
      </w:r>
      <w:r w:rsidRPr="00DA0B8A">
        <w:t xml:space="preserve">  </w:t>
      </w:r>
      <w:r w:rsidR="00476028" w:rsidRPr="00DA0B8A">
        <w:t>If approved, a typical Washington customer using 1,300 kilowatt hours per month will see an increase of $0.</w:t>
      </w:r>
      <w:r w:rsidR="004825E2">
        <w:t>60</w:t>
      </w:r>
      <w:r w:rsidR="004825E2" w:rsidRPr="00DA0B8A">
        <w:t xml:space="preserve"> </w:t>
      </w:r>
      <w:r w:rsidR="00476028" w:rsidRPr="00DA0B8A">
        <w:t xml:space="preserve">per month.  </w:t>
      </w:r>
      <w:r w:rsidRPr="00DA0B8A">
        <w:t xml:space="preserve">The Washington-allocated revenue requirement was determined using </w:t>
      </w:r>
      <w:r w:rsidR="00571F90" w:rsidRPr="00DA0B8A">
        <w:t>the allocation percentages,</w:t>
      </w:r>
      <w:r w:rsidR="00571F90" w:rsidRPr="00DA0B8A">
        <w:rPr>
          <w:rStyle w:val="FootnoteReference"/>
        </w:rPr>
        <w:footnoteReference w:id="3"/>
      </w:r>
      <w:r w:rsidR="00571F90" w:rsidRPr="00DA0B8A">
        <w:t xml:space="preserve"> authorized overall rate of return, and revenue sensitive percentages approved in the Company’s 2013 general rate case.</w:t>
      </w:r>
      <w:r w:rsidR="00571F90" w:rsidRPr="00DA0B8A">
        <w:rPr>
          <w:rStyle w:val="FootnoteReference"/>
        </w:rPr>
        <w:footnoteReference w:id="4"/>
      </w:r>
      <w:r w:rsidRPr="00DA0B8A">
        <w:t xml:space="preserve">  </w:t>
      </w:r>
    </w:p>
    <w:p w:rsidR="0090427E" w:rsidRPr="00DA0B8A" w:rsidRDefault="001A173E" w:rsidP="0090427E">
      <w:pPr>
        <w:pStyle w:val="BodyText"/>
      </w:pPr>
      <w:r w:rsidRPr="00DA0B8A">
        <w:t xml:space="preserve">The Company requested recovery of its investment in the </w:t>
      </w:r>
      <w:proofErr w:type="spellStart"/>
      <w:r w:rsidRPr="00DA0B8A">
        <w:t>Merwin</w:t>
      </w:r>
      <w:proofErr w:type="spellEnd"/>
      <w:r w:rsidRPr="00DA0B8A">
        <w:t xml:space="preserve"> Fish Collector d</w:t>
      </w:r>
      <w:r w:rsidR="0090427E" w:rsidRPr="00DA0B8A">
        <w:t>uring its 2013 general ra</w:t>
      </w:r>
      <w:r w:rsidR="00606DF0" w:rsidRPr="00DA0B8A">
        <w:t>te case</w:t>
      </w:r>
      <w:r w:rsidR="00263BAC" w:rsidRPr="00DA0B8A">
        <w:t>.</w:t>
      </w:r>
      <w:r w:rsidR="00B9001F" w:rsidRPr="00DA0B8A">
        <w:rPr>
          <w:rStyle w:val="FootnoteReference"/>
        </w:rPr>
        <w:footnoteReference w:id="5"/>
      </w:r>
      <w:r w:rsidR="00B9001F" w:rsidRPr="00DA0B8A">
        <w:t xml:space="preserve">  In that procee</w:t>
      </w:r>
      <w:r w:rsidR="00263BAC" w:rsidRPr="00DA0B8A">
        <w:t>ding, t</w:t>
      </w:r>
      <w:r w:rsidRPr="00DA0B8A">
        <w:t>he Company d</w:t>
      </w:r>
      <w:r w:rsidR="00263BAC" w:rsidRPr="00DA0B8A">
        <w:t>emonstrated the prudence of its investment, which no party disputed.  Commission Staff and Public Counsel, however, did dispute the timing of the Company’s request for recovery.</w:t>
      </w:r>
      <w:r w:rsidR="00B9001F" w:rsidRPr="00DA0B8A">
        <w:rPr>
          <w:rStyle w:val="FootnoteReference"/>
        </w:rPr>
        <w:footnoteReference w:id="6"/>
      </w:r>
      <w:r w:rsidR="00263BAC" w:rsidRPr="00DA0B8A">
        <w:t xml:space="preserve">  In its final order</w:t>
      </w:r>
      <w:r w:rsidR="0090427E" w:rsidRPr="00DA0B8A">
        <w:t>, the Commission concluded that the</w:t>
      </w:r>
      <w:r w:rsidR="00263BAC" w:rsidRPr="00DA0B8A">
        <w:t xml:space="preserve"> Company’s investment in the</w:t>
      </w:r>
      <w:r w:rsidR="0090427E" w:rsidRPr="00DA0B8A">
        <w:t xml:space="preserve"> </w:t>
      </w:r>
      <w:proofErr w:type="spellStart"/>
      <w:r w:rsidR="0090427E" w:rsidRPr="00DA0B8A">
        <w:t>Merwin</w:t>
      </w:r>
      <w:proofErr w:type="spellEnd"/>
      <w:r w:rsidR="0090427E" w:rsidRPr="00DA0B8A">
        <w:t xml:space="preserve"> Fish Collector </w:t>
      </w:r>
      <w:r w:rsidR="00263BAC" w:rsidRPr="00DA0B8A">
        <w:t xml:space="preserve">should not be included in rates at that time because </w:t>
      </w:r>
      <w:r w:rsidR="00B9001F" w:rsidRPr="00DA0B8A">
        <w:t>“its costs [were] not known and measurable</w:t>
      </w:r>
      <w:r w:rsidR="0090427E" w:rsidRPr="00DA0B8A">
        <w:t>.</w:t>
      </w:r>
      <w:r w:rsidR="00B9001F" w:rsidRPr="00DA0B8A">
        <w:t>”</w:t>
      </w:r>
      <w:r w:rsidR="00B9001F" w:rsidRPr="00DA0B8A">
        <w:rPr>
          <w:rStyle w:val="FootnoteReference"/>
        </w:rPr>
        <w:footnoteReference w:id="7"/>
      </w:r>
      <w:r w:rsidR="0090427E" w:rsidRPr="00DA0B8A">
        <w:t xml:space="preserve">  </w:t>
      </w:r>
      <w:r w:rsidR="00B9001F" w:rsidRPr="00DA0B8A">
        <w:t>The Commission also stated that the project was not “used and useful today” because it was not yet “fully functional.”</w:t>
      </w:r>
      <w:r w:rsidR="00B9001F" w:rsidRPr="00DA0B8A">
        <w:rPr>
          <w:rStyle w:val="FootnoteReference"/>
        </w:rPr>
        <w:footnoteReference w:id="8"/>
      </w:r>
    </w:p>
    <w:p w:rsidR="0090427E" w:rsidRPr="00DA0B8A" w:rsidRDefault="00212E5F" w:rsidP="0090427E">
      <w:pPr>
        <w:pStyle w:val="BodyText"/>
      </w:pPr>
      <w:r w:rsidRPr="00DA0B8A">
        <w:t xml:space="preserve">The Company sought to mitigate </w:t>
      </w:r>
      <w:r w:rsidR="0090427E" w:rsidRPr="00DA0B8A">
        <w:t xml:space="preserve">regulatory lag </w:t>
      </w:r>
      <w:r w:rsidRPr="00DA0B8A">
        <w:t>for its investment in</w:t>
      </w:r>
      <w:r w:rsidR="0090427E" w:rsidRPr="00DA0B8A">
        <w:t xml:space="preserve"> the </w:t>
      </w:r>
      <w:proofErr w:type="spellStart"/>
      <w:r w:rsidR="0090427E" w:rsidRPr="00DA0B8A">
        <w:t>Merwin</w:t>
      </w:r>
      <w:proofErr w:type="spellEnd"/>
      <w:r w:rsidR="0090427E" w:rsidRPr="00DA0B8A">
        <w:t xml:space="preserve"> Fish Collector in the Company’s 2013 general rate case. </w:t>
      </w:r>
      <w:r w:rsidR="00D17DC3" w:rsidRPr="00DA0B8A">
        <w:t xml:space="preserve"> Although the Company’s preferred approach was to include the </w:t>
      </w:r>
      <w:proofErr w:type="spellStart"/>
      <w:r w:rsidR="00D17DC3" w:rsidRPr="00DA0B8A">
        <w:t>Merwin</w:t>
      </w:r>
      <w:proofErr w:type="spellEnd"/>
      <w:r w:rsidR="00D17DC3" w:rsidRPr="00DA0B8A">
        <w:t xml:space="preserve"> Fish Collector in rates </w:t>
      </w:r>
      <w:r w:rsidRPr="00DA0B8A">
        <w:t xml:space="preserve">as part of its </w:t>
      </w:r>
      <w:r w:rsidR="00D17DC3" w:rsidRPr="00DA0B8A">
        <w:t xml:space="preserve">pro forma </w:t>
      </w:r>
      <w:r w:rsidRPr="00DA0B8A">
        <w:t xml:space="preserve">adjustment for </w:t>
      </w:r>
      <w:r w:rsidR="00D17DC3" w:rsidRPr="00DA0B8A">
        <w:t>capital addition</w:t>
      </w:r>
      <w:r w:rsidRPr="00DA0B8A">
        <w:t>s</w:t>
      </w:r>
      <w:r w:rsidR="00D17DC3" w:rsidRPr="00DA0B8A">
        <w:t>, the Company proposed the alternative approach of using a separate tariff rider to add</w:t>
      </w:r>
      <w:r w:rsidR="0090427E" w:rsidRPr="00DA0B8A">
        <w:t xml:space="preserve"> the revenue requirement </w:t>
      </w:r>
      <w:r w:rsidR="00D17DC3" w:rsidRPr="00DA0B8A">
        <w:t xml:space="preserve">associated with the </w:t>
      </w:r>
      <w:proofErr w:type="spellStart"/>
      <w:r w:rsidR="00D17DC3" w:rsidRPr="00DA0B8A">
        <w:t>Merwin</w:t>
      </w:r>
      <w:proofErr w:type="spellEnd"/>
      <w:r w:rsidR="00D17DC3" w:rsidRPr="00DA0B8A">
        <w:t xml:space="preserve"> Fish Collector i</w:t>
      </w:r>
      <w:r w:rsidR="0090427E" w:rsidRPr="00DA0B8A">
        <w:t xml:space="preserve">n rates once </w:t>
      </w:r>
      <w:r w:rsidRPr="00DA0B8A">
        <w:t>it</w:t>
      </w:r>
      <w:r w:rsidR="00D17DC3" w:rsidRPr="00DA0B8A">
        <w:t xml:space="preserve"> was complete and operational</w:t>
      </w:r>
      <w:r w:rsidR="0090427E" w:rsidRPr="00DA0B8A">
        <w:t>.</w:t>
      </w:r>
      <w:r w:rsidR="00D17DC3" w:rsidRPr="00DA0B8A">
        <w:rPr>
          <w:rStyle w:val="FootnoteReference"/>
        </w:rPr>
        <w:footnoteReference w:id="9"/>
      </w:r>
      <w:r w:rsidR="0090427E" w:rsidRPr="00DA0B8A">
        <w:t xml:space="preserve">  The Commission’s final order did not expressly address the Company’s </w:t>
      </w:r>
      <w:r w:rsidRPr="00DA0B8A">
        <w:t xml:space="preserve">alternate </w:t>
      </w:r>
      <w:r w:rsidR="0090427E" w:rsidRPr="00DA0B8A">
        <w:t>proposal.</w:t>
      </w:r>
    </w:p>
    <w:p w:rsidR="0090427E" w:rsidRPr="00DA0B8A" w:rsidRDefault="00212E5F" w:rsidP="0090427E">
      <w:pPr>
        <w:pStyle w:val="BodyText"/>
      </w:pPr>
      <w:r w:rsidRPr="00DA0B8A">
        <w:lastRenderedPageBreak/>
        <w:t>T</w:t>
      </w:r>
      <w:r w:rsidR="0090427E" w:rsidRPr="00DA0B8A">
        <w:t xml:space="preserve">he </w:t>
      </w:r>
      <w:proofErr w:type="spellStart"/>
      <w:r w:rsidR="0090427E" w:rsidRPr="00DA0B8A">
        <w:t>Merwin</w:t>
      </w:r>
      <w:proofErr w:type="spellEnd"/>
      <w:r w:rsidR="0090427E" w:rsidRPr="00DA0B8A">
        <w:t xml:space="preserve"> Fish Collector is </w:t>
      </w:r>
      <w:r w:rsidRPr="00DA0B8A">
        <w:t xml:space="preserve">now fully functional and therefore </w:t>
      </w:r>
      <w:r w:rsidR="0090427E" w:rsidRPr="00DA0B8A">
        <w:t xml:space="preserve">used and useful, and the </w:t>
      </w:r>
      <w:r w:rsidRPr="00DA0B8A">
        <w:t xml:space="preserve">investment </w:t>
      </w:r>
      <w:r w:rsidR="0090427E" w:rsidRPr="00DA0B8A">
        <w:t>costs are known and measurable</w:t>
      </w:r>
      <w:r w:rsidRPr="00DA0B8A">
        <w:t>.  The Company therefore submits this separate tariff rider to recover its mandatory environmental investments in a timely manner</w:t>
      </w:r>
      <w:r w:rsidR="0090427E" w:rsidRPr="00DA0B8A">
        <w:t xml:space="preserve">. </w:t>
      </w:r>
      <w:r w:rsidR="00D17DC3" w:rsidRPr="00DA0B8A">
        <w:t xml:space="preserve"> </w:t>
      </w:r>
      <w:r w:rsidR="0090427E" w:rsidRPr="00DA0B8A">
        <w:t>Th</w:t>
      </w:r>
      <w:r w:rsidRPr="00DA0B8A">
        <w:t>is</w:t>
      </w:r>
      <w:r w:rsidR="0090427E" w:rsidRPr="00DA0B8A">
        <w:t xml:space="preserve"> tariff rider proposal is consistent with alternative rate mechanisms </w:t>
      </w:r>
      <w:r w:rsidRPr="00DA0B8A">
        <w:t>the Company has us</w:t>
      </w:r>
      <w:r w:rsidR="0090427E" w:rsidRPr="00DA0B8A">
        <w:t>ed i</w:t>
      </w:r>
      <w:r w:rsidRPr="00DA0B8A">
        <w:t>n California, Oregon, and Utah.</w:t>
      </w:r>
    </w:p>
    <w:p w:rsidR="00212E5F" w:rsidRPr="00DA0B8A" w:rsidRDefault="00212E5F" w:rsidP="0090427E">
      <w:pPr>
        <w:pStyle w:val="BodyText"/>
      </w:pPr>
      <w:r w:rsidRPr="00DA0B8A">
        <w:t xml:space="preserve">If the Commission rejects the Company’s proposal for a separate tariff rider, the Company respectfully requests that the Commission accept the alternative petition for an accounting order </w:t>
      </w:r>
      <w:r w:rsidR="00EC1D1C" w:rsidRPr="00DA0B8A">
        <w:t xml:space="preserve">authorizing the Company to defer the revenue requirement for the </w:t>
      </w:r>
      <w:proofErr w:type="spellStart"/>
      <w:r w:rsidR="00EC1D1C" w:rsidRPr="00DA0B8A">
        <w:t>Merwin</w:t>
      </w:r>
      <w:proofErr w:type="spellEnd"/>
      <w:r w:rsidR="00EC1D1C" w:rsidRPr="00DA0B8A">
        <w:t xml:space="preserve"> Fish Collector from the date of the petition until included in base rates.  The petition </w:t>
      </w:r>
      <w:r w:rsidRPr="00DA0B8A">
        <w:t>complies with the requirements of WAC 480-07-370(b)</w:t>
      </w:r>
      <w:r w:rsidR="00EC1D1C" w:rsidRPr="00DA0B8A">
        <w:t xml:space="preserve"> and is included as Attachment G.</w:t>
      </w:r>
    </w:p>
    <w:p w:rsidR="00536FD4" w:rsidRPr="00DA0B8A" w:rsidRDefault="00536FD4" w:rsidP="00536FD4">
      <w:pPr>
        <w:pStyle w:val="BodyText"/>
      </w:pPr>
      <w:r w:rsidRPr="00DA0B8A">
        <w:t>Please direct all service and correspondence related to this filing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536FD4" w:rsidRPr="00DA0B8A" w:rsidTr="00AA59BF">
        <w:tc>
          <w:tcPr>
            <w:tcW w:w="4608" w:type="dxa"/>
          </w:tcPr>
          <w:p w:rsidR="00536FD4" w:rsidRPr="00DA0B8A" w:rsidRDefault="00536FD4" w:rsidP="00536FD4">
            <w:pPr>
              <w:rPr>
                <w:rFonts w:ascii="Times New Roman" w:hAnsi="Times New Roman"/>
                <w:szCs w:val="24"/>
              </w:rPr>
            </w:pPr>
            <w:r w:rsidRPr="00DA0B8A">
              <w:rPr>
                <w:rFonts w:ascii="Times New Roman" w:hAnsi="Times New Roman"/>
                <w:szCs w:val="24"/>
              </w:rPr>
              <w:t>Washington Dockets</w:t>
            </w:r>
          </w:p>
          <w:p w:rsidR="00536FD4" w:rsidRPr="00DA0B8A" w:rsidRDefault="00536FD4" w:rsidP="00536FD4">
            <w:pPr>
              <w:rPr>
                <w:rFonts w:ascii="Times New Roman" w:hAnsi="Times New Roman"/>
                <w:szCs w:val="24"/>
              </w:rPr>
            </w:pPr>
            <w:r w:rsidRPr="00DA0B8A">
              <w:rPr>
                <w:rFonts w:ascii="Times New Roman" w:hAnsi="Times New Roman"/>
                <w:szCs w:val="24"/>
              </w:rPr>
              <w:t>PacifiCorp</w:t>
            </w:r>
          </w:p>
          <w:p w:rsidR="00536FD4" w:rsidRPr="00DA0B8A" w:rsidRDefault="00536FD4" w:rsidP="00536FD4">
            <w:pPr>
              <w:rPr>
                <w:rFonts w:ascii="Times New Roman" w:hAnsi="Times New Roman"/>
                <w:szCs w:val="24"/>
              </w:rPr>
            </w:pPr>
            <w:r w:rsidRPr="00DA0B8A">
              <w:rPr>
                <w:rFonts w:ascii="Times New Roman" w:hAnsi="Times New Roman"/>
                <w:szCs w:val="24"/>
              </w:rPr>
              <w:t>825 NE Multnomah, Suite 2000</w:t>
            </w:r>
          </w:p>
          <w:p w:rsidR="00536FD4" w:rsidRPr="00DA0B8A" w:rsidRDefault="00536FD4" w:rsidP="00536FD4">
            <w:pPr>
              <w:rPr>
                <w:rFonts w:ascii="Times New Roman" w:hAnsi="Times New Roman"/>
                <w:szCs w:val="24"/>
              </w:rPr>
            </w:pPr>
            <w:r w:rsidRPr="00DA0B8A">
              <w:rPr>
                <w:rFonts w:ascii="Times New Roman" w:hAnsi="Times New Roman"/>
                <w:szCs w:val="24"/>
              </w:rPr>
              <w:t>Portland, OR  97232</w:t>
            </w:r>
          </w:p>
          <w:p w:rsidR="00536FD4" w:rsidRPr="00DA0B8A" w:rsidRDefault="00536FD4" w:rsidP="00536FD4">
            <w:pPr>
              <w:rPr>
                <w:rFonts w:ascii="Times New Roman" w:hAnsi="Times New Roman"/>
                <w:szCs w:val="24"/>
              </w:rPr>
            </w:pPr>
            <w:r w:rsidRPr="00DA0B8A">
              <w:rPr>
                <w:rFonts w:ascii="Times New Roman" w:hAnsi="Times New Roman"/>
                <w:szCs w:val="24"/>
              </w:rPr>
              <w:t xml:space="preserve">Email: </w:t>
            </w:r>
            <w:hyperlink r:id="rId9" w:history="1">
              <w:r w:rsidRPr="00DA0B8A">
                <w:rPr>
                  <w:rStyle w:val="Hyperlink"/>
                  <w:rFonts w:ascii="Times New Roman" w:hAnsi="Times New Roman"/>
                  <w:szCs w:val="24"/>
                </w:rPr>
                <w:t>washingtondockets@pacificorp.com</w:t>
              </w:r>
            </w:hyperlink>
            <w:r w:rsidRPr="00DA0B8A">
              <w:rPr>
                <w:rFonts w:ascii="Times New Roman" w:hAnsi="Times New Roman"/>
                <w:szCs w:val="24"/>
              </w:rPr>
              <w:t xml:space="preserve"> </w:t>
            </w:r>
          </w:p>
          <w:p w:rsidR="00536FD4" w:rsidRPr="00DA0B8A" w:rsidRDefault="00536FD4" w:rsidP="00536FD4">
            <w:pPr>
              <w:rPr>
                <w:rFonts w:ascii="Times New Roman" w:hAnsi="Times New Roman"/>
                <w:szCs w:val="24"/>
              </w:rPr>
            </w:pPr>
          </w:p>
        </w:tc>
        <w:tc>
          <w:tcPr>
            <w:tcW w:w="4608" w:type="dxa"/>
          </w:tcPr>
          <w:p w:rsidR="00536FD4" w:rsidRPr="00DA0B8A" w:rsidRDefault="00536FD4" w:rsidP="00536FD4">
            <w:pPr>
              <w:rPr>
                <w:rFonts w:ascii="Times New Roman" w:hAnsi="Times New Roman"/>
                <w:szCs w:val="24"/>
              </w:rPr>
            </w:pPr>
            <w:r w:rsidRPr="00DA0B8A">
              <w:rPr>
                <w:rFonts w:ascii="Times New Roman" w:hAnsi="Times New Roman"/>
                <w:szCs w:val="24"/>
              </w:rPr>
              <w:t>Sarah K. Wallace</w:t>
            </w:r>
          </w:p>
          <w:p w:rsidR="00536FD4" w:rsidRPr="00DA0B8A" w:rsidRDefault="00EC1D1C" w:rsidP="00536FD4">
            <w:pPr>
              <w:rPr>
                <w:rFonts w:ascii="Times New Roman" w:hAnsi="Times New Roman"/>
                <w:szCs w:val="24"/>
              </w:rPr>
            </w:pPr>
            <w:r w:rsidRPr="00DA0B8A">
              <w:rPr>
                <w:rFonts w:ascii="Times New Roman" w:hAnsi="Times New Roman"/>
                <w:szCs w:val="24"/>
              </w:rPr>
              <w:t>Assistant General Counsel</w:t>
            </w:r>
          </w:p>
          <w:p w:rsidR="00536FD4" w:rsidRPr="00DA0B8A" w:rsidRDefault="00536FD4" w:rsidP="00536FD4">
            <w:pPr>
              <w:rPr>
                <w:rFonts w:ascii="Times New Roman" w:hAnsi="Times New Roman"/>
                <w:szCs w:val="24"/>
              </w:rPr>
            </w:pPr>
            <w:r w:rsidRPr="00DA0B8A">
              <w:rPr>
                <w:rFonts w:ascii="Times New Roman" w:hAnsi="Times New Roman"/>
                <w:szCs w:val="24"/>
              </w:rPr>
              <w:t>PacifiCorp</w:t>
            </w:r>
          </w:p>
          <w:p w:rsidR="00536FD4" w:rsidRPr="00DA0B8A" w:rsidRDefault="00536FD4" w:rsidP="00536FD4">
            <w:pPr>
              <w:rPr>
                <w:rFonts w:ascii="Times New Roman" w:hAnsi="Times New Roman"/>
                <w:szCs w:val="24"/>
              </w:rPr>
            </w:pPr>
            <w:r w:rsidRPr="00DA0B8A">
              <w:rPr>
                <w:rFonts w:ascii="Times New Roman" w:hAnsi="Times New Roman"/>
                <w:szCs w:val="24"/>
              </w:rPr>
              <w:t>825 NE Multnomah, Suite 1800</w:t>
            </w:r>
          </w:p>
          <w:p w:rsidR="00536FD4" w:rsidRPr="00DA0B8A" w:rsidRDefault="00536FD4" w:rsidP="00536FD4">
            <w:pPr>
              <w:rPr>
                <w:rFonts w:ascii="Times New Roman" w:hAnsi="Times New Roman"/>
                <w:szCs w:val="24"/>
              </w:rPr>
            </w:pPr>
            <w:r w:rsidRPr="00DA0B8A">
              <w:rPr>
                <w:rFonts w:ascii="Times New Roman" w:hAnsi="Times New Roman"/>
                <w:szCs w:val="24"/>
              </w:rPr>
              <w:t>Portland, OR  97232</w:t>
            </w:r>
          </w:p>
          <w:p w:rsidR="00536FD4" w:rsidRPr="00DA0B8A" w:rsidRDefault="00536FD4" w:rsidP="00536FD4">
            <w:pPr>
              <w:rPr>
                <w:rFonts w:ascii="Times New Roman" w:hAnsi="Times New Roman"/>
                <w:szCs w:val="24"/>
              </w:rPr>
            </w:pPr>
            <w:r w:rsidRPr="00DA0B8A">
              <w:rPr>
                <w:rFonts w:ascii="Times New Roman" w:hAnsi="Times New Roman"/>
                <w:szCs w:val="24"/>
              </w:rPr>
              <w:t>Telephone: (503) 813-5865</w:t>
            </w:r>
          </w:p>
          <w:p w:rsidR="00536FD4" w:rsidRPr="00DA0B8A" w:rsidRDefault="00536FD4" w:rsidP="008D13E1">
            <w:pPr>
              <w:rPr>
                <w:rFonts w:ascii="Times New Roman" w:hAnsi="Times New Roman"/>
                <w:szCs w:val="24"/>
              </w:rPr>
            </w:pPr>
            <w:r w:rsidRPr="00DA0B8A">
              <w:rPr>
                <w:rFonts w:ascii="Times New Roman" w:hAnsi="Times New Roman"/>
                <w:szCs w:val="24"/>
              </w:rPr>
              <w:t xml:space="preserve">Email: </w:t>
            </w:r>
            <w:hyperlink r:id="rId10" w:history="1">
              <w:r w:rsidRPr="00DA0B8A">
                <w:rPr>
                  <w:rStyle w:val="Hyperlink"/>
                  <w:rFonts w:ascii="Times New Roman" w:hAnsi="Times New Roman"/>
                  <w:szCs w:val="24"/>
                </w:rPr>
                <w:t>sarah.wallace@pacificorp.com</w:t>
              </w:r>
            </w:hyperlink>
          </w:p>
        </w:tc>
      </w:tr>
      <w:tr w:rsidR="00536FD4" w:rsidRPr="00DA0B8A" w:rsidTr="00AA59BF">
        <w:tc>
          <w:tcPr>
            <w:tcW w:w="4608" w:type="dxa"/>
          </w:tcPr>
          <w:p w:rsidR="00536FD4" w:rsidRPr="00DA0B8A" w:rsidRDefault="00536FD4" w:rsidP="00536FD4">
            <w:pPr>
              <w:rPr>
                <w:rFonts w:ascii="Times New Roman" w:hAnsi="Times New Roman"/>
                <w:szCs w:val="24"/>
              </w:rPr>
            </w:pPr>
          </w:p>
        </w:tc>
        <w:tc>
          <w:tcPr>
            <w:tcW w:w="4608" w:type="dxa"/>
          </w:tcPr>
          <w:p w:rsidR="00536FD4" w:rsidRPr="00DA0B8A" w:rsidRDefault="00536FD4" w:rsidP="00536FD4">
            <w:pPr>
              <w:rPr>
                <w:rFonts w:ascii="Times New Roman" w:hAnsi="Times New Roman"/>
                <w:szCs w:val="24"/>
              </w:rPr>
            </w:pPr>
            <w:r w:rsidRPr="00DA0B8A">
              <w:rPr>
                <w:rFonts w:ascii="Times New Roman" w:hAnsi="Times New Roman"/>
                <w:szCs w:val="24"/>
              </w:rPr>
              <w:t xml:space="preserve"> </w:t>
            </w:r>
          </w:p>
        </w:tc>
      </w:tr>
    </w:tbl>
    <w:p w:rsidR="00536FD4" w:rsidRPr="00DA0B8A" w:rsidRDefault="003172A0" w:rsidP="00536FD4">
      <w:pPr>
        <w:pStyle w:val="BodyText"/>
      </w:pPr>
      <w:r w:rsidRPr="00DA0B8A">
        <w:t>I</w:t>
      </w:r>
      <w:r w:rsidR="00DA3619" w:rsidRPr="00DA0B8A">
        <w:t xml:space="preserve">n addition, </w:t>
      </w:r>
      <w:r w:rsidR="00536FD4" w:rsidRPr="00DA0B8A">
        <w:t>the Company respectfully requests that all data requests regarding this matter be addressed to:</w:t>
      </w:r>
    </w:p>
    <w:p w:rsidR="00536FD4" w:rsidRPr="00DA0B8A" w:rsidRDefault="00536FD4" w:rsidP="00536FD4">
      <w:pPr>
        <w:pStyle w:val="BodyText"/>
        <w:spacing w:after="0"/>
        <w:rPr>
          <w:color w:val="000000"/>
        </w:rPr>
      </w:pPr>
      <w:r w:rsidRPr="00DA0B8A">
        <w:t>By e-mail (preferred):</w:t>
      </w:r>
      <w:r w:rsidRPr="00DA0B8A">
        <w:tab/>
      </w:r>
      <w:r w:rsidRPr="00DA0B8A">
        <w:tab/>
      </w:r>
      <w:hyperlink r:id="rId11" w:history="1">
        <w:r w:rsidRPr="00DA0B8A">
          <w:rPr>
            <w:rStyle w:val="Hyperlink"/>
          </w:rPr>
          <w:t>datarequest@pacificorp.com</w:t>
        </w:r>
      </w:hyperlink>
    </w:p>
    <w:p w:rsidR="00536FD4" w:rsidRPr="00DA0B8A" w:rsidRDefault="00536FD4" w:rsidP="00536FD4">
      <w:pPr>
        <w:pStyle w:val="BodyText"/>
        <w:spacing w:after="0"/>
      </w:pPr>
    </w:p>
    <w:p w:rsidR="00536FD4" w:rsidRPr="00DA0B8A" w:rsidRDefault="00536FD4" w:rsidP="00536FD4">
      <w:pPr>
        <w:pStyle w:val="BodyText"/>
        <w:spacing w:after="0"/>
      </w:pPr>
      <w:r w:rsidRPr="00DA0B8A">
        <w:t>By regular mail:</w:t>
      </w:r>
      <w:r w:rsidRPr="00DA0B8A">
        <w:tab/>
      </w:r>
      <w:r w:rsidRPr="00DA0B8A">
        <w:tab/>
        <w:t>Data Request Response Center</w:t>
      </w:r>
    </w:p>
    <w:p w:rsidR="00536FD4" w:rsidRPr="00DA0B8A" w:rsidRDefault="00536FD4" w:rsidP="00536FD4">
      <w:pPr>
        <w:pStyle w:val="BodyText"/>
        <w:spacing w:after="0"/>
      </w:pPr>
      <w:r w:rsidRPr="00DA0B8A">
        <w:tab/>
      </w:r>
      <w:r w:rsidRPr="00DA0B8A">
        <w:tab/>
      </w:r>
      <w:r w:rsidRPr="00DA0B8A">
        <w:tab/>
      </w:r>
      <w:r w:rsidRPr="00DA0B8A">
        <w:tab/>
        <w:t>PacifiCorp</w:t>
      </w:r>
    </w:p>
    <w:p w:rsidR="00536FD4" w:rsidRPr="00DA0B8A" w:rsidRDefault="00536FD4" w:rsidP="00536FD4">
      <w:pPr>
        <w:pStyle w:val="BodyText"/>
        <w:spacing w:after="0"/>
      </w:pPr>
      <w:r w:rsidRPr="00DA0B8A">
        <w:tab/>
      </w:r>
      <w:r w:rsidRPr="00DA0B8A">
        <w:tab/>
      </w:r>
      <w:r w:rsidRPr="00DA0B8A">
        <w:tab/>
      </w:r>
      <w:r w:rsidRPr="00DA0B8A">
        <w:tab/>
        <w:t>825 NE Multnomah, Suite 2000</w:t>
      </w:r>
    </w:p>
    <w:p w:rsidR="00536FD4" w:rsidRPr="00DA0B8A" w:rsidRDefault="00536FD4" w:rsidP="00536FD4">
      <w:pPr>
        <w:pStyle w:val="BodyText"/>
        <w:spacing w:after="0"/>
      </w:pPr>
      <w:r w:rsidRPr="00DA0B8A">
        <w:tab/>
      </w:r>
      <w:r w:rsidRPr="00DA0B8A">
        <w:tab/>
      </w:r>
      <w:r w:rsidRPr="00DA0B8A">
        <w:tab/>
      </w:r>
      <w:r w:rsidRPr="00DA0B8A">
        <w:tab/>
        <w:t>Portland, OR  97232</w:t>
      </w:r>
    </w:p>
    <w:p w:rsidR="006363FA" w:rsidRPr="00DA0B8A" w:rsidRDefault="006363FA" w:rsidP="00784C5B">
      <w:pPr>
        <w:jc w:val="both"/>
        <w:rPr>
          <w:rFonts w:ascii="Times New Roman" w:hAnsi="Times New Roman"/>
          <w:szCs w:val="24"/>
        </w:rPr>
      </w:pPr>
    </w:p>
    <w:p w:rsidR="00784C5B" w:rsidRPr="00DA0B8A" w:rsidRDefault="00EC1D1C" w:rsidP="00784C5B">
      <w:pPr>
        <w:rPr>
          <w:rFonts w:ascii="Times New Roman" w:hAnsi="Times New Roman"/>
          <w:szCs w:val="24"/>
        </w:rPr>
      </w:pPr>
      <w:r w:rsidRPr="00DA0B8A">
        <w:rPr>
          <w:rFonts w:ascii="Times New Roman" w:hAnsi="Times New Roman"/>
          <w:szCs w:val="24"/>
        </w:rPr>
        <w:t>Please direct any inquiries regarding this filing to me at (503) 813-6389</w:t>
      </w:r>
      <w:r w:rsidR="001C541C" w:rsidRPr="00DA0B8A">
        <w:rPr>
          <w:rFonts w:ascii="Times New Roman" w:hAnsi="Times New Roman"/>
          <w:szCs w:val="24"/>
        </w:rPr>
        <w:t xml:space="preserve"> or Bryce.Dalley@PacifiCorp.com</w:t>
      </w:r>
      <w:r w:rsidRPr="00DA0B8A">
        <w:rPr>
          <w:rFonts w:ascii="Times New Roman" w:hAnsi="Times New Roman"/>
          <w:szCs w:val="24"/>
        </w:rPr>
        <w:t>.</w:t>
      </w:r>
    </w:p>
    <w:p w:rsidR="00784C5B" w:rsidRPr="00DA0B8A" w:rsidRDefault="00784C5B" w:rsidP="00DA3619">
      <w:pPr>
        <w:rPr>
          <w:rFonts w:ascii="Times New Roman" w:hAnsi="Times New Roman"/>
          <w:szCs w:val="24"/>
        </w:rPr>
      </w:pPr>
    </w:p>
    <w:p w:rsidR="00DA3619" w:rsidRPr="00DA0B8A" w:rsidRDefault="00DA3619" w:rsidP="00DA3619">
      <w:pPr>
        <w:rPr>
          <w:rFonts w:ascii="Times New Roman" w:hAnsi="Times New Roman"/>
          <w:szCs w:val="24"/>
        </w:rPr>
      </w:pPr>
      <w:r w:rsidRPr="00DA0B8A">
        <w:rPr>
          <w:rFonts w:ascii="Times New Roman" w:hAnsi="Times New Roman"/>
          <w:szCs w:val="24"/>
        </w:rPr>
        <w:t>Sincerely,</w:t>
      </w:r>
    </w:p>
    <w:p w:rsidR="00DA3619" w:rsidRPr="00DA0B8A" w:rsidRDefault="00DA3619" w:rsidP="00DA3619">
      <w:pPr>
        <w:rPr>
          <w:rFonts w:ascii="Times New Roman" w:hAnsi="Times New Roman"/>
          <w:szCs w:val="24"/>
        </w:rPr>
      </w:pPr>
    </w:p>
    <w:p w:rsidR="00DA3619" w:rsidRPr="00DA0B8A" w:rsidRDefault="00DA3619" w:rsidP="00DA3619">
      <w:pPr>
        <w:rPr>
          <w:rFonts w:ascii="Times New Roman" w:hAnsi="Times New Roman"/>
          <w:szCs w:val="24"/>
        </w:rPr>
      </w:pPr>
    </w:p>
    <w:p w:rsidR="00DA3619" w:rsidRPr="00DA0B8A" w:rsidRDefault="00DA3619" w:rsidP="00DA3619">
      <w:pPr>
        <w:rPr>
          <w:rFonts w:ascii="Times New Roman" w:hAnsi="Times New Roman"/>
          <w:szCs w:val="24"/>
        </w:rPr>
      </w:pPr>
    </w:p>
    <w:p w:rsidR="00DA3619" w:rsidRPr="00DA0B8A" w:rsidRDefault="00EC1D1C" w:rsidP="00DA3619">
      <w:pPr>
        <w:rPr>
          <w:rFonts w:ascii="Times New Roman" w:hAnsi="Times New Roman"/>
          <w:szCs w:val="24"/>
        </w:rPr>
      </w:pPr>
      <w:r w:rsidRPr="00DA0B8A">
        <w:rPr>
          <w:rFonts w:ascii="Times New Roman" w:hAnsi="Times New Roman"/>
          <w:szCs w:val="24"/>
        </w:rPr>
        <w:t>R. Bryce Dalley</w:t>
      </w:r>
    </w:p>
    <w:p w:rsidR="00DA3619" w:rsidRPr="00DA0B8A" w:rsidRDefault="00DA3619" w:rsidP="00DA3619">
      <w:pPr>
        <w:rPr>
          <w:rFonts w:ascii="Times New Roman" w:hAnsi="Times New Roman"/>
          <w:szCs w:val="24"/>
        </w:rPr>
      </w:pPr>
      <w:r w:rsidRPr="00DA0B8A">
        <w:rPr>
          <w:rFonts w:ascii="Times New Roman" w:hAnsi="Times New Roman"/>
          <w:szCs w:val="24"/>
        </w:rPr>
        <w:t>Vice President, Regulation</w:t>
      </w:r>
    </w:p>
    <w:p w:rsidR="00DA3619" w:rsidRPr="00DA0B8A" w:rsidRDefault="00DA3619" w:rsidP="00DA3619">
      <w:pPr>
        <w:rPr>
          <w:rFonts w:ascii="Times New Roman" w:hAnsi="Times New Roman"/>
          <w:szCs w:val="24"/>
        </w:rPr>
      </w:pPr>
    </w:p>
    <w:p w:rsidR="00DA3619" w:rsidRPr="00DA0B8A" w:rsidRDefault="00DA3619" w:rsidP="00DA3619">
      <w:pPr>
        <w:rPr>
          <w:rFonts w:ascii="Times New Roman" w:hAnsi="Times New Roman"/>
          <w:szCs w:val="24"/>
        </w:rPr>
      </w:pPr>
      <w:r w:rsidRPr="00DA0B8A">
        <w:rPr>
          <w:rFonts w:ascii="Times New Roman" w:hAnsi="Times New Roman"/>
          <w:szCs w:val="24"/>
        </w:rPr>
        <w:t>Enclosures</w:t>
      </w:r>
    </w:p>
    <w:p w:rsidR="00594710" w:rsidRPr="00DA0B8A" w:rsidRDefault="00594710" w:rsidP="00640628">
      <w:pPr>
        <w:tabs>
          <w:tab w:val="left" w:pos="1080"/>
        </w:tabs>
        <w:rPr>
          <w:rFonts w:ascii="Times New Roman" w:hAnsi="Times New Roman"/>
          <w:szCs w:val="24"/>
        </w:rPr>
        <w:sectPr w:rsidR="00594710" w:rsidRPr="00DA0B8A" w:rsidSect="005F3F43">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40" w:right="1440" w:bottom="1440" w:left="1800" w:header="720" w:footer="720" w:gutter="0"/>
          <w:cols w:space="720"/>
          <w:formProt w:val="0"/>
          <w:titlePg/>
          <w:docGrid w:linePitch="326"/>
        </w:sectPr>
      </w:pPr>
    </w:p>
    <w:p w:rsidR="001C541C" w:rsidRPr="00DA0B8A" w:rsidRDefault="001C541C"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181431">
      <w:pPr>
        <w:jc w:val="center"/>
        <w:rPr>
          <w:rFonts w:ascii="Times New Roman" w:hAnsi="Times New Roman"/>
          <w:b/>
          <w:sz w:val="48"/>
          <w:szCs w:val="48"/>
        </w:rPr>
      </w:pPr>
      <w:r w:rsidRPr="00DA0B8A">
        <w:rPr>
          <w:rFonts w:ascii="Times New Roman" w:hAnsi="Times New Roman"/>
          <w:b/>
          <w:sz w:val="48"/>
          <w:szCs w:val="48"/>
        </w:rPr>
        <w:t>ATTACHMENT A</w:t>
      </w: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szCs w:val="24"/>
        </w:rPr>
        <w:sectPr w:rsidR="00594710" w:rsidRPr="00DA0B8A" w:rsidSect="00594710">
          <w:footnotePr>
            <w:numRestart w:val="eachSect"/>
          </w:footnotePr>
          <w:pgSz w:w="12240" w:h="15840"/>
          <w:pgMar w:top="1440" w:right="1440" w:bottom="1440" w:left="1800" w:header="720" w:footer="720" w:gutter="0"/>
          <w:cols w:space="720"/>
          <w:formProt w:val="0"/>
          <w:titlePg/>
          <w:docGrid w:linePitch="326"/>
        </w:sectPr>
      </w:pPr>
    </w:p>
    <w:p w:rsidR="008300CE" w:rsidRPr="00DA0B8A" w:rsidRDefault="008300CE" w:rsidP="008300CE">
      <w:pPr>
        <w:tabs>
          <w:tab w:val="left" w:pos="1080"/>
        </w:tabs>
        <w:jc w:val="center"/>
        <w:rPr>
          <w:rFonts w:ascii="Times New Roman" w:hAnsi="Times New Roman"/>
          <w:b/>
          <w:szCs w:val="24"/>
        </w:rPr>
      </w:pPr>
      <w:r w:rsidRPr="00DA0B8A">
        <w:rPr>
          <w:rFonts w:ascii="Times New Roman" w:hAnsi="Times New Roman"/>
          <w:b/>
          <w:szCs w:val="24"/>
        </w:rPr>
        <w:t>NOTICE</w:t>
      </w:r>
    </w:p>
    <w:p w:rsidR="001C541C" w:rsidRPr="00DA0B8A" w:rsidRDefault="001C541C" w:rsidP="001C541C">
      <w:pPr>
        <w:tabs>
          <w:tab w:val="left" w:pos="1080"/>
        </w:tabs>
        <w:jc w:val="center"/>
        <w:rPr>
          <w:rFonts w:ascii="Times New Roman" w:hAnsi="Times New Roman"/>
          <w:b/>
          <w:szCs w:val="24"/>
        </w:rPr>
      </w:pPr>
      <w:r w:rsidRPr="00DA0B8A">
        <w:rPr>
          <w:rFonts w:ascii="Times New Roman" w:hAnsi="Times New Roman"/>
          <w:b/>
          <w:szCs w:val="24"/>
        </w:rPr>
        <w:t>PACIFIC POWER &amp; LIGHT COMPANY</w:t>
      </w:r>
    </w:p>
    <w:p w:rsidR="001C541C" w:rsidRPr="00DA0B8A" w:rsidRDefault="001C541C" w:rsidP="001C541C">
      <w:pPr>
        <w:tabs>
          <w:tab w:val="left" w:pos="1080"/>
        </w:tabs>
        <w:rPr>
          <w:rFonts w:ascii="Times New Roman" w:hAnsi="Times New Roman"/>
          <w:b/>
          <w:szCs w:val="24"/>
        </w:rPr>
      </w:pPr>
    </w:p>
    <w:p w:rsidR="001C541C" w:rsidRPr="00DA0B8A" w:rsidRDefault="001C541C" w:rsidP="001C541C">
      <w:pPr>
        <w:tabs>
          <w:tab w:val="left" w:pos="1080"/>
        </w:tabs>
        <w:rPr>
          <w:rFonts w:ascii="Times New Roman" w:hAnsi="Times New Roman"/>
          <w:szCs w:val="24"/>
        </w:rPr>
      </w:pPr>
      <w:r w:rsidRPr="00DA0B8A">
        <w:rPr>
          <w:rFonts w:ascii="Times New Roman" w:hAnsi="Times New Roman"/>
          <w:szCs w:val="24"/>
        </w:rPr>
        <w:t>As required by Washington law (including RCW 80.28.050 and 80.28.060) and the Rules and Regulations issued by the Washington Utilities and Transportation Commission (Commission), Pacific Power &amp; Light Company has filed with the Commission an original tariff schedule for electric service in the State of Washington.</w:t>
      </w:r>
    </w:p>
    <w:p w:rsidR="001C541C" w:rsidRPr="00DA0B8A" w:rsidRDefault="001C541C" w:rsidP="001C541C">
      <w:pPr>
        <w:tabs>
          <w:tab w:val="left" w:pos="1080"/>
        </w:tabs>
        <w:rPr>
          <w:rFonts w:ascii="Times New Roman" w:hAnsi="Times New Roman"/>
          <w:szCs w:val="24"/>
        </w:rPr>
      </w:pPr>
    </w:p>
    <w:p w:rsidR="001C541C" w:rsidRPr="00DA0B8A" w:rsidRDefault="001C541C" w:rsidP="001C541C">
      <w:pPr>
        <w:tabs>
          <w:tab w:val="left" w:pos="1080"/>
        </w:tabs>
        <w:rPr>
          <w:rFonts w:ascii="Times New Roman" w:hAnsi="Times New Roman"/>
          <w:b/>
          <w:szCs w:val="24"/>
        </w:rPr>
      </w:pPr>
      <w:r w:rsidRPr="00DA0B8A">
        <w:rPr>
          <w:rFonts w:ascii="Times New Roman" w:hAnsi="Times New Roman"/>
          <w:b/>
          <w:szCs w:val="24"/>
        </w:rPr>
        <w:t>Overview</w:t>
      </w:r>
    </w:p>
    <w:p w:rsidR="001C541C" w:rsidRPr="00DA0B8A" w:rsidRDefault="001C541C" w:rsidP="001C541C">
      <w:pPr>
        <w:tabs>
          <w:tab w:val="left" w:pos="1080"/>
        </w:tabs>
        <w:rPr>
          <w:rFonts w:ascii="Times New Roman" w:hAnsi="Times New Roman"/>
          <w:szCs w:val="24"/>
        </w:rPr>
      </w:pPr>
    </w:p>
    <w:p w:rsidR="001C541C" w:rsidRPr="00DA0B8A" w:rsidRDefault="001C541C" w:rsidP="001C541C">
      <w:pPr>
        <w:tabs>
          <w:tab w:val="left" w:pos="1080"/>
        </w:tabs>
        <w:rPr>
          <w:rFonts w:ascii="Times New Roman" w:hAnsi="Times New Roman"/>
          <w:szCs w:val="24"/>
        </w:rPr>
      </w:pPr>
      <w:r w:rsidRPr="00DA0B8A">
        <w:rPr>
          <w:rFonts w:ascii="Times New Roman" w:hAnsi="Times New Roman"/>
          <w:szCs w:val="24"/>
        </w:rPr>
        <w:t xml:space="preserve">The Company submits this filing to reflect in rates the Washington-allocated revenue requirement associated with the Company’s investment in the </w:t>
      </w:r>
      <w:proofErr w:type="spellStart"/>
      <w:r w:rsidRPr="00DA0B8A">
        <w:rPr>
          <w:rFonts w:ascii="Times New Roman" w:hAnsi="Times New Roman"/>
          <w:szCs w:val="24"/>
        </w:rPr>
        <w:t>Merwin</w:t>
      </w:r>
      <w:proofErr w:type="spellEnd"/>
      <w:r w:rsidRPr="00DA0B8A">
        <w:rPr>
          <w:rFonts w:ascii="Times New Roman" w:hAnsi="Times New Roman"/>
          <w:szCs w:val="24"/>
        </w:rPr>
        <w:t xml:space="preserve"> Fish Collector.  The </w:t>
      </w:r>
      <w:proofErr w:type="spellStart"/>
      <w:r w:rsidRPr="00DA0B8A">
        <w:rPr>
          <w:rFonts w:ascii="Times New Roman" w:hAnsi="Times New Roman"/>
          <w:szCs w:val="24"/>
        </w:rPr>
        <w:t>Merwin</w:t>
      </w:r>
      <w:proofErr w:type="spellEnd"/>
      <w:r w:rsidRPr="00DA0B8A">
        <w:rPr>
          <w:rFonts w:ascii="Times New Roman" w:hAnsi="Times New Roman"/>
          <w:szCs w:val="24"/>
        </w:rPr>
        <w:t xml:space="preserve"> Fish Collector is a fish passage facility required by the Federal Energy Regulatory Commission licenses issued for the Lewis River hydroelectric project.</w:t>
      </w:r>
    </w:p>
    <w:p w:rsidR="001C541C" w:rsidRPr="00DA0B8A" w:rsidRDefault="001C541C" w:rsidP="001C541C">
      <w:pPr>
        <w:tabs>
          <w:tab w:val="left" w:pos="1080"/>
        </w:tabs>
        <w:rPr>
          <w:rFonts w:ascii="Times New Roman" w:hAnsi="Times New Roman"/>
          <w:szCs w:val="24"/>
        </w:rPr>
      </w:pPr>
    </w:p>
    <w:p w:rsidR="001C541C" w:rsidRPr="00DA0B8A" w:rsidRDefault="001C541C" w:rsidP="001C541C">
      <w:pPr>
        <w:tabs>
          <w:tab w:val="left" w:pos="1080"/>
        </w:tabs>
        <w:rPr>
          <w:rFonts w:ascii="Times New Roman" w:hAnsi="Times New Roman"/>
          <w:szCs w:val="24"/>
        </w:rPr>
      </w:pPr>
      <w:r w:rsidRPr="00DA0B8A">
        <w:rPr>
          <w:rFonts w:ascii="Times New Roman" w:hAnsi="Times New Roman"/>
          <w:szCs w:val="24"/>
        </w:rPr>
        <w:t xml:space="preserve">The Commission will examine the Company’s proposed tariff </w:t>
      </w:r>
      <w:r w:rsidR="008300CE" w:rsidRPr="00DA0B8A">
        <w:rPr>
          <w:rFonts w:ascii="Times New Roman" w:hAnsi="Times New Roman"/>
          <w:szCs w:val="24"/>
        </w:rPr>
        <w:t>schedule</w:t>
      </w:r>
      <w:r w:rsidRPr="00DA0B8A">
        <w:rPr>
          <w:rFonts w:ascii="Times New Roman" w:hAnsi="Times New Roman"/>
          <w:szCs w:val="24"/>
        </w:rPr>
        <w:t>.  As a result of this examination, the Commissi</w:t>
      </w:r>
      <w:r w:rsidR="008300CE" w:rsidRPr="00DA0B8A">
        <w:rPr>
          <w:rFonts w:ascii="Times New Roman" w:hAnsi="Times New Roman"/>
          <w:szCs w:val="24"/>
        </w:rPr>
        <w:t>on may determine that the schedule should be accepted as filed, modified, or rejected.</w:t>
      </w:r>
    </w:p>
    <w:p w:rsidR="008300CE" w:rsidRPr="00DA0B8A" w:rsidRDefault="008300CE" w:rsidP="001C541C">
      <w:pPr>
        <w:tabs>
          <w:tab w:val="left" w:pos="1080"/>
        </w:tabs>
        <w:rPr>
          <w:rFonts w:ascii="Times New Roman" w:hAnsi="Times New Roman"/>
          <w:szCs w:val="24"/>
        </w:rPr>
      </w:pPr>
    </w:p>
    <w:p w:rsidR="008300CE" w:rsidRPr="00DA0B8A" w:rsidRDefault="008300CE" w:rsidP="001C541C">
      <w:pPr>
        <w:tabs>
          <w:tab w:val="left" w:pos="1080"/>
        </w:tabs>
        <w:rPr>
          <w:rFonts w:ascii="Times New Roman" w:hAnsi="Times New Roman"/>
          <w:szCs w:val="24"/>
        </w:rPr>
      </w:pPr>
      <w:r w:rsidRPr="00DA0B8A">
        <w:rPr>
          <w:rFonts w:ascii="Times New Roman" w:hAnsi="Times New Roman"/>
          <w:szCs w:val="24"/>
        </w:rPr>
        <w:t>DATED:  April 14, 2014</w:t>
      </w:r>
    </w:p>
    <w:p w:rsidR="008300CE" w:rsidRPr="00DA0B8A" w:rsidRDefault="008300CE" w:rsidP="001C541C">
      <w:pPr>
        <w:tabs>
          <w:tab w:val="left" w:pos="1080"/>
        </w:tabs>
        <w:rPr>
          <w:rFonts w:ascii="Times New Roman" w:hAnsi="Times New Roman"/>
          <w:szCs w:val="24"/>
        </w:rPr>
      </w:pPr>
    </w:p>
    <w:p w:rsidR="008300CE" w:rsidRPr="00DA0B8A" w:rsidRDefault="008300CE" w:rsidP="008300CE">
      <w:pPr>
        <w:tabs>
          <w:tab w:val="left" w:pos="1080"/>
        </w:tabs>
        <w:ind w:left="4230"/>
        <w:rPr>
          <w:rFonts w:ascii="Times New Roman" w:hAnsi="Times New Roman"/>
          <w:szCs w:val="24"/>
        </w:rPr>
      </w:pPr>
      <w:r w:rsidRPr="00DA0B8A">
        <w:rPr>
          <w:rFonts w:ascii="Times New Roman" w:hAnsi="Times New Roman"/>
          <w:szCs w:val="24"/>
        </w:rPr>
        <w:t>PACIFIC POWER &amp; LIGHT COMPANY</w:t>
      </w:r>
    </w:p>
    <w:p w:rsidR="008300CE" w:rsidRPr="00DA0B8A" w:rsidRDefault="008300CE" w:rsidP="008300CE">
      <w:pPr>
        <w:tabs>
          <w:tab w:val="left" w:pos="1080"/>
        </w:tabs>
        <w:ind w:left="4230"/>
        <w:rPr>
          <w:rFonts w:ascii="Times New Roman" w:hAnsi="Times New Roman"/>
          <w:szCs w:val="24"/>
        </w:rPr>
      </w:pPr>
    </w:p>
    <w:p w:rsidR="008300CE" w:rsidRPr="00DA0B8A" w:rsidRDefault="008300CE" w:rsidP="008300CE">
      <w:pPr>
        <w:tabs>
          <w:tab w:val="left" w:pos="1080"/>
        </w:tabs>
        <w:ind w:left="4230"/>
        <w:rPr>
          <w:rFonts w:ascii="Times New Roman" w:hAnsi="Times New Roman"/>
          <w:szCs w:val="24"/>
        </w:rPr>
      </w:pPr>
    </w:p>
    <w:p w:rsidR="008300CE" w:rsidRPr="00DA0B8A" w:rsidRDefault="008300CE" w:rsidP="008300CE">
      <w:pPr>
        <w:tabs>
          <w:tab w:val="left" w:pos="1080"/>
          <w:tab w:val="left" w:pos="4680"/>
        </w:tabs>
        <w:ind w:left="4230"/>
        <w:rPr>
          <w:rFonts w:ascii="Times New Roman" w:hAnsi="Times New Roman"/>
          <w:szCs w:val="24"/>
        </w:rPr>
      </w:pPr>
      <w:r w:rsidRPr="00DA0B8A">
        <w:rPr>
          <w:rFonts w:ascii="Times New Roman" w:hAnsi="Times New Roman"/>
          <w:szCs w:val="24"/>
        </w:rPr>
        <w:t>By:</w:t>
      </w:r>
      <w:r w:rsidRPr="00DA0B8A">
        <w:rPr>
          <w:rFonts w:ascii="Times New Roman" w:hAnsi="Times New Roman"/>
          <w:szCs w:val="24"/>
        </w:rPr>
        <w:tab/>
        <w:t>______________________________</w:t>
      </w:r>
    </w:p>
    <w:p w:rsidR="008300CE" w:rsidRPr="00DA0B8A" w:rsidRDefault="008300CE" w:rsidP="008300CE">
      <w:pPr>
        <w:tabs>
          <w:tab w:val="left" w:pos="1080"/>
          <w:tab w:val="left" w:pos="4680"/>
        </w:tabs>
        <w:ind w:left="4230"/>
        <w:rPr>
          <w:rFonts w:ascii="Times New Roman" w:hAnsi="Times New Roman"/>
          <w:szCs w:val="24"/>
        </w:rPr>
      </w:pPr>
      <w:r w:rsidRPr="00DA0B8A">
        <w:rPr>
          <w:rFonts w:ascii="Times New Roman" w:hAnsi="Times New Roman"/>
          <w:szCs w:val="24"/>
        </w:rPr>
        <w:tab/>
        <w:t>R. Bryce Dalley</w:t>
      </w:r>
    </w:p>
    <w:p w:rsidR="00181431" w:rsidRPr="00DA0B8A" w:rsidRDefault="008300CE" w:rsidP="008300CE">
      <w:pPr>
        <w:tabs>
          <w:tab w:val="left" w:pos="1080"/>
          <w:tab w:val="left" w:pos="4680"/>
        </w:tabs>
        <w:ind w:left="4230"/>
        <w:rPr>
          <w:rFonts w:ascii="Times New Roman" w:hAnsi="Times New Roman"/>
          <w:szCs w:val="24"/>
        </w:rPr>
        <w:sectPr w:rsidR="00181431" w:rsidRPr="00DA0B8A" w:rsidSect="00181431">
          <w:headerReference w:type="first" r:id="rId18"/>
          <w:footnotePr>
            <w:numRestart w:val="eachSect"/>
          </w:footnotePr>
          <w:pgSz w:w="12240" w:h="15840"/>
          <w:pgMar w:top="1440" w:right="1440" w:bottom="1440" w:left="1800" w:header="720" w:footer="720" w:gutter="0"/>
          <w:pgNumType w:start="1"/>
          <w:cols w:space="720"/>
          <w:formProt w:val="0"/>
          <w:titlePg/>
          <w:docGrid w:linePitch="326"/>
        </w:sectPr>
      </w:pPr>
      <w:r w:rsidRPr="00DA0B8A">
        <w:rPr>
          <w:rFonts w:ascii="Times New Roman" w:hAnsi="Times New Roman"/>
          <w:szCs w:val="24"/>
        </w:rPr>
        <w:tab/>
        <w:t>Vice President, Regulation</w:t>
      </w: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A730C0">
      <w:pPr>
        <w:tabs>
          <w:tab w:val="left" w:pos="1080"/>
        </w:tabs>
        <w:jc w:val="center"/>
        <w:rPr>
          <w:rFonts w:ascii="Times New Roman" w:hAnsi="Times New Roman"/>
          <w:szCs w:val="24"/>
        </w:rPr>
      </w:pPr>
      <w:r w:rsidRPr="00DA0B8A">
        <w:rPr>
          <w:rFonts w:ascii="Times New Roman" w:hAnsi="Times New Roman"/>
          <w:b/>
          <w:sz w:val="48"/>
          <w:szCs w:val="48"/>
        </w:rPr>
        <w:t>ATTACHMENT B</w:t>
      </w:r>
    </w:p>
    <w:p w:rsidR="009574A9" w:rsidRPr="00DA0B8A" w:rsidRDefault="009574A9" w:rsidP="00181431">
      <w:pPr>
        <w:tabs>
          <w:tab w:val="left" w:pos="1080"/>
        </w:tabs>
        <w:rPr>
          <w:rFonts w:ascii="Times New Roman" w:hAnsi="Times New Roman"/>
          <w:szCs w:val="24"/>
        </w:rPr>
        <w:sectPr w:rsidR="009574A9" w:rsidRPr="00DA0B8A" w:rsidSect="001C541C">
          <w:headerReference w:type="first" r:id="rId19"/>
          <w:footnotePr>
            <w:numRestart w:val="eachSect"/>
          </w:footnotePr>
          <w:pgSz w:w="12240" w:h="15840"/>
          <w:pgMar w:top="1440" w:right="1440" w:bottom="1440" w:left="1800" w:header="720" w:footer="720" w:gutter="0"/>
          <w:cols w:space="720"/>
          <w:formProt w:val="0"/>
          <w:titlePg/>
          <w:docGrid w:linePitch="326"/>
        </w:sect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jc w:val="center"/>
        <w:rPr>
          <w:rFonts w:ascii="Times New Roman" w:hAnsi="Times New Roman"/>
          <w:b/>
          <w:sz w:val="48"/>
          <w:szCs w:val="48"/>
        </w:rPr>
      </w:pPr>
      <w:r w:rsidRPr="00DA0B8A">
        <w:rPr>
          <w:rFonts w:ascii="Times New Roman" w:hAnsi="Times New Roman"/>
          <w:b/>
          <w:sz w:val="48"/>
          <w:szCs w:val="48"/>
        </w:rPr>
        <w:t>ATTACHMENT C</w:t>
      </w: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8300CE">
      <w:pPr>
        <w:tabs>
          <w:tab w:val="left" w:pos="1080"/>
          <w:tab w:val="left" w:pos="4680"/>
        </w:tabs>
        <w:ind w:left="4230"/>
        <w:rPr>
          <w:rFonts w:ascii="Times New Roman" w:hAnsi="Times New Roman"/>
          <w:szCs w:val="24"/>
        </w:rPr>
        <w:sectPr w:rsidR="00181431" w:rsidRPr="00DA0B8A" w:rsidSect="001C541C">
          <w:headerReference w:type="default" r:id="rId20"/>
          <w:footnotePr>
            <w:numRestart w:val="eachSect"/>
          </w:footnotePr>
          <w:pgSz w:w="12240" w:h="15840"/>
          <w:pgMar w:top="1440" w:right="1440" w:bottom="1440" w:left="1800" w:header="720" w:footer="720" w:gutter="0"/>
          <w:cols w:space="720"/>
          <w:formProt w:val="0"/>
          <w:titlePg/>
          <w:docGrid w:linePitch="326"/>
        </w:sect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jc w:val="center"/>
        <w:rPr>
          <w:rFonts w:ascii="Times New Roman" w:hAnsi="Times New Roman"/>
          <w:b/>
          <w:sz w:val="48"/>
          <w:szCs w:val="48"/>
        </w:rPr>
      </w:pPr>
      <w:r w:rsidRPr="00DA0B8A">
        <w:rPr>
          <w:rFonts w:ascii="Times New Roman" w:hAnsi="Times New Roman"/>
          <w:b/>
          <w:sz w:val="48"/>
          <w:szCs w:val="48"/>
        </w:rPr>
        <w:t>ATTACHMENT D</w:t>
      </w:r>
    </w:p>
    <w:p w:rsidR="00181431" w:rsidRPr="00DA0B8A" w:rsidRDefault="00181431" w:rsidP="00181431">
      <w:pPr>
        <w:tabs>
          <w:tab w:val="left" w:pos="1080"/>
        </w:tabs>
        <w:rPr>
          <w:rFonts w:ascii="Times New Roman" w:hAnsi="Times New Roman"/>
          <w:b/>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8300CE">
      <w:pPr>
        <w:tabs>
          <w:tab w:val="left" w:pos="1080"/>
          <w:tab w:val="left" w:pos="4680"/>
        </w:tabs>
        <w:ind w:left="4230"/>
        <w:rPr>
          <w:rFonts w:ascii="Times New Roman" w:hAnsi="Times New Roman"/>
          <w:szCs w:val="24"/>
        </w:rPr>
        <w:sectPr w:rsidR="00181431" w:rsidRPr="00DA0B8A" w:rsidSect="001C541C">
          <w:footnotePr>
            <w:numRestart w:val="eachSect"/>
          </w:footnotePr>
          <w:pgSz w:w="12240" w:h="15840"/>
          <w:pgMar w:top="1440" w:right="1440" w:bottom="1440" w:left="1800" w:header="720" w:footer="720" w:gutter="0"/>
          <w:cols w:space="720"/>
          <w:formProt w:val="0"/>
          <w:titlePg/>
          <w:docGrid w:linePitch="326"/>
        </w:sect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jc w:val="center"/>
        <w:rPr>
          <w:rFonts w:ascii="Times New Roman" w:hAnsi="Times New Roman"/>
          <w:b/>
          <w:sz w:val="48"/>
          <w:szCs w:val="48"/>
        </w:rPr>
      </w:pPr>
      <w:r w:rsidRPr="00DA0B8A">
        <w:rPr>
          <w:rFonts w:ascii="Times New Roman" w:hAnsi="Times New Roman"/>
          <w:b/>
          <w:sz w:val="48"/>
          <w:szCs w:val="48"/>
        </w:rPr>
        <w:t>ATTACHMENT E</w:t>
      </w: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sectPr w:rsidR="00181431" w:rsidRPr="00DA0B8A" w:rsidSect="001C541C">
          <w:footnotePr>
            <w:numRestart w:val="eachSect"/>
          </w:footnotePr>
          <w:pgSz w:w="12240" w:h="15840"/>
          <w:pgMar w:top="1440" w:right="1440" w:bottom="1440" w:left="1800" w:header="720" w:footer="720" w:gutter="0"/>
          <w:cols w:space="720"/>
          <w:formProt w:val="0"/>
          <w:titlePg/>
          <w:docGrid w:linePitch="326"/>
        </w:sect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jc w:val="center"/>
        <w:rPr>
          <w:rFonts w:ascii="Times New Roman" w:hAnsi="Times New Roman"/>
          <w:b/>
          <w:sz w:val="48"/>
          <w:szCs w:val="48"/>
        </w:rPr>
      </w:pPr>
      <w:r w:rsidRPr="00DA0B8A">
        <w:rPr>
          <w:rFonts w:ascii="Times New Roman" w:hAnsi="Times New Roman"/>
          <w:b/>
          <w:sz w:val="48"/>
          <w:szCs w:val="48"/>
        </w:rPr>
        <w:t>ATTACHMENT F</w:t>
      </w:r>
    </w:p>
    <w:p w:rsidR="00181431" w:rsidRPr="00DA0B8A" w:rsidRDefault="00181431" w:rsidP="00181431">
      <w:pPr>
        <w:tabs>
          <w:tab w:val="left" w:pos="1080"/>
        </w:tabs>
        <w:rPr>
          <w:rFonts w:ascii="Times New Roman" w:hAnsi="Times New Roman"/>
          <w:b/>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8300CE">
      <w:pPr>
        <w:tabs>
          <w:tab w:val="left" w:pos="1080"/>
          <w:tab w:val="left" w:pos="4680"/>
        </w:tabs>
        <w:ind w:left="4230"/>
        <w:rPr>
          <w:rFonts w:ascii="Times New Roman" w:hAnsi="Times New Roman"/>
          <w:szCs w:val="24"/>
        </w:rPr>
        <w:sectPr w:rsidR="00181431" w:rsidRPr="00DA0B8A" w:rsidSect="001C541C">
          <w:footnotePr>
            <w:numRestart w:val="eachSect"/>
          </w:footnotePr>
          <w:pgSz w:w="12240" w:h="15840"/>
          <w:pgMar w:top="1440" w:right="1440" w:bottom="1440" w:left="1800" w:header="720" w:footer="720" w:gutter="0"/>
          <w:cols w:space="720"/>
          <w:formProt w:val="0"/>
          <w:titlePg/>
          <w:docGrid w:linePitch="326"/>
        </w:sect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181431" w:rsidRPr="00DA0B8A" w:rsidRDefault="00181431" w:rsidP="00181431">
      <w:pPr>
        <w:tabs>
          <w:tab w:val="left" w:pos="1080"/>
        </w:tabs>
        <w:rPr>
          <w:rFonts w:ascii="Times New Roman" w:hAnsi="Times New Roman"/>
          <w:szCs w:val="24"/>
        </w:rPr>
      </w:pPr>
    </w:p>
    <w:p w:rsidR="008300CE" w:rsidRPr="00DA0B8A" w:rsidRDefault="00181431" w:rsidP="00A730C0">
      <w:pPr>
        <w:tabs>
          <w:tab w:val="left" w:pos="1080"/>
        </w:tabs>
        <w:jc w:val="center"/>
        <w:rPr>
          <w:rFonts w:ascii="Times New Roman" w:hAnsi="Times New Roman"/>
          <w:color w:val="000000" w:themeColor="text1"/>
          <w:szCs w:val="24"/>
        </w:rPr>
      </w:pPr>
      <w:r w:rsidRPr="00DA0B8A">
        <w:rPr>
          <w:rFonts w:ascii="Times New Roman" w:hAnsi="Times New Roman"/>
          <w:b/>
          <w:sz w:val="48"/>
          <w:szCs w:val="48"/>
        </w:rPr>
        <w:t>ATTACHMENT G</w:t>
      </w:r>
    </w:p>
    <w:sectPr w:rsidR="008300CE" w:rsidRPr="00DA0B8A" w:rsidSect="00FB7A54">
      <w:headerReference w:type="default" r:id="rId21"/>
      <w:footerReference w:type="default" r:id="rId22"/>
      <w:footerReference w:type="first" r:id="rId23"/>
      <w:footnotePr>
        <w:numRestart w:val="eachSect"/>
      </w:footnotePr>
      <w:pgSz w:w="12240" w:h="15840"/>
      <w:pgMar w:top="1440" w:right="1800" w:bottom="1440" w:left="1800" w:header="720" w:footer="720" w:gutter="0"/>
      <w:pgNumType w:start="1"/>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C6E" w:rsidRDefault="00A80C6E">
      <w:r>
        <w:separator/>
      </w:r>
    </w:p>
  </w:endnote>
  <w:endnote w:type="continuationSeparator" w:id="0">
    <w:p w:rsidR="00A80C6E" w:rsidRDefault="00A8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7F" w:rsidRDefault="00434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7F" w:rsidRDefault="00434B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7F" w:rsidRDefault="00434B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431" w:rsidRPr="007250DA" w:rsidRDefault="00181431" w:rsidP="007E27A1">
    <w:pPr>
      <w:pStyle w:val="Footer"/>
      <w:rPr>
        <w:rFonts w:ascii="Times New Roman" w:hAnsi="Times New Roman"/>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431" w:rsidRPr="00181431" w:rsidRDefault="00181431">
    <w:pPr>
      <w:pStyle w:val="Footer"/>
      <w:rPr>
        <w:rFonts w:ascii="Times New Roman" w:hAnsi="Times New Roman"/>
        <w:sz w:val="20"/>
      </w:rPr>
    </w:pPr>
    <w:r w:rsidRPr="00181431">
      <w:rPr>
        <w:rFonts w:ascii="Times New Roman" w:hAnsi="Times New Roman"/>
        <w:sz w:val="20"/>
      </w:rPr>
      <w:t>PACIFIC POWER &amp; LIGHT COMPANY’S PETITION FOR DEFERRED ACCOUNTING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C6E" w:rsidRDefault="00A80C6E">
      <w:r>
        <w:separator/>
      </w:r>
    </w:p>
  </w:footnote>
  <w:footnote w:type="continuationSeparator" w:id="0">
    <w:p w:rsidR="00A80C6E" w:rsidRDefault="00A80C6E">
      <w:r>
        <w:continuationSeparator/>
      </w:r>
    </w:p>
  </w:footnote>
  <w:footnote w:id="1">
    <w:p w:rsidR="00606DF0" w:rsidRDefault="00606DF0">
      <w:pPr>
        <w:pStyle w:val="FootnoteText"/>
      </w:pPr>
      <w:r>
        <w:rPr>
          <w:rStyle w:val="FootnoteReference"/>
        </w:rPr>
        <w:footnoteRef/>
      </w:r>
      <w:r>
        <w:t xml:space="preserve"> </w:t>
      </w:r>
      <w:proofErr w:type="gramStart"/>
      <w:r w:rsidR="009E4A8B">
        <w:rPr>
          <w:i/>
        </w:rPr>
        <w:t xml:space="preserve">Washington </w:t>
      </w:r>
      <w:proofErr w:type="spellStart"/>
      <w:r w:rsidR="009E4A8B">
        <w:rPr>
          <w:i/>
        </w:rPr>
        <w:t>Utils</w:t>
      </w:r>
      <w:proofErr w:type="spellEnd"/>
      <w:r w:rsidR="009E4A8B">
        <w:rPr>
          <w:i/>
        </w:rPr>
        <w:t>.</w:t>
      </w:r>
      <w:proofErr w:type="gramEnd"/>
      <w:r w:rsidR="009E4A8B">
        <w:rPr>
          <w:i/>
        </w:rPr>
        <w:t xml:space="preserve"> &amp; Transp. </w:t>
      </w:r>
      <w:proofErr w:type="spellStart"/>
      <w:r w:rsidR="009E4A8B">
        <w:rPr>
          <w:i/>
        </w:rPr>
        <w:t>Comm’n</w:t>
      </w:r>
      <w:proofErr w:type="spellEnd"/>
      <w:r w:rsidR="009E4A8B">
        <w:rPr>
          <w:i/>
        </w:rPr>
        <w:t xml:space="preserve"> v. PacifiCorp d/b/a Pacific Power &amp; Light Co.</w:t>
      </w:r>
      <w:r w:rsidR="009E4A8B">
        <w:t xml:space="preserve">, Docket No. UE-130043, Order 05 </w:t>
      </w:r>
      <w:r w:rsidR="009E4A8B">
        <w:rPr>
          <w:rFonts w:cs="Times"/>
        </w:rPr>
        <w:t>¶</w:t>
      </w:r>
      <w:r w:rsidR="009E4A8B">
        <w:t xml:space="preserve"> 196 (Dec. 4, 2013).</w:t>
      </w:r>
    </w:p>
  </w:footnote>
  <w:footnote w:id="2">
    <w:p w:rsidR="007141BE" w:rsidRPr="009E4A8B" w:rsidRDefault="007141BE" w:rsidP="007141BE">
      <w:pPr>
        <w:pStyle w:val="FootnoteText"/>
      </w:pPr>
      <w:r>
        <w:rPr>
          <w:rStyle w:val="FootnoteReference"/>
        </w:rPr>
        <w:footnoteRef/>
      </w:r>
      <w:r>
        <w:t xml:space="preserve"> </w:t>
      </w:r>
      <w:r>
        <w:rPr>
          <w:i/>
        </w:rPr>
        <w:t xml:space="preserve">See </w:t>
      </w:r>
      <w:r>
        <w:t xml:space="preserve">Attachment E.  In determining the rate impact, the Company is using the same rate spread agreed to by all parties and approved by the Commission in the Company’s 2013 general rate case.  </w:t>
      </w:r>
      <w:r w:rsidR="009E4A8B">
        <w:t xml:space="preserve">Docket No. UE-130043, Order 05, </w:t>
      </w:r>
      <w:r w:rsidR="009E4A8B">
        <w:rPr>
          <w:rFonts w:cs="Times"/>
        </w:rPr>
        <w:t>¶</w:t>
      </w:r>
      <w:r w:rsidR="009E4A8B">
        <w:t xml:space="preserve"> 251.</w:t>
      </w:r>
    </w:p>
  </w:footnote>
  <w:footnote w:id="3">
    <w:p w:rsidR="00571F90" w:rsidRDefault="00571F90">
      <w:pPr>
        <w:pStyle w:val="FootnoteText"/>
      </w:pPr>
      <w:r>
        <w:rPr>
          <w:rStyle w:val="FootnoteReference"/>
        </w:rPr>
        <w:footnoteRef/>
      </w:r>
      <w:r>
        <w:t xml:space="preserve"> Washington’s allocation percentages were determined using the Commission-approved West Control Area inter-jurisdictional allocation methodology.</w:t>
      </w:r>
    </w:p>
  </w:footnote>
  <w:footnote w:id="4">
    <w:p w:rsidR="00571F90" w:rsidRPr="00571F90" w:rsidRDefault="00571F90">
      <w:pPr>
        <w:pStyle w:val="FootnoteText"/>
      </w:pPr>
      <w:r>
        <w:rPr>
          <w:rStyle w:val="FootnoteReference"/>
        </w:rPr>
        <w:footnoteRef/>
      </w:r>
      <w:r>
        <w:t xml:space="preserve"> </w:t>
      </w:r>
      <w:r>
        <w:rPr>
          <w:i/>
        </w:rPr>
        <w:t>See</w:t>
      </w:r>
      <w:r>
        <w:t xml:space="preserve"> Attachment F.</w:t>
      </w:r>
    </w:p>
  </w:footnote>
  <w:footnote w:id="5">
    <w:p w:rsidR="00B9001F" w:rsidRPr="00B9001F" w:rsidRDefault="00B9001F">
      <w:pPr>
        <w:pStyle w:val="FootnoteText"/>
      </w:pPr>
      <w:r>
        <w:rPr>
          <w:rStyle w:val="FootnoteReference"/>
        </w:rPr>
        <w:footnoteRef/>
      </w:r>
      <w:r>
        <w:t xml:space="preserve"> </w:t>
      </w:r>
      <w:r>
        <w:rPr>
          <w:i/>
        </w:rPr>
        <w:t xml:space="preserve">See </w:t>
      </w:r>
      <w:r w:rsidR="001C541C">
        <w:rPr>
          <w:i/>
        </w:rPr>
        <w:t xml:space="preserve">id. </w:t>
      </w:r>
      <w:proofErr w:type="gramStart"/>
      <w:r w:rsidR="001C541C">
        <w:rPr>
          <w:rFonts w:cs="Times"/>
        </w:rPr>
        <w:t>¶</w:t>
      </w:r>
      <w:r w:rsidR="001C541C">
        <w:t xml:space="preserve"> 186</w:t>
      </w:r>
      <w:r w:rsidR="007E27A1">
        <w:t>.</w:t>
      </w:r>
      <w:proofErr w:type="gramEnd"/>
    </w:p>
  </w:footnote>
  <w:footnote w:id="6">
    <w:p w:rsidR="00B9001F" w:rsidRPr="00D17DC3" w:rsidRDefault="00B9001F">
      <w:pPr>
        <w:pStyle w:val="FootnoteText"/>
      </w:pPr>
      <w:r>
        <w:rPr>
          <w:rStyle w:val="FootnoteReference"/>
        </w:rPr>
        <w:footnoteRef/>
      </w:r>
      <w:r>
        <w:t xml:space="preserve"> </w:t>
      </w:r>
      <w:r w:rsidR="00D17DC3">
        <w:rPr>
          <w:i/>
        </w:rPr>
        <w:t>See id</w:t>
      </w:r>
      <w:r w:rsidR="00D17DC3">
        <w:t xml:space="preserve">. </w:t>
      </w:r>
      <w:proofErr w:type="gramStart"/>
      <w:r w:rsidR="00D17DC3">
        <w:rPr>
          <w:rFonts w:cs="Times"/>
        </w:rPr>
        <w:t>¶</w:t>
      </w:r>
      <w:r w:rsidR="00D17DC3">
        <w:t xml:space="preserve"> </w:t>
      </w:r>
      <w:r w:rsidR="00212E5F">
        <w:t>189.</w:t>
      </w:r>
      <w:proofErr w:type="gramEnd"/>
    </w:p>
  </w:footnote>
  <w:footnote w:id="7">
    <w:p w:rsidR="00B9001F" w:rsidRPr="00B9001F" w:rsidRDefault="00B9001F">
      <w:pPr>
        <w:pStyle w:val="FootnoteText"/>
      </w:pPr>
      <w:r>
        <w:rPr>
          <w:rStyle w:val="FootnoteReference"/>
        </w:rPr>
        <w:footnoteRef/>
      </w:r>
      <w:r>
        <w:t xml:space="preserve"> </w:t>
      </w:r>
      <w:proofErr w:type="gramStart"/>
      <w:r>
        <w:rPr>
          <w:i/>
        </w:rPr>
        <w:t xml:space="preserve">Id. </w:t>
      </w:r>
      <w:r>
        <w:rPr>
          <w:rFonts w:cs="Times"/>
        </w:rPr>
        <w:t>¶</w:t>
      </w:r>
      <w:r>
        <w:t xml:space="preserve"> 203.</w:t>
      </w:r>
      <w:proofErr w:type="gramEnd"/>
    </w:p>
  </w:footnote>
  <w:footnote w:id="8">
    <w:p w:rsidR="00B9001F" w:rsidRPr="00B9001F" w:rsidRDefault="00B9001F">
      <w:pPr>
        <w:pStyle w:val="FootnoteText"/>
      </w:pPr>
      <w:r>
        <w:rPr>
          <w:rStyle w:val="FootnoteReference"/>
        </w:rPr>
        <w:footnoteRef/>
      </w:r>
      <w:r>
        <w:t xml:space="preserve"> </w:t>
      </w:r>
      <w:proofErr w:type="gramStart"/>
      <w:r>
        <w:rPr>
          <w:i/>
        </w:rPr>
        <w:t>Id.</w:t>
      </w:r>
      <w:r>
        <w:t xml:space="preserve"> </w:t>
      </w:r>
      <w:r>
        <w:rPr>
          <w:rFonts w:cs="Times"/>
        </w:rPr>
        <w:t>¶</w:t>
      </w:r>
      <w:r>
        <w:t xml:space="preserve"> 204.</w:t>
      </w:r>
      <w:proofErr w:type="gramEnd"/>
    </w:p>
  </w:footnote>
  <w:footnote w:id="9">
    <w:p w:rsidR="00D17DC3" w:rsidRPr="00D17DC3" w:rsidRDefault="00D17DC3">
      <w:pPr>
        <w:pStyle w:val="FootnoteText"/>
      </w:pPr>
      <w:r>
        <w:rPr>
          <w:rStyle w:val="FootnoteReference"/>
        </w:rPr>
        <w:footnoteRef/>
      </w:r>
      <w:r>
        <w:t xml:space="preserve"> </w:t>
      </w:r>
      <w:r>
        <w:rPr>
          <w:i/>
        </w:rPr>
        <w:t>See id.</w:t>
      </w:r>
      <w:r>
        <w:t xml:space="preserve"> </w:t>
      </w:r>
      <w:proofErr w:type="gramStart"/>
      <w:r>
        <w:rPr>
          <w:rFonts w:cs="Times"/>
        </w:rPr>
        <w:t>¶</w:t>
      </w:r>
      <w:r>
        <w:t xml:space="preserve"> 216.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7F" w:rsidRDefault="00434B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3E1" w:rsidRDefault="000D3911" w:rsidP="000D3911">
    <w:pPr>
      <w:pStyle w:val="Header"/>
      <w:rPr>
        <w:rFonts w:ascii="Times New Roman" w:hAnsi="Times New Roman"/>
        <w:szCs w:val="24"/>
      </w:rPr>
    </w:pPr>
    <w:r>
      <w:rPr>
        <w:rFonts w:ascii="Times New Roman" w:hAnsi="Times New Roman"/>
        <w:szCs w:val="24"/>
      </w:rPr>
      <w:t>Washington Utilities &amp; Transportation Commission</w:t>
    </w:r>
  </w:p>
  <w:p w:rsidR="000D3911" w:rsidRDefault="000D3911" w:rsidP="000D3911">
    <w:pPr>
      <w:pStyle w:val="Header"/>
      <w:rPr>
        <w:rFonts w:ascii="Times New Roman" w:hAnsi="Times New Roman"/>
        <w:szCs w:val="24"/>
      </w:rPr>
    </w:pPr>
    <w:r>
      <w:rPr>
        <w:rFonts w:ascii="Times New Roman" w:hAnsi="Times New Roman"/>
        <w:szCs w:val="24"/>
      </w:rPr>
      <w:t>April 14, 2014</w:t>
    </w:r>
  </w:p>
  <w:p w:rsidR="000D3911" w:rsidRDefault="000D3911" w:rsidP="000D3911">
    <w:pPr>
      <w:pStyle w:val="Header"/>
      <w:rPr>
        <w:rFonts w:ascii="Times New Roman" w:hAnsi="Times New Roman"/>
        <w:szCs w:val="24"/>
      </w:rPr>
    </w:pPr>
    <w:r>
      <w:rPr>
        <w:rFonts w:ascii="Times New Roman" w:hAnsi="Times New Roman"/>
        <w:szCs w:val="24"/>
      </w:rPr>
      <w:t xml:space="preserve">Page </w:t>
    </w:r>
    <w:r w:rsidR="00F7406F" w:rsidRPr="000D3911">
      <w:rPr>
        <w:rFonts w:ascii="Times New Roman" w:hAnsi="Times New Roman"/>
        <w:szCs w:val="24"/>
      </w:rPr>
      <w:fldChar w:fldCharType="begin"/>
    </w:r>
    <w:r w:rsidRPr="000D3911">
      <w:rPr>
        <w:rFonts w:ascii="Times New Roman" w:hAnsi="Times New Roman"/>
        <w:szCs w:val="24"/>
      </w:rPr>
      <w:instrText xml:space="preserve"> PAGE   \* MERGEFORMAT </w:instrText>
    </w:r>
    <w:r w:rsidR="00F7406F" w:rsidRPr="000D3911">
      <w:rPr>
        <w:rFonts w:ascii="Times New Roman" w:hAnsi="Times New Roman"/>
        <w:szCs w:val="24"/>
      </w:rPr>
      <w:fldChar w:fldCharType="separate"/>
    </w:r>
    <w:r w:rsidR="00061537">
      <w:rPr>
        <w:rFonts w:ascii="Times New Roman" w:hAnsi="Times New Roman"/>
        <w:noProof/>
        <w:szCs w:val="24"/>
      </w:rPr>
      <w:t>2</w:t>
    </w:r>
    <w:r w:rsidR="00F7406F" w:rsidRPr="000D3911">
      <w:rPr>
        <w:rFonts w:ascii="Times New Roman" w:hAnsi="Times New Roman"/>
        <w:szCs w:val="24"/>
      </w:rPr>
      <w:fldChar w:fldCharType="end"/>
    </w:r>
  </w:p>
  <w:p w:rsidR="000D3911" w:rsidRPr="009574A9" w:rsidRDefault="000D3911" w:rsidP="000D3911">
    <w:pPr>
      <w:pStyle w:val="Header"/>
      <w:rPr>
        <w:rFonts w:ascii="Times New Roman" w:hAnsi="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7F" w:rsidRDefault="00434B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AD3" w:rsidRDefault="00FC46A3" w:rsidP="000D4AD3">
    <w:pPr>
      <w:pStyle w:val="Header"/>
      <w:jc w:val="right"/>
    </w:pPr>
    <w:r>
      <w:t>A</w:t>
    </w:r>
    <w:r w:rsidR="00434B7F">
      <w:t>ttachment</w:t>
    </w:r>
    <w:r>
      <w:t xml:space="preserve"> A</w:t>
    </w:r>
  </w:p>
  <w:p w:rsidR="000D4AD3" w:rsidRPr="000D4AD3" w:rsidRDefault="000D4AD3" w:rsidP="000D4AD3">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431" w:rsidRPr="00181431" w:rsidRDefault="00181431" w:rsidP="0018143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54" w:rsidRPr="00FB7A54" w:rsidRDefault="00FB7A54" w:rsidP="00FB7A54">
    <w:pPr>
      <w:pStyle w:val="Header"/>
      <w:rPr>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431" w:rsidRPr="006A63A4" w:rsidRDefault="00181431">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D21D4"/>
    <w:multiLevelType w:val="hybridMultilevel"/>
    <w:tmpl w:val="230CD408"/>
    <w:lvl w:ilvl="0" w:tplc="75ACAEA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75602931"/>
    <w:multiLevelType w:val="hybridMultilevel"/>
    <w:tmpl w:val="E6C2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740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4F4400"/>
    <w:rsid w:val="00015037"/>
    <w:rsid w:val="00022854"/>
    <w:rsid w:val="00032D8D"/>
    <w:rsid w:val="00033590"/>
    <w:rsid w:val="000372BA"/>
    <w:rsid w:val="00044DB0"/>
    <w:rsid w:val="0005219D"/>
    <w:rsid w:val="000538A9"/>
    <w:rsid w:val="000538F6"/>
    <w:rsid w:val="000579A6"/>
    <w:rsid w:val="00061537"/>
    <w:rsid w:val="00062493"/>
    <w:rsid w:val="000713C0"/>
    <w:rsid w:val="00072F1A"/>
    <w:rsid w:val="00080BA3"/>
    <w:rsid w:val="000870BB"/>
    <w:rsid w:val="00097080"/>
    <w:rsid w:val="000B15B2"/>
    <w:rsid w:val="000B2C12"/>
    <w:rsid w:val="000D3911"/>
    <w:rsid w:val="000D4AD3"/>
    <w:rsid w:val="000D53F8"/>
    <w:rsid w:val="000D792F"/>
    <w:rsid w:val="000E7BED"/>
    <w:rsid w:val="00106003"/>
    <w:rsid w:val="00111DD3"/>
    <w:rsid w:val="0011347A"/>
    <w:rsid w:val="0012097D"/>
    <w:rsid w:val="00130D24"/>
    <w:rsid w:val="00146E7F"/>
    <w:rsid w:val="00150484"/>
    <w:rsid w:val="0015241E"/>
    <w:rsid w:val="001604A4"/>
    <w:rsid w:val="00163588"/>
    <w:rsid w:val="00165FF4"/>
    <w:rsid w:val="00181431"/>
    <w:rsid w:val="00184070"/>
    <w:rsid w:val="00186701"/>
    <w:rsid w:val="001A173E"/>
    <w:rsid w:val="001B2AE3"/>
    <w:rsid w:val="001C03CE"/>
    <w:rsid w:val="001C541C"/>
    <w:rsid w:val="001E1C93"/>
    <w:rsid w:val="001E5CF7"/>
    <w:rsid w:val="001E795D"/>
    <w:rsid w:val="001F6028"/>
    <w:rsid w:val="00212E5F"/>
    <w:rsid w:val="00217B84"/>
    <w:rsid w:val="002209EC"/>
    <w:rsid w:val="00240085"/>
    <w:rsid w:val="00251131"/>
    <w:rsid w:val="00252B91"/>
    <w:rsid w:val="00263BAC"/>
    <w:rsid w:val="002857FD"/>
    <w:rsid w:val="002A1B03"/>
    <w:rsid w:val="002A5094"/>
    <w:rsid w:val="002B7A69"/>
    <w:rsid w:val="002C0D5B"/>
    <w:rsid w:val="003005CB"/>
    <w:rsid w:val="00301C12"/>
    <w:rsid w:val="00305E9B"/>
    <w:rsid w:val="0031267F"/>
    <w:rsid w:val="003172A0"/>
    <w:rsid w:val="00320398"/>
    <w:rsid w:val="003255BB"/>
    <w:rsid w:val="00335CBC"/>
    <w:rsid w:val="003467EB"/>
    <w:rsid w:val="00347433"/>
    <w:rsid w:val="00381158"/>
    <w:rsid w:val="0038135F"/>
    <w:rsid w:val="00387A0D"/>
    <w:rsid w:val="003947C9"/>
    <w:rsid w:val="003950C2"/>
    <w:rsid w:val="00396625"/>
    <w:rsid w:val="003A6686"/>
    <w:rsid w:val="003D5478"/>
    <w:rsid w:val="003E12AC"/>
    <w:rsid w:val="003F4B90"/>
    <w:rsid w:val="0040102C"/>
    <w:rsid w:val="0041053D"/>
    <w:rsid w:val="004150A2"/>
    <w:rsid w:val="00434B7F"/>
    <w:rsid w:val="00434D74"/>
    <w:rsid w:val="004450BB"/>
    <w:rsid w:val="0044618D"/>
    <w:rsid w:val="004723C6"/>
    <w:rsid w:val="00476028"/>
    <w:rsid w:val="00480BB9"/>
    <w:rsid w:val="004825E2"/>
    <w:rsid w:val="004907E4"/>
    <w:rsid w:val="004C5017"/>
    <w:rsid w:val="004D6E4A"/>
    <w:rsid w:val="004E28DC"/>
    <w:rsid w:val="004F0091"/>
    <w:rsid w:val="004F4400"/>
    <w:rsid w:val="00536FD4"/>
    <w:rsid w:val="005415B5"/>
    <w:rsid w:val="00544566"/>
    <w:rsid w:val="00546FB8"/>
    <w:rsid w:val="0056484A"/>
    <w:rsid w:val="00565AC8"/>
    <w:rsid w:val="00571F90"/>
    <w:rsid w:val="0057296C"/>
    <w:rsid w:val="005767BB"/>
    <w:rsid w:val="00592B7A"/>
    <w:rsid w:val="00594710"/>
    <w:rsid w:val="005949A2"/>
    <w:rsid w:val="00597D0E"/>
    <w:rsid w:val="005A0788"/>
    <w:rsid w:val="005C194C"/>
    <w:rsid w:val="005E1D03"/>
    <w:rsid w:val="005E3D6A"/>
    <w:rsid w:val="005F3F43"/>
    <w:rsid w:val="005F755D"/>
    <w:rsid w:val="00600D84"/>
    <w:rsid w:val="00606DF0"/>
    <w:rsid w:val="0061318D"/>
    <w:rsid w:val="00626F73"/>
    <w:rsid w:val="00632403"/>
    <w:rsid w:val="006363FA"/>
    <w:rsid w:val="00640628"/>
    <w:rsid w:val="00642BCD"/>
    <w:rsid w:val="006528E5"/>
    <w:rsid w:val="006540C9"/>
    <w:rsid w:val="0066715F"/>
    <w:rsid w:val="00687DE2"/>
    <w:rsid w:val="00690897"/>
    <w:rsid w:val="0069750D"/>
    <w:rsid w:val="006A63A4"/>
    <w:rsid w:val="006B6AB5"/>
    <w:rsid w:val="006C2D35"/>
    <w:rsid w:val="006E49AC"/>
    <w:rsid w:val="006F0B38"/>
    <w:rsid w:val="00702F5D"/>
    <w:rsid w:val="007141BE"/>
    <w:rsid w:val="00722F17"/>
    <w:rsid w:val="007250DA"/>
    <w:rsid w:val="00735954"/>
    <w:rsid w:val="0075039B"/>
    <w:rsid w:val="007618E9"/>
    <w:rsid w:val="00784C5B"/>
    <w:rsid w:val="007A4A3E"/>
    <w:rsid w:val="007C0F60"/>
    <w:rsid w:val="007E235B"/>
    <w:rsid w:val="007E27A1"/>
    <w:rsid w:val="008023B3"/>
    <w:rsid w:val="00802FA7"/>
    <w:rsid w:val="00811551"/>
    <w:rsid w:val="00826951"/>
    <w:rsid w:val="008300CE"/>
    <w:rsid w:val="008408DF"/>
    <w:rsid w:val="00842462"/>
    <w:rsid w:val="00856ABE"/>
    <w:rsid w:val="00863E59"/>
    <w:rsid w:val="00871CDF"/>
    <w:rsid w:val="00897F34"/>
    <w:rsid w:val="008B64CF"/>
    <w:rsid w:val="008C6AE6"/>
    <w:rsid w:val="008D13E1"/>
    <w:rsid w:val="008E1AE7"/>
    <w:rsid w:val="008E5731"/>
    <w:rsid w:val="008E6A41"/>
    <w:rsid w:val="0090427E"/>
    <w:rsid w:val="00924E6C"/>
    <w:rsid w:val="00933498"/>
    <w:rsid w:val="00937B6E"/>
    <w:rsid w:val="009454C4"/>
    <w:rsid w:val="00945CC9"/>
    <w:rsid w:val="00947F63"/>
    <w:rsid w:val="00952BFF"/>
    <w:rsid w:val="00954E9C"/>
    <w:rsid w:val="009574A9"/>
    <w:rsid w:val="009676F6"/>
    <w:rsid w:val="009731D3"/>
    <w:rsid w:val="009739B5"/>
    <w:rsid w:val="009761DD"/>
    <w:rsid w:val="00982464"/>
    <w:rsid w:val="00996781"/>
    <w:rsid w:val="009974D7"/>
    <w:rsid w:val="00997D05"/>
    <w:rsid w:val="009B34E9"/>
    <w:rsid w:val="009B3AC7"/>
    <w:rsid w:val="009B4DDD"/>
    <w:rsid w:val="009C640B"/>
    <w:rsid w:val="009E4A8B"/>
    <w:rsid w:val="00A04E5C"/>
    <w:rsid w:val="00A17531"/>
    <w:rsid w:val="00A20CED"/>
    <w:rsid w:val="00A22DB7"/>
    <w:rsid w:val="00A32183"/>
    <w:rsid w:val="00A32451"/>
    <w:rsid w:val="00A33918"/>
    <w:rsid w:val="00A3718E"/>
    <w:rsid w:val="00A456D7"/>
    <w:rsid w:val="00A730C0"/>
    <w:rsid w:val="00A8075D"/>
    <w:rsid w:val="00A80C6E"/>
    <w:rsid w:val="00A947EF"/>
    <w:rsid w:val="00A963DC"/>
    <w:rsid w:val="00A9661F"/>
    <w:rsid w:val="00AA59BF"/>
    <w:rsid w:val="00AA7D8F"/>
    <w:rsid w:val="00AE05A2"/>
    <w:rsid w:val="00AF1404"/>
    <w:rsid w:val="00B0355C"/>
    <w:rsid w:val="00B31DF8"/>
    <w:rsid w:val="00B4081E"/>
    <w:rsid w:val="00B620E7"/>
    <w:rsid w:val="00B67635"/>
    <w:rsid w:val="00B71093"/>
    <w:rsid w:val="00B749B7"/>
    <w:rsid w:val="00B83071"/>
    <w:rsid w:val="00B837EC"/>
    <w:rsid w:val="00B9001F"/>
    <w:rsid w:val="00B94F19"/>
    <w:rsid w:val="00BA1081"/>
    <w:rsid w:val="00BA3F90"/>
    <w:rsid w:val="00BA4A18"/>
    <w:rsid w:val="00BD537A"/>
    <w:rsid w:val="00C26E26"/>
    <w:rsid w:val="00C3279D"/>
    <w:rsid w:val="00C368B1"/>
    <w:rsid w:val="00C47BD7"/>
    <w:rsid w:val="00C708B3"/>
    <w:rsid w:val="00C825DC"/>
    <w:rsid w:val="00C85373"/>
    <w:rsid w:val="00C87094"/>
    <w:rsid w:val="00CC36BB"/>
    <w:rsid w:val="00CF51E5"/>
    <w:rsid w:val="00D066DF"/>
    <w:rsid w:val="00D17DC3"/>
    <w:rsid w:val="00D23B56"/>
    <w:rsid w:val="00D3762C"/>
    <w:rsid w:val="00D600CF"/>
    <w:rsid w:val="00D641CB"/>
    <w:rsid w:val="00D726A0"/>
    <w:rsid w:val="00D734FF"/>
    <w:rsid w:val="00D80215"/>
    <w:rsid w:val="00D924F3"/>
    <w:rsid w:val="00DA0B8A"/>
    <w:rsid w:val="00DA3619"/>
    <w:rsid w:val="00DB63D3"/>
    <w:rsid w:val="00DB6C35"/>
    <w:rsid w:val="00DE5CF4"/>
    <w:rsid w:val="00DE6F81"/>
    <w:rsid w:val="00DF2FA3"/>
    <w:rsid w:val="00DF2FF1"/>
    <w:rsid w:val="00DF63D5"/>
    <w:rsid w:val="00DF65CF"/>
    <w:rsid w:val="00E02389"/>
    <w:rsid w:val="00E07BF4"/>
    <w:rsid w:val="00E117FF"/>
    <w:rsid w:val="00E40EA3"/>
    <w:rsid w:val="00E42C81"/>
    <w:rsid w:val="00E42ED5"/>
    <w:rsid w:val="00E90034"/>
    <w:rsid w:val="00EA3F93"/>
    <w:rsid w:val="00EA769E"/>
    <w:rsid w:val="00EB1768"/>
    <w:rsid w:val="00EB5A92"/>
    <w:rsid w:val="00EC1D1C"/>
    <w:rsid w:val="00EC3E04"/>
    <w:rsid w:val="00ED03F5"/>
    <w:rsid w:val="00ED348D"/>
    <w:rsid w:val="00EE6F4A"/>
    <w:rsid w:val="00EE7393"/>
    <w:rsid w:val="00EE73CF"/>
    <w:rsid w:val="00EF0F8B"/>
    <w:rsid w:val="00F1742D"/>
    <w:rsid w:val="00F219A7"/>
    <w:rsid w:val="00F35CD2"/>
    <w:rsid w:val="00F36856"/>
    <w:rsid w:val="00F71A90"/>
    <w:rsid w:val="00F7406F"/>
    <w:rsid w:val="00F75D24"/>
    <w:rsid w:val="00F83197"/>
    <w:rsid w:val="00F977BB"/>
    <w:rsid w:val="00FB056A"/>
    <w:rsid w:val="00FB6377"/>
    <w:rsid w:val="00FB7A54"/>
    <w:rsid w:val="00FC46A3"/>
    <w:rsid w:val="00FC7EDA"/>
    <w:rsid w:val="00FD06CB"/>
    <w:rsid w:val="00FD736A"/>
    <w:rsid w:val="00FF1E58"/>
    <w:rsid w:val="00FF5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12"/>
    <w:rPr>
      <w:sz w:val="24"/>
    </w:rPr>
  </w:style>
  <w:style w:type="paragraph" w:styleId="Heading1">
    <w:name w:val="heading 1"/>
    <w:basedOn w:val="Normal"/>
    <w:next w:val="Normal"/>
    <w:link w:val="Heading1Char"/>
    <w:qFormat/>
    <w:rsid w:val="00181431"/>
    <w:pPr>
      <w:keepNext/>
      <w:spacing w:line="480" w:lineRule="exact"/>
      <w:jc w:val="center"/>
      <w:outlineLvl w:val="0"/>
    </w:pPr>
    <w:rPr>
      <w:rFonts w:ascii="Times New Roman" w:eastAsia="Times New Roman" w:hAnsi="Times New Roman"/>
      <w:b/>
    </w:rPr>
  </w:style>
  <w:style w:type="paragraph" w:styleId="Heading2">
    <w:name w:val="heading 2"/>
    <w:basedOn w:val="Normal"/>
    <w:next w:val="Normal"/>
    <w:link w:val="Heading2Char"/>
    <w:uiPriority w:val="9"/>
    <w:unhideWhenUsed/>
    <w:qFormat/>
    <w:rsid w:val="001814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3619"/>
    <w:pPr>
      <w:spacing w:after="240"/>
    </w:pPr>
    <w:rPr>
      <w:rFonts w:ascii="Times New Roman" w:eastAsia="Times New Roman" w:hAnsi="Times New Roman"/>
      <w:szCs w:val="24"/>
    </w:rPr>
  </w:style>
  <w:style w:type="character" w:styleId="Hyperlink">
    <w:name w:val="Hyperlink"/>
    <w:basedOn w:val="DefaultParagraphFont"/>
    <w:rsid w:val="00DA3619"/>
    <w:rPr>
      <w:color w:val="0000FF"/>
      <w:u w:val="single"/>
    </w:rPr>
  </w:style>
  <w:style w:type="paragraph" w:styleId="Header">
    <w:name w:val="header"/>
    <w:basedOn w:val="Normal"/>
    <w:rsid w:val="00DA3619"/>
    <w:pPr>
      <w:tabs>
        <w:tab w:val="center" w:pos="4320"/>
        <w:tab w:val="right" w:pos="8640"/>
      </w:tabs>
    </w:pPr>
  </w:style>
  <w:style w:type="paragraph" w:styleId="Footer">
    <w:name w:val="footer"/>
    <w:basedOn w:val="Normal"/>
    <w:rsid w:val="00DA3619"/>
    <w:pPr>
      <w:tabs>
        <w:tab w:val="center" w:pos="4320"/>
        <w:tab w:val="right" w:pos="8640"/>
      </w:tabs>
    </w:pPr>
  </w:style>
  <w:style w:type="character" w:styleId="PageNumber">
    <w:name w:val="page number"/>
    <w:basedOn w:val="DefaultParagraphFont"/>
    <w:rsid w:val="00DA3619"/>
  </w:style>
  <w:style w:type="paragraph" w:styleId="BalloonText">
    <w:name w:val="Balloon Text"/>
    <w:basedOn w:val="Normal"/>
    <w:semiHidden/>
    <w:rsid w:val="000B15B2"/>
    <w:rPr>
      <w:rFonts w:ascii="Tahoma" w:hAnsi="Tahoma" w:cs="Tahoma"/>
      <w:sz w:val="16"/>
      <w:szCs w:val="16"/>
    </w:rPr>
  </w:style>
  <w:style w:type="paragraph" w:customStyle="1" w:styleId="a">
    <w:basedOn w:val="Normal"/>
    <w:rsid w:val="000B15B2"/>
    <w:pPr>
      <w:spacing w:after="160" w:line="240" w:lineRule="exact"/>
    </w:pPr>
    <w:rPr>
      <w:rFonts w:ascii="Verdana" w:eastAsia="Times New Roman" w:hAnsi="Verdana"/>
      <w:sz w:val="20"/>
    </w:rPr>
  </w:style>
  <w:style w:type="character" w:styleId="CommentReference">
    <w:name w:val="annotation reference"/>
    <w:basedOn w:val="DefaultParagraphFont"/>
    <w:semiHidden/>
    <w:rsid w:val="004150A2"/>
    <w:rPr>
      <w:sz w:val="16"/>
      <w:szCs w:val="16"/>
    </w:rPr>
  </w:style>
  <w:style w:type="paragraph" w:styleId="CommentText">
    <w:name w:val="annotation text"/>
    <w:basedOn w:val="Normal"/>
    <w:link w:val="CommentTextChar"/>
    <w:semiHidden/>
    <w:rsid w:val="004150A2"/>
    <w:rPr>
      <w:sz w:val="20"/>
    </w:rPr>
  </w:style>
  <w:style w:type="paragraph" w:styleId="CommentSubject">
    <w:name w:val="annotation subject"/>
    <w:basedOn w:val="CommentText"/>
    <w:next w:val="CommentText"/>
    <w:semiHidden/>
    <w:rsid w:val="004150A2"/>
    <w:rPr>
      <w:b/>
      <w:bCs/>
    </w:rPr>
  </w:style>
  <w:style w:type="paragraph" w:styleId="Revision">
    <w:name w:val="Revision"/>
    <w:hidden/>
    <w:uiPriority w:val="99"/>
    <w:semiHidden/>
    <w:rsid w:val="00DF63D5"/>
    <w:rPr>
      <w:sz w:val="24"/>
    </w:rPr>
  </w:style>
  <w:style w:type="character" w:customStyle="1" w:styleId="CommentTextChar">
    <w:name w:val="Comment Text Char"/>
    <w:basedOn w:val="DefaultParagraphFont"/>
    <w:link w:val="CommentText"/>
    <w:semiHidden/>
    <w:rsid w:val="005767BB"/>
  </w:style>
  <w:style w:type="character" w:customStyle="1" w:styleId="BodyTextChar">
    <w:name w:val="Body Text Char"/>
    <w:link w:val="BodyText"/>
    <w:uiPriority w:val="99"/>
    <w:locked/>
    <w:rsid w:val="00217B84"/>
    <w:rPr>
      <w:rFonts w:ascii="Times New Roman" w:eastAsia="Times New Roman" w:hAnsi="Times New Roman"/>
      <w:sz w:val="24"/>
      <w:szCs w:val="24"/>
    </w:rPr>
  </w:style>
  <w:style w:type="table" w:styleId="TableGrid">
    <w:name w:val="Table Grid"/>
    <w:basedOn w:val="TableNormal"/>
    <w:uiPriority w:val="59"/>
    <w:rsid w:val="00536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9001F"/>
    <w:rPr>
      <w:sz w:val="20"/>
    </w:rPr>
  </w:style>
  <w:style w:type="character" w:customStyle="1" w:styleId="FootnoteTextChar">
    <w:name w:val="Footnote Text Char"/>
    <w:basedOn w:val="DefaultParagraphFont"/>
    <w:link w:val="FootnoteText"/>
    <w:uiPriority w:val="99"/>
    <w:semiHidden/>
    <w:rsid w:val="00B9001F"/>
  </w:style>
  <w:style w:type="character" w:styleId="FootnoteReference">
    <w:name w:val="footnote reference"/>
    <w:basedOn w:val="DefaultParagraphFont"/>
    <w:uiPriority w:val="99"/>
    <w:semiHidden/>
    <w:unhideWhenUsed/>
    <w:rsid w:val="00B9001F"/>
    <w:rPr>
      <w:vertAlign w:val="superscript"/>
    </w:rPr>
  </w:style>
  <w:style w:type="character" w:customStyle="1" w:styleId="Heading1Char">
    <w:name w:val="Heading 1 Char"/>
    <w:basedOn w:val="DefaultParagraphFont"/>
    <w:link w:val="Heading1"/>
    <w:rsid w:val="00181431"/>
    <w:rPr>
      <w:rFonts w:ascii="Times New Roman" w:eastAsia="Times New Roman" w:hAnsi="Times New Roman"/>
      <w:b/>
      <w:sz w:val="24"/>
    </w:rPr>
  </w:style>
  <w:style w:type="character" w:customStyle="1" w:styleId="Heading2Char">
    <w:name w:val="Heading 2 Char"/>
    <w:basedOn w:val="DefaultParagraphFont"/>
    <w:link w:val="Heading2"/>
    <w:uiPriority w:val="9"/>
    <w:rsid w:val="0018143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81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1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3619"/>
    <w:pPr>
      <w:spacing w:after="240"/>
    </w:pPr>
    <w:rPr>
      <w:rFonts w:ascii="Times New Roman" w:eastAsia="Times New Roman" w:hAnsi="Times New Roman"/>
      <w:szCs w:val="24"/>
    </w:rPr>
  </w:style>
  <w:style w:type="character" w:styleId="Hyperlink">
    <w:name w:val="Hyperlink"/>
    <w:basedOn w:val="DefaultParagraphFont"/>
    <w:rsid w:val="00DA3619"/>
    <w:rPr>
      <w:color w:val="0000FF"/>
      <w:u w:val="single"/>
    </w:rPr>
  </w:style>
  <w:style w:type="paragraph" w:styleId="Header">
    <w:name w:val="header"/>
    <w:basedOn w:val="Normal"/>
    <w:rsid w:val="00DA3619"/>
    <w:pPr>
      <w:tabs>
        <w:tab w:val="center" w:pos="4320"/>
        <w:tab w:val="right" w:pos="8640"/>
      </w:tabs>
    </w:pPr>
  </w:style>
  <w:style w:type="paragraph" w:styleId="Footer">
    <w:name w:val="footer"/>
    <w:basedOn w:val="Normal"/>
    <w:rsid w:val="00DA3619"/>
    <w:pPr>
      <w:tabs>
        <w:tab w:val="center" w:pos="4320"/>
        <w:tab w:val="right" w:pos="8640"/>
      </w:tabs>
    </w:pPr>
  </w:style>
  <w:style w:type="character" w:styleId="PageNumber">
    <w:name w:val="page number"/>
    <w:basedOn w:val="DefaultParagraphFont"/>
    <w:rsid w:val="00DA3619"/>
  </w:style>
  <w:style w:type="paragraph" w:styleId="BalloonText">
    <w:name w:val="Balloon Text"/>
    <w:basedOn w:val="Normal"/>
    <w:semiHidden/>
    <w:rsid w:val="000B15B2"/>
    <w:rPr>
      <w:rFonts w:ascii="Tahoma" w:hAnsi="Tahoma" w:cs="Tahoma"/>
      <w:sz w:val="16"/>
      <w:szCs w:val="16"/>
    </w:rPr>
  </w:style>
  <w:style w:type="paragraph" w:customStyle="1" w:styleId="a">
    <w:basedOn w:val="Normal"/>
    <w:rsid w:val="000B15B2"/>
    <w:pPr>
      <w:spacing w:after="160" w:line="240" w:lineRule="exact"/>
    </w:pPr>
    <w:rPr>
      <w:rFonts w:ascii="Verdana" w:eastAsia="Times New Roman" w:hAnsi="Verdana"/>
      <w:sz w:val="20"/>
    </w:rPr>
  </w:style>
  <w:style w:type="character" w:styleId="CommentReference">
    <w:name w:val="annotation reference"/>
    <w:basedOn w:val="DefaultParagraphFont"/>
    <w:semiHidden/>
    <w:rsid w:val="004150A2"/>
    <w:rPr>
      <w:sz w:val="16"/>
      <w:szCs w:val="16"/>
    </w:rPr>
  </w:style>
  <w:style w:type="paragraph" w:styleId="CommentText">
    <w:name w:val="annotation text"/>
    <w:basedOn w:val="Normal"/>
    <w:link w:val="CommentTextChar"/>
    <w:semiHidden/>
    <w:rsid w:val="004150A2"/>
    <w:rPr>
      <w:sz w:val="20"/>
    </w:rPr>
  </w:style>
  <w:style w:type="paragraph" w:styleId="CommentSubject">
    <w:name w:val="annotation subject"/>
    <w:basedOn w:val="CommentText"/>
    <w:next w:val="CommentText"/>
    <w:semiHidden/>
    <w:rsid w:val="004150A2"/>
    <w:rPr>
      <w:b/>
      <w:bCs/>
    </w:rPr>
  </w:style>
  <w:style w:type="paragraph" w:styleId="Revision">
    <w:name w:val="Revision"/>
    <w:hidden/>
    <w:uiPriority w:val="99"/>
    <w:semiHidden/>
    <w:rsid w:val="00DF63D5"/>
    <w:rPr>
      <w:sz w:val="24"/>
    </w:rPr>
  </w:style>
  <w:style w:type="character" w:customStyle="1" w:styleId="CommentTextChar">
    <w:name w:val="Comment Text Char"/>
    <w:basedOn w:val="DefaultParagraphFont"/>
    <w:link w:val="CommentText"/>
    <w:semiHidden/>
    <w:rsid w:val="005767BB"/>
  </w:style>
  <w:style w:type="character" w:customStyle="1" w:styleId="BodyTextChar">
    <w:name w:val="Body Text Char"/>
    <w:link w:val="BodyText"/>
    <w:uiPriority w:val="99"/>
    <w:locked/>
    <w:rsid w:val="00217B84"/>
    <w:rPr>
      <w:rFonts w:ascii="Times New Roman" w:eastAsia="Times New Roman" w:hAnsi="Times New Roman"/>
      <w:sz w:val="24"/>
      <w:szCs w:val="24"/>
    </w:rPr>
  </w:style>
  <w:style w:type="table" w:styleId="TableGrid">
    <w:name w:val="Table Grid"/>
    <w:basedOn w:val="TableNormal"/>
    <w:uiPriority w:val="59"/>
    <w:rsid w:val="00536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tarequest@pacificorp.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customXml" Target="../customXml/item3.xml"/><Relationship Id="rId10" Type="http://schemas.openxmlformats.org/officeDocument/2006/relationships/hyperlink" Target="mailto:sarah.wallace@pacificorp.co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washingtondockets@pacificorp.com"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2014-04-14T07:00:00+00:00</OpenedDate>
    <Date1 xmlns="dc463f71-b30c-4ab2-9473-d307f9d35888">2014-04-14T07:00:00+00:00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0FF59ADDA17F4092979854FDF14FC1" ma:contentTypeVersion="175" ma:contentTypeDescription="" ma:contentTypeScope="" ma:versionID="27047b08c8edfe0b3eae034fac3fa0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FF8EA-0146-488D-9F16-63E8AE81D570}"/>
</file>

<file path=customXml/itemProps2.xml><?xml version="1.0" encoding="utf-8"?>
<ds:datastoreItem xmlns:ds="http://schemas.openxmlformats.org/officeDocument/2006/customXml" ds:itemID="{ECAEA177-091E-4895-843A-FB879145B19C}"/>
</file>

<file path=customXml/itemProps3.xml><?xml version="1.0" encoding="utf-8"?>
<ds:datastoreItem xmlns:ds="http://schemas.openxmlformats.org/officeDocument/2006/customXml" ds:itemID="{1C77166D-8804-4E0D-9F53-520071D758C5}"/>
</file>

<file path=customXml/itemProps4.xml><?xml version="1.0" encoding="utf-8"?>
<ds:datastoreItem xmlns:ds="http://schemas.openxmlformats.org/officeDocument/2006/customXml" ds:itemID="{4BF3350C-8BB1-4F31-AF04-890737374107}"/>
</file>

<file path=docProps/app.xml><?xml version="1.0" encoding="utf-8"?>
<Properties xmlns="http://schemas.openxmlformats.org/officeDocument/2006/extended-properties" xmlns:vt="http://schemas.openxmlformats.org/officeDocument/2006/docPropsVTypes">
  <Template>Normal.dotm</Template>
  <TotalTime>0</TotalTime>
  <Pages>11</Pages>
  <Words>1016</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7316</CharactersWithSpaces>
  <SharedDoc>false</SharedDoc>
  <HLinks>
    <vt:vector size="30" baseType="variant">
      <vt:variant>
        <vt:i4>655470</vt:i4>
      </vt:variant>
      <vt:variant>
        <vt:i4>12</vt:i4>
      </vt:variant>
      <vt:variant>
        <vt:i4>0</vt:i4>
      </vt:variant>
      <vt:variant>
        <vt:i4>5</vt:i4>
      </vt:variant>
      <vt:variant>
        <vt:lpwstr>mailto:michelle.mishoe@pacificorp.com</vt:lpwstr>
      </vt:variant>
      <vt:variant>
        <vt:lpwstr/>
      </vt:variant>
      <vt:variant>
        <vt:i4>524401</vt:i4>
      </vt:variant>
      <vt:variant>
        <vt:i4>9</vt:i4>
      </vt:variant>
      <vt:variant>
        <vt:i4>0</vt:i4>
      </vt:variant>
      <vt:variant>
        <vt:i4>5</vt:i4>
      </vt:variant>
      <vt:variant>
        <vt:lpwstr>mailto:katherine@mcd-law.com</vt:lpwstr>
      </vt:variant>
      <vt:variant>
        <vt:lpwstr/>
      </vt:variant>
      <vt:variant>
        <vt:i4>6422640</vt:i4>
      </vt:variant>
      <vt:variant>
        <vt:i4>6</vt:i4>
      </vt:variant>
      <vt:variant>
        <vt:i4>0</vt:i4>
      </vt:variant>
      <vt:variant>
        <vt:i4>5</vt:i4>
      </vt:variant>
      <vt:variant>
        <vt:lpwstr>mailto:</vt:lpwstr>
      </vt:variant>
      <vt:variant>
        <vt:lpwstr/>
      </vt:variant>
      <vt:variant>
        <vt:i4>720992</vt:i4>
      </vt:variant>
      <vt:variant>
        <vt:i4>3</vt:i4>
      </vt:variant>
      <vt:variant>
        <vt:i4>0</vt:i4>
      </vt:variant>
      <vt:variant>
        <vt:i4>5</vt:i4>
      </vt:variant>
      <vt:variant>
        <vt:lpwstr>mailto:cathie.allen@pacificorp.com</vt:lpwstr>
      </vt:variant>
      <vt:variant>
        <vt:lpwstr/>
      </vt: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2014-04-14T19:23:00Z</dcterms:created>
  <dcterms:modified xsi:type="dcterms:W3CDTF">2014-04-14T22:54:00Z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0x0101006E56B4D1795A2E4DB2F0B01679ED314A00830FF59ADDA17F4092979854FDF14FC1</vt:lpwstr>
  </property>
  <property fmtid="{D5CDD505-2E9C-101B-9397-08002B2CF9AE}" pid="4" name="_docset_NoMedatataSyncRequired">
    <vt:lpwstr>False</vt:lpwstr>
  </property>
</Properties>
</file>