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76875" w14:textId="2B4E26BE" w:rsidR="002C039A" w:rsidRDefault="002742DB"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r>
      <w:r w:rsidR="00572D04">
        <w:rPr>
          <w:rFonts w:ascii="Times New Roman" w:hAnsi="Times New Roman" w:cs="Times New Roman"/>
          <w:sz w:val="24"/>
          <w:szCs w:val="24"/>
        </w:rPr>
        <w:t>April 24, 2014</w:t>
      </w:r>
    </w:p>
    <w:p w14:paraId="16776876" w14:textId="70C74179" w:rsidR="002742DB" w:rsidRDefault="002742DB"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F10193">
        <w:rPr>
          <w:rFonts w:ascii="Times New Roman" w:hAnsi="Times New Roman" w:cs="Times New Roman"/>
          <w:sz w:val="24"/>
          <w:szCs w:val="24"/>
        </w:rPr>
        <w:t>A</w:t>
      </w:r>
      <w:r w:rsidR="00E35417">
        <w:rPr>
          <w:rFonts w:ascii="Times New Roman" w:hAnsi="Times New Roman" w:cs="Times New Roman"/>
          <w:sz w:val="24"/>
          <w:szCs w:val="24"/>
        </w:rPr>
        <w:t>5</w:t>
      </w:r>
    </w:p>
    <w:p w14:paraId="16776877" w14:textId="77777777" w:rsidR="002742DB" w:rsidRDefault="002742DB" w:rsidP="00AD3312">
      <w:pPr>
        <w:rPr>
          <w:rFonts w:ascii="Times New Roman" w:hAnsi="Times New Roman" w:cs="Times New Roman"/>
          <w:sz w:val="24"/>
          <w:szCs w:val="24"/>
        </w:rPr>
      </w:pPr>
    </w:p>
    <w:p w14:paraId="16776878" w14:textId="7EAEBF9D" w:rsidR="002742DB" w:rsidRDefault="002742DB"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w:t>
      </w:r>
      <w:r w:rsidR="004D2A6E">
        <w:rPr>
          <w:rFonts w:ascii="Times New Roman" w:hAnsi="Times New Roman" w:cs="Times New Roman"/>
          <w:b/>
          <w:sz w:val="24"/>
          <w:szCs w:val="24"/>
        </w:rPr>
        <w:t>G</w:t>
      </w:r>
      <w:r>
        <w:rPr>
          <w:rFonts w:ascii="Times New Roman" w:hAnsi="Times New Roman" w:cs="Times New Roman"/>
          <w:b/>
          <w:sz w:val="24"/>
          <w:szCs w:val="24"/>
        </w:rPr>
        <w:t>-1</w:t>
      </w:r>
      <w:r w:rsidR="00572D04">
        <w:rPr>
          <w:rFonts w:ascii="Times New Roman" w:hAnsi="Times New Roman" w:cs="Times New Roman"/>
          <w:b/>
          <w:sz w:val="24"/>
          <w:szCs w:val="24"/>
        </w:rPr>
        <w:t>40331</w:t>
      </w:r>
    </w:p>
    <w:p w14:paraId="16776879" w14:textId="77777777" w:rsidR="002742DB" w:rsidRDefault="002742DB" w:rsidP="00AD3312">
      <w:pPr>
        <w:rPr>
          <w:rFonts w:ascii="Times New Roman" w:hAnsi="Times New Roman" w:cs="Times New Roman"/>
          <w:sz w:val="24"/>
          <w:szCs w:val="24"/>
        </w:rPr>
      </w:pPr>
      <w:r>
        <w:rPr>
          <w:rFonts w:ascii="Times New Roman" w:hAnsi="Times New Roman" w:cs="Times New Roman"/>
          <w:sz w:val="24"/>
          <w:szCs w:val="24"/>
        </w:rPr>
        <w:t>Company:</w:t>
      </w:r>
      <w:r>
        <w:rPr>
          <w:rFonts w:ascii="Times New Roman" w:hAnsi="Times New Roman" w:cs="Times New Roman"/>
          <w:sz w:val="24"/>
          <w:szCs w:val="24"/>
        </w:rPr>
        <w:tab/>
      </w:r>
      <w:r>
        <w:rPr>
          <w:rFonts w:ascii="Times New Roman" w:hAnsi="Times New Roman" w:cs="Times New Roman"/>
          <w:sz w:val="24"/>
          <w:szCs w:val="24"/>
        </w:rPr>
        <w:tab/>
        <w:t>Puget Sound Energy</w:t>
      </w:r>
    </w:p>
    <w:p w14:paraId="1677687A" w14:textId="77777777" w:rsidR="002742DB" w:rsidRDefault="002742DB" w:rsidP="00AD3312">
      <w:pPr>
        <w:rPr>
          <w:rFonts w:ascii="Times New Roman" w:hAnsi="Times New Roman" w:cs="Times New Roman"/>
          <w:sz w:val="24"/>
          <w:szCs w:val="24"/>
        </w:rPr>
      </w:pPr>
    </w:p>
    <w:p w14:paraId="1677687B" w14:textId="15003B42" w:rsidR="002742DB" w:rsidRDefault="002742DB"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w:t>
      </w:r>
      <w:r w:rsidR="00572D04">
        <w:rPr>
          <w:rFonts w:ascii="Times New Roman" w:hAnsi="Times New Roman" w:cs="Times New Roman"/>
          <w:sz w:val="24"/>
          <w:szCs w:val="24"/>
        </w:rPr>
        <w:t>eremy Twitchell</w:t>
      </w:r>
      <w:r>
        <w:rPr>
          <w:rFonts w:ascii="Times New Roman" w:hAnsi="Times New Roman" w:cs="Times New Roman"/>
          <w:sz w:val="24"/>
          <w:szCs w:val="24"/>
        </w:rPr>
        <w:t>, Regulatory Analyst</w:t>
      </w:r>
    </w:p>
    <w:p w14:paraId="44EE22A0" w14:textId="091B5362" w:rsidR="00572D04" w:rsidRDefault="00572D04"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Juliana Williams, Regulatory Analyst</w:t>
      </w:r>
    </w:p>
    <w:p w14:paraId="1677687C" w14:textId="77777777" w:rsidR="002742DB" w:rsidRDefault="002742DB" w:rsidP="00AD3312">
      <w:pPr>
        <w:rPr>
          <w:rFonts w:ascii="Times New Roman" w:hAnsi="Times New Roman" w:cs="Times New Roman"/>
          <w:sz w:val="24"/>
          <w:szCs w:val="24"/>
        </w:rPr>
      </w:pPr>
    </w:p>
    <w:p w14:paraId="1677687D" w14:textId="77777777" w:rsidR="002742DB" w:rsidRDefault="002742DB"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1677687E" w14:textId="77777777" w:rsidR="002742DB" w:rsidRDefault="002742DB" w:rsidP="00AD3312">
      <w:pPr>
        <w:rPr>
          <w:rFonts w:ascii="Times New Roman" w:hAnsi="Times New Roman" w:cs="Times New Roman"/>
          <w:sz w:val="24"/>
          <w:szCs w:val="24"/>
        </w:rPr>
      </w:pPr>
    </w:p>
    <w:p w14:paraId="1677687F" w14:textId="5655B773" w:rsidR="002742DB" w:rsidRDefault="002742DB" w:rsidP="00AD3312">
      <w:pPr>
        <w:rPr>
          <w:rFonts w:ascii="Times New Roman" w:hAnsi="Times New Roman" w:cs="Times New Roman"/>
          <w:sz w:val="24"/>
          <w:szCs w:val="24"/>
        </w:rPr>
      </w:pPr>
      <w:r>
        <w:rPr>
          <w:rFonts w:ascii="Times New Roman" w:hAnsi="Times New Roman" w:cs="Times New Roman"/>
          <w:sz w:val="24"/>
          <w:szCs w:val="24"/>
        </w:rPr>
        <w:t xml:space="preserve">Take no action, thereby allowing the tariff filing made by Puget Sound Energy in Docket </w:t>
      </w:r>
      <w:r w:rsidR="00CC2425">
        <w:rPr>
          <w:rFonts w:ascii="Times New Roman" w:hAnsi="Times New Roman" w:cs="Times New Roman"/>
          <w:sz w:val="24"/>
          <w:szCs w:val="24"/>
        </w:rPr>
        <w:t>UG</w:t>
      </w:r>
      <w:r>
        <w:rPr>
          <w:rFonts w:ascii="Times New Roman" w:hAnsi="Times New Roman" w:cs="Times New Roman"/>
          <w:sz w:val="24"/>
          <w:szCs w:val="24"/>
        </w:rPr>
        <w:t>-</w:t>
      </w:r>
      <w:r w:rsidR="00572D04">
        <w:rPr>
          <w:rFonts w:ascii="Times New Roman" w:hAnsi="Times New Roman" w:cs="Times New Roman"/>
          <w:sz w:val="24"/>
          <w:szCs w:val="24"/>
        </w:rPr>
        <w:t>140331</w:t>
      </w:r>
      <w:r>
        <w:rPr>
          <w:rFonts w:ascii="Times New Roman" w:hAnsi="Times New Roman" w:cs="Times New Roman"/>
          <w:sz w:val="24"/>
          <w:szCs w:val="24"/>
        </w:rPr>
        <w:t xml:space="preserve"> to</w:t>
      </w:r>
      <w:r w:rsidR="00572D04">
        <w:rPr>
          <w:rFonts w:ascii="Times New Roman" w:hAnsi="Times New Roman" w:cs="Times New Roman"/>
          <w:sz w:val="24"/>
          <w:szCs w:val="24"/>
        </w:rPr>
        <w:t xml:space="preserve"> become effective on May 1, 2014</w:t>
      </w:r>
      <w:r>
        <w:rPr>
          <w:rFonts w:ascii="Times New Roman" w:hAnsi="Times New Roman" w:cs="Times New Roman"/>
          <w:sz w:val="24"/>
          <w:szCs w:val="24"/>
        </w:rPr>
        <w:t xml:space="preserve">, by operation of law. </w:t>
      </w:r>
    </w:p>
    <w:p w14:paraId="16776880" w14:textId="77777777" w:rsidR="002742DB" w:rsidRDefault="002742DB" w:rsidP="00AD3312">
      <w:pPr>
        <w:rPr>
          <w:rFonts w:ascii="Times New Roman" w:hAnsi="Times New Roman" w:cs="Times New Roman"/>
          <w:sz w:val="24"/>
          <w:szCs w:val="24"/>
        </w:rPr>
      </w:pPr>
    </w:p>
    <w:p w14:paraId="16776881" w14:textId="77777777" w:rsidR="002742DB" w:rsidRDefault="002742DB" w:rsidP="00AD3312">
      <w:pPr>
        <w:rPr>
          <w:rFonts w:ascii="Times New Roman" w:hAnsi="Times New Roman" w:cs="Times New Roman"/>
          <w:sz w:val="24"/>
          <w:szCs w:val="24"/>
        </w:rPr>
      </w:pPr>
      <w:r>
        <w:rPr>
          <w:rFonts w:ascii="Times New Roman" w:hAnsi="Times New Roman" w:cs="Times New Roman"/>
          <w:b/>
          <w:sz w:val="24"/>
          <w:szCs w:val="24"/>
          <w:u w:val="single"/>
        </w:rPr>
        <w:t>Background</w:t>
      </w:r>
    </w:p>
    <w:p w14:paraId="16776882" w14:textId="77777777" w:rsidR="002742DB" w:rsidRDefault="002742DB" w:rsidP="00AD3312">
      <w:pPr>
        <w:rPr>
          <w:rFonts w:ascii="Times New Roman" w:hAnsi="Times New Roman" w:cs="Times New Roman"/>
          <w:sz w:val="24"/>
          <w:szCs w:val="24"/>
        </w:rPr>
      </w:pPr>
    </w:p>
    <w:p w14:paraId="1261E91D" w14:textId="306C6540" w:rsidR="007970F7" w:rsidRDefault="00572D04" w:rsidP="007970F7">
      <w:pPr>
        <w:rPr>
          <w:rFonts w:ascii="Times New Roman" w:hAnsi="Times New Roman" w:cs="Times New Roman"/>
          <w:sz w:val="24"/>
          <w:szCs w:val="24"/>
        </w:rPr>
      </w:pPr>
      <w:r>
        <w:rPr>
          <w:rFonts w:ascii="Times New Roman" w:hAnsi="Times New Roman" w:cs="Times New Roman"/>
          <w:sz w:val="24"/>
          <w:szCs w:val="24"/>
        </w:rPr>
        <w:t>On February 28, 2014, Puget Sound Energy (PSE</w:t>
      </w:r>
      <w:r w:rsidR="00E35417">
        <w:rPr>
          <w:rFonts w:ascii="Times New Roman" w:hAnsi="Times New Roman" w:cs="Times New Roman"/>
          <w:sz w:val="24"/>
          <w:szCs w:val="24"/>
        </w:rPr>
        <w:t xml:space="preserve"> or company</w:t>
      </w:r>
      <w:r>
        <w:rPr>
          <w:rFonts w:ascii="Times New Roman" w:hAnsi="Times New Roman" w:cs="Times New Roman"/>
          <w:sz w:val="24"/>
          <w:szCs w:val="24"/>
        </w:rPr>
        <w:t>) filed this tariff to recover the planned budget for its natural gas conservation program</w:t>
      </w:r>
      <w:r w:rsidR="00290CEA">
        <w:rPr>
          <w:rFonts w:ascii="Times New Roman" w:hAnsi="Times New Roman" w:cs="Times New Roman"/>
          <w:sz w:val="24"/>
          <w:szCs w:val="24"/>
        </w:rPr>
        <w:t>s</w:t>
      </w:r>
      <w:r>
        <w:rPr>
          <w:rFonts w:ascii="Times New Roman" w:hAnsi="Times New Roman" w:cs="Times New Roman"/>
          <w:sz w:val="24"/>
          <w:szCs w:val="24"/>
        </w:rPr>
        <w:t xml:space="preserve"> in 2014.</w:t>
      </w:r>
      <w:r w:rsidR="007F4D09">
        <w:rPr>
          <w:rFonts w:ascii="Times New Roman" w:hAnsi="Times New Roman" w:cs="Times New Roman"/>
          <w:sz w:val="24"/>
          <w:szCs w:val="24"/>
        </w:rPr>
        <w:t xml:space="preserve"> PSE’s 2014-2015 Biennial Conservation Plan, which the </w:t>
      </w:r>
      <w:r w:rsidR="00290CEA">
        <w:rPr>
          <w:rFonts w:ascii="Times New Roman" w:hAnsi="Times New Roman" w:cs="Times New Roman"/>
          <w:sz w:val="24"/>
          <w:szCs w:val="24"/>
        </w:rPr>
        <w:t>c</w:t>
      </w:r>
      <w:r w:rsidR="007F4D09">
        <w:rPr>
          <w:rFonts w:ascii="Times New Roman" w:hAnsi="Times New Roman" w:cs="Times New Roman"/>
          <w:sz w:val="24"/>
          <w:szCs w:val="24"/>
        </w:rPr>
        <w:t>ommission approved at the December 18, 2013</w:t>
      </w:r>
      <w:r w:rsidR="00D87EC4">
        <w:rPr>
          <w:rFonts w:ascii="Times New Roman" w:hAnsi="Times New Roman" w:cs="Times New Roman"/>
          <w:sz w:val="24"/>
          <w:szCs w:val="24"/>
        </w:rPr>
        <w:t>,</w:t>
      </w:r>
      <w:r w:rsidR="007F4D09">
        <w:rPr>
          <w:rFonts w:ascii="Times New Roman" w:hAnsi="Times New Roman" w:cs="Times New Roman"/>
          <w:sz w:val="24"/>
          <w:szCs w:val="24"/>
        </w:rPr>
        <w:t xml:space="preserve"> Open Meeting, has a savings target of 6.94 million therms. </w:t>
      </w:r>
    </w:p>
    <w:p w14:paraId="785A7A44" w14:textId="77777777" w:rsidR="00572D04" w:rsidRDefault="00572D04" w:rsidP="007970F7">
      <w:pPr>
        <w:rPr>
          <w:rFonts w:ascii="Times New Roman" w:hAnsi="Times New Roman" w:cs="Times New Roman"/>
          <w:sz w:val="24"/>
          <w:szCs w:val="24"/>
        </w:rPr>
      </w:pPr>
    </w:p>
    <w:p w14:paraId="42116E3A" w14:textId="2CC90768" w:rsidR="00572D04" w:rsidRPr="00124CBA" w:rsidRDefault="00572D04" w:rsidP="007970F7">
      <w:pPr>
        <w:rPr>
          <w:rFonts w:ascii="Times New Roman" w:hAnsi="Times New Roman" w:cs="Times New Roman"/>
          <w:sz w:val="24"/>
          <w:szCs w:val="24"/>
        </w:rPr>
      </w:pPr>
      <w:r>
        <w:rPr>
          <w:rFonts w:ascii="Times New Roman" w:hAnsi="Times New Roman" w:cs="Times New Roman"/>
          <w:sz w:val="24"/>
          <w:szCs w:val="24"/>
        </w:rPr>
        <w:t xml:space="preserve">The proposed tariff change would increase the </w:t>
      </w:r>
      <w:r w:rsidR="00A91411">
        <w:rPr>
          <w:rFonts w:ascii="Times New Roman" w:hAnsi="Times New Roman" w:cs="Times New Roman"/>
          <w:sz w:val="24"/>
          <w:szCs w:val="24"/>
        </w:rPr>
        <w:t xml:space="preserve">monthly bill of the </w:t>
      </w:r>
      <w:r>
        <w:rPr>
          <w:rFonts w:ascii="Times New Roman" w:hAnsi="Times New Roman" w:cs="Times New Roman"/>
          <w:sz w:val="24"/>
          <w:szCs w:val="24"/>
        </w:rPr>
        <w:t xml:space="preserve">average </w:t>
      </w:r>
      <w:r w:rsidR="00290CEA">
        <w:rPr>
          <w:rFonts w:ascii="Times New Roman" w:hAnsi="Times New Roman" w:cs="Times New Roman"/>
          <w:sz w:val="24"/>
          <w:szCs w:val="24"/>
        </w:rPr>
        <w:t xml:space="preserve">residential </w:t>
      </w:r>
      <w:r>
        <w:rPr>
          <w:rFonts w:ascii="Times New Roman" w:hAnsi="Times New Roman" w:cs="Times New Roman"/>
          <w:sz w:val="24"/>
          <w:szCs w:val="24"/>
        </w:rPr>
        <w:t>natural gas customer</w:t>
      </w:r>
      <w:r w:rsidR="00A91411">
        <w:rPr>
          <w:rFonts w:ascii="Times New Roman" w:hAnsi="Times New Roman" w:cs="Times New Roman"/>
          <w:sz w:val="24"/>
          <w:szCs w:val="24"/>
        </w:rPr>
        <w:t xml:space="preserve"> using 68 therms</w:t>
      </w:r>
      <w:r>
        <w:rPr>
          <w:rFonts w:ascii="Times New Roman" w:hAnsi="Times New Roman" w:cs="Times New Roman"/>
          <w:sz w:val="24"/>
          <w:szCs w:val="24"/>
        </w:rPr>
        <w:t xml:space="preserve"> by </w:t>
      </w:r>
      <w:r w:rsidR="00A91411">
        <w:rPr>
          <w:rFonts w:ascii="Times New Roman" w:hAnsi="Times New Roman" w:cs="Times New Roman"/>
          <w:sz w:val="24"/>
          <w:szCs w:val="24"/>
        </w:rPr>
        <w:t>2 cents, from $77.82 to $77.84</w:t>
      </w:r>
      <w:r w:rsidR="00B72AB0">
        <w:rPr>
          <w:rFonts w:ascii="Times New Roman" w:hAnsi="Times New Roman" w:cs="Times New Roman"/>
          <w:sz w:val="24"/>
          <w:szCs w:val="24"/>
        </w:rPr>
        <w:t>.</w:t>
      </w:r>
    </w:p>
    <w:p w14:paraId="16776892" w14:textId="77777777" w:rsidR="00CC15FD" w:rsidRDefault="00CC15FD" w:rsidP="00AD3312">
      <w:pPr>
        <w:rPr>
          <w:rFonts w:ascii="Times New Roman" w:hAnsi="Times New Roman" w:cs="Times New Roman"/>
          <w:b/>
          <w:sz w:val="24"/>
          <w:szCs w:val="24"/>
          <w:u w:val="single"/>
        </w:rPr>
      </w:pPr>
    </w:p>
    <w:p w14:paraId="16776893" w14:textId="77777777" w:rsidR="002742DB" w:rsidRDefault="002742DB" w:rsidP="00AD3312">
      <w:pPr>
        <w:rPr>
          <w:rFonts w:ascii="Times New Roman" w:hAnsi="Times New Roman" w:cs="Times New Roman"/>
          <w:sz w:val="24"/>
          <w:szCs w:val="24"/>
        </w:rPr>
      </w:pPr>
      <w:r>
        <w:rPr>
          <w:rFonts w:ascii="Times New Roman" w:hAnsi="Times New Roman" w:cs="Times New Roman"/>
          <w:b/>
          <w:sz w:val="24"/>
          <w:szCs w:val="24"/>
          <w:u w:val="single"/>
        </w:rPr>
        <w:t>Staff Review</w:t>
      </w:r>
    </w:p>
    <w:p w14:paraId="16776894" w14:textId="77777777" w:rsidR="002742DB" w:rsidRDefault="002742DB" w:rsidP="00AD3312">
      <w:pPr>
        <w:rPr>
          <w:rFonts w:ascii="Times New Roman" w:hAnsi="Times New Roman" w:cs="Times New Roman"/>
          <w:sz w:val="24"/>
          <w:szCs w:val="24"/>
        </w:rPr>
      </w:pPr>
    </w:p>
    <w:p w14:paraId="7DE7EA5A" w14:textId="77777777" w:rsidR="002F7131" w:rsidRDefault="00A91411" w:rsidP="00AD3312">
      <w:pPr>
        <w:rPr>
          <w:rFonts w:ascii="Times New Roman" w:hAnsi="Times New Roman" w:cs="Times New Roman"/>
          <w:sz w:val="24"/>
          <w:szCs w:val="24"/>
        </w:rPr>
      </w:pPr>
      <w:r>
        <w:rPr>
          <w:rFonts w:ascii="Times New Roman" w:hAnsi="Times New Roman" w:cs="Times New Roman"/>
          <w:sz w:val="24"/>
          <w:szCs w:val="24"/>
        </w:rPr>
        <w:t xml:space="preserve">Through its participation in PSE’s Conservation Resource Advisory Group (CRAG), staff conducts an ongoing review of the company’s conservation programs. These meetings give staff an opportunity to review program proposals and budget variances before they are filed, discuss issues </w:t>
      </w:r>
      <w:r w:rsidR="002F7131">
        <w:rPr>
          <w:rFonts w:ascii="Times New Roman" w:hAnsi="Times New Roman" w:cs="Times New Roman"/>
          <w:sz w:val="24"/>
          <w:szCs w:val="24"/>
        </w:rPr>
        <w:t>with other stakeholders and pose questions to company representatives.</w:t>
      </w:r>
    </w:p>
    <w:p w14:paraId="0CE959E4" w14:textId="77777777" w:rsidR="002F7131" w:rsidRDefault="002F7131" w:rsidP="00AD3312">
      <w:pPr>
        <w:rPr>
          <w:rFonts w:ascii="Times New Roman" w:hAnsi="Times New Roman" w:cs="Times New Roman"/>
          <w:sz w:val="24"/>
          <w:szCs w:val="24"/>
        </w:rPr>
      </w:pPr>
    </w:p>
    <w:p w14:paraId="16776895" w14:textId="08831704" w:rsidR="00384C35" w:rsidRDefault="002F7131" w:rsidP="00AD3312">
      <w:pPr>
        <w:rPr>
          <w:rFonts w:ascii="Times New Roman" w:hAnsi="Times New Roman" w:cs="Times New Roman"/>
          <w:sz w:val="24"/>
          <w:szCs w:val="24"/>
        </w:rPr>
      </w:pPr>
      <w:r>
        <w:rPr>
          <w:rFonts w:ascii="Times New Roman" w:hAnsi="Times New Roman" w:cs="Times New Roman"/>
          <w:sz w:val="24"/>
          <w:szCs w:val="24"/>
        </w:rPr>
        <w:t xml:space="preserve">After PSE filed this tariff, staff </w:t>
      </w:r>
      <w:r w:rsidR="00A91411">
        <w:rPr>
          <w:rFonts w:ascii="Times New Roman" w:hAnsi="Times New Roman" w:cs="Times New Roman"/>
          <w:sz w:val="24"/>
          <w:szCs w:val="24"/>
        </w:rPr>
        <w:t>w</w:t>
      </w:r>
      <w:r w:rsidR="00D25C8A">
        <w:rPr>
          <w:rFonts w:ascii="Times New Roman" w:hAnsi="Times New Roman" w:cs="Times New Roman"/>
          <w:sz w:val="24"/>
          <w:szCs w:val="24"/>
        </w:rPr>
        <w:t xml:space="preserve">alked through </w:t>
      </w:r>
      <w:r w:rsidR="00A91411">
        <w:rPr>
          <w:rFonts w:ascii="Times New Roman" w:hAnsi="Times New Roman" w:cs="Times New Roman"/>
          <w:sz w:val="24"/>
          <w:szCs w:val="24"/>
        </w:rPr>
        <w:t>the supporting work</w:t>
      </w:r>
      <w:r w:rsidR="00A7638C">
        <w:rPr>
          <w:rFonts w:ascii="Times New Roman" w:hAnsi="Times New Roman" w:cs="Times New Roman"/>
          <w:sz w:val="24"/>
          <w:szCs w:val="24"/>
        </w:rPr>
        <w:t xml:space="preserve"> </w:t>
      </w:r>
      <w:r w:rsidR="00A91411">
        <w:rPr>
          <w:rFonts w:ascii="Times New Roman" w:hAnsi="Times New Roman" w:cs="Times New Roman"/>
          <w:sz w:val="24"/>
          <w:szCs w:val="24"/>
        </w:rPr>
        <w:t xml:space="preserve">papers with company representatives and conducted an </w:t>
      </w:r>
      <w:r w:rsidR="00C80765">
        <w:rPr>
          <w:rFonts w:ascii="Times New Roman" w:hAnsi="Times New Roman" w:cs="Times New Roman"/>
          <w:sz w:val="24"/>
          <w:szCs w:val="24"/>
        </w:rPr>
        <w:t xml:space="preserve">in-person </w:t>
      </w:r>
      <w:r w:rsidR="00A91411">
        <w:rPr>
          <w:rFonts w:ascii="Times New Roman" w:hAnsi="Times New Roman" w:cs="Times New Roman"/>
          <w:sz w:val="24"/>
          <w:szCs w:val="24"/>
        </w:rPr>
        <w:t>audit of program expenditures at PSE’s offices.</w:t>
      </w:r>
    </w:p>
    <w:p w14:paraId="16776896" w14:textId="77777777" w:rsidR="00887DB1" w:rsidRDefault="00887DB1" w:rsidP="00AD3312">
      <w:pPr>
        <w:rPr>
          <w:rFonts w:ascii="Times New Roman" w:hAnsi="Times New Roman" w:cs="Times New Roman"/>
          <w:sz w:val="24"/>
          <w:szCs w:val="24"/>
        </w:rPr>
      </w:pPr>
    </w:p>
    <w:p w14:paraId="4283178D" w14:textId="149D7860" w:rsidR="002F7131" w:rsidRPr="002F7131" w:rsidRDefault="00887DB1" w:rsidP="007B11D7">
      <w:pPr>
        <w:rPr>
          <w:rFonts w:ascii="Times New Roman" w:hAnsi="Times New Roman" w:cs="Times New Roman"/>
          <w:sz w:val="24"/>
          <w:szCs w:val="24"/>
        </w:rPr>
      </w:pPr>
      <w:r w:rsidRPr="00887DB1">
        <w:rPr>
          <w:rFonts w:ascii="Times New Roman" w:hAnsi="Times New Roman" w:cs="Times New Roman"/>
          <w:b/>
          <w:i/>
          <w:sz w:val="24"/>
          <w:szCs w:val="24"/>
        </w:rPr>
        <w:t>Review of variance</w:t>
      </w:r>
      <w:r w:rsidRPr="00694070">
        <w:rPr>
          <w:rFonts w:ascii="Times New Roman" w:hAnsi="Times New Roman" w:cs="Times New Roman"/>
          <w:b/>
          <w:i/>
          <w:sz w:val="24"/>
          <w:szCs w:val="24"/>
        </w:rPr>
        <w:t xml:space="preserve">. </w:t>
      </w:r>
      <w:r w:rsidR="002F7131">
        <w:rPr>
          <w:rFonts w:ascii="Times New Roman" w:hAnsi="Times New Roman" w:cs="Times New Roman"/>
          <w:sz w:val="24"/>
          <w:szCs w:val="24"/>
        </w:rPr>
        <w:t>PSE col</w:t>
      </w:r>
      <w:r w:rsidR="00A7638C">
        <w:rPr>
          <w:rFonts w:ascii="Times New Roman" w:hAnsi="Times New Roman" w:cs="Times New Roman"/>
          <w:sz w:val="24"/>
          <w:szCs w:val="24"/>
        </w:rPr>
        <w:t>lected approximately $712</w:t>
      </w:r>
      <w:r w:rsidR="002F7131">
        <w:rPr>
          <w:rFonts w:ascii="Times New Roman" w:hAnsi="Times New Roman" w:cs="Times New Roman"/>
          <w:sz w:val="24"/>
          <w:szCs w:val="24"/>
        </w:rPr>
        <w:t xml:space="preserve">,000 more for natural gas conservation programs than it spent in 2013, leaving a balance to be rolled forward that offset </w:t>
      </w:r>
      <w:r w:rsidR="00534B8E">
        <w:rPr>
          <w:rFonts w:ascii="Times New Roman" w:hAnsi="Times New Roman" w:cs="Times New Roman"/>
          <w:sz w:val="24"/>
          <w:szCs w:val="24"/>
        </w:rPr>
        <w:t xml:space="preserve">about half of </w:t>
      </w:r>
      <w:r w:rsidR="002F7131">
        <w:rPr>
          <w:rFonts w:ascii="Times New Roman" w:hAnsi="Times New Roman" w:cs="Times New Roman"/>
          <w:sz w:val="24"/>
          <w:szCs w:val="24"/>
        </w:rPr>
        <w:t xml:space="preserve">the projected increase in program costs for 2014. </w:t>
      </w:r>
      <w:r w:rsidR="00CD642A">
        <w:rPr>
          <w:rFonts w:ascii="Times New Roman" w:hAnsi="Times New Roman" w:cs="Times New Roman"/>
          <w:sz w:val="24"/>
          <w:szCs w:val="24"/>
        </w:rPr>
        <w:t xml:space="preserve">In 2013, the natural gas conservation portfolio finished about 10 percent below its projected budget, but exceeded its savings target by more than 40 percent, driven by a number of large </w:t>
      </w:r>
      <w:r w:rsidR="00C80765">
        <w:rPr>
          <w:rFonts w:ascii="Times New Roman" w:hAnsi="Times New Roman" w:cs="Times New Roman"/>
          <w:sz w:val="24"/>
          <w:szCs w:val="24"/>
        </w:rPr>
        <w:t xml:space="preserve">commercial </w:t>
      </w:r>
      <w:r w:rsidR="00CD642A">
        <w:rPr>
          <w:rFonts w:ascii="Times New Roman" w:hAnsi="Times New Roman" w:cs="Times New Roman"/>
          <w:sz w:val="24"/>
          <w:szCs w:val="24"/>
        </w:rPr>
        <w:t>projects that were funded in previous years but not completed</w:t>
      </w:r>
      <w:r w:rsidR="00C80765">
        <w:rPr>
          <w:rFonts w:ascii="Times New Roman" w:hAnsi="Times New Roman" w:cs="Times New Roman"/>
          <w:sz w:val="24"/>
          <w:szCs w:val="24"/>
        </w:rPr>
        <w:t xml:space="preserve"> (and therefore claimed</w:t>
      </w:r>
      <w:r w:rsidR="00A7638C">
        <w:rPr>
          <w:rFonts w:ascii="Times New Roman" w:hAnsi="Times New Roman" w:cs="Times New Roman"/>
          <w:sz w:val="24"/>
          <w:szCs w:val="24"/>
        </w:rPr>
        <w:t xml:space="preserve"> no savings)</w:t>
      </w:r>
      <w:r w:rsidR="00CD642A">
        <w:rPr>
          <w:rFonts w:ascii="Times New Roman" w:hAnsi="Times New Roman" w:cs="Times New Roman"/>
          <w:sz w:val="24"/>
          <w:szCs w:val="24"/>
        </w:rPr>
        <w:t xml:space="preserve"> until 2013. Overall, the natural gas conservation programs had a Total Resource Cost test</w:t>
      </w:r>
      <w:r w:rsidR="00D87EC4">
        <w:rPr>
          <w:rFonts w:ascii="Times New Roman" w:hAnsi="Times New Roman" w:cs="Times New Roman"/>
          <w:sz w:val="24"/>
          <w:szCs w:val="24"/>
        </w:rPr>
        <w:t xml:space="preserve"> ratio</w:t>
      </w:r>
      <w:r w:rsidR="00CD642A">
        <w:rPr>
          <w:rFonts w:ascii="Times New Roman" w:hAnsi="Times New Roman" w:cs="Times New Roman"/>
          <w:sz w:val="24"/>
          <w:szCs w:val="24"/>
        </w:rPr>
        <w:t xml:space="preserve"> of 1.64. </w:t>
      </w:r>
      <w:r w:rsidR="002F7131">
        <w:rPr>
          <w:rFonts w:ascii="Times New Roman" w:hAnsi="Times New Roman" w:cs="Times New Roman"/>
          <w:sz w:val="24"/>
          <w:szCs w:val="24"/>
        </w:rPr>
        <w:t xml:space="preserve"> </w:t>
      </w:r>
    </w:p>
    <w:p w14:paraId="32013498" w14:textId="77777777" w:rsidR="00CC2425" w:rsidRDefault="00CC2425" w:rsidP="007B11D7">
      <w:pPr>
        <w:rPr>
          <w:rFonts w:ascii="Times New Roman" w:hAnsi="Times New Roman" w:cs="Times New Roman"/>
          <w:sz w:val="24"/>
          <w:szCs w:val="24"/>
        </w:rPr>
      </w:pPr>
    </w:p>
    <w:p w14:paraId="16776897" w14:textId="03285EEE" w:rsidR="007B11D7" w:rsidRDefault="00C80765" w:rsidP="007B11D7">
      <w:pPr>
        <w:rPr>
          <w:rFonts w:ascii="Times New Roman" w:hAnsi="Times New Roman" w:cs="Times New Roman"/>
          <w:sz w:val="24"/>
          <w:szCs w:val="24"/>
        </w:rPr>
      </w:pPr>
      <w:r>
        <w:rPr>
          <w:rFonts w:ascii="Times New Roman" w:hAnsi="Times New Roman" w:cs="Times New Roman"/>
          <w:b/>
          <w:i/>
          <w:sz w:val="24"/>
          <w:szCs w:val="24"/>
        </w:rPr>
        <w:t xml:space="preserve">Program evaluation. </w:t>
      </w:r>
      <w:r w:rsidR="00CD642A">
        <w:rPr>
          <w:rFonts w:ascii="Times New Roman" w:hAnsi="Times New Roman" w:cs="Times New Roman"/>
          <w:sz w:val="24"/>
          <w:szCs w:val="24"/>
        </w:rPr>
        <w:t xml:space="preserve">To measure the performance of its conservation programs, PSE has developed a metric called the Direct Benefit to Customers (DBtC), which measures the portion of program expenditures that provide a measurable benefit to customers. In addition to incentives paid to customers, this metric also includes benefits such as appliance removal and recycling and </w:t>
      </w:r>
      <w:r w:rsidR="00A7638C">
        <w:rPr>
          <w:rFonts w:ascii="Times New Roman" w:hAnsi="Times New Roman" w:cs="Times New Roman"/>
          <w:sz w:val="24"/>
          <w:szCs w:val="24"/>
        </w:rPr>
        <w:lastRenderedPageBreak/>
        <w:t>regional market transformation funding that lowers the price of energy-efficient equipment for customers over time</w:t>
      </w:r>
      <w:r w:rsidR="00CD642A">
        <w:rPr>
          <w:rFonts w:ascii="Times New Roman" w:hAnsi="Times New Roman" w:cs="Times New Roman"/>
          <w:sz w:val="24"/>
          <w:szCs w:val="24"/>
        </w:rPr>
        <w:t>. Though somewhat subjective, the DBtC has been consistently applied over the</w:t>
      </w:r>
      <w:r w:rsidR="00A7638C">
        <w:rPr>
          <w:rFonts w:ascii="Times New Roman" w:hAnsi="Times New Roman" w:cs="Times New Roman"/>
          <w:sz w:val="24"/>
          <w:szCs w:val="24"/>
        </w:rPr>
        <w:t xml:space="preserve"> years and has become a meaningful metric for evaluating the </w:t>
      </w:r>
      <w:r w:rsidR="00FD67E7">
        <w:rPr>
          <w:rFonts w:ascii="Times New Roman" w:hAnsi="Times New Roman" w:cs="Times New Roman"/>
          <w:sz w:val="24"/>
          <w:szCs w:val="24"/>
        </w:rPr>
        <w:t>customer impacts of PSE’s conservation programs</w:t>
      </w:r>
      <w:r>
        <w:rPr>
          <w:rFonts w:ascii="Times New Roman" w:hAnsi="Times New Roman" w:cs="Times New Roman"/>
          <w:sz w:val="24"/>
          <w:szCs w:val="24"/>
        </w:rPr>
        <w:t xml:space="preserve"> over time</w:t>
      </w:r>
      <w:r w:rsidR="00FD67E7">
        <w:rPr>
          <w:rFonts w:ascii="Times New Roman" w:hAnsi="Times New Roman" w:cs="Times New Roman"/>
          <w:sz w:val="24"/>
          <w:szCs w:val="24"/>
        </w:rPr>
        <w:t>.</w:t>
      </w:r>
    </w:p>
    <w:p w14:paraId="36BB59B4" w14:textId="77777777" w:rsidR="00FD67E7" w:rsidRDefault="00FD67E7" w:rsidP="007B11D7">
      <w:pPr>
        <w:rPr>
          <w:rFonts w:ascii="Times New Roman" w:hAnsi="Times New Roman" w:cs="Times New Roman"/>
          <w:sz w:val="24"/>
          <w:szCs w:val="24"/>
        </w:rPr>
      </w:pPr>
    </w:p>
    <w:p w14:paraId="0ED8FD35" w14:textId="60BA73CE" w:rsidR="00FD67E7" w:rsidRPr="007B11D7" w:rsidRDefault="00FD67E7" w:rsidP="007B11D7">
      <w:pPr>
        <w:rPr>
          <w:rFonts w:ascii="Times New Roman" w:hAnsi="Times New Roman" w:cs="Times New Roman"/>
          <w:sz w:val="24"/>
          <w:szCs w:val="24"/>
        </w:rPr>
      </w:pPr>
      <w:r>
        <w:rPr>
          <w:rFonts w:ascii="Times New Roman" w:hAnsi="Times New Roman" w:cs="Times New Roman"/>
          <w:sz w:val="24"/>
          <w:szCs w:val="24"/>
        </w:rPr>
        <w:t>As the table below shows, the DBtC for PSE’s natural gas conservation prog</w:t>
      </w:r>
      <w:r w:rsidR="00A7638C">
        <w:rPr>
          <w:rFonts w:ascii="Times New Roman" w:hAnsi="Times New Roman" w:cs="Times New Roman"/>
          <w:sz w:val="24"/>
          <w:szCs w:val="24"/>
        </w:rPr>
        <w:t>rams declined in 2013 after an overall</w:t>
      </w:r>
      <w:r>
        <w:rPr>
          <w:rFonts w:ascii="Times New Roman" w:hAnsi="Times New Roman" w:cs="Times New Roman"/>
          <w:sz w:val="24"/>
          <w:szCs w:val="24"/>
        </w:rPr>
        <w:t xml:space="preserve"> increase in 2012: </w:t>
      </w:r>
    </w:p>
    <w:p w14:paraId="16776898" w14:textId="77777777" w:rsidR="007B11D7" w:rsidRPr="007B11D7" w:rsidRDefault="007B11D7" w:rsidP="007B11D7">
      <w:pPr>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2171"/>
        <w:gridCol w:w="1768"/>
        <w:gridCol w:w="1904"/>
        <w:gridCol w:w="1904"/>
      </w:tblGrid>
      <w:tr w:rsidR="00730E84" w:rsidRPr="007B11D7" w14:paraId="1677689D" w14:textId="77777777" w:rsidTr="00730E84">
        <w:tc>
          <w:tcPr>
            <w:tcW w:w="2171" w:type="dxa"/>
            <w:vAlign w:val="bottom"/>
          </w:tcPr>
          <w:p w14:paraId="16776899" w14:textId="77777777" w:rsidR="00730E84" w:rsidRPr="007B11D7" w:rsidRDefault="00730E84" w:rsidP="00EF6786">
            <w:pPr>
              <w:jc w:val="center"/>
              <w:rPr>
                <w:rFonts w:ascii="Times New Roman" w:hAnsi="Times New Roman" w:cs="Times New Roman"/>
                <w:b/>
                <w:sz w:val="24"/>
                <w:szCs w:val="24"/>
              </w:rPr>
            </w:pPr>
            <w:r>
              <w:rPr>
                <w:rFonts w:ascii="Times New Roman" w:hAnsi="Times New Roman" w:cs="Times New Roman"/>
                <w:b/>
                <w:sz w:val="24"/>
                <w:szCs w:val="24"/>
              </w:rPr>
              <w:t>PSE</w:t>
            </w:r>
            <w:r w:rsidRPr="007B11D7">
              <w:rPr>
                <w:rFonts w:ascii="Times New Roman" w:hAnsi="Times New Roman" w:cs="Times New Roman"/>
                <w:b/>
                <w:sz w:val="24"/>
                <w:szCs w:val="24"/>
              </w:rPr>
              <w:t xml:space="preserve"> Direct Benefit to Customers</w:t>
            </w:r>
            <w:r>
              <w:rPr>
                <w:rFonts w:ascii="Times New Roman" w:hAnsi="Times New Roman" w:cs="Times New Roman"/>
                <w:b/>
                <w:sz w:val="24"/>
                <w:szCs w:val="24"/>
              </w:rPr>
              <w:t xml:space="preserve"> (DBtC)</w:t>
            </w:r>
          </w:p>
        </w:tc>
        <w:tc>
          <w:tcPr>
            <w:tcW w:w="1768" w:type="dxa"/>
          </w:tcPr>
          <w:p w14:paraId="64856D5D" w14:textId="77777777" w:rsidR="00730E84" w:rsidRDefault="00730E84" w:rsidP="00EF6786">
            <w:pPr>
              <w:jc w:val="center"/>
              <w:rPr>
                <w:rFonts w:ascii="Times New Roman" w:hAnsi="Times New Roman" w:cs="Times New Roman"/>
                <w:b/>
                <w:sz w:val="24"/>
                <w:szCs w:val="24"/>
              </w:rPr>
            </w:pPr>
          </w:p>
          <w:p w14:paraId="6DC16CD0" w14:textId="77777777" w:rsidR="00730E84" w:rsidRDefault="00730E84" w:rsidP="00EF6786">
            <w:pPr>
              <w:jc w:val="center"/>
              <w:rPr>
                <w:rFonts w:ascii="Times New Roman" w:hAnsi="Times New Roman" w:cs="Times New Roman"/>
                <w:b/>
                <w:sz w:val="24"/>
                <w:szCs w:val="24"/>
              </w:rPr>
            </w:pPr>
          </w:p>
          <w:p w14:paraId="62ED5877" w14:textId="30785436" w:rsidR="00730E84" w:rsidRDefault="00730E84" w:rsidP="00EF6786">
            <w:pPr>
              <w:jc w:val="center"/>
              <w:rPr>
                <w:rFonts w:ascii="Times New Roman" w:hAnsi="Times New Roman" w:cs="Times New Roman"/>
                <w:b/>
                <w:sz w:val="24"/>
                <w:szCs w:val="24"/>
              </w:rPr>
            </w:pPr>
            <w:r>
              <w:rPr>
                <w:rFonts w:ascii="Times New Roman" w:hAnsi="Times New Roman" w:cs="Times New Roman"/>
                <w:b/>
                <w:sz w:val="24"/>
                <w:szCs w:val="24"/>
              </w:rPr>
              <w:t>2013</w:t>
            </w:r>
          </w:p>
        </w:tc>
        <w:tc>
          <w:tcPr>
            <w:tcW w:w="1904" w:type="dxa"/>
            <w:vAlign w:val="bottom"/>
          </w:tcPr>
          <w:p w14:paraId="1677689A" w14:textId="4B2EF156" w:rsidR="00730E84" w:rsidRPr="007B11D7" w:rsidRDefault="00730E84" w:rsidP="00EF6786">
            <w:pPr>
              <w:jc w:val="center"/>
              <w:rPr>
                <w:rFonts w:ascii="Times New Roman" w:hAnsi="Times New Roman" w:cs="Times New Roman"/>
                <w:b/>
                <w:sz w:val="24"/>
                <w:szCs w:val="24"/>
              </w:rPr>
            </w:pPr>
            <w:r>
              <w:rPr>
                <w:rFonts w:ascii="Times New Roman" w:hAnsi="Times New Roman" w:cs="Times New Roman"/>
                <w:b/>
                <w:sz w:val="24"/>
                <w:szCs w:val="24"/>
              </w:rPr>
              <w:t>2012</w:t>
            </w:r>
          </w:p>
        </w:tc>
        <w:tc>
          <w:tcPr>
            <w:tcW w:w="1904" w:type="dxa"/>
            <w:vAlign w:val="bottom"/>
          </w:tcPr>
          <w:p w14:paraId="1677689B" w14:textId="77777777" w:rsidR="00730E84" w:rsidRPr="007B11D7" w:rsidRDefault="00730E84" w:rsidP="00EF6786">
            <w:pPr>
              <w:jc w:val="center"/>
              <w:rPr>
                <w:rFonts w:ascii="Times New Roman" w:hAnsi="Times New Roman" w:cs="Times New Roman"/>
                <w:b/>
                <w:sz w:val="24"/>
                <w:szCs w:val="24"/>
              </w:rPr>
            </w:pPr>
            <w:r w:rsidRPr="007B11D7">
              <w:rPr>
                <w:rFonts w:ascii="Times New Roman" w:hAnsi="Times New Roman" w:cs="Times New Roman"/>
                <w:b/>
                <w:sz w:val="24"/>
                <w:szCs w:val="24"/>
              </w:rPr>
              <w:t>2011</w:t>
            </w:r>
          </w:p>
        </w:tc>
      </w:tr>
      <w:tr w:rsidR="00730E84" w:rsidRPr="007B11D7" w14:paraId="167768A2" w14:textId="77777777" w:rsidTr="00730E84">
        <w:tc>
          <w:tcPr>
            <w:tcW w:w="2171" w:type="dxa"/>
          </w:tcPr>
          <w:p w14:paraId="1677689E" w14:textId="77777777" w:rsidR="00730E84" w:rsidRPr="00BE6CDB" w:rsidRDefault="00730E84" w:rsidP="00BE6CDB">
            <w:pPr>
              <w:rPr>
                <w:rFonts w:ascii="Times New Roman" w:hAnsi="Times New Roman" w:cs="Times New Roman"/>
                <w:sz w:val="24"/>
                <w:szCs w:val="24"/>
              </w:rPr>
            </w:pPr>
            <w:r w:rsidRPr="00BE6CDB">
              <w:rPr>
                <w:rFonts w:ascii="Times New Roman" w:hAnsi="Times New Roman" w:cs="Times New Roman"/>
                <w:sz w:val="24"/>
                <w:szCs w:val="24"/>
              </w:rPr>
              <w:t>Residential – Gas</w:t>
            </w:r>
          </w:p>
        </w:tc>
        <w:tc>
          <w:tcPr>
            <w:tcW w:w="1768" w:type="dxa"/>
          </w:tcPr>
          <w:p w14:paraId="154FA35F" w14:textId="13435DA2" w:rsidR="00730E84" w:rsidRPr="00BE6CDB" w:rsidRDefault="00730E84" w:rsidP="00BE6CDB">
            <w:pPr>
              <w:jc w:val="center"/>
              <w:rPr>
                <w:rFonts w:ascii="Times New Roman" w:hAnsi="Times New Roman" w:cs="Times New Roman"/>
                <w:sz w:val="24"/>
                <w:szCs w:val="24"/>
              </w:rPr>
            </w:pPr>
            <w:r>
              <w:rPr>
                <w:rFonts w:ascii="Times New Roman" w:hAnsi="Times New Roman" w:cs="Times New Roman"/>
                <w:sz w:val="24"/>
                <w:szCs w:val="24"/>
              </w:rPr>
              <w:t>73%</w:t>
            </w:r>
          </w:p>
        </w:tc>
        <w:tc>
          <w:tcPr>
            <w:tcW w:w="1904" w:type="dxa"/>
          </w:tcPr>
          <w:p w14:paraId="1677689F" w14:textId="4667C078" w:rsidR="00730E84" w:rsidRPr="00BE6CDB" w:rsidRDefault="00730E84" w:rsidP="00BE6CDB">
            <w:pPr>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904" w:type="dxa"/>
          </w:tcPr>
          <w:p w14:paraId="167768A0" w14:textId="77777777" w:rsidR="00730E84" w:rsidRPr="00BE6CDB" w:rsidRDefault="00730E84" w:rsidP="00BE6CDB">
            <w:pPr>
              <w:jc w:val="center"/>
              <w:rPr>
                <w:rFonts w:ascii="Times New Roman" w:hAnsi="Times New Roman" w:cs="Times New Roman"/>
                <w:sz w:val="24"/>
                <w:szCs w:val="24"/>
              </w:rPr>
            </w:pPr>
            <w:r w:rsidRPr="00BE6CDB">
              <w:rPr>
                <w:rFonts w:ascii="Times New Roman" w:hAnsi="Times New Roman" w:cs="Times New Roman"/>
                <w:sz w:val="24"/>
                <w:szCs w:val="24"/>
              </w:rPr>
              <w:t>62%</w:t>
            </w:r>
          </w:p>
        </w:tc>
      </w:tr>
      <w:tr w:rsidR="00730E84" w:rsidRPr="007B11D7" w14:paraId="167768A7" w14:textId="77777777" w:rsidTr="00730E84">
        <w:tc>
          <w:tcPr>
            <w:tcW w:w="2171" w:type="dxa"/>
          </w:tcPr>
          <w:p w14:paraId="167768A3" w14:textId="77777777" w:rsidR="00730E84" w:rsidRPr="00BE6CDB" w:rsidRDefault="00730E84" w:rsidP="00BE6CDB">
            <w:pPr>
              <w:rPr>
                <w:rFonts w:ascii="Times New Roman" w:hAnsi="Times New Roman" w:cs="Times New Roman"/>
                <w:sz w:val="24"/>
                <w:szCs w:val="24"/>
              </w:rPr>
            </w:pPr>
            <w:r w:rsidRPr="00BE6CDB">
              <w:rPr>
                <w:rFonts w:ascii="Times New Roman" w:hAnsi="Times New Roman" w:cs="Times New Roman"/>
                <w:sz w:val="24"/>
                <w:szCs w:val="24"/>
              </w:rPr>
              <w:t>Business – Gas</w:t>
            </w:r>
          </w:p>
        </w:tc>
        <w:tc>
          <w:tcPr>
            <w:tcW w:w="1768" w:type="dxa"/>
          </w:tcPr>
          <w:p w14:paraId="1A9DC3B1" w14:textId="1A6BC44E" w:rsidR="00730E84" w:rsidRPr="00BE6CDB" w:rsidRDefault="00730E84" w:rsidP="00BE6CDB">
            <w:pPr>
              <w:jc w:val="center"/>
              <w:rPr>
                <w:rFonts w:ascii="Times New Roman" w:hAnsi="Times New Roman" w:cs="Times New Roman"/>
                <w:sz w:val="24"/>
                <w:szCs w:val="24"/>
              </w:rPr>
            </w:pPr>
            <w:r>
              <w:rPr>
                <w:rFonts w:ascii="Times New Roman" w:hAnsi="Times New Roman" w:cs="Times New Roman"/>
                <w:sz w:val="24"/>
                <w:szCs w:val="24"/>
              </w:rPr>
              <w:t>74%</w:t>
            </w:r>
          </w:p>
        </w:tc>
        <w:tc>
          <w:tcPr>
            <w:tcW w:w="1904" w:type="dxa"/>
          </w:tcPr>
          <w:p w14:paraId="167768A4" w14:textId="2B3B3CF1" w:rsidR="00730E84" w:rsidRPr="00BE6CDB" w:rsidRDefault="00730E84" w:rsidP="00BE6CDB">
            <w:pPr>
              <w:jc w:val="center"/>
              <w:rPr>
                <w:rFonts w:ascii="Times New Roman" w:hAnsi="Times New Roman" w:cs="Times New Roman"/>
                <w:sz w:val="24"/>
                <w:szCs w:val="24"/>
              </w:rPr>
            </w:pPr>
            <w:r w:rsidRPr="00BE6CDB">
              <w:rPr>
                <w:rFonts w:ascii="Times New Roman" w:hAnsi="Times New Roman" w:cs="Times New Roman"/>
                <w:sz w:val="24"/>
                <w:szCs w:val="24"/>
              </w:rPr>
              <w:t>82%</w:t>
            </w:r>
          </w:p>
        </w:tc>
        <w:tc>
          <w:tcPr>
            <w:tcW w:w="1904" w:type="dxa"/>
          </w:tcPr>
          <w:p w14:paraId="167768A5" w14:textId="77777777" w:rsidR="00730E84" w:rsidRPr="00BE6CDB" w:rsidRDefault="00730E84" w:rsidP="00BE6CDB">
            <w:pPr>
              <w:jc w:val="center"/>
              <w:rPr>
                <w:rFonts w:ascii="Times New Roman" w:hAnsi="Times New Roman" w:cs="Times New Roman"/>
                <w:sz w:val="24"/>
                <w:szCs w:val="24"/>
              </w:rPr>
            </w:pPr>
            <w:r w:rsidRPr="00BE6CDB">
              <w:rPr>
                <w:rFonts w:ascii="Times New Roman" w:hAnsi="Times New Roman" w:cs="Times New Roman"/>
                <w:sz w:val="24"/>
                <w:szCs w:val="24"/>
              </w:rPr>
              <w:t>85%</w:t>
            </w:r>
          </w:p>
        </w:tc>
      </w:tr>
      <w:tr w:rsidR="00730E84" w:rsidRPr="007B11D7" w14:paraId="167768AC" w14:textId="77777777" w:rsidTr="00730E84">
        <w:tc>
          <w:tcPr>
            <w:tcW w:w="2171" w:type="dxa"/>
          </w:tcPr>
          <w:p w14:paraId="167768A8" w14:textId="77777777" w:rsidR="00730E84" w:rsidRPr="00BE6CDB" w:rsidRDefault="00730E84" w:rsidP="00BE6CDB">
            <w:pPr>
              <w:rPr>
                <w:rFonts w:ascii="Times New Roman" w:hAnsi="Times New Roman" w:cs="Times New Roman"/>
                <w:b/>
                <w:sz w:val="24"/>
                <w:szCs w:val="24"/>
              </w:rPr>
            </w:pPr>
            <w:r w:rsidRPr="00BE6CDB">
              <w:rPr>
                <w:rFonts w:ascii="Times New Roman" w:hAnsi="Times New Roman" w:cs="Times New Roman"/>
                <w:b/>
                <w:sz w:val="24"/>
                <w:szCs w:val="24"/>
              </w:rPr>
              <w:t>Total – Gas</w:t>
            </w:r>
          </w:p>
        </w:tc>
        <w:tc>
          <w:tcPr>
            <w:tcW w:w="1768" w:type="dxa"/>
          </w:tcPr>
          <w:p w14:paraId="29A971F4" w14:textId="33569D82" w:rsidR="00730E84" w:rsidRPr="00BE6CDB" w:rsidRDefault="00730E84" w:rsidP="00BE6CDB">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904" w:type="dxa"/>
          </w:tcPr>
          <w:p w14:paraId="167768A9" w14:textId="3169247C" w:rsidR="00730E84" w:rsidRPr="00BE6CDB" w:rsidRDefault="00730E84" w:rsidP="00BE6CDB">
            <w:pPr>
              <w:jc w:val="center"/>
              <w:rPr>
                <w:rFonts w:ascii="Times New Roman" w:hAnsi="Times New Roman" w:cs="Times New Roman"/>
                <w:b/>
                <w:sz w:val="24"/>
                <w:szCs w:val="24"/>
              </w:rPr>
            </w:pPr>
            <w:r w:rsidRPr="00BE6CDB">
              <w:rPr>
                <w:rFonts w:ascii="Times New Roman" w:hAnsi="Times New Roman" w:cs="Times New Roman"/>
                <w:b/>
                <w:sz w:val="24"/>
                <w:szCs w:val="24"/>
              </w:rPr>
              <w:t>74%</w:t>
            </w:r>
          </w:p>
        </w:tc>
        <w:tc>
          <w:tcPr>
            <w:tcW w:w="1904" w:type="dxa"/>
          </w:tcPr>
          <w:p w14:paraId="167768AA" w14:textId="77777777" w:rsidR="00730E84" w:rsidRPr="00BE6CDB" w:rsidRDefault="00730E84" w:rsidP="00BE6CDB">
            <w:pPr>
              <w:jc w:val="center"/>
              <w:rPr>
                <w:rFonts w:ascii="Times New Roman" w:hAnsi="Times New Roman" w:cs="Times New Roman"/>
                <w:b/>
                <w:sz w:val="24"/>
                <w:szCs w:val="24"/>
              </w:rPr>
            </w:pPr>
            <w:r w:rsidRPr="00BE6CDB">
              <w:rPr>
                <w:rFonts w:ascii="Times New Roman" w:hAnsi="Times New Roman" w:cs="Times New Roman"/>
                <w:b/>
                <w:sz w:val="24"/>
                <w:szCs w:val="24"/>
              </w:rPr>
              <w:t>70%</w:t>
            </w:r>
          </w:p>
        </w:tc>
      </w:tr>
    </w:tbl>
    <w:p w14:paraId="167768AD" w14:textId="77777777" w:rsidR="007B11D7" w:rsidRPr="007B11D7" w:rsidRDefault="007B11D7" w:rsidP="007B11D7">
      <w:pPr>
        <w:rPr>
          <w:rFonts w:ascii="Times New Roman" w:hAnsi="Times New Roman" w:cs="Times New Roman"/>
          <w:sz w:val="24"/>
          <w:szCs w:val="24"/>
        </w:rPr>
      </w:pPr>
    </w:p>
    <w:p w14:paraId="167768AF" w14:textId="7FD27F6D" w:rsidR="00887DB1" w:rsidRDefault="00CA54D7" w:rsidP="00AD3312">
      <w:pPr>
        <w:rPr>
          <w:rFonts w:ascii="Times New Roman" w:hAnsi="Times New Roman" w:cs="Times New Roman"/>
          <w:sz w:val="24"/>
          <w:szCs w:val="24"/>
        </w:rPr>
      </w:pPr>
      <w:r>
        <w:rPr>
          <w:rFonts w:ascii="Times New Roman" w:hAnsi="Times New Roman" w:cs="Times New Roman"/>
          <w:sz w:val="24"/>
          <w:szCs w:val="24"/>
        </w:rPr>
        <w:t>PSE said the decline in DBtC is generally because as its programs mature, company staff must turn an increasing amount of attention to evaluation, measurement and verification activities, which increases overhead costs. For the natural gas programs, low natural gas prices have reduced the cost effectiveness of PSE’s portfolio, which led the company to suspend some measures and reduce the incentive on others. And while the amount paid out in incentives decreased, the company had to carry the same overhead to implement the programs, which led to a smaller share of program budgets generating a direct benefit to customers.</w:t>
      </w:r>
    </w:p>
    <w:p w14:paraId="5829EA53" w14:textId="77777777" w:rsidR="00CA54D7" w:rsidRDefault="00CA54D7" w:rsidP="00AD3312">
      <w:pPr>
        <w:rPr>
          <w:rFonts w:ascii="Times New Roman" w:hAnsi="Times New Roman" w:cs="Times New Roman"/>
          <w:sz w:val="24"/>
          <w:szCs w:val="24"/>
        </w:rPr>
      </w:pPr>
    </w:p>
    <w:p w14:paraId="7425697A" w14:textId="64679A04" w:rsidR="00CA54D7" w:rsidRDefault="00CA54D7" w:rsidP="00AD3312">
      <w:pPr>
        <w:rPr>
          <w:rFonts w:ascii="Times New Roman" w:hAnsi="Times New Roman" w:cs="Times New Roman"/>
          <w:sz w:val="24"/>
          <w:szCs w:val="24"/>
        </w:rPr>
      </w:pPr>
      <w:r>
        <w:rPr>
          <w:rFonts w:ascii="Times New Roman" w:hAnsi="Times New Roman" w:cs="Times New Roman"/>
          <w:sz w:val="24"/>
          <w:szCs w:val="24"/>
        </w:rPr>
        <w:t xml:space="preserve">Staff understands these external factors, but hopes that as natural gas prices recover and the conservation portfolio becomes more cost effective, the company will be proactive in expanding its offerings and attracting more customers to </w:t>
      </w:r>
      <w:r w:rsidR="00C80765">
        <w:rPr>
          <w:rFonts w:ascii="Times New Roman" w:hAnsi="Times New Roman" w:cs="Times New Roman"/>
          <w:sz w:val="24"/>
          <w:szCs w:val="24"/>
        </w:rPr>
        <w:t>benefit from the programs</w:t>
      </w:r>
      <w:r>
        <w:rPr>
          <w:rFonts w:ascii="Times New Roman" w:hAnsi="Times New Roman" w:cs="Times New Roman"/>
          <w:sz w:val="24"/>
          <w:szCs w:val="24"/>
        </w:rPr>
        <w:t>.</w:t>
      </w:r>
    </w:p>
    <w:p w14:paraId="7A7ED6BD" w14:textId="77777777" w:rsidR="00FD67E7" w:rsidRPr="00EF6786" w:rsidRDefault="00FD67E7" w:rsidP="00AD3312">
      <w:pPr>
        <w:rPr>
          <w:rFonts w:ascii="Times New Roman" w:hAnsi="Times New Roman" w:cs="Times New Roman"/>
          <w:sz w:val="24"/>
          <w:szCs w:val="24"/>
        </w:rPr>
      </w:pPr>
    </w:p>
    <w:p w14:paraId="167768B0" w14:textId="781FC5C3" w:rsidR="00906E43" w:rsidRPr="00906E43" w:rsidRDefault="00887DB1" w:rsidP="00906E43">
      <w:pPr>
        <w:rPr>
          <w:rFonts w:ascii="Times New Roman" w:hAnsi="Times New Roman" w:cs="Times New Roman"/>
          <w:sz w:val="24"/>
          <w:szCs w:val="24"/>
        </w:rPr>
      </w:pPr>
      <w:r>
        <w:rPr>
          <w:rFonts w:ascii="Times New Roman" w:hAnsi="Times New Roman" w:cs="Times New Roman"/>
          <w:b/>
          <w:i/>
          <w:sz w:val="24"/>
          <w:szCs w:val="24"/>
        </w:rPr>
        <w:t>Incentive rebate audit</w:t>
      </w:r>
      <w:r w:rsidRPr="00887DB1">
        <w:rPr>
          <w:rFonts w:ascii="Times New Roman" w:hAnsi="Times New Roman" w:cs="Times New Roman"/>
          <w:b/>
          <w:i/>
          <w:sz w:val="24"/>
          <w:szCs w:val="24"/>
        </w:rPr>
        <w:t xml:space="preserve">. </w:t>
      </w:r>
      <w:r w:rsidR="00906E43">
        <w:rPr>
          <w:rFonts w:ascii="Times New Roman" w:hAnsi="Times New Roman" w:cs="Times New Roman"/>
          <w:sz w:val="24"/>
          <w:szCs w:val="24"/>
        </w:rPr>
        <w:t xml:space="preserve">On April </w:t>
      </w:r>
      <w:r w:rsidR="00FD67E7">
        <w:rPr>
          <w:rFonts w:ascii="Times New Roman" w:hAnsi="Times New Roman" w:cs="Times New Roman"/>
          <w:sz w:val="24"/>
          <w:szCs w:val="24"/>
        </w:rPr>
        <w:t>11</w:t>
      </w:r>
      <w:r w:rsidR="00D87EC4">
        <w:rPr>
          <w:rFonts w:ascii="Times New Roman" w:hAnsi="Times New Roman" w:cs="Times New Roman"/>
          <w:sz w:val="24"/>
          <w:szCs w:val="24"/>
        </w:rPr>
        <w:t>,</w:t>
      </w:r>
      <w:r w:rsidR="00FD67E7">
        <w:rPr>
          <w:rFonts w:ascii="Times New Roman" w:hAnsi="Times New Roman" w:cs="Times New Roman"/>
          <w:sz w:val="24"/>
          <w:szCs w:val="24"/>
        </w:rPr>
        <w:t xml:space="preserve"> 2014</w:t>
      </w:r>
      <w:r w:rsidR="00906E43">
        <w:rPr>
          <w:rFonts w:ascii="Times New Roman" w:hAnsi="Times New Roman" w:cs="Times New Roman"/>
          <w:sz w:val="24"/>
          <w:szCs w:val="24"/>
        </w:rPr>
        <w:t>, staf</w:t>
      </w:r>
      <w:r w:rsidR="00C80765">
        <w:rPr>
          <w:rFonts w:ascii="Times New Roman" w:hAnsi="Times New Roman" w:cs="Times New Roman"/>
          <w:sz w:val="24"/>
          <w:szCs w:val="24"/>
        </w:rPr>
        <w:t>f performed an on-site</w:t>
      </w:r>
      <w:r w:rsidR="00906E43">
        <w:rPr>
          <w:rFonts w:ascii="Times New Roman" w:hAnsi="Times New Roman" w:cs="Times New Roman"/>
          <w:sz w:val="24"/>
          <w:szCs w:val="24"/>
        </w:rPr>
        <w:t xml:space="preserve"> audit of PSE’s electric and gas conservation programs. The audit focused on operating expenses and incentive rebates for a select group of programs and months, to confirm that expenditures were paid as stated. </w:t>
      </w:r>
      <w:r w:rsidR="00906E43" w:rsidRPr="00906E43">
        <w:rPr>
          <w:rFonts w:ascii="Times New Roman" w:hAnsi="Times New Roman" w:cs="Times New Roman"/>
          <w:sz w:val="24"/>
          <w:szCs w:val="24"/>
        </w:rPr>
        <w:t>The priority of this audit was to ensure the integrity of the financial data presented by PSE, and secondarily to review the efficiency of program expenditures</w:t>
      </w:r>
      <w:r w:rsidR="00906E43">
        <w:rPr>
          <w:rFonts w:ascii="Times New Roman" w:hAnsi="Times New Roman" w:cs="Times New Roman"/>
          <w:sz w:val="24"/>
          <w:szCs w:val="24"/>
        </w:rPr>
        <w:t xml:space="preserve">. </w:t>
      </w:r>
      <w:r w:rsidR="00FD67E7">
        <w:rPr>
          <w:rFonts w:ascii="Times New Roman" w:hAnsi="Times New Roman" w:cs="Times New Roman"/>
          <w:sz w:val="24"/>
          <w:szCs w:val="24"/>
        </w:rPr>
        <w:t>PSE was able to provide most of the requested details during the audit, and followed up with staff on the remaining items.</w:t>
      </w:r>
    </w:p>
    <w:p w14:paraId="167768B1" w14:textId="77777777" w:rsidR="00887DB1" w:rsidRDefault="00887DB1" w:rsidP="00AD3312">
      <w:pPr>
        <w:rPr>
          <w:rFonts w:ascii="Times New Roman" w:hAnsi="Times New Roman" w:cs="Times New Roman"/>
          <w:sz w:val="24"/>
          <w:szCs w:val="24"/>
        </w:rPr>
      </w:pPr>
    </w:p>
    <w:p w14:paraId="3994AD82" w14:textId="67CC9C2F" w:rsidR="00CC3601" w:rsidRPr="00CC3601" w:rsidRDefault="00101468" w:rsidP="00101468">
      <w:pPr>
        <w:rPr>
          <w:rFonts w:ascii="Times New Roman" w:hAnsi="Times New Roman" w:cs="Times New Roman"/>
          <w:sz w:val="24"/>
          <w:szCs w:val="24"/>
        </w:rPr>
      </w:pPr>
      <w:r w:rsidRPr="00887DB1">
        <w:rPr>
          <w:rFonts w:ascii="Times New Roman" w:hAnsi="Times New Roman" w:cs="Times New Roman"/>
          <w:b/>
          <w:i/>
          <w:sz w:val="24"/>
          <w:szCs w:val="24"/>
        </w:rPr>
        <w:t xml:space="preserve">Review of </w:t>
      </w:r>
      <w:r>
        <w:rPr>
          <w:rFonts w:ascii="Times New Roman" w:hAnsi="Times New Roman" w:cs="Times New Roman"/>
          <w:b/>
          <w:i/>
          <w:sz w:val="24"/>
          <w:szCs w:val="24"/>
        </w:rPr>
        <w:t>internal controls</w:t>
      </w:r>
      <w:r w:rsidRPr="00887DB1">
        <w:rPr>
          <w:rFonts w:ascii="Times New Roman" w:hAnsi="Times New Roman" w:cs="Times New Roman"/>
          <w:b/>
          <w:i/>
          <w:sz w:val="24"/>
          <w:szCs w:val="24"/>
        </w:rPr>
        <w:t xml:space="preserve">. </w:t>
      </w:r>
      <w:r w:rsidR="00CC3601">
        <w:rPr>
          <w:rFonts w:ascii="Times New Roman" w:hAnsi="Times New Roman" w:cs="Times New Roman"/>
          <w:sz w:val="24"/>
          <w:szCs w:val="24"/>
        </w:rPr>
        <w:t>In its audit, staff reviewed sele</w:t>
      </w:r>
      <w:r w:rsidR="00B62B46">
        <w:rPr>
          <w:rFonts w:ascii="Times New Roman" w:hAnsi="Times New Roman" w:cs="Times New Roman"/>
          <w:sz w:val="24"/>
          <w:szCs w:val="24"/>
        </w:rPr>
        <w:t xml:space="preserve">cted files and invoices for ten natural gas incentive programs and associated overhead accounts. Staff found no inconsistencies between the financial data reported by PSE and the files reviewed, and the files reviewed appeared to have been subjected to sufficient internal controls and </w:t>
      </w:r>
      <w:r w:rsidR="00C80765">
        <w:rPr>
          <w:rFonts w:ascii="Times New Roman" w:hAnsi="Times New Roman" w:cs="Times New Roman"/>
          <w:sz w:val="24"/>
          <w:szCs w:val="24"/>
        </w:rPr>
        <w:t>adequately documented</w:t>
      </w:r>
      <w:r w:rsidR="00B62B46">
        <w:rPr>
          <w:rFonts w:ascii="Times New Roman" w:hAnsi="Times New Roman" w:cs="Times New Roman"/>
          <w:sz w:val="24"/>
          <w:szCs w:val="24"/>
        </w:rPr>
        <w:t>.</w:t>
      </w:r>
    </w:p>
    <w:p w14:paraId="167768B5" w14:textId="77777777" w:rsidR="005B1A9C" w:rsidRDefault="005B1A9C" w:rsidP="005B1A9C">
      <w:pPr>
        <w:rPr>
          <w:rFonts w:ascii="Times New Roman" w:hAnsi="Times New Roman"/>
          <w:b/>
          <w:sz w:val="24"/>
          <w:szCs w:val="24"/>
          <w:u w:val="single"/>
        </w:rPr>
      </w:pPr>
    </w:p>
    <w:p w14:paraId="167768BC" w14:textId="77777777" w:rsidR="002742DB" w:rsidRDefault="002742DB"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167768BD" w14:textId="77777777" w:rsidR="00101468" w:rsidRDefault="00101468" w:rsidP="00AD3312">
      <w:pPr>
        <w:rPr>
          <w:rFonts w:ascii="Times New Roman" w:hAnsi="Times New Roman" w:cs="Times New Roman"/>
          <w:sz w:val="24"/>
          <w:szCs w:val="24"/>
        </w:rPr>
      </w:pPr>
    </w:p>
    <w:p w14:paraId="146EE045" w14:textId="75F2CBF3" w:rsidR="00B62B46" w:rsidRDefault="00B62B46" w:rsidP="00AD3312">
      <w:pPr>
        <w:rPr>
          <w:rFonts w:ascii="Times New Roman" w:hAnsi="Times New Roman" w:cs="Times New Roman"/>
          <w:sz w:val="24"/>
          <w:szCs w:val="24"/>
        </w:rPr>
      </w:pPr>
      <w:r>
        <w:rPr>
          <w:rFonts w:ascii="Times New Roman" w:hAnsi="Times New Roman" w:cs="Times New Roman"/>
          <w:sz w:val="24"/>
          <w:szCs w:val="24"/>
        </w:rPr>
        <w:t xml:space="preserve">PSE spent approximately $11.9 million on its natural gas conservation portfolio in 2013, which was about 10 percent less than the $13.2 million that was budgeted and a decrease of about 13 percent from the $13.7 million that the company spent in 2012. PSE’s </w:t>
      </w:r>
      <w:r w:rsidR="00224C58">
        <w:rPr>
          <w:rFonts w:ascii="Times New Roman" w:hAnsi="Times New Roman" w:cs="Times New Roman"/>
          <w:sz w:val="24"/>
          <w:szCs w:val="24"/>
        </w:rPr>
        <w:t>2014 budget, which has</w:t>
      </w:r>
      <w:r>
        <w:rPr>
          <w:rFonts w:ascii="Times New Roman" w:hAnsi="Times New Roman" w:cs="Times New Roman"/>
          <w:sz w:val="24"/>
          <w:szCs w:val="24"/>
        </w:rPr>
        <w:t xml:space="preserve"> </w:t>
      </w:r>
      <w:r>
        <w:rPr>
          <w:rFonts w:ascii="Times New Roman" w:hAnsi="Times New Roman" w:cs="Times New Roman"/>
          <w:sz w:val="24"/>
          <w:szCs w:val="24"/>
        </w:rPr>
        <w:lastRenderedPageBreak/>
        <w:t>been reviewed b</w:t>
      </w:r>
      <w:r w:rsidR="00290CEA">
        <w:rPr>
          <w:rFonts w:ascii="Times New Roman" w:hAnsi="Times New Roman" w:cs="Times New Roman"/>
          <w:sz w:val="24"/>
          <w:szCs w:val="24"/>
        </w:rPr>
        <w:t xml:space="preserve">y the CRAG and </w:t>
      </w:r>
      <w:r w:rsidR="00D87EC4">
        <w:rPr>
          <w:rFonts w:ascii="Times New Roman" w:hAnsi="Times New Roman" w:cs="Times New Roman"/>
          <w:sz w:val="24"/>
          <w:szCs w:val="24"/>
        </w:rPr>
        <w:t xml:space="preserve">was </w:t>
      </w:r>
      <w:r w:rsidR="00290CEA">
        <w:rPr>
          <w:rFonts w:ascii="Times New Roman" w:hAnsi="Times New Roman" w:cs="Times New Roman"/>
          <w:sz w:val="24"/>
          <w:szCs w:val="24"/>
        </w:rPr>
        <w:t>accepted by the c</w:t>
      </w:r>
      <w:r>
        <w:rPr>
          <w:rFonts w:ascii="Times New Roman" w:hAnsi="Times New Roman" w:cs="Times New Roman"/>
          <w:sz w:val="24"/>
          <w:szCs w:val="24"/>
        </w:rPr>
        <w:t xml:space="preserve">ommission at the December 18, 2013, open meeting, </w:t>
      </w:r>
      <w:r w:rsidR="00224C58">
        <w:rPr>
          <w:rFonts w:ascii="Times New Roman" w:hAnsi="Times New Roman" w:cs="Times New Roman"/>
          <w:sz w:val="24"/>
          <w:szCs w:val="24"/>
        </w:rPr>
        <w:t>is a</w:t>
      </w:r>
      <w:r>
        <w:rPr>
          <w:rFonts w:ascii="Times New Roman" w:hAnsi="Times New Roman" w:cs="Times New Roman"/>
          <w:sz w:val="24"/>
          <w:szCs w:val="24"/>
        </w:rPr>
        <w:t xml:space="preserve">bout </w:t>
      </w:r>
      <w:r w:rsidR="00224C58">
        <w:rPr>
          <w:rFonts w:ascii="Times New Roman" w:hAnsi="Times New Roman" w:cs="Times New Roman"/>
          <w:sz w:val="24"/>
          <w:szCs w:val="24"/>
        </w:rPr>
        <w:t>$12.5</w:t>
      </w:r>
      <w:r>
        <w:rPr>
          <w:rFonts w:ascii="Times New Roman" w:hAnsi="Times New Roman" w:cs="Times New Roman"/>
          <w:sz w:val="24"/>
          <w:szCs w:val="24"/>
        </w:rPr>
        <w:t xml:space="preserve"> million.</w:t>
      </w:r>
    </w:p>
    <w:p w14:paraId="7C9E8391" w14:textId="77777777" w:rsidR="00B62B46" w:rsidRDefault="00B62B46" w:rsidP="00AD3312">
      <w:pPr>
        <w:rPr>
          <w:rFonts w:ascii="Times New Roman" w:hAnsi="Times New Roman" w:cs="Times New Roman"/>
          <w:sz w:val="24"/>
          <w:szCs w:val="24"/>
        </w:rPr>
      </w:pPr>
    </w:p>
    <w:p w14:paraId="167768C5" w14:textId="782E6615" w:rsidR="00380195" w:rsidRPr="005B1A9C" w:rsidRDefault="004855C1" w:rsidP="00AD3312">
      <w:pPr>
        <w:rPr>
          <w:rFonts w:ascii="Times New Roman" w:hAnsi="Times New Roman" w:cs="Times New Roman"/>
          <w:sz w:val="24"/>
          <w:szCs w:val="24"/>
        </w:rPr>
      </w:pPr>
      <w:r w:rsidRPr="005B1A9C">
        <w:rPr>
          <w:rFonts w:ascii="Times New Roman" w:hAnsi="Times New Roman" w:cs="Times New Roman"/>
          <w:sz w:val="24"/>
          <w:szCs w:val="24"/>
        </w:rPr>
        <w:t xml:space="preserve">The </w:t>
      </w:r>
      <w:r w:rsidR="002C745F" w:rsidRPr="005B1A9C">
        <w:rPr>
          <w:rFonts w:ascii="Times New Roman" w:hAnsi="Times New Roman" w:cs="Times New Roman"/>
          <w:sz w:val="24"/>
          <w:szCs w:val="24"/>
        </w:rPr>
        <w:t>total revenue requireme</w:t>
      </w:r>
      <w:r w:rsidR="005B1A9C" w:rsidRPr="005B1A9C">
        <w:rPr>
          <w:rFonts w:ascii="Times New Roman" w:hAnsi="Times New Roman" w:cs="Times New Roman"/>
          <w:sz w:val="24"/>
          <w:szCs w:val="24"/>
        </w:rPr>
        <w:t xml:space="preserve">nt </w:t>
      </w:r>
      <w:r w:rsidR="00B42FCF">
        <w:rPr>
          <w:rFonts w:ascii="Times New Roman" w:hAnsi="Times New Roman" w:cs="Times New Roman"/>
          <w:sz w:val="24"/>
          <w:szCs w:val="24"/>
        </w:rPr>
        <w:t>for 2014 is $11,764,991, which consists of the $12,477,390 budget minus the</w:t>
      </w:r>
      <w:r w:rsidR="006E5F64">
        <w:rPr>
          <w:rFonts w:ascii="Times New Roman" w:hAnsi="Times New Roman" w:cs="Times New Roman"/>
          <w:sz w:val="24"/>
          <w:szCs w:val="24"/>
        </w:rPr>
        <w:t xml:space="preserve"> 2013 over-</w:t>
      </w:r>
      <w:r w:rsidR="00B42FCF">
        <w:rPr>
          <w:rFonts w:ascii="Times New Roman" w:hAnsi="Times New Roman" w:cs="Times New Roman"/>
          <w:sz w:val="24"/>
          <w:szCs w:val="24"/>
        </w:rPr>
        <w:t>collection of $712,400.</w:t>
      </w:r>
      <w:r w:rsidR="00B72AB0">
        <w:rPr>
          <w:rFonts w:ascii="Times New Roman" w:hAnsi="Times New Roman" w:cs="Times New Roman"/>
          <w:sz w:val="24"/>
          <w:szCs w:val="24"/>
        </w:rPr>
        <w:t xml:space="preserve"> </w:t>
      </w:r>
      <w:r w:rsidR="00EF1E9D" w:rsidRPr="005B1A9C">
        <w:rPr>
          <w:rFonts w:ascii="Times New Roman" w:hAnsi="Times New Roman" w:cs="Times New Roman"/>
          <w:sz w:val="24"/>
          <w:szCs w:val="24"/>
        </w:rPr>
        <w:t xml:space="preserve">This filing changes the </w:t>
      </w:r>
      <w:r w:rsidR="005B1A9C" w:rsidRPr="00F90251">
        <w:rPr>
          <w:rFonts w:ascii="Times New Roman" w:hAnsi="Times New Roman" w:cs="Times New Roman"/>
          <w:sz w:val="24"/>
          <w:szCs w:val="24"/>
        </w:rPr>
        <w:t>natural gas</w:t>
      </w:r>
      <w:r w:rsidR="00EF1E9D" w:rsidRPr="00F90251">
        <w:rPr>
          <w:rFonts w:ascii="Times New Roman" w:hAnsi="Times New Roman" w:cs="Times New Roman"/>
          <w:sz w:val="24"/>
          <w:szCs w:val="24"/>
        </w:rPr>
        <w:t xml:space="preserve"> rider charges as</w:t>
      </w:r>
      <w:r w:rsidR="00EF1E9D" w:rsidRPr="005B1A9C">
        <w:rPr>
          <w:rFonts w:ascii="Times New Roman" w:hAnsi="Times New Roman" w:cs="Times New Roman"/>
          <w:sz w:val="24"/>
          <w:szCs w:val="24"/>
        </w:rPr>
        <w:t xml:space="preserve"> shown in the following table</w:t>
      </w:r>
      <w:r w:rsidR="00B72AB0">
        <w:rPr>
          <w:rFonts w:ascii="Times New Roman" w:hAnsi="Times New Roman" w:cs="Times New Roman"/>
          <w:sz w:val="24"/>
          <w:szCs w:val="24"/>
        </w:rPr>
        <w:t>:</w:t>
      </w:r>
    </w:p>
    <w:p w14:paraId="167768C6" w14:textId="77777777" w:rsidR="002742DB" w:rsidRPr="00694070" w:rsidRDefault="002742DB" w:rsidP="00AD3312">
      <w:pPr>
        <w:rPr>
          <w:rFonts w:ascii="Times New Roman" w:hAnsi="Times New Roman" w:cs="Times New Roman"/>
          <w:sz w:val="24"/>
          <w:szCs w:val="24"/>
          <w:highlight w:val="yellow"/>
        </w:rPr>
      </w:pPr>
    </w:p>
    <w:tbl>
      <w:tblPr>
        <w:tblW w:w="0" w:type="auto"/>
        <w:tblBorders>
          <w:top w:val="single" w:sz="4" w:space="0" w:color="000000"/>
          <w:insideH w:val="single" w:sz="4" w:space="0" w:color="000000"/>
        </w:tblBorders>
        <w:tblLook w:val="04A0" w:firstRow="1" w:lastRow="0" w:firstColumn="1" w:lastColumn="0" w:noHBand="0" w:noVBand="1"/>
      </w:tblPr>
      <w:tblGrid>
        <w:gridCol w:w="2388"/>
        <w:gridCol w:w="4020"/>
        <w:gridCol w:w="1530"/>
        <w:gridCol w:w="1614"/>
        <w:gridCol w:w="24"/>
      </w:tblGrid>
      <w:tr w:rsidR="00AF73D9" w:rsidRPr="00694070" w14:paraId="167768CD" w14:textId="77777777" w:rsidTr="00AF73D9">
        <w:trPr>
          <w:gridAfter w:val="1"/>
          <w:wAfter w:w="24" w:type="dxa"/>
          <w:trHeight w:val="557"/>
        </w:trPr>
        <w:tc>
          <w:tcPr>
            <w:tcW w:w="2388" w:type="dxa"/>
          </w:tcPr>
          <w:p w14:paraId="167768C7" w14:textId="77777777" w:rsidR="00AF73D9" w:rsidRPr="00694070" w:rsidRDefault="00AF73D9" w:rsidP="00AF73D9">
            <w:pPr>
              <w:rPr>
                <w:rFonts w:ascii="Times New Roman" w:hAnsi="Times New Roman"/>
                <w:b/>
                <w:sz w:val="24"/>
                <w:szCs w:val="24"/>
              </w:rPr>
            </w:pPr>
          </w:p>
        </w:tc>
        <w:tc>
          <w:tcPr>
            <w:tcW w:w="4020" w:type="dxa"/>
          </w:tcPr>
          <w:p w14:paraId="6EABF5E5" w14:textId="77777777" w:rsidR="00355855" w:rsidRDefault="00355855" w:rsidP="00AF73D9">
            <w:pPr>
              <w:rPr>
                <w:rFonts w:ascii="Times New Roman" w:hAnsi="Times New Roman"/>
                <w:b/>
                <w:bCs/>
                <w:sz w:val="24"/>
                <w:szCs w:val="24"/>
              </w:rPr>
            </w:pPr>
          </w:p>
          <w:p w14:paraId="167768C8" w14:textId="77777777" w:rsidR="00AF73D9" w:rsidRPr="00694070" w:rsidRDefault="00AF73D9" w:rsidP="00AF73D9">
            <w:pPr>
              <w:rPr>
                <w:rFonts w:ascii="Times New Roman" w:hAnsi="Times New Roman"/>
                <w:b/>
                <w:sz w:val="24"/>
                <w:szCs w:val="24"/>
              </w:rPr>
            </w:pPr>
            <w:r w:rsidRPr="00694070">
              <w:rPr>
                <w:rFonts w:ascii="Times New Roman" w:hAnsi="Times New Roman"/>
                <w:b/>
                <w:bCs/>
                <w:sz w:val="24"/>
                <w:szCs w:val="24"/>
              </w:rPr>
              <w:t>Schedule</w:t>
            </w:r>
          </w:p>
        </w:tc>
        <w:tc>
          <w:tcPr>
            <w:tcW w:w="1530" w:type="dxa"/>
          </w:tcPr>
          <w:p w14:paraId="167768C9" w14:textId="77777777" w:rsidR="00AF73D9" w:rsidRPr="00694070" w:rsidRDefault="00AF73D9" w:rsidP="00AF73D9">
            <w:pPr>
              <w:rPr>
                <w:rFonts w:ascii="Times New Roman" w:hAnsi="Times New Roman"/>
                <w:b/>
                <w:bCs/>
                <w:sz w:val="24"/>
                <w:szCs w:val="24"/>
              </w:rPr>
            </w:pPr>
            <w:r w:rsidRPr="00694070">
              <w:rPr>
                <w:rFonts w:ascii="Times New Roman" w:hAnsi="Times New Roman"/>
                <w:b/>
                <w:bCs/>
                <w:sz w:val="24"/>
                <w:szCs w:val="24"/>
              </w:rPr>
              <w:t xml:space="preserve">Current Rate </w:t>
            </w:r>
          </w:p>
          <w:p w14:paraId="167768CA" w14:textId="77777777" w:rsidR="00AF73D9" w:rsidRPr="00694070" w:rsidRDefault="00AF73D9" w:rsidP="00694070">
            <w:pPr>
              <w:rPr>
                <w:rFonts w:ascii="Times New Roman" w:hAnsi="Times New Roman"/>
                <w:b/>
                <w:sz w:val="24"/>
                <w:szCs w:val="24"/>
              </w:rPr>
            </w:pPr>
            <w:r w:rsidRPr="00694070">
              <w:rPr>
                <w:rFonts w:ascii="Times New Roman" w:hAnsi="Times New Roman"/>
                <w:b/>
                <w:bCs/>
                <w:sz w:val="24"/>
                <w:szCs w:val="24"/>
              </w:rPr>
              <w:t xml:space="preserve">per </w:t>
            </w:r>
            <w:r w:rsidR="00694070">
              <w:rPr>
                <w:rFonts w:ascii="Times New Roman" w:hAnsi="Times New Roman"/>
                <w:b/>
                <w:bCs/>
                <w:sz w:val="24"/>
                <w:szCs w:val="24"/>
              </w:rPr>
              <w:t>Therm</w:t>
            </w:r>
          </w:p>
        </w:tc>
        <w:tc>
          <w:tcPr>
            <w:tcW w:w="1614" w:type="dxa"/>
          </w:tcPr>
          <w:p w14:paraId="167768CB" w14:textId="77777777" w:rsidR="00AF73D9" w:rsidRPr="00694070" w:rsidRDefault="00AF73D9" w:rsidP="00AF73D9">
            <w:pPr>
              <w:rPr>
                <w:rFonts w:ascii="Times New Roman" w:hAnsi="Times New Roman"/>
                <w:b/>
                <w:sz w:val="24"/>
                <w:szCs w:val="24"/>
                <w:vertAlign w:val="superscript"/>
              </w:rPr>
            </w:pPr>
            <w:r w:rsidRPr="00694070">
              <w:rPr>
                <w:rFonts w:ascii="Times New Roman" w:hAnsi="Times New Roman"/>
                <w:b/>
                <w:sz w:val="24"/>
                <w:szCs w:val="24"/>
              </w:rPr>
              <w:t>Proposed</w:t>
            </w:r>
          </w:p>
          <w:p w14:paraId="167768CC" w14:textId="77777777" w:rsidR="00AF73D9" w:rsidRPr="00694070" w:rsidRDefault="00AF73D9" w:rsidP="00694070">
            <w:pPr>
              <w:rPr>
                <w:rFonts w:ascii="Times New Roman" w:hAnsi="Times New Roman"/>
                <w:b/>
                <w:sz w:val="24"/>
                <w:szCs w:val="24"/>
              </w:rPr>
            </w:pPr>
            <w:r w:rsidRPr="00694070">
              <w:rPr>
                <w:rFonts w:ascii="Times New Roman" w:hAnsi="Times New Roman"/>
                <w:b/>
                <w:sz w:val="24"/>
                <w:szCs w:val="24"/>
              </w:rPr>
              <w:t xml:space="preserve">Rate per </w:t>
            </w:r>
            <w:r w:rsidR="00694070">
              <w:rPr>
                <w:rFonts w:ascii="Times New Roman" w:hAnsi="Times New Roman"/>
                <w:b/>
                <w:sz w:val="24"/>
                <w:szCs w:val="24"/>
              </w:rPr>
              <w:t>Therm</w:t>
            </w:r>
          </w:p>
        </w:tc>
      </w:tr>
      <w:tr w:rsidR="00AF73D9" w:rsidRPr="00694070" w14:paraId="167768D2" w14:textId="77777777" w:rsidTr="00AF73D9">
        <w:tc>
          <w:tcPr>
            <w:tcW w:w="2388" w:type="dxa"/>
          </w:tcPr>
          <w:p w14:paraId="167768CE" w14:textId="77777777" w:rsidR="00AF73D9" w:rsidRPr="00694070" w:rsidRDefault="00694070" w:rsidP="00AF73D9">
            <w:pPr>
              <w:rPr>
                <w:rFonts w:ascii="Times New Roman" w:hAnsi="Times New Roman"/>
                <w:sz w:val="24"/>
                <w:szCs w:val="24"/>
              </w:rPr>
            </w:pPr>
            <w:r w:rsidRPr="00694070">
              <w:rPr>
                <w:rFonts w:ascii="Times New Roman" w:hAnsi="Times New Roman"/>
                <w:sz w:val="24"/>
                <w:szCs w:val="24"/>
              </w:rPr>
              <w:t>Firm Sales</w:t>
            </w:r>
            <w:r w:rsidRPr="00694070">
              <w:rPr>
                <w:rStyle w:val="FootnoteReference"/>
                <w:rFonts w:ascii="Times New Roman" w:hAnsi="Times New Roman"/>
                <w:sz w:val="24"/>
                <w:szCs w:val="24"/>
              </w:rPr>
              <w:footnoteReference w:id="1"/>
            </w:r>
          </w:p>
        </w:tc>
        <w:tc>
          <w:tcPr>
            <w:tcW w:w="4020" w:type="dxa"/>
          </w:tcPr>
          <w:p w14:paraId="167768CF" w14:textId="61710F69" w:rsidR="00AF73D9" w:rsidRPr="00694070" w:rsidRDefault="00AF73D9" w:rsidP="00AF73D9">
            <w:pPr>
              <w:rPr>
                <w:rFonts w:ascii="Times New Roman" w:hAnsi="Times New Roman"/>
                <w:sz w:val="24"/>
                <w:szCs w:val="24"/>
              </w:rPr>
            </w:pPr>
            <w:r w:rsidRPr="00694070">
              <w:rPr>
                <w:rFonts w:ascii="Times New Roman" w:hAnsi="Times New Roman"/>
                <w:sz w:val="24"/>
                <w:szCs w:val="24"/>
              </w:rPr>
              <w:t>Schedule</w:t>
            </w:r>
            <w:r w:rsidR="00355855">
              <w:rPr>
                <w:rFonts w:ascii="Times New Roman" w:hAnsi="Times New Roman"/>
                <w:sz w:val="24"/>
                <w:szCs w:val="24"/>
              </w:rPr>
              <w:t xml:space="preserve">s </w:t>
            </w:r>
            <w:r w:rsidR="001B060A">
              <w:rPr>
                <w:rFonts w:ascii="Times New Roman" w:hAnsi="Times New Roman"/>
                <w:sz w:val="24"/>
                <w:szCs w:val="24"/>
              </w:rPr>
              <w:t xml:space="preserve">16, </w:t>
            </w:r>
            <w:r w:rsidR="00694070">
              <w:rPr>
                <w:rFonts w:ascii="Times New Roman" w:hAnsi="Times New Roman"/>
                <w:sz w:val="24"/>
                <w:szCs w:val="24"/>
              </w:rPr>
              <w:t>23, 31, 41 and 53</w:t>
            </w:r>
          </w:p>
        </w:tc>
        <w:tc>
          <w:tcPr>
            <w:tcW w:w="1530" w:type="dxa"/>
          </w:tcPr>
          <w:p w14:paraId="167768D0" w14:textId="65D6B095" w:rsidR="00AF73D9" w:rsidRPr="00694070" w:rsidRDefault="00AF73D9" w:rsidP="000C39BF">
            <w:pPr>
              <w:rPr>
                <w:rFonts w:ascii="Times New Roman" w:hAnsi="Times New Roman"/>
                <w:sz w:val="24"/>
                <w:szCs w:val="24"/>
              </w:rPr>
            </w:pPr>
            <w:r w:rsidRPr="00694070">
              <w:rPr>
                <w:rFonts w:ascii="Times New Roman" w:hAnsi="Times New Roman"/>
                <w:sz w:val="24"/>
                <w:szCs w:val="24"/>
              </w:rPr>
              <w:t>$0.0</w:t>
            </w:r>
            <w:r w:rsidR="008D3D35">
              <w:rPr>
                <w:rFonts w:ascii="Times New Roman" w:hAnsi="Times New Roman"/>
                <w:sz w:val="24"/>
                <w:szCs w:val="24"/>
              </w:rPr>
              <w:t>1</w:t>
            </w:r>
            <w:r w:rsidR="000C39BF">
              <w:rPr>
                <w:rFonts w:ascii="Times New Roman" w:hAnsi="Times New Roman"/>
                <w:sz w:val="24"/>
                <w:szCs w:val="24"/>
              </w:rPr>
              <w:t>231</w:t>
            </w:r>
          </w:p>
        </w:tc>
        <w:tc>
          <w:tcPr>
            <w:tcW w:w="1638" w:type="dxa"/>
            <w:gridSpan w:val="2"/>
          </w:tcPr>
          <w:p w14:paraId="167768D1" w14:textId="06E50DCF" w:rsidR="00AF73D9" w:rsidRPr="00694070" w:rsidRDefault="00AF73D9" w:rsidP="00694070">
            <w:pPr>
              <w:rPr>
                <w:rFonts w:ascii="Times New Roman" w:hAnsi="Times New Roman"/>
                <w:sz w:val="24"/>
                <w:szCs w:val="24"/>
              </w:rPr>
            </w:pPr>
            <w:r w:rsidRPr="00694070">
              <w:rPr>
                <w:rFonts w:ascii="Times New Roman" w:hAnsi="Times New Roman"/>
                <w:sz w:val="24"/>
                <w:szCs w:val="24"/>
              </w:rPr>
              <w:t>$0.0</w:t>
            </w:r>
            <w:r w:rsidR="000C39BF">
              <w:rPr>
                <w:rFonts w:ascii="Times New Roman" w:hAnsi="Times New Roman"/>
                <w:sz w:val="24"/>
                <w:szCs w:val="24"/>
              </w:rPr>
              <w:t>1268</w:t>
            </w:r>
          </w:p>
        </w:tc>
      </w:tr>
      <w:tr w:rsidR="00AF73D9" w:rsidRPr="00694070" w14:paraId="167768DC" w14:textId="77777777" w:rsidTr="00AF73D9">
        <w:tc>
          <w:tcPr>
            <w:tcW w:w="2388" w:type="dxa"/>
          </w:tcPr>
          <w:p w14:paraId="167768D8" w14:textId="77777777" w:rsidR="00AF73D9" w:rsidRPr="00694070" w:rsidRDefault="00694070" w:rsidP="00AF73D9">
            <w:pPr>
              <w:rPr>
                <w:rFonts w:ascii="Times New Roman" w:hAnsi="Times New Roman"/>
                <w:sz w:val="24"/>
                <w:szCs w:val="24"/>
              </w:rPr>
            </w:pPr>
            <w:r>
              <w:rPr>
                <w:rFonts w:ascii="Times New Roman" w:hAnsi="Times New Roman"/>
                <w:sz w:val="24"/>
                <w:szCs w:val="24"/>
              </w:rPr>
              <w:t>Interruptible Sales</w:t>
            </w:r>
            <w:r w:rsidR="00AF73D9" w:rsidRPr="00694070">
              <w:rPr>
                <w:rStyle w:val="FootnoteReference"/>
                <w:rFonts w:ascii="Times New Roman" w:hAnsi="Times New Roman"/>
                <w:sz w:val="24"/>
                <w:szCs w:val="24"/>
              </w:rPr>
              <w:footnoteReference w:id="2"/>
            </w:r>
          </w:p>
        </w:tc>
        <w:tc>
          <w:tcPr>
            <w:tcW w:w="4020" w:type="dxa"/>
          </w:tcPr>
          <w:p w14:paraId="167768D9" w14:textId="77777777" w:rsidR="00AF73D9" w:rsidRPr="00694070" w:rsidRDefault="00AF73D9" w:rsidP="00694070">
            <w:pPr>
              <w:rPr>
                <w:rFonts w:ascii="Times New Roman" w:hAnsi="Times New Roman"/>
                <w:sz w:val="24"/>
                <w:szCs w:val="24"/>
              </w:rPr>
            </w:pPr>
            <w:r w:rsidRPr="00694070">
              <w:rPr>
                <w:rFonts w:ascii="Times New Roman" w:hAnsi="Times New Roman"/>
                <w:sz w:val="24"/>
                <w:szCs w:val="24"/>
              </w:rPr>
              <w:t xml:space="preserve">Schedules </w:t>
            </w:r>
            <w:r w:rsidR="00694070">
              <w:rPr>
                <w:rFonts w:ascii="Times New Roman" w:hAnsi="Times New Roman"/>
                <w:sz w:val="24"/>
                <w:szCs w:val="24"/>
              </w:rPr>
              <w:t>85, 86, 87</w:t>
            </w:r>
            <w:r w:rsidRPr="00694070">
              <w:rPr>
                <w:rFonts w:ascii="Times New Roman" w:hAnsi="Times New Roman"/>
                <w:sz w:val="24"/>
                <w:szCs w:val="24"/>
              </w:rPr>
              <w:t xml:space="preserve"> </w:t>
            </w:r>
          </w:p>
        </w:tc>
        <w:tc>
          <w:tcPr>
            <w:tcW w:w="1530" w:type="dxa"/>
          </w:tcPr>
          <w:p w14:paraId="167768DA" w14:textId="0EB33D8D" w:rsidR="00AF73D9" w:rsidRPr="00694070" w:rsidRDefault="00AF73D9" w:rsidP="000C39BF">
            <w:pPr>
              <w:rPr>
                <w:rFonts w:ascii="Times New Roman" w:hAnsi="Times New Roman"/>
                <w:sz w:val="24"/>
                <w:szCs w:val="24"/>
              </w:rPr>
            </w:pPr>
            <w:r w:rsidRPr="00694070">
              <w:rPr>
                <w:rFonts w:ascii="Times New Roman" w:hAnsi="Times New Roman"/>
                <w:sz w:val="24"/>
                <w:szCs w:val="24"/>
              </w:rPr>
              <w:t>$0.0</w:t>
            </w:r>
            <w:r w:rsidR="000C39BF">
              <w:rPr>
                <w:rFonts w:ascii="Times New Roman" w:hAnsi="Times New Roman"/>
                <w:sz w:val="24"/>
                <w:szCs w:val="24"/>
              </w:rPr>
              <w:t>1115</w:t>
            </w:r>
          </w:p>
        </w:tc>
        <w:tc>
          <w:tcPr>
            <w:tcW w:w="1638" w:type="dxa"/>
            <w:gridSpan w:val="2"/>
          </w:tcPr>
          <w:p w14:paraId="167768DB" w14:textId="7FD46319" w:rsidR="00AF73D9" w:rsidRPr="00694070" w:rsidRDefault="00AF73D9" w:rsidP="000C39BF">
            <w:pPr>
              <w:rPr>
                <w:rFonts w:ascii="Times New Roman" w:hAnsi="Times New Roman"/>
                <w:sz w:val="24"/>
                <w:szCs w:val="24"/>
              </w:rPr>
            </w:pPr>
            <w:r w:rsidRPr="00694070">
              <w:rPr>
                <w:rFonts w:ascii="Times New Roman" w:hAnsi="Times New Roman"/>
                <w:sz w:val="24"/>
                <w:szCs w:val="24"/>
              </w:rPr>
              <w:t>$0.0</w:t>
            </w:r>
            <w:r w:rsidR="00694070">
              <w:rPr>
                <w:rFonts w:ascii="Times New Roman" w:hAnsi="Times New Roman"/>
                <w:sz w:val="24"/>
                <w:szCs w:val="24"/>
              </w:rPr>
              <w:t>11</w:t>
            </w:r>
            <w:r w:rsidR="000C39BF">
              <w:rPr>
                <w:rFonts w:ascii="Times New Roman" w:hAnsi="Times New Roman"/>
                <w:sz w:val="24"/>
                <w:szCs w:val="24"/>
              </w:rPr>
              <w:t>37</w:t>
            </w:r>
          </w:p>
        </w:tc>
      </w:tr>
      <w:tr w:rsidR="00AF73D9" w:rsidRPr="00694070" w14:paraId="167768E1" w14:textId="77777777" w:rsidTr="00AF73D9">
        <w:tc>
          <w:tcPr>
            <w:tcW w:w="2388" w:type="dxa"/>
          </w:tcPr>
          <w:p w14:paraId="167768DD" w14:textId="77777777" w:rsidR="00AF73D9" w:rsidRPr="00694070" w:rsidRDefault="00AF73D9" w:rsidP="00AF73D9">
            <w:pPr>
              <w:rPr>
                <w:rFonts w:ascii="Times New Roman" w:hAnsi="Times New Roman"/>
                <w:sz w:val="24"/>
                <w:szCs w:val="24"/>
              </w:rPr>
            </w:pPr>
          </w:p>
        </w:tc>
        <w:tc>
          <w:tcPr>
            <w:tcW w:w="4020" w:type="dxa"/>
          </w:tcPr>
          <w:p w14:paraId="167768DE" w14:textId="77777777" w:rsidR="00AF73D9" w:rsidRPr="00694070" w:rsidRDefault="00AF73D9" w:rsidP="00AF73D9">
            <w:pPr>
              <w:rPr>
                <w:rFonts w:ascii="Times New Roman" w:hAnsi="Times New Roman"/>
                <w:sz w:val="24"/>
                <w:szCs w:val="24"/>
              </w:rPr>
            </w:pPr>
          </w:p>
        </w:tc>
        <w:tc>
          <w:tcPr>
            <w:tcW w:w="1530" w:type="dxa"/>
          </w:tcPr>
          <w:p w14:paraId="167768DF" w14:textId="77777777" w:rsidR="00AF73D9" w:rsidRPr="00694070" w:rsidRDefault="00AF73D9" w:rsidP="00CC15FD">
            <w:pPr>
              <w:rPr>
                <w:rFonts w:ascii="Times New Roman" w:hAnsi="Times New Roman"/>
                <w:sz w:val="24"/>
                <w:szCs w:val="24"/>
              </w:rPr>
            </w:pPr>
          </w:p>
        </w:tc>
        <w:tc>
          <w:tcPr>
            <w:tcW w:w="1638" w:type="dxa"/>
            <w:gridSpan w:val="2"/>
          </w:tcPr>
          <w:p w14:paraId="167768E0" w14:textId="77777777" w:rsidR="00AF73D9" w:rsidRPr="00694070" w:rsidRDefault="00AF73D9" w:rsidP="00CC15FD">
            <w:pPr>
              <w:rPr>
                <w:rFonts w:ascii="Times New Roman" w:hAnsi="Times New Roman"/>
                <w:sz w:val="24"/>
                <w:szCs w:val="24"/>
              </w:rPr>
            </w:pPr>
          </w:p>
        </w:tc>
      </w:tr>
    </w:tbl>
    <w:p w14:paraId="167768E4" w14:textId="77777777" w:rsidR="00694070" w:rsidRDefault="002742DB" w:rsidP="002742DB">
      <w:pPr>
        <w:rPr>
          <w:rFonts w:ascii="Times New Roman" w:hAnsi="Times New Roman"/>
          <w:b/>
          <w:sz w:val="24"/>
          <w:szCs w:val="24"/>
          <w:u w:val="single"/>
        </w:rPr>
      </w:pPr>
      <w:r w:rsidRPr="002F3DAF">
        <w:rPr>
          <w:rFonts w:ascii="Times New Roman" w:hAnsi="Times New Roman"/>
          <w:b/>
          <w:sz w:val="24"/>
          <w:szCs w:val="24"/>
          <w:u w:val="single"/>
        </w:rPr>
        <w:t>Customer Comments</w:t>
      </w:r>
    </w:p>
    <w:p w14:paraId="167768E5" w14:textId="77777777" w:rsidR="002742DB" w:rsidRDefault="002742DB" w:rsidP="002742DB">
      <w:pPr>
        <w:pStyle w:val="PlainText"/>
        <w:rPr>
          <w:rFonts w:ascii="Times New Roman" w:hAnsi="Times New Roman"/>
          <w:sz w:val="24"/>
          <w:szCs w:val="24"/>
        </w:rPr>
      </w:pPr>
    </w:p>
    <w:p w14:paraId="167768E6" w14:textId="6903B253" w:rsidR="002742DB" w:rsidRDefault="00B72AB0" w:rsidP="002742DB">
      <w:pPr>
        <w:pStyle w:val="PlainText"/>
        <w:rPr>
          <w:rFonts w:ascii="Times New Roman" w:hAnsi="Times New Roman"/>
          <w:sz w:val="24"/>
          <w:szCs w:val="24"/>
        </w:rPr>
      </w:pPr>
      <w:r>
        <w:rPr>
          <w:rFonts w:ascii="Times New Roman" w:hAnsi="Times New Roman"/>
          <w:sz w:val="24"/>
          <w:szCs w:val="24"/>
        </w:rPr>
        <w:t>On April 1, 2014</w:t>
      </w:r>
      <w:r w:rsidR="002742DB">
        <w:rPr>
          <w:rFonts w:ascii="Times New Roman" w:hAnsi="Times New Roman"/>
          <w:sz w:val="24"/>
          <w:szCs w:val="24"/>
        </w:rPr>
        <w:t xml:space="preserve">, </w:t>
      </w:r>
      <w:r w:rsidR="002742DB" w:rsidRPr="00562BBE">
        <w:rPr>
          <w:rFonts w:ascii="Times New Roman" w:hAnsi="Times New Roman"/>
          <w:sz w:val="24"/>
          <w:szCs w:val="24"/>
        </w:rPr>
        <w:t xml:space="preserve">the company notified its customers of the proposed rate increase </w:t>
      </w:r>
      <w:r w:rsidR="002742DB">
        <w:rPr>
          <w:rFonts w:ascii="Times New Roman" w:hAnsi="Times New Roman"/>
          <w:sz w:val="24"/>
          <w:szCs w:val="24"/>
        </w:rPr>
        <w:t>via</w:t>
      </w:r>
      <w:r w:rsidR="002742DB" w:rsidRPr="00562BBE">
        <w:rPr>
          <w:rFonts w:ascii="Times New Roman" w:hAnsi="Times New Roman"/>
          <w:sz w:val="24"/>
          <w:szCs w:val="24"/>
        </w:rPr>
        <w:t xml:space="preserve"> paid advertisements in daily newspapers </w:t>
      </w:r>
      <w:r w:rsidR="002742DB">
        <w:rPr>
          <w:rFonts w:ascii="Times New Roman" w:hAnsi="Times New Roman"/>
          <w:sz w:val="24"/>
          <w:szCs w:val="24"/>
        </w:rPr>
        <w:t xml:space="preserve">distributed </w:t>
      </w:r>
      <w:r w:rsidR="002742DB" w:rsidRPr="00562BBE">
        <w:rPr>
          <w:rFonts w:ascii="Times New Roman" w:hAnsi="Times New Roman"/>
          <w:sz w:val="24"/>
          <w:szCs w:val="24"/>
        </w:rPr>
        <w:t>in its service territory. The company sent copies of the notice to community agencies and to the news editors of local newspapers, television and radio stations. The company also posted the notice on its website. The commission received</w:t>
      </w:r>
      <w:r w:rsidR="002742DB">
        <w:rPr>
          <w:rFonts w:ascii="Times New Roman" w:hAnsi="Times New Roman"/>
          <w:sz w:val="24"/>
          <w:szCs w:val="24"/>
        </w:rPr>
        <w:t xml:space="preserve"> </w:t>
      </w:r>
      <w:r w:rsidR="00D40F17">
        <w:rPr>
          <w:rFonts w:ascii="Times New Roman" w:hAnsi="Times New Roman"/>
          <w:sz w:val="24"/>
          <w:szCs w:val="24"/>
        </w:rPr>
        <w:t>one customer comment</w:t>
      </w:r>
      <w:r w:rsidR="00290CEA">
        <w:rPr>
          <w:rFonts w:ascii="Times New Roman" w:hAnsi="Times New Roman"/>
          <w:sz w:val="24"/>
          <w:szCs w:val="24"/>
        </w:rPr>
        <w:t xml:space="preserve"> </w:t>
      </w:r>
      <w:r w:rsidR="00D40F17">
        <w:rPr>
          <w:rFonts w:ascii="Times New Roman" w:hAnsi="Times New Roman"/>
          <w:sz w:val="24"/>
          <w:szCs w:val="24"/>
        </w:rPr>
        <w:t>opposing the increases in this</w:t>
      </w:r>
      <w:r w:rsidR="00290CEA">
        <w:rPr>
          <w:rFonts w:ascii="Times New Roman" w:hAnsi="Times New Roman"/>
          <w:sz w:val="24"/>
          <w:szCs w:val="24"/>
        </w:rPr>
        <w:t xml:space="preserve"> filing and the accompanying electric conservation programs rider in docket UE-140330</w:t>
      </w:r>
      <w:r w:rsidR="002742DB" w:rsidRPr="00562BBE">
        <w:rPr>
          <w:rFonts w:ascii="Times New Roman" w:hAnsi="Times New Roman"/>
          <w:sz w:val="24"/>
          <w:szCs w:val="24"/>
        </w:rPr>
        <w:t>.</w:t>
      </w:r>
      <w:r w:rsidR="002742DB">
        <w:rPr>
          <w:rFonts w:ascii="Times New Roman" w:hAnsi="Times New Roman"/>
          <w:sz w:val="24"/>
          <w:szCs w:val="24"/>
        </w:rPr>
        <w:t xml:space="preserve"> Consumer Protection staff advised consumers that they may access company documents about this rate case at </w:t>
      </w:r>
      <w:hyperlink r:id="rId12" w:history="1">
        <w:r w:rsidR="002742DB" w:rsidRPr="00012785">
          <w:rPr>
            <w:rStyle w:val="Hyperlink"/>
            <w:rFonts w:ascii="Times New Roman" w:hAnsi="Times New Roman"/>
            <w:sz w:val="24"/>
            <w:szCs w:val="24"/>
          </w:rPr>
          <w:t>www.utc.wa.gov</w:t>
        </w:r>
      </w:hyperlink>
      <w:r w:rsidR="002742DB">
        <w:rPr>
          <w:rFonts w:ascii="Times New Roman" w:hAnsi="Times New Roman"/>
          <w:sz w:val="24"/>
          <w:szCs w:val="24"/>
        </w:rPr>
        <w:t xml:space="preserve">, and that they may contact </w:t>
      </w:r>
      <w:r w:rsidR="00355855">
        <w:rPr>
          <w:rFonts w:ascii="Times New Roman" w:hAnsi="Times New Roman"/>
          <w:sz w:val="24"/>
          <w:szCs w:val="24"/>
        </w:rPr>
        <w:t>c</w:t>
      </w:r>
      <w:r w:rsidR="002742DB">
        <w:rPr>
          <w:rFonts w:ascii="Times New Roman" w:hAnsi="Times New Roman"/>
          <w:sz w:val="24"/>
          <w:szCs w:val="24"/>
        </w:rPr>
        <w:t xml:space="preserve">ommission </w:t>
      </w:r>
      <w:r w:rsidR="00355855">
        <w:rPr>
          <w:rFonts w:ascii="Times New Roman" w:hAnsi="Times New Roman"/>
          <w:sz w:val="24"/>
          <w:szCs w:val="24"/>
        </w:rPr>
        <w:t>s</w:t>
      </w:r>
      <w:r w:rsidR="002742DB">
        <w:rPr>
          <w:rFonts w:ascii="Times New Roman" w:hAnsi="Times New Roman"/>
          <w:sz w:val="24"/>
          <w:szCs w:val="24"/>
        </w:rPr>
        <w:t>taff for more information.</w:t>
      </w:r>
    </w:p>
    <w:p w14:paraId="167768E7" w14:textId="77777777" w:rsidR="002742DB" w:rsidRDefault="002742DB" w:rsidP="002742DB">
      <w:pPr>
        <w:rPr>
          <w:rFonts w:ascii="Times New Roman" w:hAnsi="Times New Roman"/>
          <w:sz w:val="24"/>
          <w:szCs w:val="24"/>
        </w:rPr>
      </w:pPr>
    </w:p>
    <w:p w14:paraId="03193D0F" w14:textId="229255AE" w:rsidR="00290CEA" w:rsidRDefault="00D40F17" w:rsidP="002742DB">
      <w:pPr>
        <w:rPr>
          <w:rFonts w:ascii="Times New Roman" w:hAnsi="Times New Roman"/>
          <w:sz w:val="24"/>
          <w:szCs w:val="24"/>
        </w:rPr>
      </w:pPr>
      <w:r>
        <w:rPr>
          <w:rFonts w:ascii="Times New Roman" w:hAnsi="Times New Roman"/>
          <w:sz w:val="24"/>
          <w:szCs w:val="24"/>
        </w:rPr>
        <w:t xml:space="preserve">The customer expressed frustration with frequent rate cases and said profit has become more important than people. </w:t>
      </w:r>
      <w:r w:rsidR="00290CEA">
        <w:rPr>
          <w:rFonts w:ascii="Times New Roman" w:hAnsi="Times New Roman"/>
          <w:sz w:val="24"/>
          <w:szCs w:val="24"/>
        </w:rPr>
        <w:t xml:space="preserve">Consumer Protection </w:t>
      </w:r>
      <w:r>
        <w:rPr>
          <w:rFonts w:ascii="Times New Roman" w:hAnsi="Times New Roman"/>
          <w:sz w:val="24"/>
          <w:szCs w:val="24"/>
        </w:rPr>
        <w:t>advised the customer</w:t>
      </w:r>
      <w:r w:rsidR="00290CEA">
        <w:rPr>
          <w:rFonts w:ascii="Times New Roman" w:hAnsi="Times New Roman"/>
          <w:sz w:val="24"/>
          <w:szCs w:val="24"/>
        </w:rPr>
        <w:t xml:space="preserve"> that state law requires rates to be fair and reasonable and sufficient to allow the company the opportunity to recover reasonable operating expenses and earn a reasonable return on investment. Staff furthered advised </w:t>
      </w:r>
      <w:r>
        <w:rPr>
          <w:rFonts w:ascii="Times New Roman" w:hAnsi="Times New Roman"/>
          <w:sz w:val="24"/>
          <w:szCs w:val="24"/>
        </w:rPr>
        <w:t xml:space="preserve">the </w:t>
      </w:r>
      <w:r w:rsidR="00290CEA">
        <w:rPr>
          <w:rFonts w:ascii="Times New Roman" w:hAnsi="Times New Roman"/>
          <w:sz w:val="24"/>
          <w:szCs w:val="24"/>
        </w:rPr>
        <w:t xml:space="preserve">customer that the commission cannot deny rates that are needed to cover company costs, and provided information about </w:t>
      </w:r>
      <w:r>
        <w:rPr>
          <w:rFonts w:ascii="Times New Roman" w:hAnsi="Times New Roman"/>
          <w:sz w:val="24"/>
          <w:szCs w:val="24"/>
        </w:rPr>
        <w:t>the conservation requirements of the Energy Independence Act.</w:t>
      </w:r>
    </w:p>
    <w:p w14:paraId="001DAF01" w14:textId="77777777" w:rsidR="00290CEA" w:rsidRDefault="00290CEA" w:rsidP="002742DB">
      <w:pPr>
        <w:rPr>
          <w:rFonts w:ascii="Times New Roman" w:hAnsi="Times New Roman"/>
          <w:sz w:val="24"/>
          <w:szCs w:val="24"/>
        </w:rPr>
      </w:pPr>
    </w:p>
    <w:p w14:paraId="167768EA" w14:textId="77777777" w:rsidR="002742DB" w:rsidRDefault="002742DB" w:rsidP="00AD3312">
      <w:pPr>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167768EB" w14:textId="77777777" w:rsidR="002742DB" w:rsidRDefault="002742DB" w:rsidP="00AD3312">
      <w:pPr>
        <w:rPr>
          <w:rFonts w:ascii="Times New Roman" w:hAnsi="Times New Roman" w:cs="Times New Roman"/>
          <w:sz w:val="24"/>
          <w:szCs w:val="24"/>
        </w:rPr>
      </w:pPr>
    </w:p>
    <w:p w14:paraId="167768EC" w14:textId="5505DF53" w:rsidR="002742DB" w:rsidRDefault="002742DB" w:rsidP="002742DB">
      <w:pPr>
        <w:rPr>
          <w:rFonts w:ascii="Times New Roman" w:hAnsi="Times New Roman" w:cs="Times New Roman"/>
          <w:sz w:val="24"/>
          <w:szCs w:val="24"/>
        </w:rPr>
      </w:pPr>
      <w:r>
        <w:rPr>
          <w:rFonts w:ascii="Times New Roman" w:hAnsi="Times New Roman" w:cs="Times New Roman"/>
          <w:sz w:val="24"/>
          <w:szCs w:val="24"/>
        </w:rPr>
        <w:t>Take no action, thereby allowing the tariff filing made by Puget Sound Energy in Docket U</w:t>
      </w:r>
      <w:r w:rsidR="00694070">
        <w:rPr>
          <w:rFonts w:ascii="Times New Roman" w:hAnsi="Times New Roman" w:cs="Times New Roman"/>
          <w:sz w:val="24"/>
          <w:szCs w:val="24"/>
        </w:rPr>
        <w:t>G</w:t>
      </w:r>
      <w:r>
        <w:rPr>
          <w:rFonts w:ascii="Times New Roman" w:hAnsi="Times New Roman" w:cs="Times New Roman"/>
          <w:sz w:val="24"/>
          <w:szCs w:val="24"/>
        </w:rPr>
        <w:t>-1</w:t>
      </w:r>
      <w:r w:rsidR="00B72AB0">
        <w:rPr>
          <w:rFonts w:ascii="Times New Roman" w:hAnsi="Times New Roman" w:cs="Times New Roman"/>
          <w:sz w:val="24"/>
          <w:szCs w:val="24"/>
        </w:rPr>
        <w:t>40331</w:t>
      </w:r>
      <w:r>
        <w:rPr>
          <w:rFonts w:ascii="Times New Roman" w:hAnsi="Times New Roman" w:cs="Times New Roman"/>
          <w:sz w:val="24"/>
          <w:szCs w:val="24"/>
        </w:rPr>
        <w:t xml:space="preserve"> to</w:t>
      </w:r>
      <w:r w:rsidR="00B72AB0">
        <w:rPr>
          <w:rFonts w:ascii="Times New Roman" w:hAnsi="Times New Roman" w:cs="Times New Roman"/>
          <w:sz w:val="24"/>
          <w:szCs w:val="24"/>
        </w:rPr>
        <w:t xml:space="preserve"> become effective on May 1, 2014</w:t>
      </w:r>
      <w:r>
        <w:rPr>
          <w:rFonts w:ascii="Times New Roman" w:hAnsi="Times New Roman" w:cs="Times New Roman"/>
          <w:sz w:val="24"/>
          <w:szCs w:val="24"/>
        </w:rPr>
        <w:t xml:space="preserve">, by operation of law. </w:t>
      </w:r>
    </w:p>
    <w:p w14:paraId="167768ED" w14:textId="77777777" w:rsidR="002742DB" w:rsidRPr="002742DB" w:rsidRDefault="002742DB" w:rsidP="00AD3312">
      <w:pPr>
        <w:rPr>
          <w:rFonts w:ascii="Times New Roman" w:hAnsi="Times New Roman" w:cs="Times New Roman"/>
          <w:sz w:val="24"/>
          <w:szCs w:val="24"/>
        </w:rPr>
      </w:pPr>
    </w:p>
    <w:sectPr w:rsidR="002742DB" w:rsidRPr="002742DB" w:rsidSect="00EF1E9D">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27049" w14:textId="77777777" w:rsidR="00F93FB1" w:rsidRDefault="00F93FB1" w:rsidP="00FA36E1">
      <w:r>
        <w:separator/>
      </w:r>
    </w:p>
  </w:endnote>
  <w:endnote w:type="continuationSeparator" w:id="0">
    <w:p w14:paraId="32AC3287" w14:textId="77777777" w:rsidR="00F93FB1" w:rsidRDefault="00F93FB1" w:rsidP="00FA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F50E4" w14:textId="77777777" w:rsidR="00F93FB1" w:rsidRDefault="00F93FB1" w:rsidP="00FA36E1">
      <w:r>
        <w:separator/>
      </w:r>
    </w:p>
  </w:footnote>
  <w:footnote w:type="continuationSeparator" w:id="0">
    <w:p w14:paraId="39C0B9D2" w14:textId="77777777" w:rsidR="00F93FB1" w:rsidRDefault="00F93FB1" w:rsidP="00FA36E1">
      <w:r>
        <w:continuationSeparator/>
      </w:r>
    </w:p>
  </w:footnote>
  <w:footnote w:id="1">
    <w:p w14:paraId="167768FB" w14:textId="77777777" w:rsidR="00F200B3" w:rsidRPr="002C745F" w:rsidRDefault="00F200B3" w:rsidP="00694070">
      <w:pPr>
        <w:pStyle w:val="FootnoteText"/>
        <w:rPr>
          <w:rFonts w:ascii="Times New Roman" w:hAnsi="Times New Roman" w:cs="Times New Roman"/>
        </w:rPr>
      </w:pPr>
      <w:r w:rsidRPr="002C745F">
        <w:rPr>
          <w:rStyle w:val="FootnoteReference"/>
          <w:rFonts w:ascii="Times New Roman" w:hAnsi="Times New Roman" w:cs="Times New Roman"/>
        </w:rPr>
        <w:footnoteRef/>
      </w:r>
      <w:r w:rsidRPr="002C745F">
        <w:rPr>
          <w:rFonts w:ascii="Times New Roman" w:hAnsi="Times New Roman" w:cs="Times New Roman"/>
        </w:rPr>
        <w:t xml:space="preserve"> Commercial Service rate shown in table equals an average of schedules.</w:t>
      </w:r>
    </w:p>
  </w:footnote>
  <w:footnote w:id="2">
    <w:p w14:paraId="167768FC" w14:textId="77777777" w:rsidR="00F200B3" w:rsidRPr="002C745F" w:rsidRDefault="00F200B3" w:rsidP="00AF73D9">
      <w:pPr>
        <w:pStyle w:val="FootnoteText"/>
        <w:rPr>
          <w:rFonts w:ascii="Times New Roman" w:hAnsi="Times New Roman" w:cs="Times New Roman"/>
        </w:rPr>
      </w:pPr>
      <w:r w:rsidRPr="002C745F">
        <w:rPr>
          <w:rStyle w:val="FootnoteReference"/>
          <w:rFonts w:ascii="Times New Roman" w:hAnsi="Times New Roman" w:cs="Times New Roman"/>
        </w:rPr>
        <w:footnoteRef/>
      </w:r>
      <w:r w:rsidRPr="002C745F">
        <w:rPr>
          <w:rFonts w:ascii="Times New Roman" w:hAnsi="Times New Roman" w:cs="Times New Roman"/>
        </w:rPr>
        <w:t xml:space="preserve"> Primary Service rate shown in table equals an average of schedules.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768F2" w14:textId="50006B51" w:rsidR="00F200B3" w:rsidRPr="00EF1E9D" w:rsidRDefault="00F200B3">
    <w:pPr>
      <w:pStyle w:val="Header"/>
      <w:rPr>
        <w:rFonts w:ascii="Times New Roman" w:hAnsi="Times New Roman" w:cs="Times New Roman"/>
        <w:b/>
        <w:sz w:val="20"/>
        <w:szCs w:val="20"/>
      </w:rPr>
    </w:pPr>
    <w:r w:rsidRPr="00EF1E9D">
      <w:rPr>
        <w:rFonts w:ascii="Times New Roman" w:hAnsi="Times New Roman" w:cs="Times New Roman"/>
        <w:b/>
        <w:sz w:val="20"/>
        <w:szCs w:val="20"/>
      </w:rPr>
      <w:t>Docket U</w:t>
    </w:r>
    <w:r>
      <w:rPr>
        <w:rFonts w:ascii="Times New Roman" w:hAnsi="Times New Roman" w:cs="Times New Roman"/>
        <w:b/>
        <w:sz w:val="20"/>
        <w:szCs w:val="20"/>
      </w:rPr>
      <w:t>G</w:t>
    </w:r>
    <w:r w:rsidRPr="00EF1E9D">
      <w:rPr>
        <w:rFonts w:ascii="Times New Roman" w:hAnsi="Times New Roman" w:cs="Times New Roman"/>
        <w:b/>
        <w:sz w:val="20"/>
        <w:szCs w:val="20"/>
      </w:rPr>
      <w:t>-1</w:t>
    </w:r>
    <w:r w:rsidR="00B42FCF">
      <w:rPr>
        <w:rFonts w:ascii="Times New Roman" w:hAnsi="Times New Roman" w:cs="Times New Roman"/>
        <w:b/>
        <w:sz w:val="20"/>
        <w:szCs w:val="20"/>
      </w:rPr>
      <w:t>40331</w:t>
    </w:r>
  </w:p>
  <w:p w14:paraId="167768F3" w14:textId="5ADF9644" w:rsidR="00F200B3" w:rsidRPr="00EF1E9D" w:rsidRDefault="00B42FCF">
    <w:pPr>
      <w:pStyle w:val="Header"/>
      <w:rPr>
        <w:rFonts w:ascii="Times New Roman" w:hAnsi="Times New Roman" w:cs="Times New Roman"/>
        <w:b/>
        <w:sz w:val="20"/>
        <w:szCs w:val="20"/>
      </w:rPr>
    </w:pPr>
    <w:r>
      <w:rPr>
        <w:rFonts w:ascii="Times New Roman" w:hAnsi="Times New Roman" w:cs="Times New Roman"/>
        <w:b/>
        <w:sz w:val="20"/>
        <w:szCs w:val="20"/>
      </w:rPr>
      <w:t>April 24, 2014</w:t>
    </w:r>
  </w:p>
  <w:p w14:paraId="167768F4" w14:textId="77777777" w:rsidR="00F200B3" w:rsidRPr="00EF1E9D" w:rsidRDefault="00F200B3">
    <w:pPr>
      <w:pStyle w:val="Header"/>
      <w:rPr>
        <w:rFonts w:ascii="Times New Roman" w:hAnsi="Times New Roman" w:cs="Times New Roman"/>
        <w:b/>
        <w:sz w:val="20"/>
        <w:szCs w:val="20"/>
      </w:rPr>
    </w:pPr>
    <w:r w:rsidRPr="00EF1E9D">
      <w:rPr>
        <w:rFonts w:ascii="Times New Roman" w:hAnsi="Times New Roman" w:cs="Times New Roman"/>
        <w:b/>
        <w:sz w:val="20"/>
        <w:szCs w:val="20"/>
      </w:rPr>
      <w:t xml:space="preserve">Page </w:t>
    </w:r>
    <w:r w:rsidRPr="00EF1E9D">
      <w:rPr>
        <w:rFonts w:ascii="Times New Roman" w:hAnsi="Times New Roman" w:cs="Times New Roman"/>
        <w:b/>
        <w:sz w:val="20"/>
        <w:szCs w:val="20"/>
      </w:rPr>
      <w:fldChar w:fldCharType="begin"/>
    </w:r>
    <w:r w:rsidRPr="00EF1E9D">
      <w:rPr>
        <w:rFonts w:ascii="Times New Roman" w:hAnsi="Times New Roman" w:cs="Times New Roman"/>
        <w:b/>
        <w:sz w:val="20"/>
        <w:szCs w:val="20"/>
      </w:rPr>
      <w:instrText xml:space="preserve"> PAGE   \* MERGEFORMAT </w:instrText>
    </w:r>
    <w:r w:rsidRPr="00EF1E9D">
      <w:rPr>
        <w:rFonts w:ascii="Times New Roman" w:hAnsi="Times New Roman" w:cs="Times New Roman"/>
        <w:b/>
        <w:sz w:val="20"/>
        <w:szCs w:val="20"/>
      </w:rPr>
      <w:fldChar w:fldCharType="separate"/>
    </w:r>
    <w:r w:rsidR="00B331A2">
      <w:rPr>
        <w:rFonts w:ascii="Times New Roman" w:hAnsi="Times New Roman" w:cs="Times New Roman"/>
        <w:b/>
        <w:noProof/>
        <w:sz w:val="20"/>
        <w:szCs w:val="20"/>
      </w:rPr>
      <w:t>3</w:t>
    </w:r>
    <w:r w:rsidRPr="00EF1E9D">
      <w:rPr>
        <w:rFonts w:ascii="Times New Roman" w:hAnsi="Times New Roman" w:cs="Times New Roman"/>
        <w:b/>
        <w:noProof/>
        <w:sz w:val="20"/>
        <w:szCs w:val="20"/>
      </w:rPr>
      <w:fldChar w:fldCharType="end"/>
    </w:r>
  </w:p>
  <w:p w14:paraId="167768F5" w14:textId="77777777" w:rsidR="00F200B3" w:rsidRDefault="00F20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37BC9"/>
    <w:multiLevelType w:val="hybridMultilevel"/>
    <w:tmpl w:val="5802B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781D93"/>
    <w:multiLevelType w:val="hybridMultilevel"/>
    <w:tmpl w:val="B23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B69AA"/>
    <w:multiLevelType w:val="hybridMultilevel"/>
    <w:tmpl w:val="FD60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7007CD"/>
    <w:multiLevelType w:val="hybridMultilevel"/>
    <w:tmpl w:val="0DB8B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DB"/>
    <w:rsid w:val="00011C0D"/>
    <w:rsid w:val="000A4E67"/>
    <w:rsid w:val="000C39BF"/>
    <w:rsid w:val="000E640C"/>
    <w:rsid w:val="00101468"/>
    <w:rsid w:val="001040DD"/>
    <w:rsid w:val="00124CBA"/>
    <w:rsid w:val="001B060A"/>
    <w:rsid w:val="001C5AB1"/>
    <w:rsid w:val="001E1D7A"/>
    <w:rsid w:val="00224C58"/>
    <w:rsid w:val="002742DB"/>
    <w:rsid w:val="00290CEA"/>
    <w:rsid w:val="002C039A"/>
    <w:rsid w:val="002C745F"/>
    <w:rsid w:val="002D3F71"/>
    <w:rsid w:val="002F7131"/>
    <w:rsid w:val="0032434F"/>
    <w:rsid w:val="00355855"/>
    <w:rsid w:val="00380195"/>
    <w:rsid w:val="00384C35"/>
    <w:rsid w:val="003F1D88"/>
    <w:rsid w:val="00417EE0"/>
    <w:rsid w:val="00424180"/>
    <w:rsid w:val="004855C1"/>
    <w:rsid w:val="004D2A6E"/>
    <w:rsid w:val="00516143"/>
    <w:rsid w:val="00534B8E"/>
    <w:rsid w:val="00541422"/>
    <w:rsid w:val="00552600"/>
    <w:rsid w:val="00552F53"/>
    <w:rsid w:val="00572D04"/>
    <w:rsid w:val="005A6C74"/>
    <w:rsid w:val="005B1A9C"/>
    <w:rsid w:val="00672F7B"/>
    <w:rsid w:val="00673DB4"/>
    <w:rsid w:val="00694070"/>
    <w:rsid w:val="006A41EE"/>
    <w:rsid w:val="006C046E"/>
    <w:rsid w:val="006C2F07"/>
    <w:rsid w:val="006E5F64"/>
    <w:rsid w:val="0070661D"/>
    <w:rsid w:val="00730E84"/>
    <w:rsid w:val="007677DC"/>
    <w:rsid w:val="00777FC7"/>
    <w:rsid w:val="007970F7"/>
    <w:rsid w:val="007B11D7"/>
    <w:rsid w:val="007B79D2"/>
    <w:rsid w:val="007F4D09"/>
    <w:rsid w:val="008204ED"/>
    <w:rsid w:val="00887DB1"/>
    <w:rsid w:val="008970AE"/>
    <w:rsid w:val="008B4419"/>
    <w:rsid w:val="008D3D35"/>
    <w:rsid w:val="00906E43"/>
    <w:rsid w:val="009D3B77"/>
    <w:rsid w:val="009E7145"/>
    <w:rsid w:val="00A7638C"/>
    <w:rsid w:val="00A849CA"/>
    <w:rsid w:val="00A84C2A"/>
    <w:rsid w:val="00A91411"/>
    <w:rsid w:val="00AB575F"/>
    <w:rsid w:val="00AD3312"/>
    <w:rsid w:val="00AE273E"/>
    <w:rsid w:val="00AF73D9"/>
    <w:rsid w:val="00B13041"/>
    <w:rsid w:val="00B331A2"/>
    <w:rsid w:val="00B42FCF"/>
    <w:rsid w:val="00B62B46"/>
    <w:rsid w:val="00B72AB0"/>
    <w:rsid w:val="00BE6CDB"/>
    <w:rsid w:val="00C13C57"/>
    <w:rsid w:val="00C610AB"/>
    <w:rsid w:val="00C6547D"/>
    <w:rsid w:val="00C80765"/>
    <w:rsid w:val="00CA54D7"/>
    <w:rsid w:val="00CC15FD"/>
    <w:rsid w:val="00CC2425"/>
    <w:rsid w:val="00CC3601"/>
    <w:rsid w:val="00CD642A"/>
    <w:rsid w:val="00CF1B41"/>
    <w:rsid w:val="00D12175"/>
    <w:rsid w:val="00D25C8A"/>
    <w:rsid w:val="00D40F17"/>
    <w:rsid w:val="00D65BE0"/>
    <w:rsid w:val="00D87EC4"/>
    <w:rsid w:val="00DA1B86"/>
    <w:rsid w:val="00DD2A47"/>
    <w:rsid w:val="00DE522B"/>
    <w:rsid w:val="00E350A3"/>
    <w:rsid w:val="00E35417"/>
    <w:rsid w:val="00EB58DA"/>
    <w:rsid w:val="00EE0F40"/>
    <w:rsid w:val="00EE5490"/>
    <w:rsid w:val="00EF1E9D"/>
    <w:rsid w:val="00EF6786"/>
    <w:rsid w:val="00F10193"/>
    <w:rsid w:val="00F200B3"/>
    <w:rsid w:val="00F21B68"/>
    <w:rsid w:val="00F5331B"/>
    <w:rsid w:val="00F72417"/>
    <w:rsid w:val="00F90251"/>
    <w:rsid w:val="00F93FB1"/>
    <w:rsid w:val="00FA36E1"/>
    <w:rsid w:val="00FD67E7"/>
    <w:rsid w:val="00FF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2742DB"/>
    <w:rPr>
      <w:color w:val="0000FF"/>
      <w:u w:val="single"/>
    </w:rPr>
  </w:style>
  <w:style w:type="paragraph" w:styleId="PlainText">
    <w:name w:val="Plain Text"/>
    <w:basedOn w:val="Normal"/>
    <w:link w:val="PlainTextChar"/>
    <w:uiPriority w:val="99"/>
    <w:unhideWhenUsed/>
    <w:rsid w:val="002742DB"/>
    <w:rPr>
      <w:rFonts w:ascii="Calibri" w:eastAsia="Calibri" w:hAnsi="Calibri" w:cs="Times New Roman"/>
      <w:szCs w:val="21"/>
    </w:rPr>
  </w:style>
  <w:style w:type="character" w:customStyle="1" w:styleId="PlainTextChar">
    <w:name w:val="Plain Text Char"/>
    <w:basedOn w:val="DefaultParagraphFont"/>
    <w:link w:val="PlainText"/>
    <w:uiPriority w:val="99"/>
    <w:rsid w:val="002742DB"/>
    <w:rPr>
      <w:rFonts w:ascii="Calibri" w:eastAsia="Calibri" w:hAnsi="Calibri" w:cs="Times New Roman"/>
      <w:szCs w:val="21"/>
    </w:rPr>
  </w:style>
  <w:style w:type="paragraph" w:styleId="ListParagraph">
    <w:name w:val="List Paragraph"/>
    <w:basedOn w:val="Normal"/>
    <w:uiPriority w:val="34"/>
    <w:qFormat/>
    <w:rsid w:val="002742DB"/>
    <w:pPr>
      <w:ind w:left="720"/>
      <w:contextualSpacing/>
    </w:pPr>
  </w:style>
  <w:style w:type="paragraph" w:styleId="FootnoteText">
    <w:name w:val="footnote text"/>
    <w:basedOn w:val="Normal"/>
    <w:link w:val="FootnoteTextChar"/>
    <w:unhideWhenUsed/>
    <w:rsid w:val="00FA36E1"/>
    <w:rPr>
      <w:sz w:val="20"/>
      <w:szCs w:val="20"/>
    </w:rPr>
  </w:style>
  <w:style w:type="character" w:customStyle="1" w:styleId="FootnoteTextChar">
    <w:name w:val="Footnote Text Char"/>
    <w:basedOn w:val="DefaultParagraphFont"/>
    <w:link w:val="FootnoteText"/>
    <w:rsid w:val="00FA36E1"/>
    <w:rPr>
      <w:sz w:val="20"/>
      <w:szCs w:val="20"/>
    </w:rPr>
  </w:style>
  <w:style w:type="character" w:styleId="FootnoteReference">
    <w:name w:val="footnote reference"/>
    <w:basedOn w:val="DefaultParagraphFont"/>
    <w:unhideWhenUsed/>
    <w:rsid w:val="00FA36E1"/>
    <w:rPr>
      <w:vertAlign w:val="superscript"/>
    </w:rPr>
  </w:style>
  <w:style w:type="table" w:styleId="TableGrid">
    <w:name w:val="Table Grid"/>
    <w:basedOn w:val="TableNormal"/>
    <w:uiPriority w:val="59"/>
    <w:rsid w:val="007B1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7FC7"/>
    <w:pPr>
      <w:tabs>
        <w:tab w:val="center" w:pos="4680"/>
        <w:tab w:val="right" w:pos="9360"/>
      </w:tabs>
    </w:pPr>
  </w:style>
  <w:style w:type="character" w:customStyle="1" w:styleId="HeaderChar">
    <w:name w:val="Header Char"/>
    <w:basedOn w:val="DefaultParagraphFont"/>
    <w:link w:val="Header"/>
    <w:uiPriority w:val="99"/>
    <w:rsid w:val="00777FC7"/>
  </w:style>
  <w:style w:type="paragraph" w:styleId="Footer">
    <w:name w:val="footer"/>
    <w:basedOn w:val="Normal"/>
    <w:link w:val="FooterChar"/>
    <w:uiPriority w:val="99"/>
    <w:unhideWhenUsed/>
    <w:rsid w:val="00777FC7"/>
    <w:pPr>
      <w:tabs>
        <w:tab w:val="center" w:pos="4680"/>
        <w:tab w:val="right" w:pos="9360"/>
      </w:tabs>
    </w:pPr>
  </w:style>
  <w:style w:type="character" w:customStyle="1" w:styleId="FooterChar">
    <w:name w:val="Footer Char"/>
    <w:basedOn w:val="DefaultParagraphFont"/>
    <w:link w:val="Footer"/>
    <w:uiPriority w:val="99"/>
    <w:rsid w:val="00777FC7"/>
  </w:style>
  <w:style w:type="paragraph" w:styleId="BalloonText">
    <w:name w:val="Balloon Text"/>
    <w:basedOn w:val="Normal"/>
    <w:link w:val="BalloonTextChar"/>
    <w:uiPriority w:val="99"/>
    <w:semiHidden/>
    <w:unhideWhenUsed/>
    <w:rsid w:val="00EF1E9D"/>
    <w:rPr>
      <w:rFonts w:ascii="Tahoma" w:hAnsi="Tahoma" w:cs="Tahoma"/>
      <w:sz w:val="16"/>
      <w:szCs w:val="16"/>
    </w:rPr>
  </w:style>
  <w:style w:type="character" w:customStyle="1" w:styleId="BalloonTextChar">
    <w:name w:val="Balloon Text Char"/>
    <w:basedOn w:val="DefaultParagraphFont"/>
    <w:link w:val="BalloonText"/>
    <w:uiPriority w:val="99"/>
    <w:semiHidden/>
    <w:rsid w:val="00EF1E9D"/>
    <w:rPr>
      <w:rFonts w:ascii="Tahoma" w:hAnsi="Tahoma" w:cs="Tahoma"/>
      <w:sz w:val="16"/>
      <w:szCs w:val="16"/>
    </w:rPr>
  </w:style>
  <w:style w:type="character" w:styleId="CommentReference">
    <w:name w:val="annotation reference"/>
    <w:basedOn w:val="DefaultParagraphFont"/>
    <w:uiPriority w:val="99"/>
    <w:semiHidden/>
    <w:unhideWhenUsed/>
    <w:rsid w:val="00CC2425"/>
    <w:rPr>
      <w:sz w:val="16"/>
      <w:szCs w:val="16"/>
    </w:rPr>
  </w:style>
  <w:style w:type="paragraph" w:styleId="CommentText">
    <w:name w:val="annotation text"/>
    <w:basedOn w:val="Normal"/>
    <w:link w:val="CommentTextChar"/>
    <w:uiPriority w:val="99"/>
    <w:semiHidden/>
    <w:unhideWhenUsed/>
    <w:rsid w:val="00CC2425"/>
    <w:rPr>
      <w:sz w:val="20"/>
      <w:szCs w:val="20"/>
    </w:rPr>
  </w:style>
  <w:style w:type="character" w:customStyle="1" w:styleId="CommentTextChar">
    <w:name w:val="Comment Text Char"/>
    <w:basedOn w:val="DefaultParagraphFont"/>
    <w:link w:val="CommentText"/>
    <w:uiPriority w:val="99"/>
    <w:semiHidden/>
    <w:rsid w:val="00CC2425"/>
    <w:rPr>
      <w:sz w:val="20"/>
      <w:szCs w:val="20"/>
    </w:rPr>
  </w:style>
  <w:style w:type="paragraph" w:styleId="CommentSubject">
    <w:name w:val="annotation subject"/>
    <w:basedOn w:val="CommentText"/>
    <w:next w:val="CommentText"/>
    <w:link w:val="CommentSubjectChar"/>
    <w:uiPriority w:val="99"/>
    <w:semiHidden/>
    <w:unhideWhenUsed/>
    <w:rsid w:val="00CC2425"/>
    <w:rPr>
      <w:b/>
      <w:bCs/>
    </w:rPr>
  </w:style>
  <w:style w:type="character" w:customStyle="1" w:styleId="CommentSubjectChar">
    <w:name w:val="Comment Subject Char"/>
    <w:basedOn w:val="CommentTextChar"/>
    <w:link w:val="CommentSubject"/>
    <w:uiPriority w:val="99"/>
    <w:semiHidden/>
    <w:rsid w:val="00CC24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2742DB"/>
    <w:rPr>
      <w:color w:val="0000FF"/>
      <w:u w:val="single"/>
    </w:rPr>
  </w:style>
  <w:style w:type="paragraph" w:styleId="PlainText">
    <w:name w:val="Plain Text"/>
    <w:basedOn w:val="Normal"/>
    <w:link w:val="PlainTextChar"/>
    <w:uiPriority w:val="99"/>
    <w:unhideWhenUsed/>
    <w:rsid w:val="002742DB"/>
    <w:rPr>
      <w:rFonts w:ascii="Calibri" w:eastAsia="Calibri" w:hAnsi="Calibri" w:cs="Times New Roman"/>
      <w:szCs w:val="21"/>
    </w:rPr>
  </w:style>
  <w:style w:type="character" w:customStyle="1" w:styleId="PlainTextChar">
    <w:name w:val="Plain Text Char"/>
    <w:basedOn w:val="DefaultParagraphFont"/>
    <w:link w:val="PlainText"/>
    <w:uiPriority w:val="99"/>
    <w:rsid w:val="002742DB"/>
    <w:rPr>
      <w:rFonts w:ascii="Calibri" w:eastAsia="Calibri" w:hAnsi="Calibri" w:cs="Times New Roman"/>
      <w:szCs w:val="21"/>
    </w:rPr>
  </w:style>
  <w:style w:type="paragraph" w:styleId="ListParagraph">
    <w:name w:val="List Paragraph"/>
    <w:basedOn w:val="Normal"/>
    <w:uiPriority w:val="34"/>
    <w:qFormat/>
    <w:rsid w:val="002742DB"/>
    <w:pPr>
      <w:ind w:left="720"/>
      <w:contextualSpacing/>
    </w:pPr>
  </w:style>
  <w:style w:type="paragraph" w:styleId="FootnoteText">
    <w:name w:val="footnote text"/>
    <w:basedOn w:val="Normal"/>
    <w:link w:val="FootnoteTextChar"/>
    <w:unhideWhenUsed/>
    <w:rsid w:val="00FA36E1"/>
    <w:rPr>
      <w:sz w:val="20"/>
      <w:szCs w:val="20"/>
    </w:rPr>
  </w:style>
  <w:style w:type="character" w:customStyle="1" w:styleId="FootnoteTextChar">
    <w:name w:val="Footnote Text Char"/>
    <w:basedOn w:val="DefaultParagraphFont"/>
    <w:link w:val="FootnoteText"/>
    <w:rsid w:val="00FA36E1"/>
    <w:rPr>
      <w:sz w:val="20"/>
      <w:szCs w:val="20"/>
    </w:rPr>
  </w:style>
  <w:style w:type="character" w:styleId="FootnoteReference">
    <w:name w:val="footnote reference"/>
    <w:basedOn w:val="DefaultParagraphFont"/>
    <w:unhideWhenUsed/>
    <w:rsid w:val="00FA36E1"/>
    <w:rPr>
      <w:vertAlign w:val="superscript"/>
    </w:rPr>
  </w:style>
  <w:style w:type="table" w:styleId="TableGrid">
    <w:name w:val="Table Grid"/>
    <w:basedOn w:val="TableNormal"/>
    <w:uiPriority w:val="59"/>
    <w:rsid w:val="007B1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7FC7"/>
    <w:pPr>
      <w:tabs>
        <w:tab w:val="center" w:pos="4680"/>
        <w:tab w:val="right" w:pos="9360"/>
      </w:tabs>
    </w:pPr>
  </w:style>
  <w:style w:type="character" w:customStyle="1" w:styleId="HeaderChar">
    <w:name w:val="Header Char"/>
    <w:basedOn w:val="DefaultParagraphFont"/>
    <w:link w:val="Header"/>
    <w:uiPriority w:val="99"/>
    <w:rsid w:val="00777FC7"/>
  </w:style>
  <w:style w:type="paragraph" w:styleId="Footer">
    <w:name w:val="footer"/>
    <w:basedOn w:val="Normal"/>
    <w:link w:val="FooterChar"/>
    <w:uiPriority w:val="99"/>
    <w:unhideWhenUsed/>
    <w:rsid w:val="00777FC7"/>
    <w:pPr>
      <w:tabs>
        <w:tab w:val="center" w:pos="4680"/>
        <w:tab w:val="right" w:pos="9360"/>
      </w:tabs>
    </w:pPr>
  </w:style>
  <w:style w:type="character" w:customStyle="1" w:styleId="FooterChar">
    <w:name w:val="Footer Char"/>
    <w:basedOn w:val="DefaultParagraphFont"/>
    <w:link w:val="Footer"/>
    <w:uiPriority w:val="99"/>
    <w:rsid w:val="00777FC7"/>
  </w:style>
  <w:style w:type="paragraph" w:styleId="BalloonText">
    <w:name w:val="Balloon Text"/>
    <w:basedOn w:val="Normal"/>
    <w:link w:val="BalloonTextChar"/>
    <w:uiPriority w:val="99"/>
    <w:semiHidden/>
    <w:unhideWhenUsed/>
    <w:rsid w:val="00EF1E9D"/>
    <w:rPr>
      <w:rFonts w:ascii="Tahoma" w:hAnsi="Tahoma" w:cs="Tahoma"/>
      <w:sz w:val="16"/>
      <w:szCs w:val="16"/>
    </w:rPr>
  </w:style>
  <w:style w:type="character" w:customStyle="1" w:styleId="BalloonTextChar">
    <w:name w:val="Balloon Text Char"/>
    <w:basedOn w:val="DefaultParagraphFont"/>
    <w:link w:val="BalloonText"/>
    <w:uiPriority w:val="99"/>
    <w:semiHidden/>
    <w:rsid w:val="00EF1E9D"/>
    <w:rPr>
      <w:rFonts w:ascii="Tahoma" w:hAnsi="Tahoma" w:cs="Tahoma"/>
      <w:sz w:val="16"/>
      <w:szCs w:val="16"/>
    </w:rPr>
  </w:style>
  <w:style w:type="character" w:styleId="CommentReference">
    <w:name w:val="annotation reference"/>
    <w:basedOn w:val="DefaultParagraphFont"/>
    <w:uiPriority w:val="99"/>
    <w:semiHidden/>
    <w:unhideWhenUsed/>
    <w:rsid w:val="00CC2425"/>
    <w:rPr>
      <w:sz w:val="16"/>
      <w:szCs w:val="16"/>
    </w:rPr>
  </w:style>
  <w:style w:type="paragraph" w:styleId="CommentText">
    <w:name w:val="annotation text"/>
    <w:basedOn w:val="Normal"/>
    <w:link w:val="CommentTextChar"/>
    <w:uiPriority w:val="99"/>
    <w:semiHidden/>
    <w:unhideWhenUsed/>
    <w:rsid w:val="00CC2425"/>
    <w:rPr>
      <w:sz w:val="20"/>
      <w:szCs w:val="20"/>
    </w:rPr>
  </w:style>
  <w:style w:type="character" w:customStyle="1" w:styleId="CommentTextChar">
    <w:name w:val="Comment Text Char"/>
    <w:basedOn w:val="DefaultParagraphFont"/>
    <w:link w:val="CommentText"/>
    <w:uiPriority w:val="99"/>
    <w:semiHidden/>
    <w:rsid w:val="00CC2425"/>
    <w:rPr>
      <w:sz w:val="20"/>
      <w:szCs w:val="20"/>
    </w:rPr>
  </w:style>
  <w:style w:type="paragraph" w:styleId="CommentSubject">
    <w:name w:val="annotation subject"/>
    <w:basedOn w:val="CommentText"/>
    <w:next w:val="CommentText"/>
    <w:link w:val="CommentSubjectChar"/>
    <w:uiPriority w:val="99"/>
    <w:semiHidden/>
    <w:unhideWhenUsed/>
    <w:rsid w:val="00CC2425"/>
    <w:rPr>
      <w:b/>
      <w:bCs/>
    </w:rPr>
  </w:style>
  <w:style w:type="character" w:customStyle="1" w:styleId="CommentSubjectChar">
    <w:name w:val="Comment Subject Char"/>
    <w:basedOn w:val="CommentTextChar"/>
    <w:link w:val="CommentSubject"/>
    <w:uiPriority w:val="99"/>
    <w:semiHidden/>
    <w:rsid w:val="00CC2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4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DDFA88EE812B4B9522B494FF163152" ma:contentTypeVersion="175" ma:contentTypeDescription="" ma:contentTypeScope="" ma:versionID="fdb289302fe6d6808249dbc0e95fa7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2014-02-28T08:00:00+00:00</OpenedDate>
    <Date1 xmlns="dc463f71-b30c-4ab2-9473-d307f9d35888">2014-04-24T07:00:00+00:00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140331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BC3B-FB17-4809-8901-85EE4D11D7DC}"/>
</file>

<file path=customXml/itemProps2.xml><?xml version="1.0" encoding="utf-8"?>
<ds:datastoreItem xmlns:ds="http://schemas.openxmlformats.org/officeDocument/2006/customXml" ds:itemID="{2BCD364E-FCDB-4079-8601-1BE96B6794F3}"/>
</file>

<file path=customXml/itemProps3.xml><?xml version="1.0" encoding="utf-8"?>
<ds:datastoreItem xmlns:ds="http://schemas.openxmlformats.org/officeDocument/2006/customXml" ds:itemID="{4CAD7D80-8DC9-40A9-AF4F-22F75D8C5099}"/>
</file>

<file path=customXml/itemProps4.xml><?xml version="1.0" encoding="utf-8"?>
<ds:datastoreItem xmlns:ds="http://schemas.openxmlformats.org/officeDocument/2006/customXml" ds:itemID="{B9173D25-D2BF-494F-9DFB-61B1D4DE98B1}"/>
</file>

<file path=customXml/itemProps5.xml><?xml version="1.0" encoding="utf-8"?>
<ds:datastoreItem xmlns:ds="http://schemas.openxmlformats.org/officeDocument/2006/customXml" ds:itemID="{4F225F2C-E38D-42F4-8F0D-47E3460D6F8A}"/>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UG-140331 Memo</vt:lpstr>
    </vt:vector>
  </TitlesOfParts>
  <Company>Washington Utilities and Transportation Commission</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UG-140331 Memo</dc:title>
  <dc:creator>Juliana Williams</dc:creator>
  <cp:lastModifiedBy>Lisa Wyse</cp:lastModifiedBy>
  <cp:revision>2</cp:revision>
  <dcterms:created xsi:type="dcterms:W3CDTF">2014-04-21T23:59:00Z</dcterms:created>
  <dcterms:modified xsi:type="dcterms:W3CDTF">2014-04-21T23:59:00Z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0x0101006E56B4D1795A2E4DB2F0B01679ED314A0040DDFA88EE812B4B9522B494FF163152</vt:lpwstr>
  </property>
  <property fmtid="{D5CDD505-2E9C-101B-9397-08002B2CF9AE}" pid="3" name="_docset_NoMedatataSyncRequired">
    <vt:lpwstr>False</vt:lpwstr>
  </property>
</Properties>
</file>