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E80A4"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000FCF">
        <w:t>18</w:t>
      </w:r>
      <w:r w:rsidR="008A4054" w:rsidRPr="005440CF">
        <w:t>, 201</w:t>
      </w:r>
      <w:r w:rsidR="00000FCF">
        <w:t>3</w:t>
      </w:r>
    </w:p>
    <w:p w14:paraId="59EE80A5" w14:textId="3C4E5A26" w:rsidR="00657DEE" w:rsidRPr="005440CF" w:rsidRDefault="00657DEE" w:rsidP="00FF75F4">
      <w:r w:rsidRPr="005440CF">
        <w:t>Item Number</w:t>
      </w:r>
      <w:r w:rsidR="003F2771">
        <w:t>s</w:t>
      </w:r>
      <w:r w:rsidRPr="005440CF">
        <w:t>:</w:t>
      </w:r>
      <w:r w:rsidRPr="005440CF">
        <w:tab/>
      </w:r>
      <w:r w:rsidR="00163505">
        <w:t>D</w:t>
      </w:r>
      <w:r w:rsidR="00DB2FF2">
        <w:t>7</w:t>
      </w:r>
      <w:r w:rsidR="009D2529">
        <w:t xml:space="preserve"> and D</w:t>
      </w:r>
      <w:r w:rsidR="00DB2FF2">
        <w:t>9</w:t>
      </w:r>
    </w:p>
    <w:p w14:paraId="59EE80A6" w14:textId="77777777" w:rsidR="00657DEE" w:rsidRPr="005440CF" w:rsidRDefault="00657DEE" w:rsidP="00FF75F4"/>
    <w:p w14:paraId="59EE80A7" w14:textId="77777777" w:rsidR="00657DEE" w:rsidRPr="00204A52"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w:t>
      </w:r>
      <w:r w:rsidR="00DB2FF2">
        <w:rPr>
          <w:b/>
        </w:rPr>
        <w:t>G</w:t>
      </w:r>
      <w:r w:rsidR="003B26AE">
        <w:rPr>
          <w:b/>
        </w:rPr>
        <w:t>-1</w:t>
      </w:r>
      <w:r w:rsidR="00000FCF">
        <w:rPr>
          <w:b/>
        </w:rPr>
        <w:t>3204</w:t>
      </w:r>
      <w:r w:rsidR="00DB2FF2">
        <w:rPr>
          <w:b/>
        </w:rPr>
        <w:t>4</w:t>
      </w:r>
      <w:r w:rsidR="003B26AE">
        <w:rPr>
          <w:b/>
        </w:rPr>
        <w:t xml:space="preserve"> and </w:t>
      </w:r>
      <w:r w:rsidR="00000FCF">
        <w:rPr>
          <w:b/>
        </w:rPr>
        <w:t>U</w:t>
      </w:r>
      <w:r w:rsidR="00DB2FF2">
        <w:rPr>
          <w:b/>
        </w:rPr>
        <w:t>G</w:t>
      </w:r>
      <w:r w:rsidR="00000FCF">
        <w:rPr>
          <w:b/>
        </w:rPr>
        <w:t>-13203</w:t>
      </w:r>
      <w:r w:rsidR="00DB2FF2">
        <w:rPr>
          <w:b/>
        </w:rPr>
        <w:t>3</w:t>
      </w:r>
    </w:p>
    <w:p w14:paraId="59EE80A8" w14:textId="77777777" w:rsidR="00040CE3" w:rsidRDefault="00040CE3" w:rsidP="00FF75F4"/>
    <w:p w14:paraId="59EE80A9"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59EE80AA" w14:textId="77777777" w:rsidR="00657DEE" w:rsidRPr="005440CF" w:rsidRDefault="00657DEE" w:rsidP="00FF75F4"/>
    <w:p w14:paraId="59EE80AB" w14:textId="77777777" w:rsidR="003329DB" w:rsidRDefault="00657DEE" w:rsidP="00FF75F4">
      <w:r w:rsidRPr="005440CF">
        <w:t>Staff:</w:t>
      </w:r>
      <w:r w:rsidRPr="005440CF">
        <w:tab/>
      </w:r>
      <w:r w:rsidRPr="005440CF">
        <w:tab/>
      </w:r>
      <w:r w:rsidRPr="005440CF">
        <w:tab/>
      </w:r>
      <w:r w:rsidR="00000FCF">
        <w:t>Juliana Williams, Regulatory Analyst</w:t>
      </w:r>
    </w:p>
    <w:p w14:paraId="59EE80AC" w14:textId="77777777" w:rsidR="001923BA" w:rsidRPr="005440CF" w:rsidRDefault="003B26AE" w:rsidP="00FF75F4">
      <w:r>
        <w:tab/>
      </w:r>
      <w:r>
        <w:tab/>
      </w:r>
      <w:r>
        <w:tab/>
      </w:r>
      <w:r w:rsidR="00D75C47">
        <w:tab/>
      </w:r>
      <w:r w:rsidR="00D75C47">
        <w:tab/>
      </w:r>
    </w:p>
    <w:p w14:paraId="59EE80AD" w14:textId="77777777" w:rsidR="009363BA" w:rsidRPr="00CD74CC" w:rsidRDefault="00BF3D13" w:rsidP="00204A52">
      <w:pPr>
        <w:pStyle w:val="Heading1"/>
        <w:rPr>
          <w:u w:val="single"/>
        </w:rPr>
      </w:pPr>
      <w:r w:rsidRPr="00CD74CC">
        <w:rPr>
          <w:u w:val="single"/>
        </w:rPr>
        <w:t>Recommendation</w:t>
      </w:r>
    </w:p>
    <w:p w14:paraId="59EE80AE" w14:textId="290C1473" w:rsidR="00DB2FF2" w:rsidRDefault="00DB2FF2" w:rsidP="009652E7">
      <w:r>
        <w:t>Take no action, acknowledging Puget Sound Energy’s (PSE’s) 2014-2015 natural gas biennial conservation target of 6.94 million therms, as filed in Docket UG-132044, and allowing the tariff revision filed by PSE in Docket UG-1</w:t>
      </w:r>
      <w:r w:rsidR="005C219E">
        <w:t>32033</w:t>
      </w:r>
      <w:r>
        <w:t xml:space="preserve"> to take effect </w:t>
      </w:r>
      <w:r w:rsidR="00430358">
        <w:t xml:space="preserve">Jan. </w:t>
      </w:r>
      <w:r w:rsidR="00184410">
        <w:t>1, 2014, by operation of law.</w:t>
      </w:r>
    </w:p>
    <w:p w14:paraId="59EE80AF" w14:textId="77777777" w:rsidR="000F05C4" w:rsidRPr="00CD74CC" w:rsidRDefault="00CA5322" w:rsidP="005A60BD">
      <w:pPr>
        <w:pStyle w:val="Heading1"/>
        <w:rPr>
          <w:u w:val="single"/>
        </w:rPr>
      </w:pPr>
      <w:r>
        <w:rPr>
          <w:u w:val="single"/>
        </w:rPr>
        <w:t>Background</w:t>
      </w:r>
    </w:p>
    <w:p w14:paraId="59EE80B0" w14:textId="7BB807DB" w:rsidR="00CE51EA" w:rsidRPr="008C306D" w:rsidRDefault="00C40BED" w:rsidP="000F05C4">
      <w:r w:rsidRPr="004B4ED5">
        <w:t xml:space="preserve">On </w:t>
      </w:r>
      <w:r w:rsidR="00430358" w:rsidRPr="004B4ED5">
        <w:t>Nov</w:t>
      </w:r>
      <w:r w:rsidR="00430358">
        <w:t>.</w:t>
      </w:r>
      <w:r w:rsidR="00430358" w:rsidRPr="004B4ED5">
        <w:t xml:space="preserve"> </w:t>
      </w:r>
      <w:r w:rsidR="004B4ED5" w:rsidRPr="004B4ED5">
        <w:t>1, 2013</w:t>
      </w:r>
      <w:r w:rsidRPr="004B4ED5">
        <w:t>, PSE filed its “201</w:t>
      </w:r>
      <w:r w:rsidR="004B4ED5" w:rsidRPr="004B4ED5">
        <w:t>4</w:t>
      </w:r>
      <w:r w:rsidRPr="004B4ED5">
        <w:t>-201</w:t>
      </w:r>
      <w:r w:rsidR="004B4ED5" w:rsidRPr="004B4ED5">
        <w:t>5</w:t>
      </w:r>
      <w:r w:rsidRPr="004B4ED5">
        <w:t xml:space="preserve"> Biennial Conservation Plan”</w:t>
      </w:r>
      <w:r w:rsidR="00CB3FE8" w:rsidRPr="004B4ED5">
        <w:t xml:space="preserve"> (BCP</w:t>
      </w:r>
      <w:r w:rsidR="00CD74CC">
        <w:t xml:space="preserve"> or Plan</w:t>
      </w:r>
      <w:r w:rsidR="00CB3FE8" w:rsidRPr="004B4ED5">
        <w:t>)</w:t>
      </w:r>
      <w:r w:rsidR="00CD74CC">
        <w:t xml:space="preserve"> with the Washington Utilities and Transportation Commission (commission)</w:t>
      </w:r>
      <w:r w:rsidR="001363A7">
        <w:t xml:space="preserve"> under Docket U</w:t>
      </w:r>
      <w:r w:rsidR="00DB2FF2">
        <w:t>G</w:t>
      </w:r>
      <w:r w:rsidR="001363A7">
        <w:t>-13204</w:t>
      </w:r>
      <w:r w:rsidR="00DB2FF2">
        <w:t>4</w:t>
      </w:r>
      <w:r w:rsidR="00CD74CC">
        <w:t xml:space="preserve">, </w:t>
      </w:r>
      <w:r w:rsidR="008C306D">
        <w:t>in accordance with the requirements of</w:t>
      </w:r>
      <w:r w:rsidR="00CD74CC">
        <w:t xml:space="preserve"> </w:t>
      </w:r>
      <w:r w:rsidR="00184410">
        <w:t>the Settlement Stipulation approved by the Commission in Docket UG-011571.</w:t>
      </w:r>
      <w:r w:rsidR="008C306D">
        <w:t xml:space="preserve"> </w:t>
      </w:r>
      <w:r w:rsidR="00CD74CC">
        <w:t xml:space="preserve">The Plan </w:t>
      </w:r>
      <w:r w:rsidRPr="004B4ED5">
        <w:t>identifie</w:t>
      </w:r>
      <w:r w:rsidR="00CD74CC">
        <w:t>s</w:t>
      </w:r>
      <w:r w:rsidRPr="00CD74CC">
        <w:t xml:space="preserve"> a 201</w:t>
      </w:r>
      <w:r w:rsidR="004B4ED5" w:rsidRPr="00CD74CC">
        <w:t>4</w:t>
      </w:r>
      <w:r w:rsidRPr="00CD74CC">
        <w:t>-202</w:t>
      </w:r>
      <w:r w:rsidR="004B4ED5" w:rsidRPr="00CD74CC">
        <w:t>3</w:t>
      </w:r>
      <w:r w:rsidRPr="00CD74CC">
        <w:t xml:space="preserve"> achievable conservation potential</w:t>
      </w:r>
      <w:r w:rsidR="00CD74CC">
        <w:t xml:space="preserve"> </w:t>
      </w:r>
      <w:r w:rsidR="008C306D">
        <w:t xml:space="preserve">of </w:t>
      </w:r>
      <w:r w:rsidR="007E3A0E">
        <w:t>33</w:t>
      </w:r>
      <w:r w:rsidR="008C306D">
        <w:t xml:space="preserve"> million therms</w:t>
      </w:r>
      <w:r w:rsidRPr="00CD74CC">
        <w:t xml:space="preserve">, </w:t>
      </w:r>
      <w:r w:rsidR="00CD74CC">
        <w:t xml:space="preserve">a </w:t>
      </w:r>
      <w:r w:rsidRPr="00CD74CC">
        <w:t>201</w:t>
      </w:r>
      <w:r w:rsidR="00CD74CC">
        <w:t>4</w:t>
      </w:r>
      <w:r w:rsidRPr="00CD74CC">
        <w:t>-201</w:t>
      </w:r>
      <w:r w:rsidR="00CD74CC">
        <w:t>5</w:t>
      </w:r>
      <w:r w:rsidRPr="00CD74CC">
        <w:t xml:space="preserve"> biennial conservation </w:t>
      </w:r>
      <w:r w:rsidR="00341972">
        <w:t>target</w:t>
      </w:r>
      <w:r w:rsidR="00CD74CC">
        <w:t xml:space="preserve"> of </w:t>
      </w:r>
      <w:r w:rsidR="008C306D">
        <w:t>6.94</w:t>
      </w:r>
      <w:r w:rsidR="00CD74CC" w:rsidRPr="00CD74CC">
        <w:t xml:space="preserve"> </w:t>
      </w:r>
      <w:r w:rsidR="008C306D">
        <w:t>million therms</w:t>
      </w:r>
      <w:r w:rsidRPr="00CD74CC">
        <w:t>, and business plan to implement conservation programs to achieve th</w:t>
      </w:r>
      <w:r w:rsidR="00CD74CC">
        <w:t>at</w:t>
      </w:r>
      <w:r w:rsidRPr="00CD74CC">
        <w:t xml:space="preserve"> target.</w:t>
      </w:r>
    </w:p>
    <w:p w14:paraId="59EE80B1" w14:textId="77777777" w:rsidR="00604FFF" w:rsidRDefault="00604FFF" w:rsidP="000F05C4">
      <w:pPr>
        <w:rPr>
          <w:highlight w:val="yellow"/>
        </w:rPr>
      </w:pPr>
    </w:p>
    <w:p w14:paraId="59EE80B2" w14:textId="6F3210C8" w:rsidR="001363A7" w:rsidRPr="001363A7" w:rsidRDefault="001363A7" w:rsidP="000F05C4">
      <w:r>
        <w:t xml:space="preserve">Also on </w:t>
      </w:r>
      <w:r w:rsidR="00430358">
        <w:t xml:space="preserve">Nov. </w:t>
      </w:r>
      <w:r>
        <w:t>1, 2013, PSE filed tariff changes under Docket U</w:t>
      </w:r>
      <w:r w:rsidR="008C306D">
        <w:t>G</w:t>
      </w:r>
      <w:r>
        <w:t>-13203</w:t>
      </w:r>
      <w:r w:rsidR="008C306D">
        <w:t>3</w:t>
      </w:r>
      <w:r>
        <w:t xml:space="preserve"> to provide for continuation of PSE’s </w:t>
      </w:r>
      <w:r w:rsidR="008C306D">
        <w:t>natural gas</w:t>
      </w:r>
      <w:r>
        <w:t xml:space="preserve"> conservation programs, which are set to expire on </w:t>
      </w:r>
      <w:r w:rsidR="00430358">
        <w:t xml:space="preserve">Dec. </w:t>
      </w:r>
      <w:r>
        <w:t>31, 2013</w:t>
      </w:r>
      <w:r w:rsidR="00430358">
        <w:t xml:space="preserve">. </w:t>
      </w:r>
      <w:r>
        <w:t>The proposed changes include several programmatic updates</w:t>
      </w:r>
      <w:r w:rsidR="00430358">
        <w:t xml:space="preserve">. </w:t>
      </w:r>
      <w:r>
        <w:t>The tariff changes do not impact current rates.</w:t>
      </w:r>
    </w:p>
    <w:p w14:paraId="59EE80B3" w14:textId="77777777" w:rsidR="00604FFF" w:rsidRPr="00515633" w:rsidRDefault="00604FFF" w:rsidP="00604FFF">
      <w:pPr>
        <w:rPr>
          <w:highlight w:val="yellow"/>
        </w:rPr>
      </w:pPr>
    </w:p>
    <w:p w14:paraId="59EE80B4" w14:textId="77777777" w:rsidR="00604FFF" w:rsidRPr="001363A7" w:rsidRDefault="008C306D" w:rsidP="00604FFF">
      <w:r>
        <w:t xml:space="preserve">PSE serves </w:t>
      </w:r>
      <w:r w:rsidR="00604FFF" w:rsidRPr="001363A7">
        <w:t xml:space="preserve">approximately 750,000 natural gas customers in King, Kittitas, Lewis, Pierce, Snohomish and Thurston counties. </w:t>
      </w:r>
    </w:p>
    <w:p w14:paraId="59EE80B5" w14:textId="77777777" w:rsidR="00604FFF" w:rsidRPr="00515633" w:rsidRDefault="00604FFF" w:rsidP="00520CC1">
      <w:pPr>
        <w:rPr>
          <w:highlight w:val="yellow"/>
        </w:rPr>
      </w:pPr>
    </w:p>
    <w:p w14:paraId="59EE80B6" w14:textId="77777777" w:rsidR="000B6FA5" w:rsidRPr="00CA5322" w:rsidRDefault="001363A7" w:rsidP="00520CC1">
      <w:pPr>
        <w:rPr>
          <w:b/>
        </w:rPr>
      </w:pPr>
      <w:r w:rsidRPr="00CA5322">
        <w:rPr>
          <w:b/>
        </w:rPr>
        <w:t xml:space="preserve">Biennial Conservation Target </w:t>
      </w:r>
    </w:p>
    <w:p w14:paraId="59EE80B7" w14:textId="77777777" w:rsidR="0044594A" w:rsidRPr="00CA5322" w:rsidRDefault="0044594A" w:rsidP="0044594A"/>
    <w:p w14:paraId="59EE80B8" w14:textId="0DFABA35" w:rsidR="007E3A0E" w:rsidRPr="00CA5322" w:rsidRDefault="00CA5322" w:rsidP="0044594A">
      <w:r>
        <w:t xml:space="preserve">As described </w:t>
      </w:r>
      <w:r w:rsidR="0092599F">
        <w:t xml:space="preserve">in Staff Comments filed December 3, 2013, </w:t>
      </w:r>
      <w:r w:rsidR="00341972">
        <w:t xml:space="preserve">PSE identified a 2014-2023 achievable conservation potential of </w:t>
      </w:r>
      <w:r w:rsidR="00104C87">
        <w:t>33 million</w:t>
      </w:r>
      <w:r w:rsidR="00341972">
        <w:t xml:space="preserve"> </w:t>
      </w:r>
      <w:r w:rsidR="007E3A0E">
        <w:t>therms</w:t>
      </w:r>
      <w:r w:rsidR="00341972">
        <w:t xml:space="preserve"> through its conservation potential assessment (CPA)</w:t>
      </w:r>
      <w:r w:rsidR="007E3A0E">
        <w:t>, which was developed through the 2013 Integrated Resource Plan</w:t>
      </w:r>
      <w:r w:rsidR="00430358">
        <w:t xml:space="preserve">. </w:t>
      </w:r>
      <w:r w:rsidR="00341972">
        <w:t xml:space="preserve">From there PSE </w:t>
      </w:r>
      <w:r w:rsidR="006C2E2B">
        <w:t xml:space="preserve">made two </w:t>
      </w:r>
      <w:r w:rsidR="00341972" w:rsidRPr="006C2E2B">
        <w:t>adjust</w:t>
      </w:r>
      <w:r w:rsidR="006C2E2B" w:rsidRPr="006C2E2B">
        <w:t>ments to</w:t>
      </w:r>
      <w:r w:rsidR="00C77EA9" w:rsidRPr="006C2E2B">
        <w:t xml:space="preserve"> </w:t>
      </w:r>
      <w:r w:rsidR="00341972" w:rsidRPr="006C2E2B">
        <w:t>the ten-year potential to</w:t>
      </w:r>
      <w:r w:rsidR="00341972">
        <w:t xml:space="preserve"> develop its 2014-2015 biennial conservation target of </w:t>
      </w:r>
      <w:r w:rsidR="007E3A0E">
        <w:rPr>
          <w:bCs/>
        </w:rPr>
        <w:t>6.94 million therms</w:t>
      </w:r>
      <w:r w:rsidR="00341972">
        <w:t>.</w:t>
      </w:r>
      <w:r w:rsidR="006C2E2B">
        <w:t xml:space="preserve"> After the development of the CPA, PSE incorporated updated </w:t>
      </w:r>
      <w:r w:rsidR="006937DF">
        <w:t xml:space="preserve">the </w:t>
      </w:r>
      <w:r w:rsidR="006C2E2B">
        <w:t xml:space="preserve">savings </w:t>
      </w:r>
      <w:r w:rsidR="006937DF">
        <w:t xml:space="preserve">potential </w:t>
      </w:r>
      <w:r w:rsidR="006C2E2B">
        <w:t xml:space="preserve">for residential space heating, which added approximately 170,000 therms. Secondly, PSE added approximately 770,000 therms of projected savings from its Individual Energy Reports pilots, similar to the existing Home Energy Reports program run by Opower. </w:t>
      </w:r>
    </w:p>
    <w:p w14:paraId="59EE80B9" w14:textId="77777777" w:rsidR="00BE498D" w:rsidRDefault="00BE498D" w:rsidP="0044594A"/>
    <w:p w14:paraId="59EE80BA" w14:textId="71230E51" w:rsidR="00343083" w:rsidRDefault="00433A8C" w:rsidP="0044594A">
      <w:r>
        <w:t>The BCP provides budget details regarding PSE’s plan for achieving the savings identified in its biennial conservation target and total portfolio</w:t>
      </w:r>
      <w:r w:rsidR="00430358">
        <w:t xml:space="preserve">. </w:t>
      </w:r>
      <w:r>
        <w:t xml:space="preserve">A summary of these details is provided in Table </w:t>
      </w:r>
      <w:r w:rsidR="00222E9C">
        <w:t xml:space="preserve">1 </w:t>
      </w:r>
      <w:r>
        <w:t>below</w:t>
      </w:r>
      <w:r w:rsidR="00430358">
        <w:t xml:space="preserve">. </w:t>
      </w:r>
      <w:r>
        <w:t xml:space="preserve">PSE’s 2014-2015 budget is </w:t>
      </w:r>
      <w:r w:rsidRPr="00433A8C">
        <w:t>$</w:t>
      </w:r>
      <w:r w:rsidR="00104C87">
        <w:t>24,197,200</w:t>
      </w:r>
      <w:r>
        <w:t xml:space="preserve">, which is approximately </w:t>
      </w:r>
      <w:r w:rsidR="00C3599E">
        <w:t>9</w:t>
      </w:r>
      <w:r>
        <w:t xml:space="preserve"> percent lower than </w:t>
      </w:r>
      <w:r>
        <w:lastRenderedPageBreak/>
        <w:t>the budget for the 2012-2013 b</w:t>
      </w:r>
      <w:r w:rsidR="00343083">
        <w:t>iennium</w:t>
      </w:r>
      <w:r w:rsidR="00430358">
        <w:t xml:space="preserve">. </w:t>
      </w:r>
      <w:r w:rsidR="00343083">
        <w:t xml:space="preserve">For comparison, PSE’s expected total portfolio savings for 2014-2015 are </w:t>
      </w:r>
      <w:r w:rsidR="00C3599E">
        <w:t>approximately 27</w:t>
      </w:r>
      <w:r>
        <w:t xml:space="preserve"> percent </w:t>
      </w:r>
      <w:r w:rsidR="00343083">
        <w:t>lower than the 2012-2013 biennium</w:t>
      </w:r>
      <w:r w:rsidR="00430358">
        <w:t xml:space="preserve">. </w:t>
      </w:r>
      <w:r w:rsidR="00343083">
        <w:t xml:space="preserve">The decline in savings is due to factors including </w:t>
      </w:r>
      <w:r w:rsidR="00C3599E">
        <w:t xml:space="preserve">continued low natural gas avoided costs, </w:t>
      </w:r>
      <w:r w:rsidR="00343083">
        <w:t>lower</w:t>
      </w:r>
      <w:r w:rsidR="00C3599E">
        <w:t xml:space="preserve"> projected business sector savings, </w:t>
      </w:r>
      <w:r w:rsidR="00343083">
        <w:t>and updated unit energy savings (UES) values for certain measures</w:t>
      </w:r>
      <w:r w:rsidR="00430358">
        <w:t xml:space="preserve">. </w:t>
      </w:r>
      <w:r w:rsidR="00C3599E">
        <w:t>To achieve the target savings, PSE has added new measures such as web-enabled thermostats, increase</w:t>
      </w:r>
      <w:r w:rsidR="00940FC6">
        <w:t>d marketing and outreach efforts, introduced remote energy assessments, and expanded the Small Business Direct Install program</w:t>
      </w:r>
      <w:r w:rsidR="00430358">
        <w:t xml:space="preserve">. </w:t>
      </w:r>
    </w:p>
    <w:p w14:paraId="59EE80BB" w14:textId="77777777" w:rsidR="00343083" w:rsidRPr="00CA5322" w:rsidRDefault="00343083" w:rsidP="0044594A"/>
    <w:p w14:paraId="59EE80BC" w14:textId="68E93BCD" w:rsidR="0092599F" w:rsidRPr="00FF511B" w:rsidRDefault="00BE498D" w:rsidP="0092599F">
      <w:pPr>
        <w:spacing w:line="264" w:lineRule="auto"/>
        <w:ind w:right="720"/>
        <w:jc w:val="center"/>
        <w:rPr>
          <w:b/>
        </w:rPr>
      </w:pPr>
      <w:r>
        <w:rPr>
          <w:b/>
        </w:rPr>
        <w:t xml:space="preserve">Table </w:t>
      </w:r>
      <w:r w:rsidR="00222E9C">
        <w:rPr>
          <w:b/>
        </w:rPr>
        <w:t>1</w:t>
      </w:r>
      <w:r>
        <w:rPr>
          <w:b/>
        </w:rPr>
        <w:t xml:space="preserve">. </w:t>
      </w:r>
      <w:r w:rsidR="0092599F" w:rsidRPr="00FF511B">
        <w:rPr>
          <w:b/>
        </w:rPr>
        <w:t xml:space="preserve">Comparison of Savings and Budgets from </w:t>
      </w:r>
      <w:r w:rsidR="0092599F">
        <w:rPr>
          <w:b/>
        </w:rPr>
        <w:t xml:space="preserve">PSE’s </w:t>
      </w:r>
      <w:r w:rsidR="0092599F" w:rsidRPr="00FF511B">
        <w:rPr>
          <w:b/>
        </w:rPr>
        <w:t>2012-2013 and 2014-2015 BCPs.</w:t>
      </w:r>
    </w:p>
    <w:tbl>
      <w:tblPr>
        <w:tblStyle w:val="TableGrid"/>
        <w:tblW w:w="0" w:type="auto"/>
        <w:tblLook w:val="04A0" w:firstRow="1" w:lastRow="0" w:firstColumn="1" w:lastColumn="0" w:noHBand="0" w:noVBand="1"/>
      </w:tblPr>
      <w:tblGrid>
        <w:gridCol w:w="2448"/>
        <w:gridCol w:w="1980"/>
        <w:gridCol w:w="1584"/>
        <w:gridCol w:w="2016"/>
        <w:gridCol w:w="1548"/>
      </w:tblGrid>
      <w:tr w:rsidR="0092599F" w:rsidRPr="009D2E33" w14:paraId="59EE80C4" w14:textId="77777777" w:rsidTr="00104C87">
        <w:tc>
          <w:tcPr>
            <w:tcW w:w="2448" w:type="dxa"/>
            <w:vAlign w:val="bottom"/>
          </w:tcPr>
          <w:p w14:paraId="59EE80BD" w14:textId="77777777" w:rsidR="0092599F" w:rsidRPr="009D2E33" w:rsidRDefault="0092599F" w:rsidP="00BE498D">
            <w:pPr>
              <w:rPr>
                <w:b/>
              </w:rPr>
            </w:pPr>
            <w:r w:rsidRPr="009D2E33">
              <w:rPr>
                <w:b/>
              </w:rPr>
              <w:t>Program</w:t>
            </w:r>
          </w:p>
        </w:tc>
        <w:tc>
          <w:tcPr>
            <w:tcW w:w="1980" w:type="dxa"/>
            <w:vAlign w:val="bottom"/>
          </w:tcPr>
          <w:p w14:paraId="59EE80BE" w14:textId="77777777" w:rsidR="0092599F" w:rsidRPr="009D2E33" w:rsidRDefault="0092599F" w:rsidP="00341972">
            <w:pPr>
              <w:jc w:val="center"/>
              <w:rPr>
                <w:b/>
              </w:rPr>
            </w:pPr>
            <w:r w:rsidRPr="009D2E33">
              <w:rPr>
                <w:b/>
              </w:rPr>
              <w:t>2014-2015</w:t>
            </w:r>
          </w:p>
          <w:p w14:paraId="59EE80BF" w14:textId="77777777" w:rsidR="0092599F" w:rsidRPr="009D2E33" w:rsidRDefault="0092599F" w:rsidP="00104C87">
            <w:pPr>
              <w:jc w:val="center"/>
              <w:rPr>
                <w:b/>
              </w:rPr>
            </w:pPr>
            <w:r w:rsidRPr="009D2E33">
              <w:rPr>
                <w:b/>
              </w:rPr>
              <w:t>Projected Savings (</w:t>
            </w:r>
            <w:r w:rsidR="00104C87" w:rsidRPr="009D2E33">
              <w:rPr>
                <w:b/>
              </w:rPr>
              <w:t>therms</w:t>
            </w:r>
            <w:r w:rsidRPr="009D2E33">
              <w:rPr>
                <w:b/>
              </w:rPr>
              <w:t>)</w:t>
            </w:r>
          </w:p>
        </w:tc>
        <w:tc>
          <w:tcPr>
            <w:tcW w:w="1584" w:type="dxa"/>
            <w:vAlign w:val="bottom"/>
          </w:tcPr>
          <w:p w14:paraId="59EE80C0" w14:textId="77777777" w:rsidR="0092599F" w:rsidRPr="009D2E33" w:rsidRDefault="0092599F" w:rsidP="00341972">
            <w:pPr>
              <w:jc w:val="center"/>
              <w:rPr>
                <w:b/>
              </w:rPr>
            </w:pPr>
            <w:r w:rsidRPr="009D2E33">
              <w:rPr>
                <w:b/>
              </w:rPr>
              <w:t>2014-2015 Budget</w:t>
            </w:r>
          </w:p>
        </w:tc>
        <w:tc>
          <w:tcPr>
            <w:tcW w:w="2016" w:type="dxa"/>
            <w:vAlign w:val="bottom"/>
          </w:tcPr>
          <w:p w14:paraId="59EE80C1" w14:textId="77777777" w:rsidR="0092599F" w:rsidRPr="009D2E33" w:rsidRDefault="0092599F" w:rsidP="00341972">
            <w:pPr>
              <w:jc w:val="center"/>
              <w:rPr>
                <w:b/>
              </w:rPr>
            </w:pPr>
            <w:r w:rsidRPr="009D2E33">
              <w:rPr>
                <w:b/>
              </w:rPr>
              <w:t>2012-2013</w:t>
            </w:r>
          </w:p>
          <w:p w14:paraId="59EE80C2" w14:textId="77777777" w:rsidR="0092599F" w:rsidRPr="009D2E33" w:rsidRDefault="0092599F" w:rsidP="00104C87">
            <w:pPr>
              <w:jc w:val="center"/>
              <w:rPr>
                <w:b/>
              </w:rPr>
            </w:pPr>
            <w:r w:rsidRPr="009D2E33">
              <w:rPr>
                <w:b/>
              </w:rPr>
              <w:t>Projected Savings (</w:t>
            </w:r>
            <w:r w:rsidR="00104C87" w:rsidRPr="009D2E33">
              <w:rPr>
                <w:b/>
              </w:rPr>
              <w:t>therms</w:t>
            </w:r>
            <w:r w:rsidRPr="009D2E33">
              <w:rPr>
                <w:b/>
              </w:rPr>
              <w:t>)</w:t>
            </w:r>
          </w:p>
        </w:tc>
        <w:tc>
          <w:tcPr>
            <w:tcW w:w="1548" w:type="dxa"/>
            <w:vAlign w:val="bottom"/>
          </w:tcPr>
          <w:p w14:paraId="59EE80C3" w14:textId="77777777" w:rsidR="0092599F" w:rsidRPr="009D2E33" w:rsidRDefault="0092599F" w:rsidP="00341972">
            <w:pPr>
              <w:jc w:val="center"/>
              <w:rPr>
                <w:b/>
              </w:rPr>
            </w:pPr>
            <w:r w:rsidRPr="009D2E33">
              <w:rPr>
                <w:b/>
              </w:rPr>
              <w:t>2012-2013 Budget</w:t>
            </w:r>
          </w:p>
        </w:tc>
      </w:tr>
      <w:tr w:rsidR="0092599F" w:rsidRPr="009D2E33" w14:paraId="59EE80CA" w14:textId="77777777" w:rsidTr="00104C87">
        <w:tc>
          <w:tcPr>
            <w:tcW w:w="2448" w:type="dxa"/>
          </w:tcPr>
          <w:p w14:paraId="59EE80C5" w14:textId="77777777" w:rsidR="0092599F" w:rsidRPr="009D2E33" w:rsidRDefault="0092599F" w:rsidP="00341972">
            <w:r w:rsidRPr="009D2E33">
              <w:t>Residential</w:t>
            </w:r>
          </w:p>
        </w:tc>
        <w:tc>
          <w:tcPr>
            <w:tcW w:w="1980" w:type="dxa"/>
            <w:vAlign w:val="bottom"/>
          </w:tcPr>
          <w:p w14:paraId="59EE80C6" w14:textId="77777777" w:rsidR="0092599F" w:rsidRPr="009D2E33" w:rsidRDefault="0092599F" w:rsidP="00341972">
            <w:pPr>
              <w:jc w:val="right"/>
            </w:pPr>
          </w:p>
        </w:tc>
        <w:tc>
          <w:tcPr>
            <w:tcW w:w="1584" w:type="dxa"/>
            <w:vAlign w:val="bottom"/>
          </w:tcPr>
          <w:p w14:paraId="59EE80C7" w14:textId="77777777" w:rsidR="0092599F" w:rsidRPr="009D2E33" w:rsidRDefault="0092599F" w:rsidP="00341972">
            <w:pPr>
              <w:jc w:val="right"/>
            </w:pPr>
          </w:p>
        </w:tc>
        <w:tc>
          <w:tcPr>
            <w:tcW w:w="2016" w:type="dxa"/>
            <w:vAlign w:val="bottom"/>
          </w:tcPr>
          <w:p w14:paraId="59EE80C8" w14:textId="77777777" w:rsidR="0092599F" w:rsidRPr="009D2E33" w:rsidRDefault="0092599F" w:rsidP="00341972">
            <w:pPr>
              <w:jc w:val="right"/>
            </w:pPr>
          </w:p>
        </w:tc>
        <w:tc>
          <w:tcPr>
            <w:tcW w:w="1548" w:type="dxa"/>
            <w:vAlign w:val="bottom"/>
          </w:tcPr>
          <w:p w14:paraId="59EE80C9" w14:textId="77777777" w:rsidR="0092599F" w:rsidRPr="009D2E33" w:rsidRDefault="0092599F" w:rsidP="00341972">
            <w:pPr>
              <w:jc w:val="right"/>
            </w:pPr>
          </w:p>
        </w:tc>
      </w:tr>
      <w:tr w:rsidR="0092599F" w:rsidRPr="009D2E33" w14:paraId="59EE80D0" w14:textId="77777777" w:rsidTr="00104C87">
        <w:tc>
          <w:tcPr>
            <w:tcW w:w="2448" w:type="dxa"/>
          </w:tcPr>
          <w:p w14:paraId="59EE80CB" w14:textId="77777777" w:rsidR="0092599F" w:rsidRPr="009D2E33" w:rsidRDefault="0092599F" w:rsidP="00341972">
            <w:pPr>
              <w:rPr>
                <w:i/>
              </w:rPr>
            </w:pPr>
            <w:r w:rsidRPr="009D2E33">
              <w:rPr>
                <w:i/>
              </w:rPr>
              <w:t>Low-income</w:t>
            </w:r>
          </w:p>
        </w:tc>
        <w:tc>
          <w:tcPr>
            <w:tcW w:w="1980" w:type="dxa"/>
            <w:vAlign w:val="bottom"/>
          </w:tcPr>
          <w:p w14:paraId="59EE80CC" w14:textId="77777777" w:rsidR="0092599F" w:rsidRPr="009D2E33" w:rsidRDefault="009D2E33" w:rsidP="00341972">
            <w:pPr>
              <w:jc w:val="right"/>
              <w:rPr>
                <w:i/>
              </w:rPr>
            </w:pPr>
            <w:r w:rsidRPr="009D2E33">
              <w:rPr>
                <w:i/>
              </w:rPr>
              <w:t>54,800</w:t>
            </w:r>
          </w:p>
        </w:tc>
        <w:tc>
          <w:tcPr>
            <w:tcW w:w="1584" w:type="dxa"/>
            <w:vAlign w:val="bottom"/>
          </w:tcPr>
          <w:p w14:paraId="59EE80CD" w14:textId="77777777" w:rsidR="0092599F" w:rsidRPr="009D2E33" w:rsidRDefault="0092599F" w:rsidP="009D2E33">
            <w:pPr>
              <w:jc w:val="right"/>
              <w:rPr>
                <w:i/>
              </w:rPr>
            </w:pPr>
            <w:r w:rsidRPr="009D2E33">
              <w:rPr>
                <w:i/>
              </w:rPr>
              <w:t>$</w:t>
            </w:r>
            <w:r w:rsidR="009D2E33">
              <w:rPr>
                <w:i/>
              </w:rPr>
              <w:t>739,000</w:t>
            </w:r>
          </w:p>
        </w:tc>
        <w:tc>
          <w:tcPr>
            <w:tcW w:w="2016" w:type="dxa"/>
            <w:vAlign w:val="bottom"/>
          </w:tcPr>
          <w:p w14:paraId="59EE80CE" w14:textId="77777777" w:rsidR="0092599F" w:rsidRPr="009D2E33" w:rsidRDefault="009D2E33" w:rsidP="009D2E33">
            <w:pPr>
              <w:jc w:val="right"/>
              <w:rPr>
                <w:i/>
              </w:rPr>
            </w:pPr>
            <w:r>
              <w:rPr>
                <w:i/>
              </w:rPr>
              <w:t>78</w:t>
            </w:r>
            <w:r w:rsidR="0092599F" w:rsidRPr="009D2E33">
              <w:rPr>
                <w:i/>
              </w:rPr>
              <w:t>,</w:t>
            </w:r>
            <w:r>
              <w:rPr>
                <w:i/>
              </w:rPr>
              <w:t>0</w:t>
            </w:r>
            <w:r w:rsidR="0092599F" w:rsidRPr="009D2E33">
              <w:rPr>
                <w:i/>
              </w:rPr>
              <w:t>00</w:t>
            </w:r>
          </w:p>
        </w:tc>
        <w:tc>
          <w:tcPr>
            <w:tcW w:w="1548" w:type="dxa"/>
            <w:vAlign w:val="bottom"/>
          </w:tcPr>
          <w:p w14:paraId="59EE80CF" w14:textId="77777777" w:rsidR="0092599F" w:rsidRPr="009D2E33" w:rsidRDefault="0092599F" w:rsidP="009D2E33">
            <w:pPr>
              <w:jc w:val="right"/>
              <w:rPr>
                <w:i/>
              </w:rPr>
            </w:pPr>
            <w:r w:rsidRPr="009D2E33">
              <w:rPr>
                <w:i/>
              </w:rPr>
              <w:t>$</w:t>
            </w:r>
            <w:r w:rsidR="009D2E33">
              <w:rPr>
                <w:i/>
              </w:rPr>
              <w:t>1,121,000</w:t>
            </w:r>
          </w:p>
        </w:tc>
      </w:tr>
      <w:tr w:rsidR="0092599F" w:rsidRPr="007E0F99" w14:paraId="59EE80D6" w14:textId="77777777" w:rsidTr="00104C87">
        <w:tc>
          <w:tcPr>
            <w:tcW w:w="2448" w:type="dxa"/>
          </w:tcPr>
          <w:p w14:paraId="59EE80D1" w14:textId="77777777" w:rsidR="0092599F" w:rsidRPr="007E0F99" w:rsidRDefault="0092599F" w:rsidP="007E0F99">
            <w:pPr>
              <w:rPr>
                <w:i/>
              </w:rPr>
            </w:pPr>
            <w:r w:rsidRPr="007E0F99">
              <w:rPr>
                <w:i/>
              </w:rPr>
              <w:t>Home Energy Reports</w:t>
            </w:r>
          </w:p>
        </w:tc>
        <w:tc>
          <w:tcPr>
            <w:tcW w:w="1980" w:type="dxa"/>
            <w:vAlign w:val="bottom"/>
          </w:tcPr>
          <w:p w14:paraId="59EE80D2" w14:textId="77777777" w:rsidR="0092599F" w:rsidRPr="007E0F99" w:rsidRDefault="009D2E33" w:rsidP="00341972">
            <w:pPr>
              <w:jc w:val="right"/>
              <w:rPr>
                <w:i/>
              </w:rPr>
            </w:pPr>
            <w:r w:rsidRPr="007E0F99">
              <w:rPr>
                <w:i/>
              </w:rPr>
              <w:t>170,500</w:t>
            </w:r>
          </w:p>
        </w:tc>
        <w:tc>
          <w:tcPr>
            <w:tcW w:w="1584" w:type="dxa"/>
            <w:vAlign w:val="bottom"/>
          </w:tcPr>
          <w:p w14:paraId="59EE80D3" w14:textId="77777777" w:rsidR="0092599F" w:rsidRPr="007E0F99" w:rsidRDefault="009D2E33" w:rsidP="00341972">
            <w:pPr>
              <w:jc w:val="right"/>
              <w:rPr>
                <w:i/>
              </w:rPr>
            </w:pPr>
            <w:r w:rsidRPr="007E0F99">
              <w:rPr>
                <w:i/>
              </w:rPr>
              <w:t>$94,100</w:t>
            </w:r>
          </w:p>
        </w:tc>
        <w:tc>
          <w:tcPr>
            <w:tcW w:w="2016" w:type="dxa"/>
            <w:vAlign w:val="bottom"/>
          </w:tcPr>
          <w:p w14:paraId="59EE80D4" w14:textId="77777777" w:rsidR="0092599F" w:rsidRPr="007E0F99" w:rsidRDefault="007E0F99" w:rsidP="00341972">
            <w:pPr>
              <w:jc w:val="right"/>
              <w:rPr>
                <w:i/>
              </w:rPr>
            </w:pPr>
            <w:r w:rsidRPr="007E0F99">
              <w:rPr>
                <w:i/>
              </w:rPr>
              <w:t>693,400</w:t>
            </w:r>
          </w:p>
        </w:tc>
        <w:tc>
          <w:tcPr>
            <w:tcW w:w="1548" w:type="dxa"/>
            <w:vAlign w:val="bottom"/>
          </w:tcPr>
          <w:p w14:paraId="59EE80D5" w14:textId="77777777" w:rsidR="0092599F" w:rsidRPr="007E0F99" w:rsidRDefault="0092599F" w:rsidP="00341972">
            <w:pPr>
              <w:jc w:val="right"/>
              <w:rPr>
                <w:i/>
              </w:rPr>
            </w:pPr>
            <w:r w:rsidRPr="007E0F99">
              <w:rPr>
                <w:i/>
              </w:rPr>
              <w:t>$</w:t>
            </w:r>
            <w:r w:rsidR="007E0F99" w:rsidRPr="007E0F99">
              <w:rPr>
                <w:i/>
              </w:rPr>
              <w:t>479,000</w:t>
            </w:r>
          </w:p>
        </w:tc>
      </w:tr>
      <w:tr w:rsidR="0092599F" w:rsidRPr="007E0F99" w14:paraId="59EE80DC" w14:textId="77777777" w:rsidTr="00104C87">
        <w:tc>
          <w:tcPr>
            <w:tcW w:w="2448" w:type="dxa"/>
          </w:tcPr>
          <w:p w14:paraId="59EE80D7" w14:textId="77777777" w:rsidR="0092599F" w:rsidRPr="007E0F99" w:rsidRDefault="0092599F" w:rsidP="00341972">
            <w:r w:rsidRPr="007E0F99">
              <w:t>Residential Total</w:t>
            </w:r>
          </w:p>
        </w:tc>
        <w:tc>
          <w:tcPr>
            <w:tcW w:w="1980" w:type="dxa"/>
            <w:vAlign w:val="bottom"/>
          </w:tcPr>
          <w:p w14:paraId="59EE80D8" w14:textId="77777777" w:rsidR="0092599F" w:rsidRPr="007E0F99" w:rsidRDefault="007E0F99" w:rsidP="00341972">
            <w:pPr>
              <w:jc w:val="right"/>
            </w:pPr>
            <w:r w:rsidRPr="007E0F99">
              <w:t>3,250,500</w:t>
            </w:r>
          </w:p>
        </w:tc>
        <w:tc>
          <w:tcPr>
            <w:tcW w:w="1584" w:type="dxa"/>
            <w:vAlign w:val="bottom"/>
          </w:tcPr>
          <w:p w14:paraId="59EE80D9" w14:textId="77777777" w:rsidR="0092599F" w:rsidRPr="007E0F99" w:rsidRDefault="007E0F99" w:rsidP="00341972">
            <w:pPr>
              <w:jc w:val="right"/>
            </w:pPr>
            <w:r w:rsidRPr="007E0F99">
              <w:t>$14,084,900</w:t>
            </w:r>
          </w:p>
        </w:tc>
        <w:tc>
          <w:tcPr>
            <w:tcW w:w="2016" w:type="dxa"/>
            <w:vAlign w:val="bottom"/>
          </w:tcPr>
          <w:p w14:paraId="59EE80DA" w14:textId="77777777" w:rsidR="0092599F" w:rsidRPr="007E0F99" w:rsidRDefault="007E0F99" w:rsidP="00341972">
            <w:pPr>
              <w:jc w:val="right"/>
            </w:pPr>
            <w:r w:rsidRPr="007E0F99">
              <w:t>3,790,600</w:t>
            </w:r>
          </w:p>
        </w:tc>
        <w:tc>
          <w:tcPr>
            <w:tcW w:w="1548" w:type="dxa"/>
            <w:vAlign w:val="bottom"/>
          </w:tcPr>
          <w:p w14:paraId="59EE80DB" w14:textId="77777777" w:rsidR="0092599F" w:rsidRPr="007E0F99" w:rsidRDefault="007E0F99" w:rsidP="00341972">
            <w:pPr>
              <w:jc w:val="right"/>
            </w:pPr>
            <w:r w:rsidRPr="007E0F99">
              <w:t>$13,701,000</w:t>
            </w:r>
          </w:p>
        </w:tc>
      </w:tr>
      <w:tr w:rsidR="0092599F" w:rsidRPr="007E0F99" w14:paraId="59EE80E2" w14:textId="77777777" w:rsidTr="00104C87">
        <w:tc>
          <w:tcPr>
            <w:tcW w:w="2448" w:type="dxa"/>
          </w:tcPr>
          <w:p w14:paraId="59EE80DD" w14:textId="77777777" w:rsidR="0092599F" w:rsidRPr="007E0F99" w:rsidRDefault="0092599F" w:rsidP="00341972">
            <w:r w:rsidRPr="007E0F99">
              <w:t>Non-Residential</w:t>
            </w:r>
          </w:p>
        </w:tc>
        <w:tc>
          <w:tcPr>
            <w:tcW w:w="1980" w:type="dxa"/>
            <w:vAlign w:val="bottom"/>
          </w:tcPr>
          <w:p w14:paraId="59EE80DE" w14:textId="77777777" w:rsidR="0092599F" w:rsidRPr="007E0F99" w:rsidRDefault="007E0F99" w:rsidP="00341972">
            <w:pPr>
              <w:jc w:val="right"/>
            </w:pPr>
            <w:r w:rsidRPr="007E0F99">
              <w:t>2,920,000</w:t>
            </w:r>
          </w:p>
        </w:tc>
        <w:tc>
          <w:tcPr>
            <w:tcW w:w="1584" w:type="dxa"/>
            <w:vAlign w:val="bottom"/>
          </w:tcPr>
          <w:p w14:paraId="59EE80DF" w14:textId="77777777" w:rsidR="0092599F" w:rsidRPr="007E0F99" w:rsidRDefault="007E0F99" w:rsidP="00341972">
            <w:pPr>
              <w:jc w:val="right"/>
            </w:pPr>
            <w:r w:rsidRPr="007E0F99">
              <w:t>$7,472,200</w:t>
            </w:r>
          </w:p>
        </w:tc>
        <w:tc>
          <w:tcPr>
            <w:tcW w:w="2016" w:type="dxa"/>
            <w:vAlign w:val="bottom"/>
          </w:tcPr>
          <w:p w14:paraId="59EE80E0" w14:textId="77777777" w:rsidR="0092599F" w:rsidRPr="007E0F99" w:rsidRDefault="007E0F99" w:rsidP="00341972">
            <w:pPr>
              <w:jc w:val="right"/>
            </w:pPr>
            <w:r w:rsidRPr="007E0F99">
              <w:t>5,758,000</w:t>
            </w:r>
          </w:p>
        </w:tc>
        <w:tc>
          <w:tcPr>
            <w:tcW w:w="1548" w:type="dxa"/>
            <w:vAlign w:val="bottom"/>
          </w:tcPr>
          <w:p w14:paraId="59EE80E1" w14:textId="77777777" w:rsidR="0092599F" w:rsidRPr="007E0F99" w:rsidRDefault="007E0F99" w:rsidP="00341972">
            <w:pPr>
              <w:jc w:val="right"/>
            </w:pPr>
            <w:r w:rsidRPr="007E0F99">
              <w:t>$10,564,000</w:t>
            </w:r>
          </w:p>
        </w:tc>
      </w:tr>
      <w:tr w:rsidR="0092599F" w:rsidRPr="007E0F99" w14:paraId="59EE80E8" w14:textId="77777777" w:rsidTr="00104C87">
        <w:tc>
          <w:tcPr>
            <w:tcW w:w="2448" w:type="dxa"/>
          </w:tcPr>
          <w:p w14:paraId="59EE80E3" w14:textId="77777777" w:rsidR="0092599F" w:rsidRPr="007E0F99" w:rsidRDefault="0092599F" w:rsidP="00341972">
            <w:r w:rsidRPr="007E0F99">
              <w:t>Pilots</w:t>
            </w:r>
          </w:p>
        </w:tc>
        <w:tc>
          <w:tcPr>
            <w:tcW w:w="1980" w:type="dxa"/>
            <w:vAlign w:val="bottom"/>
          </w:tcPr>
          <w:p w14:paraId="59EE80E4" w14:textId="77777777" w:rsidR="0092599F" w:rsidRPr="007E0F99" w:rsidRDefault="007E0F99" w:rsidP="007E0F99">
            <w:pPr>
              <w:jc w:val="right"/>
            </w:pPr>
            <w:r w:rsidRPr="007E0F99">
              <w:t>770,000</w:t>
            </w:r>
          </w:p>
        </w:tc>
        <w:tc>
          <w:tcPr>
            <w:tcW w:w="1584" w:type="dxa"/>
            <w:vAlign w:val="bottom"/>
          </w:tcPr>
          <w:p w14:paraId="59EE80E5" w14:textId="77777777" w:rsidR="0092599F" w:rsidRPr="007E0F99" w:rsidRDefault="007E0F99" w:rsidP="00341972">
            <w:pPr>
              <w:jc w:val="right"/>
            </w:pPr>
            <w:r w:rsidRPr="007E0F99">
              <w:t>$490,400</w:t>
            </w:r>
          </w:p>
        </w:tc>
        <w:tc>
          <w:tcPr>
            <w:tcW w:w="2016" w:type="dxa"/>
            <w:vAlign w:val="bottom"/>
          </w:tcPr>
          <w:p w14:paraId="59EE80E6" w14:textId="77777777" w:rsidR="0092599F" w:rsidRPr="007E0F99" w:rsidRDefault="0092599F" w:rsidP="00341972">
            <w:pPr>
              <w:jc w:val="right"/>
            </w:pPr>
            <w:r w:rsidRPr="007E0F99">
              <w:t>0</w:t>
            </w:r>
          </w:p>
        </w:tc>
        <w:tc>
          <w:tcPr>
            <w:tcW w:w="1548" w:type="dxa"/>
            <w:vAlign w:val="bottom"/>
          </w:tcPr>
          <w:p w14:paraId="59EE80E7" w14:textId="77777777" w:rsidR="0092599F" w:rsidRPr="007E0F99" w:rsidRDefault="007E0F99" w:rsidP="00341972">
            <w:pPr>
              <w:jc w:val="right"/>
            </w:pPr>
            <w:r w:rsidRPr="007E0F99">
              <w:t>$0</w:t>
            </w:r>
          </w:p>
        </w:tc>
      </w:tr>
      <w:tr w:rsidR="0092599F" w:rsidRPr="007E0F99" w14:paraId="59EE80EE" w14:textId="77777777" w:rsidTr="00104C87">
        <w:tc>
          <w:tcPr>
            <w:tcW w:w="2448" w:type="dxa"/>
          </w:tcPr>
          <w:p w14:paraId="59EE80E9" w14:textId="77777777" w:rsidR="0092599F" w:rsidRPr="007E0F99" w:rsidRDefault="0092599F" w:rsidP="00341972">
            <w:r w:rsidRPr="007E0F99">
              <w:t>Administration/Other</w:t>
            </w:r>
          </w:p>
        </w:tc>
        <w:tc>
          <w:tcPr>
            <w:tcW w:w="1980" w:type="dxa"/>
            <w:vAlign w:val="bottom"/>
          </w:tcPr>
          <w:p w14:paraId="59EE80EA" w14:textId="77777777" w:rsidR="0092599F" w:rsidRPr="007E0F99" w:rsidRDefault="0092599F" w:rsidP="00341972">
            <w:pPr>
              <w:jc w:val="right"/>
            </w:pPr>
            <w:r w:rsidRPr="007E0F99">
              <w:t>-</w:t>
            </w:r>
          </w:p>
        </w:tc>
        <w:tc>
          <w:tcPr>
            <w:tcW w:w="1584" w:type="dxa"/>
            <w:vAlign w:val="bottom"/>
          </w:tcPr>
          <w:p w14:paraId="59EE80EB" w14:textId="77777777" w:rsidR="0092599F" w:rsidRPr="007E0F99" w:rsidRDefault="0092599F" w:rsidP="007E0F99">
            <w:pPr>
              <w:jc w:val="right"/>
            </w:pPr>
            <w:r w:rsidRPr="007E0F99">
              <w:t>$</w:t>
            </w:r>
            <w:r w:rsidR="007E0F99" w:rsidRPr="007E0F99">
              <w:t>2,149,700</w:t>
            </w:r>
          </w:p>
        </w:tc>
        <w:tc>
          <w:tcPr>
            <w:tcW w:w="2016" w:type="dxa"/>
            <w:vAlign w:val="bottom"/>
          </w:tcPr>
          <w:p w14:paraId="59EE80EC" w14:textId="77777777" w:rsidR="0092599F" w:rsidRPr="007E0F99" w:rsidRDefault="0092599F" w:rsidP="00341972">
            <w:pPr>
              <w:jc w:val="right"/>
            </w:pPr>
            <w:r w:rsidRPr="007E0F99">
              <w:t>-</w:t>
            </w:r>
          </w:p>
        </w:tc>
        <w:tc>
          <w:tcPr>
            <w:tcW w:w="1548" w:type="dxa"/>
            <w:vAlign w:val="bottom"/>
          </w:tcPr>
          <w:p w14:paraId="59EE80ED" w14:textId="77777777" w:rsidR="0092599F" w:rsidRPr="007E0F99" w:rsidRDefault="0092599F" w:rsidP="007E0F99">
            <w:pPr>
              <w:jc w:val="right"/>
            </w:pPr>
            <w:r w:rsidRPr="007E0F99">
              <w:t>$</w:t>
            </w:r>
            <w:r w:rsidR="007E0F99" w:rsidRPr="007E0F99">
              <w:t>2,351</w:t>
            </w:r>
            <w:r w:rsidRPr="007E0F99">
              <w:t>,000</w:t>
            </w:r>
          </w:p>
        </w:tc>
      </w:tr>
      <w:tr w:rsidR="0092599F" w:rsidRPr="00810777" w14:paraId="59EE80F4" w14:textId="77777777" w:rsidTr="00104C87">
        <w:tc>
          <w:tcPr>
            <w:tcW w:w="2448" w:type="dxa"/>
          </w:tcPr>
          <w:p w14:paraId="59EE80EF" w14:textId="77777777" w:rsidR="0092599F" w:rsidRPr="007E0F99" w:rsidRDefault="0092599F" w:rsidP="00341972">
            <w:pPr>
              <w:rPr>
                <w:b/>
              </w:rPr>
            </w:pPr>
            <w:r w:rsidRPr="007E0F99">
              <w:rPr>
                <w:b/>
              </w:rPr>
              <w:t>Total</w:t>
            </w:r>
          </w:p>
        </w:tc>
        <w:tc>
          <w:tcPr>
            <w:tcW w:w="1980" w:type="dxa"/>
            <w:vAlign w:val="bottom"/>
          </w:tcPr>
          <w:p w14:paraId="59EE80F0" w14:textId="77777777" w:rsidR="0092599F" w:rsidRPr="007E0F99" w:rsidRDefault="007E0F99" w:rsidP="007E0F99">
            <w:pPr>
              <w:jc w:val="right"/>
              <w:rPr>
                <w:b/>
              </w:rPr>
            </w:pPr>
            <w:r w:rsidRPr="007E0F99">
              <w:rPr>
                <w:b/>
              </w:rPr>
              <w:t>6,940,500</w:t>
            </w:r>
          </w:p>
        </w:tc>
        <w:tc>
          <w:tcPr>
            <w:tcW w:w="1584" w:type="dxa"/>
            <w:vAlign w:val="bottom"/>
          </w:tcPr>
          <w:p w14:paraId="59EE80F1" w14:textId="77777777" w:rsidR="0092599F" w:rsidRPr="007E0F99" w:rsidRDefault="0092599F" w:rsidP="007E0F99">
            <w:pPr>
              <w:jc w:val="right"/>
              <w:rPr>
                <w:b/>
              </w:rPr>
            </w:pPr>
            <w:r w:rsidRPr="007E0F99">
              <w:rPr>
                <w:b/>
              </w:rPr>
              <w:t>$</w:t>
            </w:r>
            <w:r w:rsidR="007E0F99" w:rsidRPr="007E0F99">
              <w:rPr>
                <w:b/>
              </w:rPr>
              <w:t>24,197,200</w:t>
            </w:r>
          </w:p>
        </w:tc>
        <w:tc>
          <w:tcPr>
            <w:tcW w:w="2016" w:type="dxa"/>
            <w:vAlign w:val="bottom"/>
          </w:tcPr>
          <w:p w14:paraId="59EE80F2" w14:textId="77777777" w:rsidR="0092599F" w:rsidRPr="007E0F99" w:rsidRDefault="007E0F99" w:rsidP="00341972">
            <w:pPr>
              <w:jc w:val="right"/>
              <w:rPr>
                <w:b/>
              </w:rPr>
            </w:pPr>
            <w:r w:rsidRPr="007E0F99">
              <w:rPr>
                <w:b/>
              </w:rPr>
              <w:t>9,548,600</w:t>
            </w:r>
          </w:p>
        </w:tc>
        <w:tc>
          <w:tcPr>
            <w:tcW w:w="1548" w:type="dxa"/>
            <w:vAlign w:val="bottom"/>
          </w:tcPr>
          <w:p w14:paraId="59EE80F3" w14:textId="77777777" w:rsidR="0092599F" w:rsidRPr="00810777" w:rsidRDefault="0092599F" w:rsidP="007E0F99">
            <w:pPr>
              <w:jc w:val="right"/>
              <w:rPr>
                <w:b/>
              </w:rPr>
            </w:pPr>
            <w:r w:rsidRPr="007E0F99">
              <w:rPr>
                <w:b/>
              </w:rPr>
              <w:t>$</w:t>
            </w:r>
            <w:r w:rsidR="007E0F99" w:rsidRPr="007E0F99">
              <w:rPr>
                <w:b/>
              </w:rPr>
              <w:t>26,616,000</w:t>
            </w:r>
          </w:p>
        </w:tc>
      </w:tr>
    </w:tbl>
    <w:p w14:paraId="59EE80F5" w14:textId="3B8440F0" w:rsidR="0092599F" w:rsidRPr="00DE003F" w:rsidRDefault="0092599F" w:rsidP="0092599F">
      <w:pPr>
        <w:rPr>
          <w:sz w:val="20"/>
          <w:szCs w:val="20"/>
        </w:rPr>
      </w:pPr>
      <w:r w:rsidRPr="00DE003F">
        <w:rPr>
          <w:sz w:val="20"/>
          <w:szCs w:val="20"/>
        </w:rPr>
        <w:t>Note: Low-Income and Home Energy Reports programs are included in the Residential program</w:t>
      </w:r>
      <w:r>
        <w:rPr>
          <w:sz w:val="20"/>
          <w:szCs w:val="20"/>
        </w:rPr>
        <w:t xml:space="preserve"> row</w:t>
      </w:r>
      <w:r w:rsidR="00430358">
        <w:rPr>
          <w:sz w:val="20"/>
          <w:szCs w:val="20"/>
        </w:rPr>
        <w:t xml:space="preserve">. </w:t>
      </w:r>
      <w:r>
        <w:rPr>
          <w:sz w:val="20"/>
          <w:szCs w:val="20"/>
        </w:rPr>
        <w:t>2012-2013 values are as filed in the 2012-2013 BCP in Docket UE-111881</w:t>
      </w:r>
      <w:r w:rsidR="00430358">
        <w:rPr>
          <w:sz w:val="20"/>
          <w:szCs w:val="20"/>
        </w:rPr>
        <w:t xml:space="preserve">. </w:t>
      </w:r>
    </w:p>
    <w:p w14:paraId="59EE80F6" w14:textId="77777777" w:rsidR="002C179B" w:rsidRDefault="002C179B" w:rsidP="002C179B">
      <w:pPr>
        <w:rPr>
          <w:b/>
        </w:rPr>
      </w:pPr>
    </w:p>
    <w:p w14:paraId="59EE80F7" w14:textId="77777777" w:rsidR="00C6028A" w:rsidRPr="00C6028A" w:rsidRDefault="00C6028A" w:rsidP="00104C87">
      <w:pPr>
        <w:rPr>
          <w:b/>
        </w:rPr>
      </w:pPr>
      <w:r>
        <w:rPr>
          <w:b/>
        </w:rPr>
        <w:t>Cost-Effectiveness</w:t>
      </w:r>
    </w:p>
    <w:p w14:paraId="59EE80F8" w14:textId="77777777" w:rsidR="00C6028A" w:rsidRDefault="00C6028A" w:rsidP="00104C87"/>
    <w:p w14:paraId="59EE80F9" w14:textId="58C4FDE4" w:rsidR="00940FC6" w:rsidRDefault="00104C87" w:rsidP="00104C87">
      <w:r>
        <w:t>Despite the downward pressures</w:t>
      </w:r>
      <w:r w:rsidR="00C6028A">
        <w:t xml:space="preserve"> on savings and cost-effectiveness</w:t>
      </w:r>
      <w:r>
        <w:t>, PSE’s portfolio achieves a Total Resource Cost (TRC) ratio of 1.2 and a Utility Cost Test (UCT) ratio of 2.0, indicating that the port</w:t>
      </w:r>
      <w:r w:rsidR="00940FC6">
        <w:t>folio is still cost-effective</w:t>
      </w:r>
      <w:r w:rsidR="00430358">
        <w:t xml:space="preserve">. </w:t>
      </w:r>
      <w:r w:rsidR="00940FC6">
        <w:t xml:space="preserve">PSE’s TRC calculation for the 2014-2015 biennium includes a 10 percent </w:t>
      </w:r>
      <w:r w:rsidR="00DC4A9C">
        <w:t>conservation</w:t>
      </w:r>
      <w:r w:rsidR="00940FC6">
        <w:t xml:space="preserve"> adder, consistent with electric TRC </w:t>
      </w:r>
      <w:r w:rsidR="00DC4A9C">
        <w:t>calculations</w:t>
      </w:r>
      <w:r w:rsidR="00940FC6">
        <w:t xml:space="preserve"> and other natural gas utilities under the Commission’s jurisdiction</w:t>
      </w:r>
      <w:r w:rsidR="00430358">
        <w:t xml:space="preserve">. </w:t>
      </w:r>
      <w:r w:rsidR="00940FC6">
        <w:t>The conservation adder was discussed in the 2013 Annual Conservation Plan but not previously included in TRC calculations</w:t>
      </w:r>
      <w:r w:rsidR="00430358">
        <w:t xml:space="preserve">. </w:t>
      </w:r>
      <w:r w:rsidR="00940FC6">
        <w:t xml:space="preserve">PSE’s 2014-2015 </w:t>
      </w:r>
      <w:r w:rsidR="00DC4A9C">
        <w:t>portfolio</w:t>
      </w:r>
      <w:r w:rsidR="00940FC6">
        <w:t xml:space="preserve"> still passes the TRC without the conservation adder.</w:t>
      </w:r>
    </w:p>
    <w:p w14:paraId="59EE80FA" w14:textId="77777777" w:rsidR="00940FC6" w:rsidRDefault="00940FC6" w:rsidP="00104C87"/>
    <w:p w14:paraId="59EE80FB" w14:textId="77777777" w:rsidR="00A44224" w:rsidRDefault="00A44224" w:rsidP="00104C87">
      <w:r>
        <w:t>PSE manages its conservation programs to be cost-effective, though in the current biennium, four programs did not pass the TRC.</w:t>
      </w:r>
      <w:r w:rsidR="00C16E7B">
        <w:rPr>
          <w:rStyle w:val="FootnoteReference"/>
        </w:rPr>
        <w:footnoteReference w:id="1"/>
      </w:r>
      <w:r>
        <w:t xml:space="preserve"> The BCP states that PSE staff,</w:t>
      </w:r>
    </w:p>
    <w:p w14:paraId="59EE80FC" w14:textId="77777777" w:rsidR="00A44224" w:rsidRDefault="00A44224" w:rsidP="00104C87"/>
    <w:p w14:paraId="59EE80FD" w14:textId="77777777" w:rsidR="00104C87" w:rsidRDefault="00A44224" w:rsidP="00A44224">
      <w:pPr>
        <w:ind w:left="720"/>
      </w:pPr>
      <w:r>
        <w:t xml:space="preserve"> “...availed themselves of provisions defined in Schedule 183, which allow natural gas programs to achieve a TRC of as low as 0.667 when there are a significant amount of </w:t>
      </w:r>
      <w:r>
        <w:lastRenderedPageBreak/>
        <w:t xml:space="preserve">non-quantifiable benefits…PSE considers the importance of maintaining its full suite of natural gas conservation offerings is clearly a ‘substantial non-quantifiable </w:t>
      </w:r>
      <w:r w:rsidR="00DC4A9C">
        <w:t>benefit</w:t>
      </w:r>
      <w:r>
        <w:t>’…”</w:t>
      </w:r>
      <w:r>
        <w:rPr>
          <w:rStyle w:val="FootnoteReference"/>
        </w:rPr>
        <w:footnoteReference w:id="2"/>
      </w:r>
    </w:p>
    <w:p w14:paraId="59EE80FE" w14:textId="77777777" w:rsidR="0092599F" w:rsidRDefault="0092599F" w:rsidP="00DB6F04"/>
    <w:p w14:paraId="59EE80FF" w14:textId="5C4633C6" w:rsidR="00A44224" w:rsidRDefault="00C16E7B" w:rsidP="00DB6F04">
      <w:r>
        <w:t>Staff considers PSE’s interpretation of maintaining a full suite of conservation offerings to be a novel application of the non-quant</w:t>
      </w:r>
      <w:r w:rsidR="00DC4A9C">
        <w:t>if</w:t>
      </w:r>
      <w:r>
        <w:t>iable benefit provision in the tariff</w:t>
      </w:r>
      <w:r w:rsidR="00430358">
        <w:t xml:space="preserve">. </w:t>
      </w:r>
      <w:r>
        <w:t>In light of the Commissions policy statement on natural gas conservation in Docket UE-121207 which allows the use of the UCT as the primary cost test where large non-quantifiable benefits exist, and the fact that PSE’s portfolio still passes both the TRC and UCT, Staff does not object to the inclusion of these four programs in PSE’s portfolio</w:t>
      </w:r>
      <w:r w:rsidR="00430358">
        <w:t xml:space="preserve">. </w:t>
      </w:r>
      <w:r w:rsidR="00C6028A">
        <w:t xml:space="preserve">However, Staff believes that approval of PSE’s portfolio should not be considered </w:t>
      </w:r>
      <w:r w:rsidR="00DC4A9C">
        <w:t>precedential</w:t>
      </w:r>
      <w:r w:rsidR="00C6028A">
        <w:t xml:space="preserve"> regarding PS</w:t>
      </w:r>
      <w:r w:rsidR="00DC4A9C">
        <w:t>E</w:t>
      </w:r>
      <w:r w:rsidR="00C6028A">
        <w:t xml:space="preserve">’s novel application of the non-quantifiable benefit provision. </w:t>
      </w:r>
    </w:p>
    <w:p w14:paraId="59EE8100" w14:textId="77777777" w:rsidR="00A44224" w:rsidRPr="0092599F" w:rsidRDefault="00A44224" w:rsidP="00DB6F04"/>
    <w:p w14:paraId="59EE8101" w14:textId="77777777" w:rsidR="00DF27F5" w:rsidRPr="00526189" w:rsidRDefault="00DF27F5" w:rsidP="00526189">
      <w:pPr>
        <w:rPr>
          <w:b/>
        </w:rPr>
      </w:pPr>
      <w:r w:rsidRPr="00526189">
        <w:rPr>
          <w:b/>
        </w:rPr>
        <w:t xml:space="preserve">Proposed </w:t>
      </w:r>
      <w:r w:rsidR="00DB6F04" w:rsidRPr="00526189">
        <w:rPr>
          <w:b/>
        </w:rPr>
        <w:t xml:space="preserve">Tariff </w:t>
      </w:r>
      <w:r w:rsidRPr="00526189">
        <w:rPr>
          <w:b/>
        </w:rPr>
        <w:t xml:space="preserve">Revisions </w:t>
      </w:r>
    </w:p>
    <w:p w14:paraId="59EE8102" w14:textId="77777777" w:rsidR="000031D1" w:rsidRPr="00526189" w:rsidRDefault="000031D1" w:rsidP="00526189"/>
    <w:p w14:paraId="59EE8103" w14:textId="0C3D07AD" w:rsidR="00526189" w:rsidRPr="00526189" w:rsidRDefault="00526189" w:rsidP="00526189">
      <w:r>
        <w:t>To implement the programs described in the BCP, PSE filed tariff revisions in Docket UE-13203</w:t>
      </w:r>
      <w:r w:rsidR="00104C87">
        <w:t>3</w:t>
      </w:r>
      <w:r w:rsidR="00430358">
        <w:t xml:space="preserve">. </w:t>
      </w:r>
      <w:r w:rsidR="00C6028A">
        <w:t>T</w:t>
      </w:r>
      <w:r w:rsidR="002A7D27">
        <w:t xml:space="preserve">he revisions reflect updated </w:t>
      </w:r>
      <w:r w:rsidR="00A6686A">
        <w:t xml:space="preserve">effective </w:t>
      </w:r>
      <w:r w:rsidR="002A7D27">
        <w:t>dates, text clarifications and</w:t>
      </w:r>
      <w:r w:rsidR="00A6686A">
        <w:t xml:space="preserve"> minor administrative changes, and do not impact rates.</w:t>
      </w:r>
    </w:p>
    <w:p w14:paraId="59EE8104" w14:textId="77777777" w:rsidR="001363A7" w:rsidRPr="0092599F" w:rsidRDefault="001363A7" w:rsidP="00204A52">
      <w:pPr>
        <w:pStyle w:val="Heading1"/>
      </w:pPr>
      <w:r w:rsidRPr="0092599F">
        <w:t>Stakeholder Comments</w:t>
      </w:r>
    </w:p>
    <w:p w14:paraId="59EE8105" w14:textId="77777777" w:rsidR="001363A7" w:rsidRPr="0036314D" w:rsidRDefault="0036314D" w:rsidP="00204A52">
      <w:pPr>
        <w:pStyle w:val="Heading1"/>
        <w:rPr>
          <w:b w:val="0"/>
        </w:rPr>
      </w:pPr>
      <w:r w:rsidRPr="0036314D">
        <w:rPr>
          <w:b w:val="0"/>
        </w:rPr>
        <w:t>The Commi</w:t>
      </w:r>
      <w:r>
        <w:rPr>
          <w:b w:val="0"/>
        </w:rPr>
        <w:t xml:space="preserve">ssion </w:t>
      </w:r>
      <w:r w:rsidR="007E0F99">
        <w:rPr>
          <w:b w:val="0"/>
        </w:rPr>
        <w:t xml:space="preserve">did not receive any comments </w:t>
      </w:r>
      <w:r w:rsidR="002D0170">
        <w:rPr>
          <w:b w:val="0"/>
        </w:rPr>
        <w:t>in these dockets.</w:t>
      </w:r>
    </w:p>
    <w:p w14:paraId="59EE8106" w14:textId="77777777" w:rsidR="00D60E7F" w:rsidRPr="00CD74CC" w:rsidRDefault="0028215A" w:rsidP="00204A52">
      <w:pPr>
        <w:pStyle w:val="Heading1"/>
        <w:rPr>
          <w:u w:val="single"/>
        </w:rPr>
      </w:pPr>
      <w:r w:rsidRPr="00CD74CC">
        <w:rPr>
          <w:u w:val="single"/>
        </w:rPr>
        <w:t>Conclusion</w:t>
      </w:r>
    </w:p>
    <w:p w14:paraId="59EE8107" w14:textId="1C5C3C09" w:rsidR="00C6028A" w:rsidRDefault="00C6028A" w:rsidP="00C6028A">
      <w:r>
        <w:t xml:space="preserve">Take no action, acknowledging Puget Sound Energy’s (PSE’s) 2014-2015 natural gas biennial conservation target of 6.94 million therms, as filed in Docket UG-132044, and allowing the tariff revision filed by PSE in Docket UG-121894 to take effect </w:t>
      </w:r>
      <w:r w:rsidR="00430358">
        <w:t xml:space="preserve">Jan. </w:t>
      </w:r>
      <w:r>
        <w:t>1, 2014, by operation of law.</w:t>
      </w:r>
    </w:p>
    <w:p w14:paraId="59EE8108" w14:textId="77777777" w:rsidR="00C75312" w:rsidRPr="005440CF" w:rsidRDefault="00C75312" w:rsidP="004B4ED5">
      <w:pPr>
        <w:rPr>
          <w:color w:val="1F497D"/>
        </w:rPr>
      </w:pPr>
    </w:p>
    <w:sectPr w:rsidR="00C75312" w:rsidRPr="005440CF" w:rsidSect="00BA4E08">
      <w:headerReference w:type="default" r:id="rId13"/>
      <w:footerReference w:type="default" r:id="rId14"/>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E810B" w14:textId="77777777" w:rsidR="00C77EA9" w:rsidRDefault="00C77EA9" w:rsidP="00FF75F4">
      <w:r>
        <w:separator/>
      </w:r>
    </w:p>
  </w:endnote>
  <w:endnote w:type="continuationSeparator" w:id="0">
    <w:p w14:paraId="59EE810C" w14:textId="77777777" w:rsidR="00C77EA9" w:rsidRDefault="00C77EA9"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62722"/>
      <w:docPartObj>
        <w:docPartGallery w:val="Page Numbers (Bottom of Page)"/>
        <w:docPartUnique/>
      </w:docPartObj>
    </w:sdtPr>
    <w:sdtEndPr>
      <w:rPr>
        <w:noProof/>
      </w:rPr>
    </w:sdtEndPr>
    <w:sdtContent>
      <w:p w14:paraId="59EE8111" w14:textId="77777777" w:rsidR="00C77EA9" w:rsidRDefault="00C77EA9">
        <w:pPr>
          <w:pStyle w:val="Footer"/>
          <w:jc w:val="right"/>
        </w:pPr>
        <w:r>
          <w:fldChar w:fldCharType="begin"/>
        </w:r>
        <w:r>
          <w:instrText xml:space="preserve"> PAGE   \* MERGEFORMAT </w:instrText>
        </w:r>
        <w:r>
          <w:fldChar w:fldCharType="separate"/>
        </w:r>
        <w:r w:rsidR="00F11FFE">
          <w:rPr>
            <w:noProof/>
          </w:rPr>
          <w:t>3</w:t>
        </w:r>
        <w:r>
          <w:rPr>
            <w:noProof/>
          </w:rPr>
          <w:fldChar w:fldCharType="end"/>
        </w:r>
      </w:p>
    </w:sdtContent>
  </w:sdt>
  <w:p w14:paraId="59EE8112" w14:textId="77777777" w:rsidR="00C77EA9" w:rsidRDefault="00C77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E8109" w14:textId="77777777" w:rsidR="00C77EA9" w:rsidRDefault="00C77EA9" w:rsidP="00FF75F4">
      <w:r>
        <w:separator/>
      </w:r>
    </w:p>
  </w:footnote>
  <w:footnote w:type="continuationSeparator" w:id="0">
    <w:p w14:paraId="59EE810A" w14:textId="77777777" w:rsidR="00C77EA9" w:rsidRDefault="00C77EA9" w:rsidP="00FF75F4">
      <w:r>
        <w:continuationSeparator/>
      </w:r>
    </w:p>
  </w:footnote>
  <w:footnote w:id="1">
    <w:p w14:paraId="59EE8113" w14:textId="77777777" w:rsidR="00C77EA9" w:rsidRDefault="00C77EA9">
      <w:pPr>
        <w:pStyle w:val="FootnoteText"/>
      </w:pPr>
      <w:r>
        <w:rPr>
          <w:rStyle w:val="FootnoteReference"/>
        </w:rPr>
        <w:footnoteRef/>
      </w:r>
      <w:r>
        <w:t xml:space="preserve"> The four programs that do not pass the TRC are Single Family Existing – Weatherization, Multifamily Existing, Commercial/Industrial New Construction, and Resource Conservation Management.</w:t>
      </w:r>
    </w:p>
  </w:footnote>
  <w:footnote w:id="2">
    <w:p w14:paraId="59EE8114" w14:textId="77777777" w:rsidR="00C77EA9" w:rsidRDefault="00C77EA9" w:rsidP="00A44224">
      <w:pPr>
        <w:pStyle w:val="FootnoteText"/>
      </w:pPr>
      <w:r>
        <w:rPr>
          <w:rStyle w:val="FootnoteReference"/>
        </w:rPr>
        <w:footnoteRef/>
      </w:r>
      <w:r>
        <w:t xml:space="preserve"> PSE 2014-2015 Biennial Conservation Plan,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E810D" w14:textId="29C9C433" w:rsidR="00C77EA9" w:rsidRPr="00777586" w:rsidRDefault="00C77EA9" w:rsidP="002C648F">
    <w:pPr>
      <w:pStyle w:val="Header"/>
      <w:rPr>
        <w:sz w:val="20"/>
        <w:szCs w:val="20"/>
      </w:rPr>
    </w:pPr>
    <w:r w:rsidRPr="00777586">
      <w:rPr>
        <w:sz w:val="20"/>
        <w:szCs w:val="20"/>
      </w:rPr>
      <w:t>D</w:t>
    </w:r>
    <w:r>
      <w:rPr>
        <w:sz w:val="20"/>
        <w:szCs w:val="20"/>
      </w:rPr>
      <w:t>OCKET</w:t>
    </w:r>
    <w:r w:rsidR="009D2529">
      <w:rPr>
        <w:sz w:val="20"/>
        <w:szCs w:val="20"/>
      </w:rPr>
      <w:t>S</w:t>
    </w:r>
    <w:r>
      <w:rPr>
        <w:sz w:val="20"/>
        <w:szCs w:val="20"/>
      </w:rPr>
      <w:t xml:space="preserve"> UG</w:t>
    </w:r>
    <w:r w:rsidRPr="00F22F14">
      <w:rPr>
        <w:sz w:val="20"/>
        <w:szCs w:val="20"/>
      </w:rPr>
      <w:t>-1</w:t>
    </w:r>
    <w:r>
      <w:rPr>
        <w:sz w:val="20"/>
        <w:szCs w:val="20"/>
      </w:rPr>
      <w:t>32044 and UE-132033</w:t>
    </w:r>
  </w:p>
  <w:p w14:paraId="59EE810E" w14:textId="77777777" w:rsidR="00C77EA9" w:rsidRPr="00777586" w:rsidRDefault="00C77EA9" w:rsidP="002C648F">
    <w:pPr>
      <w:pStyle w:val="Header"/>
      <w:rPr>
        <w:sz w:val="20"/>
        <w:szCs w:val="20"/>
      </w:rPr>
    </w:pPr>
    <w:r>
      <w:rPr>
        <w:sz w:val="20"/>
        <w:szCs w:val="20"/>
      </w:rPr>
      <w:t>December 18, 2013</w:t>
    </w:r>
  </w:p>
  <w:p w14:paraId="59EE810F" w14:textId="77777777" w:rsidR="00C77EA9" w:rsidRPr="00777586" w:rsidRDefault="00C77EA9"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F11FFE">
      <w:rPr>
        <w:rStyle w:val="PageNumber"/>
        <w:noProof/>
        <w:sz w:val="20"/>
        <w:szCs w:val="20"/>
      </w:rPr>
      <w:t>3</w:t>
    </w:r>
    <w:r w:rsidRPr="00777586">
      <w:rPr>
        <w:rStyle w:val="PageNumber"/>
        <w:sz w:val="20"/>
        <w:szCs w:val="20"/>
      </w:rPr>
      <w:fldChar w:fldCharType="end"/>
    </w:r>
  </w:p>
  <w:p w14:paraId="59EE8110" w14:textId="77777777" w:rsidR="00C77EA9" w:rsidRPr="00E05888" w:rsidRDefault="00C77EA9"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0FCF"/>
    <w:rsid w:val="00001805"/>
    <w:rsid w:val="000031D1"/>
    <w:rsid w:val="0000603F"/>
    <w:rsid w:val="000126E3"/>
    <w:rsid w:val="00013E26"/>
    <w:rsid w:val="00024AD3"/>
    <w:rsid w:val="00025FA6"/>
    <w:rsid w:val="00030742"/>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41CD"/>
    <w:rsid w:val="00100426"/>
    <w:rsid w:val="00100726"/>
    <w:rsid w:val="0010117B"/>
    <w:rsid w:val="00104C87"/>
    <w:rsid w:val="00104E99"/>
    <w:rsid w:val="00106E5E"/>
    <w:rsid w:val="0011135E"/>
    <w:rsid w:val="00115F20"/>
    <w:rsid w:val="001162AB"/>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4410"/>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204A52"/>
    <w:rsid w:val="0020635F"/>
    <w:rsid w:val="00220A9A"/>
    <w:rsid w:val="002215D4"/>
    <w:rsid w:val="00222E9C"/>
    <w:rsid w:val="002245E8"/>
    <w:rsid w:val="00225BAA"/>
    <w:rsid w:val="0022715D"/>
    <w:rsid w:val="00227F90"/>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41D7"/>
    <w:rsid w:val="002A67A9"/>
    <w:rsid w:val="002A7032"/>
    <w:rsid w:val="002A7D14"/>
    <w:rsid w:val="002A7D27"/>
    <w:rsid w:val="002B6C2B"/>
    <w:rsid w:val="002C0730"/>
    <w:rsid w:val="002C179B"/>
    <w:rsid w:val="002C40C5"/>
    <w:rsid w:val="002C5999"/>
    <w:rsid w:val="002C648F"/>
    <w:rsid w:val="002C74B0"/>
    <w:rsid w:val="002D017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607EF"/>
    <w:rsid w:val="003614F9"/>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741B"/>
    <w:rsid w:val="003C7708"/>
    <w:rsid w:val="003D21C9"/>
    <w:rsid w:val="003D3A3A"/>
    <w:rsid w:val="003D4240"/>
    <w:rsid w:val="003D5FE5"/>
    <w:rsid w:val="003E7551"/>
    <w:rsid w:val="003F05EC"/>
    <w:rsid w:val="003F09CE"/>
    <w:rsid w:val="003F1BDE"/>
    <w:rsid w:val="003F2771"/>
    <w:rsid w:val="004005B6"/>
    <w:rsid w:val="00405C03"/>
    <w:rsid w:val="004148E7"/>
    <w:rsid w:val="0042262E"/>
    <w:rsid w:val="004242A1"/>
    <w:rsid w:val="00430358"/>
    <w:rsid w:val="00433A8C"/>
    <w:rsid w:val="004358D6"/>
    <w:rsid w:val="00441BDD"/>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DA1"/>
    <w:rsid w:val="004B4ED5"/>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720E6"/>
    <w:rsid w:val="00582C07"/>
    <w:rsid w:val="0058597F"/>
    <w:rsid w:val="0059285C"/>
    <w:rsid w:val="00593784"/>
    <w:rsid w:val="005A0A09"/>
    <w:rsid w:val="005A496B"/>
    <w:rsid w:val="005A4A28"/>
    <w:rsid w:val="005A60BD"/>
    <w:rsid w:val="005A7B7E"/>
    <w:rsid w:val="005B75FE"/>
    <w:rsid w:val="005C219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4FC0"/>
    <w:rsid w:val="00625424"/>
    <w:rsid w:val="00630E56"/>
    <w:rsid w:val="00632EAB"/>
    <w:rsid w:val="006348A7"/>
    <w:rsid w:val="00645F4C"/>
    <w:rsid w:val="00651161"/>
    <w:rsid w:val="0065149E"/>
    <w:rsid w:val="0065373E"/>
    <w:rsid w:val="006546F8"/>
    <w:rsid w:val="006559A9"/>
    <w:rsid w:val="00655B45"/>
    <w:rsid w:val="00657DEE"/>
    <w:rsid w:val="00667C04"/>
    <w:rsid w:val="00667FB8"/>
    <w:rsid w:val="0067283D"/>
    <w:rsid w:val="006733D9"/>
    <w:rsid w:val="00673770"/>
    <w:rsid w:val="00683250"/>
    <w:rsid w:val="006937DF"/>
    <w:rsid w:val="00697EBD"/>
    <w:rsid w:val="006A28C2"/>
    <w:rsid w:val="006A2A84"/>
    <w:rsid w:val="006A53CF"/>
    <w:rsid w:val="006A5F45"/>
    <w:rsid w:val="006A687B"/>
    <w:rsid w:val="006A6A1D"/>
    <w:rsid w:val="006B2981"/>
    <w:rsid w:val="006B44A2"/>
    <w:rsid w:val="006B5368"/>
    <w:rsid w:val="006C19C3"/>
    <w:rsid w:val="006C1A2B"/>
    <w:rsid w:val="006C2E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1E85"/>
    <w:rsid w:val="007A2B2C"/>
    <w:rsid w:val="007A3FFE"/>
    <w:rsid w:val="007A6C79"/>
    <w:rsid w:val="007A76D8"/>
    <w:rsid w:val="007B0D24"/>
    <w:rsid w:val="007B711E"/>
    <w:rsid w:val="007B7BB4"/>
    <w:rsid w:val="007C66EB"/>
    <w:rsid w:val="007C7855"/>
    <w:rsid w:val="007D08F2"/>
    <w:rsid w:val="007D0C27"/>
    <w:rsid w:val="007D1FCB"/>
    <w:rsid w:val="007D3D1A"/>
    <w:rsid w:val="007D409B"/>
    <w:rsid w:val="007D4283"/>
    <w:rsid w:val="007D50DE"/>
    <w:rsid w:val="007D674F"/>
    <w:rsid w:val="007D6A75"/>
    <w:rsid w:val="007E0EB5"/>
    <w:rsid w:val="007E0F99"/>
    <w:rsid w:val="007E3A0E"/>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C306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5F90"/>
    <w:rsid w:val="00907168"/>
    <w:rsid w:val="0091069F"/>
    <w:rsid w:val="00915206"/>
    <w:rsid w:val="009249F0"/>
    <w:rsid w:val="0092524C"/>
    <w:rsid w:val="0092599F"/>
    <w:rsid w:val="00931127"/>
    <w:rsid w:val="0093145C"/>
    <w:rsid w:val="00934A3C"/>
    <w:rsid w:val="009363BA"/>
    <w:rsid w:val="00936FF6"/>
    <w:rsid w:val="00940FC6"/>
    <w:rsid w:val="00947A1D"/>
    <w:rsid w:val="00947AAF"/>
    <w:rsid w:val="00956BA6"/>
    <w:rsid w:val="00963D1F"/>
    <w:rsid w:val="009652E7"/>
    <w:rsid w:val="009702DA"/>
    <w:rsid w:val="009712CC"/>
    <w:rsid w:val="009742A7"/>
    <w:rsid w:val="00980023"/>
    <w:rsid w:val="00980095"/>
    <w:rsid w:val="009828A2"/>
    <w:rsid w:val="0098532A"/>
    <w:rsid w:val="00985D0D"/>
    <w:rsid w:val="00992B48"/>
    <w:rsid w:val="00993829"/>
    <w:rsid w:val="00993D47"/>
    <w:rsid w:val="0099446A"/>
    <w:rsid w:val="009A6FAA"/>
    <w:rsid w:val="009C216D"/>
    <w:rsid w:val="009C29E7"/>
    <w:rsid w:val="009C3A9C"/>
    <w:rsid w:val="009C4479"/>
    <w:rsid w:val="009C4F77"/>
    <w:rsid w:val="009D2529"/>
    <w:rsid w:val="009D2E33"/>
    <w:rsid w:val="009D3809"/>
    <w:rsid w:val="009D4411"/>
    <w:rsid w:val="009D5E9C"/>
    <w:rsid w:val="009D6358"/>
    <w:rsid w:val="009E6921"/>
    <w:rsid w:val="009F6AF0"/>
    <w:rsid w:val="009F7605"/>
    <w:rsid w:val="00A0516E"/>
    <w:rsid w:val="00A22344"/>
    <w:rsid w:val="00A32572"/>
    <w:rsid w:val="00A33C8A"/>
    <w:rsid w:val="00A413E1"/>
    <w:rsid w:val="00A44224"/>
    <w:rsid w:val="00A50F3F"/>
    <w:rsid w:val="00A523C6"/>
    <w:rsid w:val="00A55508"/>
    <w:rsid w:val="00A56593"/>
    <w:rsid w:val="00A633F2"/>
    <w:rsid w:val="00A6686A"/>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24201"/>
    <w:rsid w:val="00B25711"/>
    <w:rsid w:val="00B25850"/>
    <w:rsid w:val="00B26F22"/>
    <w:rsid w:val="00B306DE"/>
    <w:rsid w:val="00B31400"/>
    <w:rsid w:val="00B3359A"/>
    <w:rsid w:val="00B33E8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59BE"/>
    <w:rsid w:val="00BC7C16"/>
    <w:rsid w:val="00BD0618"/>
    <w:rsid w:val="00BD6CA0"/>
    <w:rsid w:val="00BE498D"/>
    <w:rsid w:val="00BF3466"/>
    <w:rsid w:val="00BF3D13"/>
    <w:rsid w:val="00BF5E4A"/>
    <w:rsid w:val="00BF7B1B"/>
    <w:rsid w:val="00C00012"/>
    <w:rsid w:val="00C026E9"/>
    <w:rsid w:val="00C12B6F"/>
    <w:rsid w:val="00C14375"/>
    <w:rsid w:val="00C16E7B"/>
    <w:rsid w:val="00C30885"/>
    <w:rsid w:val="00C3599E"/>
    <w:rsid w:val="00C40BED"/>
    <w:rsid w:val="00C516C4"/>
    <w:rsid w:val="00C531D9"/>
    <w:rsid w:val="00C5784F"/>
    <w:rsid w:val="00C6028A"/>
    <w:rsid w:val="00C67384"/>
    <w:rsid w:val="00C74B68"/>
    <w:rsid w:val="00C75312"/>
    <w:rsid w:val="00C75742"/>
    <w:rsid w:val="00C77EA9"/>
    <w:rsid w:val="00C8153C"/>
    <w:rsid w:val="00C843D3"/>
    <w:rsid w:val="00C85FA1"/>
    <w:rsid w:val="00C91FF7"/>
    <w:rsid w:val="00CA08E2"/>
    <w:rsid w:val="00CA45F4"/>
    <w:rsid w:val="00CA5322"/>
    <w:rsid w:val="00CA65F5"/>
    <w:rsid w:val="00CB3FE8"/>
    <w:rsid w:val="00CB403A"/>
    <w:rsid w:val="00CB42AA"/>
    <w:rsid w:val="00CB655F"/>
    <w:rsid w:val="00CC094F"/>
    <w:rsid w:val="00CC2E05"/>
    <w:rsid w:val="00CC6D50"/>
    <w:rsid w:val="00CD1FE9"/>
    <w:rsid w:val="00CD74CC"/>
    <w:rsid w:val="00CE2BB3"/>
    <w:rsid w:val="00CE3F94"/>
    <w:rsid w:val="00CE51EA"/>
    <w:rsid w:val="00CF5C63"/>
    <w:rsid w:val="00D010ED"/>
    <w:rsid w:val="00D01507"/>
    <w:rsid w:val="00D0152D"/>
    <w:rsid w:val="00D01A79"/>
    <w:rsid w:val="00D0379E"/>
    <w:rsid w:val="00D06B3E"/>
    <w:rsid w:val="00D14912"/>
    <w:rsid w:val="00D23AE1"/>
    <w:rsid w:val="00D24828"/>
    <w:rsid w:val="00D37E51"/>
    <w:rsid w:val="00D5111E"/>
    <w:rsid w:val="00D53155"/>
    <w:rsid w:val="00D60E7F"/>
    <w:rsid w:val="00D61F01"/>
    <w:rsid w:val="00D66B54"/>
    <w:rsid w:val="00D7134F"/>
    <w:rsid w:val="00D718C4"/>
    <w:rsid w:val="00D75620"/>
    <w:rsid w:val="00D75C47"/>
    <w:rsid w:val="00D81519"/>
    <w:rsid w:val="00D83AEA"/>
    <w:rsid w:val="00D87D4B"/>
    <w:rsid w:val="00D90789"/>
    <w:rsid w:val="00D910DE"/>
    <w:rsid w:val="00D9474E"/>
    <w:rsid w:val="00DB2FF2"/>
    <w:rsid w:val="00DB6F04"/>
    <w:rsid w:val="00DC2128"/>
    <w:rsid w:val="00DC4A9C"/>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7401F"/>
    <w:rsid w:val="00E80B4D"/>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2BC8"/>
    <w:rsid w:val="00ED5305"/>
    <w:rsid w:val="00EE1AEE"/>
    <w:rsid w:val="00EF20DB"/>
    <w:rsid w:val="00F075E4"/>
    <w:rsid w:val="00F1128F"/>
    <w:rsid w:val="00F11FFE"/>
    <w:rsid w:val="00F13A37"/>
    <w:rsid w:val="00F14C6E"/>
    <w:rsid w:val="00F17292"/>
    <w:rsid w:val="00F22536"/>
    <w:rsid w:val="00F22F14"/>
    <w:rsid w:val="00F3080F"/>
    <w:rsid w:val="00F31A95"/>
    <w:rsid w:val="00F361C8"/>
    <w:rsid w:val="00F36888"/>
    <w:rsid w:val="00F42228"/>
    <w:rsid w:val="00F45647"/>
    <w:rsid w:val="00F47B23"/>
    <w:rsid w:val="00F5398C"/>
    <w:rsid w:val="00F54F54"/>
    <w:rsid w:val="00F62B90"/>
    <w:rsid w:val="00F636D9"/>
    <w:rsid w:val="00F66820"/>
    <w:rsid w:val="00F67F4A"/>
    <w:rsid w:val="00F7673B"/>
    <w:rsid w:val="00F8031B"/>
    <w:rsid w:val="00F857AF"/>
    <w:rsid w:val="00F94663"/>
    <w:rsid w:val="00FA1568"/>
    <w:rsid w:val="00FA57A3"/>
    <w:rsid w:val="00FA5E32"/>
    <w:rsid w:val="00FA7B38"/>
    <w:rsid w:val="00FB0884"/>
    <w:rsid w:val="00FB25DB"/>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E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2148AEACE0D14CAE49E8842DCD1B2C" ma:contentTypeVersion="135" ma:contentTypeDescription="" ma:contentTypeScope="" ma:versionID="25c19cbf3e8f2f8f4342a4006a4348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2013-11-01T07:00:00+00:00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A54846-7088-4755-B45A-599E1FDC7D64}"/>
</file>

<file path=customXml/itemProps2.xml><?xml version="1.0" encoding="utf-8"?>
<ds:datastoreItem xmlns:ds="http://schemas.openxmlformats.org/officeDocument/2006/customXml" ds:itemID="{C461A22B-416E-4BC1-9EFE-956F81F41FC5}"/>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9B2A6987-3C93-4219-BB2E-3E6C61D23211}"/>
</file>

<file path=customXml/itemProps5.xml><?xml version="1.0" encoding="utf-8"?>
<ds:datastoreItem xmlns:ds="http://schemas.openxmlformats.org/officeDocument/2006/customXml" ds:itemID="{219E0EBE-262E-48AA-B2B6-A3F088CFA059}"/>
</file>

<file path=customXml/itemProps6.xml><?xml version="1.0" encoding="utf-8"?>
<ds:datastoreItem xmlns:ds="http://schemas.openxmlformats.org/officeDocument/2006/customXml" ds:itemID="{C7FCE323-5B34-4132-8CFD-57B0A55F0070}"/>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UG-132044 UG-132033 PSE Gas BCP memo</vt:lpstr>
    </vt:vector>
  </TitlesOfParts>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UG-132044 UG-132033 PSE Gas BCP memo</dc:title>
  <dc:creator/>
  <cp:lastModifiedBy/>
  <cp:revision>1</cp:revision>
  <dcterms:created xsi:type="dcterms:W3CDTF">2013-12-12T22:20:00Z</dcterms:created>
  <dcterms:modified xsi:type="dcterms:W3CDTF">2013-12-12T22:20:00Z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0x0101006E56B4D1795A2E4DB2F0B01679ED314A00242148AEACE0D14CAE49E8842DCD1B2C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