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6C4F3" w14:textId="77777777" w:rsidR="00B84874" w:rsidRDefault="00B84874" w:rsidP="00B84874">
      <w:pPr>
        <w:pStyle w:val="NoSpacing"/>
        <w:jc w:val="center"/>
        <w:rPr>
          <w:sz w:val="14"/>
        </w:rPr>
      </w:pPr>
      <w:r>
        <w:rPr>
          <w:noProof/>
        </w:rPr>
        <w:drawing>
          <wp:inline distT="0" distB="0" distL="0" distR="0" wp14:anchorId="338B0A77" wp14:editId="781D4719">
            <wp:extent cx="662940" cy="6858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1E7E5188" w14:textId="77777777" w:rsidR="00B84874" w:rsidRDefault="00B84874" w:rsidP="00B84874">
      <w:pPr>
        <w:pStyle w:val="NoSpacing"/>
        <w:jc w:val="center"/>
        <w:rPr>
          <w:rFonts w:ascii="Arial" w:hAnsi="Arial"/>
          <w:b/>
          <w:color w:val="008000"/>
          <w:sz w:val="18"/>
        </w:rPr>
      </w:pPr>
      <w:r>
        <w:rPr>
          <w:rFonts w:ascii="Arial" w:hAnsi="Arial"/>
          <w:b/>
          <w:color w:val="008000"/>
          <w:sz w:val="18"/>
        </w:rPr>
        <w:t>STATE OF WASHINGTON</w:t>
      </w:r>
    </w:p>
    <w:p w14:paraId="6F0A8B2C" w14:textId="77777777" w:rsidR="00B84874" w:rsidRDefault="00B84874" w:rsidP="00B84874">
      <w:pPr>
        <w:pStyle w:val="NoSpacing"/>
        <w:jc w:val="center"/>
        <w:rPr>
          <w:rFonts w:ascii="Arial" w:hAnsi="Arial"/>
          <w:color w:val="008000"/>
          <w:sz w:val="28"/>
        </w:rPr>
      </w:pPr>
      <w:r>
        <w:rPr>
          <w:rFonts w:ascii="Arial" w:hAnsi="Arial"/>
          <w:color w:val="008000"/>
          <w:sz w:val="28"/>
        </w:rPr>
        <w:t>WASHINGTON UTILITIES AND TRANSPORTATION COMMISSION</w:t>
      </w:r>
    </w:p>
    <w:p w14:paraId="028A13BE" w14:textId="77777777" w:rsidR="00B84874" w:rsidRDefault="00B84874" w:rsidP="00B84874">
      <w:pPr>
        <w:pStyle w:val="NoSpacing"/>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06242423" w14:textId="77777777" w:rsidR="00B84874" w:rsidRDefault="00B84874" w:rsidP="00B84874">
      <w:pPr>
        <w:pStyle w:val="NoSpacing"/>
        <w:jc w:val="center"/>
        <w:rPr>
          <w:rFonts w:ascii="Arial" w:hAnsi="Arial" w:cs="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14:paraId="786865D6" w14:textId="77777777" w:rsidR="00087C76" w:rsidRDefault="00087C76" w:rsidP="003A74AC">
      <w:pPr>
        <w:rPr>
          <w:rFonts w:ascii="Palatino Linotype" w:hAnsi="Palatino Linotype"/>
          <w:sz w:val="24"/>
        </w:rPr>
      </w:pPr>
    </w:p>
    <w:p w14:paraId="786865DC" w14:textId="77777777" w:rsidR="00AB7EAF" w:rsidRDefault="00AB7EAF" w:rsidP="003A74AC">
      <w:pPr>
        <w:rPr>
          <w:rFonts w:ascii="Palatino Linotype" w:hAnsi="Palatino Linotype"/>
          <w:sz w:val="24"/>
        </w:rPr>
      </w:pPr>
    </w:p>
    <w:p w14:paraId="786865DD" w14:textId="266F8FF6" w:rsidR="00087C76" w:rsidRPr="002F3753" w:rsidRDefault="00F8377B" w:rsidP="003A74AC">
      <w:pPr>
        <w:rPr>
          <w:sz w:val="24"/>
        </w:rPr>
      </w:pPr>
      <w:r>
        <w:rPr>
          <w:sz w:val="24"/>
        </w:rPr>
        <w:t>November 8, 2013</w:t>
      </w:r>
    </w:p>
    <w:p w14:paraId="786865DE" w14:textId="77777777" w:rsidR="00087C76" w:rsidRPr="00074507" w:rsidRDefault="00087C76" w:rsidP="003A74AC">
      <w:pPr>
        <w:rPr>
          <w:sz w:val="24"/>
        </w:rPr>
      </w:pPr>
    </w:p>
    <w:p w14:paraId="786865DF" w14:textId="77777777" w:rsidR="00087C76" w:rsidRDefault="00087C76" w:rsidP="003A74AC">
      <w:pPr>
        <w:rPr>
          <w:sz w:val="24"/>
        </w:rPr>
      </w:pPr>
    </w:p>
    <w:p w14:paraId="163D7468" w14:textId="77777777" w:rsidR="00B84874" w:rsidRDefault="00B84874" w:rsidP="0003462C">
      <w:pPr>
        <w:widowControl/>
        <w:spacing w:line="276" w:lineRule="auto"/>
        <w:rPr>
          <w:sz w:val="24"/>
        </w:rPr>
      </w:pPr>
    </w:p>
    <w:p w14:paraId="786865E0" w14:textId="02930CE7" w:rsidR="002F3753" w:rsidRPr="008E34A9" w:rsidRDefault="00F8377B" w:rsidP="0003462C">
      <w:pPr>
        <w:widowControl/>
        <w:spacing w:line="276" w:lineRule="auto"/>
        <w:rPr>
          <w:sz w:val="24"/>
        </w:rPr>
      </w:pPr>
      <w:r>
        <w:rPr>
          <w:sz w:val="24"/>
        </w:rPr>
        <w:t>Steven V. King</w:t>
      </w:r>
      <w:r w:rsidR="002F3753" w:rsidRPr="008E34A9">
        <w:rPr>
          <w:sz w:val="24"/>
        </w:rPr>
        <w:t xml:space="preserve">, </w:t>
      </w:r>
      <w:r w:rsidR="002F3753">
        <w:rPr>
          <w:sz w:val="24"/>
        </w:rPr>
        <w:t xml:space="preserve">Executive Director and </w:t>
      </w:r>
      <w:r w:rsidR="002F3753" w:rsidRPr="008E34A9">
        <w:rPr>
          <w:sz w:val="24"/>
        </w:rPr>
        <w:t>Secretary</w:t>
      </w:r>
    </w:p>
    <w:p w14:paraId="786865E1" w14:textId="77777777" w:rsidR="002F3753" w:rsidRPr="008E34A9" w:rsidRDefault="002F3753" w:rsidP="0003462C">
      <w:pPr>
        <w:widowControl/>
        <w:spacing w:line="276" w:lineRule="auto"/>
        <w:rPr>
          <w:sz w:val="24"/>
        </w:rPr>
      </w:pPr>
      <w:smartTag w:uri="urn:schemas-microsoft-com:office:smarttags" w:element="place">
        <w:smartTag w:uri="urn:schemas-microsoft-com:office:smarttags" w:element="State">
          <w:r w:rsidRPr="008E34A9">
            <w:rPr>
              <w:sz w:val="24"/>
            </w:rPr>
            <w:t>Washington</w:t>
          </w:r>
        </w:smartTag>
      </w:smartTag>
      <w:r w:rsidRPr="008E34A9">
        <w:rPr>
          <w:sz w:val="24"/>
        </w:rPr>
        <w:t xml:space="preserve"> Utilities and Transportation Commission</w:t>
      </w:r>
    </w:p>
    <w:p w14:paraId="786865E2" w14:textId="77777777" w:rsidR="002F3753" w:rsidRPr="008E34A9" w:rsidRDefault="002F3753" w:rsidP="0003462C">
      <w:pPr>
        <w:widowControl/>
        <w:spacing w:line="276" w:lineRule="auto"/>
        <w:rPr>
          <w:sz w:val="24"/>
        </w:rPr>
      </w:pPr>
      <w:smartTag w:uri="urn:schemas-microsoft-com:office:smarttags" w:element="Street">
        <w:smartTag w:uri="urn:schemas-microsoft-com:office:smarttags" w:element="address">
          <w:r w:rsidRPr="008E34A9">
            <w:rPr>
              <w:sz w:val="24"/>
            </w:rPr>
            <w:t>1300 S. Evergreen Park Dr. SW</w:t>
          </w:r>
        </w:smartTag>
      </w:smartTag>
    </w:p>
    <w:p w14:paraId="786865E3" w14:textId="77777777" w:rsidR="002F3753" w:rsidRPr="008E34A9" w:rsidRDefault="002F3753" w:rsidP="0003462C">
      <w:pPr>
        <w:widowControl/>
        <w:spacing w:line="276" w:lineRule="auto"/>
        <w:rPr>
          <w:sz w:val="24"/>
        </w:rPr>
      </w:pPr>
      <w:smartTag w:uri="urn:schemas-microsoft-com:office:smarttags" w:element="address">
        <w:smartTag w:uri="urn:schemas-microsoft-com:office:smarttags" w:element="Street">
          <w:r w:rsidRPr="008E34A9">
            <w:rPr>
              <w:sz w:val="24"/>
            </w:rPr>
            <w:t>P. O. Box</w:t>
          </w:r>
        </w:smartTag>
        <w:r w:rsidRPr="008E34A9">
          <w:rPr>
            <w:sz w:val="24"/>
          </w:rPr>
          <w:t xml:space="preserve"> 47250</w:t>
        </w:r>
      </w:smartTag>
      <w:r w:rsidRPr="008E34A9">
        <w:rPr>
          <w:sz w:val="24"/>
        </w:rPr>
        <w:t xml:space="preserve"> </w:t>
      </w:r>
    </w:p>
    <w:p w14:paraId="786865E4" w14:textId="77777777" w:rsidR="002F3753" w:rsidRPr="008E34A9" w:rsidRDefault="002F3753" w:rsidP="0003462C">
      <w:pPr>
        <w:widowControl/>
        <w:spacing w:line="276" w:lineRule="auto"/>
        <w:rPr>
          <w:sz w:val="24"/>
        </w:rPr>
      </w:pPr>
      <w:smartTag w:uri="urn:schemas-microsoft-com:office:smarttags" w:element="place">
        <w:smartTag w:uri="urn:schemas-microsoft-com:office:smarttags" w:element="City">
          <w:r w:rsidRPr="008E34A9">
            <w:rPr>
              <w:sz w:val="24"/>
            </w:rPr>
            <w:t>Olympia</w:t>
          </w:r>
        </w:smartTag>
        <w:r w:rsidRPr="008E34A9">
          <w:rPr>
            <w:sz w:val="24"/>
          </w:rPr>
          <w:t xml:space="preserve">, </w:t>
        </w:r>
        <w:smartTag w:uri="urn:schemas-microsoft-com:office:smarttags" w:element="State">
          <w:r w:rsidRPr="008E34A9">
            <w:rPr>
              <w:sz w:val="24"/>
            </w:rPr>
            <w:t>Washington</w:t>
          </w:r>
        </w:smartTag>
        <w:r w:rsidRPr="008E34A9">
          <w:rPr>
            <w:sz w:val="24"/>
          </w:rPr>
          <w:t xml:space="preserve">  </w:t>
        </w:r>
        <w:smartTag w:uri="urn:schemas-microsoft-com:office:smarttags" w:element="PostalCode">
          <w:r w:rsidRPr="008E34A9">
            <w:rPr>
              <w:sz w:val="24"/>
            </w:rPr>
            <w:t>98504-7250</w:t>
          </w:r>
        </w:smartTag>
      </w:smartTag>
    </w:p>
    <w:p w14:paraId="786865E5" w14:textId="77777777" w:rsidR="0067671D" w:rsidRPr="00074507" w:rsidRDefault="0067671D" w:rsidP="0003462C">
      <w:pPr>
        <w:spacing w:line="276" w:lineRule="auto"/>
        <w:rPr>
          <w:sz w:val="24"/>
        </w:rPr>
      </w:pPr>
    </w:p>
    <w:p w14:paraId="786865E6" w14:textId="1676C916" w:rsidR="0037523D" w:rsidRPr="00396432" w:rsidRDefault="00DD5507" w:rsidP="0003462C">
      <w:pPr>
        <w:spacing w:line="276" w:lineRule="auto"/>
        <w:ind w:left="720" w:hanging="720"/>
        <w:rPr>
          <w:b/>
          <w:sz w:val="24"/>
        </w:rPr>
      </w:pPr>
      <w:r w:rsidRPr="00396432">
        <w:rPr>
          <w:b/>
          <w:sz w:val="24"/>
        </w:rPr>
        <w:t xml:space="preserve">RE: </w:t>
      </w:r>
      <w:r w:rsidR="0037523D" w:rsidRPr="00396432">
        <w:rPr>
          <w:b/>
          <w:sz w:val="24"/>
        </w:rPr>
        <w:tab/>
      </w:r>
      <w:r w:rsidR="0037523D" w:rsidRPr="00396432">
        <w:rPr>
          <w:b/>
          <w:i/>
          <w:sz w:val="24"/>
        </w:rPr>
        <w:t>Washington Utilities and Transportation Commission v.</w:t>
      </w:r>
      <w:r w:rsidR="002F3753" w:rsidRPr="00396432">
        <w:rPr>
          <w:b/>
          <w:i/>
          <w:sz w:val="24"/>
        </w:rPr>
        <w:t xml:space="preserve"> </w:t>
      </w:r>
      <w:r w:rsidR="00F8377B" w:rsidRPr="00396432">
        <w:rPr>
          <w:b/>
          <w:i/>
          <w:sz w:val="24"/>
        </w:rPr>
        <w:t>2C Captains, Inc. DBA Let’s Tour Seattle</w:t>
      </w:r>
    </w:p>
    <w:p w14:paraId="786865E7" w14:textId="77777777" w:rsidR="00DD5507" w:rsidRDefault="002F3753" w:rsidP="0003462C">
      <w:pPr>
        <w:spacing w:line="276" w:lineRule="auto"/>
        <w:ind w:left="720"/>
        <w:rPr>
          <w:sz w:val="24"/>
        </w:rPr>
      </w:pPr>
      <w:r w:rsidRPr="0037523D">
        <w:rPr>
          <w:sz w:val="24"/>
        </w:rPr>
        <w:t>Commission Staff’s Response to Application for Mitigation of Penalties</w:t>
      </w:r>
    </w:p>
    <w:p w14:paraId="786865E8" w14:textId="29BEB753" w:rsidR="0037523D" w:rsidRPr="0037523D" w:rsidRDefault="0037523D" w:rsidP="0003462C">
      <w:pPr>
        <w:spacing w:line="276" w:lineRule="auto"/>
        <w:ind w:left="720"/>
        <w:rPr>
          <w:sz w:val="24"/>
        </w:rPr>
      </w:pPr>
      <w:r>
        <w:rPr>
          <w:sz w:val="24"/>
        </w:rPr>
        <w:t xml:space="preserve">Docket </w:t>
      </w:r>
      <w:r w:rsidR="00844B1E">
        <w:rPr>
          <w:sz w:val="24"/>
        </w:rPr>
        <w:t>TE-</w:t>
      </w:r>
      <w:r w:rsidR="00F8377B">
        <w:rPr>
          <w:sz w:val="24"/>
        </w:rPr>
        <w:t>131923</w:t>
      </w:r>
    </w:p>
    <w:p w14:paraId="786865E9" w14:textId="77777777" w:rsidR="00DD5507" w:rsidRPr="00074507" w:rsidRDefault="00DD5507" w:rsidP="003A74AC">
      <w:pPr>
        <w:rPr>
          <w:sz w:val="24"/>
        </w:rPr>
      </w:pPr>
    </w:p>
    <w:p w14:paraId="786865EA" w14:textId="24943D3E" w:rsidR="00087C76" w:rsidRPr="00074507" w:rsidRDefault="00087C76" w:rsidP="003A74AC">
      <w:pPr>
        <w:rPr>
          <w:sz w:val="24"/>
        </w:rPr>
      </w:pPr>
      <w:r w:rsidRPr="00074507">
        <w:rPr>
          <w:sz w:val="24"/>
        </w:rPr>
        <w:t>Dea</w:t>
      </w:r>
      <w:r w:rsidR="00674EB9">
        <w:rPr>
          <w:sz w:val="24"/>
        </w:rPr>
        <w:t>r</w:t>
      </w:r>
      <w:r w:rsidR="002F3753">
        <w:rPr>
          <w:sz w:val="24"/>
        </w:rPr>
        <w:t xml:space="preserve"> Mr. </w:t>
      </w:r>
      <w:r w:rsidR="00F8377B">
        <w:rPr>
          <w:sz w:val="24"/>
        </w:rPr>
        <w:t>King</w:t>
      </w:r>
      <w:r w:rsidR="001546D4">
        <w:rPr>
          <w:sz w:val="24"/>
        </w:rPr>
        <w:t>:</w:t>
      </w:r>
    </w:p>
    <w:p w14:paraId="786865EB" w14:textId="77777777" w:rsidR="00087C76" w:rsidRPr="00074507" w:rsidRDefault="00087C76" w:rsidP="0003462C">
      <w:pPr>
        <w:spacing w:line="276" w:lineRule="auto"/>
        <w:rPr>
          <w:sz w:val="24"/>
        </w:rPr>
      </w:pPr>
    </w:p>
    <w:p w14:paraId="0F4CC4B9" w14:textId="50A017D8" w:rsidR="00F8377B" w:rsidRDefault="00B76F8A" w:rsidP="0003462C">
      <w:pPr>
        <w:tabs>
          <w:tab w:val="num" w:pos="1080"/>
        </w:tabs>
        <w:spacing w:line="276" w:lineRule="auto"/>
        <w:rPr>
          <w:b/>
          <w:sz w:val="24"/>
        </w:rPr>
      </w:pPr>
      <w:r>
        <w:rPr>
          <w:sz w:val="24"/>
        </w:rPr>
        <w:t xml:space="preserve">On </w:t>
      </w:r>
      <w:r w:rsidR="00F8377B">
        <w:rPr>
          <w:sz w:val="24"/>
        </w:rPr>
        <w:t>October 15, 2013</w:t>
      </w:r>
      <w:r w:rsidR="002F3753">
        <w:rPr>
          <w:sz w:val="24"/>
        </w:rPr>
        <w:t>, t</w:t>
      </w:r>
      <w:r w:rsidR="002F3753" w:rsidRPr="00046418">
        <w:rPr>
          <w:sz w:val="24"/>
        </w:rPr>
        <w:t>he Washington Utilities and Transportation Commission (</w:t>
      </w:r>
      <w:r w:rsidR="002F3753">
        <w:rPr>
          <w:sz w:val="24"/>
        </w:rPr>
        <w:t>c</w:t>
      </w:r>
      <w:r w:rsidR="002F3753" w:rsidRPr="00046418">
        <w:rPr>
          <w:sz w:val="24"/>
        </w:rPr>
        <w:t xml:space="preserve">ommission) assessed a </w:t>
      </w:r>
      <w:r w:rsidR="00844B1E">
        <w:rPr>
          <w:sz w:val="24"/>
        </w:rPr>
        <w:t>$</w:t>
      </w:r>
      <w:r w:rsidR="00F8377B">
        <w:rPr>
          <w:sz w:val="24"/>
        </w:rPr>
        <w:t>7,900</w:t>
      </w:r>
      <w:r w:rsidR="002F3753">
        <w:rPr>
          <w:sz w:val="24"/>
        </w:rPr>
        <w:t xml:space="preserve"> </w:t>
      </w:r>
      <w:r w:rsidR="002F3753" w:rsidRPr="00046418">
        <w:rPr>
          <w:sz w:val="24"/>
        </w:rPr>
        <w:t xml:space="preserve">penalty against </w:t>
      </w:r>
      <w:r w:rsidR="00F8377B" w:rsidRPr="00F8377B">
        <w:rPr>
          <w:sz w:val="24"/>
        </w:rPr>
        <w:t>2C Captains, Inc. DBA Let’s Tour Seattle</w:t>
      </w:r>
      <w:r w:rsidR="00844B1E">
        <w:rPr>
          <w:sz w:val="24"/>
        </w:rPr>
        <w:t xml:space="preserve"> (</w:t>
      </w:r>
      <w:r w:rsidR="00F8377B">
        <w:rPr>
          <w:sz w:val="24"/>
        </w:rPr>
        <w:t>2C Captains</w:t>
      </w:r>
      <w:r w:rsidR="00844B1E">
        <w:rPr>
          <w:sz w:val="24"/>
        </w:rPr>
        <w:t>)</w:t>
      </w:r>
      <w:r w:rsidR="002F3753">
        <w:rPr>
          <w:sz w:val="24"/>
        </w:rPr>
        <w:t xml:space="preserve"> </w:t>
      </w:r>
      <w:r w:rsidR="002F3753" w:rsidRPr="00046418">
        <w:rPr>
          <w:sz w:val="24"/>
        </w:rPr>
        <w:t xml:space="preserve">for </w:t>
      </w:r>
      <w:r w:rsidR="00303905">
        <w:rPr>
          <w:sz w:val="24"/>
        </w:rPr>
        <w:t xml:space="preserve">79 </w:t>
      </w:r>
      <w:r w:rsidR="002F3753" w:rsidRPr="00046418">
        <w:rPr>
          <w:sz w:val="24"/>
        </w:rPr>
        <w:t xml:space="preserve">violations of </w:t>
      </w:r>
      <w:hyperlink r:id="rId13" w:history="1">
        <w:r w:rsidR="002F3753" w:rsidRPr="00B65F93">
          <w:rPr>
            <w:rStyle w:val="Hyperlink"/>
            <w:sz w:val="24"/>
          </w:rPr>
          <w:t>WAC 480-</w:t>
        </w:r>
        <w:r w:rsidRPr="00B65F93">
          <w:rPr>
            <w:rStyle w:val="Hyperlink"/>
            <w:sz w:val="24"/>
          </w:rPr>
          <w:t>30</w:t>
        </w:r>
        <w:r w:rsidR="002F3753" w:rsidRPr="00B65F93">
          <w:rPr>
            <w:rStyle w:val="Hyperlink"/>
            <w:sz w:val="24"/>
          </w:rPr>
          <w:t>-</w:t>
        </w:r>
        <w:r w:rsidRPr="00B65F93">
          <w:rPr>
            <w:rStyle w:val="Hyperlink"/>
            <w:sz w:val="24"/>
          </w:rPr>
          <w:t>221</w:t>
        </w:r>
        <w:r w:rsidR="002F3753" w:rsidRPr="00B65F93">
          <w:rPr>
            <w:rStyle w:val="Hyperlink"/>
            <w:sz w:val="24"/>
          </w:rPr>
          <w:t xml:space="preserve">, </w:t>
        </w:r>
        <w:r w:rsidR="00F8377B" w:rsidRPr="00B65F93">
          <w:rPr>
            <w:rStyle w:val="Hyperlink"/>
            <w:sz w:val="24"/>
          </w:rPr>
          <w:t>Vehicle and driver safety requirements</w:t>
        </w:r>
      </w:hyperlink>
      <w:r w:rsidRPr="00B76F8A">
        <w:rPr>
          <w:sz w:val="24"/>
        </w:rPr>
        <w:t xml:space="preserve">, which requires </w:t>
      </w:r>
      <w:r w:rsidR="00F8377B">
        <w:rPr>
          <w:sz w:val="24"/>
        </w:rPr>
        <w:t>passenger transportation companies</w:t>
      </w:r>
      <w:r w:rsidRPr="00B76F8A">
        <w:rPr>
          <w:sz w:val="24"/>
        </w:rPr>
        <w:t xml:space="preserve"> to comply with Title 49, Code of Federal Regulations (CFR), including Part 391</w:t>
      </w:r>
      <w:r w:rsidR="00F8377B">
        <w:rPr>
          <w:sz w:val="24"/>
        </w:rPr>
        <w:t xml:space="preserve"> - Q</w:t>
      </w:r>
      <w:r w:rsidRPr="00B76F8A">
        <w:rPr>
          <w:sz w:val="24"/>
        </w:rPr>
        <w:t>ualification of drivers</w:t>
      </w:r>
      <w:r w:rsidR="00F8377B">
        <w:rPr>
          <w:sz w:val="24"/>
        </w:rPr>
        <w:t>, and Part 396 – Inspection, repair and maintenance</w:t>
      </w:r>
      <w:r w:rsidRPr="00B76F8A">
        <w:rPr>
          <w:sz w:val="24"/>
        </w:rPr>
        <w:t>.</w:t>
      </w:r>
      <w:r w:rsidRPr="005B176C">
        <w:rPr>
          <w:b/>
          <w:sz w:val="24"/>
        </w:rPr>
        <w:t xml:space="preserve"> </w:t>
      </w:r>
    </w:p>
    <w:p w14:paraId="5170D848" w14:textId="77777777" w:rsidR="00303905" w:rsidRDefault="00303905" w:rsidP="0003462C">
      <w:pPr>
        <w:tabs>
          <w:tab w:val="num" w:pos="1080"/>
        </w:tabs>
        <w:spacing w:line="276" w:lineRule="auto"/>
        <w:rPr>
          <w:b/>
          <w:sz w:val="24"/>
        </w:rPr>
      </w:pPr>
    </w:p>
    <w:p w14:paraId="06ACC67B" w14:textId="77777777" w:rsidR="00EF050A" w:rsidRDefault="00303905" w:rsidP="0003462C">
      <w:pPr>
        <w:widowControl/>
        <w:autoSpaceDE/>
        <w:autoSpaceDN/>
        <w:adjustRightInd/>
        <w:spacing w:line="276" w:lineRule="auto"/>
        <w:rPr>
          <w:sz w:val="24"/>
        </w:rPr>
      </w:pPr>
      <w:r w:rsidRPr="00046418">
        <w:rPr>
          <w:sz w:val="24"/>
        </w:rPr>
        <w:t xml:space="preserve">On </w:t>
      </w:r>
      <w:r>
        <w:rPr>
          <w:sz w:val="24"/>
        </w:rPr>
        <w:t>October 30, 2013</w:t>
      </w:r>
      <w:r w:rsidRPr="00046418">
        <w:rPr>
          <w:sz w:val="24"/>
        </w:rPr>
        <w:t xml:space="preserve">, </w:t>
      </w:r>
      <w:r>
        <w:rPr>
          <w:sz w:val="24"/>
        </w:rPr>
        <w:t>Charles Russell, owner of 2C Captains,</w:t>
      </w:r>
      <w:r w:rsidRPr="00046418">
        <w:rPr>
          <w:sz w:val="24"/>
        </w:rPr>
        <w:t xml:space="preserve"> filed an Application for Mitigation of Penalties</w:t>
      </w:r>
      <w:r>
        <w:rPr>
          <w:sz w:val="24"/>
        </w:rPr>
        <w:t xml:space="preserve"> (mitigation request)</w:t>
      </w:r>
      <w:r w:rsidRPr="00046418">
        <w:rPr>
          <w:sz w:val="24"/>
        </w:rPr>
        <w:t xml:space="preserve">, </w:t>
      </w:r>
      <w:r>
        <w:rPr>
          <w:sz w:val="24"/>
        </w:rPr>
        <w:t>requesting</w:t>
      </w:r>
      <w:r w:rsidRPr="00046418">
        <w:rPr>
          <w:sz w:val="24"/>
        </w:rPr>
        <w:t xml:space="preserve"> a hearing </w:t>
      </w:r>
      <w:r>
        <w:rPr>
          <w:sz w:val="24"/>
        </w:rPr>
        <w:t xml:space="preserve">based on the information provided by the company. </w:t>
      </w:r>
    </w:p>
    <w:p w14:paraId="1C910C0F" w14:textId="77777777" w:rsidR="00EF050A" w:rsidRDefault="00EF050A" w:rsidP="0003462C">
      <w:pPr>
        <w:widowControl/>
        <w:autoSpaceDE/>
        <w:autoSpaceDN/>
        <w:adjustRightInd/>
        <w:spacing w:line="276" w:lineRule="auto"/>
        <w:rPr>
          <w:sz w:val="24"/>
        </w:rPr>
      </w:pPr>
    </w:p>
    <w:p w14:paraId="236A6BA3" w14:textId="2D471F85" w:rsidR="00303905" w:rsidRPr="00046418" w:rsidRDefault="00303905" w:rsidP="0003462C">
      <w:pPr>
        <w:widowControl/>
        <w:autoSpaceDE/>
        <w:autoSpaceDN/>
        <w:adjustRightInd/>
        <w:spacing w:line="276" w:lineRule="auto"/>
        <w:rPr>
          <w:sz w:val="24"/>
        </w:rPr>
      </w:pPr>
      <w:r w:rsidRPr="00046418">
        <w:rPr>
          <w:sz w:val="24"/>
        </w:rPr>
        <w:t xml:space="preserve">For the reasons below, </w:t>
      </w:r>
      <w:r>
        <w:rPr>
          <w:sz w:val="24"/>
        </w:rPr>
        <w:t>staff</w:t>
      </w:r>
      <w:r w:rsidRPr="00046418">
        <w:rPr>
          <w:sz w:val="24"/>
        </w:rPr>
        <w:t xml:space="preserve"> </w:t>
      </w:r>
      <w:r>
        <w:rPr>
          <w:sz w:val="24"/>
        </w:rPr>
        <w:t xml:space="preserve">opposes mitigation of the penalty. </w:t>
      </w:r>
    </w:p>
    <w:p w14:paraId="10CE0DDA" w14:textId="77777777" w:rsidR="00303905" w:rsidRDefault="00303905" w:rsidP="0003462C">
      <w:pPr>
        <w:tabs>
          <w:tab w:val="num" w:pos="1080"/>
        </w:tabs>
        <w:spacing w:line="276" w:lineRule="auto"/>
        <w:rPr>
          <w:b/>
          <w:sz w:val="24"/>
        </w:rPr>
      </w:pPr>
    </w:p>
    <w:p w14:paraId="4BF61B31" w14:textId="6B201F1F" w:rsidR="00303905" w:rsidRDefault="00F8377B" w:rsidP="0003462C">
      <w:pPr>
        <w:pStyle w:val="ListParagraph"/>
        <w:numPr>
          <w:ilvl w:val="0"/>
          <w:numId w:val="34"/>
        </w:numPr>
        <w:tabs>
          <w:tab w:val="num" w:pos="1080"/>
        </w:tabs>
        <w:spacing w:line="276" w:lineRule="auto"/>
        <w:rPr>
          <w:sz w:val="24"/>
        </w:rPr>
      </w:pPr>
      <w:r w:rsidRPr="00396432">
        <w:rPr>
          <w:b/>
          <w:sz w:val="24"/>
        </w:rPr>
        <w:t xml:space="preserve">47 violations of </w:t>
      </w:r>
      <w:hyperlink r:id="rId14" w:anchor="49:5.1.1.2.34.5.11.4" w:history="1">
        <w:r w:rsidRPr="00B65F93">
          <w:rPr>
            <w:rStyle w:val="Hyperlink"/>
            <w:b/>
            <w:sz w:val="24"/>
          </w:rPr>
          <w:t>CFR Part 391.45(b</w:t>
        </w:r>
        <w:proofErr w:type="gramStart"/>
        <w:r w:rsidRPr="00B65F93">
          <w:rPr>
            <w:rStyle w:val="Hyperlink"/>
            <w:b/>
            <w:sz w:val="24"/>
          </w:rPr>
          <w:t>)(</w:t>
        </w:r>
        <w:proofErr w:type="gramEnd"/>
        <w:r w:rsidRPr="00B65F93">
          <w:rPr>
            <w:rStyle w:val="Hyperlink"/>
            <w:b/>
            <w:sz w:val="24"/>
          </w:rPr>
          <w:t>1)</w:t>
        </w:r>
      </w:hyperlink>
      <w:r w:rsidRPr="00396432">
        <w:rPr>
          <w:sz w:val="24"/>
        </w:rPr>
        <w:t xml:space="preserve"> </w:t>
      </w:r>
      <w:r w:rsidRPr="00396432">
        <w:rPr>
          <w:b/>
          <w:sz w:val="24"/>
        </w:rPr>
        <w:t>– Using a driver not medically examined and certified during the preceding 24 months</w:t>
      </w:r>
      <w:r w:rsidRPr="00396432">
        <w:rPr>
          <w:sz w:val="24"/>
        </w:rPr>
        <w:t xml:space="preserve">. Company driver Dick </w:t>
      </w:r>
      <w:proofErr w:type="spellStart"/>
      <w:r w:rsidRPr="00396432">
        <w:rPr>
          <w:sz w:val="24"/>
        </w:rPr>
        <w:t>Falkenbury’s</w:t>
      </w:r>
      <w:proofErr w:type="spellEnd"/>
      <w:r w:rsidRPr="00396432">
        <w:rPr>
          <w:sz w:val="24"/>
        </w:rPr>
        <w:t xml:space="preserve"> medical certificate expired on April 21, 2013, and was not renewed until September 6, 2013. Mr. </w:t>
      </w:r>
      <w:proofErr w:type="spellStart"/>
      <w:r w:rsidRPr="00396432">
        <w:rPr>
          <w:sz w:val="24"/>
        </w:rPr>
        <w:t>Falkenbury</w:t>
      </w:r>
      <w:proofErr w:type="spellEnd"/>
      <w:r w:rsidRPr="00396432">
        <w:rPr>
          <w:sz w:val="24"/>
        </w:rPr>
        <w:t xml:space="preserve"> drove on 47 occasions during that time period without medical certification. </w:t>
      </w:r>
    </w:p>
    <w:p w14:paraId="36C6A775" w14:textId="31365E68" w:rsidR="007E0927" w:rsidRDefault="00303905" w:rsidP="0003462C">
      <w:pPr>
        <w:tabs>
          <w:tab w:val="num" w:pos="720"/>
        </w:tabs>
        <w:spacing w:line="276" w:lineRule="auto"/>
        <w:ind w:left="720"/>
        <w:rPr>
          <w:sz w:val="24"/>
        </w:rPr>
      </w:pPr>
      <w:r>
        <w:rPr>
          <w:sz w:val="24"/>
        </w:rPr>
        <w:lastRenderedPageBreak/>
        <w:t xml:space="preserve">In the mitigation request, Mr. Russell states that Mr. </w:t>
      </w:r>
      <w:proofErr w:type="spellStart"/>
      <w:r>
        <w:rPr>
          <w:sz w:val="24"/>
        </w:rPr>
        <w:t>Falkenbury</w:t>
      </w:r>
      <w:proofErr w:type="spellEnd"/>
      <w:r>
        <w:rPr>
          <w:sz w:val="24"/>
        </w:rPr>
        <w:t xml:space="preserve"> </w:t>
      </w:r>
      <w:r w:rsidR="00396432">
        <w:rPr>
          <w:sz w:val="24"/>
        </w:rPr>
        <w:t>receiv</w:t>
      </w:r>
      <w:r w:rsidR="00696FD5">
        <w:rPr>
          <w:sz w:val="24"/>
        </w:rPr>
        <w:t>ed</w:t>
      </w:r>
      <w:r>
        <w:rPr>
          <w:sz w:val="24"/>
        </w:rPr>
        <w:t xml:space="preserve"> a letter from the Department of Motor Vehicles</w:t>
      </w:r>
      <w:r w:rsidRPr="00303905">
        <w:rPr>
          <w:position w:val="6"/>
          <w:sz w:val="16"/>
        </w:rPr>
        <w:t xml:space="preserve"> </w:t>
      </w:r>
      <w:r>
        <w:rPr>
          <w:sz w:val="24"/>
        </w:rPr>
        <w:t xml:space="preserve">informing </w:t>
      </w:r>
      <w:r w:rsidR="00696FD5">
        <w:rPr>
          <w:sz w:val="24"/>
        </w:rPr>
        <w:t>him</w:t>
      </w:r>
      <w:r>
        <w:rPr>
          <w:sz w:val="24"/>
        </w:rPr>
        <w:t xml:space="preserve"> that he could renew his </w:t>
      </w:r>
      <w:r w:rsidR="00696FD5">
        <w:rPr>
          <w:sz w:val="24"/>
        </w:rPr>
        <w:t>commercial driver license (</w:t>
      </w:r>
      <w:r>
        <w:rPr>
          <w:sz w:val="24"/>
        </w:rPr>
        <w:t>CDL</w:t>
      </w:r>
      <w:r w:rsidR="00696FD5">
        <w:rPr>
          <w:sz w:val="24"/>
        </w:rPr>
        <w:t>)</w:t>
      </w:r>
      <w:r>
        <w:rPr>
          <w:sz w:val="24"/>
        </w:rPr>
        <w:t xml:space="preserve"> without renewal of his medical certificate if he was only driving intrastate. </w:t>
      </w:r>
      <w:r w:rsidR="007E0927">
        <w:rPr>
          <w:sz w:val="24"/>
        </w:rPr>
        <w:t xml:space="preserve">Mr. Russell states that he asked Mr. </w:t>
      </w:r>
      <w:proofErr w:type="spellStart"/>
      <w:r w:rsidR="007E0927">
        <w:rPr>
          <w:sz w:val="24"/>
        </w:rPr>
        <w:t>Falkenbury</w:t>
      </w:r>
      <w:proofErr w:type="spellEnd"/>
      <w:r w:rsidR="007E0927">
        <w:rPr>
          <w:sz w:val="24"/>
        </w:rPr>
        <w:t xml:space="preserve"> to make a copy of the letter; however, </w:t>
      </w:r>
      <w:r w:rsidR="00396432">
        <w:rPr>
          <w:sz w:val="24"/>
        </w:rPr>
        <w:t>Mr. Russell</w:t>
      </w:r>
      <w:r w:rsidR="007E0927">
        <w:rPr>
          <w:sz w:val="24"/>
        </w:rPr>
        <w:t xml:space="preserve"> did not include </w:t>
      </w:r>
      <w:r w:rsidR="00696FD5">
        <w:rPr>
          <w:sz w:val="24"/>
        </w:rPr>
        <w:t xml:space="preserve">a copy of </w:t>
      </w:r>
      <w:r w:rsidR="00396432">
        <w:rPr>
          <w:sz w:val="24"/>
        </w:rPr>
        <w:t>the letter</w:t>
      </w:r>
      <w:r w:rsidR="007E0927">
        <w:rPr>
          <w:sz w:val="24"/>
        </w:rPr>
        <w:t xml:space="preserve"> with the mitigation request.</w:t>
      </w:r>
    </w:p>
    <w:p w14:paraId="40DD1D49" w14:textId="77777777" w:rsidR="003A64BF" w:rsidRDefault="003A64BF" w:rsidP="0003462C">
      <w:pPr>
        <w:tabs>
          <w:tab w:val="num" w:pos="720"/>
        </w:tabs>
        <w:spacing w:line="276" w:lineRule="auto"/>
        <w:ind w:left="720"/>
        <w:rPr>
          <w:sz w:val="24"/>
        </w:rPr>
      </w:pPr>
    </w:p>
    <w:p w14:paraId="03884DA8" w14:textId="503EDDD0" w:rsidR="00EF050A" w:rsidRDefault="007E0927" w:rsidP="0003462C">
      <w:pPr>
        <w:tabs>
          <w:tab w:val="num" w:pos="720"/>
        </w:tabs>
        <w:spacing w:line="276" w:lineRule="auto"/>
        <w:ind w:left="720"/>
        <w:rPr>
          <w:sz w:val="24"/>
        </w:rPr>
      </w:pPr>
      <w:r w:rsidRPr="007E0927">
        <w:rPr>
          <w:b/>
          <w:sz w:val="24"/>
        </w:rPr>
        <w:t>No mitigation is appropriate.</w:t>
      </w:r>
      <w:r>
        <w:rPr>
          <w:sz w:val="24"/>
        </w:rPr>
        <w:t xml:space="preserve"> T</w:t>
      </w:r>
      <w:r w:rsidR="00303905" w:rsidRPr="00303905">
        <w:rPr>
          <w:sz w:val="24"/>
        </w:rPr>
        <w:t>he Washington State</w:t>
      </w:r>
      <w:r w:rsidR="00321B14">
        <w:rPr>
          <w:sz w:val="24"/>
        </w:rPr>
        <w:t xml:space="preserve"> Department of Licensing (DOL) </w:t>
      </w:r>
      <w:r w:rsidR="00303905" w:rsidRPr="00303905">
        <w:rPr>
          <w:sz w:val="24"/>
        </w:rPr>
        <w:t xml:space="preserve">is the agency responsible for issuing </w:t>
      </w:r>
      <w:r w:rsidR="00696FD5">
        <w:rPr>
          <w:sz w:val="24"/>
        </w:rPr>
        <w:t>C</w:t>
      </w:r>
      <w:r>
        <w:rPr>
          <w:sz w:val="24"/>
        </w:rPr>
        <w:t>DL</w:t>
      </w:r>
      <w:r w:rsidR="00696FD5">
        <w:rPr>
          <w:sz w:val="24"/>
        </w:rPr>
        <w:t>s</w:t>
      </w:r>
      <w:r w:rsidR="00303905" w:rsidRPr="00303905">
        <w:rPr>
          <w:sz w:val="24"/>
        </w:rPr>
        <w:t>.</w:t>
      </w:r>
      <w:r w:rsidR="00303905">
        <w:rPr>
          <w:sz w:val="24"/>
        </w:rPr>
        <w:t xml:space="preserve"> The DOL </w:t>
      </w:r>
      <w:r w:rsidR="005968EE">
        <w:rPr>
          <w:sz w:val="24"/>
        </w:rPr>
        <w:t xml:space="preserve">website </w:t>
      </w:r>
      <w:r w:rsidR="00303905">
        <w:rPr>
          <w:sz w:val="24"/>
        </w:rPr>
        <w:t xml:space="preserve">clearly </w:t>
      </w:r>
      <w:r w:rsidR="00396432">
        <w:rPr>
          <w:sz w:val="24"/>
        </w:rPr>
        <w:t xml:space="preserve">states </w:t>
      </w:r>
      <w:r w:rsidR="00303905">
        <w:rPr>
          <w:sz w:val="24"/>
        </w:rPr>
        <w:t xml:space="preserve">that </w:t>
      </w:r>
      <w:r w:rsidR="000D36B6">
        <w:rPr>
          <w:sz w:val="24"/>
        </w:rPr>
        <w:t>all CDL</w:t>
      </w:r>
      <w:r>
        <w:rPr>
          <w:sz w:val="24"/>
        </w:rPr>
        <w:t xml:space="preserve"> holders must meet federal medical certificate requirements. </w:t>
      </w:r>
      <w:r w:rsidR="005968EE">
        <w:rPr>
          <w:sz w:val="24"/>
        </w:rPr>
        <w:t xml:space="preserve">CDL holders </w:t>
      </w:r>
      <w:r w:rsidR="00321B14">
        <w:rPr>
          <w:sz w:val="24"/>
        </w:rPr>
        <w:t>o</w:t>
      </w:r>
      <w:r w:rsidR="005968EE">
        <w:rPr>
          <w:sz w:val="24"/>
        </w:rPr>
        <w:t>perat</w:t>
      </w:r>
      <w:r w:rsidR="00321B14">
        <w:rPr>
          <w:sz w:val="24"/>
        </w:rPr>
        <w:t>ing</w:t>
      </w:r>
      <w:r w:rsidR="005968EE">
        <w:rPr>
          <w:sz w:val="24"/>
        </w:rPr>
        <w:t xml:space="preserve"> commercial vehicle</w:t>
      </w:r>
      <w:r w:rsidR="00696FD5">
        <w:rPr>
          <w:sz w:val="24"/>
        </w:rPr>
        <w:t>s intrastate</w:t>
      </w:r>
      <w:r w:rsidR="005968EE">
        <w:rPr>
          <w:sz w:val="24"/>
        </w:rPr>
        <w:t xml:space="preserve"> </w:t>
      </w:r>
      <w:r w:rsidR="00696FD5">
        <w:rPr>
          <w:sz w:val="24"/>
        </w:rPr>
        <w:t>(</w:t>
      </w:r>
      <w:r w:rsidR="005968EE">
        <w:rPr>
          <w:sz w:val="24"/>
        </w:rPr>
        <w:t>only within Washington State</w:t>
      </w:r>
      <w:r w:rsidR="00696FD5">
        <w:rPr>
          <w:sz w:val="24"/>
        </w:rPr>
        <w:t>)</w:t>
      </w:r>
      <w:r w:rsidR="005968EE">
        <w:rPr>
          <w:sz w:val="24"/>
        </w:rPr>
        <w:t xml:space="preserve"> do not have to keep medical certificates </w:t>
      </w:r>
      <w:r w:rsidR="005968EE" w:rsidRPr="00696FD5">
        <w:rPr>
          <w:i/>
          <w:sz w:val="24"/>
        </w:rPr>
        <w:t>on file with the DOL</w:t>
      </w:r>
      <w:r w:rsidR="005968EE">
        <w:rPr>
          <w:sz w:val="24"/>
        </w:rPr>
        <w:t xml:space="preserve">; however, </w:t>
      </w:r>
      <w:r w:rsidR="008552AA">
        <w:rPr>
          <w:sz w:val="24"/>
        </w:rPr>
        <w:t xml:space="preserve">intrastate drivers must still carry </w:t>
      </w:r>
      <w:r w:rsidR="005968EE">
        <w:rPr>
          <w:sz w:val="24"/>
        </w:rPr>
        <w:t>m</w:t>
      </w:r>
      <w:r w:rsidR="00303905">
        <w:rPr>
          <w:sz w:val="24"/>
        </w:rPr>
        <w:t>edical certificates when operating a commercial vehicle</w:t>
      </w:r>
      <w:r w:rsidR="005968EE">
        <w:rPr>
          <w:sz w:val="24"/>
        </w:rPr>
        <w:t>.</w:t>
      </w:r>
      <w:r w:rsidRPr="00303905">
        <w:rPr>
          <w:rStyle w:val="FootnoteReference"/>
          <w:position w:val="6"/>
          <w:sz w:val="16"/>
        </w:rPr>
        <w:footnoteReference w:id="1"/>
      </w:r>
      <w:r w:rsidR="000D36B6">
        <w:rPr>
          <w:sz w:val="24"/>
        </w:rPr>
        <w:t xml:space="preserve"> </w:t>
      </w:r>
    </w:p>
    <w:p w14:paraId="6F4575D0" w14:textId="77777777" w:rsidR="00EF050A" w:rsidRDefault="00EF050A" w:rsidP="0003462C">
      <w:pPr>
        <w:tabs>
          <w:tab w:val="num" w:pos="720"/>
        </w:tabs>
        <w:spacing w:line="276" w:lineRule="auto"/>
        <w:ind w:left="720"/>
        <w:rPr>
          <w:sz w:val="24"/>
        </w:rPr>
      </w:pPr>
    </w:p>
    <w:p w14:paraId="6883ABE3" w14:textId="06F94357" w:rsidR="00303905" w:rsidRPr="00303905" w:rsidRDefault="000D36B6" w:rsidP="0003462C">
      <w:pPr>
        <w:tabs>
          <w:tab w:val="num" w:pos="720"/>
        </w:tabs>
        <w:spacing w:line="276" w:lineRule="auto"/>
        <w:ind w:left="720"/>
        <w:rPr>
          <w:sz w:val="24"/>
        </w:rPr>
      </w:pPr>
      <w:r>
        <w:rPr>
          <w:sz w:val="24"/>
        </w:rPr>
        <w:t xml:space="preserve">As </w:t>
      </w:r>
      <w:r w:rsidR="00396432">
        <w:rPr>
          <w:sz w:val="24"/>
        </w:rPr>
        <w:t>the</w:t>
      </w:r>
      <w:r>
        <w:rPr>
          <w:sz w:val="24"/>
        </w:rPr>
        <w:t xml:space="preserve"> owner of a regulated passenger transportation company, it is Mr. Russell’s responsibility to be familiar with and remain educated about </w:t>
      </w:r>
      <w:r w:rsidR="00396432">
        <w:rPr>
          <w:sz w:val="24"/>
        </w:rPr>
        <w:t xml:space="preserve">all pertinent regulatory requirements, including those related to </w:t>
      </w:r>
      <w:r w:rsidR="00696FD5">
        <w:rPr>
          <w:sz w:val="24"/>
        </w:rPr>
        <w:t>driver medical certification</w:t>
      </w:r>
      <w:r>
        <w:rPr>
          <w:sz w:val="24"/>
        </w:rPr>
        <w:t xml:space="preserve">. </w:t>
      </w:r>
    </w:p>
    <w:p w14:paraId="262D19EA" w14:textId="77777777" w:rsidR="00F8377B" w:rsidRPr="00F8377B" w:rsidRDefault="00F8377B" w:rsidP="0003462C">
      <w:pPr>
        <w:tabs>
          <w:tab w:val="num" w:pos="1080"/>
        </w:tabs>
        <w:spacing w:line="276" w:lineRule="auto"/>
        <w:rPr>
          <w:sz w:val="24"/>
        </w:rPr>
      </w:pPr>
    </w:p>
    <w:p w14:paraId="4C9CFB7C" w14:textId="60379255" w:rsidR="00F8377B" w:rsidRDefault="00F8377B" w:rsidP="0003462C">
      <w:pPr>
        <w:pStyle w:val="ListParagraph"/>
        <w:numPr>
          <w:ilvl w:val="0"/>
          <w:numId w:val="34"/>
        </w:numPr>
        <w:tabs>
          <w:tab w:val="num" w:pos="1080"/>
        </w:tabs>
        <w:spacing w:line="276" w:lineRule="auto"/>
        <w:rPr>
          <w:sz w:val="24"/>
        </w:rPr>
      </w:pPr>
      <w:r w:rsidRPr="00F8377B">
        <w:rPr>
          <w:b/>
          <w:sz w:val="24"/>
        </w:rPr>
        <w:t xml:space="preserve">Two violations of </w:t>
      </w:r>
      <w:hyperlink r:id="rId15" w:anchor="49:5.1.1.2.39.0.13.2" w:history="1">
        <w:r w:rsidRPr="00B65F93">
          <w:rPr>
            <w:rStyle w:val="Hyperlink"/>
            <w:b/>
            <w:sz w:val="24"/>
          </w:rPr>
          <w:t>CFR Part 396.3(b)</w:t>
        </w:r>
      </w:hyperlink>
      <w:r w:rsidRPr="00F8377B">
        <w:rPr>
          <w:b/>
          <w:sz w:val="24"/>
        </w:rPr>
        <w:t xml:space="preserve"> – Failing to keep minimum records of inspection and vehicle maintenance (</w:t>
      </w:r>
      <w:r w:rsidRPr="00F8377B">
        <w:rPr>
          <w:b/>
          <w:i/>
          <w:sz w:val="24"/>
        </w:rPr>
        <w:t>Critical Violation</w:t>
      </w:r>
      <w:r w:rsidRPr="00F8377B">
        <w:rPr>
          <w:b/>
          <w:sz w:val="24"/>
        </w:rPr>
        <w:t>).</w:t>
      </w:r>
      <w:r w:rsidRPr="00F8377B">
        <w:rPr>
          <w:sz w:val="24"/>
        </w:rPr>
        <w:t xml:space="preserve">  2C Captains fails to maintain any written inspection, repair or maintenance records, including due dates and nature of noted inspections or repairs for either bus. </w:t>
      </w:r>
    </w:p>
    <w:p w14:paraId="58B9F5D7" w14:textId="77777777" w:rsidR="00F8377B" w:rsidRDefault="00F8377B" w:rsidP="0003462C">
      <w:pPr>
        <w:pStyle w:val="ListParagraph"/>
        <w:spacing w:line="276" w:lineRule="auto"/>
        <w:rPr>
          <w:sz w:val="24"/>
        </w:rPr>
      </w:pPr>
    </w:p>
    <w:p w14:paraId="5B3EEEBF" w14:textId="59D74A7B" w:rsidR="00C3656A" w:rsidRDefault="00C3656A" w:rsidP="0003462C">
      <w:pPr>
        <w:pStyle w:val="ListParagraph"/>
        <w:spacing w:line="276" w:lineRule="auto"/>
        <w:rPr>
          <w:sz w:val="24"/>
        </w:rPr>
      </w:pPr>
      <w:r>
        <w:rPr>
          <w:sz w:val="24"/>
        </w:rPr>
        <w:t xml:space="preserve">In the mitigation request, Mr. Russell states that he provided commission staff with a folder containing </w:t>
      </w:r>
      <w:r w:rsidR="00696FD5">
        <w:rPr>
          <w:sz w:val="24"/>
        </w:rPr>
        <w:t xml:space="preserve">a </w:t>
      </w:r>
      <w:r>
        <w:rPr>
          <w:sz w:val="24"/>
        </w:rPr>
        <w:t xml:space="preserve">vehicle maintenance log </w:t>
      </w:r>
      <w:r w:rsidR="00396432">
        <w:rPr>
          <w:sz w:val="24"/>
        </w:rPr>
        <w:t>and</w:t>
      </w:r>
      <w:r>
        <w:rPr>
          <w:sz w:val="24"/>
        </w:rPr>
        <w:t xml:space="preserve"> a printed list of bills for all vehicle maintenance. </w:t>
      </w:r>
    </w:p>
    <w:p w14:paraId="294A3C1D" w14:textId="77777777" w:rsidR="00C3656A" w:rsidRDefault="00C3656A" w:rsidP="0003462C">
      <w:pPr>
        <w:pStyle w:val="ListParagraph"/>
        <w:spacing w:line="276" w:lineRule="auto"/>
        <w:rPr>
          <w:sz w:val="24"/>
        </w:rPr>
      </w:pPr>
    </w:p>
    <w:p w14:paraId="4A61F59C" w14:textId="1A169846" w:rsidR="00C3656A" w:rsidRPr="00C3656A" w:rsidRDefault="000A2960" w:rsidP="0003462C">
      <w:pPr>
        <w:pStyle w:val="ListParagraph"/>
        <w:spacing w:line="276" w:lineRule="auto"/>
        <w:rPr>
          <w:sz w:val="24"/>
        </w:rPr>
      </w:pPr>
      <w:r w:rsidRPr="000A2960">
        <w:rPr>
          <w:b/>
          <w:sz w:val="24"/>
        </w:rPr>
        <w:t>No mitigation is appropriate.</w:t>
      </w:r>
      <w:r>
        <w:rPr>
          <w:sz w:val="24"/>
        </w:rPr>
        <w:t xml:space="preserve"> </w:t>
      </w:r>
      <w:r w:rsidR="00C3656A">
        <w:rPr>
          <w:sz w:val="24"/>
        </w:rPr>
        <w:t>CFR Part 396.3(b) – Vehicle inspection and m</w:t>
      </w:r>
      <w:r w:rsidR="00C3656A" w:rsidRPr="00C3656A">
        <w:rPr>
          <w:sz w:val="24"/>
        </w:rPr>
        <w:t xml:space="preserve">aintenance, requires motor carriers to maintain the following records for each motor vehicle: </w:t>
      </w:r>
    </w:p>
    <w:p w14:paraId="2B1847E0" w14:textId="3EFCA26E" w:rsidR="00C3656A" w:rsidRPr="00C3656A" w:rsidRDefault="00C3656A" w:rsidP="0003462C">
      <w:pPr>
        <w:pStyle w:val="NormalWeb"/>
        <w:numPr>
          <w:ilvl w:val="0"/>
          <w:numId w:val="36"/>
        </w:numPr>
        <w:spacing w:before="0" w:beforeAutospacing="0" w:after="0" w:afterAutospacing="0" w:line="276" w:lineRule="auto"/>
        <w:ind w:left="1620" w:hanging="540"/>
      </w:pPr>
      <w:r w:rsidRPr="00C3656A">
        <w:t xml:space="preserve">An identification of the vehicle including company number, if so </w:t>
      </w:r>
      <w:proofErr w:type="gramStart"/>
      <w:r w:rsidRPr="00C3656A">
        <w:t>marked,</w:t>
      </w:r>
      <w:proofErr w:type="gramEnd"/>
      <w:r w:rsidRPr="00C3656A">
        <w:t xml:space="preserve"> make, serial number, year, and tire size. In addition, if the motor vehicle is not owned by the motor carrier, the record shall identify the name of the person furnishing the vehicle;</w:t>
      </w:r>
    </w:p>
    <w:p w14:paraId="5D8A2CEC" w14:textId="0D980B22" w:rsidR="00C3656A" w:rsidRPr="00C3656A" w:rsidRDefault="00C3656A" w:rsidP="0003462C">
      <w:pPr>
        <w:pStyle w:val="NormalWeb"/>
        <w:numPr>
          <w:ilvl w:val="0"/>
          <w:numId w:val="36"/>
        </w:numPr>
        <w:spacing w:before="0" w:beforeAutospacing="0" w:after="0" w:afterAutospacing="0" w:line="276" w:lineRule="auto"/>
        <w:ind w:left="1620" w:hanging="540"/>
      </w:pPr>
      <w:r w:rsidRPr="00C3656A">
        <w:t>A means to indicate the nature and due date of the various inspection and maintenance operations to be performed;</w:t>
      </w:r>
    </w:p>
    <w:p w14:paraId="18EA3DB1" w14:textId="1CEFD578" w:rsidR="00C3656A" w:rsidRPr="00C3656A" w:rsidRDefault="00C3656A" w:rsidP="0003462C">
      <w:pPr>
        <w:pStyle w:val="NormalWeb"/>
        <w:numPr>
          <w:ilvl w:val="0"/>
          <w:numId w:val="36"/>
        </w:numPr>
        <w:spacing w:before="0" w:beforeAutospacing="0" w:after="0" w:afterAutospacing="0" w:line="276" w:lineRule="auto"/>
        <w:ind w:left="1620" w:hanging="540"/>
      </w:pPr>
      <w:r w:rsidRPr="00C3656A">
        <w:t>A record of inspection, repairs, and maintenance indicating their date and nature; and</w:t>
      </w:r>
    </w:p>
    <w:p w14:paraId="6D4D6E9D" w14:textId="14A6AB6F" w:rsidR="00C3656A" w:rsidRDefault="00C3656A" w:rsidP="0003462C">
      <w:pPr>
        <w:pStyle w:val="NormalWeb"/>
        <w:numPr>
          <w:ilvl w:val="0"/>
          <w:numId w:val="36"/>
        </w:numPr>
        <w:spacing w:before="0" w:beforeAutospacing="0" w:after="0" w:afterAutospacing="0" w:line="276" w:lineRule="auto"/>
        <w:ind w:left="1620" w:hanging="540"/>
      </w:pPr>
      <w:r w:rsidRPr="00C3656A">
        <w:lastRenderedPageBreak/>
        <w:t>A record of tests conducted on push</w:t>
      </w:r>
      <w:r>
        <w:t>-</w:t>
      </w:r>
      <w:r w:rsidRPr="00C3656A">
        <w:t>out windows, emergency doors, and emergency door marking lights on buses</w:t>
      </w:r>
    </w:p>
    <w:p w14:paraId="56C59AC8" w14:textId="77777777" w:rsidR="00EF050A" w:rsidRDefault="00EF050A" w:rsidP="0003462C">
      <w:pPr>
        <w:pStyle w:val="ListParagraph"/>
        <w:spacing w:line="276" w:lineRule="auto"/>
        <w:rPr>
          <w:sz w:val="24"/>
        </w:rPr>
      </w:pPr>
    </w:p>
    <w:p w14:paraId="75CFCBFC" w14:textId="77777777" w:rsidR="00EF050A" w:rsidRDefault="000A2960" w:rsidP="0003462C">
      <w:pPr>
        <w:pStyle w:val="ListParagraph"/>
        <w:spacing w:line="276" w:lineRule="auto"/>
        <w:rPr>
          <w:sz w:val="24"/>
        </w:rPr>
      </w:pPr>
      <w:r w:rsidRPr="00F8377B">
        <w:rPr>
          <w:sz w:val="24"/>
        </w:rPr>
        <w:t>This CFR requirement is considered a “critical” regulation by the Federal Motor carrier Safety Administration (FMCSA). Patterns of non-compliance with critical regulations are quantitatively linked to inadequate safety management controls and usually higher-than-average accident rates.</w:t>
      </w:r>
      <w:r w:rsidRPr="00FC14E2">
        <w:rPr>
          <w:position w:val="6"/>
          <w:sz w:val="16"/>
        </w:rPr>
        <w:footnoteReference w:id="2"/>
      </w:r>
      <w:r w:rsidR="00396432">
        <w:rPr>
          <w:sz w:val="24"/>
        </w:rPr>
        <w:t xml:space="preserve"> </w:t>
      </w:r>
    </w:p>
    <w:p w14:paraId="6349F4A7" w14:textId="77777777" w:rsidR="00EF050A" w:rsidRDefault="00EF050A" w:rsidP="0003462C">
      <w:pPr>
        <w:pStyle w:val="ListParagraph"/>
        <w:spacing w:line="276" w:lineRule="auto"/>
        <w:rPr>
          <w:sz w:val="24"/>
        </w:rPr>
      </w:pPr>
    </w:p>
    <w:p w14:paraId="017F0DB0" w14:textId="77777777" w:rsidR="00E93D1B" w:rsidRDefault="00BD6E4D" w:rsidP="00E93D1B">
      <w:pPr>
        <w:pStyle w:val="ListParagraph"/>
        <w:spacing w:line="276" w:lineRule="auto"/>
        <w:rPr>
          <w:sz w:val="24"/>
        </w:rPr>
      </w:pPr>
      <w:r>
        <w:rPr>
          <w:sz w:val="24"/>
        </w:rPr>
        <w:t xml:space="preserve">During the compliance review inspection, Mr. Russell provided commission staff with </w:t>
      </w:r>
      <w:r w:rsidRPr="00BD6E4D">
        <w:rPr>
          <w:sz w:val="24"/>
        </w:rPr>
        <w:t xml:space="preserve">a folder </w:t>
      </w:r>
      <w:r w:rsidR="00837CBE">
        <w:rPr>
          <w:sz w:val="24"/>
        </w:rPr>
        <w:t>containing</w:t>
      </w:r>
      <w:r w:rsidRPr="00BD6E4D">
        <w:rPr>
          <w:sz w:val="24"/>
        </w:rPr>
        <w:t xml:space="preserve"> receipts from an outside vendor who does maintenance on </w:t>
      </w:r>
      <w:r w:rsidR="00837CBE">
        <w:rPr>
          <w:sz w:val="24"/>
        </w:rPr>
        <w:t>the company’s</w:t>
      </w:r>
      <w:r w:rsidRPr="00BD6E4D">
        <w:rPr>
          <w:sz w:val="24"/>
        </w:rPr>
        <w:t xml:space="preserve"> buses. </w:t>
      </w:r>
      <w:r>
        <w:rPr>
          <w:sz w:val="24"/>
        </w:rPr>
        <w:t>These receipts failed to</w:t>
      </w:r>
      <w:r w:rsidRPr="00BD6E4D">
        <w:rPr>
          <w:sz w:val="24"/>
        </w:rPr>
        <w:t xml:space="preserve"> indicate tire size, make of vehicle, serial number and in some instances, the year of the vehicle</w:t>
      </w:r>
      <w:r>
        <w:rPr>
          <w:sz w:val="24"/>
        </w:rPr>
        <w:t xml:space="preserve">. When staff </w:t>
      </w:r>
      <w:r w:rsidRPr="00BD6E4D">
        <w:rPr>
          <w:sz w:val="24"/>
        </w:rPr>
        <w:t xml:space="preserve">asked </w:t>
      </w:r>
      <w:r>
        <w:rPr>
          <w:sz w:val="24"/>
        </w:rPr>
        <w:t>Mr. Russell</w:t>
      </w:r>
      <w:r w:rsidRPr="00BD6E4D">
        <w:rPr>
          <w:sz w:val="24"/>
        </w:rPr>
        <w:t xml:space="preserve"> if he had a written preventative maintenance program and a record of inspection</w:t>
      </w:r>
      <w:r>
        <w:rPr>
          <w:sz w:val="24"/>
        </w:rPr>
        <w:t xml:space="preserve">s and </w:t>
      </w:r>
      <w:r w:rsidRPr="00BD6E4D">
        <w:rPr>
          <w:sz w:val="24"/>
        </w:rPr>
        <w:t>repairs for the buses</w:t>
      </w:r>
      <w:r>
        <w:rPr>
          <w:sz w:val="24"/>
        </w:rPr>
        <w:t xml:space="preserve">, Mr. Russell </w:t>
      </w:r>
      <w:r w:rsidRPr="00BD6E4D">
        <w:rPr>
          <w:sz w:val="24"/>
        </w:rPr>
        <w:t>respon</w:t>
      </w:r>
      <w:r>
        <w:rPr>
          <w:sz w:val="24"/>
        </w:rPr>
        <w:t>ded</w:t>
      </w:r>
      <w:r w:rsidRPr="00BD6E4D">
        <w:rPr>
          <w:sz w:val="24"/>
        </w:rPr>
        <w:t xml:space="preserve"> that he had no other maintenance records </w:t>
      </w:r>
      <w:r>
        <w:rPr>
          <w:sz w:val="24"/>
        </w:rPr>
        <w:t xml:space="preserve">and takes the buses in when he </w:t>
      </w:r>
      <w:r w:rsidR="00837CBE">
        <w:rPr>
          <w:sz w:val="24"/>
        </w:rPr>
        <w:t>feels</w:t>
      </w:r>
      <w:r w:rsidRPr="00BD6E4D">
        <w:rPr>
          <w:sz w:val="24"/>
        </w:rPr>
        <w:t xml:space="preserve"> they need servicing. </w:t>
      </w:r>
      <w:r w:rsidRPr="00E93D1B">
        <w:rPr>
          <w:sz w:val="24"/>
        </w:rPr>
        <w:t xml:space="preserve">The required vehicle maintenance and inspection records were not present in the folder presented to staff during the inspection; therefore, staff noted violations of the CFR requirement. </w:t>
      </w:r>
    </w:p>
    <w:p w14:paraId="70E556E7" w14:textId="77777777" w:rsidR="00E93D1B" w:rsidRDefault="00E93D1B" w:rsidP="00E93D1B">
      <w:pPr>
        <w:pStyle w:val="ListParagraph"/>
        <w:spacing w:line="276" w:lineRule="auto"/>
        <w:rPr>
          <w:sz w:val="24"/>
        </w:rPr>
      </w:pPr>
    </w:p>
    <w:p w14:paraId="5F5697BC" w14:textId="24FB19C2" w:rsidR="000A2960" w:rsidRDefault="00631BA4" w:rsidP="00906DFC">
      <w:pPr>
        <w:pStyle w:val="ListParagraph"/>
        <w:spacing w:line="276" w:lineRule="auto"/>
        <w:rPr>
          <w:sz w:val="24"/>
        </w:rPr>
      </w:pPr>
      <w:r>
        <w:rPr>
          <w:sz w:val="24"/>
        </w:rPr>
        <w:t>In</w:t>
      </w:r>
      <w:r w:rsidR="00BD6E4D" w:rsidRPr="00E93D1B">
        <w:rPr>
          <w:sz w:val="24"/>
        </w:rPr>
        <w:t xml:space="preserve"> a subsequent telephone conversation with staff, Mr. Russell stated that he had maintenance records on his computer. </w:t>
      </w:r>
      <w:r w:rsidR="00906DFC" w:rsidRPr="00906DFC">
        <w:rPr>
          <w:sz w:val="24"/>
        </w:rPr>
        <w:t>These records were neither discussed nor produced for staff during the compliance review inspection</w:t>
      </w:r>
      <w:r w:rsidR="008552AA">
        <w:rPr>
          <w:sz w:val="24"/>
        </w:rPr>
        <w:t xml:space="preserve"> or after the telephone conversation</w:t>
      </w:r>
      <w:r w:rsidR="00906DFC" w:rsidRPr="00906DFC">
        <w:rPr>
          <w:sz w:val="24"/>
        </w:rPr>
        <w:t xml:space="preserve">. Mr. Russell did not provide </w:t>
      </w:r>
      <w:r w:rsidR="00510EED">
        <w:rPr>
          <w:sz w:val="24"/>
        </w:rPr>
        <w:t xml:space="preserve">any </w:t>
      </w:r>
      <w:r w:rsidR="00B51D0B">
        <w:rPr>
          <w:sz w:val="24"/>
        </w:rPr>
        <w:t xml:space="preserve">maintenance </w:t>
      </w:r>
      <w:r w:rsidR="00906DFC" w:rsidRPr="00906DFC">
        <w:rPr>
          <w:sz w:val="24"/>
        </w:rPr>
        <w:t>records with the mitigation request.</w:t>
      </w:r>
    </w:p>
    <w:p w14:paraId="149ED37D" w14:textId="77777777" w:rsidR="00906DFC" w:rsidRPr="000A2960" w:rsidRDefault="00906DFC" w:rsidP="00906DFC">
      <w:pPr>
        <w:pStyle w:val="ListParagraph"/>
        <w:spacing w:line="276" w:lineRule="auto"/>
        <w:rPr>
          <w:sz w:val="24"/>
        </w:rPr>
      </w:pPr>
    </w:p>
    <w:p w14:paraId="6FDC86A6" w14:textId="35105656" w:rsidR="000A2960" w:rsidRDefault="00F8377B" w:rsidP="0003462C">
      <w:pPr>
        <w:pStyle w:val="ListParagraph"/>
        <w:numPr>
          <w:ilvl w:val="0"/>
          <w:numId w:val="34"/>
        </w:numPr>
        <w:tabs>
          <w:tab w:val="num" w:pos="1080"/>
        </w:tabs>
        <w:spacing w:line="276" w:lineRule="auto"/>
        <w:rPr>
          <w:sz w:val="24"/>
        </w:rPr>
      </w:pPr>
      <w:r w:rsidRPr="00F8377B">
        <w:rPr>
          <w:b/>
          <w:sz w:val="24"/>
        </w:rPr>
        <w:t xml:space="preserve">29 violations of </w:t>
      </w:r>
      <w:hyperlink r:id="rId16" w:anchor="49:5.1.1.2.39.0.13.6" w:history="1">
        <w:r w:rsidRPr="00B65F93">
          <w:rPr>
            <w:rStyle w:val="Hyperlink"/>
            <w:b/>
            <w:sz w:val="24"/>
          </w:rPr>
          <w:t>CFR Part 396.11(a)</w:t>
        </w:r>
      </w:hyperlink>
      <w:r w:rsidRPr="00F8377B">
        <w:rPr>
          <w:b/>
          <w:sz w:val="24"/>
        </w:rPr>
        <w:t xml:space="preserve"> – Failing to require driver to prepare driver vehicle inspection reports (DVIR) (</w:t>
      </w:r>
      <w:r w:rsidRPr="00F8377B">
        <w:rPr>
          <w:b/>
          <w:i/>
          <w:sz w:val="24"/>
        </w:rPr>
        <w:t>Critical Violation</w:t>
      </w:r>
      <w:r w:rsidRPr="00F8377B">
        <w:rPr>
          <w:b/>
          <w:sz w:val="24"/>
        </w:rPr>
        <w:t>).</w:t>
      </w:r>
      <w:r w:rsidRPr="00F8377B">
        <w:rPr>
          <w:sz w:val="24"/>
        </w:rPr>
        <w:t xml:space="preserve">  2C Captains’ drivers fail to complete written DVIRs at the end of each day or each shift. For the month of August 2013, drivers drove on 29 occasions and should have completed a DVIR for each drive. </w:t>
      </w:r>
    </w:p>
    <w:p w14:paraId="33A069B3" w14:textId="77777777" w:rsidR="000A2960" w:rsidRPr="000A2960" w:rsidRDefault="000A2960" w:rsidP="0003462C">
      <w:pPr>
        <w:tabs>
          <w:tab w:val="num" w:pos="1080"/>
        </w:tabs>
        <w:spacing w:line="276" w:lineRule="auto"/>
        <w:rPr>
          <w:sz w:val="24"/>
        </w:rPr>
      </w:pPr>
    </w:p>
    <w:p w14:paraId="2C03C894" w14:textId="714DF332" w:rsidR="000A2960" w:rsidRDefault="000A2960" w:rsidP="0003462C">
      <w:pPr>
        <w:tabs>
          <w:tab w:val="num" w:pos="1080"/>
        </w:tabs>
        <w:spacing w:line="276" w:lineRule="auto"/>
        <w:ind w:left="720"/>
        <w:rPr>
          <w:sz w:val="24"/>
        </w:rPr>
      </w:pPr>
      <w:r>
        <w:rPr>
          <w:sz w:val="24"/>
        </w:rPr>
        <w:t xml:space="preserve">In the mitigation request, Mr. Russell states that he inspects his vehicles each time he gives the keys to a driver. Mr. Russell and the driver walk around the bus and discuss needed maintenance, sweep out the vehicle and wipe down the seats and windows before the </w:t>
      </w:r>
      <w:r w:rsidR="008552AA">
        <w:rPr>
          <w:sz w:val="24"/>
        </w:rPr>
        <w:t>company vehicle</w:t>
      </w:r>
      <w:r>
        <w:rPr>
          <w:sz w:val="24"/>
        </w:rPr>
        <w:t xml:space="preserve"> </w:t>
      </w:r>
      <w:r w:rsidR="008552AA">
        <w:rPr>
          <w:sz w:val="24"/>
        </w:rPr>
        <w:t>is dispatched</w:t>
      </w:r>
      <w:r>
        <w:rPr>
          <w:sz w:val="24"/>
        </w:rPr>
        <w:t xml:space="preserve"> to pick up a customer. </w:t>
      </w:r>
    </w:p>
    <w:p w14:paraId="2950152A" w14:textId="77777777" w:rsidR="000A2960" w:rsidRDefault="000A2960" w:rsidP="0003462C">
      <w:pPr>
        <w:tabs>
          <w:tab w:val="num" w:pos="1080"/>
        </w:tabs>
        <w:spacing w:line="276" w:lineRule="auto"/>
        <w:ind w:left="720"/>
        <w:rPr>
          <w:sz w:val="24"/>
        </w:rPr>
      </w:pPr>
    </w:p>
    <w:p w14:paraId="63E82FB6" w14:textId="54106C17" w:rsidR="000A2960" w:rsidRDefault="000A2960" w:rsidP="0003462C">
      <w:pPr>
        <w:tabs>
          <w:tab w:val="num" w:pos="1080"/>
        </w:tabs>
        <w:spacing w:line="276" w:lineRule="auto"/>
        <w:ind w:left="720"/>
        <w:rPr>
          <w:sz w:val="24"/>
        </w:rPr>
      </w:pPr>
      <w:r w:rsidRPr="00EF050A">
        <w:rPr>
          <w:b/>
          <w:sz w:val="24"/>
        </w:rPr>
        <w:t>No mitigation is appropriate</w:t>
      </w:r>
      <w:r w:rsidRPr="000A2960">
        <w:rPr>
          <w:sz w:val="24"/>
        </w:rPr>
        <w:t xml:space="preserve">. CFR Part 396.11(a) - </w:t>
      </w:r>
      <w:r w:rsidRPr="000A2960">
        <w:rPr>
          <w:iCs/>
          <w:sz w:val="24"/>
        </w:rPr>
        <w:t>Equipment provided by motor carrier</w:t>
      </w:r>
      <w:r w:rsidR="00EF050A">
        <w:rPr>
          <w:iCs/>
          <w:sz w:val="24"/>
        </w:rPr>
        <w:t>,</w:t>
      </w:r>
      <w:r w:rsidRPr="000A2960">
        <w:rPr>
          <w:iCs/>
          <w:sz w:val="24"/>
        </w:rPr>
        <w:t xml:space="preserve"> </w:t>
      </w:r>
      <w:r w:rsidR="00EF050A">
        <w:rPr>
          <w:iCs/>
          <w:sz w:val="24"/>
        </w:rPr>
        <w:t>states that</w:t>
      </w:r>
      <w:r w:rsidRPr="000A2960">
        <w:rPr>
          <w:sz w:val="24"/>
        </w:rPr>
        <w:t xml:space="preserve"> motor carrier</w:t>
      </w:r>
      <w:r w:rsidR="00EF050A">
        <w:rPr>
          <w:sz w:val="24"/>
        </w:rPr>
        <w:t>s</w:t>
      </w:r>
      <w:r w:rsidRPr="000A2960">
        <w:rPr>
          <w:sz w:val="24"/>
        </w:rPr>
        <w:t xml:space="preserve"> must require every driver </w:t>
      </w:r>
      <w:r w:rsidR="00EF050A">
        <w:rPr>
          <w:sz w:val="24"/>
        </w:rPr>
        <w:t>to</w:t>
      </w:r>
      <w:r w:rsidRPr="000A2960">
        <w:rPr>
          <w:sz w:val="24"/>
        </w:rPr>
        <w:t xml:space="preserve"> prepare a report in writing </w:t>
      </w:r>
      <w:r w:rsidRPr="000A2960">
        <w:rPr>
          <w:sz w:val="24"/>
        </w:rPr>
        <w:lastRenderedPageBreak/>
        <w:t>at the completion of each day's work on each vehicle operated. The report must cover at least the following parts and accessories:</w:t>
      </w:r>
    </w:p>
    <w:p w14:paraId="7D0B1DFA" w14:textId="77777777" w:rsidR="00321B14" w:rsidRDefault="00321B14" w:rsidP="0003462C">
      <w:pPr>
        <w:tabs>
          <w:tab w:val="num" w:pos="1080"/>
        </w:tabs>
        <w:spacing w:line="276" w:lineRule="auto"/>
        <w:ind w:left="720"/>
        <w:rPr>
          <w:sz w:val="24"/>
        </w:rPr>
      </w:pPr>
    </w:p>
    <w:p w14:paraId="5D7B502D" w14:textId="4B247644" w:rsidR="000A2960" w:rsidRPr="000A2960" w:rsidRDefault="000A2960" w:rsidP="0003462C">
      <w:pPr>
        <w:pStyle w:val="NormalWeb"/>
        <w:numPr>
          <w:ilvl w:val="0"/>
          <w:numId w:val="40"/>
        </w:numPr>
        <w:spacing w:before="0" w:beforeAutospacing="0" w:after="0" w:afterAutospacing="0" w:line="276" w:lineRule="auto"/>
        <w:ind w:left="1530"/>
      </w:pPr>
      <w:r w:rsidRPr="000A2960">
        <w:t>Service brakes including trailer brake connections</w:t>
      </w:r>
      <w:r>
        <w:t>.</w:t>
      </w:r>
    </w:p>
    <w:p w14:paraId="5EBFC03D" w14:textId="08144236" w:rsidR="000A2960" w:rsidRPr="000A2960" w:rsidRDefault="000A2960" w:rsidP="0003462C">
      <w:pPr>
        <w:pStyle w:val="NormalWeb"/>
        <w:numPr>
          <w:ilvl w:val="0"/>
          <w:numId w:val="40"/>
        </w:numPr>
        <w:spacing w:before="0" w:beforeAutospacing="0" w:after="0" w:afterAutospacing="0" w:line="276" w:lineRule="auto"/>
        <w:ind w:left="1530"/>
      </w:pPr>
      <w:r>
        <w:t>Parking brake.</w:t>
      </w:r>
    </w:p>
    <w:p w14:paraId="7D3EC198" w14:textId="47D1FDB1" w:rsidR="000A2960" w:rsidRPr="000A2960" w:rsidRDefault="000A2960" w:rsidP="0003462C">
      <w:pPr>
        <w:pStyle w:val="NormalWeb"/>
        <w:numPr>
          <w:ilvl w:val="0"/>
          <w:numId w:val="40"/>
        </w:numPr>
        <w:spacing w:before="0" w:beforeAutospacing="0" w:after="0" w:afterAutospacing="0" w:line="276" w:lineRule="auto"/>
        <w:ind w:left="1530"/>
      </w:pPr>
      <w:r>
        <w:t>Steering mechanism.</w:t>
      </w:r>
    </w:p>
    <w:p w14:paraId="6B95D176" w14:textId="162D85F2" w:rsidR="000A2960" w:rsidRPr="000A2960" w:rsidRDefault="000A2960" w:rsidP="0003462C">
      <w:pPr>
        <w:pStyle w:val="NormalWeb"/>
        <w:numPr>
          <w:ilvl w:val="0"/>
          <w:numId w:val="40"/>
        </w:numPr>
        <w:spacing w:before="0" w:beforeAutospacing="0" w:after="0" w:afterAutospacing="0" w:line="276" w:lineRule="auto"/>
        <w:ind w:left="1530"/>
      </w:pPr>
      <w:r>
        <w:t>Lighting devices and reflectors.</w:t>
      </w:r>
    </w:p>
    <w:p w14:paraId="6D9195A0" w14:textId="64C46586" w:rsidR="000A2960" w:rsidRPr="000A2960" w:rsidRDefault="000A2960" w:rsidP="0003462C">
      <w:pPr>
        <w:pStyle w:val="NormalWeb"/>
        <w:numPr>
          <w:ilvl w:val="0"/>
          <w:numId w:val="40"/>
        </w:numPr>
        <w:spacing w:before="0" w:beforeAutospacing="0" w:after="0" w:afterAutospacing="0" w:line="276" w:lineRule="auto"/>
        <w:ind w:left="1530"/>
      </w:pPr>
      <w:r>
        <w:t>Tires.</w:t>
      </w:r>
    </w:p>
    <w:p w14:paraId="0525FB69" w14:textId="6EF2A844" w:rsidR="000A2960" w:rsidRPr="000A2960" w:rsidRDefault="000A2960" w:rsidP="0003462C">
      <w:pPr>
        <w:pStyle w:val="NormalWeb"/>
        <w:numPr>
          <w:ilvl w:val="0"/>
          <w:numId w:val="40"/>
        </w:numPr>
        <w:spacing w:before="0" w:beforeAutospacing="0" w:after="0" w:afterAutospacing="0" w:line="276" w:lineRule="auto"/>
        <w:ind w:left="1530"/>
      </w:pPr>
      <w:r>
        <w:t>Horn.</w:t>
      </w:r>
    </w:p>
    <w:p w14:paraId="1D2AAE5C" w14:textId="79986415" w:rsidR="000A2960" w:rsidRPr="000A2960" w:rsidRDefault="000A2960" w:rsidP="0003462C">
      <w:pPr>
        <w:pStyle w:val="NormalWeb"/>
        <w:numPr>
          <w:ilvl w:val="0"/>
          <w:numId w:val="40"/>
        </w:numPr>
        <w:spacing w:before="0" w:beforeAutospacing="0" w:after="0" w:afterAutospacing="0" w:line="276" w:lineRule="auto"/>
        <w:ind w:left="1530"/>
      </w:pPr>
      <w:r>
        <w:t>Windshield wipers.</w:t>
      </w:r>
    </w:p>
    <w:p w14:paraId="096FB047" w14:textId="1CEC0DD5" w:rsidR="000A2960" w:rsidRPr="000A2960" w:rsidRDefault="000A2960" w:rsidP="0003462C">
      <w:pPr>
        <w:pStyle w:val="NormalWeb"/>
        <w:numPr>
          <w:ilvl w:val="0"/>
          <w:numId w:val="40"/>
        </w:numPr>
        <w:spacing w:before="0" w:beforeAutospacing="0" w:after="0" w:afterAutospacing="0" w:line="276" w:lineRule="auto"/>
        <w:ind w:left="1530"/>
      </w:pPr>
      <w:r>
        <w:t>Rear vision mirrors.</w:t>
      </w:r>
    </w:p>
    <w:p w14:paraId="1CCA57C1" w14:textId="7DCDF102" w:rsidR="000A2960" w:rsidRPr="000A2960" w:rsidRDefault="000A2960" w:rsidP="0003462C">
      <w:pPr>
        <w:pStyle w:val="NormalWeb"/>
        <w:numPr>
          <w:ilvl w:val="0"/>
          <w:numId w:val="40"/>
        </w:numPr>
        <w:spacing w:before="0" w:beforeAutospacing="0" w:after="0" w:afterAutospacing="0" w:line="276" w:lineRule="auto"/>
        <w:ind w:left="1530"/>
      </w:pPr>
      <w:r>
        <w:t>Coupling devices.</w:t>
      </w:r>
    </w:p>
    <w:p w14:paraId="1995574A" w14:textId="14CDE4A0" w:rsidR="000A2960" w:rsidRPr="000A2960" w:rsidRDefault="000A2960" w:rsidP="0003462C">
      <w:pPr>
        <w:pStyle w:val="NormalWeb"/>
        <w:numPr>
          <w:ilvl w:val="0"/>
          <w:numId w:val="40"/>
        </w:numPr>
        <w:spacing w:before="0" w:beforeAutospacing="0" w:after="0" w:afterAutospacing="0" w:line="276" w:lineRule="auto"/>
        <w:ind w:left="1530"/>
      </w:pPr>
      <w:r>
        <w:t>Wheels and rims.</w:t>
      </w:r>
    </w:p>
    <w:p w14:paraId="11427300" w14:textId="5D5174E8" w:rsidR="000A2960" w:rsidRDefault="000A2960" w:rsidP="0003462C">
      <w:pPr>
        <w:pStyle w:val="NormalWeb"/>
        <w:numPr>
          <w:ilvl w:val="0"/>
          <w:numId w:val="40"/>
        </w:numPr>
        <w:spacing w:before="0" w:beforeAutospacing="0" w:after="0" w:afterAutospacing="0" w:line="276" w:lineRule="auto"/>
        <w:ind w:left="1530"/>
      </w:pPr>
      <w:r>
        <w:t>Emergency equipment.</w:t>
      </w:r>
    </w:p>
    <w:p w14:paraId="1BA0FD53" w14:textId="77777777" w:rsidR="00783F81" w:rsidRDefault="00783F81" w:rsidP="0003462C">
      <w:pPr>
        <w:tabs>
          <w:tab w:val="num" w:pos="1080"/>
        </w:tabs>
        <w:spacing w:line="276" w:lineRule="auto"/>
        <w:ind w:left="720"/>
        <w:rPr>
          <w:sz w:val="24"/>
        </w:rPr>
      </w:pPr>
    </w:p>
    <w:p w14:paraId="3D68ABAC" w14:textId="60EB6195" w:rsidR="00F8377B" w:rsidRDefault="00774934" w:rsidP="0003462C">
      <w:pPr>
        <w:tabs>
          <w:tab w:val="num" w:pos="1080"/>
        </w:tabs>
        <w:spacing w:line="276" w:lineRule="auto"/>
        <w:ind w:left="720"/>
        <w:rPr>
          <w:sz w:val="24"/>
        </w:rPr>
      </w:pPr>
      <w:r>
        <w:rPr>
          <w:sz w:val="24"/>
        </w:rPr>
        <w:t xml:space="preserve">In the mitigation request, Mr. Russell makes no mention of drivers completing the required DVIRs after each inspection. </w:t>
      </w:r>
      <w:r w:rsidR="00F8377B" w:rsidRPr="000A2960">
        <w:rPr>
          <w:sz w:val="24"/>
        </w:rPr>
        <w:t>This CFR requirement is another regulation considered critical</w:t>
      </w:r>
      <w:r w:rsidR="000F0FD7">
        <w:rPr>
          <w:sz w:val="24"/>
        </w:rPr>
        <w:t xml:space="preserve"> by the</w:t>
      </w:r>
      <w:r w:rsidR="00F8377B" w:rsidRPr="000A2960">
        <w:rPr>
          <w:sz w:val="24"/>
        </w:rPr>
        <w:t xml:space="preserve"> FMCSA. This is also a repeat violation. Commission staff previously noted violations of this CFR</w:t>
      </w:r>
      <w:r w:rsidR="0003462C">
        <w:rPr>
          <w:sz w:val="24"/>
        </w:rPr>
        <w:t xml:space="preserve"> during a compliance review inspection</w:t>
      </w:r>
      <w:r w:rsidR="00F8377B" w:rsidRPr="000A2960">
        <w:rPr>
          <w:sz w:val="24"/>
        </w:rPr>
        <w:t xml:space="preserve"> in 2010. 2C Captains knew or should have known about this requirement.</w:t>
      </w:r>
    </w:p>
    <w:p w14:paraId="344DE31C" w14:textId="77777777" w:rsidR="00F8377B" w:rsidRPr="00F8377B" w:rsidRDefault="00F8377B" w:rsidP="00F8377B">
      <w:pPr>
        <w:pStyle w:val="ListParagraph"/>
        <w:rPr>
          <w:sz w:val="24"/>
        </w:rPr>
      </w:pPr>
    </w:p>
    <w:p w14:paraId="786865EC" w14:textId="1A60CEEF" w:rsidR="00B76F8A" w:rsidRDefault="00F8377B" w:rsidP="0003462C">
      <w:pPr>
        <w:pStyle w:val="ListParagraph"/>
        <w:numPr>
          <w:ilvl w:val="0"/>
          <w:numId w:val="34"/>
        </w:numPr>
        <w:tabs>
          <w:tab w:val="num" w:pos="1080"/>
        </w:tabs>
        <w:spacing w:line="276" w:lineRule="auto"/>
        <w:rPr>
          <w:sz w:val="24"/>
        </w:rPr>
      </w:pPr>
      <w:r w:rsidRPr="00F8377B">
        <w:rPr>
          <w:b/>
          <w:sz w:val="24"/>
        </w:rPr>
        <w:t xml:space="preserve">One violation of </w:t>
      </w:r>
      <w:hyperlink r:id="rId17" w:anchor="49:5.1.1.2.39.0.13.10" w:history="1">
        <w:r w:rsidRPr="00B65F93">
          <w:rPr>
            <w:rStyle w:val="Hyperlink"/>
            <w:b/>
            <w:sz w:val="24"/>
          </w:rPr>
          <w:t>CFR Part 396.17(a)</w:t>
        </w:r>
      </w:hyperlink>
      <w:r w:rsidRPr="00F8377B">
        <w:rPr>
          <w:b/>
          <w:sz w:val="24"/>
        </w:rPr>
        <w:t xml:space="preserve"> – Using a commercial vehicle not periodically inspected.</w:t>
      </w:r>
      <w:r w:rsidRPr="00F8377B">
        <w:rPr>
          <w:sz w:val="24"/>
        </w:rPr>
        <w:t xml:space="preserve"> The commercial motor vehicle </w:t>
      </w:r>
      <w:r w:rsidR="0003462C">
        <w:rPr>
          <w:sz w:val="24"/>
        </w:rPr>
        <w:t xml:space="preserve">E450 </w:t>
      </w:r>
      <w:r w:rsidRPr="00F8377B">
        <w:rPr>
          <w:sz w:val="24"/>
        </w:rPr>
        <w:t xml:space="preserve">had not been inspected since June 2012. </w:t>
      </w:r>
    </w:p>
    <w:p w14:paraId="1498E9A1" w14:textId="77777777" w:rsidR="0003462C" w:rsidRDefault="0003462C" w:rsidP="0003462C">
      <w:pPr>
        <w:widowControl/>
        <w:autoSpaceDE/>
        <w:autoSpaceDN/>
        <w:adjustRightInd/>
        <w:spacing w:line="276" w:lineRule="auto"/>
        <w:ind w:left="720"/>
        <w:rPr>
          <w:bCs/>
          <w:sz w:val="24"/>
        </w:rPr>
      </w:pPr>
    </w:p>
    <w:p w14:paraId="786865EF" w14:textId="476DD3DB" w:rsidR="002F3753" w:rsidRDefault="0003462C" w:rsidP="0003462C">
      <w:pPr>
        <w:widowControl/>
        <w:autoSpaceDE/>
        <w:autoSpaceDN/>
        <w:adjustRightInd/>
        <w:spacing w:line="276" w:lineRule="auto"/>
        <w:ind w:left="720"/>
        <w:rPr>
          <w:bCs/>
          <w:sz w:val="24"/>
        </w:rPr>
      </w:pPr>
      <w:r>
        <w:rPr>
          <w:bCs/>
          <w:sz w:val="24"/>
        </w:rPr>
        <w:t>In the mitigation request, Mr. Russell states that he purc</w:t>
      </w:r>
      <w:r w:rsidR="00321B14">
        <w:rPr>
          <w:bCs/>
          <w:sz w:val="24"/>
        </w:rPr>
        <w:t xml:space="preserve">hased bus E450 in 2012 and was </w:t>
      </w:r>
      <w:r>
        <w:rPr>
          <w:bCs/>
          <w:sz w:val="24"/>
        </w:rPr>
        <w:t xml:space="preserve">under the impression that an inspection is good for two years. </w:t>
      </w:r>
    </w:p>
    <w:p w14:paraId="0ABB919B" w14:textId="77777777" w:rsidR="0003462C" w:rsidRDefault="0003462C" w:rsidP="0003462C">
      <w:pPr>
        <w:widowControl/>
        <w:autoSpaceDE/>
        <w:autoSpaceDN/>
        <w:adjustRightInd/>
        <w:spacing w:line="276" w:lineRule="auto"/>
        <w:ind w:left="720"/>
        <w:rPr>
          <w:bCs/>
          <w:sz w:val="24"/>
        </w:rPr>
      </w:pPr>
    </w:p>
    <w:p w14:paraId="1F910720" w14:textId="6FEC05F6" w:rsidR="00992E3F" w:rsidRDefault="0003462C" w:rsidP="0003462C">
      <w:pPr>
        <w:tabs>
          <w:tab w:val="num" w:pos="1080"/>
        </w:tabs>
        <w:spacing w:line="276" w:lineRule="auto"/>
        <w:ind w:left="720"/>
        <w:rPr>
          <w:sz w:val="24"/>
        </w:rPr>
      </w:pPr>
      <w:r w:rsidRPr="0003462C">
        <w:rPr>
          <w:b/>
          <w:sz w:val="24"/>
        </w:rPr>
        <w:t>No mitigation is appropriate</w:t>
      </w:r>
      <w:r w:rsidRPr="0003462C">
        <w:rPr>
          <w:sz w:val="24"/>
        </w:rPr>
        <w:t xml:space="preserve">. </w:t>
      </w:r>
      <w:r>
        <w:rPr>
          <w:sz w:val="24"/>
        </w:rPr>
        <w:t xml:space="preserve">CFR Part </w:t>
      </w:r>
      <w:r w:rsidRPr="0003462C">
        <w:rPr>
          <w:sz w:val="24"/>
        </w:rPr>
        <w:t>396.17</w:t>
      </w:r>
      <w:r>
        <w:rPr>
          <w:sz w:val="24"/>
        </w:rPr>
        <w:t>(a) - Periodic inspection, states that e</w:t>
      </w:r>
      <w:r w:rsidRPr="0003462C">
        <w:rPr>
          <w:sz w:val="24"/>
        </w:rPr>
        <w:t>very commercial motor vehicle must be inspected as required by th</w:t>
      </w:r>
      <w:r w:rsidR="00992E3F">
        <w:rPr>
          <w:sz w:val="24"/>
        </w:rPr>
        <w:t>e</w:t>
      </w:r>
      <w:r>
        <w:rPr>
          <w:sz w:val="24"/>
        </w:rPr>
        <w:t xml:space="preserve"> CFR</w:t>
      </w:r>
      <w:r w:rsidRPr="0003462C">
        <w:rPr>
          <w:sz w:val="24"/>
        </w:rPr>
        <w:t>. A motor carrier must not use a commercial motor vehicle</w:t>
      </w:r>
      <w:r>
        <w:rPr>
          <w:sz w:val="24"/>
        </w:rPr>
        <w:t xml:space="preserve"> </w:t>
      </w:r>
      <w:r w:rsidRPr="0003462C">
        <w:rPr>
          <w:sz w:val="24"/>
        </w:rPr>
        <w:t xml:space="preserve">unless each component identified in </w:t>
      </w:r>
      <w:r>
        <w:rPr>
          <w:sz w:val="24"/>
        </w:rPr>
        <w:t xml:space="preserve">the </w:t>
      </w:r>
      <w:r w:rsidR="00992E3F">
        <w:rPr>
          <w:sz w:val="24"/>
        </w:rPr>
        <w:t xml:space="preserve">CFR </w:t>
      </w:r>
      <w:r w:rsidRPr="0003462C">
        <w:rPr>
          <w:sz w:val="24"/>
        </w:rPr>
        <w:t xml:space="preserve">has passed an inspection at least once </w:t>
      </w:r>
      <w:r w:rsidRPr="0003462C">
        <w:rPr>
          <w:i/>
          <w:sz w:val="24"/>
        </w:rPr>
        <w:t>during the preceding 12 months</w:t>
      </w:r>
      <w:r w:rsidRPr="0003462C">
        <w:rPr>
          <w:sz w:val="24"/>
        </w:rPr>
        <w:t xml:space="preserve"> and documentation of such inspection is on the vehicle.</w:t>
      </w:r>
      <w:r w:rsidR="000F0FD7">
        <w:rPr>
          <w:sz w:val="24"/>
        </w:rPr>
        <w:t xml:space="preserve"> </w:t>
      </w:r>
    </w:p>
    <w:p w14:paraId="202F3803" w14:textId="77777777" w:rsidR="00992E3F" w:rsidRDefault="00992E3F" w:rsidP="0003462C">
      <w:pPr>
        <w:tabs>
          <w:tab w:val="num" w:pos="1080"/>
        </w:tabs>
        <w:spacing w:line="276" w:lineRule="auto"/>
        <w:ind w:left="720"/>
        <w:rPr>
          <w:sz w:val="24"/>
        </w:rPr>
      </w:pPr>
    </w:p>
    <w:p w14:paraId="3DA59056" w14:textId="19CB1D49" w:rsidR="0003462C" w:rsidRPr="0003462C" w:rsidRDefault="0003462C" w:rsidP="0003462C">
      <w:pPr>
        <w:tabs>
          <w:tab w:val="num" w:pos="1080"/>
        </w:tabs>
        <w:spacing w:line="276" w:lineRule="auto"/>
        <w:ind w:left="720"/>
        <w:rPr>
          <w:sz w:val="24"/>
        </w:rPr>
      </w:pPr>
      <w:r w:rsidRPr="0003462C">
        <w:rPr>
          <w:sz w:val="24"/>
        </w:rPr>
        <w:t xml:space="preserve">This is </w:t>
      </w:r>
      <w:r w:rsidR="000F0FD7">
        <w:rPr>
          <w:sz w:val="24"/>
        </w:rPr>
        <w:t xml:space="preserve">also </w:t>
      </w:r>
      <w:r w:rsidRPr="0003462C">
        <w:rPr>
          <w:sz w:val="24"/>
        </w:rPr>
        <w:t>a repeat violation. Commission staff previously noted violations of this CFR</w:t>
      </w:r>
      <w:r>
        <w:rPr>
          <w:sz w:val="24"/>
        </w:rPr>
        <w:t xml:space="preserve"> during a compliance review inspection</w:t>
      </w:r>
      <w:r w:rsidRPr="0003462C">
        <w:rPr>
          <w:sz w:val="24"/>
        </w:rPr>
        <w:t xml:space="preserve"> in 2010. 2C Captains knew or should have known about this requirement. </w:t>
      </w:r>
    </w:p>
    <w:p w14:paraId="60A918FF" w14:textId="77777777" w:rsidR="00FC14E2" w:rsidRDefault="00FC14E2" w:rsidP="00844B1E">
      <w:pPr>
        <w:pStyle w:val="BodyText"/>
        <w:widowControl/>
        <w:spacing w:line="276" w:lineRule="auto"/>
      </w:pPr>
    </w:p>
    <w:p w14:paraId="351E4C54" w14:textId="7D31DB04" w:rsidR="003E37AD" w:rsidRDefault="003E37AD" w:rsidP="00844B1E">
      <w:pPr>
        <w:pStyle w:val="BodyText"/>
        <w:widowControl/>
        <w:spacing w:line="276" w:lineRule="auto"/>
      </w:pPr>
      <w:r>
        <w:t>Staff recommends no mitigation of the assessed penalty and will testify in support of its recommendation at hearing.</w:t>
      </w:r>
    </w:p>
    <w:p w14:paraId="786865F3" w14:textId="77777777" w:rsidR="00844B1E" w:rsidRPr="00311F8F" w:rsidRDefault="00844B1E" w:rsidP="00844B1E">
      <w:pPr>
        <w:pStyle w:val="BodyText"/>
        <w:widowControl/>
        <w:spacing w:line="276" w:lineRule="auto"/>
      </w:pPr>
      <w:bookmarkStart w:id="0" w:name="_GoBack"/>
      <w:bookmarkEnd w:id="0"/>
      <w:r>
        <w:lastRenderedPageBreak/>
        <w:t xml:space="preserve">If you have any questions, please contact </w:t>
      </w:r>
      <w:r w:rsidRPr="00311F8F">
        <w:t xml:space="preserve">Betty Young, Compliance </w:t>
      </w:r>
      <w:r>
        <w:t>Investigator</w:t>
      </w:r>
      <w:r w:rsidRPr="00311F8F">
        <w:t>, Transportation Safety</w:t>
      </w:r>
      <w:r>
        <w:t xml:space="preserve">, </w:t>
      </w:r>
      <w:r w:rsidRPr="00311F8F">
        <w:t xml:space="preserve">at 360-664-1202, or by e-mail at </w:t>
      </w:r>
      <w:hyperlink r:id="rId18" w:history="1">
        <w:r w:rsidRPr="00311F8F">
          <w:rPr>
            <w:rStyle w:val="Hyperlink"/>
            <w:rFonts w:eastAsiaTheme="majorEastAsia"/>
          </w:rPr>
          <w:t>byoung@utc.wa.gov</w:t>
        </w:r>
      </w:hyperlink>
      <w:r w:rsidRPr="00311F8F">
        <w:t xml:space="preserve">. </w:t>
      </w:r>
    </w:p>
    <w:p w14:paraId="786865F4" w14:textId="77777777" w:rsidR="002F3753" w:rsidRDefault="002F3753" w:rsidP="003A74AC">
      <w:pPr>
        <w:widowControl/>
        <w:rPr>
          <w:sz w:val="24"/>
        </w:rPr>
      </w:pPr>
    </w:p>
    <w:p w14:paraId="786865F5" w14:textId="77777777" w:rsidR="00A66F7E" w:rsidRPr="002B4F19" w:rsidRDefault="00A66F7E" w:rsidP="00A66F7E">
      <w:pPr>
        <w:spacing w:line="276" w:lineRule="auto"/>
        <w:rPr>
          <w:sz w:val="24"/>
        </w:rPr>
      </w:pPr>
      <w:r w:rsidRPr="002B4F19">
        <w:rPr>
          <w:sz w:val="24"/>
        </w:rPr>
        <w:t>Sincerely,</w:t>
      </w:r>
    </w:p>
    <w:p w14:paraId="786865F6" w14:textId="77777777" w:rsidR="00A66F7E" w:rsidRPr="002B4F19" w:rsidRDefault="00A66F7E" w:rsidP="00A66F7E">
      <w:pPr>
        <w:spacing w:line="276" w:lineRule="auto"/>
        <w:rPr>
          <w:sz w:val="24"/>
        </w:rPr>
      </w:pPr>
    </w:p>
    <w:p w14:paraId="786865F7" w14:textId="77777777" w:rsidR="00A66F7E" w:rsidRPr="002B4F19" w:rsidRDefault="00A66F7E" w:rsidP="00A66F7E">
      <w:pPr>
        <w:spacing w:line="276" w:lineRule="auto"/>
        <w:rPr>
          <w:sz w:val="24"/>
        </w:rPr>
      </w:pPr>
    </w:p>
    <w:p w14:paraId="786865F8" w14:textId="77777777" w:rsidR="00A66F7E" w:rsidRPr="002B4F19" w:rsidRDefault="00A66F7E" w:rsidP="00A66F7E">
      <w:pPr>
        <w:spacing w:line="276" w:lineRule="auto"/>
        <w:rPr>
          <w:sz w:val="24"/>
        </w:rPr>
      </w:pPr>
    </w:p>
    <w:p w14:paraId="786865F9" w14:textId="77777777" w:rsidR="00A66F7E" w:rsidRPr="002B4F19" w:rsidRDefault="00A66F7E" w:rsidP="00A66F7E">
      <w:pPr>
        <w:spacing w:line="276" w:lineRule="auto"/>
        <w:rPr>
          <w:sz w:val="24"/>
        </w:rPr>
      </w:pPr>
      <w:r w:rsidRPr="002B4F19">
        <w:rPr>
          <w:sz w:val="24"/>
        </w:rPr>
        <w:t>David Pratt</w:t>
      </w:r>
    </w:p>
    <w:p w14:paraId="786865FA" w14:textId="77777777" w:rsidR="00A66F7E" w:rsidRDefault="00A66F7E" w:rsidP="00A66F7E">
      <w:pPr>
        <w:spacing w:line="276" w:lineRule="auto"/>
        <w:rPr>
          <w:sz w:val="24"/>
        </w:rPr>
      </w:pPr>
      <w:r w:rsidRPr="002B4F19">
        <w:rPr>
          <w:sz w:val="24"/>
        </w:rPr>
        <w:t>Assistant Director, Transportation Safety</w:t>
      </w:r>
    </w:p>
    <w:p w14:paraId="786865FB" w14:textId="77777777" w:rsidR="002F3753" w:rsidRDefault="002F3753" w:rsidP="00A66F7E">
      <w:pPr>
        <w:widowControl/>
        <w:rPr>
          <w:sz w:val="24"/>
        </w:rPr>
      </w:pPr>
    </w:p>
    <w:p w14:paraId="2AE4B0C0" w14:textId="1B991B82" w:rsidR="000F6EC4" w:rsidRDefault="00844B1E" w:rsidP="00AB1E7C">
      <w:pPr>
        <w:widowControl/>
        <w:rPr>
          <w:sz w:val="24"/>
        </w:rPr>
      </w:pPr>
      <w:r>
        <w:rPr>
          <w:sz w:val="24"/>
        </w:rPr>
        <w:t>Enclosure</w:t>
      </w:r>
    </w:p>
    <w:p w14:paraId="29CF2911" w14:textId="77777777" w:rsidR="009047D8" w:rsidRDefault="009047D8" w:rsidP="00AB1E7C">
      <w:pPr>
        <w:widowControl/>
        <w:rPr>
          <w:sz w:val="24"/>
        </w:rPr>
        <w:sectPr w:rsidR="009047D8" w:rsidSect="00A66F7E">
          <w:headerReference w:type="default" r:id="rId19"/>
          <w:footerReference w:type="even" r:id="rId20"/>
          <w:endnotePr>
            <w:numFmt w:val="decimal"/>
          </w:endnotePr>
          <w:pgSz w:w="12240" w:h="15840"/>
          <w:pgMar w:top="1440" w:right="1440" w:bottom="1440" w:left="1440" w:header="720" w:footer="1440" w:gutter="0"/>
          <w:cols w:space="720"/>
          <w:noEndnote/>
          <w:titlePg/>
          <w:docGrid w:linePitch="272"/>
        </w:sectPr>
      </w:pPr>
    </w:p>
    <w:p w14:paraId="416700D6" w14:textId="19B35839" w:rsidR="009047D8" w:rsidRDefault="009047D8" w:rsidP="00AB1E7C">
      <w:pPr>
        <w:widowControl/>
        <w:rPr>
          <w:sz w:val="24"/>
        </w:rPr>
      </w:pPr>
      <w:r>
        <w:rPr>
          <w:sz w:val="24"/>
        </w:rPr>
        <w:lastRenderedPageBreak/>
        <w:t>Attachment A</w:t>
      </w:r>
    </w:p>
    <w:p w14:paraId="104C409A" w14:textId="77777777" w:rsidR="009047D8" w:rsidRDefault="009047D8" w:rsidP="00AB1E7C">
      <w:pPr>
        <w:widowControl/>
        <w:rPr>
          <w:sz w:val="24"/>
        </w:rPr>
      </w:pPr>
    </w:p>
    <w:p w14:paraId="6A98A4D9" w14:textId="7C63476E" w:rsidR="009047D8" w:rsidRDefault="009047D8" w:rsidP="00AB1E7C">
      <w:pPr>
        <w:widowControl/>
        <w:rPr>
          <w:sz w:val="24"/>
        </w:rPr>
      </w:pPr>
      <w:r>
        <w:rPr>
          <w:noProof/>
          <w:sz w:val="24"/>
        </w:rPr>
        <w:drawing>
          <wp:inline distT="0" distB="0" distL="0" distR="0" wp14:anchorId="4E1D1B90" wp14:editId="454C64CF">
            <wp:extent cx="6019800" cy="853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19800" cy="8534400"/>
                    </a:xfrm>
                    <a:prstGeom prst="rect">
                      <a:avLst/>
                    </a:prstGeom>
                    <a:noFill/>
                    <a:ln>
                      <a:noFill/>
                    </a:ln>
                  </pic:spPr>
                </pic:pic>
              </a:graphicData>
            </a:graphic>
          </wp:inline>
        </w:drawing>
      </w:r>
    </w:p>
    <w:p w14:paraId="455795A6" w14:textId="77777777" w:rsidR="009047D8" w:rsidRDefault="009047D8" w:rsidP="00AB1E7C">
      <w:pPr>
        <w:widowControl/>
        <w:rPr>
          <w:sz w:val="24"/>
        </w:rPr>
        <w:sectPr w:rsidR="009047D8" w:rsidSect="009047D8">
          <w:endnotePr>
            <w:numFmt w:val="decimal"/>
          </w:endnotePr>
          <w:pgSz w:w="12240" w:h="15840"/>
          <w:pgMar w:top="720" w:right="1440" w:bottom="720" w:left="1440" w:header="720" w:footer="1440" w:gutter="0"/>
          <w:cols w:space="720"/>
          <w:noEndnote/>
          <w:titlePg/>
          <w:docGrid w:linePitch="272"/>
        </w:sectPr>
      </w:pPr>
    </w:p>
    <w:p w14:paraId="51A0BE12" w14:textId="232219E3" w:rsidR="009047D8" w:rsidRDefault="009047D8" w:rsidP="00AB1E7C">
      <w:pPr>
        <w:widowControl/>
        <w:rPr>
          <w:sz w:val="24"/>
        </w:rPr>
      </w:pPr>
      <w:r>
        <w:rPr>
          <w:noProof/>
          <w:sz w:val="24"/>
        </w:rPr>
        <w:lastRenderedPageBreak/>
        <w:drawing>
          <wp:inline distT="0" distB="0" distL="0" distR="0" wp14:anchorId="08FB8BC5" wp14:editId="6809B96A">
            <wp:extent cx="5962650" cy="889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2650" cy="8896350"/>
                    </a:xfrm>
                    <a:prstGeom prst="rect">
                      <a:avLst/>
                    </a:prstGeom>
                    <a:noFill/>
                    <a:ln>
                      <a:noFill/>
                    </a:ln>
                  </pic:spPr>
                </pic:pic>
              </a:graphicData>
            </a:graphic>
          </wp:inline>
        </w:drawing>
      </w:r>
    </w:p>
    <w:p w14:paraId="2F9EDA59" w14:textId="77777777" w:rsidR="009047D8" w:rsidRDefault="009047D8" w:rsidP="00AB1E7C">
      <w:pPr>
        <w:widowControl/>
        <w:rPr>
          <w:sz w:val="24"/>
        </w:rPr>
        <w:sectPr w:rsidR="009047D8" w:rsidSect="009047D8">
          <w:endnotePr>
            <w:numFmt w:val="decimal"/>
          </w:endnotePr>
          <w:pgSz w:w="12240" w:h="15840"/>
          <w:pgMar w:top="720" w:right="1440" w:bottom="720" w:left="1440" w:header="720" w:footer="1440" w:gutter="0"/>
          <w:cols w:space="720"/>
          <w:noEndnote/>
          <w:titlePg/>
          <w:docGrid w:linePitch="272"/>
        </w:sectPr>
      </w:pPr>
    </w:p>
    <w:p w14:paraId="581AF2FE" w14:textId="33E82B31" w:rsidR="009047D8" w:rsidRPr="00987205" w:rsidRDefault="009047D8" w:rsidP="00AB1E7C">
      <w:pPr>
        <w:widowControl/>
        <w:rPr>
          <w:sz w:val="24"/>
        </w:rPr>
      </w:pPr>
      <w:r>
        <w:rPr>
          <w:noProof/>
          <w:sz w:val="24"/>
        </w:rPr>
        <w:lastRenderedPageBreak/>
        <w:drawing>
          <wp:inline distT="0" distB="0" distL="0" distR="0" wp14:anchorId="0D954D36" wp14:editId="2D01D96D">
            <wp:extent cx="6181725" cy="8877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81725" cy="8877300"/>
                    </a:xfrm>
                    <a:prstGeom prst="rect">
                      <a:avLst/>
                    </a:prstGeom>
                    <a:noFill/>
                    <a:ln>
                      <a:noFill/>
                    </a:ln>
                  </pic:spPr>
                </pic:pic>
              </a:graphicData>
            </a:graphic>
          </wp:inline>
        </w:drawing>
      </w:r>
    </w:p>
    <w:sectPr w:rsidR="009047D8" w:rsidRPr="00987205" w:rsidSect="009047D8">
      <w:endnotePr>
        <w:numFmt w:val="decimal"/>
      </w:endnotePr>
      <w:pgSz w:w="12240" w:h="15840"/>
      <w:pgMar w:top="720" w:right="1440" w:bottom="720" w:left="144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86602" w14:textId="77777777" w:rsidR="008552AA" w:rsidRDefault="008552AA">
      <w:r>
        <w:separator/>
      </w:r>
    </w:p>
  </w:endnote>
  <w:endnote w:type="continuationSeparator" w:id="0">
    <w:p w14:paraId="78686603" w14:textId="77777777" w:rsidR="008552AA" w:rsidRDefault="0085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86609" w14:textId="77777777" w:rsidR="008552AA" w:rsidRDefault="008552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68660A" w14:textId="77777777" w:rsidR="008552AA" w:rsidRDefault="00855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86600" w14:textId="77777777" w:rsidR="008552AA" w:rsidRDefault="008552AA">
      <w:r>
        <w:separator/>
      </w:r>
    </w:p>
  </w:footnote>
  <w:footnote w:type="continuationSeparator" w:id="0">
    <w:p w14:paraId="78686601" w14:textId="77777777" w:rsidR="008552AA" w:rsidRDefault="008552AA">
      <w:r>
        <w:continuationSeparator/>
      </w:r>
    </w:p>
  </w:footnote>
  <w:footnote w:id="1">
    <w:p w14:paraId="7196798B" w14:textId="45D860C6" w:rsidR="008552AA" w:rsidRDefault="008552AA" w:rsidP="007E0927">
      <w:pPr>
        <w:pStyle w:val="FootnoteText"/>
      </w:pPr>
      <w:r>
        <w:rPr>
          <w:rStyle w:val="FootnoteReference"/>
        </w:rPr>
        <w:footnoteRef/>
      </w:r>
      <w:r>
        <w:t xml:space="preserve"> See Attachment A – Copy of DOL webpage – Medical certificates and self-certification. </w:t>
      </w:r>
    </w:p>
  </w:footnote>
  <w:footnote w:id="2">
    <w:p w14:paraId="0C6DDBA9" w14:textId="77777777" w:rsidR="008552AA" w:rsidRDefault="008552AA" w:rsidP="000A2960">
      <w:pPr>
        <w:pStyle w:val="FootnoteText"/>
      </w:pPr>
      <w:r>
        <w:rPr>
          <w:rStyle w:val="FootnoteReference"/>
        </w:rPr>
        <w:footnoteRef/>
      </w:r>
      <w:r>
        <w:t xml:space="preserve"> </w:t>
      </w:r>
      <w:r>
        <w:rPr>
          <w:rFonts w:cs="Arial"/>
          <w:color w:val="172C65"/>
        </w:rPr>
        <w:t>Appendix B to CFR Part 385—Explanation of safety rating process:</w:t>
      </w:r>
      <w:r>
        <w:t xml:space="preserve"> </w:t>
      </w:r>
      <w:hyperlink r:id="rId1" w:history="1">
        <w:r w:rsidRPr="00860DED">
          <w:rPr>
            <w:rStyle w:val="Hyperlink"/>
            <w:rFonts w:ascii="Calibri" w:hAnsi="Calibri"/>
          </w:rPr>
          <w:t>http://www.fmcsa.dot.gov/rules-regulations/administration/fmcsr/fmcsrruletext.aspx?contentid=1556</w:t>
        </w:r>
      </w:hyperlink>
    </w:p>
    <w:p w14:paraId="6D909951" w14:textId="77777777" w:rsidR="008552AA" w:rsidRDefault="008552AA" w:rsidP="000A296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86604" w14:textId="79750C53" w:rsidR="008552AA" w:rsidRDefault="008552AA">
    <w:pPr>
      <w:pStyle w:val="Header"/>
      <w:rPr>
        <w:sz w:val="24"/>
      </w:rPr>
    </w:pPr>
    <w:r>
      <w:rPr>
        <w:sz w:val="24"/>
      </w:rPr>
      <w:t>Steven V. King</w:t>
    </w:r>
  </w:p>
  <w:p w14:paraId="78686605" w14:textId="1B1C05F0" w:rsidR="008552AA" w:rsidRDefault="008552AA">
    <w:pPr>
      <w:pStyle w:val="Header"/>
      <w:rPr>
        <w:sz w:val="24"/>
      </w:rPr>
    </w:pPr>
    <w:r>
      <w:rPr>
        <w:sz w:val="24"/>
      </w:rPr>
      <w:t>November 8, 2013</w:t>
    </w:r>
  </w:p>
  <w:p w14:paraId="78686606" w14:textId="77777777" w:rsidR="008552AA" w:rsidRDefault="008552AA">
    <w:pPr>
      <w:pStyle w:val="Header"/>
      <w:rPr>
        <w:sz w:val="24"/>
      </w:rPr>
    </w:pPr>
    <w:r>
      <w:rPr>
        <w:sz w:val="24"/>
      </w:rPr>
      <w:t xml:space="preserve">Page </w:t>
    </w:r>
    <w:r w:rsidRPr="00073D9C">
      <w:rPr>
        <w:sz w:val="24"/>
      </w:rPr>
      <w:fldChar w:fldCharType="begin"/>
    </w:r>
    <w:r w:rsidRPr="00073D9C">
      <w:rPr>
        <w:sz w:val="24"/>
      </w:rPr>
      <w:instrText xml:space="preserve"> PAGE   \* MERGEFORMAT </w:instrText>
    </w:r>
    <w:r w:rsidRPr="00073D9C">
      <w:rPr>
        <w:sz w:val="24"/>
      </w:rPr>
      <w:fldChar w:fldCharType="separate"/>
    </w:r>
    <w:r w:rsidR="00394912">
      <w:rPr>
        <w:noProof/>
        <w:sz w:val="24"/>
      </w:rPr>
      <w:t>5</w:t>
    </w:r>
    <w:r w:rsidRPr="00073D9C">
      <w:rPr>
        <w:sz w:val="24"/>
      </w:rPr>
      <w:fldChar w:fldCharType="end"/>
    </w:r>
  </w:p>
  <w:p w14:paraId="78686607" w14:textId="77777777" w:rsidR="008552AA" w:rsidRPr="00073D9C" w:rsidRDefault="008552AA">
    <w:pPr>
      <w:pStyle w:val="Header"/>
      <w:rPr>
        <w:sz w:val="24"/>
      </w:rPr>
    </w:pPr>
  </w:p>
  <w:p w14:paraId="78686608" w14:textId="77777777" w:rsidR="008552AA" w:rsidRDefault="008552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7354C2"/>
    <w:multiLevelType w:val="hybridMultilevel"/>
    <w:tmpl w:val="80D87A88"/>
    <w:lvl w:ilvl="0" w:tplc="0409000F">
      <w:start w:val="1"/>
      <w:numFmt w:val="decimal"/>
      <w:lvlText w:val="%1."/>
      <w:lvlJc w:val="left"/>
      <w:pPr>
        <w:tabs>
          <w:tab w:val="num" w:pos="720"/>
        </w:tabs>
        <w:ind w:left="720" w:hanging="360"/>
      </w:pPr>
    </w:lvl>
    <w:lvl w:ilvl="1" w:tplc="557C00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5014E9"/>
    <w:multiLevelType w:val="hybridMultilevel"/>
    <w:tmpl w:val="C03AE72C"/>
    <w:lvl w:ilvl="0" w:tplc="3500A85A">
      <w:start w:val="5"/>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FD7FD0"/>
    <w:multiLevelType w:val="hybridMultilevel"/>
    <w:tmpl w:val="598CA7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0B6FD9"/>
    <w:multiLevelType w:val="hybridMultilevel"/>
    <w:tmpl w:val="75D04F5E"/>
    <w:lvl w:ilvl="0" w:tplc="900C91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764786"/>
    <w:multiLevelType w:val="hybridMultilevel"/>
    <w:tmpl w:val="2E667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F10EA8"/>
    <w:multiLevelType w:val="hybridMultilevel"/>
    <w:tmpl w:val="E24AC3FE"/>
    <w:lvl w:ilvl="0" w:tplc="7592DBB4">
      <w:start w:val="8"/>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C328D3"/>
    <w:multiLevelType w:val="hybridMultilevel"/>
    <w:tmpl w:val="E7789A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D448F0"/>
    <w:multiLevelType w:val="hybridMultilevel"/>
    <w:tmpl w:val="E1228804"/>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18C74438"/>
    <w:multiLevelType w:val="hybridMultilevel"/>
    <w:tmpl w:val="DFB8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D84297"/>
    <w:multiLevelType w:val="hybridMultilevel"/>
    <w:tmpl w:val="B11C08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AF01252"/>
    <w:multiLevelType w:val="hybridMultilevel"/>
    <w:tmpl w:val="228A51F8"/>
    <w:lvl w:ilvl="0" w:tplc="4328A2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C687289"/>
    <w:multiLevelType w:val="hybridMultilevel"/>
    <w:tmpl w:val="1690FB98"/>
    <w:lvl w:ilvl="0" w:tplc="9B2086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905710D"/>
    <w:multiLevelType w:val="hybridMultilevel"/>
    <w:tmpl w:val="96748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D6388E"/>
    <w:multiLevelType w:val="hybridMultilevel"/>
    <w:tmpl w:val="6B2CFB60"/>
    <w:lvl w:ilvl="0" w:tplc="F1B8C67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5A271F"/>
    <w:multiLevelType w:val="hybridMultilevel"/>
    <w:tmpl w:val="04B85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209344C"/>
    <w:multiLevelType w:val="hybridMultilevel"/>
    <w:tmpl w:val="07CA4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6E26DE"/>
    <w:multiLevelType w:val="hybridMultilevel"/>
    <w:tmpl w:val="239C9252"/>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A696356"/>
    <w:multiLevelType w:val="hybridMultilevel"/>
    <w:tmpl w:val="6458FA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ADF055D"/>
    <w:multiLevelType w:val="hybridMultilevel"/>
    <w:tmpl w:val="CADA9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0336F4"/>
    <w:multiLevelType w:val="hybridMultilevel"/>
    <w:tmpl w:val="A2D09A38"/>
    <w:lvl w:ilvl="0" w:tplc="74A091E6">
      <w:start w:val="5"/>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4A03746"/>
    <w:multiLevelType w:val="hybridMultilevel"/>
    <w:tmpl w:val="093CB62E"/>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5090B3E"/>
    <w:multiLevelType w:val="hybridMultilevel"/>
    <w:tmpl w:val="4E02FC36"/>
    <w:lvl w:ilvl="0" w:tplc="FDD45FB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5335961"/>
    <w:multiLevelType w:val="hybridMultilevel"/>
    <w:tmpl w:val="643A7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7603D7"/>
    <w:multiLevelType w:val="hybridMultilevel"/>
    <w:tmpl w:val="CC5A3DEA"/>
    <w:lvl w:ilvl="0" w:tplc="FCF2557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EB1AAC"/>
    <w:multiLevelType w:val="hybridMultilevel"/>
    <w:tmpl w:val="CC0EB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FCC5184"/>
    <w:multiLevelType w:val="hybridMultilevel"/>
    <w:tmpl w:val="E5EACFA8"/>
    <w:lvl w:ilvl="0" w:tplc="0409001B">
      <w:start w:val="1"/>
      <w:numFmt w:val="lowerRoman"/>
      <w:lvlText w:val="%1."/>
      <w:lvlJc w:val="right"/>
      <w:pPr>
        <w:ind w:left="1920" w:hanging="360"/>
      </w:p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0">
    <w:nsid w:val="60F030F4"/>
    <w:multiLevelType w:val="hybridMultilevel"/>
    <w:tmpl w:val="6E82F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854810"/>
    <w:multiLevelType w:val="hybridMultilevel"/>
    <w:tmpl w:val="9160B32A"/>
    <w:lvl w:ilvl="0" w:tplc="0409001B">
      <w:start w:val="1"/>
      <w:numFmt w:val="lowerRoman"/>
      <w:lvlText w:val="%1."/>
      <w:lvlJc w:val="right"/>
      <w:pPr>
        <w:ind w:left="1920" w:hanging="360"/>
      </w:pPr>
    </w:lvl>
    <w:lvl w:ilvl="1" w:tplc="0409001B">
      <w:start w:val="1"/>
      <w:numFmt w:val="lowerRoman"/>
      <w:lvlText w:val="%2."/>
      <w:lvlJc w:val="righ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2">
    <w:nsid w:val="6C874D98"/>
    <w:multiLevelType w:val="hybridMultilevel"/>
    <w:tmpl w:val="F724C368"/>
    <w:lvl w:ilvl="0" w:tplc="0409001B">
      <w:start w:val="1"/>
      <w:numFmt w:val="lowerRoman"/>
      <w:lvlText w:val="%1."/>
      <w:lvlJc w:val="right"/>
      <w:pPr>
        <w:ind w:left="1920" w:hanging="360"/>
      </w:pPr>
    </w:lvl>
    <w:lvl w:ilvl="1" w:tplc="0409000F">
      <w:start w:val="1"/>
      <w:numFmt w:val="decimal"/>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3">
    <w:nsid w:val="6CE675B5"/>
    <w:multiLevelType w:val="hybridMultilevel"/>
    <w:tmpl w:val="DFD4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D7571FB"/>
    <w:multiLevelType w:val="hybridMultilevel"/>
    <w:tmpl w:val="1544289C"/>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5">
    <w:nsid w:val="6F3047B4"/>
    <w:multiLevelType w:val="hybridMultilevel"/>
    <w:tmpl w:val="E12043D2"/>
    <w:lvl w:ilvl="0" w:tplc="8016556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5E776FA"/>
    <w:multiLevelType w:val="hybridMultilevel"/>
    <w:tmpl w:val="9B8E1564"/>
    <w:lvl w:ilvl="0" w:tplc="226032B6">
      <w:start w:val="1"/>
      <w:numFmt w:val="decimal"/>
      <w:lvlText w:val="%1"/>
      <w:lvlJc w:val="left"/>
      <w:pPr>
        <w:tabs>
          <w:tab w:val="num" w:pos="72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rPr>
        <w:rFonts w:hint="default"/>
        <w:b w:val="0"/>
        <w:i/>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036101"/>
    <w:multiLevelType w:val="hybridMultilevel"/>
    <w:tmpl w:val="4516F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EF22EB"/>
    <w:multiLevelType w:val="hybridMultilevel"/>
    <w:tmpl w:val="8B0CBA0A"/>
    <w:lvl w:ilvl="0" w:tplc="2266F058">
      <w:start w:val="1"/>
      <w:numFmt w:val="decimal"/>
      <w:lvlText w:val="(%1)"/>
      <w:lvlJc w:val="left"/>
      <w:pPr>
        <w:ind w:left="1980" w:hanging="780"/>
      </w:pPr>
      <w:rPr>
        <w:rFonts w:hint="default"/>
      </w:rPr>
    </w:lvl>
    <w:lvl w:ilvl="1" w:tplc="C1822B90">
      <w:start w:val="1"/>
      <w:numFmt w:val="lowerRoman"/>
      <w:lvlText w:val="(%2)"/>
      <w:lvlJc w:val="left"/>
      <w:pPr>
        <w:ind w:left="2640" w:hanging="720"/>
      </w:pPr>
      <w:rPr>
        <w:rFonts w:hint="default"/>
      </w:r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9">
    <w:nsid w:val="7EB408B7"/>
    <w:multiLevelType w:val="hybridMultilevel"/>
    <w:tmpl w:val="56A0BB7C"/>
    <w:lvl w:ilvl="0" w:tplc="98EAE05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6"/>
  </w:num>
  <w:num w:numId="3">
    <w:abstractNumId w:val="21"/>
  </w:num>
  <w:num w:numId="4">
    <w:abstractNumId w:val="3"/>
  </w:num>
  <w:num w:numId="5">
    <w:abstractNumId w:val="28"/>
  </w:num>
  <w:num w:numId="6">
    <w:abstractNumId w:val="6"/>
  </w:num>
  <w:num w:numId="7">
    <w:abstractNumId w:val="27"/>
  </w:num>
  <w:num w:numId="8">
    <w:abstractNumId w:val="25"/>
  </w:num>
  <w:num w:numId="9">
    <w:abstractNumId w:val="14"/>
  </w:num>
  <w:num w:numId="10">
    <w:abstractNumId w:val="23"/>
  </w:num>
  <w:num w:numId="11">
    <w:abstractNumId w:val="35"/>
  </w:num>
  <w:num w:numId="12">
    <w:abstractNumId w:val="16"/>
  </w:num>
  <w:num w:numId="13">
    <w:abstractNumId w:val="5"/>
  </w:num>
  <w:num w:numId="14">
    <w:abstractNumId w:val="13"/>
  </w:num>
  <w:num w:numId="15">
    <w:abstractNumId w:val="8"/>
  </w:num>
  <w:num w:numId="16">
    <w:abstractNumId w:val="12"/>
  </w:num>
  <w:num w:numId="17">
    <w:abstractNumId w:val="19"/>
  </w:num>
  <w:num w:numId="18">
    <w:abstractNumId w:val="30"/>
  </w:num>
  <w:num w:numId="19">
    <w:abstractNumId w:val="18"/>
  </w:num>
  <w:num w:numId="20">
    <w:abstractNumId w:val="15"/>
  </w:num>
  <w:num w:numId="21">
    <w:abstractNumId w:val="37"/>
  </w:num>
  <w:num w:numId="22">
    <w:abstractNumId w:val="33"/>
  </w:num>
  <w:num w:numId="23">
    <w:abstractNumId w:val="24"/>
  </w:num>
  <w:num w:numId="24">
    <w:abstractNumId w:val="20"/>
  </w:num>
  <w:num w:numId="25">
    <w:abstractNumId w:val="22"/>
  </w:num>
  <w:num w:numId="26">
    <w:abstractNumId w:val="2"/>
  </w:num>
  <w:num w:numId="27">
    <w:abstractNumId w:val="39"/>
  </w:num>
  <w:num w:numId="28">
    <w:abstractNumId w:val="1"/>
  </w:num>
  <w:num w:numId="29">
    <w:abstractNumId w:val="17"/>
  </w:num>
  <w:num w:numId="30">
    <w:abstractNumId w:val="36"/>
  </w:num>
  <w:num w:numId="31">
    <w:abstractNumId w:val="7"/>
  </w:num>
  <w:num w:numId="32">
    <w:abstractNumId w:val="4"/>
  </w:num>
  <w:num w:numId="33">
    <w:abstractNumId w:val="9"/>
  </w:num>
  <w:num w:numId="34">
    <w:abstractNumId w:val="11"/>
  </w:num>
  <w:num w:numId="35">
    <w:abstractNumId w:val="10"/>
  </w:num>
  <w:num w:numId="36">
    <w:abstractNumId w:val="38"/>
  </w:num>
  <w:num w:numId="37">
    <w:abstractNumId w:val="29"/>
  </w:num>
  <w:num w:numId="38">
    <w:abstractNumId w:val="31"/>
  </w:num>
  <w:num w:numId="39">
    <w:abstractNumId w:val="32"/>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536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07"/>
    <w:rsid w:val="00005A59"/>
    <w:rsid w:val="00021C26"/>
    <w:rsid w:val="0003462C"/>
    <w:rsid w:val="00057143"/>
    <w:rsid w:val="00057BFE"/>
    <w:rsid w:val="000622FC"/>
    <w:rsid w:val="00073D9C"/>
    <w:rsid w:val="00074507"/>
    <w:rsid w:val="000805BF"/>
    <w:rsid w:val="00087C76"/>
    <w:rsid w:val="000977E9"/>
    <w:rsid w:val="000A2960"/>
    <w:rsid w:val="000C299C"/>
    <w:rsid w:val="000D36B6"/>
    <w:rsid w:val="000E0AB5"/>
    <w:rsid w:val="000F0FD7"/>
    <w:rsid w:val="000F4966"/>
    <w:rsid w:val="000F6EC4"/>
    <w:rsid w:val="0014321F"/>
    <w:rsid w:val="00144041"/>
    <w:rsid w:val="001546D4"/>
    <w:rsid w:val="001C7254"/>
    <w:rsid w:val="002738A9"/>
    <w:rsid w:val="002B20A5"/>
    <w:rsid w:val="002D033A"/>
    <w:rsid w:val="002E76B9"/>
    <w:rsid w:val="002F3753"/>
    <w:rsid w:val="002F7B70"/>
    <w:rsid w:val="00303905"/>
    <w:rsid w:val="00321B14"/>
    <w:rsid w:val="00344642"/>
    <w:rsid w:val="0035788B"/>
    <w:rsid w:val="0037523D"/>
    <w:rsid w:val="00394912"/>
    <w:rsid w:val="0039544A"/>
    <w:rsid w:val="00396432"/>
    <w:rsid w:val="003A64BF"/>
    <w:rsid w:val="003A74AC"/>
    <w:rsid w:val="003C7040"/>
    <w:rsid w:val="003D22A1"/>
    <w:rsid w:val="003E37AD"/>
    <w:rsid w:val="00404CC3"/>
    <w:rsid w:val="00420CCE"/>
    <w:rsid w:val="004F21C7"/>
    <w:rsid w:val="00510EED"/>
    <w:rsid w:val="005131F0"/>
    <w:rsid w:val="00522B27"/>
    <w:rsid w:val="00523F00"/>
    <w:rsid w:val="00536FDA"/>
    <w:rsid w:val="00553072"/>
    <w:rsid w:val="00554AC7"/>
    <w:rsid w:val="00556752"/>
    <w:rsid w:val="00581374"/>
    <w:rsid w:val="005968EE"/>
    <w:rsid w:val="005A358D"/>
    <w:rsid w:val="005C3E22"/>
    <w:rsid w:val="006203B6"/>
    <w:rsid w:val="00631BA4"/>
    <w:rsid w:val="00635704"/>
    <w:rsid w:val="006459CE"/>
    <w:rsid w:val="00666381"/>
    <w:rsid w:val="00674EB9"/>
    <w:rsid w:val="0067671D"/>
    <w:rsid w:val="00685A72"/>
    <w:rsid w:val="00696FD5"/>
    <w:rsid w:val="006B4575"/>
    <w:rsid w:val="00730807"/>
    <w:rsid w:val="00752F7A"/>
    <w:rsid w:val="00774934"/>
    <w:rsid w:val="00783F81"/>
    <w:rsid w:val="0078544F"/>
    <w:rsid w:val="007B1E4C"/>
    <w:rsid w:val="007D548E"/>
    <w:rsid w:val="007E0927"/>
    <w:rsid w:val="008235DC"/>
    <w:rsid w:val="0082767B"/>
    <w:rsid w:val="00837CBE"/>
    <w:rsid w:val="00844B1E"/>
    <w:rsid w:val="0085276D"/>
    <w:rsid w:val="008552AA"/>
    <w:rsid w:val="008803B1"/>
    <w:rsid w:val="0088297F"/>
    <w:rsid w:val="00883E12"/>
    <w:rsid w:val="008F43E0"/>
    <w:rsid w:val="009047D8"/>
    <w:rsid w:val="00905822"/>
    <w:rsid w:val="00906DFC"/>
    <w:rsid w:val="00965FCD"/>
    <w:rsid w:val="00971DB2"/>
    <w:rsid w:val="00987205"/>
    <w:rsid w:val="00992E3F"/>
    <w:rsid w:val="009B6C5A"/>
    <w:rsid w:val="00A31264"/>
    <w:rsid w:val="00A34460"/>
    <w:rsid w:val="00A66F7E"/>
    <w:rsid w:val="00AB1E7C"/>
    <w:rsid w:val="00AB7EAF"/>
    <w:rsid w:val="00AD0E85"/>
    <w:rsid w:val="00AF3357"/>
    <w:rsid w:val="00B3577A"/>
    <w:rsid w:val="00B46D62"/>
    <w:rsid w:val="00B51D0B"/>
    <w:rsid w:val="00B65F93"/>
    <w:rsid w:val="00B76F8A"/>
    <w:rsid w:val="00B82D81"/>
    <w:rsid w:val="00B84874"/>
    <w:rsid w:val="00B96318"/>
    <w:rsid w:val="00BD6E4D"/>
    <w:rsid w:val="00C11D18"/>
    <w:rsid w:val="00C3656A"/>
    <w:rsid w:val="00C86876"/>
    <w:rsid w:val="00CB7E4A"/>
    <w:rsid w:val="00CD3B0A"/>
    <w:rsid w:val="00D10C46"/>
    <w:rsid w:val="00D673E0"/>
    <w:rsid w:val="00DB7603"/>
    <w:rsid w:val="00DD5507"/>
    <w:rsid w:val="00E13739"/>
    <w:rsid w:val="00E77982"/>
    <w:rsid w:val="00E93D1B"/>
    <w:rsid w:val="00EB437A"/>
    <w:rsid w:val="00EF050A"/>
    <w:rsid w:val="00F8377B"/>
    <w:rsid w:val="00F8637A"/>
    <w:rsid w:val="00FC14E2"/>
    <w:rsid w:val="00FE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5361"/>
    <o:shapelayout v:ext="edit">
      <o:idmap v:ext="edit" data="1"/>
    </o:shapelayout>
  </w:shapeDefaults>
  <w:decimalSymbol w:val="."/>
  <w:listSeparator w:val=","/>
  <w14:docId w14:val="7868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qFormat/>
    <w:rsid w:val="008235DC"/>
    <w:pPr>
      <w:keepNext/>
      <w:outlineLvl w:val="0"/>
    </w:pPr>
    <w:rPr>
      <w:sz w:val="24"/>
    </w:rPr>
  </w:style>
  <w:style w:type="paragraph" w:styleId="Heading2">
    <w:name w:val="heading 2"/>
    <w:basedOn w:val="Normal"/>
    <w:next w:val="Normal"/>
    <w:link w:val="Heading2Char"/>
    <w:semiHidden/>
    <w:unhideWhenUsed/>
    <w:qFormat/>
    <w:rsid w:val="000346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basedOn w:val="DefaultParagraphFont"/>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basedOn w:val="DefaultParagraphFont"/>
    <w:link w:val="Header"/>
    <w:uiPriority w:val="99"/>
    <w:rsid w:val="00073D9C"/>
    <w:rPr>
      <w:szCs w:val="24"/>
    </w:rPr>
  </w:style>
  <w:style w:type="character" w:customStyle="1" w:styleId="Heading4Char">
    <w:name w:val="Heading 4 Char"/>
    <w:basedOn w:val="DefaultParagraphFont"/>
    <w:link w:val="Heading4"/>
    <w:rsid w:val="002F3753"/>
    <w:rPr>
      <w:b/>
      <w:bCs/>
      <w:sz w:val="28"/>
      <w:szCs w:val="28"/>
    </w:rPr>
  </w:style>
  <w:style w:type="paragraph" w:styleId="FootnoteText">
    <w:name w:val="footnote text"/>
    <w:basedOn w:val="Normal"/>
    <w:link w:val="FootnoteTextChar"/>
    <w:uiPriority w:val="99"/>
    <w:rsid w:val="002F3753"/>
    <w:rPr>
      <w:szCs w:val="20"/>
    </w:rPr>
  </w:style>
  <w:style w:type="character" w:customStyle="1" w:styleId="FootnoteTextChar">
    <w:name w:val="Footnote Text Char"/>
    <w:basedOn w:val="DefaultParagraphFont"/>
    <w:link w:val="FootnoteText"/>
    <w:uiPriority w:val="99"/>
    <w:rsid w:val="002F3753"/>
  </w:style>
  <w:style w:type="character" w:customStyle="1" w:styleId="BodyTextChar">
    <w:name w:val="Body Text Char"/>
    <w:basedOn w:val="DefaultParagraphFont"/>
    <w:link w:val="BodyText"/>
    <w:rsid w:val="00844B1E"/>
    <w:rPr>
      <w:sz w:val="24"/>
      <w:szCs w:val="24"/>
    </w:rPr>
  </w:style>
  <w:style w:type="paragraph" w:styleId="NormalWeb">
    <w:name w:val="Normal (Web)"/>
    <w:basedOn w:val="Normal"/>
    <w:uiPriority w:val="99"/>
    <w:unhideWhenUsed/>
    <w:rsid w:val="00C3656A"/>
    <w:pPr>
      <w:widowControl/>
      <w:autoSpaceDE/>
      <w:autoSpaceDN/>
      <w:adjustRightInd/>
      <w:spacing w:before="100" w:beforeAutospacing="1" w:after="100" w:afterAutospacing="1"/>
      <w:ind w:firstLine="480"/>
    </w:pPr>
    <w:rPr>
      <w:sz w:val="24"/>
    </w:rPr>
  </w:style>
  <w:style w:type="character" w:styleId="FollowedHyperlink">
    <w:name w:val="FollowedHyperlink"/>
    <w:basedOn w:val="DefaultParagraphFont"/>
    <w:rsid w:val="00C3656A"/>
    <w:rPr>
      <w:color w:val="800080" w:themeColor="followedHyperlink"/>
      <w:u w:val="single"/>
    </w:rPr>
  </w:style>
  <w:style w:type="character" w:customStyle="1" w:styleId="Heading2Char">
    <w:name w:val="Heading 2 Char"/>
    <w:basedOn w:val="DefaultParagraphFont"/>
    <w:link w:val="Heading2"/>
    <w:semiHidden/>
    <w:rsid w:val="0003462C"/>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84874"/>
    <w:rPr>
      <w:rFonts w:ascii="Calibri" w:eastAsia="Calibri" w:hAnsi="Calibri"/>
      <w:sz w:val="22"/>
      <w:szCs w:val="22"/>
    </w:rPr>
  </w:style>
  <w:style w:type="character" w:styleId="CommentReference">
    <w:name w:val="annotation reference"/>
    <w:basedOn w:val="DefaultParagraphFont"/>
    <w:rsid w:val="00396432"/>
    <w:rPr>
      <w:sz w:val="16"/>
      <w:szCs w:val="16"/>
    </w:rPr>
  </w:style>
  <w:style w:type="paragraph" w:styleId="CommentText">
    <w:name w:val="annotation text"/>
    <w:basedOn w:val="Normal"/>
    <w:link w:val="CommentTextChar"/>
    <w:rsid w:val="00396432"/>
    <w:rPr>
      <w:szCs w:val="20"/>
    </w:rPr>
  </w:style>
  <w:style w:type="character" w:customStyle="1" w:styleId="CommentTextChar">
    <w:name w:val="Comment Text Char"/>
    <w:basedOn w:val="DefaultParagraphFont"/>
    <w:link w:val="CommentText"/>
    <w:rsid w:val="00396432"/>
  </w:style>
  <w:style w:type="paragraph" w:styleId="CommentSubject">
    <w:name w:val="annotation subject"/>
    <w:basedOn w:val="CommentText"/>
    <w:next w:val="CommentText"/>
    <w:link w:val="CommentSubjectChar"/>
    <w:rsid w:val="00396432"/>
    <w:rPr>
      <w:b/>
      <w:bCs/>
    </w:rPr>
  </w:style>
  <w:style w:type="character" w:customStyle="1" w:styleId="CommentSubjectChar">
    <w:name w:val="Comment Subject Char"/>
    <w:basedOn w:val="CommentTextChar"/>
    <w:link w:val="CommentSubject"/>
    <w:rsid w:val="003964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qFormat/>
    <w:rsid w:val="008235DC"/>
    <w:pPr>
      <w:keepNext/>
      <w:outlineLvl w:val="0"/>
    </w:pPr>
    <w:rPr>
      <w:sz w:val="24"/>
    </w:rPr>
  </w:style>
  <w:style w:type="paragraph" w:styleId="Heading2">
    <w:name w:val="heading 2"/>
    <w:basedOn w:val="Normal"/>
    <w:next w:val="Normal"/>
    <w:link w:val="Heading2Char"/>
    <w:semiHidden/>
    <w:unhideWhenUsed/>
    <w:qFormat/>
    <w:rsid w:val="000346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basedOn w:val="DefaultParagraphFont"/>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basedOn w:val="DefaultParagraphFont"/>
    <w:link w:val="Header"/>
    <w:uiPriority w:val="99"/>
    <w:rsid w:val="00073D9C"/>
    <w:rPr>
      <w:szCs w:val="24"/>
    </w:rPr>
  </w:style>
  <w:style w:type="character" w:customStyle="1" w:styleId="Heading4Char">
    <w:name w:val="Heading 4 Char"/>
    <w:basedOn w:val="DefaultParagraphFont"/>
    <w:link w:val="Heading4"/>
    <w:rsid w:val="002F3753"/>
    <w:rPr>
      <w:b/>
      <w:bCs/>
      <w:sz w:val="28"/>
      <w:szCs w:val="28"/>
    </w:rPr>
  </w:style>
  <w:style w:type="paragraph" w:styleId="FootnoteText">
    <w:name w:val="footnote text"/>
    <w:basedOn w:val="Normal"/>
    <w:link w:val="FootnoteTextChar"/>
    <w:uiPriority w:val="99"/>
    <w:rsid w:val="002F3753"/>
    <w:rPr>
      <w:szCs w:val="20"/>
    </w:rPr>
  </w:style>
  <w:style w:type="character" w:customStyle="1" w:styleId="FootnoteTextChar">
    <w:name w:val="Footnote Text Char"/>
    <w:basedOn w:val="DefaultParagraphFont"/>
    <w:link w:val="FootnoteText"/>
    <w:uiPriority w:val="99"/>
    <w:rsid w:val="002F3753"/>
  </w:style>
  <w:style w:type="character" w:customStyle="1" w:styleId="BodyTextChar">
    <w:name w:val="Body Text Char"/>
    <w:basedOn w:val="DefaultParagraphFont"/>
    <w:link w:val="BodyText"/>
    <w:rsid w:val="00844B1E"/>
    <w:rPr>
      <w:sz w:val="24"/>
      <w:szCs w:val="24"/>
    </w:rPr>
  </w:style>
  <w:style w:type="paragraph" w:styleId="NormalWeb">
    <w:name w:val="Normal (Web)"/>
    <w:basedOn w:val="Normal"/>
    <w:uiPriority w:val="99"/>
    <w:unhideWhenUsed/>
    <w:rsid w:val="00C3656A"/>
    <w:pPr>
      <w:widowControl/>
      <w:autoSpaceDE/>
      <w:autoSpaceDN/>
      <w:adjustRightInd/>
      <w:spacing w:before="100" w:beforeAutospacing="1" w:after="100" w:afterAutospacing="1"/>
      <w:ind w:firstLine="480"/>
    </w:pPr>
    <w:rPr>
      <w:sz w:val="24"/>
    </w:rPr>
  </w:style>
  <w:style w:type="character" w:styleId="FollowedHyperlink">
    <w:name w:val="FollowedHyperlink"/>
    <w:basedOn w:val="DefaultParagraphFont"/>
    <w:rsid w:val="00C3656A"/>
    <w:rPr>
      <w:color w:val="800080" w:themeColor="followedHyperlink"/>
      <w:u w:val="single"/>
    </w:rPr>
  </w:style>
  <w:style w:type="character" w:customStyle="1" w:styleId="Heading2Char">
    <w:name w:val="Heading 2 Char"/>
    <w:basedOn w:val="DefaultParagraphFont"/>
    <w:link w:val="Heading2"/>
    <w:semiHidden/>
    <w:rsid w:val="0003462C"/>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84874"/>
    <w:rPr>
      <w:rFonts w:ascii="Calibri" w:eastAsia="Calibri" w:hAnsi="Calibri"/>
      <w:sz w:val="22"/>
      <w:szCs w:val="22"/>
    </w:rPr>
  </w:style>
  <w:style w:type="character" w:styleId="CommentReference">
    <w:name w:val="annotation reference"/>
    <w:basedOn w:val="DefaultParagraphFont"/>
    <w:rsid w:val="00396432"/>
    <w:rPr>
      <w:sz w:val="16"/>
      <w:szCs w:val="16"/>
    </w:rPr>
  </w:style>
  <w:style w:type="paragraph" w:styleId="CommentText">
    <w:name w:val="annotation text"/>
    <w:basedOn w:val="Normal"/>
    <w:link w:val="CommentTextChar"/>
    <w:rsid w:val="00396432"/>
    <w:rPr>
      <w:szCs w:val="20"/>
    </w:rPr>
  </w:style>
  <w:style w:type="character" w:customStyle="1" w:styleId="CommentTextChar">
    <w:name w:val="Comment Text Char"/>
    <w:basedOn w:val="DefaultParagraphFont"/>
    <w:link w:val="CommentText"/>
    <w:rsid w:val="00396432"/>
  </w:style>
  <w:style w:type="paragraph" w:styleId="CommentSubject">
    <w:name w:val="annotation subject"/>
    <w:basedOn w:val="CommentText"/>
    <w:next w:val="CommentText"/>
    <w:link w:val="CommentSubjectChar"/>
    <w:rsid w:val="00396432"/>
    <w:rPr>
      <w:b/>
      <w:bCs/>
    </w:rPr>
  </w:style>
  <w:style w:type="character" w:customStyle="1" w:styleId="CommentSubjectChar">
    <w:name w:val="Comment Subject Char"/>
    <w:basedOn w:val="CommentTextChar"/>
    <w:link w:val="CommentSubject"/>
    <w:rsid w:val="003964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9633">
      <w:bodyDiv w:val="1"/>
      <w:marLeft w:val="0"/>
      <w:marRight w:val="0"/>
      <w:marTop w:val="30"/>
      <w:marBottom w:val="750"/>
      <w:divBdr>
        <w:top w:val="none" w:sz="0" w:space="0" w:color="auto"/>
        <w:left w:val="none" w:sz="0" w:space="0" w:color="auto"/>
        <w:bottom w:val="none" w:sz="0" w:space="0" w:color="auto"/>
        <w:right w:val="none" w:sz="0" w:space="0" w:color="auto"/>
      </w:divBdr>
      <w:divsChild>
        <w:div w:id="471824685">
          <w:marLeft w:val="0"/>
          <w:marRight w:val="0"/>
          <w:marTop w:val="0"/>
          <w:marBottom w:val="0"/>
          <w:divBdr>
            <w:top w:val="none" w:sz="0" w:space="0" w:color="auto"/>
            <w:left w:val="none" w:sz="0" w:space="0" w:color="auto"/>
            <w:bottom w:val="none" w:sz="0" w:space="0" w:color="auto"/>
            <w:right w:val="none" w:sz="0" w:space="0" w:color="auto"/>
          </w:divBdr>
        </w:div>
      </w:divsChild>
    </w:div>
    <w:div w:id="589781347">
      <w:bodyDiv w:val="1"/>
      <w:marLeft w:val="0"/>
      <w:marRight w:val="0"/>
      <w:marTop w:val="30"/>
      <w:marBottom w:val="750"/>
      <w:divBdr>
        <w:top w:val="none" w:sz="0" w:space="0" w:color="auto"/>
        <w:left w:val="none" w:sz="0" w:space="0" w:color="auto"/>
        <w:bottom w:val="none" w:sz="0" w:space="0" w:color="auto"/>
        <w:right w:val="none" w:sz="0" w:space="0" w:color="auto"/>
      </w:divBdr>
      <w:divsChild>
        <w:div w:id="2108193330">
          <w:marLeft w:val="0"/>
          <w:marRight w:val="0"/>
          <w:marTop w:val="0"/>
          <w:marBottom w:val="0"/>
          <w:divBdr>
            <w:top w:val="none" w:sz="0" w:space="0" w:color="auto"/>
            <w:left w:val="none" w:sz="0" w:space="0" w:color="auto"/>
            <w:bottom w:val="none" w:sz="0" w:space="0" w:color="auto"/>
            <w:right w:val="none" w:sz="0" w:space="0" w:color="auto"/>
          </w:divBdr>
        </w:div>
      </w:divsChild>
    </w:div>
    <w:div w:id="786698221">
      <w:bodyDiv w:val="1"/>
      <w:marLeft w:val="0"/>
      <w:marRight w:val="0"/>
      <w:marTop w:val="0"/>
      <w:marBottom w:val="0"/>
      <w:divBdr>
        <w:top w:val="none" w:sz="0" w:space="0" w:color="auto"/>
        <w:left w:val="none" w:sz="0" w:space="0" w:color="auto"/>
        <w:bottom w:val="none" w:sz="0" w:space="0" w:color="auto"/>
        <w:right w:val="none" w:sz="0" w:space="0" w:color="auto"/>
      </w:divBdr>
    </w:div>
    <w:div w:id="984621852">
      <w:bodyDiv w:val="1"/>
      <w:marLeft w:val="0"/>
      <w:marRight w:val="0"/>
      <w:marTop w:val="30"/>
      <w:marBottom w:val="750"/>
      <w:divBdr>
        <w:top w:val="none" w:sz="0" w:space="0" w:color="auto"/>
        <w:left w:val="none" w:sz="0" w:space="0" w:color="auto"/>
        <w:bottom w:val="none" w:sz="0" w:space="0" w:color="auto"/>
        <w:right w:val="none" w:sz="0" w:space="0" w:color="auto"/>
      </w:divBdr>
      <w:divsChild>
        <w:div w:id="644706010">
          <w:marLeft w:val="0"/>
          <w:marRight w:val="0"/>
          <w:marTop w:val="0"/>
          <w:marBottom w:val="0"/>
          <w:divBdr>
            <w:top w:val="none" w:sz="0" w:space="0" w:color="auto"/>
            <w:left w:val="none" w:sz="0" w:space="0" w:color="auto"/>
            <w:bottom w:val="none" w:sz="0" w:space="0" w:color="auto"/>
            <w:right w:val="none" w:sz="0" w:space="0" w:color="auto"/>
          </w:divBdr>
        </w:div>
      </w:divsChild>
    </w:div>
    <w:div w:id="213420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ps.leg.wa.gov/wac/default.aspx?cite=480-30-221" TargetMode="External"/><Relationship Id="rId18" Type="http://schemas.openxmlformats.org/officeDocument/2006/relationships/hyperlink" Target="mailto:byoung@utc.wa.gov" TargetMode="Externa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image" Target="media/image2.emf"/><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yperlink" Target="http://www.ecfr.gov/cgi-bin/retrieveECFR?gp=1&amp;SID=0b1fe33ac2b897c35a7612005006ddf1&amp;ty=HTML&amp;h=L&amp;r=PART&amp;n=49y5.1.1.2.3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cfr.gov/cgi-bin/retrieveECFR?gp=1&amp;SID=0b1fe33ac2b897c35a7612005006ddf1&amp;ty=HTML&amp;h=L&amp;r=PART&amp;n=49y5.1.1.2.3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cfr.gov/cgi-bin/retrieveECFR?gp=1&amp;SID=0b1fe33ac2b897c35a7612005006ddf1&amp;ty=HTML&amp;h=L&amp;r=PART&amp;n=49y5.1.1.2.39" TargetMode="External"/><Relationship Id="rId23"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retrieveECFR?gp=1&amp;SID=0b1fe33ac2b897c35a7612005006ddf1&amp;ty=HTML&amp;h=L&amp;r=PART&amp;n=49y5.1.1.2.34" TargetMode="External"/><Relationship Id="rId22"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www.fmcsa.dot.gov/rules-regulations/administration/fmcsr/fmcsrruletext.aspx?contentid=1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380064563E3D04BA4134ED262F64B95" ma:contentTypeVersion="135" ma:contentTypeDescription="" ma:contentTypeScope="" ma:versionID="42b1ad819da04dcc79e3728e8e1f604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2013-10-10T07:00:00+00:00</OpenedDate>
    <Date1 xmlns="dc463f71-b30c-4ab2-9473-d307f9d35888">2013-11-12T08:00:00+00:00</Date1>
    <IsDocumentOrder xmlns="dc463f71-b30c-4ab2-9473-d307f9d35888" xsi:nil="true"/>
    <IsHighlyConfidential xmlns="dc463f71-b30c-4ab2-9473-d307f9d35888">false</IsHighlyConfidential>
    <CaseCompanyNames xmlns="dc463f71-b30c-4ab2-9473-d307f9d35888">2C CAPTAINS, INC</CaseCompanyNames>
    <DocketNumber xmlns="dc463f71-b30c-4ab2-9473-d307f9d35888">131923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BF59E96-7E75-4243-9927-211E5B821967}"/>
</file>

<file path=customXml/itemProps2.xml><?xml version="1.0" encoding="utf-8"?>
<ds:datastoreItem xmlns:ds="http://schemas.openxmlformats.org/officeDocument/2006/customXml" ds:itemID="{813F2A3A-19B4-40A4-92C8-7EEDA0A59591}"/>
</file>

<file path=customXml/itemProps3.xml><?xml version="1.0" encoding="utf-8"?>
<ds:datastoreItem xmlns:ds="http://schemas.openxmlformats.org/officeDocument/2006/customXml" ds:itemID="{75395E0F-6FCB-45E7-B9B9-D53568B38BAC}"/>
</file>

<file path=customXml/itemProps4.xml><?xml version="1.0" encoding="utf-8"?>
<ds:datastoreItem xmlns:ds="http://schemas.openxmlformats.org/officeDocument/2006/customXml" ds:itemID="{6FE2FD23-C818-467D-BB80-CB0C213628BC}"/>
</file>

<file path=customXml/itemProps5.xml><?xml version="1.0" encoding="utf-8"?>
<ds:datastoreItem xmlns:ds="http://schemas.openxmlformats.org/officeDocument/2006/customXml" ds:itemID="{3973D3D2-01B2-40A7-86E9-779ED07B9582}"/>
</file>

<file path=docProps/app.xml><?xml version="1.0" encoding="utf-8"?>
<Properties xmlns="http://schemas.openxmlformats.org/officeDocument/2006/extended-properties" xmlns:vt="http://schemas.openxmlformats.org/officeDocument/2006/docPropsVTypes">
  <Template>Normal</Template>
  <TotalTime>181</TotalTime>
  <Pages>8</Pages>
  <Words>1259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April 16, 2001</vt:lpstr>
    </vt:vector>
  </TitlesOfParts>
  <Company>WUTC</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16, 2001</dc:title>
  <dc:creator>Information Services</dc:creator>
  <cp:lastModifiedBy>Young, Betty (UTC)</cp:lastModifiedBy>
  <cp:revision>24</cp:revision>
  <cp:lastPrinted>2013-11-06T18:37:00Z</cp:lastPrinted>
  <dcterms:created xsi:type="dcterms:W3CDTF">2013-11-05T16:54:00Z</dcterms:created>
  <dcterms:modified xsi:type="dcterms:W3CDTF">2013-11-08T19:40:00Z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0x0101006E56B4D1795A2E4DB2F0B01679ED314A006380064563E3D04BA4134ED262F64B95</vt:lpwstr>
  </property>
  <property fmtid="{D5CDD505-2E9C-101B-9397-08002B2CF9AE}" pid="3" name="_docset_NoMedatataSyncRequired">
    <vt:lpwstr>False</vt:lpwstr>
  </property>
</Properties>
</file>