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61" w:rsidRDefault="003E1361" w:rsidP="00AA1CCE">
      <w:pPr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Supplement No. 2 </w:t>
      </w:r>
    </w:p>
    <w:p w:rsidR="00AA1CCE" w:rsidRPr="006E2572" w:rsidRDefault="00F07476" w:rsidP="00AA1CCE">
      <w:pPr>
        <w:jc w:val="center"/>
        <w:rPr>
          <w:rFonts w:ascii="Calibri" w:hAnsi="Calibri" w:cs="Calibri"/>
          <w:sz w:val="28"/>
          <w:szCs w:val="28"/>
        </w:rPr>
      </w:pPr>
      <w:r w:rsidRPr="006E2572">
        <w:rPr>
          <w:rFonts w:ascii="Calibri" w:hAnsi="Calibri" w:cs="Calibri"/>
          <w:sz w:val="28"/>
          <w:szCs w:val="28"/>
        </w:rPr>
        <w:t>Work Plan for NW Natura</w:t>
      </w:r>
      <w:r w:rsidR="00AA1CCE" w:rsidRPr="006E2572">
        <w:rPr>
          <w:rFonts w:ascii="Calibri" w:hAnsi="Calibri" w:cs="Calibri"/>
          <w:sz w:val="28"/>
          <w:szCs w:val="28"/>
        </w:rPr>
        <w:t>l’s 20</w:t>
      </w:r>
      <w:r w:rsidR="00B92685" w:rsidRPr="006E2572">
        <w:rPr>
          <w:rFonts w:ascii="Calibri" w:hAnsi="Calibri" w:cs="Calibri"/>
          <w:sz w:val="28"/>
          <w:szCs w:val="28"/>
        </w:rPr>
        <w:t>1</w:t>
      </w:r>
      <w:r w:rsidR="002E2289">
        <w:rPr>
          <w:rFonts w:ascii="Calibri" w:hAnsi="Calibri" w:cs="Calibri"/>
          <w:sz w:val="28"/>
          <w:szCs w:val="28"/>
        </w:rPr>
        <w:t>4</w:t>
      </w:r>
    </w:p>
    <w:p w:rsidR="006C5A9C" w:rsidRPr="006E2572" w:rsidRDefault="003E1361" w:rsidP="00AA1CC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Washington Integrated Resource Plan</w:t>
      </w:r>
    </w:p>
    <w:p w:rsidR="00F07476" w:rsidRPr="006E2572" w:rsidRDefault="003E1361" w:rsidP="00AA1CC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UG-131473</w:t>
      </w:r>
    </w:p>
    <w:p w:rsidR="00AA1CCE" w:rsidRPr="006E2572" w:rsidRDefault="00AA1CCE" w:rsidP="00AA1CCE">
      <w:pPr>
        <w:jc w:val="center"/>
        <w:rPr>
          <w:rFonts w:ascii="Calibri" w:hAnsi="Calibri" w:cs="Calibri"/>
          <w:sz w:val="32"/>
          <w:szCs w:val="32"/>
        </w:rPr>
      </w:pPr>
    </w:p>
    <w:p w:rsidR="00AA1CCE" w:rsidRPr="006E2572" w:rsidRDefault="0082283A" w:rsidP="00AA1CCE">
      <w:pPr>
        <w:jc w:val="center"/>
        <w:rPr>
          <w:rFonts w:ascii="Calibri" w:hAnsi="Calibri" w:cs="Calibri"/>
          <w:sz w:val="22"/>
          <w:szCs w:val="22"/>
        </w:rPr>
      </w:pPr>
      <w:r w:rsidRPr="006E2572">
        <w:rPr>
          <w:rFonts w:ascii="Calibri" w:hAnsi="Calibri" w:cs="Calibri"/>
          <w:sz w:val="22"/>
          <w:szCs w:val="22"/>
        </w:rPr>
        <w:t xml:space="preserve">Issued </w:t>
      </w:r>
      <w:r w:rsidR="009E2353">
        <w:rPr>
          <w:rFonts w:ascii="Calibri" w:hAnsi="Calibri" w:cs="Calibri"/>
          <w:sz w:val="22"/>
          <w:szCs w:val="22"/>
        </w:rPr>
        <w:t>August 28</w:t>
      </w:r>
      <w:r w:rsidR="003E1361">
        <w:rPr>
          <w:rFonts w:ascii="Calibri" w:hAnsi="Calibri" w:cs="Calibri"/>
          <w:sz w:val="22"/>
          <w:szCs w:val="22"/>
        </w:rPr>
        <w:t>, 2014</w:t>
      </w:r>
    </w:p>
    <w:p w:rsidR="00AA1CCE" w:rsidRPr="006E2572" w:rsidRDefault="00AA1CCE" w:rsidP="00AA1CCE">
      <w:pPr>
        <w:jc w:val="center"/>
        <w:rPr>
          <w:rFonts w:ascii="Calibri" w:hAnsi="Calibri" w:cs="Calibri"/>
        </w:rPr>
      </w:pPr>
    </w:p>
    <w:p w:rsidR="005C06F7" w:rsidRPr="006E2572" w:rsidRDefault="005C06F7" w:rsidP="003A4A91">
      <w:pPr>
        <w:tabs>
          <w:tab w:val="left" w:pos="7200"/>
          <w:tab w:val="right" w:pos="8640"/>
        </w:tabs>
        <w:rPr>
          <w:rFonts w:ascii="Calibri" w:hAnsi="Calibri" w:cs="Calibri"/>
        </w:rPr>
      </w:pPr>
    </w:p>
    <w:p w:rsidR="00E5649B" w:rsidRDefault="00204A06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bookmarkStart w:id="1" w:name="OLE_LINK11"/>
      <w:bookmarkStart w:id="2" w:name="OLE_LINK12"/>
      <w:r>
        <w:rPr>
          <w:rFonts w:ascii="Calibri" w:hAnsi="Calibri" w:cs="Calibri"/>
          <w:b/>
          <w:u w:val="single"/>
        </w:rPr>
        <w:t>Technical Working Group Meetings</w:t>
      </w:r>
    </w:p>
    <w:p w:rsidR="00E5649B" w:rsidRPr="00165CBA" w:rsidRDefault="003E1361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Below is </w:t>
      </w:r>
      <w:r w:rsidR="002070D4">
        <w:rPr>
          <w:rFonts w:ascii="Calibri" w:hAnsi="Calibri" w:cs="Calibri"/>
          <w:color w:val="000000"/>
        </w:rPr>
        <w:t>the schedule meetings and filing dates for the Company’s 2014 IRP</w:t>
      </w:r>
      <w:r w:rsidR="006C57B9">
        <w:rPr>
          <w:rFonts w:ascii="Calibri" w:hAnsi="Calibri" w:cs="Calibri"/>
          <w:color w:val="000000"/>
        </w:rPr>
        <w:t>.  This schedule is revised from the first supplement to the Company’s work plan that was filed September 12, 2013</w:t>
      </w:r>
      <w:r w:rsidRPr="00165CBA">
        <w:rPr>
          <w:rFonts w:ascii="Calibri" w:hAnsi="Calibri" w:cs="Calibri"/>
          <w:color w:val="000000"/>
        </w:rPr>
        <w:t>:</w:t>
      </w:r>
    </w:p>
    <w:p w:rsidR="003E1361" w:rsidRPr="00165CBA" w:rsidRDefault="003E1361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65CBA" w:rsidRPr="006C57B9" w:rsidRDefault="00165CBA" w:rsidP="00E5649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6C57B9">
        <w:rPr>
          <w:rFonts w:ascii="Calibri" w:hAnsi="Calibri" w:cs="Calibri"/>
          <w:b/>
          <w:color w:val="000000"/>
        </w:rPr>
        <w:t>TWG No. 1 – August 22, 2013</w:t>
      </w:r>
    </w:p>
    <w:p w:rsidR="00165CBA" w:rsidRPr="00165CBA" w:rsidRDefault="00165CBA" w:rsidP="00165CBA">
      <w:pPr>
        <w:pStyle w:val="Default"/>
        <w:ind w:left="360"/>
        <w:rPr>
          <w:rFonts w:ascii="Calibri" w:hAnsi="Calibri"/>
          <w:color w:val="auto"/>
        </w:rPr>
      </w:pPr>
      <w:r w:rsidRPr="00165CBA">
        <w:rPr>
          <w:rFonts w:ascii="Calibri" w:hAnsi="Calibri" w:cs="Calibri"/>
        </w:rPr>
        <w:t>NW Natural reviewed a r</w:t>
      </w:r>
      <w:r w:rsidRPr="00165CBA">
        <w:rPr>
          <w:rFonts w:ascii="Calibri" w:hAnsi="Calibri"/>
          <w:color w:val="auto"/>
        </w:rPr>
        <w:t xml:space="preserve">ecap from most recent 2013 NW Natural Washington IRP and 2013 Oregon IRP Update, projected major issues/updates for 2014 IRP, the Gas Supply Outlook and Price Forecast, and our preliminary forecast results </w:t>
      </w:r>
    </w:p>
    <w:p w:rsidR="00165CBA" w:rsidRPr="00165CBA" w:rsidRDefault="00165CBA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65CBA" w:rsidRPr="006C57B9" w:rsidRDefault="00165CBA" w:rsidP="00E5649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6C57B9">
        <w:rPr>
          <w:rFonts w:ascii="Calibri" w:hAnsi="Calibri" w:cs="Calibri"/>
          <w:b/>
          <w:color w:val="000000"/>
        </w:rPr>
        <w:t>TWG No. 2 – October 2, 2013</w:t>
      </w:r>
    </w:p>
    <w:p w:rsidR="00165CBA" w:rsidRPr="00165CBA" w:rsidRDefault="00165CBA" w:rsidP="00165CBA">
      <w:pPr>
        <w:tabs>
          <w:tab w:val="left" w:pos="360"/>
        </w:tabs>
        <w:ind w:left="360" w:hanging="360"/>
        <w:rPr>
          <w:rFonts w:ascii="Calibri" w:hAnsi="Calibri" w:cs="Calibri"/>
        </w:rPr>
      </w:pPr>
      <w:r w:rsidRPr="00165CBA">
        <w:rPr>
          <w:rFonts w:ascii="Calibri" w:hAnsi="Calibri" w:cs="Calibri"/>
        </w:rPr>
        <w:tab/>
        <w:t xml:space="preserve">NW Natural reviewed the revised load forecast, discussed scenarios, and discussed the criteria to be used to determine what Distribution System Planning projects should be included in the IRP. </w:t>
      </w:r>
    </w:p>
    <w:p w:rsidR="00165CBA" w:rsidRPr="00165CBA" w:rsidRDefault="00165CBA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65CBA" w:rsidRPr="006C57B9" w:rsidRDefault="00165CBA" w:rsidP="00E5649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6C57B9">
        <w:rPr>
          <w:rFonts w:ascii="Calibri" w:hAnsi="Calibri" w:cs="Calibri"/>
          <w:b/>
          <w:color w:val="000000"/>
        </w:rPr>
        <w:t>Scenario Workshop – November 13, 2013</w:t>
      </w:r>
    </w:p>
    <w:p w:rsidR="00165CBA" w:rsidRPr="00165CBA" w:rsidRDefault="00165CBA" w:rsidP="00165CBA">
      <w:pPr>
        <w:tabs>
          <w:tab w:val="left" w:pos="360"/>
        </w:tabs>
        <w:ind w:left="360"/>
        <w:rPr>
          <w:rFonts w:ascii="Calibri" w:hAnsi="Calibri" w:cs="Calibri"/>
        </w:rPr>
      </w:pPr>
      <w:r w:rsidRPr="00165CBA">
        <w:rPr>
          <w:rFonts w:ascii="Calibri" w:hAnsi="Calibri" w:cs="Calibri"/>
        </w:rPr>
        <w:t>NW Natural held a half-day scenario workshop as opposed to a technical working group to try to identify those scenarios that were most meaningful to the technical working group.</w:t>
      </w:r>
    </w:p>
    <w:p w:rsidR="00165CBA" w:rsidRPr="00165CBA" w:rsidRDefault="00165CBA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65CBA" w:rsidRPr="006C57B9" w:rsidRDefault="00165CBA" w:rsidP="00E5649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6C57B9">
        <w:rPr>
          <w:rFonts w:ascii="Calibri" w:hAnsi="Calibri" w:cs="Calibri"/>
          <w:b/>
          <w:color w:val="000000"/>
        </w:rPr>
        <w:t xml:space="preserve">TWG No. 3 – December 10, 2013  </w:t>
      </w:r>
    </w:p>
    <w:p w:rsidR="00165CBA" w:rsidRPr="00165CBA" w:rsidRDefault="00165CBA" w:rsidP="00165CBA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165CBA">
        <w:rPr>
          <w:rFonts w:ascii="Calibri" w:hAnsi="Calibri" w:cs="Calibri"/>
          <w:color w:val="000000"/>
        </w:rPr>
        <w:t>Cancelled due to weather.</w:t>
      </w:r>
    </w:p>
    <w:p w:rsidR="00165CBA" w:rsidRPr="00165CBA" w:rsidRDefault="00165CBA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65CBA" w:rsidRPr="006C57B9" w:rsidRDefault="00165CBA" w:rsidP="00E5649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6C57B9">
        <w:rPr>
          <w:rFonts w:ascii="Calibri" w:hAnsi="Calibri" w:cs="Calibri"/>
          <w:b/>
          <w:color w:val="000000"/>
        </w:rPr>
        <w:t>TWG No. 4 – January 23, 2014</w:t>
      </w:r>
    </w:p>
    <w:p w:rsidR="00165CBA" w:rsidRPr="00165CBA" w:rsidRDefault="00165CBA" w:rsidP="00165CBA">
      <w:pPr>
        <w:pStyle w:val="Default"/>
        <w:ind w:left="360"/>
        <w:rPr>
          <w:rFonts w:ascii="Calibri" w:hAnsi="Calibri"/>
          <w:color w:val="auto"/>
        </w:rPr>
      </w:pPr>
      <w:r w:rsidRPr="00165CBA">
        <w:rPr>
          <w:rFonts w:ascii="Calibri" w:hAnsi="Calibri" w:cs="Calibri"/>
        </w:rPr>
        <w:t>NW Natural reviewed a r</w:t>
      </w:r>
      <w:r w:rsidRPr="00165CBA">
        <w:rPr>
          <w:rFonts w:ascii="Calibri" w:hAnsi="Calibri"/>
          <w:color w:val="auto"/>
        </w:rPr>
        <w:t xml:space="preserve">ecap from most recent 2013 NW Natural Washington IRP and 2013 Oregon IRP Update, projected major issues/updates for 2014 IRP, the Gas Supply Outlook and Price Forecast, and our preliminary forecast results </w:t>
      </w:r>
    </w:p>
    <w:p w:rsidR="00165CBA" w:rsidRPr="00165CBA" w:rsidRDefault="00165CBA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65CBA" w:rsidRPr="006C57B9" w:rsidRDefault="00165CBA" w:rsidP="00E5649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6C57B9">
        <w:rPr>
          <w:rFonts w:ascii="Calibri" w:hAnsi="Calibri" w:cs="Calibri"/>
          <w:b/>
          <w:color w:val="000000"/>
        </w:rPr>
        <w:t>TWG No. 5 – April 3, 2014</w:t>
      </w:r>
    </w:p>
    <w:p w:rsidR="00165CBA" w:rsidRPr="00165CBA" w:rsidRDefault="00165CBA" w:rsidP="00165CBA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165CBA">
        <w:rPr>
          <w:rFonts w:ascii="Calibri" w:hAnsi="Calibri" w:cs="Calibri"/>
          <w:color w:val="000000"/>
        </w:rPr>
        <w:t xml:space="preserve">NW Natural reviewed comments from parties, discussed providing additional analysis on alternative pipeline, presented its carbon pricing analysis and reviewed its long term hedging practices. </w:t>
      </w:r>
    </w:p>
    <w:p w:rsidR="00165CBA" w:rsidRDefault="00F65275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165CBA" w:rsidRDefault="00165CBA" w:rsidP="00E56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65CBA" w:rsidRPr="006C57B9" w:rsidRDefault="00165CBA" w:rsidP="00E5649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6C57B9">
        <w:rPr>
          <w:rFonts w:ascii="Calibri" w:hAnsi="Calibri" w:cs="Calibri"/>
          <w:b/>
          <w:color w:val="000000"/>
        </w:rPr>
        <w:t xml:space="preserve">TWG No. 6 – July </w:t>
      </w:r>
      <w:r w:rsidR="002070D4">
        <w:rPr>
          <w:rFonts w:ascii="Calibri" w:hAnsi="Calibri" w:cs="Calibri"/>
          <w:b/>
          <w:color w:val="000000"/>
        </w:rPr>
        <w:t>11,</w:t>
      </w:r>
      <w:r w:rsidRPr="006C57B9">
        <w:rPr>
          <w:rFonts w:ascii="Calibri" w:hAnsi="Calibri" w:cs="Calibri"/>
          <w:b/>
          <w:color w:val="000000"/>
        </w:rPr>
        <w:t xml:space="preserve"> 2014</w:t>
      </w:r>
    </w:p>
    <w:p w:rsidR="00165CBA" w:rsidRDefault="006C57B9" w:rsidP="002070D4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NW Natural plans to review the </w:t>
      </w:r>
      <w:r w:rsidR="002070D4">
        <w:rPr>
          <w:rFonts w:ascii="Calibri" w:hAnsi="Calibri" w:cs="Calibri"/>
          <w:color w:val="000000"/>
        </w:rPr>
        <w:t>additional analysis it will perform on alternative pipelines.</w:t>
      </w:r>
    </w:p>
    <w:bookmarkEnd w:id="1"/>
    <w:bookmarkEnd w:id="2"/>
    <w:p w:rsidR="003C774A" w:rsidRPr="006E2572" w:rsidRDefault="003C774A" w:rsidP="003C774A">
      <w:pPr>
        <w:rPr>
          <w:rFonts w:ascii="Calibri" w:hAnsi="Calibri" w:cs="Calibri"/>
        </w:rPr>
      </w:pPr>
    </w:p>
    <w:p w:rsidR="006C57B9" w:rsidRDefault="006C57B9" w:rsidP="003A4A91">
      <w:pPr>
        <w:tabs>
          <w:tab w:val="left" w:pos="7200"/>
          <w:tab w:val="right" w:pos="8640"/>
        </w:tabs>
        <w:rPr>
          <w:rFonts w:ascii="Calibri" w:hAnsi="Calibri" w:cs="Calibri"/>
          <w:b/>
        </w:rPr>
      </w:pPr>
      <w:r w:rsidRPr="006C57B9">
        <w:rPr>
          <w:rFonts w:ascii="Calibri" w:hAnsi="Calibri" w:cs="Calibri"/>
          <w:b/>
        </w:rPr>
        <w:t>March 3, 2014</w:t>
      </w:r>
    </w:p>
    <w:p w:rsidR="005C06F7" w:rsidRDefault="006C57B9" w:rsidP="006C57B9">
      <w:pPr>
        <w:tabs>
          <w:tab w:val="left" w:pos="720"/>
          <w:tab w:val="left" w:pos="7200"/>
          <w:tab w:val="right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Draft IRP filed with WUTC</w:t>
      </w:r>
    </w:p>
    <w:p w:rsidR="006C57B9" w:rsidRDefault="006C57B9" w:rsidP="003A4A91">
      <w:pPr>
        <w:tabs>
          <w:tab w:val="left" w:pos="7200"/>
          <w:tab w:val="right" w:pos="8640"/>
        </w:tabs>
        <w:rPr>
          <w:rFonts w:ascii="Calibri" w:hAnsi="Calibri" w:cs="Calibri"/>
        </w:rPr>
      </w:pPr>
    </w:p>
    <w:p w:rsidR="006C57B9" w:rsidRDefault="006C57B9" w:rsidP="003A4A91">
      <w:pPr>
        <w:tabs>
          <w:tab w:val="left" w:pos="7200"/>
          <w:tab w:val="right" w:pos="8640"/>
        </w:tabs>
        <w:rPr>
          <w:rFonts w:ascii="Calibri" w:hAnsi="Calibri" w:cs="Calibri"/>
          <w:b/>
        </w:rPr>
      </w:pPr>
      <w:r w:rsidRPr="006C57B9">
        <w:rPr>
          <w:rFonts w:ascii="Calibri" w:hAnsi="Calibri" w:cs="Calibri"/>
          <w:b/>
        </w:rPr>
        <w:t>August 29 to September 5, 201</w:t>
      </w:r>
      <w:r>
        <w:rPr>
          <w:rFonts w:ascii="Calibri" w:hAnsi="Calibri" w:cs="Calibri"/>
          <w:b/>
        </w:rPr>
        <w:t>4</w:t>
      </w:r>
    </w:p>
    <w:p w:rsidR="006C57B9" w:rsidRPr="006E2572" w:rsidRDefault="006C57B9" w:rsidP="006C57B9">
      <w:pPr>
        <w:tabs>
          <w:tab w:val="left" w:pos="720"/>
          <w:tab w:val="left" w:pos="7200"/>
          <w:tab w:val="right" w:pos="8640"/>
        </w:tabs>
        <w:rPr>
          <w:rFonts w:ascii="Calibri" w:hAnsi="Calibri" w:cs="Calibri"/>
        </w:rPr>
        <w:sectPr w:rsidR="006C57B9" w:rsidRPr="006E2572" w:rsidSect="003A4A91">
          <w:footerReference w:type="default" r:id="rId11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The Company will submit its final 2014 IRP to the WUTC.</w:t>
      </w:r>
    </w:p>
    <w:p w:rsidR="00204A06" w:rsidRDefault="00204A06" w:rsidP="003A4A91">
      <w:pPr>
        <w:pStyle w:val="Default"/>
        <w:tabs>
          <w:tab w:val="left" w:pos="7200"/>
          <w:tab w:val="right" w:pos="8640"/>
        </w:tabs>
        <w:rPr>
          <w:rFonts w:ascii="Calibri" w:hAnsi="Calibri" w:cs="Calibri"/>
          <w:b/>
          <w:u w:val="single"/>
        </w:rPr>
      </w:pPr>
    </w:p>
    <w:p w:rsidR="00CC219D" w:rsidRDefault="00CC219D" w:rsidP="003A4A91">
      <w:pPr>
        <w:pStyle w:val="Default"/>
        <w:tabs>
          <w:tab w:val="left" w:pos="7200"/>
          <w:tab w:val="right" w:pos="8640"/>
        </w:tabs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IRP Content</w:t>
      </w:r>
    </w:p>
    <w:p w:rsidR="003A4A91" w:rsidRPr="00CC219D" w:rsidRDefault="003E1361" w:rsidP="003A4A91">
      <w:pPr>
        <w:pStyle w:val="Default"/>
        <w:tabs>
          <w:tab w:val="left" w:pos="7200"/>
          <w:tab w:val="right" w:pos="8640"/>
        </w:tabs>
        <w:rPr>
          <w:rFonts w:ascii="Calibri" w:hAnsi="Calibri" w:cs="Calibri"/>
        </w:rPr>
      </w:pPr>
      <w:r w:rsidRPr="00CC219D">
        <w:rPr>
          <w:rFonts w:ascii="Calibri" w:hAnsi="Calibri" w:cs="Calibri"/>
        </w:rPr>
        <w:t xml:space="preserve">Below is </w:t>
      </w:r>
      <w:r w:rsidR="00CC219D" w:rsidRPr="00CC219D">
        <w:rPr>
          <w:rFonts w:ascii="Calibri" w:hAnsi="Calibri" w:cs="Calibri"/>
        </w:rPr>
        <w:t>expected content of the final 2014 IRP.  This is take</w:t>
      </w:r>
      <w:r w:rsidR="002070D4">
        <w:rPr>
          <w:rFonts w:ascii="Calibri" w:hAnsi="Calibri" w:cs="Calibri"/>
        </w:rPr>
        <w:t>n</w:t>
      </w:r>
      <w:r w:rsidR="00CC219D" w:rsidRPr="00CC219D">
        <w:rPr>
          <w:rFonts w:ascii="Calibri" w:hAnsi="Calibri" w:cs="Calibri"/>
        </w:rPr>
        <w:t xml:space="preserve"> from the table of contents included in the Draft 2014 IRP filing on March 3, 2014.  </w:t>
      </w:r>
    </w:p>
    <w:p w:rsidR="006C57B9" w:rsidRDefault="006C57B9" w:rsidP="003A4A91">
      <w:pPr>
        <w:pStyle w:val="Default"/>
        <w:tabs>
          <w:tab w:val="left" w:pos="7200"/>
          <w:tab w:val="right" w:pos="8640"/>
        </w:tabs>
        <w:rPr>
          <w:rFonts w:ascii="Calibri" w:hAnsi="Calibri" w:cs="Calibri"/>
          <w:b/>
          <w:u w:val="single"/>
        </w:rPr>
      </w:pP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b/>
          <w:sz w:val="24"/>
          <w:szCs w:val="24"/>
        </w:rPr>
      </w:pPr>
      <w:r w:rsidRPr="00CC219D">
        <w:rPr>
          <w:rFonts w:cs="Arial"/>
          <w:b/>
          <w:sz w:val="24"/>
          <w:szCs w:val="24"/>
        </w:rPr>
        <w:t>C</w:t>
      </w:r>
      <w:r w:rsidRPr="00405DEE">
        <w:rPr>
          <w:rFonts w:cs="Arial"/>
          <w:b/>
          <w:sz w:val="24"/>
          <w:szCs w:val="24"/>
        </w:rPr>
        <w:t>HAPTER 1 – EXECUTIVE SUMMARY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/>
        </w:rPr>
        <w:tab/>
        <w:t>I.</w:t>
      </w:r>
      <w:r w:rsidRPr="00405DEE">
        <w:rPr>
          <w:rFonts w:ascii="Calibri" w:hAnsi="Calibri" w:cs="Arial"/>
        </w:rPr>
        <w:tab/>
        <w:t>Introduction and Background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II.</w:t>
      </w:r>
      <w:r w:rsidRPr="00405DEE">
        <w:rPr>
          <w:rFonts w:ascii="Calibri" w:hAnsi="Calibri" w:cs="Arial"/>
        </w:rPr>
        <w:tab/>
        <w:t xml:space="preserve">Principle Conclusions 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III.</w:t>
      </w:r>
      <w:r w:rsidRPr="00405DEE">
        <w:rPr>
          <w:rFonts w:cs="Arial"/>
          <w:sz w:val="24"/>
          <w:szCs w:val="24"/>
        </w:rPr>
        <w:tab/>
        <w:t>Demand Forecasts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IV.</w:t>
      </w:r>
      <w:r w:rsidRPr="00405DEE">
        <w:rPr>
          <w:rFonts w:ascii="Calibri" w:hAnsi="Calibri" w:cs="Arial"/>
        </w:rPr>
        <w:tab/>
        <w:t>Supply-Side Resources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V.</w:t>
      </w:r>
      <w:r w:rsidRPr="00405DEE">
        <w:rPr>
          <w:rFonts w:cs="Arial"/>
          <w:sz w:val="24"/>
          <w:szCs w:val="24"/>
        </w:rPr>
        <w:tab/>
        <w:t>Resource Portfolio Analysis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VI.</w:t>
      </w:r>
      <w:r w:rsidRPr="00405DEE">
        <w:rPr>
          <w:rFonts w:ascii="Calibri" w:hAnsi="Calibri" w:cs="Arial"/>
        </w:rPr>
        <w:tab/>
        <w:t>Public Involvement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VII.</w:t>
      </w:r>
      <w:r w:rsidRPr="00405DEE">
        <w:rPr>
          <w:rFonts w:ascii="Calibri" w:hAnsi="Calibri" w:cs="Arial"/>
        </w:rPr>
        <w:tab/>
        <w:t>Multi-Year Action Plan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CHAPTER 2 – GAS REQUIREMENTS FORECAST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bookmarkStart w:id="3" w:name="OLE_LINK1"/>
      <w:bookmarkStart w:id="4" w:name="OLE_LINK2"/>
      <w:r w:rsidRPr="00405DEE">
        <w:rPr>
          <w:rFonts w:cs="Arial"/>
          <w:b/>
          <w:sz w:val="24"/>
          <w:szCs w:val="24"/>
        </w:rPr>
        <w:tab/>
      </w:r>
      <w:r w:rsidRPr="00405DEE">
        <w:rPr>
          <w:rFonts w:cs="Arial"/>
          <w:sz w:val="24"/>
          <w:szCs w:val="24"/>
        </w:rPr>
        <w:t>I.</w:t>
      </w:r>
      <w:r w:rsidRPr="00405DEE">
        <w:rPr>
          <w:rFonts w:cs="Arial"/>
          <w:sz w:val="24"/>
          <w:szCs w:val="24"/>
        </w:rPr>
        <w:tab/>
        <w:t>Overview of Load Forecast Methodology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II.</w:t>
      </w:r>
      <w:r w:rsidRPr="00405DEE">
        <w:rPr>
          <w:rFonts w:ascii="Calibri" w:hAnsi="Calibri" w:cs="Arial"/>
        </w:rPr>
        <w:tab/>
        <w:t xml:space="preserve">Customer Forecast </w:t>
      </w:r>
    </w:p>
    <w:bookmarkEnd w:id="3"/>
    <w:bookmarkEnd w:id="4"/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III.</w:t>
      </w:r>
      <w:r w:rsidRPr="00405DEE">
        <w:rPr>
          <w:rFonts w:cs="Arial"/>
          <w:sz w:val="24"/>
          <w:szCs w:val="24"/>
        </w:rPr>
        <w:tab/>
        <w:t>Load Forecast Model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IV.</w:t>
      </w:r>
      <w:r w:rsidRPr="00405DEE">
        <w:rPr>
          <w:rFonts w:ascii="Calibri" w:hAnsi="Calibri" w:cs="Arial"/>
        </w:rPr>
        <w:tab/>
        <w:t>Weather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V.</w:t>
      </w:r>
      <w:r w:rsidRPr="00405DEE">
        <w:rPr>
          <w:rFonts w:cs="Arial"/>
          <w:sz w:val="24"/>
          <w:szCs w:val="24"/>
        </w:rPr>
        <w:tab/>
        <w:t>Gas Price Forecast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VI.</w:t>
      </w:r>
      <w:r w:rsidRPr="00405DEE">
        <w:rPr>
          <w:rFonts w:ascii="Calibri" w:hAnsi="Calibri" w:cs="Arial"/>
        </w:rPr>
        <w:tab/>
        <w:t>Emerging Markets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VII.</w:t>
      </w:r>
      <w:r w:rsidRPr="00405DEE">
        <w:rPr>
          <w:rFonts w:ascii="Calibri" w:hAnsi="Calibri" w:cs="Arial"/>
        </w:rPr>
        <w:tab/>
        <w:t>Results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VIII.</w:t>
      </w:r>
      <w:r w:rsidRPr="00405DEE">
        <w:rPr>
          <w:rFonts w:ascii="Calibri" w:hAnsi="Calibri" w:cs="Arial"/>
        </w:rPr>
        <w:tab/>
        <w:t>Forecast Accuracy and Peak Day Analysis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IX.</w:t>
      </w:r>
      <w:r w:rsidRPr="00405DEE">
        <w:rPr>
          <w:rFonts w:ascii="Calibri" w:hAnsi="Calibri" w:cs="Arial"/>
        </w:rPr>
        <w:tab/>
        <w:t>Key Findings</w:t>
      </w:r>
    </w:p>
    <w:p w:rsidR="00CC219D" w:rsidRPr="00405DEE" w:rsidRDefault="00CC219D" w:rsidP="00CC219D">
      <w:pPr>
        <w:rPr>
          <w:rFonts w:ascii="Calibri" w:hAnsi="Calibri"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CHAPTER 3 – SUPPLY-SIDE RESOURCES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I.</w:t>
      </w:r>
      <w:r w:rsidRPr="00405DEE">
        <w:rPr>
          <w:rFonts w:cs="Arial"/>
          <w:sz w:val="24"/>
          <w:szCs w:val="24"/>
        </w:rPr>
        <w:tab/>
        <w:t>Overview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II.</w:t>
      </w:r>
      <w:r w:rsidRPr="00405DEE">
        <w:rPr>
          <w:rFonts w:ascii="Calibri" w:hAnsi="Calibri" w:cs="Arial"/>
        </w:rPr>
        <w:tab/>
        <w:t xml:space="preserve">Current Resources 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III.</w:t>
      </w:r>
      <w:r w:rsidRPr="00405DEE">
        <w:rPr>
          <w:rFonts w:cs="Arial"/>
          <w:sz w:val="24"/>
          <w:szCs w:val="24"/>
        </w:rPr>
        <w:tab/>
        <w:t>LNG Process Improvement and Refurbishment Project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IV.</w:t>
      </w:r>
      <w:r w:rsidRPr="00405DEE">
        <w:rPr>
          <w:rFonts w:cs="Arial"/>
          <w:sz w:val="24"/>
          <w:szCs w:val="24"/>
        </w:rPr>
        <w:tab/>
        <w:t>Supply-Side Resource Dispatching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lastRenderedPageBreak/>
        <w:tab/>
        <w:t>V.</w:t>
      </w:r>
      <w:r w:rsidRPr="00405DEE">
        <w:rPr>
          <w:rFonts w:cs="Arial"/>
          <w:sz w:val="24"/>
          <w:szCs w:val="24"/>
        </w:rPr>
        <w:tab/>
        <w:t>Gate Station Planning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VI.</w:t>
      </w:r>
      <w:r w:rsidRPr="00405DEE">
        <w:rPr>
          <w:rFonts w:ascii="Calibri" w:hAnsi="Calibri" w:cs="Arial"/>
        </w:rPr>
        <w:tab/>
        <w:t>Recent Action Steps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VII.</w:t>
      </w:r>
      <w:r w:rsidRPr="00405DEE">
        <w:rPr>
          <w:rFonts w:ascii="Calibri" w:hAnsi="Calibri" w:cs="Arial"/>
        </w:rPr>
        <w:tab/>
        <w:t>Future Resource Alternatives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 xml:space="preserve">VIII. </w:t>
      </w:r>
      <w:r w:rsidRPr="00405DEE">
        <w:rPr>
          <w:rFonts w:ascii="Calibri" w:hAnsi="Calibri" w:cs="Arial"/>
        </w:rPr>
        <w:tab/>
        <w:t>The Cutting Room Floor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IX.</w:t>
      </w:r>
      <w:r w:rsidRPr="00405DEE">
        <w:rPr>
          <w:rFonts w:ascii="Calibri" w:hAnsi="Calibri" w:cs="Arial"/>
        </w:rPr>
        <w:tab/>
        <w:t>Gas Supply Portfolio Acquisition Strategy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X.</w:t>
      </w:r>
      <w:r w:rsidRPr="00405DEE">
        <w:rPr>
          <w:rFonts w:ascii="Calibri" w:hAnsi="Calibri" w:cs="Arial"/>
        </w:rPr>
        <w:tab/>
        <w:t>Emergency Planning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XI.</w:t>
      </w:r>
      <w:r w:rsidRPr="00405DEE">
        <w:rPr>
          <w:rFonts w:ascii="Calibri" w:hAnsi="Calibri" w:cs="Arial"/>
        </w:rPr>
        <w:tab/>
        <w:t>Key Findings</w:t>
      </w:r>
    </w:p>
    <w:p w:rsidR="00CC219D" w:rsidRPr="00405DEE" w:rsidRDefault="00CC219D" w:rsidP="00CC219D">
      <w:pPr>
        <w:rPr>
          <w:rFonts w:ascii="Calibri" w:hAnsi="Calibri"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CHAPTER 4 – DEMAND-SIDE RESOURCES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I.</w:t>
      </w:r>
      <w:r w:rsidRPr="00405DEE">
        <w:rPr>
          <w:rFonts w:cs="Arial"/>
          <w:sz w:val="24"/>
          <w:szCs w:val="24"/>
        </w:rPr>
        <w:tab/>
        <w:t>Overview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/>
        </w:rPr>
      </w:pPr>
      <w:r w:rsidRPr="00405DEE">
        <w:rPr>
          <w:rFonts w:ascii="Calibri" w:hAnsi="Calibri" w:cs="Arial"/>
        </w:rPr>
        <w:tab/>
        <w:t>II.</w:t>
      </w:r>
      <w:r w:rsidRPr="00405DEE">
        <w:rPr>
          <w:rFonts w:ascii="Calibri" w:hAnsi="Calibri" w:cs="Arial"/>
        </w:rPr>
        <w:tab/>
        <w:t>Methodology for Determining the Cost Effective DSM Potential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III.</w:t>
      </w:r>
      <w:r w:rsidRPr="00405DEE">
        <w:rPr>
          <w:rFonts w:cs="Arial"/>
          <w:sz w:val="24"/>
          <w:szCs w:val="24"/>
        </w:rPr>
        <w:tab/>
        <w:t>Program Funding and Delivery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IV.</w:t>
      </w:r>
      <w:r w:rsidRPr="00405DEE">
        <w:rPr>
          <w:rFonts w:cs="Arial"/>
          <w:sz w:val="24"/>
          <w:szCs w:val="24"/>
        </w:rPr>
        <w:tab/>
        <w:t>Load Management and Demand Response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 xml:space="preserve">       V.</w:t>
      </w:r>
      <w:r w:rsidRPr="00405DEE">
        <w:rPr>
          <w:rFonts w:cs="Arial"/>
          <w:sz w:val="24"/>
          <w:szCs w:val="24"/>
        </w:rPr>
        <w:tab/>
        <w:t>Conclusion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b/>
          <w:sz w:val="24"/>
          <w:szCs w:val="24"/>
        </w:rPr>
        <w:t>CHAPTER 5 – ENERGY POLICIES AND ENVIRONMENTAL CONSIDERATIONS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I.</w:t>
      </w:r>
      <w:r w:rsidRPr="00405DEE">
        <w:rPr>
          <w:rFonts w:cs="Arial"/>
          <w:sz w:val="24"/>
          <w:szCs w:val="24"/>
        </w:rPr>
        <w:tab/>
        <w:t>Overview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II.</w:t>
      </w:r>
      <w:r w:rsidRPr="00405DEE">
        <w:rPr>
          <w:rFonts w:cs="Arial"/>
          <w:sz w:val="24"/>
          <w:szCs w:val="24"/>
        </w:rPr>
        <w:tab/>
        <w:t>State, Regional, and Federal Energy Policies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III.</w:t>
      </w:r>
      <w:r w:rsidRPr="00405DEE">
        <w:rPr>
          <w:rFonts w:cs="Arial"/>
          <w:sz w:val="24"/>
          <w:szCs w:val="24"/>
        </w:rPr>
        <w:tab/>
        <w:t>Carbon Pricing in the 2014 IRP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IV.</w:t>
      </w:r>
      <w:r w:rsidRPr="00405DEE">
        <w:rPr>
          <w:rFonts w:cs="Arial"/>
          <w:sz w:val="24"/>
          <w:szCs w:val="24"/>
        </w:rPr>
        <w:tab/>
        <w:t>Scenarios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V.</w:t>
      </w:r>
      <w:r w:rsidRPr="00405DEE">
        <w:rPr>
          <w:rFonts w:cs="Arial"/>
          <w:sz w:val="24"/>
          <w:szCs w:val="24"/>
        </w:rPr>
        <w:tab/>
        <w:t>Analysis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VI.</w:t>
      </w:r>
      <w:r w:rsidRPr="00405DEE">
        <w:rPr>
          <w:rFonts w:cs="Arial"/>
          <w:sz w:val="24"/>
          <w:szCs w:val="24"/>
        </w:rPr>
        <w:tab/>
        <w:t>Results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VII.</w:t>
      </w:r>
      <w:r w:rsidRPr="00405DEE">
        <w:rPr>
          <w:rFonts w:cs="Arial"/>
          <w:sz w:val="24"/>
          <w:szCs w:val="24"/>
        </w:rPr>
        <w:tab/>
        <w:t>Key Findings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</w:p>
    <w:p w:rsidR="00CC219D" w:rsidRPr="00405DEE" w:rsidRDefault="00CC219D" w:rsidP="00CC219D">
      <w:pPr>
        <w:keepNext/>
        <w:rPr>
          <w:rFonts w:ascii="Calibri" w:hAnsi="Calibri"/>
          <w:b/>
        </w:rPr>
      </w:pPr>
      <w:r w:rsidRPr="00405DEE">
        <w:rPr>
          <w:rFonts w:ascii="Calibri" w:hAnsi="Calibri"/>
          <w:b/>
        </w:rPr>
        <w:t>CHAPTER 6 – DISTRIBUTION SYSTEM PLANNING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I.</w:t>
      </w:r>
      <w:r w:rsidRPr="00405DEE">
        <w:rPr>
          <w:rFonts w:cs="Arial"/>
          <w:sz w:val="24"/>
          <w:szCs w:val="24"/>
        </w:rPr>
        <w:tab/>
        <w:t>Background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II.</w:t>
      </w:r>
      <w:r w:rsidRPr="00405DEE">
        <w:rPr>
          <w:rFonts w:cs="Arial"/>
          <w:sz w:val="24"/>
          <w:szCs w:val="24"/>
        </w:rPr>
        <w:tab/>
        <w:t>Scope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III.</w:t>
      </w:r>
      <w:r w:rsidRPr="00405DEE">
        <w:rPr>
          <w:rFonts w:cs="Arial"/>
          <w:sz w:val="24"/>
          <w:szCs w:val="24"/>
        </w:rPr>
        <w:tab/>
        <w:t>Nomenclature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IV.</w:t>
      </w:r>
      <w:r w:rsidRPr="00405DEE">
        <w:rPr>
          <w:rFonts w:cs="Arial"/>
          <w:sz w:val="24"/>
          <w:szCs w:val="24"/>
        </w:rPr>
        <w:tab/>
        <w:t>Overview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V.</w:t>
      </w:r>
      <w:r w:rsidRPr="00405DEE">
        <w:rPr>
          <w:rFonts w:cs="Arial"/>
          <w:sz w:val="24"/>
          <w:szCs w:val="24"/>
        </w:rPr>
        <w:tab/>
        <w:t>Existing Distribution System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VI.</w:t>
      </w:r>
      <w:r w:rsidRPr="00405DEE">
        <w:rPr>
          <w:rFonts w:cs="Arial"/>
          <w:sz w:val="24"/>
          <w:szCs w:val="24"/>
        </w:rPr>
        <w:tab/>
        <w:t>Distribution System Planning Methodology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VII.</w:t>
      </w:r>
      <w:r w:rsidRPr="00405DEE">
        <w:rPr>
          <w:rFonts w:cs="Arial"/>
          <w:sz w:val="24"/>
          <w:szCs w:val="24"/>
        </w:rPr>
        <w:tab/>
        <w:t>Significant Potential HP Transmission/Distribution System Planning Projects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VIII.</w:t>
      </w:r>
      <w:r w:rsidRPr="00405DEE">
        <w:rPr>
          <w:rFonts w:cs="Arial"/>
          <w:sz w:val="24"/>
          <w:szCs w:val="24"/>
        </w:rPr>
        <w:tab/>
        <w:t>Other Distribution System Projects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IX.</w:t>
      </w:r>
      <w:r w:rsidRPr="00405DEE">
        <w:rPr>
          <w:rFonts w:cs="Arial"/>
          <w:sz w:val="24"/>
          <w:szCs w:val="24"/>
        </w:rPr>
        <w:tab/>
        <w:t>Key Findings</w:t>
      </w:r>
    </w:p>
    <w:p w:rsidR="00CC219D" w:rsidRPr="00405DEE" w:rsidRDefault="00CC219D" w:rsidP="00CC219D">
      <w:pPr>
        <w:rPr>
          <w:rFonts w:ascii="Calibri" w:hAnsi="Calibri" w:cs="Arial"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CHAPTER 7 – LINEAR PROGRAMMING AND THE COMPANY’S RESOURCE CHOICES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I.</w:t>
      </w:r>
      <w:r w:rsidRPr="00405DEE">
        <w:rPr>
          <w:rFonts w:cs="Arial"/>
          <w:sz w:val="24"/>
          <w:szCs w:val="24"/>
        </w:rPr>
        <w:tab/>
        <w:t>System Planning Overview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II.</w:t>
      </w:r>
      <w:r w:rsidRPr="00405DEE">
        <w:rPr>
          <w:rFonts w:cs="Arial"/>
          <w:sz w:val="24"/>
          <w:szCs w:val="24"/>
        </w:rPr>
        <w:tab/>
        <w:t>Resource Planning Model Results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III.</w:t>
      </w:r>
      <w:r w:rsidRPr="00405DEE">
        <w:rPr>
          <w:rFonts w:cs="Arial"/>
          <w:sz w:val="24"/>
          <w:szCs w:val="24"/>
        </w:rPr>
        <w:tab/>
        <w:t>Portfolio Risk Analysis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lastRenderedPageBreak/>
        <w:tab/>
        <w:t>IV.</w:t>
      </w:r>
      <w:r w:rsidRPr="00405DEE">
        <w:rPr>
          <w:rFonts w:cs="Arial"/>
          <w:sz w:val="24"/>
          <w:szCs w:val="24"/>
        </w:rPr>
        <w:tab/>
        <w:t>Key Findings</w:t>
      </w:r>
    </w:p>
    <w:p w:rsidR="00CC219D" w:rsidRPr="00405DEE" w:rsidRDefault="00CC219D" w:rsidP="00CC219D">
      <w:pPr>
        <w:rPr>
          <w:rFonts w:ascii="Calibri" w:hAnsi="Calibri"/>
          <w:b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CHAPTER 8 – AVOIDED COST DETERMINATION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b/>
          <w:sz w:val="24"/>
          <w:szCs w:val="24"/>
        </w:rPr>
        <w:tab/>
      </w:r>
      <w:r w:rsidRPr="00405DEE">
        <w:rPr>
          <w:rFonts w:cs="Arial"/>
          <w:sz w:val="24"/>
          <w:szCs w:val="24"/>
        </w:rPr>
        <w:t>I.</w:t>
      </w:r>
      <w:r w:rsidRPr="00405DEE">
        <w:rPr>
          <w:rFonts w:cs="Arial"/>
          <w:sz w:val="24"/>
          <w:szCs w:val="24"/>
        </w:rPr>
        <w:tab/>
        <w:t>Overview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II.</w:t>
      </w:r>
      <w:r w:rsidRPr="00405DEE">
        <w:rPr>
          <w:rFonts w:ascii="Calibri" w:hAnsi="Calibri" w:cs="Arial"/>
        </w:rPr>
        <w:tab/>
        <w:t>Costs Included in Avoided Cost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III.</w:t>
      </w:r>
      <w:r w:rsidRPr="00405DEE">
        <w:rPr>
          <w:rFonts w:ascii="Calibri" w:hAnsi="Calibri" w:cs="Arial"/>
        </w:rPr>
        <w:tab/>
        <w:t>Methodology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IV.</w:t>
      </w:r>
      <w:r w:rsidRPr="00405DEE">
        <w:rPr>
          <w:rFonts w:ascii="Calibri" w:hAnsi="Calibri" w:cs="Arial"/>
        </w:rPr>
        <w:tab/>
        <w:t>Results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Arial"/>
        </w:rPr>
      </w:pPr>
      <w:r w:rsidRPr="00405DEE">
        <w:rPr>
          <w:rFonts w:ascii="Calibri" w:hAnsi="Calibri" w:cs="Arial"/>
        </w:rPr>
        <w:tab/>
        <w:t>V.</w:t>
      </w:r>
      <w:r w:rsidRPr="00405DEE">
        <w:rPr>
          <w:rFonts w:ascii="Calibri" w:hAnsi="Calibri" w:cs="Arial"/>
        </w:rPr>
        <w:tab/>
        <w:t>Key Findings</w:t>
      </w:r>
    </w:p>
    <w:p w:rsidR="00CC219D" w:rsidRPr="00405DEE" w:rsidRDefault="00CC219D" w:rsidP="00CC219D">
      <w:pPr>
        <w:rPr>
          <w:rFonts w:ascii="Calibri" w:hAnsi="Calibri"/>
          <w:b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CHAPTER 9 – PUBLIC PARTICIPATION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b/>
          <w:sz w:val="24"/>
          <w:szCs w:val="24"/>
        </w:rPr>
        <w:tab/>
      </w:r>
      <w:r w:rsidRPr="00405DEE">
        <w:rPr>
          <w:rFonts w:cs="Arial"/>
          <w:sz w:val="24"/>
          <w:szCs w:val="24"/>
        </w:rPr>
        <w:t>I.</w:t>
      </w:r>
      <w:r w:rsidRPr="00405DEE">
        <w:rPr>
          <w:rFonts w:cs="Arial"/>
          <w:sz w:val="24"/>
          <w:szCs w:val="24"/>
        </w:rPr>
        <w:tab/>
        <w:t>Technical Working Group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b/>
          <w:sz w:val="24"/>
          <w:szCs w:val="24"/>
        </w:rPr>
        <w:tab/>
      </w:r>
      <w:r w:rsidRPr="00405DEE">
        <w:rPr>
          <w:rFonts w:cs="Arial"/>
          <w:sz w:val="24"/>
          <w:szCs w:val="24"/>
        </w:rPr>
        <w:t>II.</w:t>
      </w:r>
      <w:r w:rsidRPr="00405DEE">
        <w:rPr>
          <w:rFonts w:cs="Arial"/>
          <w:sz w:val="24"/>
          <w:szCs w:val="24"/>
        </w:rPr>
        <w:tab/>
        <w:t>Public Participation</w:t>
      </w:r>
    </w:p>
    <w:p w:rsidR="00CC219D" w:rsidRPr="00405DEE" w:rsidRDefault="00CC219D" w:rsidP="00CC219D">
      <w:pPr>
        <w:rPr>
          <w:rFonts w:ascii="Calibri" w:hAnsi="Calibri"/>
          <w:b/>
        </w:rPr>
      </w:pPr>
    </w:p>
    <w:p w:rsidR="00CC219D" w:rsidRPr="00405DEE" w:rsidRDefault="00CC219D" w:rsidP="00CC219D">
      <w:pPr>
        <w:keepNext/>
        <w:rPr>
          <w:rFonts w:ascii="Calibri" w:hAnsi="Calibri"/>
          <w:b/>
        </w:rPr>
      </w:pPr>
      <w:r w:rsidRPr="00405DEE">
        <w:rPr>
          <w:rFonts w:ascii="Calibri" w:hAnsi="Calibri"/>
          <w:b/>
        </w:rPr>
        <w:t>APPENDIX 1 – REGULATORY COMPLIANCE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I.</w:t>
      </w:r>
      <w:r w:rsidRPr="00405DEE">
        <w:rPr>
          <w:rFonts w:ascii="Calibri" w:hAnsi="Calibri" w:cs="Calibri"/>
        </w:rPr>
        <w:tab/>
        <w:t>Compliance Overview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II.</w:t>
      </w:r>
      <w:r w:rsidRPr="00405DEE">
        <w:rPr>
          <w:rFonts w:ascii="Calibri" w:hAnsi="Calibri" w:cs="Calibri"/>
        </w:rPr>
        <w:tab/>
        <w:t>Detailed Compliance Review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/>
          <w:b/>
        </w:rPr>
      </w:pPr>
      <w:r w:rsidRPr="00405DEE">
        <w:rPr>
          <w:rFonts w:ascii="Calibri" w:hAnsi="Calibri"/>
          <w:b/>
        </w:rPr>
        <w:t>APPENDIX 2 – GAS REQUIREMENTS FORECAST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</w:t>
      </w:r>
      <w:r w:rsidRPr="00405DEE">
        <w:rPr>
          <w:rFonts w:ascii="Calibri" w:hAnsi="Calibri" w:cs="Calibri"/>
        </w:rPr>
        <w:tab/>
        <w:t>Customer Forecast – Base Case: Residential + Commercial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2.2</w:t>
      </w:r>
      <w:r w:rsidRPr="00405DEE">
        <w:rPr>
          <w:rFonts w:ascii="Calibri" w:hAnsi="Calibri" w:cs="Calibri"/>
        </w:rPr>
        <w:tab/>
        <w:t>Customer Forecast – Base Case: Residential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2.3</w:t>
      </w:r>
      <w:r w:rsidRPr="00405DEE">
        <w:rPr>
          <w:rFonts w:ascii="Calibri" w:hAnsi="Calibri" w:cs="Calibri"/>
        </w:rPr>
        <w:tab/>
        <w:t>Customer Forecast – Base Case: Commercial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2.4</w:t>
      </w:r>
      <w:r w:rsidRPr="00405DEE">
        <w:rPr>
          <w:rFonts w:ascii="Calibri" w:hAnsi="Calibri" w:cs="Calibri"/>
        </w:rPr>
        <w:tab/>
        <w:t>Customer Forecast – High Growth: Residential + Commercial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2.5</w:t>
      </w:r>
      <w:r w:rsidRPr="00405DEE">
        <w:rPr>
          <w:rFonts w:ascii="Calibri" w:hAnsi="Calibri" w:cs="Calibri"/>
        </w:rPr>
        <w:tab/>
        <w:t>Customer Forecast</w:t>
      </w:r>
      <w:r w:rsidR="00586066">
        <w:rPr>
          <w:rFonts w:ascii="Calibri" w:hAnsi="Calibri" w:cs="Calibri"/>
        </w:rPr>
        <w:t xml:space="preserve"> – High Growth: Residential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2.6</w:t>
      </w:r>
      <w:r w:rsidRPr="00405DEE">
        <w:rPr>
          <w:rFonts w:ascii="Calibri" w:hAnsi="Calibri" w:cs="Calibri"/>
        </w:rPr>
        <w:tab/>
        <w:t>Customer Forecast – High Gr</w:t>
      </w:r>
      <w:r w:rsidR="00586066">
        <w:rPr>
          <w:rFonts w:ascii="Calibri" w:hAnsi="Calibri" w:cs="Calibri"/>
        </w:rPr>
        <w:t>owth: Commercial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2.7</w:t>
      </w:r>
      <w:r w:rsidRPr="00405DEE">
        <w:rPr>
          <w:rFonts w:ascii="Calibri" w:hAnsi="Calibri" w:cs="Calibri"/>
        </w:rPr>
        <w:tab/>
        <w:t>Customer Forecast – Low Growth: Resident</w:t>
      </w:r>
      <w:r w:rsidR="00586066">
        <w:rPr>
          <w:rFonts w:ascii="Calibri" w:hAnsi="Calibri" w:cs="Calibri"/>
        </w:rPr>
        <w:t>ial + Commercial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2.8</w:t>
      </w:r>
      <w:r w:rsidRPr="00405DEE">
        <w:rPr>
          <w:rFonts w:ascii="Calibri" w:hAnsi="Calibri" w:cs="Calibri"/>
        </w:rPr>
        <w:tab/>
        <w:t>Customer For</w:t>
      </w:r>
      <w:r w:rsidR="00586066">
        <w:rPr>
          <w:rFonts w:ascii="Calibri" w:hAnsi="Calibri" w:cs="Calibri"/>
        </w:rPr>
        <w:t>ecast – Low Growth: Residential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2.9</w:t>
      </w:r>
      <w:r w:rsidRPr="00405DEE">
        <w:rPr>
          <w:rFonts w:ascii="Calibri" w:hAnsi="Calibri" w:cs="Calibri"/>
        </w:rPr>
        <w:tab/>
        <w:t>Customer Forecast – Lo</w:t>
      </w:r>
      <w:r w:rsidR="00586066">
        <w:rPr>
          <w:rFonts w:ascii="Calibri" w:hAnsi="Calibri" w:cs="Calibri"/>
        </w:rPr>
        <w:t>w Growth: Commercial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2.10</w:t>
      </w:r>
      <w:r w:rsidRPr="00405DEE">
        <w:rPr>
          <w:rFonts w:ascii="Calibri" w:hAnsi="Calibri" w:cs="Calibri"/>
        </w:rPr>
        <w:tab/>
        <w:t>Annual Load Foreca</w:t>
      </w:r>
      <w:r w:rsidR="00586066">
        <w:rPr>
          <w:rFonts w:ascii="Calibri" w:hAnsi="Calibri" w:cs="Calibri"/>
        </w:rPr>
        <w:t>st – Base Case: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2.11</w:t>
      </w:r>
      <w:r w:rsidRPr="00405DEE">
        <w:rPr>
          <w:rFonts w:ascii="Calibri" w:hAnsi="Calibri" w:cs="Calibri"/>
        </w:rPr>
        <w:tab/>
        <w:t>Annual Load Forecas</w:t>
      </w:r>
      <w:r w:rsidR="00586066">
        <w:rPr>
          <w:rFonts w:ascii="Calibri" w:hAnsi="Calibri" w:cs="Calibri"/>
        </w:rPr>
        <w:t>t – Base Case: Residential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2.12</w:t>
      </w:r>
      <w:r w:rsidRPr="00405DEE">
        <w:rPr>
          <w:rFonts w:ascii="Calibri" w:hAnsi="Calibri" w:cs="Calibri"/>
        </w:rPr>
        <w:tab/>
        <w:t>Annual Load Forecast – Base C</w:t>
      </w:r>
      <w:r w:rsidR="00586066">
        <w:rPr>
          <w:rFonts w:ascii="Calibri" w:hAnsi="Calibri" w:cs="Calibri"/>
        </w:rPr>
        <w:t>ase: Commercial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2.13</w:t>
      </w:r>
      <w:r w:rsidRPr="00405DEE">
        <w:rPr>
          <w:rFonts w:ascii="Calibri" w:hAnsi="Calibri" w:cs="Calibri"/>
        </w:rPr>
        <w:tab/>
        <w:t>Annual Load Forecast – Base C</w:t>
      </w:r>
      <w:r w:rsidR="00586066">
        <w:rPr>
          <w:rFonts w:ascii="Calibri" w:hAnsi="Calibri" w:cs="Calibri"/>
        </w:rPr>
        <w:t>ase: Industrial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2.14</w:t>
      </w:r>
      <w:r w:rsidRPr="00405DEE">
        <w:rPr>
          <w:rFonts w:ascii="Calibri" w:hAnsi="Calibri" w:cs="Calibri"/>
        </w:rPr>
        <w:tab/>
        <w:t>Annual Load Forecast – Base</w:t>
      </w:r>
      <w:r w:rsidR="00586066">
        <w:rPr>
          <w:rFonts w:ascii="Calibri" w:hAnsi="Calibri" w:cs="Calibri"/>
        </w:rPr>
        <w:t xml:space="preserve"> Case: Firm Transportation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2.15</w:t>
      </w:r>
      <w:r w:rsidRPr="00405DEE">
        <w:rPr>
          <w:rFonts w:ascii="Calibri" w:hAnsi="Calibri" w:cs="Calibri"/>
        </w:rPr>
        <w:tab/>
        <w:t>Annual Load Forecast – Base Case: Fi</w:t>
      </w:r>
      <w:r w:rsidR="00586066">
        <w:rPr>
          <w:rFonts w:ascii="Calibri" w:hAnsi="Calibri" w:cs="Calibri"/>
        </w:rPr>
        <w:t xml:space="preserve">rm Sales + Firm Transportation 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2.16</w:t>
      </w:r>
      <w:r w:rsidRPr="00405DEE">
        <w:rPr>
          <w:rFonts w:ascii="Calibri" w:hAnsi="Calibri" w:cs="Calibri"/>
        </w:rPr>
        <w:tab/>
        <w:t>Annual Load Fore</w:t>
      </w:r>
      <w:r w:rsidR="00586066">
        <w:rPr>
          <w:rFonts w:ascii="Calibri" w:hAnsi="Calibri" w:cs="Calibri"/>
        </w:rPr>
        <w:t>cast – Base Case: Interruptible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2.17</w:t>
      </w:r>
      <w:r w:rsidRPr="00405DEE">
        <w:rPr>
          <w:rFonts w:ascii="Calibri" w:hAnsi="Calibri" w:cs="Calibri"/>
        </w:rPr>
        <w:tab/>
        <w:t>Annual Load Forecast – Base Ca</w:t>
      </w:r>
      <w:r w:rsidR="00586066">
        <w:rPr>
          <w:rFonts w:ascii="Calibri" w:hAnsi="Calibri" w:cs="Calibri"/>
        </w:rPr>
        <w:t>se: Emerging Markets (Low Case)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2.18</w:t>
      </w:r>
      <w:r w:rsidRPr="00405DEE">
        <w:rPr>
          <w:rFonts w:ascii="Calibri" w:hAnsi="Calibri" w:cs="Calibri"/>
        </w:rPr>
        <w:tab/>
        <w:t>Design Day Load F</w:t>
      </w:r>
      <w:r w:rsidR="00586066">
        <w:rPr>
          <w:rFonts w:ascii="Calibri" w:hAnsi="Calibri" w:cs="Calibri"/>
        </w:rPr>
        <w:t>orecast – Base Case: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2.19</w:t>
      </w:r>
      <w:r w:rsidRPr="00405DEE">
        <w:rPr>
          <w:rFonts w:ascii="Calibri" w:hAnsi="Calibri" w:cs="Calibri"/>
        </w:rPr>
        <w:tab/>
        <w:t>Design Day Load Fo</w:t>
      </w:r>
      <w:r w:rsidR="00586066">
        <w:rPr>
          <w:rFonts w:ascii="Calibri" w:hAnsi="Calibri" w:cs="Calibri"/>
        </w:rPr>
        <w:t>recast - Base Case: Residential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2.20</w:t>
      </w:r>
      <w:r w:rsidRPr="00405DEE">
        <w:rPr>
          <w:rFonts w:ascii="Calibri" w:hAnsi="Calibri" w:cs="Calibri"/>
        </w:rPr>
        <w:tab/>
        <w:t>Design Day Load Forecast - B</w:t>
      </w:r>
      <w:r w:rsidR="00586066">
        <w:rPr>
          <w:rFonts w:ascii="Calibri" w:hAnsi="Calibri" w:cs="Calibri"/>
        </w:rPr>
        <w:t>ase Case: Commercial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2.21</w:t>
      </w:r>
      <w:r w:rsidRPr="00405DEE">
        <w:rPr>
          <w:rFonts w:ascii="Calibri" w:hAnsi="Calibri" w:cs="Calibri"/>
        </w:rPr>
        <w:tab/>
        <w:t>Design Day Load Forecast - B</w:t>
      </w:r>
      <w:r w:rsidR="00586066">
        <w:rPr>
          <w:rFonts w:ascii="Calibri" w:hAnsi="Calibri" w:cs="Calibri"/>
        </w:rPr>
        <w:t>ase Case: Industrial Firm Sales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2.22</w:t>
      </w:r>
      <w:r w:rsidRPr="00405DEE">
        <w:rPr>
          <w:rFonts w:ascii="Calibri" w:hAnsi="Calibri" w:cs="Calibri"/>
        </w:rPr>
        <w:tab/>
        <w:t>Design Day Load Forecast - Base</w:t>
      </w:r>
      <w:r w:rsidR="00586066">
        <w:rPr>
          <w:rFonts w:ascii="Calibri" w:hAnsi="Calibri" w:cs="Calibri"/>
        </w:rPr>
        <w:t xml:space="preserve"> Case: Firm Transportation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2.23</w:t>
      </w:r>
      <w:r w:rsidRPr="00405DEE">
        <w:rPr>
          <w:rFonts w:ascii="Calibri" w:hAnsi="Calibri" w:cs="Calibri"/>
        </w:rPr>
        <w:tab/>
        <w:t>Design Day Load Forecast - Base Case: Firm S</w:t>
      </w:r>
      <w:r w:rsidR="00586066">
        <w:rPr>
          <w:rFonts w:ascii="Calibri" w:hAnsi="Calibri" w:cs="Calibri"/>
        </w:rPr>
        <w:t>ales + Firm Transportation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2.24</w:t>
      </w:r>
      <w:r w:rsidRPr="00405DEE">
        <w:rPr>
          <w:rFonts w:ascii="Calibri" w:hAnsi="Calibri" w:cs="Calibri"/>
        </w:rPr>
        <w:tab/>
        <w:t>Design Day Load Forecast - Base Case: Emerging Markets Firm Sales (Low Case)</w:t>
      </w:r>
      <w:r w:rsidRPr="00405DEE">
        <w:rPr>
          <w:rFonts w:ascii="Calibri" w:hAnsi="Calibri" w:cs="Calibri"/>
        </w:rPr>
        <w:tab/>
      </w:r>
    </w:p>
    <w:p w:rsidR="00CC219D" w:rsidRPr="00405DEE" w:rsidRDefault="00CC219D" w:rsidP="00CC219D">
      <w:pPr>
        <w:rPr>
          <w:rFonts w:ascii="Calibri" w:hAnsi="Calibri"/>
          <w:b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APPENDIX 3 – SUPPLY SIDE RESOURCES</w:t>
      </w:r>
    </w:p>
    <w:p w:rsidR="00CC219D" w:rsidRPr="00405DEE" w:rsidRDefault="00CC219D" w:rsidP="00CC219D">
      <w:pPr>
        <w:rPr>
          <w:rFonts w:ascii="Calibri" w:hAnsi="Calibri"/>
          <w:b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APPENDIX 4 – DEMAND-SIDE RESOURCES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I.</w:t>
      </w:r>
      <w:r w:rsidRPr="00405DEE">
        <w:rPr>
          <w:rFonts w:ascii="Calibri" w:hAnsi="Calibri" w:cs="Calibri"/>
        </w:rPr>
        <w:tab/>
        <w:t>Oregon Incremental Savings by Year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II.</w:t>
      </w:r>
      <w:r w:rsidRPr="00405DEE">
        <w:rPr>
          <w:rFonts w:ascii="Calibri" w:hAnsi="Calibri" w:cs="Calibri"/>
        </w:rPr>
        <w:tab/>
        <w:t>Washington Incremental Savings by Year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III.</w:t>
      </w:r>
      <w:r w:rsidRPr="00405DEE">
        <w:rPr>
          <w:rFonts w:ascii="Calibri" w:hAnsi="Calibri" w:cs="Calibri"/>
        </w:rPr>
        <w:tab/>
        <w:t>Oregon Cumulative Savings by Year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IV.</w:t>
      </w:r>
      <w:r w:rsidRPr="00405DEE">
        <w:rPr>
          <w:rFonts w:ascii="Calibri" w:hAnsi="Calibri" w:cs="Calibri"/>
        </w:rPr>
        <w:tab/>
        <w:t xml:space="preserve">Washington Cumulative Savings by Year 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V.</w:t>
      </w:r>
      <w:r w:rsidRPr="00405DEE">
        <w:rPr>
          <w:rFonts w:ascii="Calibri" w:hAnsi="Calibri" w:cs="Calibri"/>
        </w:rPr>
        <w:tab/>
        <w:t>Detailed Measure Description</w:t>
      </w:r>
    </w:p>
    <w:p w:rsidR="00CC219D" w:rsidRPr="00405DEE" w:rsidRDefault="00CC219D" w:rsidP="00CC219D">
      <w:pPr>
        <w:tabs>
          <w:tab w:val="right" w:pos="540"/>
          <w:tab w:val="left" w:pos="900"/>
          <w:tab w:val="left" w:pos="126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</w:r>
      <w:r w:rsidRPr="00405DEE">
        <w:rPr>
          <w:rFonts w:ascii="Calibri" w:hAnsi="Calibri" w:cs="Calibri"/>
        </w:rPr>
        <w:tab/>
      </w:r>
      <w:r w:rsidRPr="00405DEE">
        <w:rPr>
          <w:rFonts w:ascii="Calibri" w:hAnsi="Calibri" w:cs="Calibri"/>
        </w:rPr>
        <w:tab/>
        <w:t>Residential</w:t>
      </w:r>
    </w:p>
    <w:p w:rsidR="00CC219D" w:rsidRPr="00405DEE" w:rsidRDefault="00CC219D" w:rsidP="00CC219D">
      <w:pPr>
        <w:tabs>
          <w:tab w:val="right" w:pos="540"/>
          <w:tab w:val="left" w:pos="900"/>
          <w:tab w:val="left" w:pos="126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</w:r>
      <w:r w:rsidRPr="00405DEE">
        <w:rPr>
          <w:rFonts w:ascii="Calibri" w:hAnsi="Calibri" w:cs="Calibri"/>
        </w:rPr>
        <w:tab/>
      </w:r>
      <w:r w:rsidRPr="00405DEE">
        <w:rPr>
          <w:rFonts w:ascii="Calibri" w:hAnsi="Calibri" w:cs="Calibri"/>
        </w:rPr>
        <w:tab/>
        <w:t>Commercial</w:t>
      </w:r>
    </w:p>
    <w:p w:rsidR="00CC219D" w:rsidRPr="00405DEE" w:rsidRDefault="00CC219D" w:rsidP="00CC219D">
      <w:pPr>
        <w:tabs>
          <w:tab w:val="right" w:pos="540"/>
          <w:tab w:val="left" w:pos="900"/>
          <w:tab w:val="left" w:pos="1260"/>
          <w:tab w:val="right" w:leader="dot" w:pos="8640"/>
        </w:tabs>
        <w:autoSpaceDE w:val="0"/>
        <w:autoSpaceDN w:val="0"/>
        <w:adjustRightInd w:val="0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</w:r>
      <w:r w:rsidRPr="00405DEE">
        <w:rPr>
          <w:rFonts w:ascii="Calibri" w:hAnsi="Calibri" w:cs="Calibri"/>
        </w:rPr>
        <w:tab/>
      </w:r>
      <w:r w:rsidRPr="00405DEE">
        <w:rPr>
          <w:rFonts w:ascii="Calibri" w:hAnsi="Calibri" w:cs="Calibri"/>
        </w:rPr>
        <w:tab/>
        <w:t>Industrial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Calibri"/>
        </w:rPr>
      </w:pP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/>
          <w:b/>
        </w:rPr>
      </w:pPr>
      <w:r w:rsidRPr="00405DEE">
        <w:rPr>
          <w:rFonts w:ascii="Calibri" w:hAnsi="Calibri"/>
          <w:b/>
        </w:rPr>
        <w:t>APPENDIX 5 – ENERGY POLICIES AND ENVIRONMENTAL CONSIDERATIONS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/>
          <w:b/>
        </w:rPr>
      </w:pP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rPr>
          <w:rFonts w:ascii="Calibri" w:hAnsi="Calibri" w:cs="Calibri"/>
        </w:rPr>
      </w:pPr>
      <w:r w:rsidRPr="00405DEE">
        <w:rPr>
          <w:rFonts w:ascii="Calibri" w:hAnsi="Calibri"/>
          <w:b/>
        </w:rPr>
        <w:t>APPENDIX 6 – DISTRIBUTION SYSTEM PLANNING</w:t>
      </w:r>
      <w:r w:rsidRPr="00405DEE">
        <w:rPr>
          <w:rFonts w:ascii="Calibri" w:hAnsi="Calibri" w:cs="Calibri"/>
        </w:rPr>
        <w:t xml:space="preserve"> 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I.</w:t>
      </w:r>
      <w:r w:rsidRPr="00405DEE">
        <w:rPr>
          <w:rFonts w:ascii="Calibri" w:hAnsi="Calibri" w:cs="Calibri"/>
        </w:rPr>
        <w:tab/>
        <w:t>Washington Distribution System Projects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APPENDIX 7 – LINEAR PROGRAMMING AND THE COMPANY’S RESOURCE CHOICES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I.</w:t>
      </w:r>
      <w:r w:rsidRPr="00405DEE">
        <w:rPr>
          <w:rFonts w:ascii="Calibri" w:hAnsi="Calibri" w:cs="Calibri"/>
        </w:rPr>
        <w:tab/>
        <w:t>System Diagram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II.</w:t>
      </w:r>
      <w:r w:rsidRPr="00405DEE">
        <w:rPr>
          <w:rFonts w:ascii="Calibri" w:hAnsi="Calibri" w:cs="Calibri"/>
        </w:rPr>
        <w:tab/>
        <w:t>Resource Options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III.</w:t>
      </w:r>
      <w:r w:rsidRPr="00405DEE">
        <w:rPr>
          <w:rFonts w:ascii="Calibri" w:hAnsi="Calibri" w:cs="Calibri"/>
        </w:rPr>
        <w:tab/>
        <w:t>Portfolio 1 (CC 2018)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IV.</w:t>
      </w:r>
      <w:r w:rsidRPr="00405DEE">
        <w:rPr>
          <w:rFonts w:ascii="Calibri" w:hAnsi="Calibri" w:cs="Calibri"/>
        </w:rPr>
        <w:tab/>
        <w:t>Portfolio 2 (WEX 2018)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V.</w:t>
      </w:r>
      <w:r w:rsidRPr="00405DEE">
        <w:rPr>
          <w:rFonts w:ascii="Calibri" w:hAnsi="Calibri" w:cs="Calibri"/>
        </w:rPr>
        <w:tab/>
        <w:t>Portfolio 3 (Sumas Exp. 2018/25)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VI.</w:t>
      </w:r>
      <w:r w:rsidRPr="00405DEE">
        <w:rPr>
          <w:rFonts w:ascii="Calibri" w:hAnsi="Calibri" w:cs="Calibri"/>
        </w:rPr>
        <w:tab/>
        <w:t>Low Load Growth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VII.</w:t>
      </w:r>
      <w:r w:rsidRPr="00405DEE">
        <w:rPr>
          <w:rFonts w:ascii="Calibri" w:hAnsi="Calibri" w:cs="Calibri"/>
        </w:rPr>
        <w:tab/>
        <w:t>High Load Growth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 w:cs="Calibri"/>
        </w:rPr>
        <w:tab/>
        <w:t>VIII.</w:t>
      </w:r>
      <w:r w:rsidRPr="00405DEE">
        <w:rPr>
          <w:rFonts w:ascii="Calibri" w:hAnsi="Calibri" w:cs="Calibri"/>
        </w:rPr>
        <w:tab/>
        <w:t>2013 Washington IRP Design Weather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APPENDIX 8 – AVOIDED COSTS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  <w:r w:rsidRPr="00405DEE">
        <w:rPr>
          <w:rFonts w:ascii="Calibri" w:hAnsi="Calibri"/>
          <w:b/>
        </w:rPr>
        <w:tab/>
      </w:r>
      <w:r w:rsidRPr="00405DEE">
        <w:rPr>
          <w:rFonts w:ascii="Calibri" w:hAnsi="Calibri"/>
        </w:rPr>
        <w:t>I.</w:t>
      </w:r>
      <w:r w:rsidRPr="00405DEE">
        <w:rPr>
          <w:rFonts w:ascii="Calibri" w:hAnsi="Calibri"/>
          <w:b/>
        </w:rPr>
        <w:tab/>
      </w:r>
      <w:r w:rsidRPr="00405DEE">
        <w:rPr>
          <w:rFonts w:ascii="Calibri" w:hAnsi="Calibri"/>
        </w:rPr>
        <w:t>Base Avoided Costs by Month and Load Center</w:t>
      </w:r>
    </w:p>
    <w:p w:rsidR="00CC219D" w:rsidRPr="00405DEE" w:rsidRDefault="00CC219D" w:rsidP="00CC219D">
      <w:pPr>
        <w:tabs>
          <w:tab w:val="right" w:pos="540"/>
          <w:tab w:val="left" w:pos="900"/>
          <w:tab w:val="right" w:leader="dot" w:pos="8640"/>
        </w:tabs>
        <w:autoSpaceDE w:val="0"/>
        <w:autoSpaceDN w:val="0"/>
        <w:adjustRightInd w:val="0"/>
        <w:ind w:left="72" w:firstLine="18"/>
        <w:rPr>
          <w:rFonts w:ascii="Calibri" w:hAnsi="Calibri" w:cs="Calibri"/>
        </w:rPr>
      </w:pPr>
    </w:p>
    <w:p w:rsidR="00CC219D" w:rsidRPr="00405DEE" w:rsidRDefault="00CC219D" w:rsidP="00CC219D">
      <w:pPr>
        <w:rPr>
          <w:rFonts w:ascii="Calibri" w:hAnsi="Calibri"/>
          <w:b/>
        </w:rPr>
      </w:pPr>
      <w:r w:rsidRPr="00405DEE">
        <w:rPr>
          <w:rFonts w:ascii="Calibri" w:hAnsi="Calibri"/>
          <w:b/>
        </w:rPr>
        <w:t>APPENDIX 9 – PUBLIC PARTICIPATION</w:t>
      </w:r>
    </w:p>
    <w:p w:rsidR="00CC219D" w:rsidRPr="00405DEE" w:rsidRDefault="00CC219D" w:rsidP="00CC219D">
      <w:pPr>
        <w:pStyle w:val="ListParagraph"/>
        <w:tabs>
          <w:tab w:val="right" w:pos="540"/>
          <w:tab w:val="left" w:pos="900"/>
          <w:tab w:val="right" w:leader="dot" w:pos="8640"/>
        </w:tabs>
        <w:spacing w:after="0"/>
        <w:ind w:left="0"/>
        <w:rPr>
          <w:rFonts w:cs="Arial"/>
          <w:sz w:val="24"/>
          <w:szCs w:val="24"/>
        </w:rPr>
      </w:pPr>
      <w:r w:rsidRPr="00405DEE">
        <w:rPr>
          <w:rFonts w:cs="Arial"/>
          <w:sz w:val="24"/>
          <w:szCs w:val="24"/>
        </w:rPr>
        <w:tab/>
        <w:t>I.</w:t>
      </w:r>
      <w:r w:rsidRPr="00405DEE">
        <w:rPr>
          <w:rFonts w:cs="Arial"/>
          <w:sz w:val="24"/>
          <w:szCs w:val="24"/>
        </w:rPr>
        <w:tab/>
        <w:t>Technical Working Group Sign-In Sheets</w:t>
      </w:r>
    </w:p>
    <w:p w:rsidR="006C57B9" w:rsidRPr="006E2572" w:rsidRDefault="006C57B9" w:rsidP="003A4A91">
      <w:pPr>
        <w:pStyle w:val="Default"/>
        <w:tabs>
          <w:tab w:val="left" w:pos="7200"/>
          <w:tab w:val="right" w:pos="8640"/>
        </w:tabs>
        <w:rPr>
          <w:rFonts w:ascii="Calibri" w:hAnsi="Calibri" w:cs="Calibri"/>
          <w:b/>
        </w:rPr>
      </w:pPr>
    </w:p>
    <w:p w:rsidR="003A4A91" w:rsidRPr="006E2572" w:rsidRDefault="003A4A91" w:rsidP="003A4A91">
      <w:pPr>
        <w:pStyle w:val="Default"/>
        <w:tabs>
          <w:tab w:val="right" w:pos="8640"/>
        </w:tabs>
        <w:rPr>
          <w:rFonts w:ascii="Calibri" w:hAnsi="Calibri" w:cs="Calibri"/>
        </w:rPr>
      </w:pPr>
    </w:p>
    <w:sectPr w:rsidR="003A4A91" w:rsidRPr="006E2572" w:rsidSect="003A4A91">
      <w:headerReference w:type="default" r:id="rId12"/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74" w:rsidRDefault="00476C74">
      <w:r>
        <w:separator/>
      </w:r>
    </w:p>
  </w:endnote>
  <w:endnote w:type="continuationSeparator" w:id="0">
    <w:p w:rsidR="00476C74" w:rsidRDefault="0047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9D" w:rsidRDefault="00CC219D" w:rsidP="007D6BF6">
    <w:pPr>
      <w:pStyle w:val="Footer"/>
      <w:rPr>
        <w:rFonts w:ascii="Arial" w:hAnsi="Arial"/>
        <w:sz w:val="18"/>
      </w:rPr>
    </w:pPr>
  </w:p>
  <w:p w:rsidR="00CC219D" w:rsidRDefault="00CC219D" w:rsidP="007D6BF6">
    <w:pPr>
      <w:pStyle w:val="Footer"/>
      <w:rPr>
        <w:rFonts w:ascii="Arial" w:hAnsi="Arial"/>
        <w:sz w:val="18"/>
      </w:rPr>
    </w:pPr>
  </w:p>
  <w:p w:rsidR="007D6BF6" w:rsidRDefault="007D6BF6" w:rsidP="007D6BF6">
    <w:pPr>
      <w:pStyle w:val="Footer"/>
      <w:rPr>
        <w:rFonts w:ascii="Arial" w:hAnsi="Arial"/>
        <w:sz w:val="18"/>
      </w:rPr>
    </w:pPr>
    <w:r w:rsidRPr="005C06F7">
      <w:rPr>
        <w:rFonts w:ascii="Arial" w:hAnsi="Arial"/>
        <w:sz w:val="18"/>
      </w:rPr>
      <w:t>NW Natural’s 201</w:t>
    </w:r>
    <w:r w:rsidR="00C249F2">
      <w:rPr>
        <w:rFonts w:ascii="Arial" w:hAnsi="Arial"/>
        <w:sz w:val="18"/>
      </w:rPr>
      <w:t>4</w:t>
    </w:r>
    <w:r w:rsidRPr="005C06F7">
      <w:rPr>
        <w:rFonts w:ascii="Arial" w:hAnsi="Arial"/>
        <w:sz w:val="18"/>
      </w:rPr>
      <w:t xml:space="preserve"> IRP Work Plan</w:t>
    </w:r>
  </w:p>
  <w:p w:rsidR="00CC219D" w:rsidRPr="005C06F7" w:rsidRDefault="00CC219D" w:rsidP="007D6BF6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>Supplement No. 2</w:t>
    </w:r>
  </w:p>
  <w:p w:rsidR="007D6BF6" w:rsidRPr="005C06F7" w:rsidRDefault="007D6BF6" w:rsidP="007D6BF6">
    <w:pPr>
      <w:pStyle w:val="Footer"/>
      <w:rPr>
        <w:rFonts w:ascii="Arial" w:hAnsi="Arial"/>
        <w:sz w:val="18"/>
      </w:rPr>
    </w:pPr>
    <w:r w:rsidRPr="005C06F7">
      <w:rPr>
        <w:rFonts w:ascii="Arial" w:hAnsi="Arial"/>
        <w:sz w:val="18"/>
      </w:rPr>
      <w:t xml:space="preserve">Page </w:t>
    </w:r>
    <w:r w:rsidRPr="005C06F7">
      <w:rPr>
        <w:rStyle w:val="PageNumber"/>
        <w:rFonts w:ascii="Arial" w:hAnsi="Arial"/>
        <w:sz w:val="18"/>
      </w:rPr>
      <w:fldChar w:fldCharType="begin"/>
    </w:r>
    <w:r w:rsidRPr="005C06F7">
      <w:rPr>
        <w:rStyle w:val="PageNumber"/>
        <w:rFonts w:ascii="Arial" w:hAnsi="Arial"/>
        <w:sz w:val="18"/>
      </w:rPr>
      <w:instrText xml:space="preserve"> PAGE </w:instrText>
    </w:r>
    <w:r w:rsidRPr="005C06F7">
      <w:rPr>
        <w:rStyle w:val="PageNumber"/>
        <w:rFonts w:ascii="Arial" w:hAnsi="Arial"/>
        <w:sz w:val="18"/>
      </w:rPr>
      <w:fldChar w:fldCharType="separate"/>
    </w:r>
    <w:r w:rsidR="009B7417">
      <w:rPr>
        <w:rStyle w:val="PageNumber"/>
        <w:rFonts w:ascii="Arial" w:hAnsi="Arial"/>
        <w:noProof/>
        <w:sz w:val="18"/>
      </w:rPr>
      <w:t>2</w:t>
    </w:r>
    <w:r w:rsidRPr="005C06F7">
      <w:rPr>
        <w:rStyle w:val="PageNumber"/>
        <w:rFonts w:ascii="Arial" w:hAnsi="Arial"/>
        <w:sz w:val="18"/>
      </w:rPr>
      <w:fldChar w:fldCharType="end"/>
    </w:r>
    <w:r w:rsidRPr="005C06F7">
      <w:rPr>
        <w:rStyle w:val="PageNumber"/>
        <w:rFonts w:ascii="Arial" w:hAnsi="Arial"/>
        <w:sz w:val="18"/>
      </w:rPr>
      <w:t xml:space="preserve"> of </w:t>
    </w:r>
    <w:r w:rsidRPr="005C06F7">
      <w:rPr>
        <w:rStyle w:val="PageNumber"/>
        <w:rFonts w:ascii="Arial" w:hAnsi="Arial"/>
        <w:sz w:val="18"/>
      </w:rPr>
      <w:fldChar w:fldCharType="begin"/>
    </w:r>
    <w:r w:rsidRPr="005C06F7">
      <w:rPr>
        <w:rStyle w:val="PageNumber"/>
        <w:rFonts w:ascii="Arial" w:hAnsi="Arial"/>
        <w:sz w:val="18"/>
      </w:rPr>
      <w:instrText xml:space="preserve"> NUMPAGES </w:instrText>
    </w:r>
    <w:r w:rsidRPr="005C06F7">
      <w:rPr>
        <w:rStyle w:val="PageNumber"/>
        <w:rFonts w:ascii="Arial" w:hAnsi="Arial"/>
        <w:sz w:val="18"/>
      </w:rPr>
      <w:fldChar w:fldCharType="separate"/>
    </w:r>
    <w:r w:rsidR="009B7417">
      <w:rPr>
        <w:rStyle w:val="PageNumber"/>
        <w:rFonts w:ascii="Arial" w:hAnsi="Arial"/>
        <w:noProof/>
        <w:sz w:val="18"/>
      </w:rPr>
      <w:t>5</w:t>
    </w:r>
    <w:r w:rsidRPr="005C06F7">
      <w:rPr>
        <w:rStyle w:val="PageNumber"/>
        <w:rFonts w:ascii="Arial" w:hAnsi="Arial"/>
        <w:sz w:val="18"/>
      </w:rPr>
      <w:fldChar w:fldCharType="end"/>
    </w:r>
  </w:p>
  <w:p w:rsidR="007D6BF6" w:rsidRDefault="007D6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D2" w:rsidRDefault="003C47D2">
    <w:pPr>
      <w:pStyle w:val="Footer"/>
      <w:rPr>
        <w:rFonts w:ascii="Arial" w:hAnsi="Arial"/>
        <w:sz w:val="18"/>
      </w:rPr>
    </w:pPr>
  </w:p>
  <w:p w:rsidR="003C47D2" w:rsidRDefault="003C47D2">
    <w:pPr>
      <w:pStyle w:val="Footer"/>
      <w:rPr>
        <w:rFonts w:ascii="Arial" w:hAnsi="Arial"/>
        <w:sz w:val="18"/>
      </w:rPr>
    </w:pPr>
  </w:p>
  <w:p w:rsidR="003C47D2" w:rsidRPr="005C06F7" w:rsidRDefault="003C47D2">
    <w:pPr>
      <w:pStyle w:val="Footer"/>
      <w:rPr>
        <w:rFonts w:ascii="Arial" w:hAnsi="Arial"/>
        <w:sz w:val="18"/>
      </w:rPr>
    </w:pPr>
    <w:r w:rsidRPr="005C06F7">
      <w:rPr>
        <w:rFonts w:ascii="Arial" w:hAnsi="Arial"/>
        <w:sz w:val="18"/>
      </w:rPr>
      <w:t>NW Natural’s 201</w:t>
    </w:r>
    <w:r w:rsidR="0034455E">
      <w:rPr>
        <w:rFonts w:ascii="Arial" w:hAnsi="Arial"/>
        <w:sz w:val="18"/>
      </w:rPr>
      <w:t>4</w:t>
    </w:r>
    <w:r w:rsidRPr="005C06F7">
      <w:rPr>
        <w:rFonts w:ascii="Arial" w:hAnsi="Arial"/>
        <w:sz w:val="18"/>
      </w:rPr>
      <w:t xml:space="preserve"> IRP Work Plan</w:t>
    </w:r>
    <w:r w:rsidR="002070D4">
      <w:rPr>
        <w:rFonts w:ascii="Arial" w:hAnsi="Arial"/>
        <w:sz w:val="18"/>
      </w:rPr>
      <w:br/>
      <w:t>Supplement No. 2</w:t>
    </w:r>
  </w:p>
  <w:p w:rsidR="003C47D2" w:rsidRPr="005C06F7" w:rsidRDefault="003C47D2">
    <w:pPr>
      <w:pStyle w:val="Footer"/>
      <w:rPr>
        <w:rFonts w:ascii="Arial" w:hAnsi="Arial"/>
        <w:sz w:val="18"/>
      </w:rPr>
    </w:pPr>
    <w:r w:rsidRPr="005C06F7">
      <w:rPr>
        <w:rFonts w:ascii="Arial" w:hAnsi="Arial"/>
        <w:sz w:val="18"/>
      </w:rPr>
      <w:t xml:space="preserve">Page </w:t>
    </w:r>
    <w:r w:rsidRPr="005C06F7">
      <w:rPr>
        <w:rStyle w:val="PageNumber"/>
        <w:rFonts w:ascii="Arial" w:hAnsi="Arial"/>
        <w:sz w:val="18"/>
      </w:rPr>
      <w:fldChar w:fldCharType="begin"/>
    </w:r>
    <w:r w:rsidRPr="005C06F7">
      <w:rPr>
        <w:rStyle w:val="PageNumber"/>
        <w:rFonts w:ascii="Arial" w:hAnsi="Arial"/>
        <w:sz w:val="18"/>
      </w:rPr>
      <w:instrText xml:space="preserve"> PAGE </w:instrText>
    </w:r>
    <w:r w:rsidRPr="005C06F7">
      <w:rPr>
        <w:rStyle w:val="PageNumber"/>
        <w:rFonts w:ascii="Arial" w:hAnsi="Arial"/>
        <w:sz w:val="18"/>
      </w:rPr>
      <w:fldChar w:fldCharType="separate"/>
    </w:r>
    <w:r w:rsidR="009B7417">
      <w:rPr>
        <w:rStyle w:val="PageNumber"/>
        <w:rFonts w:ascii="Arial" w:hAnsi="Arial"/>
        <w:noProof/>
        <w:sz w:val="18"/>
      </w:rPr>
      <w:t>5</w:t>
    </w:r>
    <w:r w:rsidRPr="005C06F7">
      <w:rPr>
        <w:rStyle w:val="PageNumber"/>
        <w:rFonts w:ascii="Arial" w:hAnsi="Arial"/>
        <w:sz w:val="18"/>
      </w:rPr>
      <w:fldChar w:fldCharType="end"/>
    </w:r>
    <w:r w:rsidRPr="005C06F7">
      <w:rPr>
        <w:rStyle w:val="PageNumber"/>
        <w:rFonts w:ascii="Arial" w:hAnsi="Arial"/>
        <w:sz w:val="18"/>
      </w:rPr>
      <w:t xml:space="preserve"> of </w:t>
    </w:r>
    <w:r w:rsidRPr="005C06F7">
      <w:rPr>
        <w:rStyle w:val="PageNumber"/>
        <w:rFonts w:ascii="Arial" w:hAnsi="Arial"/>
        <w:sz w:val="18"/>
      </w:rPr>
      <w:fldChar w:fldCharType="begin"/>
    </w:r>
    <w:r w:rsidRPr="005C06F7">
      <w:rPr>
        <w:rStyle w:val="PageNumber"/>
        <w:rFonts w:ascii="Arial" w:hAnsi="Arial"/>
        <w:sz w:val="18"/>
      </w:rPr>
      <w:instrText xml:space="preserve"> NUMPAGES </w:instrText>
    </w:r>
    <w:r w:rsidRPr="005C06F7">
      <w:rPr>
        <w:rStyle w:val="PageNumber"/>
        <w:rFonts w:ascii="Arial" w:hAnsi="Arial"/>
        <w:sz w:val="18"/>
      </w:rPr>
      <w:fldChar w:fldCharType="separate"/>
    </w:r>
    <w:r w:rsidR="009B7417">
      <w:rPr>
        <w:rStyle w:val="PageNumber"/>
        <w:rFonts w:ascii="Arial" w:hAnsi="Arial"/>
        <w:noProof/>
        <w:sz w:val="18"/>
      </w:rPr>
      <w:t>5</w:t>
    </w:r>
    <w:r w:rsidRPr="005C06F7">
      <w:rPr>
        <w:rStyle w:val="PageNumber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74" w:rsidRDefault="00476C74">
      <w:r>
        <w:separator/>
      </w:r>
    </w:p>
  </w:footnote>
  <w:footnote w:type="continuationSeparator" w:id="0">
    <w:p w:rsidR="00476C74" w:rsidRDefault="0047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D2" w:rsidRDefault="003C47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96C"/>
    <w:multiLevelType w:val="hybridMultilevel"/>
    <w:tmpl w:val="309880BA"/>
    <w:lvl w:ilvl="0" w:tplc="BBCAB24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5B1C8E"/>
    <w:multiLevelType w:val="hybridMultilevel"/>
    <w:tmpl w:val="9A541E80"/>
    <w:lvl w:ilvl="0" w:tplc="AAA4F12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1A18"/>
    <w:multiLevelType w:val="hybridMultilevel"/>
    <w:tmpl w:val="6818019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8687FE1"/>
    <w:multiLevelType w:val="hybridMultilevel"/>
    <w:tmpl w:val="5CA23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9401E"/>
    <w:multiLevelType w:val="hybridMultilevel"/>
    <w:tmpl w:val="F75AD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DA22D5"/>
    <w:multiLevelType w:val="hybridMultilevel"/>
    <w:tmpl w:val="F1FE35FA"/>
    <w:lvl w:ilvl="0" w:tplc="682E291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3CFA7EE1"/>
    <w:multiLevelType w:val="hybridMultilevel"/>
    <w:tmpl w:val="BF943A8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AEF7EC6"/>
    <w:multiLevelType w:val="hybridMultilevel"/>
    <w:tmpl w:val="4F98F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0F3A42"/>
    <w:multiLevelType w:val="hybridMultilevel"/>
    <w:tmpl w:val="618CBC0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735541B"/>
    <w:multiLevelType w:val="hybridMultilevel"/>
    <w:tmpl w:val="D3B6AA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3559CD"/>
    <w:multiLevelType w:val="hybridMultilevel"/>
    <w:tmpl w:val="C23043A8"/>
    <w:lvl w:ilvl="0" w:tplc="BBCAB24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FB1932"/>
    <w:multiLevelType w:val="hybridMultilevel"/>
    <w:tmpl w:val="A82ABE64"/>
    <w:lvl w:ilvl="0" w:tplc="83DE6E9A">
      <w:start w:val="14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6B5A2F3F"/>
    <w:multiLevelType w:val="hybridMultilevel"/>
    <w:tmpl w:val="951E2A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7DA57587"/>
    <w:multiLevelType w:val="hybridMultilevel"/>
    <w:tmpl w:val="3DF8B280"/>
    <w:lvl w:ilvl="0" w:tplc="2DF6A994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D42DC5"/>
    <w:multiLevelType w:val="hybridMultilevel"/>
    <w:tmpl w:val="9558C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76"/>
    <w:rsid w:val="00005253"/>
    <w:rsid w:val="00012CE0"/>
    <w:rsid w:val="00035D35"/>
    <w:rsid w:val="000440BD"/>
    <w:rsid w:val="00045870"/>
    <w:rsid w:val="00057A62"/>
    <w:rsid w:val="00057DA9"/>
    <w:rsid w:val="0007239B"/>
    <w:rsid w:val="00072F13"/>
    <w:rsid w:val="00076734"/>
    <w:rsid w:val="000776CA"/>
    <w:rsid w:val="00087DEF"/>
    <w:rsid w:val="00090C55"/>
    <w:rsid w:val="00091390"/>
    <w:rsid w:val="000966FF"/>
    <w:rsid w:val="000A7966"/>
    <w:rsid w:val="000B0939"/>
    <w:rsid w:val="000B39AC"/>
    <w:rsid w:val="000B67CC"/>
    <w:rsid w:val="000C08F8"/>
    <w:rsid w:val="000C209B"/>
    <w:rsid w:val="000C31AE"/>
    <w:rsid w:val="000D0417"/>
    <w:rsid w:val="000D3B31"/>
    <w:rsid w:val="000D51E5"/>
    <w:rsid w:val="000D617E"/>
    <w:rsid w:val="000E2E8E"/>
    <w:rsid w:val="000E42AE"/>
    <w:rsid w:val="000E6A96"/>
    <w:rsid w:val="000F7276"/>
    <w:rsid w:val="00115DB8"/>
    <w:rsid w:val="00122EF9"/>
    <w:rsid w:val="001247D2"/>
    <w:rsid w:val="00126BE7"/>
    <w:rsid w:val="00130C3F"/>
    <w:rsid w:val="001405B9"/>
    <w:rsid w:val="001418FB"/>
    <w:rsid w:val="00143879"/>
    <w:rsid w:val="001558A5"/>
    <w:rsid w:val="00160D45"/>
    <w:rsid w:val="0016348C"/>
    <w:rsid w:val="00164FC7"/>
    <w:rsid w:val="00165CBA"/>
    <w:rsid w:val="00165FB4"/>
    <w:rsid w:val="0016663A"/>
    <w:rsid w:val="0016702B"/>
    <w:rsid w:val="001735B0"/>
    <w:rsid w:val="00173E52"/>
    <w:rsid w:val="001765D8"/>
    <w:rsid w:val="00177DFA"/>
    <w:rsid w:val="00182809"/>
    <w:rsid w:val="00185402"/>
    <w:rsid w:val="0018696A"/>
    <w:rsid w:val="00194F0A"/>
    <w:rsid w:val="001A6853"/>
    <w:rsid w:val="001A7899"/>
    <w:rsid w:val="001B372E"/>
    <w:rsid w:val="001B456B"/>
    <w:rsid w:val="001B5B44"/>
    <w:rsid w:val="001C253B"/>
    <w:rsid w:val="001C5EA2"/>
    <w:rsid w:val="001C658D"/>
    <w:rsid w:val="001D0DAA"/>
    <w:rsid w:val="001D1375"/>
    <w:rsid w:val="001D7CFB"/>
    <w:rsid w:val="001E0EBF"/>
    <w:rsid w:val="001E15C0"/>
    <w:rsid w:val="001E5EBD"/>
    <w:rsid w:val="001E77E7"/>
    <w:rsid w:val="001F3361"/>
    <w:rsid w:val="00204A06"/>
    <w:rsid w:val="002070D4"/>
    <w:rsid w:val="00207A1F"/>
    <w:rsid w:val="00216479"/>
    <w:rsid w:val="002219E6"/>
    <w:rsid w:val="00222A87"/>
    <w:rsid w:val="002239FF"/>
    <w:rsid w:val="00225A9C"/>
    <w:rsid w:val="00232FD6"/>
    <w:rsid w:val="002420A2"/>
    <w:rsid w:val="002435B7"/>
    <w:rsid w:val="0025246F"/>
    <w:rsid w:val="00253D53"/>
    <w:rsid w:val="002609AC"/>
    <w:rsid w:val="00261465"/>
    <w:rsid w:val="00262B3E"/>
    <w:rsid w:val="00266966"/>
    <w:rsid w:val="002816B6"/>
    <w:rsid w:val="00284130"/>
    <w:rsid w:val="00286345"/>
    <w:rsid w:val="00290FC6"/>
    <w:rsid w:val="00293880"/>
    <w:rsid w:val="0029767A"/>
    <w:rsid w:val="002A29CB"/>
    <w:rsid w:val="002A4C66"/>
    <w:rsid w:val="002B18E0"/>
    <w:rsid w:val="002C461F"/>
    <w:rsid w:val="002D1C63"/>
    <w:rsid w:val="002E2289"/>
    <w:rsid w:val="002E7592"/>
    <w:rsid w:val="0030011D"/>
    <w:rsid w:val="00305331"/>
    <w:rsid w:val="0030634C"/>
    <w:rsid w:val="00307723"/>
    <w:rsid w:val="00307DE1"/>
    <w:rsid w:val="00317390"/>
    <w:rsid w:val="00323767"/>
    <w:rsid w:val="0032488B"/>
    <w:rsid w:val="00325E72"/>
    <w:rsid w:val="00331876"/>
    <w:rsid w:val="003353D5"/>
    <w:rsid w:val="00340D64"/>
    <w:rsid w:val="0034455E"/>
    <w:rsid w:val="00345210"/>
    <w:rsid w:val="00345EE6"/>
    <w:rsid w:val="003479E4"/>
    <w:rsid w:val="00351555"/>
    <w:rsid w:val="00351A2C"/>
    <w:rsid w:val="003524AD"/>
    <w:rsid w:val="003545D4"/>
    <w:rsid w:val="003560B7"/>
    <w:rsid w:val="00367623"/>
    <w:rsid w:val="0037106B"/>
    <w:rsid w:val="00372809"/>
    <w:rsid w:val="00374628"/>
    <w:rsid w:val="00376D13"/>
    <w:rsid w:val="0038179F"/>
    <w:rsid w:val="0038241C"/>
    <w:rsid w:val="00386276"/>
    <w:rsid w:val="00395F11"/>
    <w:rsid w:val="0039675A"/>
    <w:rsid w:val="00396C79"/>
    <w:rsid w:val="00397A1C"/>
    <w:rsid w:val="003A4A91"/>
    <w:rsid w:val="003B08EE"/>
    <w:rsid w:val="003B2DEE"/>
    <w:rsid w:val="003B4DA5"/>
    <w:rsid w:val="003C47D2"/>
    <w:rsid w:val="003C774A"/>
    <w:rsid w:val="003D2D70"/>
    <w:rsid w:val="003D43F2"/>
    <w:rsid w:val="003D6B52"/>
    <w:rsid w:val="003D6BCE"/>
    <w:rsid w:val="003D7072"/>
    <w:rsid w:val="003E1361"/>
    <w:rsid w:val="003E4BB1"/>
    <w:rsid w:val="0040083B"/>
    <w:rsid w:val="00403312"/>
    <w:rsid w:val="00403D52"/>
    <w:rsid w:val="004044FD"/>
    <w:rsid w:val="00405DEE"/>
    <w:rsid w:val="00405E16"/>
    <w:rsid w:val="004106CF"/>
    <w:rsid w:val="0042136D"/>
    <w:rsid w:val="00430008"/>
    <w:rsid w:val="00431269"/>
    <w:rsid w:val="00440577"/>
    <w:rsid w:val="004418E1"/>
    <w:rsid w:val="00443C72"/>
    <w:rsid w:val="00446AB6"/>
    <w:rsid w:val="004509D5"/>
    <w:rsid w:val="00451EB5"/>
    <w:rsid w:val="00454FD2"/>
    <w:rsid w:val="00463B3A"/>
    <w:rsid w:val="00474B9E"/>
    <w:rsid w:val="00476C74"/>
    <w:rsid w:val="004831CA"/>
    <w:rsid w:val="004864CD"/>
    <w:rsid w:val="004A06D7"/>
    <w:rsid w:val="004A18A9"/>
    <w:rsid w:val="004A3159"/>
    <w:rsid w:val="004A465F"/>
    <w:rsid w:val="004A589E"/>
    <w:rsid w:val="004B40AA"/>
    <w:rsid w:val="004B4FE8"/>
    <w:rsid w:val="004C0454"/>
    <w:rsid w:val="004C177D"/>
    <w:rsid w:val="004C1F92"/>
    <w:rsid w:val="004C449E"/>
    <w:rsid w:val="004D70D8"/>
    <w:rsid w:val="004D7798"/>
    <w:rsid w:val="004F26A6"/>
    <w:rsid w:val="004F48DA"/>
    <w:rsid w:val="004F53E3"/>
    <w:rsid w:val="004F677F"/>
    <w:rsid w:val="005003E7"/>
    <w:rsid w:val="00504152"/>
    <w:rsid w:val="00506DAE"/>
    <w:rsid w:val="0052603C"/>
    <w:rsid w:val="00527A21"/>
    <w:rsid w:val="00530541"/>
    <w:rsid w:val="00530B10"/>
    <w:rsid w:val="005352CA"/>
    <w:rsid w:val="0053660F"/>
    <w:rsid w:val="00536E1A"/>
    <w:rsid w:val="00541A28"/>
    <w:rsid w:val="005458D7"/>
    <w:rsid w:val="0055022B"/>
    <w:rsid w:val="00550C4E"/>
    <w:rsid w:val="00555126"/>
    <w:rsid w:val="00555BAA"/>
    <w:rsid w:val="005573E4"/>
    <w:rsid w:val="00557560"/>
    <w:rsid w:val="00565787"/>
    <w:rsid w:val="00565880"/>
    <w:rsid w:val="00566442"/>
    <w:rsid w:val="00571E15"/>
    <w:rsid w:val="005765E9"/>
    <w:rsid w:val="00581431"/>
    <w:rsid w:val="00584214"/>
    <w:rsid w:val="00586066"/>
    <w:rsid w:val="00586A30"/>
    <w:rsid w:val="00593A45"/>
    <w:rsid w:val="00593D4C"/>
    <w:rsid w:val="005A08B0"/>
    <w:rsid w:val="005A115C"/>
    <w:rsid w:val="005A3CEE"/>
    <w:rsid w:val="005A3FE8"/>
    <w:rsid w:val="005A415C"/>
    <w:rsid w:val="005B0182"/>
    <w:rsid w:val="005B189F"/>
    <w:rsid w:val="005B24A7"/>
    <w:rsid w:val="005B2809"/>
    <w:rsid w:val="005B554C"/>
    <w:rsid w:val="005B7FEF"/>
    <w:rsid w:val="005C06F7"/>
    <w:rsid w:val="005C094D"/>
    <w:rsid w:val="005C0AB9"/>
    <w:rsid w:val="005C37DC"/>
    <w:rsid w:val="005D25CC"/>
    <w:rsid w:val="005D300A"/>
    <w:rsid w:val="005D7628"/>
    <w:rsid w:val="005E6FA9"/>
    <w:rsid w:val="005F168E"/>
    <w:rsid w:val="005F3531"/>
    <w:rsid w:val="005F6BA4"/>
    <w:rsid w:val="00601B7B"/>
    <w:rsid w:val="006022FA"/>
    <w:rsid w:val="00602D52"/>
    <w:rsid w:val="00615EFE"/>
    <w:rsid w:val="00622B35"/>
    <w:rsid w:val="00624C4B"/>
    <w:rsid w:val="0064043B"/>
    <w:rsid w:val="00641812"/>
    <w:rsid w:val="00651568"/>
    <w:rsid w:val="00655310"/>
    <w:rsid w:val="00661891"/>
    <w:rsid w:val="0066258E"/>
    <w:rsid w:val="0066316B"/>
    <w:rsid w:val="00664D39"/>
    <w:rsid w:val="00666718"/>
    <w:rsid w:val="006673A3"/>
    <w:rsid w:val="00667F63"/>
    <w:rsid w:val="006815A2"/>
    <w:rsid w:val="00684E35"/>
    <w:rsid w:val="00695D2D"/>
    <w:rsid w:val="00696462"/>
    <w:rsid w:val="006A1BF7"/>
    <w:rsid w:val="006A21EE"/>
    <w:rsid w:val="006A24E2"/>
    <w:rsid w:val="006A29F0"/>
    <w:rsid w:val="006A456E"/>
    <w:rsid w:val="006B0E1B"/>
    <w:rsid w:val="006B3D05"/>
    <w:rsid w:val="006B3EA9"/>
    <w:rsid w:val="006C4467"/>
    <w:rsid w:val="006C57B9"/>
    <w:rsid w:val="006C5A9C"/>
    <w:rsid w:val="006C6BCA"/>
    <w:rsid w:val="006C7470"/>
    <w:rsid w:val="006D6414"/>
    <w:rsid w:val="006D7E4C"/>
    <w:rsid w:val="006E2572"/>
    <w:rsid w:val="006E3466"/>
    <w:rsid w:val="006E573A"/>
    <w:rsid w:val="006F46E3"/>
    <w:rsid w:val="007016B2"/>
    <w:rsid w:val="00704057"/>
    <w:rsid w:val="00706B2A"/>
    <w:rsid w:val="0070742E"/>
    <w:rsid w:val="007119DC"/>
    <w:rsid w:val="00714067"/>
    <w:rsid w:val="0071748E"/>
    <w:rsid w:val="00717EAF"/>
    <w:rsid w:val="00721D19"/>
    <w:rsid w:val="007229F5"/>
    <w:rsid w:val="00724FC3"/>
    <w:rsid w:val="00725FA1"/>
    <w:rsid w:val="00730CDD"/>
    <w:rsid w:val="007335C0"/>
    <w:rsid w:val="00736244"/>
    <w:rsid w:val="00740C71"/>
    <w:rsid w:val="007428D9"/>
    <w:rsid w:val="00745902"/>
    <w:rsid w:val="007461E2"/>
    <w:rsid w:val="0075220D"/>
    <w:rsid w:val="00757541"/>
    <w:rsid w:val="007645D9"/>
    <w:rsid w:val="00765FDF"/>
    <w:rsid w:val="00770199"/>
    <w:rsid w:val="0077026F"/>
    <w:rsid w:val="00770F20"/>
    <w:rsid w:val="007733A9"/>
    <w:rsid w:val="00780465"/>
    <w:rsid w:val="00782110"/>
    <w:rsid w:val="007914E4"/>
    <w:rsid w:val="007A0D65"/>
    <w:rsid w:val="007A1735"/>
    <w:rsid w:val="007A42EB"/>
    <w:rsid w:val="007C0499"/>
    <w:rsid w:val="007D133D"/>
    <w:rsid w:val="007D27A3"/>
    <w:rsid w:val="007D6BF6"/>
    <w:rsid w:val="007E0A89"/>
    <w:rsid w:val="007E6329"/>
    <w:rsid w:val="007E678B"/>
    <w:rsid w:val="007F25DB"/>
    <w:rsid w:val="007F6549"/>
    <w:rsid w:val="007F74E9"/>
    <w:rsid w:val="00810037"/>
    <w:rsid w:val="008116F0"/>
    <w:rsid w:val="00812BA7"/>
    <w:rsid w:val="00815B22"/>
    <w:rsid w:val="00820145"/>
    <w:rsid w:val="00821576"/>
    <w:rsid w:val="0082283A"/>
    <w:rsid w:val="00822D70"/>
    <w:rsid w:val="00824105"/>
    <w:rsid w:val="008242FD"/>
    <w:rsid w:val="008257B1"/>
    <w:rsid w:val="00825FEE"/>
    <w:rsid w:val="008274A2"/>
    <w:rsid w:val="008436E0"/>
    <w:rsid w:val="008512AF"/>
    <w:rsid w:val="00855D36"/>
    <w:rsid w:val="008642EA"/>
    <w:rsid w:val="00871F37"/>
    <w:rsid w:val="008721F1"/>
    <w:rsid w:val="00876E4D"/>
    <w:rsid w:val="0088260F"/>
    <w:rsid w:val="00884874"/>
    <w:rsid w:val="008849D0"/>
    <w:rsid w:val="008873F6"/>
    <w:rsid w:val="0088781D"/>
    <w:rsid w:val="00892382"/>
    <w:rsid w:val="0089340F"/>
    <w:rsid w:val="00893C86"/>
    <w:rsid w:val="008943CD"/>
    <w:rsid w:val="00894501"/>
    <w:rsid w:val="00894B3C"/>
    <w:rsid w:val="008A00C3"/>
    <w:rsid w:val="008A075A"/>
    <w:rsid w:val="008A2861"/>
    <w:rsid w:val="008A69D0"/>
    <w:rsid w:val="008A74BB"/>
    <w:rsid w:val="008B1643"/>
    <w:rsid w:val="008B42F5"/>
    <w:rsid w:val="008B4FA5"/>
    <w:rsid w:val="008B5050"/>
    <w:rsid w:val="008C3E8E"/>
    <w:rsid w:val="008E3237"/>
    <w:rsid w:val="008E47A2"/>
    <w:rsid w:val="008F7937"/>
    <w:rsid w:val="009030BD"/>
    <w:rsid w:val="00911E93"/>
    <w:rsid w:val="0091588C"/>
    <w:rsid w:val="009211A6"/>
    <w:rsid w:val="00922082"/>
    <w:rsid w:val="009266E4"/>
    <w:rsid w:val="0092759A"/>
    <w:rsid w:val="00931D3A"/>
    <w:rsid w:val="0093759A"/>
    <w:rsid w:val="009419FD"/>
    <w:rsid w:val="00941CF3"/>
    <w:rsid w:val="00945E4C"/>
    <w:rsid w:val="00947F28"/>
    <w:rsid w:val="00952325"/>
    <w:rsid w:val="009548F0"/>
    <w:rsid w:val="009570E1"/>
    <w:rsid w:val="0095712A"/>
    <w:rsid w:val="009663D0"/>
    <w:rsid w:val="009674F2"/>
    <w:rsid w:val="00982096"/>
    <w:rsid w:val="00997258"/>
    <w:rsid w:val="00997B7E"/>
    <w:rsid w:val="009A7D36"/>
    <w:rsid w:val="009B7417"/>
    <w:rsid w:val="009B7E21"/>
    <w:rsid w:val="009C1672"/>
    <w:rsid w:val="009C2505"/>
    <w:rsid w:val="009C4A94"/>
    <w:rsid w:val="009C523A"/>
    <w:rsid w:val="009D195F"/>
    <w:rsid w:val="009D1A47"/>
    <w:rsid w:val="009D543D"/>
    <w:rsid w:val="009E2353"/>
    <w:rsid w:val="009F465A"/>
    <w:rsid w:val="009F548D"/>
    <w:rsid w:val="00A03D79"/>
    <w:rsid w:val="00A048B7"/>
    <w:rsid w:val="00A07ABD"/>
    <w:rsid w:val="00A12709"/>
    <w:rsid w:val="00A174E6"/>
    <w:rsid w:val="00A377C8"/>
    <w:rsid w:val="00A45490"/>
    <w:rsid w:val="00A50E36"/>
    <w:rsid w:val="00A51E87"/>
    <w:rsid w:val="00A52272"/>
    <w:rsid w:val="00A609CB"/>
    <w:rsid w:val="00A6391A"/>
    <w:rsid w:val="00A66ACD"/>
    <w:rsid w:val="00A70F4D"/>
    <w:rsid w:val="00A728EE"/>
    <w:rsid w:val="00A80B8C"/>
    <w:rsid w:val="00A81928"/>
    <w:rsid w:val="00A82573"/>
    <w:rsid w:val="00A93F5F"/>
    <w:rsid w:val="00AA1CCE"/>
    <w:rsid w:val="00AA4396"/>
    <w:rsid w:val="00AA4B68"/>
    <w:rsid w:val="00AA5F95"/>
    <w:rsid w:val="00AB0D3F"/>
    <w:rsid w:val="00AC5FD4"/>
    <w:rsid w:val="00AD17BC"/>
    <w:rsid w:val="00AE2BB0"/>
    <w:rsid w:val="00AE4082"/>
    <w:rsid w:val="00AE45A2"/>
    <w:rsid w:val="00AF299F"/>
    <w:rsid w:val="00AF630B"/>
    <w:rsid w:val="00B14881"/>
    <w:rsid w:val="00B210AE"/>
    <w:rsid w:val="00B212D0"/>
    <w:rsid w:val="00B220FE"/>
    <w:rsid w:val="00B23CC8"/>
    <w:rsid w:val="00B2406B"/>
    <w:rsid w:val="00B260C3"/>
    <w:rsid w:val="00B32F38"/>
    <w:rsid w:val="00B378BB"/>
    <w:rsid w:val="00B426E0"/>
    <w:rsid w:val="00B431C9"/>
    <w:rsid w:val="00B520AA"/>
    <w:rsid w:val="00B627F0"/>
    <w:rsid w:val="00B638A0"/>
    <w:rsid w:val="00B63E37"/>
    <w:rsid w:val="00B74F95"/>
    <w:rsid w:val="00B75B45"/>
    <w:rsid w:val="00B76095"/>
    <w:rsid w:val="00B83879"/>
    <w:rsid w:val="00B853F8"/>
    <w:rsid w:val="00B87B93"/>
    <w:rsid w:val="00B9189D"/>
    <w:rsid w:val="00B925F0"/>
    <w:rsid w:val="00B92685"/>
    <w:rsid w:val="00BA586E"/>
    <w:rsid w:val="00BB47BD"/>
    <w:rsid w:val="00BB515A"/>
    <w:rsid w:val="00BC0994"/>
    <w:rsid w:val="00BD12B2"/>
    <w:rsid w:val="00BD12CC"/>
    <w:rsid w:val="00BF0298"/>
    <w:rsid w:val="00BF28C3"/>
    <w:rsid w:val="00BF31B9"/>
    <w:rsid w:val="00C028B8"/>
    <w:rsid w:val="00C02CD4"/>
    <w:rsid w:val="00C05956"/>
    <w:rsid w:val="00C069B2"/>
    <w:rsid w:val="00C06E8E"/>
    <w:rsid w:val="00C2057D"/>
    <w:rsid w:val="00C22E8D"/>
    <w:rsid w:val="00C249F2"/>
    <w:rsid w:val="00C41089"/>
    <w:rsid w:val="00C43238"/>
    <w:rsid w:val="00C5406C"/>
    <w:rsid w:val="00C600CF"/>
    <w:rsid w:val="00C6551C"/>
    <w:rsid w:val="00C70CDA"/>
    <w:rsid w:val="00C81DAA"/>
    <w:rsid w:val="00C85A16"/>
    <w:rsid w:val="00C95E4F"/>
    <w:rsid w:val="00CA28E5"/>
    <w:rsid w:val="00CA2C93"/>
    <w:rsid w:val="00CA7180"/>
    <w:rsid w:val="00CB016F"/>
    <w:rsid w:val="00CB049B"/>
    <w:rsid w:val="00CB125E"/>
    <w:rsid w:val="00CB6151"/>
    <w:rsid w:val="00CC219D"/>
    <w:rsid w:val="00CC5E25"/>
    <w:rsid w:val="00CD58CE"/>
    <w:rsid w:val="00CD7C91"/>
    <w:rsid w:val="00CE2866"/>
    <w:rsid w:val="00CE5DD3"/>
    <w:rsid w:val="00CF0877"/>
    <w:rsid w:val="00CF5DD2"/>
    <w:rsid w:val="00D00FB2"/>
    <w:rsid w:val="00D05EB6"/>
    <w:rsid w:val="00D06FE7"/>
    <w:rsid w:val="00D13615"/>
    <w:rsid w:val="00D16B38"/>
    <w:rsid w:val="00D170E0"/>
    <w:rsid w:val="00D234A7"/>
    <w:rsid w:val="00D31086"/>
    <w:rsid w:val="00D35BF0"/>
    <w:rsid w:val="00D36450"/>
    <w:rsid w:val="00D50271"/>
    <w:rsid w:val="00D52B1B"/>
    <w:rsid w:val="00D564D3"/>
    <w:rsid w:val="00D65FAA"/>
    <w:rsid w:val="00D713D3"/>
    <w:rsid w:val="00D76CCD"/>
    <w:rsid w:val="00D8158C"/>
    <w:rsid w:val="00D82CB9"/>
    <w:rsid w:val="00D9402A"/>
    <w:rsid w:val="00D9586D"/>
    <w:rsid w:val="00D95B5F"/>
    <w:rsid w:val="00D97B8E"/>
    <w:rsid w:val="00DA35D0"/>
    <w:rsid w:val="00DA4E31"/>
    <w:rsid w:val="00DB4532"/>
    <w:rsid w:val="00DB4951"/>
    <w:rsid w:val="00DC6F4C"/>
    <w:rsid w:val="00DD47A4"/>
    <w:rsid w:val="00DE10F0"/>
    <w:rsid w:val="00DE280F"/>
    <w:rsid w:val="00DF12E3"/>
    <w:rsid w:val="00DF1E1F"/>
    <w:rsid w:val="00E0164F"/>
    <w:rsid w:val="00E020C1"/>
    <w:rsid w:val="00E0382F"/>
    <w:rsid w:val="00E110D1"/>
    <w:rsid w:val="00E168AB"/>
    <w:rsid w:val="00E24093"/>
    <w:rsid w:val="00E25655"/>
    <w:rsid w:val="00E257AF"/>
    <w:rsid w:val="00E25AFB"/>
    <w:rsid w:val="00E33AFF"/>
    <w:rsid w:val="00E36239"/>
    <w:rsid w:val="00E37CC2"/>
    <w:rsid w:val="00E468A5"/>
    <w:rsid w:val="00E525E5"/>
    <w:rsid w:val="00E53D1F"/>
    <w:rsid w:val="00E5649B"/>
    <w:rsid w:val="00E576AB"/>
    <w:rsid w:val="00E6005C"/>
    <w:rsid w:val="00E63576"/>
    <w:rsid w:val="00E64AE5"/>
    <w:rsid w:val="00E6548B"/>
    <w:rsid w:val="00E70DD9"/>
    <w:rsid w:val="00E74999"/>
    <w:rsid w:val="00E74C81"/>
    <w:rsid w:val="00E74E85"/>
    <w:rsid w:val="00E75F73"/>
    <w:rsid w:val="00E83598"/>
    <w:rsid w:val="00E835F8"/>
    <w:rsid w:val="00E841EF"/>
    <w:rsid w:val="00E84733"/>
    <w:rsid w:val="00E92B39"/>
    <w:rsid w:val="00E92F1F"/>
    <w:rsid w:val="00E96153"/>
    <w:rsid w:val="00EA48FF"/>
    <w:rsid w:val="00EA63C1"/>
    <w:rsid w:val="00EB0D4D"/>
    <w:rsid w:val="00EB0F8A"/>
    <w:rsid w:val="00EB23B9"/>
    <w:rsid w:val="00EB77FD"/>
    <w:rsid w:val="00EB7DB6"/>
    <w:rsid w:val="00EC09ED"/>
    <w:rsid w:val="00EC37B2"/>
    <w:rsid w:val="00EC6CA7"/>
    <w:rsid w:val="00ED2EA4"/>
    <w:rsid w:val="00ED355A"/>
    <w:rsid w:val="00ED74F8"/>
    <w:rsid w:val="00EE00BE"/>
    <w:rsid w:val="00EE041A"/>
    <w:rsid w:val="00EE0C85"/>
    <w:rsid w:val="00EE197C"/>
    <w:rsid w:val="00EE357B"/>
    <w:rsid w:val="00EE4BFB"/>
    <w:rsid w:val="00EF6DA2"/>
    <w:rsid w:val="00F012DB"/>
    <w:rsid w:val="00F02A72"/>
    <w:rsid w:val="00F05BED"/>
    <w:rsid w:val="00F05F44"/>
    <w:rsid w:val="00F07476"/>
    <w:rsid w:val="00F135C5"/>
    <w:rsid w:val="00F15D54"/>
    <w:rsid w:val="00F17168"/>
    <w:rsid w:val="00F25350"/>
    <w:rsid w:val="00F26823"/>
    <w:rsid w:val="00F30F2C"/>
    <w:rsid w:val="00F31A24"/>
    <w:rsid w:val="00F31BAD"/>
    <w:rsid w:val="00F3237E"/>
    <w:rsid w:val="00F34128"/>
    <w:rsid w:val="00F35B20"/>
    <w:rsid w:val="00F42EA0"/>
    <w:rsid w:val="00F50D8B"/>
    <w:rsid w:val="00F51BFA"/>
    <w:rsid w:val="00F51CB7"/>
    <w:rsid w:val="00F5289F"/>
    <w:rsid w:val="00F65275"/>
    <w:rsid w:val="00F838FE"/>
    <w:rsid w:val="00F87572"/>
    <w:rsid w:val="00F87673"/>
    <w:rsid w:val="00F87CED"/>
    <w:rsid w:val="00F9739D"/>
    <w:rsid w:val="00FA5DC7"/>
    <w:rsid w:val="00FA629F"/>
    <w:rsid w:val="00FB21E1"/>
    <w:rsid w:val="00FB28B3"/>
    <w:rsid w:val="00FB46A5"/>
    <w:rsid w:val="00FB6799"/>
    <w:rsid w:val="00FB7179"/>
    <w:rsid w:val="00FC1E4C"/>
    <w:rsid w:val="00FD111F"/>
    <w:rsid w:val="00FD5371"/>
    <w:rsid w:val="00FE1A55"/>
    <w:rsid w:val="00FE2C3A"/>
    <w:rsid w:val="00FF1CA9"/>
    <w:rsid w:val="00FF619B"/>
    <w:rsid w:val="00FF621F"/>
    <w:rsid w:val="00FF6EE3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A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3A4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4A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0C4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06F7"/>
  </w:style>
  <w:style w:type="character" w:styleId="CommentReference">
    <w:name w:val="annotation reference"/>
    <w:rsid w:val="005C37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37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37DC"/>
  </w:style>
  <w:style w:type="paragraph" w:styleId="CommentSubject">
    <w:name w:val="annotation subject"/>
    <w:basedOn w:val="CommentText"/>
    <w:next w:val="CommentText"/>
    <w:link w:val="CommentSubjectChar"/>
    <w:rsid w:val="005C37DC"/>
    <w:rPr>
      <w:b/>
      <w:bCs/>
    </w:rPr>
  </w:style>
  <w:style w:type="character" w:customStyle="1" w:styleId="CommentSubjectChar">
    <w:name w:val="Comment Subject Char"/>
    <w:link w:val="CommentSubject"/>
    <w:rsid w:val="005C37DC"/>
    <w:rPr>
      <w:b/>
      <w:bCs/>
    </w:rPr>
  </w:style>
  <w:style w:type="paragraph" w:styleId="ListParagraph">
    <w:name w:val="List Paragraph"/>
    <w:basedOn w:val="Normal"/>
    <w:uiPriority w:val="34"/>
    <w:qFormat/>
    <w:rsid w:val="00CC21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A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3A4A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4A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0C4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06F7"/>
  </w:style>
  <w:style w:type="character" w:styleId="CommentReference">
    <w:name w:val="annotation reference"/>
    <w:rsid w:val="005C37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37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37DC"/>
  </w:style>
  <w:style w:type="paragraph" w:styleId="CommentSubject">
    <w:name w:val="annotation subject"/>
    <w:basedOn w:val="CommentText"/>
    <w:next w:val="CommentText"/>
    <w:link w:val="CommentSubjectChar"/>
    <w:rsid w:val="005C37DC"/>
    <w:rPr>
      <w:b/>
      <w:bCs/>
    </w:rPr>
  </w:style>
  <w:style w:type="character" w:customStyle="1" w:styleId="CommentSubjectChar">
    <w:name w:val="Comment Subject Char"/>
    <w:link w:val="CommentSubject"/>
    <w:rsid w:val="005C37DC"/>
    <w:rPr>
      <w:b/>
      <w:bCs/>
    </w:rPr>
  </w:style>
  <w:style w:type="paragraph" w:styleId="ListParagraph">
    <w:name w:val="List Paragraph"/>
    <w:basedOn w:val="Normal"/>
    <w:uiPriority w:val="34"/>
    <w:qFormat/>
    <w:rsid w:val="00CC21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2013-08-12T07:00:00+00:00</OpenedDate>
    <Date1 xmlns="dc463f71-b30c-4ab2-9473-d307f9d35888">2014-08-28T07:00:00+00:00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131473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9340CF18034548BCFD1F22DBE393D0" ma:contentTypeVersion="135" ma:contentTypeDescription="" ma:contentTypeScope="" ma:versionID="63f092230608ebbf49c1a095b9187c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E797-8118-426C-8EC5-DF3EB8752EF1}"/>
</file>

<file path=customXml/itemProps2.xml><?xml version="1.0" encoding="utf-8"?>
<ds:datastoreItem xmlns:ds="http://schemas.openxmlformats.org/officeDocument/2006/customXml" ds:itemID="{4FAD5C66-6DB0-4DF9-9908-961FB8C6E334}"/>
</file>

<file path=customXml/itemProps3.xml><?xml version="1.0" encoding="utf-8"?>
<ds:datastoreItem xmlns:ds="http://schemas.openxmlformats.org/officeDocument/2006/customXml" ds:itemID="{5F335743-E88E-4E3A-A9B5-AB121869E7BF}"/>
</file>

<file path=customXml/itemProps4.xml><?xml version="1.0" encoding="utf-8"?>
<ds:datastoreItem xmlns:ds="http://schemas.openxmlformats.org/officeDocument/2006/customXml" ds:itemID="{D6455CDF-7F28-4509-B8AB-BB0971B76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Work Plan for NW Natural’s 2009</vt:lpstr>
    </vt:vector>
  </TitlesOfParts>
  <Company>NW Natural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Work Plan for NW Natural’s 2009</dc:title>
  <dc:creator>jgg</dc:creator>
  <cp:lastModifiedBy>k miller</cp:lastModifiedBy>
  <cp:revision>3</cp:revision>
  <cp:lastPrinted>2014-08-28T18:29:00Z</cp:lastPrinted>
  <dcterms:created xsi:type="dcterms:W3CDTF">2014-08-28T18:25:00Z</dcterms:created>
  <dcterms:modified xsi:type="dcterms:W3CDTF">2014-08-28T18:29:00Z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0x0101006E56B4D1795A2E4DB2F0B01679ED314A00719340CF18034548BCFD1F22DBE393D0</vt:lpwstr>
  </property>
  <property fmtid="{D5CDD505-2E9C-101B-9397-08002B2CF9AE}" pid="3" name="_docset_NoMedatataSyncRequired">
    <vt:lpwstr>False</vt:lpwstr>
  </property>
</Properties>
</file>