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Pr="002F3753" w:rsidRDefault="00714B45" w:rsidP="00BE52CC">
      <w:pPr>
        <w:spacing w:line="276" w:lineRule="auto"/>
        <w:rPr>
          <w:sz w:val="24"/>
        </w:rPr>
      </w:pPr>
      <w:r>
        <w:rPr>
          <w:rFonts w:ascii="Palatino Linotype" w:hAnsi="Palatino Linotype"/>
          <w:noProof/>
          <w:sz w:val="24"/>
        </w:rPr>
        <w:drawing>
          <wp:anchor distT="0" distB="0" distL="114300" distR="114300" simplePos="0" relativeHeight="251658240" behindDoc="0" locked="0" layoutInCell="1" allowOverlap="1">
            <wp:simplePos x="0" y="0"/>
            <wp:positionH relativeFrom="column">
              <wp:posOffset>-552450</wp:posOffset>
            </wp:positionH>
            <wp:positionV relativeFrom="paragraph">
              <wp:posOffset>-866775</wp:posOffset>
            </wp:positionV>
            <wp:extent cx="7315200" cy="2171700"/>
            <wp:effectExtent l="0" t="0" r="0" b="0"/>
            <wp:wrapSquare wrapText="bothSides"/>
            <wp:docPr id="1" name="Picture 1" descr="I:\ADMN\CSC\Young\Letter Head Final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DMN\CSC\Young\Letter Head Final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98A">
        <w:rPr>
          <w:sz w:val="24"/>
        </w:rPr>
        <w:t>April 18</w:t>
      </w:r>
      <w:r w:rsidR="00CA0FF8">
        <w:rPr>
          <w:sz w:val="24"/>
        </w:rPr>
        <w:t>, 201</w:t>
      </w:r>
      <w:r w:rsidR="00FC2D8C">
        <w:rPr>
          <w:sz w:val="24"/>
        </w:rPr>
        <w:t>3</w:t>
      </w:r>
    </w:p>
    <w:p w:rsidR="00087C76" w:rsidRPr="00074507" w:rsidRDefault="00087C76" w:rsidP="00BE52CC">
      <w:pPr>
        <w:spacing w:line="276" w:lineRule="auto"/>
        <w:rPr>
          <w:sz w:val="24"/>
        </w:rPr>
      </w:pPr>
    </w:p>
    <w:p w:rsidR="00087C76" w:rsidRDefault="00087C76" w:rsidP="00BE52CC">
      <w:pPr>
        <w:spacing w:line="276" w:lineRule="auto"/>
        <w:rPr>
          <w:sz w:val="24"/>
        </w:rPr>
      </w:pPr>
    </w:p>
    <w:p w:rsidR="002F3753" w:rsidRPr="008E34A9" w:rsidRDefault="0046298A" w:rsidP="00BE52CC">
      <w:pPr>
        <w:widowControl/>
        <w:spacing w:line="276" w:lineRule="auto"/>
        <w:rPr>
          <w:sz w:val="24"/>
        </w:rPr>
      </w:pPr>
      <w:r>
        <w:rPr>
          <w:sz w:val="24"/>
        </w:rPr>
        <w:t>Steven V. King</w:t>
      </w:r>
      <w:r w:rsidR="002F3753" w:rsidRPr="008E34A9">
        <w:rPr>
          <w:sz w:val="24"/>
        </w:rPr>
        <w:t xml:space="preserve">, </w:t>
      </w:r>
      <w:r>
        <w:rPr>
          <w:sz w:val="24"/>
        </w:rPr>
        <w:t xml:space="preserve">Acting </w:t>
      </w:r>
      <w:r w:rsidR="002F3753">
        <w:rPr>
          <w:sz w:val="24"/>
        </w:rPr>
        <w:t xml:space="preserve">Executive Director and </w:t>
      </w:r>
      <w:r w:rsidR="002F3753" w:rsidRPr="008E34A9">
        <w:rPr>
          <w:sz w:val="24"/>
        </w:rPr>
        <w:t>Secretary</w:t>
      </w:r>
    </w:p>
    <w:p w:rsidR="002F3753" w:rsidRPr="008E34A9" w:rsidRDefault="002F3753" w:rsidP="00BE52CC">
      <w:pPr>
        <w:widowControl/>
        <w:spacing w:line="276" w:lineRule="auto"/>
        <w:rPr>
          <w:sz w:val="24"/>
        </w:rPr>
      </w:pPr>
      <w:smartTag w:uri="urn:schemas-microsoft-com:office:smarttags" w:element="place">
        <w:smartTag w:uri="urn:schemas-microsoft-com:office:smarttags" w:element="State">
          <w:r w:rsidRPr="008E34A9">
            <w:rPr>
              <w:sz w:val="24"/>
            </w:rPr>
            <w:t>Washington</w:t>
          </w:r>
        </w:smartTag>
      </w:smartTag>
      <w:r w:rsidRPr="008E34A9">
        <w:rPr>
          <w:sz w:val="24"/>
        </w:rPr>
        <w:t xml:space="preserve"> Utilities and Transportation Commission</w:t>
      </w:r>
    </w:p>
    <w:p w:rsidR="002F3753" w:rsidRPr="008E34A9" w:rsidRDefault="002F3753" w:rsidP="00BE52CC">
      <w:pPr>
        <w:widowControl/>
        <w:spacing w:line="276" w:lineRule="auto"/>
        <w:rPr>
          <w:sz w:val="24"/>
        </w:rPr>
      </w:pPr>
      <w:smartTag w:uri="urn:schemas-microsoft-com:office:smarttags" w:element="Street">
        <w:smartTag w:uri="urn:schemas-microsoft-com:office:smarttags" w:element="address">
          <w:r w:rsidRPr="008E34A9">
            <w:rPr>
              <w:sz w:val="24"/>
            </w:rPr>
            <w:t>1300 S. Evergreen Park Dr. SW</w:t>
          </w:r>
        </w:smartTag>
      </w:smartTag>
    </w:p>
    <w:p w:rsidR="002F3753" w:rsidRPr="008E34A9" w:rsidRDefault="002F3753" w:rsidP="00BE52CC">
      <w:pPr>
        <w:widowControl/>
        <w:spacing w:line="276" w:lineRule="auto"/>
        <w:rPr>
          <w:sz w:val="24"/>
        </w:rPr>
      </w:pPr>
      <w:smartTag w:uri="urn:schemas-microsoft-com:office:smarttags" w:element="address">
        <w:smartTag w:uri="urn:schemas-microsoft-com:office:smarttags" w:element="Street">
          <w:r w:rsidRPr="008E34A9">
            <w:rPr>
              <w:sz w:val="24"/>
            </w:rPr>
            <w:t>P. O. Box</w:t>
          </w:r>
        </w:smartTag>
        <w:r w:rsidRPr="008E34A9">
          <w:rPr>
            <w:sz w:val="24"/>
          </w:rPr>
          <w:t xml:space="preserve"> 47250</w:t>
        </w:r>
      </w:smartTag>
      <w:r w:rsidRPr="008E34A9">
        <w:rPr>
          <w:sz w:val="24"/>
        </w:rPr>
        <w:t xml:space="preserve"> </w:t>
      </w:r>
    </w:p>
    <w:p w:rsidR="002F3753" w:rsidRPr="008E34A9" w:rsidRDefault="002F3753" w:rsidP="00BE52CC">
      <w:pPr>
        <w:widowControl/>
        <w:spacing w:line="276" w:lineRule="auto"/>
        <w:rPr>
          <w:sz w:val="24"/>
        </w:rPr>
      </w:pPr>
      <w:smartTag w:uri="urn:schemas-microsoft-com:office:smarttags" w:element="place">
        <w:smartTag w:uri="urn:schemas-microsoft-com:office:smarttags" w:element="City">
          <w:r w:rsidRPr="008E34A9">
            <w:rPr>
              <w:sz w:val="24"/>
            </w:rPr>
            <w:t>Olympia</w:t>
          </w:r>
        </w:smartTag>
        <w:r w:rsidRPr="008E34A9">
          <w:rPr>
            <w:sz w:val="24"/>
          </w:rPr>
          <w:t xml:space="preserve">, </w:t>
        </w:r>
        <w:smartTag w:uri="urn:schemas-microsoft-com:office:smarttags" w:element="State">
          <w:r w:rsidRPr="008E34A9">
            <w:rPr>
              <w:sz w:val="24"/>
            </w:rPr>
            <w:t>Washington</w:t>
          </w:r>
        </w:smartTag>
        <w:r w:rsidRPr="008E34A9">
          <w:rPr>
            <w:sz w:val="24"/>
          </w:rPr>
          <w:t xml:space="preserve">  </w:t>
        </w:r>
        <w:smartTag w:uri="urn:schemas-microsoft-com:office:smarttags" w:element="PostalCode">
          <w:r w:rsidRPr="008E34A9">
            <w:rPr>
              <w:sz w:val="24"/>
            </w:rPr>
            <w:t>98504-7250</w:t>
          </w:r>
        </w:smartTag>
      </w:smartTag>
    </w:p>
    <w:p w:rsidR="0067671D" w:rsidRPr="00074507" w:rsidRDefault="0067671D" w:rsidP="00BE52CC">
      <w:pPr>
        <w:spacing w:line="276" w:lineRule="auto"/>
        <w:rPr>
          <w:sz w:val="24"/>
        </w:rPr>
      </w:pPr>
    </w:p>
    <w:p w:rsidR="00CA0FF8" w:rsidRPr="00CA0FF8" w:rsidRDefault="00DD5507" w:rsidP="00CA0FF8">
      <w:pPr>
        <w:spacing w:line="276" w:lineRule="auto"/>
        <w:ind w:left="720" w:hanging="720"/>
        <w:rPr>
          <w:i/>
          <w:sz w:val="24"/>
        </w:rPr>
      </w:pPr>
      <w:r w:rsidRPr="0037523D">
        <w:rPr>
          <w:sz w:val="24"/>
        </w:rPr>
        <w:t xml:space="preserve">RE: </w:t>
      </w:r>
      <w:r w:rsidR="0037523D" w:rsidRPr="0037523D">
        <w:rPr>
          <w:sz w:val="24"/>
        </w:rPr>
        <w:tab/>
      </w:r>
      <w:r w:rsidR="0037523D" w:rsidRPr="0037523D">
        <w:rPr>
          <w:i/>
          <w:sz w:val="24"/>
        </w:rPr>
        <w:t>Washington Utilities and Transportation Commission v.</w:t>
      </w:r>
      <w:r w:rsidR="002F3753" w:rsidRPr="0037523D">
        <w:rPr>
          <w:i/>
          <w:sz w:val="24"/>
        </w:rPr>
        <w:t xml:space="preserve"> </w:t>
      </w:r>
      <w:proofErr w:type="spellStart"/>
      <w:r w:rsidR="0046298A">
        <w:rPr>
          <w:i/>
          <w:sz w:val="24"/>
        </w:rPr>
        <w:t>Onstar</w:t>
      </w:r>
      <w:proofErr w:type="spellEnd"/>
      <w:r w:rsidR="0046298A">
        <w:rPr>
          <w:i/>
          <w:sz w:val="24"/>
        </w:rPr>
        <w:t xml:space="preserve"> Limousine, LLC</w:t>
      </w:r>
    </w:p>
    <w:p w:rsidR="00DD5507" w:rsidRDefault="002F3753" w:rsidP="00BE52CC">
      <w:pPr>
        <w:spacing w:line="276" w:lineRule="auto"/>
        <w:ind w:left="720"/>
        <w:rPr>
          <w:sz w:val="24"/>
        </w:rPr>
      </w:pPr>
      <w:r w:rsidRPr="0037523D">
        <w:rPr>
          <w:sz w:val="24"/>
        </w:rPr>
        <w:t>Commission Staff’s Response to Application for Mitigation of Penalties</w:t>
      </w:r>
    </w:p>
    <w:p w:rsidR="0037523D" w:rsidRPr="0037523D" w:rsidRDefault="0037523D" w:rsidP="00BE52CC">
      <w:pPr>
        <w:spacing w:line="276" w:lineRule="auto"/>
        <w:ind w:left="720"/>
        <w:rPr>
          <w:sz w:val="24"/>
        </w:rPr>
      </w:pPr>
      <w:r>
        <w:rPr>
          <w:sz w:val="24"/>
        </w:rPr>
        <w:t xml:space="preserve">Docket </w:t>
      </w:r>
      <w:r w:rsidR="0046298A">
        <w:rPr>
          <w:sz w:val="24"/>
        </w:rPr>
        <w:t>TE-130475</w:t>
      </w:r>
    </w:p>
    <w:p w:rsidR="00DD5507" w:rsidRPr="00074507" w:rsidRDefault="00DD5507" w:rsidP="00BE52CC">
      <w:pPr>
        <w:spacing w:line="276" w:lineRule="auto"/>
        <w:rPr>
          <w:sz w:val="24"/>
        </w:rPr>
      </w:pPr>
    </w:p>
    <w:p w:rsidR="00087C76" w:rsidRPr="00074507" w:rsidRDefault="00087C76" w:rsidP="00CE766F">
      <w:pPr>
        <w:rPr>
          <w:sz w:val="24"/>
        </w:rPr>
      </w:pPr>
      <w:r w:rsidRPr="00074507">
        <w:rPr>
          <w:sz w:val="24"/>
        </w:rPr>
        <w:t>Dea</w:t>
      </w:r>
      <w:r w:rsidR="00674EB9">
        <w:rPr>
          <w:sz w:val="24"/>
        </w:rPr>
        <w:t>r</w:t>
      </w:r>
      <w:r w:rsidR="002F3753">
        <w:rPr>
          <w:sz w:val="24"/>
        </w:rPr>
        <w:t xml:space="preserve"> Mr. </w:t>
      </w:r>
      <w:r w:rsidR="0046298A">
        <w:rPr>
          <w:sz w:val="24"/>
        </w:rPr>
        <w:t>King</w:t>
      </w:r>
      <w:r w:rsidR="001546D4">
        <w:rPr>
          <w:sz w:val="24"/>
        </w:rPr>
        <w:t>:</w:t>
      </w:r>
    </w:p>
    <w:p w:rsidR="00087C76" w:rsidRPr="00074507" w:rsidRDefault="00087C76" w:rsidP="00CE766F">
      <w:pPr>
        <w:rPr>
          <w:sz w:val="24"/>
        </w:rPr>
      </w:pPr>
    </w:p>
    <w:p w:rsidR="00C21751" w:rsidRPr="00713F39" w:rsidRDefault="00C21751" w:rsidP="00DF234A">
      <w:pPr>
        <w:spacing w:line="276" w:lineRule="auto"/>
        <w:rPr>
          <w:sz w:val="24"/>
        </w:rPr>
      </w:pPr>
      <w:r w:rsidRPr="00177F39">
        <w:rPr>
          <w:sz w:val="24"/>
        </w:rPr>
        <w:t xml:space="preserve">On </w:t>
      </w:r>
      <w:r w:rsidR="0046298A">
        <w:rPr>
          <w:sz w:val="24"/>
        </w:rPr>
        <w:t>April 8</w:t>
      </w:r>
      <w:r w:rsidR="00FC2D8C">
        <w:rPr>
          <w:sz w:val="24"/>
        </w:rPr>
        <w:t>, 2013</w:t>
      </w:r>
      <w:r w:rsidRPr="00177F39">
        <w:rPr>
          <w:sz w:val="24"/>
        </w:rPr>
        <w:t xml:space="preserve">, the Washington Utilities and Transportation Commission (commission) issued Penalty Assessment </w:t>
      </w:r>
      <w:r w:rsidR="0046298A">
        <w:rPr>
          <w:sz w:val="24"/>
        </w:rPr>
        <w:t>TE-130475</w:t>
      </w:r>
      <w:r w:rsidRPr="00177F39">
        <w:rPr>
          <w:sz w:val="24"/>
        </w:rPr>
        <w:t xml:space="preserve"> against </w:t>
      </w:r>
      <w:proofErr w:type="spellStart"/>
      <w:r w:rsidR="0046298A">
        <w:rPr>
          <w:sz w:val="24"/>
        </w:rPr>
        <w:t>Onstar</w:t>
      </w:r>
      <w:proofErr w:type="spellEnd"/>
      <w:r w:rsidR="0046298A">
        <w:rPr>
          <w:sz w:val="24"/>
        </w:rPr>
        <w:t xml:space="preserve"> Limousine, LLC </w:t>
      </w:r>
      <w:r w:rsidRPr="00177F39">
        <w:rPr>
          <w:sz w:val="24"/>
        </w:rPr>
        <w:t>(</w:t>
      </w:r>
      <w:proofErr w:type="spellStart"/>
      <w:r w:rsidR="0046298A">
        <w:rPr>
          <w:sz w:val="24"/>
        </w:rPr>
        <w:t>Onstar</w:t>
      </w:r>
      <w:proofErr w:type="spellEnd"/>
      <w:r w:rsidR="0046298A">
        <w:rPr>
          <w:sz w:val="24"/>
        </w:rPr>
        <w:t xml:space="preserve"> Limousine</w:t>
      </w:r>
      <w:r w:rsidRPr="00177F39">
        <w:rPr>
          <w:sz w:val="24"/>
        </w:rPr>
        <w:t>) in the amount of $</w:t>
      </w:r>
      <w:r w:rsidR="0046298A">
        <w:rPr>
          <w:sz w:val="24"/>
        </w:rPr>
        <w:t>1,000</w:t>
      </w:r>
      <w:r w:rsidRPr="00177F39">
        <w:rPr>
          <w:sz w:val="24"/>
        </w:rPr>
        <w:t xml:space="preserve"> </w:t>
      </w:r>
      <w:r w:rsidR="00515348">
        <w:rPr>
          <w:sz w:val="24"/>
        </w:rPr>
        <w:t xml:space="preserve">for </w:t>
      </w:r>
      <w:r w:rsidR="0046298A">
        <w:rPr>
          <w:sz w:val="24"/>
        </w:rPr>
        <w:t>10</w:t>
      </w:r>
      <w:r w:rsidR="00515348">
        <w:rPr>
          <w:sz w:val="24"/>
        </w:rPr>
        <w:t xml:space="preserve"> violations</w:t>
      </w:r>
      <w:r w:rsidR="00515348" w:rsidRPr="00713F39">
        <w:rPr>
          <w:sz w:val="24"/>
        </w:rPr>
        <w:t xml:space="preserve"> </w:t>
      </w:r>
      <w:r w:rsidR="00C16455">
        <w:rPr>
          <w:sz w:val="24"/>
        </w:rPr>
        <w:t xml:space="preserve">of </w:t>
      </w:r>
      <w:r w:rsidR="00515348" w:rsidRPr="00713F39">
        <w:rPr>
          <w:sz w:val="24"/>
        </w:rPr>
        <w:t>Washington Administrative Code (WAC) 480-30-</w:t>
      </w:r>
      <w:r w:rsidR="0046298A">
        <w:rPr>
          <w:sz w:val="24"/>
        </w:rPr>
        <w:t>221</w:t>
      </w:r>
      <w:r w:rsidR="00515348" w:rsidRPr="00713F39">
        <w:rPr>
          <w:sz w:val="24"/>
        </w:rPr>
        <w:t xml:space="preserve">, </w:t>
      </w:r>
      <w:r w:rsidR="0046298A">
        <w:rPr>
          <w:sz w:val="24"/>
        </w:rPr>
        <w:t xml:space="preserve">Vehicle and </w:t>
      </w:r>
      <w:r w:rsidR="00135F75">
        <w:rPr>
          <w:sz w:val="24"/>
        </w:rPr>
        <w:t>d</w:t>
      </w:r>
      <w:r w:rsidR="0046298A">
        <w:rPr>
          <w:sz w:val="24"/>
        </w:rPr>
        <w:t xml:space="preserve">river </w:t>
      </w:r>
      <w:r w:rsidR="00135F75">
        <w:rPr>
          <w:sz w:val="24"/>
        </w:rPr>
        <w:t>s</w:t>
      </w:r>
      <w:r w:rsidR="0046298A">
        <w:rPr>
          <w:sz w:val="24"/>
        </w:rPr>
        <w:t xml:space="preserve">afety </w:t>
      </w:r>
      <w:r w:rsidR="00135F75">
        <w:rPr>
          <w:sz w:val="24"/>
        </w:rPr>
        <w:t>r</w:t>
      </w:r>
      <w:r w:rsidR="0046298A">
        <w:rPr>
          <w:sz w:val="24"/>
        </w:rPr>
        <w:t>equirements</w:t>
      </w:r>
      <w:r w:rsidR="00515348" w:rsidRPr="00713F39">
        <w:rPr>
          <w:sz w:val="24"/>
        </w:rPr>
        <w:t xml:space="preserve">, which </w:t>
      </w:r>
      <w:r w:rsidR="0046298A">
        <w:rPr>
          <w:sz w:val="24"/>
        </w:rPr>
        <w:t>requires passenger transportation companies to comply with Title 49, Code of Federal Regulations (CFR), including Part 395 – Hours of service of drivers, and Part 396 – Inspection, repair and maintenance</w:t>
      </w:r>
      <w:r w:rsidR="00D57B7D">
        <w:rPr>
          <w:sz w:val="24"/>
        </w:rPr>
        <w:t>.</w:t>
      </w:r>
      <w:r w:rsidR="00515348" w:rsidRPr="00713F39">
        <w:rPr>
          <w:sz w:val="24"/>
        </w:rPr>
        <w:t xml:space="preserve">  </w:t>
      </w:r>
    </w:p>
    <w:p w:rsidR="00C21751" w:rsidRPr="00177F39" w:rsidRDefault="00C21751" w:rsidP="00DF234A">
      <w:pPr>
        <w:spacing w:line="276" w:lineRule="auto"/>
        <w:rPr>
          <w:b/>
          <w:sz w:val="24"/>
        </w:rPr>
      </w:pPr>
    </w:p>
    <w:p w:rsidR="008B34FB" w:rsidRDefault="00C21751" w:rsidP="00DF234A">
      <w:pPr>
        <w:spacing w:line="276" w:lineRule="auto"/>
        <w:rPr>
          <w:sz w:val="24"/>
        </w:rPr>
      </w:pPr>
      <w:r w:rsidRPr="00177F39">
        <w:rPr>
          <w:sz w:val="24"/>
        </w:rPr>
        <w:t xml:space="preserve">On </w:t>
      </w:r>
      <w:r w:rsidR="0046298A">
        <w:rPr>
          <w:sz w:val="24"/>
        </w:rPr>
        <w:t>April 17</w:t>
      </w:r>
      <w:r w:rsidR="00FC2D8C">
        <w:rPr>
          <w:sz w:val="24"/>
        </w:rPr>
        <w:t>, 2013</w:t>
      </w:r>
      <w:r w:rsidRPr="00177F39">
        <w:rPr>
          <w:sz w:val="24"/>
        </w:rPr>
        <w:t xml:space="preserve">, </w:t>
      </w:r>
      <w:proofErr w:type="spellStart"/>
      <w:r w:rsidR="0046298A">
        <w:rPr>
          <w:sz w:val="24"/>
        </w:rPr>
        <w:t>Onstar</w:t>
      </w:r>
      <w:proofErr w:type="spellEnd"/>
      <w:r w:rsidR="0046298A">
        <w:rPr>
          <w:sz w:val="24"/>
        </w:rPr>
        <w:t xml:space="preserve"> Limousine</w:t>
      </w:r>
      <w:r w:rsidRPr="00177F39">
        <w:rPr>
          <w:sz w:val="24"/>
        </w:rPr>
        <w:t xml:space="preserve"> filed with the commission its request for mitigation </w:t>
      </w:r>
      <w:r w:rsidR="00C0038D" w:rsidRPr="00177F39">
        <w:rPr>
          <w:sz w:val="24"/>
        </w:rPr>
        <w:t>(Mitigation Request)</w:t>
      </w:r>
      <w:r w:rsidRPr="00177F39">
        <w:rPr>
          <w:sz w:val="24"/>
        </w:rPr>
        <w:t xml:space="preserve">. </w:t>
      </w:r>
      <w:proofErr w:type="spellStart"/>
      <w:r w:rsidR="0046298A">
        <w:rPr>
          <w:sz w:val="24"/>
        </w:rPr>
        <w:t>Onstar</w:t>
      </w:r>
      <w:proofErr w:type="spellEnd"/>
      <w:r w:rsidR="0046298A">
        <w:rPr>
          <w:sz w:val="24"/>
        </w:rPr>
        <w:t xml:space="preserve"> Limousine</w:t>
      </w:r>
      <w:r w:rsidR="00FC2D8C" w:rsidRPr="00177F39">
        <w:rPr>
          <w:sz w:val="24"/>
        </w:rPr>
        <w:t xml:space="preserve"> </w:t>
      </w:r>
      <w:r w:rsidRPr="00177F39">
        <w:rPr>
          <w:sz w:val="24"/>
        </w:rPr>
        <w:t>admitted the violations but asked that the penalty amount be reduced</w:t>
      </w:r>
      <w:r w:rsidR="00FC2D8C">
        <w:rPr>
          <w:sz w:val="24"/>
        </w:rPr>
        <w:t>.</w:t>
      </w:r>
      <w:r w:rsidRPr="00177F39">
        <w:rPr>
          <w:sz w:val="24"/>
        </w:rPr>
        <w:t xml:space="preserve"> </w:t>
      </w:r>
    </w:p>
    <w:p w:rsidR="00713F39" w:rsidRDefault="00713F39" w:rsidP="00DF234A">
      <w:pPr>
        <w:spacing w:line="276" w:lineRule="auto"/>
        <w:rPr>
          <w:sz w:val="24"/>
        </w:rPr>
      </w:pPr>
    </w:p>
    <w:p w:rsidR="00936BED" w:rsidRDefault="00637DD7" w:rsidP="001C77B0">
      <w:pPr>
        <w:spacing w:line="276" w:lineRule="auto"/>
        <w:rPr>
          <w:sz w:val="24"/>
        </w:rPr>
      </w:pPr>
      <w:r>
        <w:rPr>
          <w:sz w:val="24"/>
        </w:rPr>
        <w:t xml:space="preserve">The commission’s rules governing safety requirements for passenger transportation are </w:t>
      </w:r>
      <w:r w:rsidR="00FC2D8C">
        <w:rPr>
          <w:sz w:val="24"/>
        </w:rPr>
        <w:t xml:space="preserve">clear and unambiguous in seeking to ensure </w:t>
      </w:r>
      <w:r>
        <w:rPr>
          <w:sz w:val="24"/>
        </w:rPr>
        <w:t>the health and safety of the traveling public</w:t>
      </w:r>
      <w:r w:rsidR="00FC2D8C">
        <w:rPr>
          <w:sz w:val="24"/>
        </w:rPr>
        <w:t xml:space="preserve"> through specific limitations and requirements. </w:t>
      </w:r>
    </w:p>
    <w:p w:rsidR="00936BED" w:rsidRDefault="00936BED" w:rsidP="001C77B0">
      <w:pPr>
        <w:spacing w:line="276" w:lineRule="auto"/>
        <w:rPr>
          <w:sz w:val="24"/>
        </w:rPr>
      </w:pPr>
    </w:p>
    <w:p w:rsidR="00936BED" w:rsidRPr="000C7C1B" w:rsidRDefault="00936BED" w:rsidP="00936BED">
      <w:pPr>
        <w:widowControl/>
        <w:spacing w:line="276" w:lineRule="auto"/>
      </w:pPr>
      <w:r>
        <w:rPr>
          <w:sz w:val="24"/>
        </w:rPr>
        <w:t>During compliance reviews, commission staff conducts an i</w:t>
      </w:r>
      <w:r w:rsidRPr="00AD499D">
        <w:rPr>
          <w:sz w:val="24"/>
        </w:rPr>
        <w:t xml:space="preserve">n-depth examination of </w:t>
      </w:r>
      <w:r>
        <w:rPr>
          <w:sz w:val="24"/>
        </w:rPr>
        <w:t>a</w:t>
      </w:r>
      <w:r w:rsidRPr="00AD499D">
        <w:rPr>
          <w:sz w:val="24"/>
        </w:rPr>
        <w:t xml:space="preserve"> motor carrier's compliance with </w:t>
      </w:r>
      <w:r>
        <w:rPr>
          <w:sz w:val="24"/>
        </w:rPr>
        <w:t xml:space="preserve">regulations that the FMCSA has </w:t>
      </w:r>
      <w:r w:rsidRPr="00AD499D">
        <w:rPr>
          <w:sz w:val="24"/>
        </w:rPr>
        <w:t xml:space="preserve">identified </w:t>
      </w:r>
      <w:r>
        <w:rPr>
          <w:sz w:val="24"/>
        </w:rPr>
        <w:t xml:space="preserve">as </w:t>
      </w:r>
      <w:r w:rsidRPr="00AD499D">
        <w:rPr>
          <w:sz w:val="24"/>
        </w:rPr>
        <w:t>“acute” or “critical</w:t>
      </w:r>
      <w:r>
        <w:rPr>
          <w:sz w:val="24"/>
        </w:rPr>
        <w:t>.</w:t>
      </w:r>
      <w:r w:rsidRPr="00AD499D">
        <w:rPr>
          <w:sz w:val="24"/>
        </w:rPr>
        <w:t>”</w:t>
      </w:r>
      <w:r>
        <w:rPr>
          <w:sz w:val="24"/>
        </w:rPr>
        <w:t xml:space="preserve"> </w:t>
      </w:r>
      <w:proofErr w:type="spellStart"/>
      <w:r>
        <w:rPr>
          <w:sz w:val="24"/>
        </w:rPr>
        <w:t>Onstar</w:t>
      </w:r>
      <w:proofErr w:type="spellEnd"/>
      <w:r>
        <w:rPr>
          <w:sz w:val="24"/>
        </w:rPr>
        <w:t xml:space="preserve"> Limousine’s </w:t>
      </w:r>
      <w:r w:rsidRPr="009A2860">
        <w:rPr>
          <w:sz w:val="24"/>
        </w:rPr>
        <w:t>violation</w:t>
      </w:r>
      <w:r>
        <w:rPr>
          <w:sz w:val="24"/>
        </w:rPr>
        <w:t>s</w:t>
      </w:r>
      <w:r w:rsidRPr="009A2860">
        <w:rPr>
          <w:sz w:val="24"/>
        </w:rPr>
        <w:t xml:space="preserve"> of </w:t>
      </w:r>
      <w:r>
        <w:rPr>
          <w:bCs/>
          <w:sz w:val="24"/>
        </w:rPr>
        <w:t>Parts 395.8(a), 396.11(a) and 396.17(a)</w:t>
      </w:r>
      <w:r>
        <w:rPr>
          <w:rStyle w:val="fp"/>
          <w:sz w:val="24"/>
        </w:rPr>
        <w:t xml:space="preserve"> are</w:t>
      </w:r>
      <w:r w:rsidRPr="009A2860">
        <w:rPr>
          <w:rStyle w:val="fp"/>
          <w:sz w:val="24"/>
        </w:rPr>
        <w:t xml:space="preserve"> considered critical violation</w:t>
      </w:r>
      <w:r>
        <w:rPr>
          <w:rStyle w:val="fp"/>
          <w:sz w:val="24"/>
        </w:rPr>
        <w:t>s</w:t>
      </w:r>
      <w:r w:rsidRPr="000C7C1B">
        <w:rPr>
          <w:sz w:val="24"/>
        </w:rPr>
        <w:t>.</w:t>
      </w:r>
      <w:r w:rsidRPr="00206183">
        <w:rPr>
          <w:rStyle w:val="FootnoteReference"/>
          <w:position w:val="6"/>
          <w:sz w:val="16"/>
        </w:rPr>
        <w:footnoteReference w:id="1"/>
      </w:r>
      <w:r>
        <w:rPr>
          <w:sz w:val="24"/>
        </w:rPr>
        <w:t xml:space="preserve"> Critical violations are generally </w:t>
      </w:r>
      <w:r w:rsidRPr="009A2860">
        <w:rPr>
          <w:sz w:val="24"/>
        </w:rPr>
        <w:t>indicative of breakdowns in a carrier's management controls.</w:t>
      </w:r>
      <w:r>
        <w:rPr>
          <w:sz w:val="24"/>
        </w:rPr>
        <w:t xml:space="preserve"> </w:t>
      </w:r>
      <w:r>
        <w:rPr>
          <w:rStyle w:val="fp"/>
          <w:sz w:val="24"/>
        </w:rPr>
        <w:t>P</w:t>
      </w:r>
      <w:r w:rsidRPr="000C7C1B">
        <w:rPr>
          <w:sz w:val="24"/>
        </w:rPr>
        <w:t>atterns of non-compliance with critical regulations are quantitatively linked to inadequate safety management controls and usually higher than average accident rates</w:t>
      </w:r>
      <w:r>
        <w:rPr>
          <w:sz w:val="24"/>
        </w:rPr>
        <w:t>.</w:t>
      </w:r>
      <w:r w:rsidRPr="0099268B">
        <w:rPr>
          <w:rStyle w:val="FootnoteReference"/>
          <w:position w:val="6"/>
          <w:sz w:val="16"/>
        </w:rPr>
        <w:footnoteReference w:id="2"/>
      </w:r>
    </w:p>
    <w:p w:rsidR="00936BED" w:rsidRDefault="00936BED" w:rsidP="001C77B0">
      <w:pPr>
        <w:spacing w:line="276" w:lineRule="auto"/>
        <w:rPr>
          <w:sz w:val="24"/>
        </w:rPr>
      </w:pPr>
    </w:p>
    <w:p w:rsidR="001C77B0" w:rsidRPr="001C77B0" w:rsidRDefault="001C77B0" w:rsidP="001C77B0">
      <w:pPr>
        <w:spacing w:line="276" w:lineRule="auto"/>
        <w:rPr>
          <w:sz w:val="24"/>
        </w:rPr>
      </w:pPr>
      <w:r w:rsidRPr="001C77B0">
        <w:rPr>
          <w:sz w:val="24"/>
        </w:rPr>
        <w:t>As the commission st</w:t>
      </w:r>
      <w:r>
        <w:rPr>
          <w:sz w:val="24"/>
        </w:rPr>
        <w:t>ated in the penalty assessment, ensuring</w:t>
      </w:r>
      <w:r w:rsidRPr="001C77B0">
        <w:rPr>
          <w:sz w:val="24"/>
        </w:rPr>
        <w:t xml:space="preserve"> that drivers are in the best physical condition possible, including documenting that drivers have not worked longer than the legal number of hours in a given time period, is key to preventing accidents. Failing to require drivers to make records of duty status as required prevents the company from keeping track of total on-duty hours for those drivers.  </w:t>
      </w:r>
    </w:p>
    <w:p w:rsidR="001C77B0" w:rsidRDefault="001C77B0" w:rsidP="0046298A">
      <w:pPr>
        <w:spacing w:line="276" w:lineRule="auto"/>
        <w:rPr>
          <w:sz w:val="24"/>
        </w:rPr>
      </w:pPr>
    </w:p>
    <w:p w:rsidR="0046298A" w:rsidRDefault="00B80AB1" w:rsidP="0046298A">
      <w:pPr>
        <w:spacing w:line="276" w:lineRule="auto"/>
        <w:rPr>
          <w:sz w:val="24"/>
        </w:rPr>
      </w:pPr>
      <w:proofErr w:type="spellStart"/>
      <w:r w:rsidRPr="001C77B0">
        <w:rPr>
          <w:sz w:val="24"/>
        </w:rPr>
        <w:lastRenderedPageBreak/>
        <w:t>Onstar</w:t>
      </w:r>
      <w:proofErr w:type="spellEnd"/>
      <w:r w:rsidRPr="001C77B0">
        <w:rPr>
          <w:sz w:val="24"/>
        </w:rPr>
        <w:t xml:space="preserve"> has received ample technical assistance about safety regulations since the commission granted the company charter and excursion carrier authority in 2010.</w:t>
      </w:r>
      <w:r>
        <w:rPr>
          <w:sz w:val="24"/>
        </w:rPr>
        <w:t xml:space="preserve"> </w:t>
      </w:r>
      <w:bookmarkStart w:id="0" w:name="_GoBack"/>
      <w:bookmarkEnd w:id="0"/>
      <w:r w:rsidR="00C900B9" w:rsidRPr="0046298A">
        <w:rPr>
          <w:sz w:val="24"/>
        </w:rPr>
        <w:t xml:space="preserve">The violations relating to driver vehicle inspection reports are repeat violations from the 2011 compliance review. </w:t>
      </w:r>
      <w:r w:rsidR="00C900B9">
        <w:rPr>
          <w:sz w:val="24"/>
        </w:rPr>
        <w:t>At that time, when asked to respond with a plan for correcting the violations</w:t>
      </w:r>
      <w:r w:rsidR="001C77B0">
        <w:rPr>
          <w:sz w:val="24"/>
        </w:rPr>
        <w:t xml:space="preserve"> related to driver vehicle inspection reports</w:t>
      </w:r>
      <w:r w:rsidR="00C900B9">
        <w:rPr>
          <w:sz w:val="24"/>
        </w:rPr>
        <w:t xml:space="preserve">, Mr. </w:t>
      </w:r>
      <w:proofErr w:type="spellStart"/>
      <w:r w:rsidR="00C900B9">
        <w:rPr>
          <w:sz w:val="24"/>
        </w:rPr>
        <w:t>Tekle</w:t>
      </w:r>
      <w:proofErr w:type="spellEnd"/>
      <w:r w:rsidR="00C900B9">
        <w:rPr>
          <w:sz w:val="24"/>
        </w:rPr>
        <w:t xml:space="preserve"> wrote, </w:t>
      </w:r>
      <w:r w:rsidR="00135F75">
        <w:rPr>
          <w:sz w:val="24"/>
        </w:rPr>
        <w:t>“</w:t>
      </w:r>
      <w:r w:rsidR="001C77B0">
        <w:rPr>
          <w:sz w:val="24"/>
        </w:rPr>
        <w:t>B</w:t>
      </w:r>
      <w:r w:rsidR="00C900B9">
        <w:rPr>
          <w:sz w:val="24"/>
        </w:rPr>
        <w:t>efore starting out the driver must be satisfied that the motor vehicle is in safe operating condition. If the last driver vehicle inspection report (DVIR) notes any defects, the driver must review and sign to acknowledge that necessary repairs have been completed.”</w:t>
      </w:r>
      <w:r w:rsidR="00385C54" w:rsidRPr="00385C54">
        <w:rPr>
          <w:rStyle w:val="FootnoteReference"/>
          <w:position w:val="6"/>
          <w:sz w:val="16"/>
          <w:szCs w:val="16"/>
        </w:rPr>
        <w:footnoteReference w:id="3"/>
      </w:r>
      <w:r w:rsidR="00C900B9">
        <w:rPr>
          <w:sz w:val="24"/>
        </w:rPr>
        <w:t xml:space="preserve"> </w:t>
      </w:r>
      <w:r w:rsidR="001C77B0">
        <w:rPr>
          <w:sz w:val="24"/>
        </w:rPr>
        <w:t>The company knows</w:t>
      </w:r>
      <w:r w:rsidR="0046298A" w:rsidRPr="0046298A">
        <w:rPr>
          <w:sz w:val="24"/>
        </w:rPr>
        <w:t xml:space="preserve"> that these requirements exist. </w:t>
      </w:r>
    </w:p>
    <w:p w:rsidR="00385C54" w:rsidRDefault="00385C54" w:rsidP="0046298A">
      <w:pPr>
        <w:spacing w:line="276" w:lineRule="auto"/>
        <w:rPr>
          <w:sz w:val="24"/>
        </w:rPr>
      </w:pPr>
    </w:p>
    <w:p w:rsidR="0046298A" w:rsidRDefault="00385C54" w:rsidP="000D40A2">
      <w:pPr>
        <w:spacing w:line="276" w:lineRule="auto"/>
        <w:rPr>
          <w:sz w:val="24"/>
        </w:rPr>
      </w:pPr>
      <w:r>
        <w:rPr>
          <w:sz w:val="24"/>
        </w:rPr>
        <w:t xml:space="preserve">Staff recommends the Mitigation Request be denied. The commission already mitigated the penalty when it assessed </w:t>
      </w:r>
      <w:r w:rsidR="001C77B0">
        <w:rPr>
          <w:sz w:val="24"/>
        </w:rPr>
        <w:t xml:space="preserve">only </w:t>
      </w:r>
      <w:r>
        <w:rPr>
          <w:sz w:val="24"/>
        </w:rPr>
        <w:t xml:space="preserve">$1,000 in penalties instead of the $2,800 it could have assessed for the </w:t>
      </w:r>
      <w:r w:rsidR="001C77B0">
        <w:rPr>
          <w:sz w:val="24"/>
        </w:rPr>
        <w:t xml:space="preserve">28 </w:t>
      </w:r>
      <w:r>
        <w:rPr>
          <w:sz w:val="24"/>
        </w:rPr>
        <w:t xml:space="preserve">violations found in the compliance review. Commission staff does not object to the commission establishing a payment plan for </w:t>
      </w:r>
      <w:proofErr w:type="spellStart"/>
      <w:r>
        <w:rPr>
          <w:sz w:val="24"/>
        </w:rPr>
        <w:t>Onstar</w:t>
      </w:r>
      <w:proofErr w:type="spellEnd"/>
      <w:r>
        <w:rPr>
          <w:sz w:val="24"/>
        </w:rPr>
        <w:t xml:space="preserve"> Limousine to repay the penalty amount. </w:t>
      </w:r>
    </w:p>
    <w:p w:rsidR="00385C54" w:rsidRDefault="00385C54" w:rsidP="000D40A2">
      <w:pPr>
        <w:spacing w:line="276" w:lineRule="auto"/>
        <w:rPr>
          <w:sz w:val="24"/>
        </w:rPr>
      </w:pPr>
    </w:p>
    <w:p w:rsidR="00592856" w:rsidRPr="0030539F" w:rsidRDefault="00592856" w:rsidP="0030539F">
      <w:pPr>
        <w:widowControl/>
        <w:autoSpaceDE/>
        <w:autoSpaceDN/>
        <w:adjustRightInd/>
        <w:spacing w:line="276" w:lineRule="auto"/>
        <w:rPr>
          <w:sz w:val="24"/>
        </w:rPr>
      </w:pPr>
      <w:r w:rsidRPr="0030539F">
        <w:rPr>
          <w:sz w:val="24"/>
        </w:rPr>
        <w:t xml:space="preserve">If you have any questions, please contact Betty Young, Compliance Investigator, Transportation Safety, at 360-664-1202, or by e-mail at </w:t>
      </w:r>
      <w:hyperlink r:id="rId10" w:history="1">
        <w:r w:rsidRPr="0030539F">
          <w:rPr>
            <w:sz w:val="24"/>
          </w:rPr>
          <w:t>byoung@utc.wa.gov</w:t>
        </w:r>
      </w:hyperlink>
      <w:r w:rsidRPr="0030539F">
        <w:rPr>
          <w:sz w:val="24"/>
        </w:rPr>
        <w:t xml:space="preserve">. </w:t>
      </w:r>
    </w:p>
    <w:p w:rsidR="002F3753" w:rsidRDefault="002F3753" w:rsidP="0030539F">
      <w:pPr>
        <w:widowControl/>
        <w:autoSpaceDE/>
        <w:autoSpaceDN/>
        <w:adjustRightInd/>
        <w:spacing w:line="276" w:lineRule="auto"/>
        <w:rPr>
          <w:sz w:val="24"/>
        </w:rPr>
      </w:pPr>
    </w:p>
    <w:p w:rsidR="00A66F7E" w:rsidRPr="002B4F19" w:rsidRDefault="00A66F7E" w:rsidP="00BE52CC">
      <w:pPr>
        <w:spacing w:line="276" w:lineRule="auto"/>
        <w:rPr>
          <w:sz w:val="24"/>
        </w:rPr>
      </w:pPr>
      <w:r w:rsidRPr="002B4F19">
        <w:rPr>
          <w:sz w:val="24"/>
        </w:rPr>
        <w:t>Sincerely,</w:t>
      </w:r>
    </w:p>
    <w:p w:rsidR="00A66F7E" w:rsidRPr="002B4F19" w:rsidRDefault="00A66F7E" w:rsidP="00BE52CC">
      <w:pPr>
        <w:spacing w:line="276" w:lineRule="auto"/>
        <w:rPr>
          <w:sz w:val="24"/>
        </w:rPr>
      </w:pPr>
    </w:p>
    <w:p w:rsidR="00A66F7E" w:rsidRPr="002B4F19" w:rsidRDefault="00A66F7E" w:rsidP="00BE52CC">
      <w:pPr>
        <w:spacing w:line="276" w:lineRule="auto"/>
        <w:rPr>
          <w:sz w:val="24"/>
        </w:rPr>
      </w:pPr>
    </w:p>
    <w:p w:rsidR="00BA384C" w:rsidRDefault="00BA384C" w:rsidP="00BE52CC">
      <w:pPr>
        <w:spacing w:line="276" w:lineRule="auto"/>
        <w:rPr>
          <w:sz w:val="24"/>
        </w:rPr>
      </w:pPr>
    </w:p>
    <w:p w:rsidR="00A66F7E" w:rsidRPr="002B4F19" w:rsidRDefault="00A66F7E" w:rsidP="00BE52CC">
      <w:pPr>
        <w:spacing w:line="276" w:lineRule="auto"/>
        <w:rPr>
          <w:sz w:val="24"/>
        </w:rPr>
      </w:pPr>
      <w:r w:rsidRPr="002B4F19">
        <w:rPr>
          <w:sz w:val="24"/>
        </w:rPr>
        <w:t>David Pratt</w:t>
      </w:r>
    </w:p>
    <w:p w:rsidR="00A66F7E" w:rsidRDefault="00A66F7E" w:rsidP="00BE52CC">
      <w:pPr>
        <w:spacing w:line="276" w:lineRule="auto"/>
        <w:rPr>
          <w:sz w:val="24"/>
        </w:rPr>
      </w:pPr>
      <w:r w:rsidRPr="002B4F19">
        <w:rPr>
          <w:sz w:val="24"/>
        </w:rPr>
        <w:t>Assistant Director, Transportation Safety</w:t>
      </w:r>
    </w:p>
    <w:p w:rsidR="00A66F7E" w:rsidRDefault="00A66F7E" w:rsidP="00BE52CC">
      <w:pPr>
        <w:spacing w:line="276" w:lineRule="auto"/>
        <w:rPr>
          <w:sz w:val="24"/>
        </w:rPr>
      </w:pPr>
    </w:p>
    <w:p w:rsidR="001C77B0" w:rsidRDefault="001C77B0" w:rsidP="00BE52CC">
      <w:pPr>
        <w:spacing w:line="276" w:lineRule="auto"/>
        <w:rPr>
          <w:sz w:val="24"/>
        </w:rPr>
      </w:pPr>
    </w:p>
    <w:p w:rsidR="001C77B0" w:rsidRDefault="001C77B0" w:rsidP="00BE52CC">
      <w:pPr>
        <w:spacing w:line="276" w:lineRule="auto"/>
        <w:rPr>
          <w:sz w:val="24"/>
        </w:rPr>
      </w:pPr>
      <w:r>
        <w:rPr>
          <w:sz w:val="24"/>
        </w:rPr>
        <w:t>Enclosure</w:t>
      </w:r>
      <w:r w:rsidR="00936BED">
        <w:rPr>
          <w:sz w:val="24"/>
        </w:rPr>
        <w:t>s</w:t>
      </w:r>
    </w:p>
    <w:sectPr w:rsidR="001C77B0" w:rsidSect="00F87D8D">
      <w:headerReference w:type="default" r:id="rId11"/>
      <w:footerReference w:type="even" r:id="rId12"/>
      <w:endnotePr>
        <w:numFmt w:val="decimal"/>
      </w:endnotePr>
      <w:pgSz w:w="12240" w:h="15840"/>
      <w:pgMar w:top="1440" w:right="1440" w:bottom="144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BED" w:rsidRDefault="00936BED">
      <w:r>
        <w:separator/>
      </w:r>
    </w:p>
  </w:endnote>
  <w:endnote w:type="continuationSeparator" w:id="0">
    <w:p w:rsidR="00936BED" w:rsidRDefault="0093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ED" w:rsidRDefault="0093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6BED" w:rsidRDefault="00936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BED" w:rsidRDefault="00936BED">
      <w:r>
        <w:separator/>
      </w:r>
    </w:p>
  </w:footnote>
  <w:footnote w:type="continuationSeparator" w:id="0">
    <w:p w:rsidR="00936BED" w:rsidRDefault="00936BED">
      <w:r>
        <w:continuationSeparator/>
      </w:r>
    </w:p>
  </w:footnote>
  <w:footnote w:id="1">
    <w:p w:rsidR="00936BED" w:rsidRPr="00110E73" w:rsidRDefault="00936BED" w:rsidP="00936BED">
      <w:pPr>
        <w:pStyle w:val="Heading2"/>
        <w:spacing w:before="0" w:after="0"/>
        <w:ind w:right="60"/>
        <w:rPr>
          <w:rFonts w:ascii="Times New Roman" w:eastAsia="Times New Roman" w:hAnsi="Times New Roman"/>
          <w:b w:val="0"/>
          <w:i w:val="0"/>
          <w:iCs w:val="0"/>
          <w:sz w:val="20"/>
          <w:szCs w:val="22"/>
        </w:rPr>
      </w:pPr>
      <w:r w:rsidRPr="00A812D2">
        <w:rPr>
          <w:rStyle w:val="FootnoteReference"/>
          <w:rFonts w:ascii="Times New Roman" w:hAnsi="Times New Roman"/>
          <w:b w:val="0"/>
          <w:i w:val="0"/>
          <w:sz w:val="20"/>
        </w:rPr>
        <w:footnoteRef/>
      </w:r>
      <w:r w:rsidRPr="00A812D2">
        <w:rPr>
          <w:rFonts w:ascii="Times New Roman" w:hAnsi="Times New Roman"/>
          <w:b w:val="0"/>
          <w:i w:val="0"/>
          <w:sz w:val="20"/>
        </w:rPr>
        <w:t xml:space="preserve"> </w:t>
      </w:r>
      <w:r w:rsidRPr="00A812D2">
        <w:rPr>
          <w:rFonts w:ascii="Times New Roman" w:eastAsia="Times New Roman" w:hAnsi="Times New Roman"/>
          <w:b w:val="0"/>
          <w:i w:val="0"/>
          <w:iCs w:val="0"/>
          <w:sz w:val="20"/>
          <w:szCs w:val="22"/>
        </w:rPr>
        <w:t xml:space="preserve">Code of Federal Regulations, </w:t>
      </w:r>
      <w:hyperlink r:id="rId1" w:history="1">
        <w:r w:rsidRPr="00FD602C">
          <w:rPr>
            <w:rStyle w:val="Hyperlink"/>
            <w:rFonts w:ascii="Times New Roman" w:eastAsia="Times New Roman" w:hAnsi="Times New Roman" w:cs="Times New Roman"/>
            <w:b w:val="0"/>
            <w:bCs w:val="0"/>
            <w:i w:val="0"/>
            <w:iCs w:val="0"/>
            <w:sz w:val="20"/>
            <w:szCs w:val="20"/>
          </w:rPr>
          <w:t>Appendix B to Part 385—Explanation of safety rating process</w:t>
        </w:r>
      </w:hyperlink>
      <w:r>
        <w:rPr>
          <w:rStyle w:val="Hyperlink"/>
          <w:rFonts w:ascii="Times New Roman" w:eastAsia="Times New Roman" w:hAnsi="Times New Roman" w:cs="Times New Roman"/>
          <w:b w:val="0"/>
          <w:bCs w:val="0"/>
          <w:i w:val="0"/>
          <w:iCs w:val="0"/>
          <w:color w:val="auto"/>
          <w:sz w:val="20"/>
          <w:szCs w:val="20"/>
          <w:u w:val="none"/>
        </w:rPr>
        <w:t>, enclosed</w:t>
      </w:r>
      <w:r>
        <w:rPr>
          <w:rStyle w:val="Hyperlink"/>
          <w:rFonts w:ascii="Times New Roman" w:eastAsia="Times New Roman" w:hAnsi="Times New Roman" w:cs="Times New Roman"/>
          <w:b w:val="0"/>
          <w:bCs w:val="0"/>
          <w:i w:val="0"/>
          <w:iCs w:val="0"/>
          <w:sz w:val="20"/>
          <w:szCs w:val="20"/>
          <w:u w:val="none"/>
        </w:rPr>
        <w:t>.</w:t>
      </w:r>
    </w:p>
  </w:footnote>
  <w:footnote w:id="2">
    <w:p w:rsidR="00936BED" w:rsidRDefault="00936BED" w:rsidP="00936BED">
      <w:pPr>
        <w:pStyle w:val="FootnoteText"/>
      </w:pPr>
      <w:r>
        <w:rPr>
          <w:rStyle w:val="FootnoteReference"/>
        </w:rPr>
        <w:footnoteRef/>
      </w:r>
      <w:r>
        <w:t xml:space="preserve"> </w:t>
      </w:r>
      <w:r w:rsidRPr="0099268B">
        <w:rPr>
          <w:i/>
        </w:rPr>
        <w:t>Id.</w:t>
      </w:r>
    </w:p>
  </w:footnote>
  <w:footnote w:id="3">
    <w:p w:rsidR="00936BED" w:rsidRDefault="00936BED">
      <w:pPr>
        <w:pStyle w:val="FootnoteText"/>
      </w:pPr>
      <w:r w:rsidRPr="001C77B0">
        <w:rPr>
          <w:rStyle w:val="FootnoteReference"/>
          <w:position w:val="6"/>
        </w:rPr>
        <w:footnoteRef/>
      </w:r>
      <w:r>
        <w:t xml:space="preserve"> November 2011 letter from Mr. </w:t>
      </w:r>
      <w:proofErr w:type="spellStart"/>
      <w:proofErr w:type="gramStart"/>
      <w:r>
        <w:t>Tekle</w:t>
      </w:r>
      <w:proofErr w:type="spellEnd"/>
      <w:r>
        <w:t>,</w:t>
      </w:r>
      <w:proofErr w:type="gramEnd"/>
      <w:r>
        <w:t xml:space="preserve"> enclosed.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ED" w:rsidRPr="00936BED" w:rsidRDefault="00936BED">
    <w:pPr>
      <w:pStyle w:val="Header"/>
      <w:rPr>
        <w:szCs w:val="20"/>
      </w:rPr>
    </w:pPr>
    <w:r w:rsidRPr="00936BED">
      <w:rPr>
        <w:szCs w:val="20"/>
      </w:rPr>
      <w:t>Steven V. King</w:t>
    </w:r>
  </w:p>
  <w:p w:rsidR="00936BED" w:rsidRPr="00936BED" w:rsidRDefault="00936BED">
    <w:pPr>
      <w:pStyle w:val="Header"/>
      <w:rPr>
        <w:szCs w:val="20"/>
      </w:rPr>
    </w:pPr>
    <w:r w:rsidRPr="00936BED">
      <w:rPr>
        <w:szCs w:val="20"/>
      </w:rPr>
      <w:t>April 18, 2013</w:t>
    </w:r>
  </w:p>
  <w:p w:rsidR="00936BED" w:rsidRPr="00936BED" w:rsidRDefault="00936BED">
    <w:pPr>
      <w:pStyle w:val="Header"/>
      <w:rPr>
        <w:szCs w:val="20"/>
      </w:rPr>
    </w:pPr>
    <w:r w:rsidRPr="00936BED">
      <w:rPr>
        <w:szCs w:val="20"/>
      </w:rPr>
      <w:t xml:space="preserve">Page </w:t>
    </w:r>
    <w:r w:rsidRPr="00936BED">
      <w:rPr>
        <w:szCs w:val="20"/>
      </w:rPr>
      <w:fldChar w:fldCharType="begin"/>
    </w:r>
    <w:r w:rsidRPr="00936BED">
      <w:rPr>
        <w:szCs w:val="20"/>
      </w:rPr>
      <w:instrText xml:space="preserve"> PAGE   \* MERGEFORMAT </w:instrText>
    </w:r>
    <w:r w:rsidRPr="00936BED">
      <w:rPr>
        <w:szCs w:val="20"/>
      </w:rPr>
      <w:fldChar w:fldCharType="separate"/>
    </w:r>
    <w:r w:rsidR="00B80AB1">
      <w:rPr>
        <w:noProof/>
        <w:szCs w:val="20"/>
      </w:rPr>
      <w:t>2</w:t>
    </w:r>
    <w:r w:rsidRPr="00936BED">
      <w:rPr>
        <w:szCs w:val="20"/>
      </w:rPr>
      <w:fldChar w:fldCharType="end"/>
    </w:r>
  </w:p>
  <w:p w:rsidR="00936BED" w:rsidRPr="00073D9C" w:rsidRDefault="00936BED">
    <w:pPr>
      <w:pStyle w:val="Header"/>
      <w:rPr>
        <w:sz w:val="24"/>
      </w:rPr>
    </w:pPr>
  </w:p>
  <w:p w:rsidR="00936BED" w:rsidRDefault="00936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E749E"/>
    <w:multiLevelType w:val="hybridMultilevel"/>
    <w:tmpl w:val="489AB05A"/>
    <w:lvl w:ilvl="0" w:tplc="992E1C3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811CC5"/>
    <w:multiLevelType w:val="hybridMultilevel"/>
    <w:tmpl w:val="8A8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30497F"/>
    <w:multiLevelType w:val="hybridMultilevel"/>
    <w:tmpl w:val="47D629B2"/>
    <w:lvl w:ilvl="0" w:tplc="EF2889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num>
  <w:num w:numId="3">
    <w:abstractNumId w:val="22"/>
  </w:num>
  <w:num w:numId="4">
    <w:abstractNumId w:val="4"/>
  </w:num>
  <w:num w:numId="5">
    <w:abstractNumId w:val="30"/>
  </w:num>
  <w:num w:numId="6">
    <w:abstractNumId w:val="7"/>
  </w:num>
  <w:num w:numId="7">
    <w:abstractNumId w:val="29"/>
  </w:num>
  <w:num w:numId="8">
    <w:abstractNumId w:val="27"/>
  </w:num>
  <w:num w:numId="9">
    <w:abstractNumId w:val="13"/>
  </w:num>
  <w:num w:numId="10">
    <w:abstractNumId w:val="25"/>
  </w:num>
  <w:num w:numId="11">
    <w:abstractNumId w:val="34"/>
  </w:num>
  <w:num w:numId="12">
    <w:abstractNumId w:val="15"/>
  </w:num>
  <w:num w:numId="13">
    <w:abstractNumId w:val="6"/>
  </w:num>
  <w:num w:numId="14">
    <w:abstractNumId w:val="12"/>
  </w:num>
  <w:num w:numId="15">
    <w:abstractNumId w:val="9"/>
  </w:num>
  <w:num w:numId="16">
    <w:abstractNumId w:val="11"/>
  </w:num>
  <w:num w:numId="17">
    <w:abstractNumId w:val="19"/>
  </w:num>
  <w:num w:numId="18">
    <w:abstractNumId w:val="32"/>
  </w:num>
  <w:num w:numId="19">
    <w:abstractNumId w:val="18"/>
  </w:num>
  <w:num w:numId="20">
    <w:abstractNumId w:val="14"/>
  </w:num>
  <w:num w:numId="21">
    <w:abstractNumId w:val="36"/>
  </w:num>
  <w:num w:numId="22">
    <w:abstractNumId w:val="33"/>
  </w:num>
  <w:num w:numId="23">
    <w:abstractNumId w:val="26"/>
  </w:num>
  <w:num w:numId="24">
    <w:abstractNumId w:val="21"/>
  </w:num>
  <w:num w:numId="25">
    <w:abstractNumId w:val="23"/>
  </w:num>
  <w:num w:numId="26">
    <w:abstractNumId w:val="3"/>
  </w:num>
  <w:num w:numId="27">
    <w:abstractNumId w:val="37"/>
  </w:num>
  <w:num w:numId="28">
    <w:abstractNumId w:val="1"/>
  </w:num>
  <w:num w:numId="29">
    <w:abstractNumId w:val="16"/>
  </w:num>
  <w:num w:numId="30">
    <w:abstractNumId w:val="35"/>
  </w:num>
  <w:num w:numId="31">
    <w:abstractNumId w:val="8"/>
  </w:num>
  <w:num w:numId="32">
    <w:abstractNumId w:val="5"/>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2"/>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301F7"/>
    <w:rsid w:val="00034108"/>
    <w:rsid w:val="000415FE"/>
    <w:rsid w:val="00041F6B"/>
    <w:rsid w:val="0004627D"/>
    <w:rsid w:val="00057143"/>
    <w:rsid w:val="00057BFE"/>
    <w:rsid w:val="000622FC"/>
    <w:rsid w:val="00073D9C"/>
    <w:rsid w:val="00074507"/>
    <w:rsid w:val="000805BF"/>
    <w:rsid w:val="000866D1"/>
    <w:rsid w:val="00087C76"/>
    <w:rsid w:val="000977E9"/>
    <w:rsid w:val="000C299C"/>
    <w:rsid w:val="000C7A44"/>
    <w:rsid w:val="000C7C1B"/>
    <w:rsid w:val="000D40A2"/>
    <w:rsid w:val="000D7486"/>
    <w:rsid w:val="000E0AB5"/>
    <w:rsid w:val="000E7DBC"/>
    <w:rsid w:val="000F4966"/>
    <w:rsid w:val="00110E73"/>
    <w:rsid w:val="00135F75"/>
    <w:rsid w:val="0014321F"/>
    <w:rsid w:val="00144041"/>
    <w:rsid w:val="0014701D"/>
    <w:rsid w:val="001546D4"/>
    <w:rsid w:val="00163C57"/>
    <w:rsid w:val="00177F39"/>
    <w:rsid w:val="001861A2"/>
    <w:rsid w:val="0018684B"/>
    <w:rsid w:val="001C7254"/>
    <w:rsid w:val="001C77B0"/>
    <w:rsid w:val="002037F2"/>
    <w:rsid w:val="00206183"/>
    <w:rsid w:val="00236A9E"/>
    <w:rsid w:val="002626D2"/>
    <w:rsid w:val="002738A9"/>
    <w:rsid w:val="002854B7"/>
    <w:rsid w:val="002B20A5"/>
    <w:rsid w:val="002B3797"/>
    <w:rsid w:val="002E0ACC"/>
    <w:rsid w:val="002E4B41"/>
    <w:rsid w:val="002E76B9"/>
    <w:rsid w:val="002F3753"/>
    <w:rsid w:val="002F7B70"/>
    <w:rsid w:val="0030539F"/>
    <w:rsid w:val="003061EA"/>
    <w:rsid w:val="00344642"/>
    <w:rsid w:val="00352A26"/>
    <w:rsid w:val="0035788B"/>
    <w:rsid w:val="0036161E"/>
    <w:rsid w:val="003631A9"/>
    <w:rsid w:val="0037523D"/>
    <w:rsid w:val="00385C54"/>
    <w:rsid w:val="0039544A"/>
    <w:rsid w:val="003A74AC"/>
    <w:rsid w:val="003B0245"/>
    <w:rsid w:val="003B3867"/>
    <w:rsid w:val="003B3DA0"/>
    <w:rsid w:val="003C7040"/>
    <w:rsid w:val="003D22A1"/>
    <w:rsid w:val="003F7AC7"/>
    <w:rsid w:val="00404CC3"/>
    <w:rsid w:val="00406875"/>
    <w:rsid w:val="00412EF3"/>
    <w:rsid w:val="00420CCE"/>
    <w:rsid w:val="00421295"/>
    <w:rsid w:val="0043712B"/>
    <w:rsid w:val="004527E3"/>
    <w:rsid w:val="0046298A"/>
    <w:rsid w:val="004647BE"/>
    <w:rsid w:val="004B6B21"/>
    <w:rsid w:val="004C0E1B"/>
    <w:rsid w:val="004F21C7"/>
    <w:rsid w:val="005131F0"/>
    <w:rsid w:val="00513AEF"/>
    <w:rsid w:val="00515348"/>
    <w:rsid w:val="00522B27"/>
    <w:rsid w:val="00523F00"/>
    <w:rsid w:val="00536FDA"/>
    <w:rsid w:val="00554AC7"/>
    <w:rsid w:val="00556752"/>
    <w:rsid w:val="0056398F"/>
    <w:rsid w:val="00572742"/>
    <w:rsid w:val="00574A15"/>
    <w:rsid w:val="00575DDC"/>
    <w:rsid w:val="00592856"/>
    <w:rsid w:val="005A79A1"/>
    <w:rsid w:val="005C06E6"/>
    <w:rsid w:val="005C3E22"/>
    <w:rsid w:val="005E4A42"/>
    <w:rsid w:val="006203B6"/>
    <w:rsid w:val="00635704"/>
    <w:rsid w:val="00637DD7"/>
    <w:rsid w:val="00666381"/>
    <w:rsid w:val="00674EB9"/>
    <w:rsid w:val="0067671D"/>
    <w:rsid w:val="00685A72"/>
    <w:rsid w:val="006B0838"/>
    <w:rsid w:val="006B4575"/>
    <w:rsid w:val="006C46C1"/>
    <w:rsid w:val="006E0285"/>
    <w:rsid w:val="006F5B21"/>
    <w:rsid w:val="0070548C"/>
    <w:rsid w:val="007076EF"/>
    <w:rsid w:val="00713F39"/>
    <w:rsid w:val="00714B45"/>
    <w:rsid w:val="00726F17"/>
    <w:rsid w:val="00730807"/>
    <w:rsid w:val="007431DA"/>
    <w:rsid w:val="00752F7A"/>
    <w:rsid w:val="00755539"/>
    <w:rsid w:val="007659DB"/>
    <w:rsid w:val="00773475"/>
    <w:rsid w:val="00781997"/>
    <w:rsid w:val="007A2022"/>
    <w:rsid w:val="007B1E4C"/>
    <w:rsid w:val="007D548E"/>
    <w:rsid w:val="00817398"/>
    <w:rsid w:val="008235DC"/>
    <w:rsid w:val="0082767B"/>
    <w:rsid w:val="00833C16"/>
    <w:rsid w:val="0085276D"/>
    <w:rsid w:val="008803B1"/>
    <w:rsid w:val="0088297F"/>
    <w:rsid w:val="00883E12"/>
    <w:rsid w:val="008B34FB"/>
    <w:rsid w:val="008B6957"/>
    <w:rsid w:val="008F43E0"/>
    <w:rsid w:val="008F5545"/>
    <w:rsid w:val="00905822"/>
    <w:rsid w:val="00906876"/>
    <w:rsid w:val="00913ABF"/>
    <w:rsid w:val="00914861"/>
    <w:rsid w:val="0092134C"/>
    <w:rsid w:val="009353E4"/>
    <w:rsid w:val="00936BED"/>
    <w:rsid w:val="009636B3"/>
    <w:rsid w:val="00965FCD"/>
    <w:rsid w:val="00971DB2"/>
    <w:rsid w:val="00983F43"/>
    <w:rsid w:val="00987205"/>
    <w:rsid w:val="0099268B"/>
    <w:rsid w:val="009A2860"/>
    <w:rsid w:val="009B6C5A"/>
    <w:rsid w:val="009C187E"/>
    <w:rsid w:val="00A03C5F"/>
    <w:rsid w:val="00A31264"/>
    <w:rsid w:val="00A34460"/>
    <w:rsid w:val="00A502AB"/>
    <w:rsid w:val="00A66F7E"/>
    <w:rsid w:val="00A72F21"/>
    <w:rsid w:val="00A733FE"/>
    <w:rsid w:val="00A77530"/>
    <w:rsid w:val="00A812D2"/>
    <w:rsid w:val="00AB7EAF"/>
    <w:rsid w:val="00AD0E85"/>
    <w:rsid w:val="00AD499D"/>
    <w:rsid w:val="00AF1D9F"/>
    <w:rsid w:val="00AF2994"/>
    <w:rsid w:val="00AF3357"/>
    <w:rsid w:val="00AF5EB3"/>
    <w:rsid w:val="00B26A11"/>
    <w:rsid w:val="00B3577A"/>
    <w:rsid w:val="00B4426A"/>
    <w:rsid w:val="00B46D62"/>
    <w:rsid w:val="00B470FE"/>
    <w:rsid w:val="00B4795A"/>
    <w:rsid w:val="00B567DD"/>
    <w:rsid w:val="00B76F8A"/>
    <w:rsid w:val="00B77F56"/>
    <w:rsid w:val="00B80AB1"/>
    <w:rsid w:val="00B822A2"/>
    <w:rsid w:val="00B82D81"/>
    <w:rsid w:val="00B83E55"/>
    <w:rsid w:val="00B97C72"/>
    <w:rsid w:val="00BA162F"/>
    <w:rsid w:val="00BA384C"/>
    <w:rsid w:val="00BA6309"/>
    <w:rsid w:val="00BB334B"/>
    <w:rsid w:val="00BD5959"/>
    <w:rsid w:val="00BE52CC"/>
    <w:rsid w:val="00C0038D"/>
    <w:rsid w:val="00C036E3"/>
    <w:rsid w:val="00C077E7"/>
    <w:rsid w:val="00C11D18"/>
    <w:rsid w:val="00C16455"/>
    <w:rsid w:val="00C21751"/>
    <w:rsid w:val="00C86876"/>
    <w:rsid w:val="00C900B9"/>
    <w:rsid w:val="00CA0FF8"/>
    <w:rsid w:val="00CA3118"/>
    <w:rsid w:val="00CB7E4A"/>
    <w:rsid w:val="00CD3B0A"/>
    <w:rsid w:val="00CE766F"/>
    <w:rsid w:val="00CF5F5F"/>
    <w:rsid w:val="00D10C46"/>
    <w:rsid w:val="00D22454"/>
    <w:rsid w:val="00D23C03"/>
    <w:rsid w:val="00D40BD0"/>
    <w:rsid w:val="00D5774C"/>
    <w:rsid w:val="00D57B7D"/>
    <w:rsid w:val="00D66661"/>
    <w:rsid w:val="00D673E0"/>
    <w:rsid w:val="00DB1D63"/>
    <w:rsid w:val="00DB3932"/>
    <w:rsid w:val="00DB4262"/>
    <w:rsid w:val="00DB4471"/>
    <w:rsid w:val="00DB7603"/>
    <w:rsid w:val="00DD18EA"/>
    <w:rsid w:val="00DD5507"/>
    <w:rsid w:val="00DE34C9"/>
    <w:rsid w:val="00DF234A"/>
    <w:rsid w:val="00E13739"/>
    <w:rsid w:val="00E22515"/>
    <w:rsid w:val="00E314B5"/>
    <w:rsid w:val="00E4724F"/>
    <w:rsid w:val="00E51FE7"/>
    <w:rsid w:val="00E77982"/>
    <w:rsid w:val="00EA03BE"/>
    <w:rsid w:val="00EA0E07"/>
    <w:rsid w:val="00EB437A"/>
    <w:rsid w:val="00EB5C48"/>
    <w:rsid w:val="00ED6A38"/>
    <w:rsid w:val="00EF3C4E"/>
    <w:rsid w:val="00EF52D7"/>
    <w:rsid w:val="00F071EC"/>
    <w:rsid w:val="00F27990"/>
    <w:rsid w:val="00F3107B"/>
    <w:rsid w:val="00F31FD4"/>
    <w:rsid w:val="00F40811"/>
    <w:rsid w:val="00F60392"/>
    <w:rsid w:val="00F87D8D"/>
    <w:rsid w:val="00FC2D8C"/>
    <w:rsid w:val="00FD602C"/>
    <w:rsid w:val="00FE24D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Theme="majorHAnsi" w:eastAsiaTheme="majorEastAsia" w:hAnsiTheme="majorHAnsi" w:cstheme="majorBidi"/>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themeColor="followedHyperlink"/>
      <w:u w:val="single"/>
    </w:rPr>
  </w:style>
  <w:style w:type="paragraph" w:styleId="NormalWeb">
    <w:name w:val="Normal (Web)"/>
    <w:basedOn w:val="Normal"/>
    <w:uiPriority w:val="99"/>
    <w:unhideWhenUsed/>
    <w:rsid w:val="00B4795A"/>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Theme="majorHAnsi" w:eastAsiaTheme="majorEastAsia" w:hAnsiTheme="majorHAnsi" w:cstheme="majorBidi"/>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themeColor="followedHyperlink"/>
      <w:u w:val="single"/>
    </w:rPr>
  </w:style>
  <w:style w:type="paragraph" w:styleId="NormalWeb">
    <w:name w:val="Normal (Web)"/>
    <w:basedOn w:val="Normal"/>
    <w:uiPriority w:val="99"/>
    <w:unhideWhenUsed/>
    <w:rsid w:val="00B4795A"/>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875">
      <w:bodyDiv w:val="1"/>
      <w:marLeft w:val="0"/>
      <w:marRight w:val="0"/>
      <w:marTop w:val="0"/>
      <w:marBottom w:val="0"/>
      <w:divBdr>
        <w:top w:val="none" w:sz="0" w:space="0" w:color="auto"/>
        <w:left w:val="none" w:sz="0" w:space="0" w:color="auto"/>
        <w:bottom w:val="none" w:sz="0" w:space="0" w:color="auto"/>
        <w:right w:val="none" w:sz="0" w:space="0" w:color="auto"/>
      </w:divBdr>
    </w:div>
    <w:div w:id="497772066">
      <w:bodyDiv w:val="1"/>
      <w:marLeft w:val="0"/>
      <w:marRight w:val="0"/>
      <w:marTop w:val="0"/>
      <w:marBottom w:val="0"/>
      <w:divBdr>
        <w:top w:val="none" w:sz="0" w:space="0" w:color="auto"/>
        <w:left w:val="none" w:sz="0" w:space="0" w:color="auto"/>
        <w:bottom w:val="none" w:sz="0" w:space="0" w:color="auto"/>
        <w:right w:val="none" w:sz="0" w:space="0" w:color="auto"/>
      </w:divBdr>
      <w:divsChild>
        <w:div w:id="1493721199">
          <w:marLeft w:val="0"/>
          <w:marRight w:val="0"/>
          <w:marTop w:val="0"/>
          <w:marBottom w:val="0"/>
          <w:divBdr>
            <w:top w:val="none" w:sz="0" w:space="0" w:color="auto"/>
            <w:left w:val="none" w:sz="0" w:space="0" w:color="auto"/>
            <w:bottom w:val="none" w:sz="0" w:space="0" w:color="auto"/>
            <w:right w:val="none" w:sz="0" w:space="0" w:color="auto"/>
          </w:divBdr>
          <w:divsChild>
            <w:div w:id="4707117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215238666">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536775928">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byoung@utc.w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ules-regulations/administration/fmcsr/fmcsrruletext.aspx?contentid=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778C0B0391BF4DB35F72F58312F831" ma:contentTypeVersion="135" ma:contentTypeDescription="" ma:contentTypeScope="" ma:versionID="9f0518c0182be4c42cddc04c0c9fe0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2013-04-01T07:00:00+00:00</OpenedDate>
    <Date1 xmlns="dc463f71-b30c-4ab2-9473-d307f9d35888">2013-04-18T07:00:00+00:00</Date1>
    <IsDocumentOrder xmlns="dc463f71-b30c-4ab2-9473-d307f9d35888" xsi:nil="true"/>
    <IsHighlyConfidential xmlns="dc463f71-b30c-4ab2-9473-d307f9d35888">false</IsHighlyConfidential>
    <CaseCompanyNames xmlns="dc463f71-b30c-4ab2-9473-d307f9d35888">Onstar Limousine LLC</CaseCompanyNames>
    <DocketNumber xmlns="dc463f71-b30c-4ab2-9473-d307f9d35888">130475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612748-D1AA-45CA-8F17-038176699CD9}"/>
</file>

<file path=customXml/itemProps2.xml><?xml version="1.0" encoding="utf-8"?>
<ds:datastoreItem xmlns:ds="http://schemas.openxmlformats.org/officeDocument/2006/customXml" ds:itemID="{AEDD943E-4497-42E5-8658-B9D21A72CA0A}"/>
</file>

<file path=customXml/itemProps3.xml><?xml version="1.0" encoding="utf-8"?>
<ds:datastoreItem xmlns:ds="http://schemas.openxmlformats.org/officeDocument/2006/customXml" ds:itemID="{F2F1E776-8721-44B7-9D12-BD16461F8612}"/>
</file>

<file path=customXml/itemProps4.xml><?xml version="1.0" encoding="utf-8"?>
<ds:datastoreItem xmlns:ds="http://schemas.openxmlformats.org/officeDocument/2006/customXml" ds:itemID="{52F05AD7-6217-494A-BA9E-6BEC00E32FD2}"/>
</file>

<file path=customXml/itemProps5.xml><?xml version="1.0" encoding="utf-8"?>
<ds:datastoreItem xmlns:ds="http://schemas.openxmlformats.org/officeDocument/2006/customXml" ds:itemID="{00D25571-01A4-47E0-B1AE-07B4E0BD7C9B}"/>
</file>

<file path=docProps/app.xml><?xml version="1.0" encoding="utf-8"?>
<Properties xmlns="http://schemas.openxmlformats.org/officeDocument/2006/extended-properties" xmlns:vt="http://schemas.openxmlformats.org/officeDocument/2006/docPropsVTypes">
  <Template>Normal</Template>
  <TotalTime>143</TotalTime>
  <Pages>2</Pages>
  <Words>515</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Young, Betty (UTC)</cp:lastModifiedBy>
  <cp:revision>5</cp:revision>
  <cp:lastPrinted>2013-04-18T17:21:00Z</cp:lastPrinted>
  <dcterms:created xsi:type="dcterms:W3CDTF">2013-04-17T20:28:00Z</dcterms:created>
  <dcterms:modified xsi:type="dcterms:W3CDTF">2013-04-18T17:33:00Z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0x0101006E56B4D1795A2E4DB2F0B01679ED314A009F778C0B0391BF4DB35F72F58312F831</vt:lpwstr>
  </property>
  <property fmtid="{D5CDD505-2E9C-101B-9397-08002B2CF9AE}" pid="3" name="_docset_NoMedatataSyncRequired">
    <vt:lpwstr>False</vt:lpwstr>
  </property>
</Properties>
</file>