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DC" w:rsidRPr="004A5AFB" w:rsidRDefault="00962CDC" w:rsidP="00962CDC">
      <w:pPr>
        <w:jc w:val="center"/>
      </w:pPr>
      <w:r w:rsidRPr="004A5AFB">
        <w:rPr>
          <w:noProof/>
        </w:rPr>
        <w:drawing>
          <wp:inline distT="0" distB="0" distL="0" distR="0" wp14:anchorId="73DE8C0F" wp14:editId="3BB00A92">
            <wp:extent cx="669925" cy="690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925" cy="690880"/>
                    </a:xfrm>
                    <a:prstGeom prst="rect">
                      <a:avLst/>
                    </a:prstGeom>
                    <a:noFill/>
                    <a:ln>
                      <a:noFill/>
                    </a:ln>
                  </pic:spPr>
                </pic:pic>
              </a:graphicData>
            </a:graphic>
          </wp:inline>
        </w:drawing>
      </w:r>
    </w:p>
    <w:p w:rsidR="00375A24" w:rsidRDefault="00375A24" w:rsidP="00375A24">
      <w:pPr>
        <w:jc w:val="center"/>
        <w:rPr>
          <w:color w:val="008000"/>
        </w:rPr>
      </w:pPr>
      <w:r>
        <w:rPr>
          <w:rFonts w:ascii="Arial" w:hAnsi="Arial"/>
          <w:b/>
          <w:color w:val="008000"/>
        </w:rPr>
        <w:t>STATE OF WASHINGTON</w:t>
      </w:r>
    </w:p>
    <w:p w:rsidR="00375A24" w:rsidRDefault="00375A24" w:rsidP="00375A24">
      <w:pPr>
        <w:jc w:val="center"/>
        <w:rPr>
          <w:i/>
          <w:color w:val="008000"/>
        </w:rPr>
      </w:pPr>
      <w:r>
        <w:rPr>
          <w:rFonts w:ascii="Arial" w:hAnsi="Arial"/>
          <w:color w:val="008000"/>
        </w:rPr>
        <w:t>WASHINGTON UTILITIES AND TRANSPORTATION COMMISSION</w:t>
      </w:r>
    </w:p>
    <w:p w:rsidR="00375A24" w:rsidRDefault="00375A24" w:rsidP="00375A24">
      <w:pPr>
        <w:jc w:val="center"/>
        <w:rPr>
          <w:rFonts w:ascii="Arial" w:hAnsi="Arial"/>
          <w:b/>
          <w:i/>
          <w:color w:val="008000"/>
        </w:rPr>
      </w:pPr>
      <w:r>
        <w:rPr>
          <w:rFonts w:ascii="Arial" w:hAnsi="Arial"/>
          <w:b/>
          <w:i/>
          <w:color w:val="008000"/>
        </w:rPr>
        <w:t xml:space="preserve">1300 S. Evergreen Park Dr. S.W., P.O. Box 47250 </w:t>
      </w:r>
      <w:r>
        <w:rPr>
          <w:rFonts w:ascii="Arial" w:hAnsi="Arial" w:cs="Arial"/>
          <w:b/>
          <w:i/>
          <w:color w:val="008000"/>
        </w:rPr>
        <w:t>●</w:t>
      </w:r>
      <w:r>
        <w:rPr>
          <w:rFonts w:ascii="Arial" w:hAnsi="Arial"/>
          <w:b/>
          <w:i/>
          <w:color w:val="008000"/>
        </w:rPr>
        <w:t xml:space="preserve"> Olympia, Washington 98504-7250</w:t>
      </w:r>
    </w:p>
    <w:p w:rsidR="00375A24" w:rsidRDefault="00375A24" w:rsidP="00375A24">
      <w:pPr>
        <w:jc w:val="center"/>
        <w:rPr>
          <w:rFonts w:ascii="Arial" w:hAnsi="Arial"/>
          <w:b/>
          <w:i/>
          <w:color w:val="008000"/>
        </w:rPr>
      </w:pPr>
      <w:r>
        <w:rPr>
          <w:rFonts w:ascii="Arial" w:hAnsi="Arial"/>
          <w:b/>
          <w:i/>
          <w:color w:val="008000"/>
        </w:rPr>
        <w:t xml:space="preserve">(360) 664-1160 </w:t>
      </w:r>
      <w:r>
        <w:rPr>
          <w:rFonts w:ascii="Arial" w:hAnsi="Arial" w:cs="Arial"/>
          <w:b/>
          <w:i/>
          <w:color w:val="008000"/>
        </w:rPr>
        <w:t>● TTY (360) 586-8203</w:t>
      </w:r>
    </w:p>
    <w:p w:rsidR="00C64CE0" w:rsidRPr="004A5AFB" w:rsidRDefault="00C64CE0" w:rsidP="00317D57">
      <w:pPr>
        <w:rPr>
          <w:sz w:val="24"/>
        </w:rPr>
      </w:pPr>
    </w:p>
    <w:p w:rsidR="00243555" w:rsidRPr="004A5AFB" w:rsidRDefault="00243555" w:rsidP="00317D57">
      <w:pPr>
        <w:rPr>
          <w:noProof/>
          <w:sz w:val="24"/>
        </w:rPr>
      </w:pPr>
    </w:p>
    <w:p w:rsidR="00243555" w:rsidRPr="004A5AFB" w:rsidRDefault="00243555" w:rsidP="00317D57">
      <w:pPr>
        <w:rPr>
          <w:noProof/>
          <w:sz w:val="24"/>
        </w:rPr>
      </w:pPr>
    </w:p>
    <w:p w:rsidR="00962CDC" w:rsidRPr="000E32EC" w:rsidRDefault="00962CDC" w:rsidP="00317D57">
      <w:pPr>
        <w:rPr>
          <w:noProof/>
          <w:color w:val="FF0000"/>
          <w:sz w:val="24"/>
        </w:rPr>
      </w:pPr>
    </w:p>
    <w:p w:rsidR="003C480E" w:rsidRPr="002D60F2" w:rsidRDefault="008754C8" w:rsidP="00317D57">
      <w:pPr>
        <w:rPr>
          <w:sz w:val="24"/>
        </w:rPr>
      </w:pPr>
      <w:r w:rsidRPr="002D60F2">
        <w:rPr>
          <w:noProof/>
          <w:sz w:val="24"/>
        </w:rPr>
        <w:t>March</w:t>
      </w:r>
      <w:r w:rsidR="004331A1">
        <w:rPr>
          <w:noProof/>
          <w:sz w:val="24"/>
        </w:rPr>
        <w:t xml:space="preserve"> 20</w:t>
      </w:r>
      <w:r w:rsidR="00B75DAC" w:rsidRPr="002D60F2">
        <w:rPr>
          <w:noProof/>
          <w:sz w:val="24"/>
        </w:rPr>
        <w:t>, 201</w:t>
      </w:r>
      <w:r w:rsidRPr="002D60F2">
        <w:rPr>
          <w:noProof/>
          <w:sz w:val="24"/>
        </w:rPr>
        <w:t>3</w:t>
      </w:r>
    </w:p>
    <w:p w:rsidR="00E1140B" w:rsidRPr="002D60F2" w:rsidRDefault="00E1140B" w:rsidP="00317D57">
      <w:pPr>
        <w:rPr>
          <w:sz w:val="24"/>
        </w:rPr>
      </w:pPr>
    </w:p>
    <w:p w:rsidR="00087C76" w:rsidRPr="002D60F2" w:rsidRDefault="00087C76" w:rsidP="00317D57">
      <w:pPr>
        <w:rPr>
          <w:sz w:val="24"/>
        </w:rPr>
      </w:pPr>
    </w:p>
    <w:p w:rsidR="00F56450" w:rsidRPr="00D9482C" w:rsidRDefault="00F56450" w:rsidP="00F56450">
      <w:pPr>
        <w:widowControl/>
        <w:rPr>
          <w:sz w:val="24"/>
        </w:rPr>
      </w:pPr>
      <w:r w:rsidRPr="00D9482C">
        <w:rPr>
          <w:sz w:val="24"/>
        </w:rPr>
        <w:t>Steven V. King, Acting Executive Director and Secretary</w:t>
      </w:r>
    </w:p>
    <w:p w:rsidR="002F3753" w:rsidRPr="002D60F2" w:rsidRDefault="002F3753" w:rsidP="00317D57">
      <w:pPr>
        <w:widowControl/>
        <w:rPr>
          <w:sz w:val="24"/>
        </w:rPr>
      </w:pPr>
      <w:bookmarkStart w:id="0" w:name="_GoBack"/>
      <w:bookmarkEnd w:id="0"/>
      <w:r w:rsidRPr="002D60F2">
        <w:rPr>
          <w:sz w:val="24"/>
        </w:rPr>
        <w:t xml:space="preserve">Washington Utilities and Transportation </w:t>
      </w:r>
      <w:r w:rsidR="00676A8A" w:rsidRPr="002D60F2">
        <w:rPr>
          <w:sz w:val="24"/>
        </w:rPr>
        <w:t>Commission</w:t>
      </w:r>
    </w:p>
    <w:p w:rsidR="002F3753" w:rsidRPr="002D60F2" w:rsidRDefault="002F3753" w:rsidP="00317D57">
      <w:pPr>
        <w:widowControl/>
        <w:rPr>
          <w:sz w:val="24"/>
        </w:rPr>
      </w:pPr>
      <w:r w:rsidRPr="002D60F2">
        <w:rPr>
          <w:sz w:val="24"/>
        </w:rPr>
        <w:t>1300 S. Evergreen Park Dr. SW</w:t>
      </w:r>
    </w:p>
    <w:p w:rsidR="002F3753" w:rsidRPr="002D60F2" w:rsidRDefault="002F3753" w:rsidP="00317D57">
      <w:pPr>
        <w:widowControl/>
        <w:rPr>
          <w:sz w:val="24"/>
        </w:rPr>
      </w:pPr>
      <w:r w:rsidRPr="002D60F2">
        <w:rPr>
          <w:sz w:val="24"/>
        </w:rPr>
        <w:t xml:space="preserve">P. O. Box 47250 </w:t>
      </w:r>
    </w:p>
    <w:p w:rsidR="002F3753" w:rsidRPr="002D60F2" w:rsidRDefault="002F3753" w:rsidP="00317D57">
      <w:pPr>
        <w:widowControl/>
        <w:rPr>
          <w:sz w:val="24"/>
        </w:rPr>
      </w:pPr>
      <w:r w:rsidRPr="002D60F2">
        <w:rPr>
          <w:sz w:val="24"/>
        </w:rPr>
        <w:t>Olympia, Washington  98504-7250</w:t>
      </w:r>
    </w:p>
    <w:p w:rsidR="0067671D" w:rsidRPr="002D60F2" w:rsidRDefault="0067671D" w:rsidP="00317D57">
      <w:pPr>
        <w:rPr>
          <w:sz w:val="24"/>
        </w:rPr>
      </w:pPr>
    </w:p>
    <w:p w:rsidR="009F4302" w:rsidRPr="002D60F2" w:rsidRDefault="00DD5507" w:rsidP="009F4302">
      <w:pPr>
        <w:ind w:left="720" w:hanging="720"/>
        <w:rPr>
          <w:sz w:val="24"/>
        </w:rPr>
      </w:pPr>
      <w:r w:rsidRPr="002D60F2">
        <w:rPr>
          <w:sz w:val="24"/>
        </w:rPr>
        <w:t xml:space="preserve">RE: </w:t>
      </w:r>
      <w:r w:rsidR="0037523D" w:rsidRPr="002D60F2">
        <w:rPr>
          <w:sz w:val="24"/>
        </w:rPr>
        <w:tab/>
      </w:r>
      <w:r w:rsidR="0037523D" w:rsidRPr="002D60F2">
        <w:rPr>
          <w:i/>
          <w:sz w:val="24"/>
        </w:rPr>
        <w:t xml:space="preserve">Washington Utilities and Transportation </w:t>
      </w:r>
      <w:r w:rsidR="00676A8A" w:rsidRPr="002D60F2">
        <w:rPr>
          <w:i/>
          <w:sz w:val="24"/>
        </w:rPr>
        <w:t>Commission</w:t>
      </w:r>
      <w:r w:rsidR="0037523D" w:rsidRPr="002D60F2">
        <w:rPr>
          <w:i/>
          <w:sz w:val="24"/>
        </w:rPr>
        <w:t xml:space="preserve"> v.</w:t>
      </w:r>
      <w:r w:rsidR="002F3753" w:rsidRPr="002D60F2">
        <w:rPr>
          <w:i/>
          <w:sz w:val="24"/>
        </w:rPr>
        <w:t xml:space="preserve"> </w:t>
      </w:r>
      <w:r w:rsidR="00146D5F" w:rsidRPr="002D60F2">
        <w:rPr>
          <w:i/>
          <w:sz w:val="24"/>
        </w:rPr>
        <w:t>John Chi International Corp.</w:t>
      </w:r>
    </w:p>
    <w:p w:rsidR="009F4302" w:rsidRPr="002D60F2" w:rsidRDefault="00676A8A" w:rsidP="00317D57">
      <w:pPr>
        <w:ind w:left="720"/>
        <w:rPr>
          <w:sz w:val="24"/>
        </w:rPr>
      </w:pPr>
      <w:r w:rsidRPr="002D60F2">
        <w:rPr>
          <w:sz w:val="24"/>
        </w:rPr>
        <w:t>Commission</w:t>
      </w:r>
      <w:r w:rsidR="002F3753" w:rsidRPr="002D60F2">
        <w:rPr>
          <w:sz w:val="24"/>
        </w:rPr>
        <w:t xml:space="preserve"> </w:t>
      </w:r>
      <w:r w:rsidRPr="002D60F2">
        <w:rPr>
          <w:sz w:val="24"/>
        </w:rPr>
        <w:t>Staff’</w:t>
      </w:r>
      <w:r w:rsidR="002F3753" w:rsidRPr="002D60F2">
        <w:rPr>
          <w:sz w:val="24"/>
        </w:rPr>
        <w:t>s Response to Application for Mitigation of Penalties</w:t>
      </w:r>
      <w:r w:rsidR="009F4302" w:rsidRPr="002D60F2">
        <w:rPr>
          <w:sz w:val="24"/>
        </w:rPr>
        <w:t xml:space="preserve"> </w:t>
      </w:r>
    </w:p>
    <w:p w:rsidR="0037523D" w:rsidRPr="002D60F2" w:rsidRDefault="0037523D" w:rsidP="00317D57">
      <w:pPr>
        <w:ind w:left="720"/>
        <w:rPr>
          <w:sz w:val="24"/>
        </w:rPr>
      </w:pPr>
      <w:r w:rsidRPr="002D60F2">
        <w:rPr>
          <w:sz w:val="24"/>
        </w:rPr>
        <w:t xml:space="preserve">Docket </w:t>
      </w:r>
      <w:r w:rsidR="008754C8" w:rsidRPr="002D60F2">
        <w:rPr>
          <w:sz w:val="24"/>
        </w:rPr>
        <w:t>TE</w:t>
      </w:r>
      <w:r w:rsidR="006C6F81" w:rsidRPr="002D60F2">
        <w:rPr>
          <w:sz w:val="24"/>
        </w:rPr>
        <w:t>-</w:t>
      </w:r>
      <w:r w:rsidR="00146D5F" w:rsidRPr="002D60F2">
        <w:rPr>
          <w:sz w:val="24"/>
        </w:rPr>
        <w:t>130204</w:t>
      </w:r>
    </w:p>
    <w:p w:rsidR="00DD5507" w:rsidRPr="002D60F2" w:rsidRDefault="00DD5507" w:rsidP="00317D57">
      <w:pPr>
        <w:rPr>
          <w:sz w:val="24"/>
        </w:rPr>
      </w:pPr>
    </w:p>
    <w:p w:rsidR="00087C76" w:rsidRPr="002D60F2" w:rsidRDefault="00087C76" w:rsidP="00317D57">
      <w:pPr>
        <w:rPr>
          <w:sz w:val="24"/>
        </w:rPr>
      </w:pPr>
      <w:r w:rsidRPr="002D60F2">
        <w:rPr>
          <w:sz w:val="24"/>
        </w:rPr>
        <w:t>Dea</w:t>
      </w:r>
      <w:r w:rsidR="00674EB9" w:rsidRPr="002D60F2">
        <w:rPr>
          <w:sz w:val="24"/>
        </w:rPr>
        <w:t>r</w:t>
      </w:r>
      <w:r w:rsidR="008479E6" w:rsidRPr="002D60F2">
        <w:rPr>
          <w:sz w:val="24"/>
        </w:rPr>
        <w:t xml:space="preserve"> Mr. King</w:t>
      </w:r>
      <w:r w:rsidR="001546D4" w:rsidRPr="002D60F2">
        <w:rPr>
          <w:sz w:val="24"/>
        </w:rPr>
        <w:t>:</w:t>
      </w:r>
    </w:p>
    <w:p w:rsidR="00F70B58" w:rsidRPr="002D60F2" w:rsidRDefault="00F70B58" w:rsidP="00317D57">
      <w:pPr>
        <w:rPr>
          <w:sz w:val="24"/>
        </w:rPr>
      </w:pPr>
    </w:p>
    <w:p w:rsidR="00EA7AA2" w:rsidRPr="002D60F2" w:rsidRDefault="00146D5F" w:rsidP="00317D57">
      <w:pPr>
        <w:rPr>
          <w:sz w:val="24"/>
        </w:rPr>
      </w:pPr>
      <w:r w:rsidRPr="002D60F2">
        <w:rPr>
          <w:sz w:val="24"/>
        </w:rPr>
        <w:t>On March 5</w:t>
      </w:r>
      <w:r w:rsidR="00F70B58" w:rsidRPr="002D60F2">
        <w:rPr>
          <w:sz w:val="24"/>
        </w:rPr>
        <w:t>, 2013, the Washington Utilities and Transportation Commission issued a</w:t>
      </w:r>
      <w:r w:rsidR="00FE1F1D" w:rsidRPr="002D60F2">
        <w:rPr>
          <w:sz w:val="24"/>
        </w:rPr>
        <w:t xml:space="preserve"> $</w:t>
      </w:r>
      <w:r w:rsidRPr="002D60F2">
        <w:rPr>
          <w:sz w:val="24"/>
        </w:rPr>
        <w:t>6</w:t>
      </w:r>
      <w:r w:rsidR="00FE1F1D" w:rsidRPr="002D60F2">
        <w:rPr>
          <w:sz w:val="24"/>
        </w:rPr>
        <w:t>00</w:t>
      </w:r>
      <w:r w:rsidR="00F70B58" w:rsidRPr="002D60F2">
        <w:rPr>
          <w:sz w:val="24"/>
        </w:rPr>
        <w:t xml:space="preserve"> Penalty Assessment in Docket TE-13</w:t>
      </w:r>
      <w:r w:rsidRPr="002D60F2">
        <w:rPr>
          <w:sz w:val="24"/>
        </w:rPr>
        <w:t>0204</w:t>
      </w:r>
      <w:r w:rsidR="00F70B58" w:rsidRPr="002D60F2">
        <w:rPr>
          <w:sz w:val="24"/>
        </w:rPr>
        <w:t xml:space="preserve"> against </w:t>
      </w:r>
      <w:r w:rsidRPr="002D60F2">
        <w:rPr>
          <w:sz w:val="24"/>
        </w:rPr>
        <w:t xml:space="preserve">John Chi International Corp. </w:t>
      </w:r>
      <w:r w:rsidR="00F70B58" w:rsidRPr="002D60F2">
        <w:rPr>
          <w:sz w:val="24"/>
        </w:rPr>
        <w:t>(</w:t>
      </w:r>
      <w:r w:rsidR="004C08A4" w:rsidRPr="002D60F2">
        <w:rPr>
          <w:sz w:val="24"/>
        </w:rPr>
        <w:t>John Chi</w:t>
      </w:r>
      <w:r w:rsidR="00FE1F1D" w:rsidRPr="002D60F2">
        <w:rPr>
          <w:sz w:val="24"/>
        </w:rPr>
        <w:t xml:space="preserve">) for </w:t>
      </w:r>
      <w:r w:rsidRPr="002D60F2">
        <w:rPr>
          <w:sz w:val="24"/>
        </w:rPr>
        <w:t>six</w:t>
      </w:r>
      <w:r w:rsidR="00F70B58" w:rsidRPr="002D60F2">
        <w:rPr>
          <w:sz w:val="24"/>
        </w:rPr>
        <w:t xml:space="preserve"> violation</w:t>
      </w:r>
      <w:r w:rsidR="00B90AC9">
        <w:rPr>
          <w:sz w:val="24"/>
        </w:rPr>
        <w:t>s</w:t>
      </w:r>
      <w:r w:rsidR="00F70B58" w:rsidRPr="002D60F2">
        <w:rPr>
          <w:sz w:val="24"/>
        </w:rPr>
        <w:t xml:space="preserve"> of WAC 480-30-071, which requires</w:t>
      </w:r>
      <w:r w:rsidR="00401874" w:rsidRPr="002D60F2">
        <w:rPr>
          <w:sz w:val="24"/>
        </w:rPr>
        <w:t xml:space="preserve"> Charter and Excursion companies to file annual safety reports with the Commission by December 31 each year;</w:t>
      </w:r>
      <w:r w:rsidR="00F70B58" w:rsidRPr="002D60F2">
        <w:rPr>
          <w:sz w:val="24"/>
        </w:rPr>
        <w:t xml:space="preserve"> and WAC 480-30-076, which requires </w:t>
      </w:r>
      <w:r w:rsidR="00401874" w:rsidRPr="002D60F2">
        <w:rPr>
          <w:sz w:val="24"/>
        </w:rPr>
        <w:t>such companies to pay regulatory fees annually on that date.</w:t>
      </w:r>
      <w:r w:rsidR="009B6AD8" w:rsidRPr="002D60F2">
        <w:rPr>
          <w:rStyle w:val="FootnoteReference"/>
          <w:sz w:val="24"/>
          <w:vertAlign w:val="superscript"/>
        </w:rPr>
        <w:t xml:space="preserve"> </w:t>
      </w:r>
      <w:r w:rsidR="009B6AD8" w:rsidRPr="002D60F2">
        <w:rPr>
          <w:rStyle w:val="FootnoteReference"/>
          <w:sz w:val="24"/>
          <w:vertAlign w:val="superscript"/>
        </w:rPr>
        <w:footnoteReference w:id="1"/>
      </w:r>
    </w:p>
    <w:p w:rsidR="004C08A4" w:rsidRPr="002D60F2" w:rsidRDefault="004C08A4" w:rsidP="00317D57">
      <w:pPr>
        <w:rPr>
          <w:sz w:val="24"/>
        </w:rPr>
      </w:pPr>
    </w:p>
    <w:p w:rsidR="00E2005E" w:rsidRPr="002D60F2" w:rsidRDefault="0003340E" w:rsidP="00317D57">
      <w:pPr>
        <w:rPr>
          <w:sz w:val="24"/>
        </w:rPr>
      </w:pPr>
      <w:r>
        <w:rPr>
          <w:sz w:val="24"/>
        </w:rPr>
        <w:t>On March 12</w:t>
      </w:r>
      <w:r w:rsidR="004C08A4" w:rsidRPr="002D60F2">
        <w:rPr>
          <w:sz w:val="24"/>
        </w:rPr>
        <w:t>, 2013, John Chi responded to the commission, requesting mit</w:t>
      </w:r>
      <w:r w:rsidR="004A35B7">
        <w:rPr>
          <w:sz w:val="24"/>
        </w:rPr>
        <w:t>igation of the penalty. In its m</w:t>
      </w:r>
      <w:r w:rsidR="004C08A4" w:rsidRPr="002D60F2">
        <w:rPr>
          <w:sz w:val="24"/>
        </w:rPr>
        <w:t xml:space="preserve">itigation </w:t>
      </w:r>
      <w:r w:rsidR="004A35B7">
        <w:rPr>
          <w:sz w:val="24"/>
        </w:rPr>
        <w:t>r</w:t>
      </w:r>
      <w:r w:rsidR="004C08A4" w:rsidRPr="002D60F2">
        <w:rPr>
          <w:sz w:val="24"/>
        </w:rPr>
        <w:t>equest, John Chi does not dispute that the violations occurred</w:t>
      </w:r>
      <w:r w:rsidR="00E2005E" w:rsidRPr="002D60F2">
        <w:rPr>
          <w:sz w:val="24"/>
        </w:rPr>
        <w:t>. The company indicates that it is operated by only Mr. Chi and that he was in Asia for a business fair and some personal matters during the time the report was required to be filed. Mr. Chi states that he had no intentio</w:t>
      </w:r>
      <w:r w:rsidR="000F392C" w:rsidRPr="002D60F2">
        <w:rPr>
          <w:sz w:val="24"/>
        </w:rPr>
        <w:t>n of breaking the rules</w:t>
      </w:r>
      <w:r w:rsidR="00E2005E" w:rsidRPr="002D60F2">
        <w:rPr>
          <w:sz w:val="24"/>
        </w:rPr>
        <w:t>. Mr. Chi also states that the annual report process is new to him.</w:t>
      </w:r>
      <w:r w:rsidR="0057506C">
        <w:rPr>
          <w:sz w:val="24"/>
        </w:rPr>
        <w:t xml:space="preserve"> He requests </w:t>
      </w:r>
      <w:r w:rsidR="00216E4D">
        <w:rPr>
          <w:sz w:val="24"/>
        </w:rPr>
        <w:t>re</w:t>
      </w:r>
      <w:r w:rsidR="0057506C">
        <w:rPr>
          <w:sz w:val="24"/>
        </w:rPr>
        <w:t>consideration of the penalty.</w:t>
      </w:r>
      <w:r w:rsidR="000C6A15" w:rsidRPr="002D60F2">
        <w:rPr>
          <w:rStyle w:val="FootnoteReference"/>
          <w:sz w:val="24"/>
          <w:vertAlign w:val="superscript"/>
        </w:rPr>
        <w:footnoteReference w:id="2"/>
      </w:r>
    </w:p>
    <w:p w:rsidR="00E2005E" w:rsidRPr="002D60F2" w:rsidRDefault="00E2005E" w:rsidP="00317D57">
      <w:pPr>
        <w:rPr>
          <w:sz w:val="24"/>
        </w:rPr>
      </w:pPr>
    </w:p>
    <w:p w:rsidR="00D3458E" w:rsidRPr="002D60F2" w:rsidRDefault="007B2196" w:rsidP="00D3458E">
      <w:pPr>
        <w:rPr>
          <w:sz w:val="24"/>
        </w:rPr>
      </w:pPr>
      <w:sdt>
        <w:sdtPr>
          <w:rPr>
            <w:sz w:val="24"/>
          </w:rPr>
          <w:id w:val="-341933889"/>
          <w:placeholder>
            <w:docPart w:val="DefaultPlaceholder_1082065158"/>
          </w:placeholder>
        </w:sdtPr>
        <w:sdtEndPr/>
        <w:sdtContent>
          <w:r w:rsidR="00306D0F" w:rsidRPr="002D60F2">
            <w:rPr>
              <w:sz w:val="24"/>
            </w:rPr>
            <w:t>It is the company</w:t>
          </w:r>
          <w:r w:rsidR="00676A8A" w:rsidRPr="002D60F2">
            <w:rPr>
              <w:sz w:val="24"/>
            </w:rPr>
            <w:t>’</w:t>
          </w:r>
          <w:r w:rsidR="00F52B2B" w:rsidRPr="002D60F2">
            <w:rPr>
              <w:sz w:val="24"/>
            </w:rPr>
            <w:t>s responsibility to ensure that the</w:t>
          </w:r>
          <w:r w:rsidR="00407E1B" w:rsidRPr="002D60F2">
            <w:rPr>
              <w:sz w:val="24"/>
            </w:rPr>
            <w:t xml:space="preserve"> regulatory fee</w:t>
          </w:r>
          <w:r w:rsidR="00014C7C" w:rsidRPr="002D60F2">
            <w:rPr>
              <w:sz w:val="24"/>
            </w:rPr>
            <w:t xml:space="preserve"> is paid</w:t>
          </w:r>
          <w:r w:rsidR="00407E1B" w:rsidRPr="002D60F2">
            <w:rPr>
              <w:sz w:val="24"/>
            </w:rPr>
            <w:t xml:space="preserve"> and</w:t>
          </w:r>
          <w:r w:rsidR="00F52B2B" w:rsidRPr="002D60F2">
            <w:rPr>
              <w:sz w:val="24"/>
            </w:rPr>
            <w:t xml:space="preserve"> the</w:t>
          </w:r>
          <w:r w:rsidR="00407E1B" w:rsidRPr="002D60F2">
            <w:rPr>
              <w:sz w:val="24"/>
            </w:rPr>
            <w:t xml:space="preserve"> annual report </w:t>
          </w:r>
          <w:r w:rsidR="00014C7C" w:rsidRPr="002D60F2">
            <w:rPr>
              <w:sz w:val="24"/>
            </w:rPr>
            <w:t>is</w:t>
          </w:r>
          <w:r w:rsidR="00D3458E" w:rsidRPr="002D60F2">
            <w:rPr>
              <w:sz w:val="24"/>
            </w:rPr>
            <w:t xml:space="preserve"> filed by the December 31</w:t>
          </w:r>
          <w:r w:rsidR="00407E1B" w:rsidRPr="002D60F2">
            <w:rPr>
              <w:sz w:val="24"/>
            </w:rPr>
            <w:t xml:space="preserve"> deadline</w:t>
          </w:r>
          <w:r w:rsidR="00306D0F" w:rsidRPr="002D60F2">
            <w:rPr>
              <w:sz w:val="24"/>
            </w:rPr>
            <w:t>.</w:t>
          </w:r>
        </w:sdtContent>
      </w:sdt>
      <w:r w:rsidR="00F52B2B" w:rsidRPr="002D60F2">
        <w:rPr>
          <w:sz w:val="24"/>
        </w:rPr>
        <w:t xml:space="preserve"> </w:t>
      </w:r>
      <w:bookmarkStart w:id="1" w:name="OLE_LINK1"/>
      <w:bookmarkStart w:id="2" w:name="OLE_LINK2"/>
      <w:r w:rsidR="00D3458E" w:rsidRPr="002D60F2">
        <w:rPr>
          <w:sz w:val="24"/>
        </w:rPr>
        <w:t xml:space="preserve">On November 15, 2012, the </w:t>
      </w:r>
      <w:r w:rsidR="009F4BD1" w:rsidRPr="002D60F2">
        <w:rPr>
          <w:sz w:val="24"/>
        </w:rPr>
        <w:t>c</w:t>
      </w:r>
      <w:r w:rsidR="00D3458E" w:rsidRPr="002D60F2">
        <w:rPr>
          <w:sz w:val="24"/>
        </w:rPr>
        <w:t>ommission mailed 2012 Annua</w:t>
      </w:r>
      <w:r w:rsidR="00BB7287">
        <w:rPr>
          <w:sz w:val="24"/>
        </w:rPr>
        <w:t>l Safety Report forms and 2013 r</w:t>
      </w:r>
      <w:r w:rsidR="00D3458E" w:rsidRPr="002D60F2">
        <w:rPr>
          <w:sz w:val="24"/>
        </w:rPr>
        <w:t>egulatory Fee packets to Charter and Excursion companies registered in Washin</w:t>
      </w:r>
      <w:r w:rsidR="009F4BD1" w:rsidRPr="002D60F2">
        <w:rPr>
          <w:sz w:val="24"/>
        </w:rPr>
        <w:t xml:space="preserve">gton </w:t>
      </w:r>
      <w:proofErr w:type="gramStart"/>
      <w:r w:rsidR="009F4BD1" w:rsidRPr="002D60F2">
        <w:rPr>
          <w:sz w:val="24"/>
        </w:rPr>
        <w:t>state</w:t>
      </w:r>
      <w:proofErr w:type="gramEnd"/>
      <w:r w:rsidR="009F4BD1" w:rsidRPr="002D60F2">
        <w:rPr>
          <w:sz w:val="24"/>
        </w:rPr>
        <w:t>.  A letter from the c</w:t>
      </w:r>
      <w:r w:rsidR="00D3458E" w:rsidRPr="002D60F2">
        <w:rPr>
          <w:sz w:val="24"/>
        </w:rPr>
        <w:t xml:space="preserve">ommission’s Assistant Director for Transportation Safety, David Pratt, instructed these companies to file annual reports and pay regulatory fees by December 31, 2012. The letter stated failure to file the annual report by December 31 would result in a penalty and possible cancellation of the company’s permit to </w:t>
      </w:r>
      <w:r w:rsidR="00D3458E" w:rsidRPr="002D60F2">
        <w:rPr>
          <w:sz w:val="24"/>
        </w:rPr>
        <w:lastRenderedPageBreak/>
        <w:t>operate in Washington. Those companies wishing to request an extension to file the annual report were asked to do so prior to December 31, providing a reason for the requested extension. No extension was requested.</w:t>
      </w:r>
      <w:r w:rsidR="00D54223" w:rsidRPr="002D60F2">
        <w:rPr>
          <w:rStyle w:val="FootnoteReference"/>
          <w:sz w:val="24"/>
          <w:vertAlign w:val="superscript"/>
        </w:rPr>
        <w:footnoteReference w:id="3"/>
      </w:r>
    </w:p>
    <w:p w:rsidR="00D3458E" w:rsidRPr="002D60F2" w:rsidRDefault="00D3458E" w:rsidP="00D3458E">
      <w:pPr>
        <w:pStyle w:val="BodyTextIndent"/>
        <w:tabs>
          <w:tab w:val="left" w:pos="720"/>
          <w:tab w:val="right" w:pos="10100"/>
        </w:tabs>
        <w:ind w:right="720"/>
      </w:pPr>
    </w:p>
    <w:p w:rsidR="00D3458E" w:rsidRPr="002D60F2" w:rsidRDefault="009F4BD1" w:rsidP="00D3458E">
      <w:pPr>
        <w:pStyle w:val="BodyTextIndent"/>
        <w:tabs>
          <w:tab w:val="left" w:pos="720"/>
          <w:tab w:val="right" w:pos="10100"/>
        </w:tabs>
        <w:ind w:left="0" w:right="720"/>
      </w:pPr>
      <w:r w:rsidRPr="002D60F2">
        <w:t>On January 7, 2013, the c</w:t>
      </w:r>
      <w:r w:rsidR="00D3458E" w:rsidRPr="002D60F2">
        <w:t>ommission issued a notice to companies that had not yet filed their annual report and paid regulatory fees, informing these companies that they were subject to enforcement action, including the assessment of penalties beginning to accrue on that date. Companies that filed their annual reports and paid regulatory fees after January 7, 2013, but on or before January 18, 2013, are</w:t>
      </w:r>
      <w:r w:rsidRPr="002D60F2">
        <w:t xml:space="preserve"> subject to penalties that the c</w:t>
      </w:r>
      <w:r w:rsidR="00D3458E" w:rsidRPr="002D60F2">
        <w:t>ommission uses its discretion to mitigate to $25 per day if the company had not made these filings late in prior years. Companies that were late in prior years are subject to an additional $25 per day for each year in which they were late up to a total of $100 per day. For first time late-filers who filed thei</w:t>
      </w:r>
      <w:r w:rsidRPr="002D60F2">
        <w:t>r report after January 18, the c</w:t>
      </w:r>
      <w:r w:rsidR="00D3458E" w:rsidRPr="002D60F2">
        <w:t>ommission will mitigate the penalties to 50 percent of the maximum permissible amount. No further mitigation will be granted unless the company provides new information that is unrelated to these factors. Mitigation will not be granted on the basis that a company was unaware a report must be filed.</w:t>
      </w:r>
      <w:r w:rsidR="00A72E38" w:rsidRPr="002D60F2">
        <w:rPr>
          <w:rStyle w:val="FootnoteReference"/>
          <w:vertAlign w:val="superscript"/>
        </w:rPr>
        <w:footnoteReference w:id="4"/>
      </w:r>
    </w:p>
    <w:p w:rsidR="004507F7" w:rsidRPr="002D60F2" w:rsidRDefault="004507F7" w:rsidP="00D3458E">
      <w:pPr>
        <w:pStyle w:val="BodyTextIndent"/>
        <w:tabs>
          <w:tab w:val="left" w:pos="720"/>
          <w:tab w:val="right" w:pos="10100"/>
        </w:tabs>
        <w:ind w:left="0" w:right="720"/>
      </w:pPr>
    </w:p>
    <w:bookmarkEnd w:id="1"/>
    <w:bookmarkEnd w:id="2"/>
    <w:p w:rsidR="00AA6C34" w:rsidRPr="002D60F2" w:rsidRDefault="003F5253" w:rsidP="00AA6C34">
      <w:pPr>
        <w:pStyle w:val="BodyTextIndent"/>
        <w:tabs>
          <w:tab w:val="left" w:pos="720"/>
          <w:tab w:val="right" w:pos="10100"/>
        </w:tabs>
        <w:ind w:left="0" w:right="720"/>
      </w:pPr>
      <w:r>
        <w:t>John Chi filed its 2012 a</w:t>
      </w:r>
      <w:r w:rsidR="00AA6C34" w:rsidRPr="002D60F2">
        <w:t xml:space="preserve">nnual </w:t>
      </w:r>
      <w:r>
        <w:t>s</w:t>
      </w:r>
      <w:r w:rsidR="00AA6C34" w:rsidRPr="002D60F2">
        <w:t xml:space="preserve">afety </w:t>
      </w:r>
      <w:r>
        <w:t>r</w:t>
      </w:r>
      <w:r w:rsidR="00AA6C34" w:rsidRPr="002D60F2">
        <w:t xml:space="preserve">eport and paid its 2013 </w:t>
      </w:r>
      <w:r>
        <w:t>r</w:t>
      </w:r>
      <w:r w:rsidR="00AA6C34" w:rsidRPr="002D60F2">
        <w:t xml:space="preserve">egulatory </w:t>
      </w:r>
      <w:r>
        <w:t>f</w:t>
      </w:r>
      <w:r w:rsidR="00AA6C34" w:rsidRPr="002D60F2">
        <w:t>ee on January 23, 2013. That date is 12 business days past the January 7, 2013, notice date when penalties began to accrue, resulting in a potential penalty assessment of $1,200 ($100 per day times 12 d</w:t>
      </w:r>
      <w:r w:rsidR="00061603" w:rsidRPr="002D60F2">
        <w:t>ays).  John Chi</w:t>
      </w:r>
      <w:r w:rsidR="00AA6C34" w:rsidRPr="002D60F2">
        <w:t xml:space="preserve"> has not previously missed the deadline for filing its annual report and paying its regulatory fees.  The </w:t>
      </w:r>
      <w:r w:rsidR="00E67FF9" w:rsidRPr="002D60F2">
        <w:t>commission</w:t>
      </w:r>
      <w:r w:rsidR="00AA6C34" w:rsidRPr="002D60F2">
        <w:t xml:space="preserve"> theref</w:t>
      </w:r>
      <w:r w:rsidR="00E67FF9" w:rsidRPr="002D60F2">
        <w:t>ore</w:t>
      </w:r>
      <w:r w:rsidR="00AA6C34" w:rsidRPr="002D60F2">
        <w:t xml:space="preserve"> mitigate</w:t>
      </w:r>
      <w:r w:rsidR="00E67FF9" w:rsidRPr="002D60F2">
        <w:t>d</w:t>
      </w:r>
      <w:r w:rsidR="00AA6C34" w:rsidRPr="002D60F2">
        <w:t xml:space="preserve"> the penalty by 50 percent to a total assessed penalty of $600.</w:t>
      </w:r>
    </w:p>
    <w:p w:rsidR="00E67FF9" w:rsidRPr="002D60F2" w:rsidRDefault="00E67FF9" w:rsidP="00AA6C34">
      <w:pPr>
        <w:pStyle w:val="BodyTextIndent"/>
        <w:tabs>
          <w:tab w:val="left" w:pos="720"/>
          <w:tab w:val="right" w:pos="10100"/>
        </w:tabs>
        <w:ind w:left="0" w:right="720"/>
      </w:pPr>
    </w:p>
    <w:p w:rsidR="008972C0" w:rsidRPr="002D60F2" w:rsidRDefault="00E67FF9" w:rsidP="00AA6C34">
      <w:pPr>
        <w:pStyle w:val="BodyTextIndent"/>
        <w:tabs>
          <w:tab w:val="left" w:pos="720"/>
          <w:tab w:val="right" w:pos="10100"/>
        </w:tabs>
        <w:ind w:left="0" w:right="720"/>
      </w:pPr>
      <w:r w:rsidRPr="002D60F2">
        <w:t>S</w:t>
      </w:r>
      <w:r w:rsidR="004A35B7">
        <w:t>taff does not support mitigating</w:t>
      </w:r>
      <w:r w:rsidRPr="002D60F2">
        <w:t xml:space="preserve"> the $600 penalty assessment</w:t>
      </w:r>
      <w:r w:rsidR="004B6BCB">
        <w:t xml:space="preserve"> further</w:t>
      </w:r>
      <w:r w:rsidRPr="002D60F2">
        <w:t>. The penalty was already administratively mitigated by 50 percent, from $1,200 to $600. In addition</w:t>
      </w:r>
      <w:r w:rsidR="004B6BCB">
        <w:t>,</w:t>
      </w:r>
      <w:r w:rsidRPr="002D60F2">
        <w:t xml:space="preserve"> the penalty assessment states mitigation will not be granted on the basis that a company was unaware a report must be filed. Staff recommends denying the mitigation request.</w:t>
      </w:r>
    </w:p>
    <w:p w:rsidR="00D420C1" w:rsidRPr="002D60F2" w:rsidRDefault="00D420C1" w:rsidP="008972C0">
      <w:pPr>
        <w:rPr>
          <w:sz w:val="24"/>
        </w:rPr>
      </w:pPr>
    </w:p>
    <w:p w:rsidR="00592856" w:rsidRPr="002D60F2" w:rsidRDefault="00B87F52" w:rsidP="008972C0">
      <w:pPr>
        <w:rPr>
          <w:sz w:val="24"/>
        </w:rPr>
      </w:pPr>
      <w:r w:rsidRPr="002D60F2">
        <w:rPr>
          <w:sz w:val="24"/>
        </w:rPr>
        <w:t>If you have questions regarding this recommendation, please contact Mathew Perkinson, Compliance Investigator, at (360) 664-1105, or at mperkinson@utc.wa.gov.</w:t>
      </w:r>
      <w:r w:rsidR="00697867" w:rsidRPr="002D60F2">
        <w:rPr>
          <w:sz w:val="24"/>
        </w:rPr>
        <w:t xml:space="preserve"> </w:t>
      </w:r>
      <w:r w:rsidR="00592856" w:rsidRPr="002D60F2">
        <w:rPr>
          <w:sz w:val="24"/>
        </w:rPr>
        <w:t xml:space="preserve"> </w:t>
      </w:r>
    </w:p>
    <w:p w:rsidR="00A70E91" w:rsidRPr="002D60F2" w:rsidRDefault="00A70E91" w:rsidP="00317D57">
      <w:pPr>
        <w:widowControl/>
        <w:rPr>
          <w:sz w:val="24"/>
        </w:rPr>
      </w:pPr>
    </w:p>
    <w:p w:rsidR="00A66F7E" w:rsidRPr="002D60F2" w:rsidRDefault="00A66F7E" w:rsidP="00317D57">
      <w:pPr>
        <w:rPr>
          <w:sz w:val="24"/>
        </w:rPr>
      </w:pPr>
      <w:r w:rsidRPr="002D60F2">
        <w:rPr>
          <w:sz w:val="24"/>
        </w:rPr>
        <w:t>Sincerely,</w:t>
      </w:r>
    </w:p>
    <w:p w:rsidR="00A66F7E" w:rsidRPr="002D60F2" w:rsidRDefault="00A66F7E" w:rsidP="00317D57">
      <w:pPr>
        <w:rPr>
          <w:sz w:val="24"/>
        </w:rPr>
      </w:pPr>
    </w:p>
    <w:p w:rsidR="00A66F7E" w:rsidRPr="002D60F2" w:rsidRDefault="00A66F7E" w:rsidP="00317D57">
      <w:pPr>
        <w:rPr>
          <w:sz w:val="24"/>
        </w:rPr>
      </w:pPr>
    </w:p>
    <w:p w:rsidR="00594B2E" w:rsidRPr="002D60F2" w:rsidRDefault="00594B2E" w:rsidP="00317D57">
      <w:pPr>
        <w:rPr>
          <w:sz w:val="24"/>
        </w:rPr>
      </w:pPr>
    </w:p>
    <w:p w:rsidR="00A66F7E" w:rsidRPr="002D60F2" w:rsidRDefault="00697867" w:rsidP="00317D57">
      <w:pPr>
        <w:rPr>
          <w:sz w:val="24"/>
        </w:rPr>
      </w:pPr>
      <w:r w:rsidRPr="002D60F2">
        <w:rPr>
          <w:sz w:val="24"/>
        </w:rPr>
        <w:t>Sharon Wallace</w:t>
      </w:r>
      <w:r w:rsidR="00753FDF" w:rsidRPr="002D60F2">
        <w:rPr>
          <w:sz w:val="24"/>
        </w:rPr>
        <w:t>, Assistant Director</w:t>
      </w:r>
    </w:p>
    <w:p w:rsidR="00902CEC" w:rsidRPr="002D60F2" w:rsidRDefault="00697867" w:rsidP="00C7606D">
      <w:pPr>
        <w:rPr>
          <w:sz w:val="24"/>
        </w:rPr>
      </w:pPr>
      <w:r w:rsidRPr="002D60F2">
        <w:rPr>
          <w:sz w:val="24"/>
        </w:rPr>
        <w:t>Consumer Protection</w:t>
      </w:r>
      <w:r w:rsidR="00753FDF" w:rsidRPr="002D60F2">
        <w:rPr>
          <w:sz w:val="24"/>
        </w:rPr>
        <w:t xml:space="preserve"> and Communications</w:t>
      </w:r>
    </w:p>
    <w:p w:rsidR="00A8259A" w:rsidRPr="00784586" w:rsidRDefault="00A8259A" w:rsidP="00C7606D">
      <w:pPr>
        <w:rPr>
          <w:color w:val="FF0000"/>
          <w:sz w:val="24"/>
        </w:rPr>
      </w:pPr>
    </w:p>
    <w:p w:rsidR="00676A8A" w:rsidRPr="004A5AFB" w:rsidRDefault="00676A8A" w:rsidP="004267FD">
      <w:pPr>
        <w:widowControl/>
        <w:autoSpaceDE/>
        <w:autoSpaceDN/>
        <w:adjustRightInd/>
        <w:jc w:val="center"/>
        <w:rPr>
          <w:sz w:val="24"/>
        </w:rPr>
        <w:sectPr w:rsidR="00676A8A" w:rsidRPr="004A5AFB" w:rsidSect="006B0838">
          <w:headerReference w:type="default" r:id="rId10"/>
          <w:footerReference w:type="even" r:id="rId11"/>
          <w:endnotePr>
            <w:numFmt w:val="decimal"/>
          </w:endnotePr>
          <w:pgSz w:w="12240" w:h="15840"/>
          <w:pgMar w:top="1440" w:right="1440" w:bottom="720" w:left="1440" w:header="720" w:footer="1440" w:gutter="0"/>
          <w:cols w:space="720"/>
          <w:noEndnote/>
          <w:titlePg/>
          <w:docGrid w:linePitch="272"/>
        </w:sectPr>
      </w:pPr>
    </w:p>
    <w:p w:rsidR="004267FD" w:rsidRPr="004A5AFB" w:rsidRDefault="00A8259A" w:rsidP="004267FD">
      <w:pPr>
        <w:widowControl/>
        <w:autoSpaceDE/>
        <w:autoSpaceDN/>
        <w:adjustRightInd/>
        <w:jc w:val="center"/>
        <w:rPr>
          <w:b/>
          <w:sz w:val="24"/>
        </w:rPr>
      </w:pPr>
      <w:r w:rsidRPr="004A5AFB">
        <w:rPr>
          <w:sz w:val="24"/>
        </w:rPr>
        <w:lastRenderedPageBreak/>
        <w:br w:type="page"/>
      </w:r>
      <w:r w:rsidRPr="004A5AFB">
        <w:rPr>
          <w:b/>
          <w:sz w:val="24"/>
        </w:rPr>
        <w:lastRenderedPageBreak/>
        <w:t>Attachment A</w:t>
      </w:r>
    </w:p>
    <w:p w:rsidR="004267FD" w:rsidRDefault="00AB61D2" w:rsidP="004267FD">
      <w:pPr>
        <w:widowControl/>
        <w:autoSpaceDE/>
        <w:autoSpaceDN/>
        <w:adjustRightInd/>
        <w:jc w:val="center"/>
        <w:rPr>
          <w:sz w:val="24"/>
        </w:rPr>
      </w:pPr>
      <w:r>
        <w:rPr>
          <w:noProof/>
          <w:sz w:val="24"/>
        </w:rPr>
        <w:drawing>
          <wp:inline distT="0" distB="0" distL="0" distR="0" wp14:anchorId="6B9244E6" wp14:editId="656A1ECB">
            <wp:extent cx="5934075" cy="774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7743825"/>
                    </a:xfrm>
                    <a:prstGeom prst="rect">
                      <a:avLst/>
                    </a:prstGeom>
                    <a:noFill/>
                    <a:ln>
                      <a:noFill/>
                    </a:ln>
                  </pic:spPr>
                </pic:pic>
              </a:graphicData>
            </a:graphic>
          </wp:inline>
        </w:drawing>
      </w:r>
    </w:p>
    <w:p w:rsidR="00AB61D2" w:rsidRDefault="00AB61D2" w:rsidP="004267FD">
      <w:pPr>
        <w:widowControl/>
        <w:autoSpaceDE/>
        <w:autoSpaceDN/>
        <w:adjustRightInd/>
        <w:jc w:val="center"/>
        <w:rPr>
          <w:sz w:val="24"/>
        </w:rPr>
      </w:pPr>
      <w:r>
        <w:rPr>
          <w:noProof/>
          <w:sz w:val="24"/>
        </w:rPr>
        <w:lastRenderedPageBreak/>
        <w:drawing>
          <wp:inline distT="0" distB="0" distL="0" distR="0" wp14:anchorId="332C3986" wp14:editId="42A7931C">
            <wp:extent cx="5943600" cy="7686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p>
    <w:p w:rsidR="00AB61D2" w:rsidRPr="004A5AFB" w:rsidRDefault="00AB61D2" w:rsidP="004267FD">
      <w:pPr>
        <w:widowControl/>
        <w:autoSpaceDE/>
        <w:autoSpaceDN/>
        <w:adjustRightInd/>
        <w:jc w:val="center"/>
        <w:rPr>
          <w:sz w:val="24"/>
        </w:rPr>
      </w:pPr>
      <w:r>
        <w:rPr>
          <w:noProof/>
          <w:sz w:val="24"/>
        </w:rPr>
        <w:lastRenderedPageBreak/>
        <w:drawing>
          <wp:inline distT="0" distB="0" distL="0" distR="0" wp14:anchorId="31C37350" wp14:editId="322B8B3F">
            <wp:extent cx="5934075" cy="773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7734300"/>
                    </a:xfrm>
                    <a:prstGeom prst="rect">
                      <a:avLst/>
                    </a:prstGeom>
                    <a:noFill/>
                    <a:ln>
                      <a:noFill/>
                    </a:ln>
                  </pic:spPr>
                </pic:pic>
              </a:graphicData>
            </a:graphic>
          </wp:inline>
        </w:drawing>
      </w:r>
    </w:p>
    <w:p w:rsidR="00A8259A" w:rsidRPr="004A5AFB" w:rsidRDefault="00A8259A" w:rsidP="00C7606D">
      <w:pPr>
        <w:widowControl/>
        <w:autoSpaceDE/>
        <w:autoSpaceDN/>
        <w:adjustRightInd/>
        <w:rPr>
          <w:sz w:val="24"/>
        </w:rPr>
      </w:pPr>
    </w:p>
    <w:p w:rsidR="004267FD" w:rsidRPr="004A5AFB" w:rsidRDefault="004267FD" w:rsidP="00A8259A">
      <w:pPr>
        <w:widowControl/>
        <w:autoSpaceDE/>
        <w:autoSpaceDN/>
        <w:adjustRightInd/>
        <w:jc w:val="center"/>
        <w:rPr>
          <w:b/>
          <w:sz w:val="24"/>
        </w:rPr>
      </w:pPr>
    </w:p>
    <w:p w:rsidR="00FD68AB" w:rsidRPr="004A5AFB" w:rsidRDefault="00FD68AB" w:rsidP="00A8259A">
      <w:pPr>
        <w:widowControl/>
        <w:autoSpaceDE/>
        <w:autoSpaceDN/>
        <w:adjustRightInd/>
        <w:jc w:val="center"/>
        <w:rPr>
          <w:b/>
          <w:sz w:val="24"/>
        </w:rPr>
      </w:pPr>
    </w:p>
    <w:p w:rsidR="00971051" w:rsidRPr="004A5AFB" w:rsidRDefault="00971051">
      <w:pPr>
        <w:widowControl/>
        <w:autoSpaceDE/>
        <w:autoSpaceDN/>
        <w:adjustRightInd/>
        <w:rPr>
          <w:b/>
          <w:sz w:val="24"/>
        </w:rPr>
      </w:pPr>
      <w:r w:rsidRPr="004A5AFB">
        <w:rPr>
          <w:b/>
          <w:sz w:val="24"/>
        </w:rPr>
        <w:br w:type="page"/>
      </w:r>
    </w:p>
    <w:p w:rsidR="00A8259A" w:rsidRPr="004A5AFB" w:rsidRDefault="00A8259A" w:rsidP="00A8259A">
      <w:pPr>
        <w:widowControl/>
        <w:autoSpaceDE/>
        <w:autoSpaceDN/>
        <w:adjustRightInd/>
        <w:jc w:val="center"/>
        <w:rPr>
          <w:b/>
          <w:sz w:val="24"/>
        </w:rPr>
      </w:pPr>
      <w:r w:rsidRPr="004A5AFB">
        <w:rPr>
          <w:b/>
          <w:sz w:val="24"/>
        </w:rPr>
        <w:lastRenderedPageBreak/>
        <w:t>Attachment B</w:t>
      </w:r>
    </w:p>
    <w:p w:rsidR="004267FD" w:rsidRPr="004A5AFB" w:rsidRDefault="00C14E40" w:rsidP="00A8259A">
      <w:pPr>
        <w:widowControl/>
        <w:autoSpaceDE/>
        <w:autoSpaceDN/>
        <w:adjustRightInd/>
        <w:jc w:val="center"/>
        <w:rPr>
          <w:b/>
          <w:sz w:val="24"/>
        </w:rPr>
      </w:pPr>
      <w:r>
        <w:rPr>
          <w:b/>
          <w:noProof/>
          <w:sz w:val="24"/>
        </w:rPr>
        <w:drawing>
          <wp:inline distT="0" distB="0" distL="0" distR="0">
            <wp:extent cx="5934075" cy="7772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7772400"/>
                    </a:xfrm>
                    <a:prstGeom prst="rect">
                      <a:avLst/>
                    </a:prstGeom>
                    <a:noFill/>
                    <a:ln>
                      <a:noFill/>
                    </a:ln>
                  </pic:spPr>
                </pic:pic>
              </a:graphicData>
            </a:graphic>
          </wp:inline>
        </w:drawing>
      </w:r>
    </w:p>
    <w:p w:rsidR="0027078D" w:rsidRPr="004A5AFB" w:rsidRDefault="0027078D">
      <w:pPr>
        <w:widowControl/>
        <w:autoSpaceDE/>
        <w:autoSpaceDN/>
        <w:adjustRightInd/>
        <w:rPr>
          <w:b/>
          <w:sz w:val="24"/>
        </w:rPr>
      </w:pPr>
      <w:r w:rsidRPr="004A5AFB">
        <w:rPr>
          <w:b/>
          <w:sz w:val="24"/>
        </w:rPr>
        <w:br w:type="page"/>
      </w:r>
    </w:p>
    <w:p w:rsidR="002557AC" w:rsidRPr="004A5AFB" w:rsidRDefault="002557AC" w:rsidP="004267FD">
      <w:pPr>
        <w:widowControl/>
        <w:autoSpaceDE/>
        <w:autoSpaceDN/>
        <w:adjustRightInd/>
        <w:jc w:val="center"/>
        <w:rPr>
          <w:b/>
          <w:sz w:val="24"/>
        </w:rPr>
      </w:pPr>
      <w:r w:rsidRPr="004A5AFB">
        <w:rPr>
          <w:b/>
          <w:sz w:val="24"/>
        </w:rPr>
        <w:lastRenderedPageBreak/>
        <w:t>Attachment C</w:t>
      </w:r>
    </w:p>
    <w:p w:rsidR="002557AC" w:rsidRPr="004A5AFB" w:rsidRDefault="00B82654" w:rsidP="004267FD">
      <w:pPr>
        <w:widowControl/>
        <w:autoSpaceDE/>
        <w:autoSpaceDN/>
        <w:adjustRightInd/>
        <w:jc w:val="center"/>
        <w:rPr>
          <w:b/>
          <w:sz w:val="24"/>
        </w:rPr>
      </w:pPr>
      <w:r w:rsidRPr="004A5AFB">
        <w:rPr>
          <w:b/>
          <w:noProof/>
          <w:sz w:val="24"/>
        </w:rPr>
        <w:drawing>
          <wp:inline distT="0" distB="0" distL="0" distR="0" wp14:anchorId="4B89B8CB" wp14:editId="7D831377">
            <wp:extent cx="5943600" cy="773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734300"/>
                    </a:xfrm>
                    <a:prstGeom prst="rect">
                      <a:avLst/>
                    </a:prstGeom>
                    <a:noFill/>
                    <a:ln>
                      <a:noFill/>
                    </a:ln>
                  </pic:spPr>
                </pic:pic>
              </a:graphicData>
            </a:graphic>
          </wp:inline>
        </w:drawing>
      </w:r>
    </w:p>
    <w:p w:rsidR="00B82654" w:rsidRPr="004A5AFB" w:rsidRDefault="00B82654" w:rsidP="004267FD">
      <w:pPr>
        <w:widowControl/>
        <w:autoSpaceDE/>
        <w:autoSpaceDN/>
        <w:adjustRightInd/>
        <w:jc w:val="center"/>
        <w:rPr>
          <w:b/>
          <w:sz w:val="24"/>
        </w:rPr>
      </w:pPr>
      <w:r w:rsidRPr="004A5AFB">
        <w:rPr>
          <w:b/>
          <w:noProof/>
          <w:sz w:val="24"/>
        </w:rPr>
        <w:lastRenderedPageBreak/>
        <w:drawing>
          <wp:inline distT="0" distB="0" distL="0" distR="0" wp14:anchorId="288EC6A0" wp14:editId="0866AE7D">
            <wp:extent cx="5934075" cy="779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7791450"/>
                    </a:xfrm>
                    <a:prstGeom prst="rect">
                      <a:avLst/>
                    </a:prstGeom>
                    <a:noFill/>
                    <a:ln>
                      <a:noFill/>
                    </a:ln>
                  </pic:spPr>
                </pic:pic>
              </a:graphicData>
            </a:graphic>
          </wp:inline>
        </w:drawing>
      </w:r>
    </w:p>
    <w:p w:rsidR="002557AC" w:rsidRPr="004A5AFB" w:rsidRDefault="002557AC" w:rsidP="004267FD">
      <w:pPr>
        <w:widowControl/>
        <w:autoSpaceDE/>
        <w:autoSpaceDN/>
        <w:adjustRightInd/>
        <w:jc w:val="center"/>
        <w:rPr>
          <w:b/>
          <w:sz w:val="24"/>
        </w:rPr>
      </w:pPr>
    </w:p>
    <w:p w:rsidR="002557AC" w:rsidRPr="004A5AFB" w:rsidRDefault="002557AC" w:rsidP="004267FD">
      <w:pPr>
        <w:widowControl/>
        <w:autoSpaceDE/>
        <w:autoSpaceDN/>
        <w:adjustRightInd/>
        <w:jc w:val="center"/>
        <w:rPr>
          <w:b/>
          <w:sz w:val="24"/>
        </w:rPr>
      </w:pPr>
    </w:p>
    <w:p w:rsidR="002557AC" w:rsidRPr="004A5AFB" w:rsidRDefault="002557AC" w:rsidP="004267FD">
      <w:pPr>
        <w:widowControl/>
        <w:autoSpaceDE/>
        <w:autoSpaceDN/>
        <w:adjustRightInd/>
        <w:jc w:val="center"/>
        <w:rPr>
          <w:b/>
          <w:sz w:val="24"/>
        </w:rPr>
      </w:pPr>
    </w:p>
    <w:p w:rsidR="002557AC" w:rsidRPr="004A5AFB" w:rsidRDefault="002557AC" w:rsidP="002557AC">
      <w:pPr>
        <w:widowControl/>
        <w:autoSpaceDE/>
        <w:autoSpaceDN/>
        <w:adjustRightInd/>
        <w:rPr>
          <w:b/>
          <w:sz w:val="24"/>
        </w:rPr>
      </w:pPr>
    </w:p>
    <w:p w:rsidR="002557AC" w:rsidRPr="004A5AFB" w:rsidRDefault="002557AC" w:rsidP="002557AC">
      <w:pPr>
        <w:widowControl/>
        <w:autoSpaceDE/>
        <w:autoSpaceDN/>
        <w:adjustRightInd/>
        <w:rPr>
          <w:b/>
          <w:sz w:val="24"/>
        </w:rPr>
      </w:pPr>
    </w:p>
    <w:p w:rsidR="003215C9" w:rsidRPr="004A5AFB" w:rsidRDefault="002557AC" w:rsidP="00A93F06">
      <w:pPr>
        <w:widowControl/>
        <w:autoSpaceDE/>
        <w:autoSpaceDN/>
        <w:adjustRightInd/>
        <w:jc w:val="center"/>
        <w:rPr>
          <w:b/>
          <w:sz w:val="24"/>
        </w:rPr>
      </w:pPr>
      <w:r w:rsidRPr="004A5AFB">
        <w:rPr>
          <w:b/>
          <w:sz w:val="24"/>
        </w:rPr>
        <w:t>Attachment D</w:t>
      </w:r>
      <w:r w:rsidR="00971051" w:rsidRPr="004A5AFB">
        <w:rPr>
          <w:b/>
          <w:noProof/>
          <w:sz w:val="24"/>
        </w:rPr>
        <w:drawing>
          <wp:inline distT="0" distB="0" distL="0" distR="0" wp14:anchorId="66409406" wp14:editId="567BA73C">
            <wp:extent cx="5934075" cy="772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7724775"/>
                    </a:xfrm>
                    <a:prstGeom prst="rect">
                      <a:avLst/>
                    </a:prstGeom>
                    <a:noFill/>
                    <a:ln>
                      <a:noFill/>
                    </a:ln>
                  </pic:spPr>
                </pic:pic>
              </a:graphicData>
            </a:graphic>
          </wp:inline>
        </w:drawing>
      </w:r>
    </w:p>
    <w:sectPr w:rsidR="003215C9" w:rsidRPr="004A5AFB" w:rsidSect="00676A8A">
      <w:endnotePr>
        <w:numFmt w:val="decimal"/>
      </w:endnotePr>
      <w:type w:val="continuous"/>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96" w:rsidRDefault="007B2196">
      <w:r>
        <w:separator/>
      </w:r>
    </w:p>
  </w:endnote>
  <w:endnote w:type="continuationSeparator" w:id="0">
    <w:p w:rsidR="007B2196" w:rsidRDefault="007B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72" w:rsidRDefault="001A5736">
    <w:pPr>
      <w:pStyle w:val="Footer"/>
      <w:framePr w:wrap="around" w:vAnchor="text" w:hAnchor="margin" w:xAlign="center" w:y="1"/>
      <w:rPr>
        <w:rStyle w:val="PageNumber"/>
      </w:rPr>
    </w:pPr>
    <w:r>
      <w:rPr>
        <w:rStyle w:val="PageNumber"/>
      </w:rPr>
      <w:fldChar w:fldCharType="begin"/>
    </w:r>
    <w:r w:rsidR="00CE5772">
      <w:rPr>
        <w:rStyle w:val="PageNumber"/>
      </w:rPr>
      <w:instrText xml:space="preserve">PAGE  </w:instrText>
    </w:r>
    <w:r>
      <w:rPr>
        <w:rStyle w:val="PageNumber"/>
      </w:rPr>
      <w:fldChar w:fldCharType="end"/>
    </w:r>
  </w:p>
  <w:p w:rsidR="00CE5772" w:rsidRDefault="00CE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96" w:rsidRDefault="007B2196">
      <w:r>
        <w:separator/>
      </w:r>
    </w:p>
  </w:footnote>
  <w:footnote w:type="continuationSeparator" w:id="0">
    <w:p w:rsidR="007B2196" w:rsidRDefault="007B2196">
      <w:r>
        <w:continuationSeparator/>
      </w:r>
    </w:p>
  </w:footnote>
  <w:footnote w:id="1">
    <w:p w:rsidR="009B6AD8" w:rsidRPr="002D60F2" w:rsidRDefault="009B6AD8" w:rsidP="009B6AD8">
      <w:pPr>
        <w:pStyle w:val="FootnoteText"/>
      </w:pPr>
      <w:r w:rsidRPr="002D60F2">
        <w:rPr>
          <w:rStyle w:val="FootnoteReference"/>
        </w:rPr>
        <w:footnoteRef/>
      </w:r>
      <w:r w:rsidRPr="002D60F2">
        <w:t xml:space="preserve"> See Attachment A for a copy of the penalty assessment sent to John Chi International Corp.</w:t>
      </w:r>
    </w:p>
  </w:footnote>
  <w:footnote w:id="2">
    <w:p w:rsidR="000C6A15" w:rsidRDefault="000C6A15">
      <w:pPr>
        <w:pStyle w:val="FootnoteText"/>
      </w:pPr>
      <w:r w:rsidRPr="002D60F2">
        <w:rPr>
          <w:rStyle w:val="FootnoteReference"/>
        </w:rPr>
        <w:footnoteRef/>
      </w:r>
      <w:r w:rsidRPr="002D60F2">
        <w:t xml:space="preserve"> See Attachment B for a copy of the letter sub</w:t>
      </w:r>
      <w:r w:rsidR="0003340E">
        <w:t>mitted by the company on March 12</w:t>
      </w:r>
      <w:r w:rsidRPr="002D60F2">
        <w:t>, 2013.</w:t>
      </w:r>
    </w:p>
  </w:footnote>
  <w:footnote w:id="3">
    <w:p w:rsidR="00D54223" w:rsidRPr="002D60F2" w:rsidRDefault="00D54223">
      <w:pPr>
        <w:pStyle w:val="FootnoteText"/>
      </w:pPr>
      <w:r w:rsidRPr="002D60F2">
        <w:rPr>
          <w:rStyle w:val="FootnoteReference"/>
        </w:rPr>
        <w:footnoteRef/>
      </w:r>
      <w:r w:rsidR="008E4E89" w:rsidRPr="002D60F2">
        <w:t xml:space="preserve"> See Attachment </w:t>
      </w:r>
      <w:r w:rsidR="000F392C" w:rsidRPr="002D60F2">
        <w:t>C</w:t>
      </w:r>
      <w:r w:rsidRPr="002D60F2">
        <w:t xml:space="preserve"> for a copy of the letter sent to all regulated companies on </w:t>
      </w:r>
      <w:r w:rsidR="00A72E38" w:rsidRPr="002D60F2">
        <w:t>November 15, 2012</w:t>
      </w:r>
      <w:r w:rsidRPr="002D60F2">
        <w:t>.</w:t>
      </w:r>
    </w:p>
  </w:footnote>
  <w:footnote w:id="4">
    <w:p w:rsidR="00A72E38" w:rsidRDefault="00A72E38">
      <w:pPr>
        <w:pStyle w:val="FootnoteText"/>
      </w:pPr>
      <w:r w:rsidRPr="002D60F2">
        <w:rPr>
          <w:rStyle w:val="FootnoteReference"/>
        </w:rPr>
        <w:footnoteRef/>
      </w:r>
      <w:r w:rsidRPr="002D60F2">
        <w:t xml:space="preserve"> See </w:t>
      </w:r>
      <w:r w:rsidR="00C42E94" w:rsidRPr="002D60F2">
        <w:t>A</w:t>
      </w:r>
      <w:r w:rsidR="000F392C" w:rsidRPr="002D60F2">
        <w:t>ttachment D</w:t>
      </w:r>
      <w:r w:rsidRPr="002D60F2">
        <w:t xml:space="preserve"> for a copy of the Enforceme</w:t>
      </w:r>
      <w:r w:rsidR="005D6223" w:rsidRPr="002D60F2">
        <w:t>nt letter sent to all delinquent</w:t>
      </w:r>
      <w:r w:rsidRPr="002D60F2">
        <w:t xml:space="preserve"> companies 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7F1" w:rsidRDefault="000C67F1" w:rsidP="000C67F1">
    <w:pPr>
      <w:pStyle w:val="Header"/>
    </w:pPr>
    <w:r>
      <w:t>UTC Annual Reports</w:t>
    </w:r>
  </w:p>
  <w:p w:rsidR="000C67F1" w:rsidRDefault="0073342D" w:rsidP="000C67F1">
    <w:pPr>
      <w:pStyle w:val="Header"/>
    </w:pPr>
    <w:r>
      <w:t xml:space="preserve">March </w:t>
    </w:r>
    <w:r w:rsidR="00992C32">
      <w:t>20</w:t>
    </w:r>
    <w:r w:rsidR="003E2B42">
      <w:t xml:space="preserve">, </w:t>
    </w:r>
    <w:r>
      <w:t>2013</w:t>
    </w:r>
  </w:p>
  <w:p w:rsidR="000C67F1" w:rsidRDefault="000C67F1" w:rsidP="000C67F1">
    <w:pPr>
      <w:pStyle w:val="Header"/>
    </w:pPr>
    <w:r>
      <w:t xml:space="preserve">Page </w:t>
    </w:r>
    <w:r>
      <w:fldChar w:fldCharType="begin"/>
    </w:r>
    <w:r>
      <w:instrText xml:space="preserve"> PAGE   \* MERGEFORMAT </w:instrText>
    </w:r>
    <w:r>
      <w:fldChar w:fldCharType="separate"/>
    </w:r>
    <w:r w:rsidR="00F56450">
      <w:rPr>
        <w:noProof/>
      </w:rPr>
      <w:t>2</w:t>
    </w:r>
    <w:r>
      <w:rPr>
        <w:noProof/>
      </w:rPr>
      <w:fldChar w:fldCharType="end"/>
    </w:r>
  </w:p>
  <w:p w:rsidR="000C67F1" w:rsidRDefault="000C6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0"/>
  </w:num>
  <w:num w:numId="4">
    <w:abstractNumId w:val="3"/>
  </w:num>
  <w:num w:numId="5">
    <w:abstractNumId w:val="28"/>
  </w:num>
  <w:num w:numId="6">
    <w:abstractNumId w:val="6"/>
  </w:num>
  <w:num w:numId="7">
    <w:abstractNumId w:val="27"/>
  </w:num>
  <w:num w:numId="8">
    <w:abstractNumId w:val="25"/>
  </w:num>
  <w:num w:numId="9">
    <w:abstractNumId w:val="12"/>
  </w:num>
  <w:num w:numId="10">
    <w:abstractNumId w:val="23"/>
  </w:num>
  <w:num w:numId="11">
    <w:abstractNumId w:val="31"/>
  </w:num>
  <w:num w:numId="12">
    <w:abstractNumId w:val="14"/>
  </w:num>
  <w:num w:numId="13">
    <w:abstractNumId w:val="5"/>
  </w:num>
  <w:num w:numId="14">
    <w:abstractNumId w:val="11"/>
  </w:num>
  <w:num w:numId="15">
    <w:abstractNumId w:val="8"/>
  </w:num>
  <w:num w:numId="16">
    <w:abstractNumId w:val="10"/>
  </w:num>
  <w:num w:numId="17">
    <w:abstractNumId w:val="17"/>
  </w:num>
  <w:num w:numId="18">
    <w:abstractNumId w:val="29"/>
  </w:num>
  <w:num w:numId="19">
    <w:abstractNumId w:val="16"/>
  </w:num>
  <w:num w:numId="20">
    <w:abstractNumId w:val="13"/>
  </w:num>
  <w:num w:numId="21">
    <w:abstractNumId w:val="33"/>
  </w:num>
  <w:num w:numId="22">
    <w:abstractNumId w:val="30"/>
  </w:num>
  <w:num w:numId="23">
    <w:abstractNumId w:val="24"/>
  </w:num>
  <w:num w:numId="24">
    <w:abstractNumId w:val="19"/>
  </w:num>
  <w:num w:numId="25">
    <w:abstractNumId w:val="21"/>
  </w:num>
  <w:num w:numId="26">
    <w:abstractNumId w:val="2"/>
  </w:num>
  <w:num w:numId="27">
    <w:abstractNumId w:val="34"/>
  </w:num>
  <w:num w:numId="28">
    <w:abstractNumId w:val="1"/>
  </w:num>
  <w:num w:numId="29">
    <w:abstractNumId w:val="15"/>
  </w:num>
  <w:num w:numId="30">
    <w:abstractNumId w:val="32"/>
  </w:num>
  <w:num w:numId="31">
    <w:abstractNumId w:val="7"/>
  </w:num>
  <w:num w:numId="32">
    <w:abstractNumId w:val="4"/>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14C7C"/>
    <w:rsid w:val="00021C26"/>
    <w:rsid w:val="00026B1A"/>
    <w:rsid w:val="00030703"/>
    <w:rsid w:val="0003340E"/>
    <w:rsid w:val="00034108"/>
    <w:rsid w:val="000343F2"/>
    <w:rsid w:val="000363E0"/>
    <w:rsid w:val="000415FE"/>
    <w:rsid w:val="00042CB1"/>
    <w:rsid w:val="000527B1"/>
    <w:rsid w:val="00054F7A"/>
    <w:rsid w:val="000557A6"/>
    <w:rsid w:val="0005648A"/>
    <w:rsid w:val="00056555"/>
    <w:rsid w:val="00057143"/>
    <w:rsid w:val="00057BFE"/>
    <w:rsid w:val="00061603"/>
    <w:rsid w:val="000622FC"/>
    <w:rsid w:val="00073D9C"/>
    <w:rsid w:val="00074494"/>
    <w:rsid w:val="00074507"/>
    <w:rsid w:val="000805BF"/>
    <w:rsid w:val="00085BA7"/>
    <w:rsid w:val="00087C76"/>
    <w:rsid w:val="00090270"/>
    <w:rsid w:val="0009677D"/>
    <w:rsid w:val="000977E9"/>
    <w:rsid w:val="000B18FE"/>
    <w:rsid w:val="000C299C"/>
    <w:rsid w:val="000C67F1"/>
    <w:rsid w:val="000C6A15"/>
    <w:rsid w:val="000C7A44"/>
    <w:rsid w:val="000C7C1B"/>
    <w:rsid w:val="000D51C1"/>
    <w:rsid w:val="000D60D3"/>
    <w:rsid w:val="000D6DB8"/>
    <w:rsid w:val="000E0AB5"/>
    <w:rsid w:val="000E32EC"/>
    <w:rsid w:val="000F308D"/>
    <w:rsid w:val="000F392C"/>
    <w:rsid w:val="000F4966"/>
    <w:rsid w:val="000F66FC"/>
    <w:rsid w:val="00102E2F"/>
    <w:rsid w:val="0010306D"/>
    <w:rsid w:val="001060AE"/>
    <w:rsid w:val="00106220"/>
    <w:rsid w:val="00110E73"/>
    <w:rsid w:val="0011131F"/>
    <w:rsid w:val="001139DA"/>
    <w:rsid w:val="00121A28"/>
    <w:rsid w:val="00127C04"/>
    <w:rsid w:val="0014321F"/>
    <w:rsid w:val="00144041"/>
    <w:rsid w:val="00146D5F"/>
    <w:rsid w:val="00147462"/>
    <w:rsid w:val="001532E7"/>
    <w:rsid w:val="001546D4"/>
    <w:rsid w:val="00163C57"/>
    <w:rsid w:val="0017218C"/>
    <w:rsid w:val="00174A18"/>
    <w:rsid w:val="00177F39"/>
    <w:rsid w:val="00185105"/>
    <w:rsid w:val="00190D00"/>
    <w:rsid w:val="0019770A"/>
    <w:rsid w:val="00197B2E"/>
    <w:rsid w:val="001A22BA"/>
    <w:rsid w:val="001A2F4A"/>
    <w:rsid w:val="001A5736"/>
    <w:rsid w:val="001B5293"/>
    <w:rsid w:val="001B650B"/>
    <w:rsid w:val="001C50B5"/>
    <w:rsid w:val="001C6F09"/>
    <w:rsid w:val="001C7254"/>
    <w:rsid w:val="001C7FEB"/>
    <w:rsid w:val="001D7DBD"/>
    <w:rsid w:val="001F3780"/>
    <w:rsid w:val="001F401D"/>
    <w:rsid w:val="002037F2"/>
    <w:rsid w:val="00206183"/>
    <w:rsid w:val="0021199D"/>
    <w:rsid w:val="00216E4D"/>
    <w:rsid w:val="002258A6"/>
    <w:rsid w:val="00236A9E"/>
    <w:rsid w:val="00243555"/>
    <w:rsid w:val="00251566"/>
    <w:rsid w:val="002557AC"/>
    <w:rsid w:val="00260983"/>
    <w:rsid w:val="0027078D"/>
    <w:rsid w:val="002738A9"/>
    <w:rsid w:val="00276FD5"/>
    <w:rsid w:val="00285BA1"/>
    <w:rsid w:val="00295126"/>
    <w:rsid w:val="00295BCE"/>
    <w:rsid w:val="00296C65"/>
    <w:rsid w:val="00297FDD"/>
    <w:rsid w:val="002B20A5"/>
    <w:rsid w:val="002B57BC"/>
    <w:rsid w:val="002B6C16"/>
    <w:rsid w:val="002D0C51"/>
    <w:rsid w:val="002D60F2"/>
    <w:rsid w:val="002E549B"/>
    <w:rsid w:val="002E76B9"/>
    <w:rsid w:val="002F3753"/>
    <w:rsid w:val="002F67C9"/>
    <w:rsid w:val="002F7B70"/>
    <w:rsid w:val="00306D0F"/>
    <w:rsid w:val="0031240B"/>
    <w:rsid w:val="0031753C"/>
    <w:rsid w:val="00317D57"/>
    <w:rsid w:val="00321094"/>
    <w:rsid w:val="003215C9"/>
    <w:rsid w:val="0032477C"/>
    <w:rsid w:val="003267AE"/>
    <w:rsid w:val="00342A6D"/>
    <w:rsid w:val="003443CC"/>
    <w:rsid w:val="00344642"/>
    <w:rsid w:val="00353944"/>
    <w:rsid w:val="00355D58"/>
    <w:rsid w:val="0035748E"/>
    <w:rsid w:val="0035788B"/>
    <w:rsid w:val="0036161E"/>
    <w:rsid w:val="003636F1"/>
    <w:rsid w:val="0037523D"/>
    <w:rsid w:val="00375A24"/>
    <w:rsid w:val="0038227E"/>
    <w:rsid w:val="0039544A"/>
    <w:rsid w:val="003A74AC"/>
    <w:rsid w:val="003B0245"/>
    <w:rsid w:val="003B33E4"/>
    <w:rsid w:val="003B3DA0"/>
    <w:rsid w:val="003C480E"/>
    <w:rsid w:val="003C7040"/>
    <w:rsid w:val="003D22A1"/>
    <w:rsid w:val="003E2B42"/>
    <w:rsid w:val="003E779D"/>
    <w:rsid w:val="003F284D"/>
    <w:rsid w:val="003F4865"/>
    <w:rsid w:val="003F5253"/>
    <w:rsid w:val="003F7AC7"/>
    <w:rsid w:val="00401874"/>
    <w:rsid w:val="00402A6F"/>
    <w:rsid w:val="00404CC3"/>
    <w:rsid w:val="00407E1B"/>
    <w:rsid w:val="004131EB"/>
    <w:rsid w:val="00420CCE"/>
    <w:rsid w:val="004267FD"/>
    <w:rsid w:val="004331A1"/>
    <w:rsid w:val="00434726"/>
    <w:rsid w:val="0043712B"/>
    <w:rsid w:val="004507F7"/>
    <w:rsid w:val="004573E2"/>
    <w:rsid w:val="0046242E"/>
    <w:rsid w:val="00464AA8"/>
    <w:rsid w:val="00470FAF"/>
    <w:rsid w:val="004867DE"/>
    <w:rsid w:val="00494932"/>
    <w:rsid w:val="004A35B7"/>
    <w:rsid w:val="004A3679"/>
    <w:rsid w:val="004A4E94"/>
    <w:rsid w:val="004A5AFB"/>
    <w:rsid w:val="004B6BCB"/>
    <w:rsid w:val="004C08A4"/>
    <w:rsid w:val="004C0E1B"/>
    <w:rsid w:val="004D2B3E"/>
    <w:rsid w:val="004D4418"/>
    <w:rsid w:val="004E5B08"/>
    <w:rsid w:val="004F1325"/>
    <w:rsid w:val="004F21C7"/>
    <w:rsid w:val="00506914"/>
    <w:rsid w:val="00506C8E"/>
    <w:rsid w:val="0050745E"/>
    <w:rsid w:val="0051039C"/>
    <w:rsid w:val="005131F0"/>
    <w:rsid w:val="00513AEF"/>
    <w:rsid w:val="005153F8"/>
    <w:rsid w:val="00522B27"/>
    <w:rsid w:val="00523F00"/>
    <w:rsid w:val="00535D9E"/>
    <w:rsid w:val="00536FDA"/>
    <w:rsid w:val="00537325"/>
    <w:rsid w:val="00537493"/>
    <w:rsid w:val="00541380"/>
    <w:rsid w:val="00541529"/>
    <w:rsid w:val="005451A2"/>
    <w:rsid w:val="00554AC7"/>
    <w:rsid w:val="00556752"/>
    <w:rsid w:val="00572742"/>
    <w:rsid w:val="005727B6"/>
    <w:rsid w:val="0057506C"/>
    <w:rsid w:val="0057591E"/>
    <w:rsid w:val="00581961"/>
    <w:rsid w:val="005856E5"/>
    <w:rsid w:val="005904A2"/>
    <w:rsid w:val="00592856"/>
    <w:rsid w:val="00594B2E"/>
    <w:rsid w:val="005A0FFB"/>
    <w:rsid w:val="005B3411"/>
    <w:rsid w:val="005C3E22"/>
    <w:rsid w:val="005C400A"/>
    <w:rsid w:val="005D4BCB"/>
    <w:rsid w:val="005D6223"/>
    <w:rsid w:val="005E4A42"/>
    <w:rsid w:val="006009B3"/>
    <w:rsid w:val="006203B6"/>
    <w:rsid w:val="00624067"/>
    <w:rsid w:val="0063128E"/>
    <w:rsid w:val="00633CD6"/>
    <w:rsid w:val="00635704"/>
    <w:rsid w:val="00646CB2"/>
    <w:rsid w:val="006511C2"/>
    <w:rsid w:val="006554F3"/>
    <w:rsid w:val="0066277B"/>
    <w:rsid w:val="00666381"/>
    <w:rsid w:val="00674EB9"/>
    <w:rsid w:val="0067671D"/>
    <w:rsid w:val="00676A8A"/>
    <w:rsid w:val="00680EC3"/>
    <w:rsid w:val="00680FB7"/>
    <w:rsid w:val="00684D95"/>
    <w:rsid w:val="00685A72"/>
    <w:rsid w:val="006867B7"/>
    <w:rsid w:val="00693E09"/>
    <w:rsid w:val="006964E7"/>
    <w:rsid w:val="00697867"/>
    <w:rsid w:val="006A18AB"/>
    <w:rsid w:val="006A2809"/>
    <w:rsid w:val="006A60C7"/>
    <w:rsid w:val="006A7328"/>
    <w:rsid w:val="006B0838"/>
    <w:rsid w:val="006B2925"/>
    <w:rsid w:val="006B4575"/>
    <w:rsid w:val="006C2C85"/>
    <w:rsid w:val="006C6F81"/>
    <w:rsid w:val="006D3D37"/>
    <w:rsid w:val="006D7C64"/>
    <w:rsid w:val="006E759A"/>
    <w:rsid w:val="006F3152"/>
    <w:rsid w:val="006F35BE"/>
    <w:rsid w:val="006F39CE"/>
    <w:rsid w:val="00700D1A"/>
    <w:rsid w:val="0070508E"/>
    <w:rsid w:val="00705704"/>
    <w:rsid w:val="00706955"/>
    <w:rsid w:val="007076EF"/>
    <w:rsid w:val="007239DC"/>
    <w:rsid w:val="00730807"/>
    <w:rsid w:val="007323CA"/>
    <w:rsid w:val="0073342D"/>
    <w:rsid w:val="00736E96"/>
    <w:rsid w:val="00752F7A"/>
    <w:rsid w:val="00753FDF"/>
    <w:rsid w:val="00755539"/>
    <w:rsid w:val="00774465"/>
    <w:rsid w:val="00784586"/>
    <w:rsid w:val="007A4C76"/>
    <w:rsid w:val="007B1E4C"/>
    <w:rsid w:val="007B2196"/>
    <w:rsid w:val="007C6DB2"/>
    <w:rsid w:val="007D29A9"/>
    <w:rsid w:val="007D548E"/>
    <w:rsid w:val="007E7DE7"/>
    <w:rsid w:val="007F6171"/>
    <w:rsid w:val="007F6609"/>
    <w:rsid w:val="008020DF"/>
    <w:rsid w:val="00806E5F"/>
    <w:rsid w:val="008078FF"/>
    <w:rsid w:val="00817398"/>
    <w:rsid w:val="008235DC"/>
    <w:rsid w:val="00824945"/>
    <w:rsid w:val="0082767B"/>
    <w:rsid w:val="008323AC"/>
    <w:rsid w:val="00833C16"/>
    <w:rsid w:val="00834F73"/>
    <w:rsid w:val="00840003"/>
    <w:rsid w:val="0084099D"/>
    <w:rsid w:val="00844290"/>
    <w:rsid w:val="00844BCB"/>
    <w:rsid w:val="008479E6"/>
    <w:rsid w:val="0085138F"/>
    <w:rsid w:val="0085276D"/>
    <w:rsid w:val="00865832"/>
    <w:rsid w:val="00870459"/>
    <w:rsid w:val="008718AE"/>
    <w:rsid w:val="00872D3F"/>
    <w:rsid w:val="008754C8"/>
    <w:rsid w:val="008803B1"/>
    <w:rsid w:val="008825A5"/>
    <w:rsid w:val="0088297F"/>
    <w:rsid w:val="00883E12"/>
    <w:rsid w:val="008972C0"/>
    <w:rsid w:val="008973EE"/>
    <w:rsid w:val="008A025A"/>
    <w:rsid w:val="008B34FB"/>
    <w:rsid w:val="008B6957"/>
    <w:rsid w:val="008D2A2C"/>
    <w:rsid w:val="008D2F91"/>
    <w:rsid w:val="008D3457"/>
    <w:rsid w:val="008E1E18"/>
    <w:rsid w:val="008E4E89"/>
    <w:rsid w:val="008F015E"/>
    <w:rsid w:val="008F20DC"/>
    <w:rsid w:val="008F43E0"/>
    <w:rsid w:val="008F6060"/>
    <w:rsid w:val="00902CEC"/>
    <w:rsid w:val="00905822"/>
    <w:rsid w:val="00910E08"/>
    <w:rsid w:val="00913ABF"/>
    <w:rsid w:val="00914092"/>
    <w:rsid w:val="00914B02"/>
    <w:rsid w:val="009153CC"/>
    <w:rsid w:val="0091702C"/>
    <w:rsid w:val="0092134C"/>
    <w:rsid w:val="009353E4"/>
    <w:rsid w:val="00935923"/>
    <w:rsid w:val="00942441"/>
    <w:rsid w:val="009442F9"/>
    <w:rsid w:val="00961E3C"/>
    <w:rsid w:val="00962CDC"/>
    <w:rsid w:val="009636B3"/>
    <w:rsid w:val="00965FCD"/>
    <w:rsid w:val="00971051"/>
    <w:rsid w:val="00971DB2"/>
    <w:rsid w:val="00987205"/>
    <w:rsid w:val="0099268B"/>
    <w:rsid w:val="00992C32"/>
    <w:rsid w:val="009A2860"/>
    <w:rsid w:val="009B0AAA"/>
    <w:rsid w:val="009B6AD8"/>
    <w:rsid w:val="009B6C5A"/>
    <w:rsid w:val="009C1431"/>
    <w:rsid w:val="009D47D1"/>
    <w:rsid w:val="009E4C80"/>
    <w:rsid w:val="009F4302"/>
    <w:rsid w:val="009F44E8"/>
    <w:rsid w:val="009F4BD1"/>
    <w:rsid w:val="009F61F7"/>
    <w:rsid w:val="00A03F37"/>
    <w:rsid w:val="00A13673"/>
    <w:rsid w:val="00A1380D"/>
    <w:rsid w:val="00A2426B"/>
    <w:rsid w:val="00A30841"/>
    <w:rsid w:val="00A31264"/>
    <w:rsid w:val="00A34460"/>
    <w:rsid w:val="00A44A71"/>
    <w:rsid w:val="00A46AC9"/>
    <w:rsid w:val="00A6574F"/>
    <w:rsid w:val="00A66F7E"/>
    <w:rsid w:val="00A70741"/>
    <w:rsid w:val="00A70E91"/>
    <w:rsid w:val="00A72591"/>
    <w:rsid w:val="00A72E38"/>
    <w:rsid w:val="00A74622"/>
    <w:rsid w:val="00A76889"/>
    <w:rsid w:val="00A812D2"/>
    <w:rsid w:val="00A8259A"/>
    <w:rsid w:val="00A84247"/>
    <w:rsid w:val="00A87D23"/>
    <w:rsid w:val="00A92F44"/>
    <w:rsid w:val="00A93F06"/>
    <w:rsid w:val="00AA6C34"/>
    <w:rsid w:val="00AB61D2"/>
    <w:rsid w:val="00AB7EAF"/>
    <w:rsid w:val="00AC1895"/>
    <w:rsid w:val="00AC7847"/>
    <w:rsid w:val="00AD0E85"/>
    <w:rsid w:val="00AD499D"/>
    <w:rsid w:val="00AE66EA"/>
    <w:rsid w:val="00AF0284"/>
    <w:rsid w:val="00AF3357"/>
    <w:rsid w:val="00AF5EB3"/>
    <w:rsid w:val="00B0527D"/>
    <w:rsid w:val="00B165DE"/>
    <w:rsid w:val="00B3577A"/>
    <w:rsid w:val="00B40321"/>
    <w:rsid w:val="00B46D62"/>
    <w:rsid w:val="00B75DAC"/>
    <w:rsid w:val="00B76F8A"/>
    <w:rsid w:val="00B822A2"/>
    <w:rsid w:val="00B82654"/>
    <w:rsid w:val="00B82D81"/>
    <w:rsid w:val="00B85D1F"/>
    <w:rsid w:val="00B87F52"/>
    <w:rsid w:val="00B90AC9"/>
    <w:rsid w:val="00B9462C"/>
    <w:rsid w:val="00BA162F"/>
    <w:rsid w:val="00BB1839"/>
    <w:rsid w:val="00BB2532"/>
    <w:rsid w:val="00BB7287"/>
    <w:rsid w:val="00BC433A"/>
    <w:rsid w:val="00BC7852"/>
    <w:rsid w:val="00BD5959"/>
    <w:rsid w:val="00BE4F99"/>
    <w:rsid w:val="00BE52CC"/>
    <w:rsid w:val="00BF285A"/>
    <w:rsid w:val="00BF7DC0"/>
    <w:rsid w:val="00C0038D"/>
    <w:rsid w:val="00C036E3"/>
    <w:rsid w:val="00C05429"/>
    <w:rsid w:val="00C11D18"/>
    <w:rsid w:val="00C14E40"/>
    <w:rsid w:val="00C17E0F"/>
    <w:rsid w:val="00C21751"/>
    <w:rsid w:val="00C259C8"/>
    <w:rsid w:val="00C42E94"/>
    <w:rsid w:val="00C507EE"/>
    <w:rsid w:val="00C64C52"/>
    <w:rsid w:val="00C64CE0"/>
    <w:rsid w:val="00C74460"/>
    <w:rsid w:val="00C7606D"/>
    <w:rsid w:val="00C7612E"/>
    <w:rsid w:val="00C76A0F"/>
    <w:rsid w:val="00C86876"/>
    <w:rsid w:val="00CA14F2"/>
    <w:rsid w:val="00CA40A2"/>
    <w:rsid w:val="00CB16F3"/>
    <w:rsid w:val="00CB7E4A"/>
    <w:rsid w:val="00CD3B0A"/>
    <w:rsid w:val="00CE5772"/>
    <w:rsid w:val="00CE5EF9"/>
    <w:rsid w:val="00CF2AF0"/>
    <w:rsid w:val="00D026DF"/>
    <w:rsid w:val="00D10C46"/>
    <w:rsid w:val="00D136BF"/>
    <w:rsid w:val="00D227E6"/>
    <w:rsid w:val="00D23C03"/>
    <w:rsid w:val="00D3458E"/>
    <w:rsid w:val="00D40BD0"/>
    <w:rsid w:val="00D420C1"/>
    <w:rsid w:val="00D523F7"/>
    <w:rsid w:val="00D53224"/>
    <w:rsid w:val="00D54223"/>
    <w:rsid w:val="00D673E0"/>
    <w:rsid w:val="00D85DAF"/>
    <w:rsid w:val="00D86216"/>
    <w:rsid w:val="00D94497"/>
    <w:rsid w:val="00DB0328"/>
    <w:rsid w:val="00DB3079"/>
    <w:rsid w:val="00DB7603"/>
    <w:rsid w:val="00DC2570"/>
    <w:rsid w:val="00DC2BDD"/>
    <w:rsid w:val="00DC6DB7"/>
    <w:rsid w:val="00DD5507"/>
    <w:rsid w:val="00DE19F4"/>
    <w:rsid w:val="00DE2518"/>
    <w:rsid w:val="00DE2B26"/>
    <w:rsid w:val="00DF72B2"/>
    <w:rsid w:val="00DF793D"/>
    <w:rsid w:val="00E06A9C"/>
    <w:rsid w:val="00E1140B"/>
    <w:rsid w:val="00E13739"/>
    <w:rsid w:val="00E2005E"/>
    <w:rsid w:val="00E21457"/>
    <w:rsid w:val="00E22515"/>
    <w:rsid w:val="00E42F9F"/>
    <w:rsid w:val="00E4724F"/>
    <w:rsid w:val="00E5129E"/>
    <w:rsid w:val="00E51FE7"/>
    <w:rsid w:val="00E62217"/>
    <w:rsid w:val="00E6415C"/>
    <w:rsid w:val="00E67FF9"/>
    <w:rsid w:val="00E77982"/>
    <w:rsid w:val="00EA51BF"/>
    <w:rsid w:val="00EA7AA2"/>
    <w:rsid w:val="00EB437A"/>
    <w:rsid w:val="00EB5C48"/>
    <w:rsid w:val="00ED5FA3"/>
    <w:rsid w:val="00ED6A38"/>
    <w:rsid w:val="00EE2E54"/>
    <w:rsid w:val="00F03179"/>
    <w:rsid w:val="00F03AC5"/>
    <w:rsid w:val="00F050E1"/>
    <w:rsid w:val="00F23B15"/>
    <w:rsid w:val="00F25650"/>
    <w:rsid w:val="00F3107B"/>
    <w:rsid w:val="00F427C3"/>
    <w:rsid w:val="00F52B2B"/>
    <w:rsid w:val="00F56450"/>
    <w:rsid w:val="00F663EC"/>
    <w:rsid w:val="00F67013"/>
    <w:rsid w:val="00F70B58"/>
    <w:rsid w:val="00F71FF1"/>
    <w:rsid w:val="00F9687F"/>
    <w:rsid w:val="00FA6B9B"/>
    <w:rsid w:val="00FB2C14"/>
    <w:rsid w:val="00FC1EA0"/>
    <w:rsid w:val="00FD35FF"/>
    <w:rsid w:val="00FD602C"/>
    <w:rsid w:val="00FD68AB"/>
    <w:rsid w:val="00FE1F1D"/>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tabs>
        <w:tab w:val="num" w:pos="360"/>
      </w:tabs>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link w:val="Heading1Char"/>
    <w:uiPriority w:val="9"/>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tabs>
        <w:tab w:val="num" w:pos="360"/>
      </w:tabs>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 w:type="paragraph" w:styleId="EndnoteText">
    <w:name w:val="endnote text"/>
    <w:basedOn w:val="Normal"/>
    <w:link w:val="EndnoteTextChar"/>
    <w:rsid w:val="00074494"/>
    <w:rPr>
      <w:szCs w:val="20"/>
    </w:rPr>
  </w:style>
  <w:style w:type="character" w:customStyle="1" w:styleId="EndnoteTextChar">
    <w:name w:val="Endnote Text Char"/>
    <w:basedOn w:val="DefaultParagraphFont"/>
    <w:link w:val="EndnoteText"/>
    <w:rsid w:val="00074494"/>
  </w:style>
  <w:style w:type="character" w:styleId="EndnoteReference">
    <w:name w:val="endnote reference"/>
    <w:basedOn w:val="DefaultParagraphFont"/>
    <w:rsid w:val="00074494"/>
    <w:rPr>
      <w:vertAlign w:val="superscript"/>
    </w:rPr>
  </w:style>
  <w:style w:type="character" w:customStyle="1" w:styleId="Heading1Char">
    <w:name w:val="Heading 1 Char"/>
    <w:basedOn w:val="DefaultParagraphFont"/>
    <w:link w:val="Heading1"/>
    <w:uiPriority w:val="9"/>
    <w:rsid w:val="0053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30269">
      <w:bodyDiv w:val="1"/>
      <w:marLeft w:val="0"/>
      <w:marRight w:val="0"/>
      <w:marTop w:val="0"/>
      <w:marBottom w:val="0"/>
      <w:divBdr>
        <w:top w:val="none" w:sz="0" w:space="0" w:color="auto"/>
        <w:left w:val="none" w:sz="0" w:space="0" w:color="auto"/>
        <w:bottom w:val="none" w:sz="0" w:space="0" w:color="auto"/>
        <w:right w:val="none" w:sz="0" w:space="0" w:color="auto"/>
      </w:divBdr>
    </w:div>
    <w:div w:id="407965647">
      <w:bodyDiv w:val="1"/>
      <w:marLeft w:val="0"/>
      <w:marRight w:val="0"/>
      <w:marTop w:val="0"/>
      <w:marBottom w:val="0"/>
      <w:divBdr>
        <w:top w:val="none" w:sz="0" w:space="0" w:color="auto"/>
        <w:left w:val="none" w:sz="0" w:space="0" w:color="auto"/>
        <w:bottom w:val="none" w:sz="0" w:space="0" w:color="auto"/>
        <w:right w:val="none" w:sz="0" w:space="0" w:color="auto"/>
      </w:divBdr>
    </w:div>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899094313">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898659080">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347AA11-0C9E-4046-ADCC-57A0087FD1AF}"/>
      </w:docPartPr>
      <w:docPartBody>
        <w:p w:rsidR="003541F5" w:rsidRDefault="00BF5E02">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20124"/>
    <w:rsid w:val="00047F66"/>
    <w:rsid w:val="00062F0F"/>
    <w:rsid w:val="000D0672"/>
    <w:rsid w:val="001213AC"/>
    <w:rsid w:val="001300F3"/>
    <w:rsid w:val="002267F1"/>
    <w:rsid w:val="002470D1"/>
    <w:rsid w:val="002A346A"/>
    <w:rsid w:val="00311330"/>
    <w:rsid w:val="003541F5"/>
    <w:rsid w:val="00354701"/>
    <w:rsid w:val="0037002B"/>
    <w:rsid w:val="003F4FD5"/>
    <w:rsid w:val="00423EE7"/>
    <w:rsid w:val="00487004"/>
    <w:rsid w:val="004E6295"/>
    <w:rsid w:val="0053605C"/>
    <w:rsid w:val="005405E5"/>
    <w:rsid w:val="005D2FDC"/>
    <w:rsid w:val="005D4209"/>
    <w:rsid w:val="006402D7"/>
    <w:rsid w:val="00674FDD"/>
    <w:rsid w:val="006B3E1F"/>
    <w:rsid w:val="006C7F14"/>
    <w:rsid w:val="006D159A"/>
    <w:rsid w:val="006F4BFF"/>
    <w:rsid w:val="0075464D"/>
    <w:rsid w:val="00770976"/>
    <w:rsid w:val="00797AC7"/>
    <w:rsid w:val="007B388F"/>
    <w:rsid w:val="00812E14"/>
    <w:rsid w:val="0081425E"/>
    <w:rsid w:val="0088690D"/>
    <w:rsid w:val="008A0A2C"/>
    <w:rsid w:val="008B770C"/>
    <w:rsid w:val="008D1B94"/>
    <w:rsid w:val="009B2A99"/>
    <w:rsid w:val="009C0A12"/>
    <w:rsid w:val="00A14B8B"/>
    <w:rsid w:val="00A56C0C"/>
    <w:rsid w:val="00A62D9A"/>
    <w:rsid w:val="00A637CB"/>
    <w:rsid w:val="00BC09CA"/>
    <w:rsid w:val="00BF5E02"/>
    <w:rsid w:val="00C173F9"/>
    <w:rsid w:val="00C403C8"/>
    <w:rsid w:val="00C65DA4"/>
    <w:rsid w:val="00CA1F07"/>
    <w:rsid w:val="00D705BB"/>
    <w:rsid w:val="00DA0D37"/>
    <w:rsid w:val="00DA3979"/>
    <w:rsid w:val="00DB1DAF"/>
    <w:rsid w:val="00DF5A7C"/>
    <w:rsid w:val="00E2760E"/>
    <w:rsid w:val="00E440CF"/>
    <w:rsid w:val="00E66C6F"/>
    <w:rsid w:val="00EC584B"/>
    <w:rsid w:val="00EE7D49"/>
    <w:rsid w:val="00EF4FD4"/>
    <w:rsid w:val="00F13663"/>
    <w:rsid w:val="00F422FC"/>
    <w:rsid w:val="00FB3805"/>
    <w:rsid w:val="00FB7E05"/>
    <w:rsid w:val="00FD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37"/>
    <w:rPr>
      <w:color w:val="808080"/>
    </w:rPr>
  </w:style>
  <w:style w:type="paragraph" w:customStyle="1" w:styleId="B44AAAE243E14F39B6829E1A440A6962">
    <w:name w:val="B44AAAE243E14F39B6829E1A440A6962"/>
    <w:rsid w:val="007B388F"/>
  </w:style>
  <w:style w:type="paragraph" w:customStyle="1" w:styleId="F98FD1F77527483F8C31EBE0C659BB2E">
    <w:name w:val="F98FD1F77527483F8C31EBE0C659BB2E"/>
    <w:rsid w:val="007B388F"/>
  </w:style>
  <w:style w:type="paragraph" w:customStyle="1" w:styleId="12036B9EA59E455EA5FE0393204DD32B">
    <w:name w:val="12036B9EA59E455EA5FE0393204DD32B"/>
    <w:rsid w:val="007B388F"/>
  </w:style>
  <w:style w:type="paragraph" w:customStyle="1" w:styleId="56F7005E654547DEA425E49300B7FC72">
    <w:name w:val="56F7005E654547DEA425E49300B7FC72"/>
    <w:rsid w:val="007B388F"/>
  </w:style>
  <w:style w:type="paragraph" w:customStyle="1" w:styleId="F16D408A3B6247A0B6FB2A72840ADB32">
    <w:name w:val="F16D408A3B6247A0B6FB2A72840ADB32"/>
    <w:rsid w:val="007B388F"/>
  </w:style>
  <w:style w:type="paragraph" w:customStyle="1" w:styleId="7A83FC5AA00842FAAFC741C79F9279D1">
    <w:name w:val="7A83FC5AA00842FAAFC741C79F9279D1"/>
    <w:rsid w:val="005405E5"/>
  </w:style>
  <w:style w:type="paragraph" w:customStyle="1" w:styleId="4C0CCD5AD58446BFA1EE66F1DEFD7052">
    <w:name w:val="4C0CCD5AD58446BFA1EE66F1DEFD7052"/>
    <w:rsid w:val="005405E5"/>
  </w:style>
  <w:style w:type="paragraph" w:customStyle="1" w:styleId="C4EAA1A1DA7A40E1A769B3154AEE9CDF">
    <w:name w:val="C4EAA1A1DA7A40E1A769B3154AEE9CDF"/>
    <w:rsid w:val="005405E5"/>
  </w:style>
  <w:style w:type="paragraph" w:customStyle="1" w:styleId="097BCFBE86BB4A9B93348B136326BDF4">
    <w:name w:val="097BCFBE86BB4A9B93348B136326BDF4"/>
    <w:rsid w:val="005405E5"/>
  </w:style>
  <w:style w:type="paragraph" w:customStyle="1" w:styleId="7C3735300B754F58A9A31DAA0224319C">
    <w:name w:val="7C3735300B754F58A9A31DAA0224319C"/>
    <w:rsid w:val="005405E5"/>
  </w:style>
  <w:style w:type="paragraph" w:customStyle="1" w:styleId="E0224E5DDF6048F489EDC970649E90BD">
    <w:name w:val="E0224E5DDF6048F489EDC970649E90BD"/>
    <w:rsid w:val="005405E5"/>
  </w:style>
  <w:style w:type="paragraph" w:customStyle="1" w:styleId="0D08731737EB4633A0E3F1802BE9B701">
    <w:name w:val="0D08731737EB4633A0E3F1802BE9B701"/>
    <w:rsid w:val="005405E5"/>
  </w:style>
  <w:style w:type="paragraph" w:customStyle="1" w:styleId="A2BEC8C86EF343248892E0F0A28BFFA0">
    <w:name w:val="A2BEC8C86EF343248892E0F0A28BFFA0"/>
    <w:rsid w:val="00DA0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758ADB9EBC8A43A117036C69ABE844" ma:contentTypeVersion="135" ma:contentTypeDescription="" ma:contentTypeScope="" ma:versionID="53628a5e56418168dd7d80469c0346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2013-02-11T08:00:00+00:00</OpenedDate>
    <Date1 xmlns="dc463f71-b30c-4ab2-9473-d307f9d35888">2013-03-20T07:00:00+00:00</Date1>
    <IsDocumentOrder xmlns="dc463f71-b30c-4ab2-9473-d307f9d35888" xsi:nil="true"/>
    <IsHighlyConfidential xmlns="dc463f71-b30c-4ab2-9473-d307f9d35888">false</IsHighlyConfidential>
    <CaseCompanyNames xmlns="dc463f71-b30c-4ab2-9473-d307f9d35888">John Chi International Corp.</CaseCompanyNames>
    <DocketNumber xmlns="dc463f71-b30c-4ab2-9473-d307f9d35888">130204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FBC5B1-3AC6-4F77-B800-68C6BC029B2A}"/>
</file>

<file path=customXml/itemProps2.xml><?xml version="1.0" encoding="utf-8"?>
<ds:datastoreItem xmlns:ds="http://schemas.openxmlformats.org/officeDocument/2006/customXml" ds:itemID="{48E6F3C3-7F22-4AEB-BE69-3381EE9E5B35}"/>
</file>

<file path=customXml/itemProps3.xml><?xml version="1.0" encoding="utf-8"?>
<ds:datastoreItem xmlns:ds="http://schemas.openxmlformats.org/officeDocument/2006/customXml" ds:itemID="{3DF8BD9B-C629-425D-8374-339D61289E54}"/>
</file>

<file path=customXml/itemProps4.xml><?xml version="1.0" encoding="utf-8"?>
<ds:datastoreItem xmlns:ds="http://schemas.openxmlformats.org/officeDocument/2006/customXml" ds:itemID="{080EDE8E-75E6-40E6-B61A-06A034A78183}"/>
</file>

<file path=customXml/itemProps5.xml><?xml version="1.0" encoding="utf-8"?>
<ds:datastoreItem xmlns:ds="http://schemas.openxmlformats.org/officeDocument/2006/customXml" ds:itemID="{51CB70ED-3EF1-4680-A9ED-34F412BDF6F8}"/>
</file>

<file path=docProps/app.xml><?xml version="1.0" encoding="utf-8"?>
<Properties xmlns="http://schemas.openxmlformats.org/officeDocument/2006/extended-properties" xmlns:vt="http://schemas.openxmlformats.org/officeDocument/2006/docPropsVTypes">
  <Template>Normal.dotm</Template>
  <TotalTime>1110</TotalTime>
  <Pages>9</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Mathew Perkinson</cp:lastModifiedBy>
  <cp:revision>197</cp:revision>
  <cp:lastPrinted>2013-03-19T14:53:00Z</cp:lastPrinted>
  <dcterms:created xsi:type="dcterms:W3CDTF">2012-07-23T19:55:00Z</dcterms:created>
  <dcterms:modified xsi:type="dcterms:W3CDTF">2013-03-19T19:48:00Z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0x0101006E56B4D1795A2E4DB2F0B01679ED314A00BE758ADB9EBC8A43A117036C69ABE844</vt:lpwstr>
  </property>
  <property fmtid="{D5CDD505-2E9C-101B-9397-08002B2CF9AE}" pid="3" name="_docset_NoMedatataSyncRequired">
    <vt:lpwstr>False</vt:lpwstr>
  </property>
</Properties>
</file>