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4199E" w14:textId="77777777" w:rsidR="00F0631D" w:rsidRPr="00843651" w:rsidRDefault="00F0631D" w:rsidP="000E03CA">
      <w:pPr>
        <w:rPr>
          <w:rFonts w:ascii="Times New Roman" w:hAnsi="Times New Roman"/>
        </w:rPr>
      </w:pPr>
      <w:bookmarkStart w:id="0" w:name="_GoBack"/>
      <w:bookmarkEnd w:id="0"/>
    </w:p>
    <w:p w14:paraId="0031AAEF" w14:textId="5F0B1E52" w:rsidR="000E03CA" w:rsidRPr="00843651" w:rsidRDefault="000E03CA" w:rsidP="000E03CA">
      <w:pPr>
        <w:rPr>
          <w:rFonts w:ascii="Times New Roman" w:hAnsi="Times New Roman"/>
        </w:rPr>
      </w:pPr>
      <w:r w:rsidRPr="00843651">
        <w:rPr>
          <w:rFonts w:ascii="Times New Roman" w:hAnsi="Times New Roman"/>
        </w:rPr>
        <w:t>Agenda Date:</w:t>
      </w:r>
      <w:r w:rsidRPr="00843651">
        <w:rPr>
          <w:rFonts w:ascii="Times New Roman" w:hAnsi="Times New Roman"/>
        </w:rPr>
        <w:tab/>
      </w:r>
      <w:r w:rsidRPr="00843651">
        <w:rPr>
          <w:rFonts w:ascii="Times New Roman" w:hAnsi="Times New Roman"/>
        </w:rPr>
        <w:tab/>
      </w:r>
      <w:r w:rsidR="00F0631D" w:rsidRPr="00843651">
        <w:rPr>
          <w:rFonts w:ascii="Times New Roman" w:hAnsi="Times New Roman"/>
        </w:rPr>
        <w:t>December 21</w:t>
      </w:r>
      <w:r w:rsidRPr="00843651">
        <w:rPr>
          <w:rFonts w:ascii="Times New Roman" w:hAnsi="Times New Roman"/>
        </w:rPr>
        <w:t>, 2012</w:t>
      </w:r>
    </w:p>
    <w:p w14:paraId="0031AAF0" w14:textId="1318F385" w:rsidR="000E03CA" w:rsidRPr="00843651" w:rsidRDefault="000E03CA" w:rsidP="003A447A">
      <w:pPr>
        <w:ind w:left="2160" w:hanging="2160"/>
        <w:rPr>
          <w:rFonts w:ascii="Times New Roman" w:hAnsi="Times New Roman"/>
        </w:rPr>
      </w:pPr>
      <w:r w:rsidRPr="00843651">
        <w:rPr>
          <w:rFonts w:ascii="Times New Roman" w:hAnsi="Times New Roman"/>
        </w:rPr>
        <w:t>Item Number:</w:t>
      </w:r>
      <w:r w:rsidRPr="00843651">
        <w:rPr>
          <w:rFonts w:ascii="Times New Roman" w:hAnsi="Times New Roman"/>
        </w:rPr>
        <w:tab/>
      </w:r>
      <w:r w:rsidR="00961558">
        <w:rPr>
          <w:rFonts w:ascii="Times New Roman" w:hAnsi="Times New Roman"/>
        </w:rPr>
        <w:t>D3</w:t>
      </w:r>
    </w:p>
    <w:p w14:paraId="0031AAF1" w14:textId="77777777" w:rsidR="000E03CA" w:rsidRPr="00843651" w:rsidRDefault="000E03CA" w:rsidP="000E03CA">
      <w:pPr>
        <w:rPr>
          <w:rFonts w:ascii="Times New Roman" w:hAnsi="Times New Roman"/>
        </w:rPr>
      </w:pPr>
    </w:p>
    <w:p w14:paraId="0031AAF2" w14:textId="1C242D25" w:rsidR="000E03CA" w:rsidRPr="00843651" w:rsidRDefault="000E03CA" w:rsidP="000E03CA">
      <w:pPr>
        <w:rPr>
          <w:rFonts w:ascii="Times New Roman" w:hAnsi="Times New Roman"/>
          <w:b/>
          <w:bCs/>
        </w:rPr>
      </w:pPr>
      <w:r w:rsidRPr="00843651">
        <w:rPr>
          <w:rFonts w:ascii="Times New Roman" w:hAnsi="Times New Roman"/>
          <w:b/>
          <w:bCs/>
        </w:rPr>
        <w:t>Docket:</w:t>
      </w:r>
      <w:r w:rsidRPr="00843651">
        <w:rPr>
          <w:rFonts w:ascii="Times New Roman" w:hAnsi="Times New Roman"/>
          <w:b/>
          <w:bCs/>
        </w:rPr>
        <w:tab/>
      </w:r>
      <w:r w:rsidRPr="00843651">
        <w:rPr>
          <w:rFonts w:ascii="Times New Roman" w:hAnsi="Times New Roman"/>
          <w:b/>
          <w:bCs/>
        </w:rPr>
        <w:tab/>
      </w:r>
      <w:r w:rsidR="00337558" w:rsidRPr="00843651">
        <w:rPr>
          <w:rFonts w:ascii="Times New Roman" w:hAnsi="Times New Roman"/>
          <w:b/>
          <w:bCs/>
        </w:rPr>
        <w:t>UG-12188</w:t>
      </w:r>
      <w:r w:rsidR="00F0631D" w:rsidRPr="00843651">
        <w:rPr>
          <w:rFonts w:ascii="Times New Roman" w:hAnsi="Times New Roman"/>
          <w:b/>
          <w:bCs/>
        </w:rPr>
        <w:t>6</w:t>
      </w:r>
    </w:p>
    <w:p w14:paraId="0031AAF3" w14:textId="77777777" w:rsidR="000E03CA" w:rsidRPr="00843651" w:rsidRDefault="000E03CA" w:rsidP="000E03CA">
      <w:pPr>
        <w:rPr>
          <w:rFonts w:ascii="Times New Roman" w:hAnsi="Times New Roman"/>
        </w:rPr>
      </w:pPr>
      <w:r w:rsidRPr="00843651">
        <w:rPr>
          <w:rFonts w:ascii="Times New Roman" w:hAnsi="Times New Roman"/>
        </w:rPr>
        <w:t>Company:</w:t>
      </w:r>
      <w:r w:rsidRPr="00843651">
        <w:rPr>
          <w:rFonts w:ascii="Times New Roman" w:hAnsi="Times New Roman"/>
        </w:rPr>
        <w:tab/>
      </w:r>
      <w:r w:rsidRPr="00843651">
        <w:rPr>
          <w:rFonts w:ascii="Times New Roman" w:hAnsi="Times New Roman"/>
        </w:rPr>
        <w:tab/>
      </w:r>
      <w:r w:rsidR="00A63258" w:rsidRPr="00843651">
        <w:rPr>
          <w:rFonts w:ascii="Times New Roman" w:hAnsi="Times New Roman"/>
        </w:rPr>
        <w:t>Northwest Natural Gas Company</w:t>
      </w:r>
    </w:p>
    <w:p w14:paraId="0031AAF4" w14:textId="77777777" w:rsidR="00C02A77" w:rsidRPr="00843651" w:rsidRDefault="00C02A77" w:rsidP="000E03CA">
      <w:pPr>
        <w:rPr>
          <w:rFonts w:ascii="Times New Roman" w:hAnsi="Times New Roman"/>
        </w:rPr>
      </w:pPr>
    </w:p>
    <w:p w14:paraId="0031AAF5" w14:textId="77777777" w:rsidR="000E03CA" w:rsidRPr="00843651" w:rsidRDefault="00766124" w:rsidP="00766124">
      <w:pPr>
        <w:rPr>
          <w:rFonts w:ascii="Times New Roman" w:hAnsi="Times New Roman"/>
        </w:rPr>
      </w:pPr>
      <w:r w:rsidRPr="00843651">
        <w:rPr>
          <w:rFonts w:ascii="Times New Roman" w:hAnsi="Times New Roman"/>
        </w:rPr>
        <w:t>Staff:</w:t>
      </w:r>
      <w:r w:rsidRPr="00843651">
        <w:rPr>
          <w:rFonts w:ascii="Times New Roman" w:hAnsi="Times New Roman"/>
        </w:rPr>
        <w:tab/>
      </w:r>
      <w:r w:rsidRPr="00843651">
        <w:rPr>
          <w:rFonts w:ascii="Times New Roman" w:hAnsi="Times New Roman"/>
        </w:rPr>
        <w:tab/>
      </w:r>
      <w:r w:rsidR="000E03CA" w:rsidRPr="00843651">
        <w:rPr>
          <w:rFonts w:ascii="Times New Roman" w:hAnsi="Times New Roman"/>
        </w:rPr>
        <w:t xml:space="preserve"> </w:t>
      </w:r>
      <w:r w:rsidRPr="00843651">
        <w:rPr>
          <w:rFonts w:ascii="Times New Roman" w:hAnsi="Times New Roman"/>
        </w:rPr>
        <w:tab/>
      </w:r>
      <w:r w:rsidR="000E03CA" w:rsidRPr="00843651">
        <w:rPr>
          <w:rFonts w:ascii="Times New Roman" w:hAnsi="Times New Roman"/>
        </w:rPr>
        <w:t>Chris McGuire, Regulatory Analyst</w:t>
      </w:r>
    </w:p>
    <w:p w14:paraId="62090320" w14:textId="0C378CE1" w:rsidR="00766CE4" w:rsidRPr="00843651" w:rsidRDefault="00766CE4" w:rsidP="00766124">
      <w:pPr>
        <w:rPr>
          <w:rFonts w:ascii="Times New Roman" w:hAnsi="Times New Roman"/>
        </w:rPr>
      </w:pPr>
      <w:r w:rsidRPr="00843651">
        <w:rPr>
          <w:rFonts w:ascii="Times New Roman" w:hAnsi="Times New Roman"/>
        </w:rPr>
        <w:tab/>
      </w:r>
      <w:r w:rsidRPr="00843651">
        <w:rPr>
          <w:rFonts w:ascii="Times New Roman" w:hAnsi="Times New Roman"/>
        </w:rPr>
        <w:tab/>
      </w:r>
      <w:r w:rsidRPr="00843651">
        <w:rPr>
          <w:rFonts w:ascii="Times New Roman" w:hAnsi="Times New Roman"/>
        </w:rPr>
        <w:tab/>
      </w:r>
    </w:p>
    <w:p w14:paraId="0031AAF6" w14:textId="77777777" w:rsidR="000911D5" w:rsidRPr="00843651" w:rsidRDefault="000911D5" w:rsidP="000E03CA">
      <w:pPr>
        <w:rPr>
          <w:rFonts w:ascii="Times New Roman" w:hAnsi="Times New Roman"/>
          <w:b/>
          <w:bCs/>
          <w:u w:val="single"/>
        </w:rPr>
      </w:pPr>
    </w:p>
    <w:p w14:paraId="7CF656D8" w14:textId="77777777" w:rsidR="00843651" w:rsidRPr="00775224" w:rsidRDefault="00843651" w:rsidP="00843651">
      <w:pPr>
        <w:pStyle w:val="Heading1"/>
        <w:rPr>
          <w:u w:val="single"/>
        </w:rPr>
      </w:pPr>
      <w:r w:rsidRPr="00775224">
        <w:rPr>
          <w:u w:val="single"/>
        </w:rPr>
        <w:t>Recommendation</w:t>
      </w:r>
    </w:p>
    <w:p w14:paraId="116E8A18" w14:textId="774C6AD4" w:rsidR="00843651" w:rsidRPr="00843651" w:rsidRDefault="00843651" w:rsidP="00843651">
      <w:pPr>
        <w:rPr>
          <w:rFonts w:ascii="Times New Roman" w:hAnsi="Times New Roman"/>
          <w:color w:val="1F497D"/>
        </w:rPr>
      </w:pPr>
      <w:r w:rsidRPr="00843651">
        <w:rPr>
          <w:rFonts w:ascii="Times New Roman" w:hAnsi="Times New Roman"/>
        </w:rPr>
        <w:t xml:space="preserve">Take no action, </w:t>
      </w:r>
      <w:r>
        <w:rPr>
          <w:rFonts w:ascii="Times New Roman" w:hAnsi="Times New Roman"/>
        </w:rPr>
        <w:t>thereby allowing t</w:t>
      </w:r>
      <w:r w:rsidR="006C19A6">
        <w:rPr>
          <w:rFonts w:ascii="Times New Roman" w:hAnsi="Times New Roman"/>
        </w:rPr>
        <w:t xml:space="preserve">he proposed tariff revision to </w:t>
      </w:r>
      <w:r w:rsidR="004972CF">
        <w:rPr>
          <w:rFonts w:ascii="Times New Roman" w:hAnsi="Times New Roman"/>
        </w:rPr>
        <w:t>go into effect</w:t>
      </w:r>
      <w:r w:rsidR="006C19A6">
        <w:rPr>
          <w:rFonts w:ascii="Times New Roman" w:hAnsi="Times New Roman"/>
        </w:rPr>
        <w:t xml:space="preserve"> by operation of law, and</w:t>
      </w:r>
      <w:r>
        <w:rPr>
          <w:rFonts w:ascii="Times New Roman" w:hAnsi="Times New Roman"/>
        </w:rPr>
        <w:t xml:space="preserve"> </w:t>
      </w:r>
      <w:r w:rsidR="006C19A6">
        <w:rPr>
          <w:rFonts w:ascii="Times New Roman" w:hAnsi="Times New Roman"/>
        </w:rPr>
        <w:t xml:space="preserve">acknowledging receipt of Northwest Natural Gas Company’s </w:t>
      </w:r>
      <w:r w:rsidRPr="00843651">
        <w:rPr>
          <w:rFonts w:ascii="Times New Roman" w:hAnsi="Times New Roman"/>
        </w:rPr>
        <w:t xml:space="preserve">2013 </w:t>
      </w:r>
      <w:r w:rsidR="006C19A6">
        <w:rPr>
          <w:rFonts w:ascii="Times New Roman" w:hAnsi="Times New Roman"/>
        </w:rPr>
        <w:t>Energy Efficiency Plan</w:t>
      </w:r>
      <w:r w:rsidRPr="00843651">
        <w:rPr>
          <w:rFonts w:ascii="Times New Roman" w:hAnsi="Times New Roman"/>
        </w:rPr>
        <w:t xml:space="preserve"> on </w:t>
      </w:r>
      <w:r w:rsidR="006C19A6">
        <w:rPr>
          <w:rFonts w:ascii="Times New Roman" w:hAnsi="Times New Roman"/>
        </w:rPr>
        <w:t>November 29</w:t>
      </w:r>
      <w:r>
        <w:rPr>
          <w:rFonts w:ascii="Times New Roman" w:hAnsi="Times New Roman"/>
        </w:rPr>
        <w:t>, 2012</w:t>
      </w:r>
      <w:r w:rsidR="007E7D82">
        <w:rPr>
          <w:rFonts w:ascii="Times New Roman" w:hAnsi="Times New Roman"/>
        </w:rPr>
        <w:t>,</w:t>
      </w:r>
      <w:r>
        <w:rPr>
          <w:rFonts w:ascii="Times New Roman" w:hAnsi="Times New Roman"/>
        </w:rPr>
        <w:t xml:space="preserve"> in Docket </w:t>
      </w:r>
      <w:r w:rsidR="007E7D82">
        <w:rPr>
          <w:rFonts w:ascii="Times New Roman" w:hAnsi="Times New Roman"/>
        </w:rPr>
        <w:t>UG</w:t>
      </w:r>
      <w:r>
        <w:rPr>
          <w:rFonts w:ascii="Times New Roman" w:hAnsi="Times New Roman"/>
        </w:rPr>
        <w:t>-121886</w:t>
      </w:r>
      <w:r w:rsidRPr="00843651">
        <w:rPr>
          <w:rFonts w:ascii="Times New Roman" w:hAnsi="Times New Roman"/>
        </w:rPr>
        <w:t xml:space="preserve">. </w:t>
      </w:r>
    </w:p>
    <w:p w14:paraId="58B4644E" w14:textId="77777777" w:rsidR="00843651" w:rsidRPr="00775224" w:rsidRDefault="00843651" w:rsidP="00843651">
      <w:pPr>
        <w:pStyle w:val="Heading1"/>
        <w:rPr>
          <w:u w:val="single"/>
        </w:rPr>
      </w:pPr>
      <w:r w:rsidRPr="00775224">
        <w:rPr>
          <w:u w:val="single"/>
        </w:rPr>
        <w:t>Background</w:t>
      </w:r>
    </w:p>
    <w:p w14:paraId="3C6ABE07" w14:textId="17250C7C" w:rsidR="004D072C" w:rsidRDefault="004D072C" w:rsidP="00843651">
      <w:pPr>
        <w:rPr>
          <w:rFonts w:ascii="Times New Roman" w:hAnsi="Times New Roman"/>
        </w:rPr>
      </w:pPr>
      <w:r>
        <w:rPr>
          <w:rFonts w:ascii="Times New Roman" w:hAnsi="Times New Roman"/>
        </w:rPr>
        <w:t>Northwest Natural Gas Company (NW Natural or company)</w:t>
      </w:r>
      <w:r w:rsidR="00843651" w:rsidRPr="00843651">
        <w:rPr>
          <w:rFonts w:ascii="Times New Roman" w:hAnsi="Times New Roman"/>
        </w:rPr>
        <w:t xml:space="preserve"> is currently operating its energy efficiency programs under </w:t>
      </w:r>
      <w:r w:rsidR="00BB3ABD">
        <w:rPr>
          <w:rFonts w:ascii="Times New Roman" w:hAnsi="Times New Roman"/>
        </w:rPr>
        <w:t>settlement s</w:t>
      </w:r>
      <w:r>
        <w:rPr>
          <w:rFonts w:ascii="Times New Roman" w:hAnsi="Times New Roman"/>
        </w:rPr>
        <w:t>tipulation</w:t>
      </w:r>
      <w:r w:rsidR="00843651" w:rsidRPr="00843651">
        <w:rPr>
          <w:rFonts w:ascii="Times New Roman" w:hAnsi="Times New Roman"/>
        </w:rPr>
        <w:t xml:space="preserve"> approved by the Washington Utilities and Transportation Commission (commission) </w:t>
      </w:r>
      <w:r>
        <w:rPr>
          <w:rFonts w:ascii="Times New Roman" w:hAnsi="Times New Roman"/>
        </w:rPr>
        <w:t xml:space="preserve">in Order 04 of Docket UG-080546. </w:t>
      </w:r>
      <w:r w:rsidR="00CB7DF6">
        <w:rPr>
          <w:rFonts w:ascii="Times New Roman" w:hAnsi="Times New Roman"/>
        </w:rPr>
        <w:t>The programs are administered by the Energy Trust of Oregon and reviewed and monitored by the company’s Energy Efficiency Advisory Group (EEAG) in compliance with the</w:t>
      </w:r>
      <w:r w:rsidR="00C9605B">
        <w:rPr>
          <w:rFonts w:ascii="Times New Roman" w:hAnsi="Times New Roman"/>
        </w:rPr>
        <w:t xml:space="preserve"> stipulated agreement</w:t>
      </w:r>
      <w:r w:rsidR="00904430">
        <w:rPr>
          <w:rFonts w:ascii="Times New Roman" w:hAnsi="Times New Roman"/>
        </w:rPr>
        <w:t>.</w:t>
      </w:r>
      <w:r w:rsidR="00303952">
        <w:rPr>
          <w:rFonts w:ascii="Times New Roman" w:hAnsi="Times New Roman"/>
        </w:rPr>
        <w:t xml:space="preserve"> Each year, NW Natural revises its Energy Efficiency </w:t>
      </w:r>
      <w:r w:rsidR="004534BD">
        <w:rPr>
          <w:rFonts w:ascii="Times New Roman" w:hAnsi="Times New Roman"/>
        </w:rPr>
        <w:t xml:space="preserve">(EE) </w:t>
      </w:r>
      <w:r w:rsidR="00303952">
        <w:rPr>
          <w:rFonts w:ascii="Times New Roman" w:hAnsi="Times New Roman"/>
        </w:rPr>
        <w:t>Plan to r</w:t>
      </w:r>
      <w:r w:rsidR="00024D69">
        <w:rPr>
          <w:rFonts w:ascii="Times New Roman" w:hAnsi="Times New Roman"/>
        </w:rPr>
        <w:t>eflect program modifications,</w:t>
      </w:r>
      <w:r w:rsidR="00303952">
        <w:rPr>
          <w:rFonts w:ascii="Times New Roman" w:hAnsi="Times New Roman"/>
        </w:rPr>
        <w:t xml:space="preserve"> </w:t>
      </w:r>
      <w:r w:rsidR="004534BD">
        <w:rPr>
          <w:rFonts w:ascii="Times New Roman" w:hAnsi="Times New Roman"/>
        </w:rPr>
        <w:t xml:space="preserve">a revised budget and performance metrics for the upcoming calendar year. The company submits its revised EE Plan to the commission when it makes its annual advice filing, submitted no later than December 1. </w:t>
      </w:r>
    </w:p>
    <w:p w14:paraId="7D16D7A7" w14:textId="77777777" w:rsidR="004D072C" w:rsidRDefault="004D072C" w:rsidP="00843651">
      <w:pPr>
        <w:rPr>
          <w:rFonts w:ascii="Times New Roman" w:hAnsi="Times New Roman"/>
        </w:rPr>
      </w:pPr>
    </w:p>
    <w:p w14:paraId="18FC803A" w14:textId="0BF16C99" w:rsidR="004D072C" w:rsidRDefault="00F7409B" w:rsidP="00843651">
      <w:pPr>
        <w:rPr>
          <w:rFonts w:ascii="Times New Roman" w:hAnsi="Times New Roman"/>
        </w:rPr>
      </w:pPr>
      <w:r>
        <w:rPr>
          <w:rFonts w:ascii="Times New Roman" w:hAnsi="Times New Roman"/>
        </w:rPr>
        <w:t>On November 29, 2012, NW Natural filed revisions to its tariff Schedule G</w:t>
      </w:r>
      <w:r w:rsidR="00190CA5">
        <w:rPr>
          <w:rFonts w:ascii="Times New Roman" w:hAnsi="Times New Roman"/>
        </w:rPr>
        <w:t xml:space="preserve"> in Docket UG-121886</w:t>
      </w:r>
      <w:r>
        <w:rPr>
          <w:rFonts w:ascii="Times New Roman" w:hAnsi="Times New Roman"/>
        </w:rPr>
        <w:t xml:space="preserve">. The purpose of the filing is to revise the company’s </w:t>
      </w:r>
      <w:r w:rsidR="007E7D82">
        <w:rPr>
          <w:rFonts w:ascii="Times New Roman" w:hAnsi="Times New Roman"/>
        </w:rPr>
        <w:t>EE</w:t>
      </w:r>
      <w:r>
        <w:rPr>
          <w:rFonts w:ascii="Times New Roman" w:hAnsi="Times New Roman"/>
        </w:rPr>
        <w:t xml:space="preserve"> Plan</w:t>
      </w:r>
      <w:r w:rsidR="007E7D82">
        <w:rPr>
          <w:rFonts w:ascii="Times New Roman" w:hAnsi="Times New Roman"/>
        </w:rPr>
        <w:t>,</w:t>
      </w:r>
      <w:r>
        <w:rPr>
          <w:rFonts w:ascii="Times New Roman" w:hAnsi="Times New Roman"/>
        </w:rPr>
        <w:t xml:space="preserve"> which </w:t>
      </w:r>
      <w:r w:rsidR="007E7D82">
        <w:rPr>
          <w:rFonts w:ascii="Times New Roman" w:hAnsi="Times New Roman"/>
        </w:rPr>
        <w:t xml:space="preserve">is incorporated by </w:t>
      </w:r>
      <w:r>
        <w:rPr>
          <w:rFonts w:ascii="Times New Roman" w:hAnsi="Times New Roman"/>
        </w:rPr>
        <w:t xml:space="preserve">reference on Sheet G.1 of the company’s </w:t>
      </w:r>
      <w:r w:rsidR="007E7D82">
        <w:rPr>
          <w:rFonts w:ascii="Times New Roman" w:hAnsi="Times New Roman"/>
        </w:rPr>
        <w:t>tariff</w:t>
      </w:r>
      <w:r>
        <w:rPr>
          <w:rFonts w:ascii="Times New Roman" w:hAnsi="Times New Roman"/>
        </w:rPr>
        <w:t xml:space="preserve">. The plan is revised to include the 2013 calendar year program goals and </w:t>
      </w:r>
      <w:r w:rsidR="00CD62CB">
        <w:rPr>
          <w:rFonts w:ascii="Times New Roman" w:hAnsi="Times New Roman"/>
        </w:rPr>
        <w:t>budget and to reflect revisions</w:t>
      </w:r>
      <w:r>
        <w:rPr>
          <w:rFonts w:ascii="Times New Roman" w:hAnsi="Times New Roman"/>
        </w:rPr>
        <w:t xml:space="preserve"> to four of its existing incentive offerings. </w:t>
      </w:r>
      <w:r w:rsidR="00CD62CB">
        <w:rPr>
          <w:rFonts w:ascii="Times New Roman" w:hAnsi="Times New Roman"/>
        </w:rPr>
        <w:t xml:space="preserve">The proposed tariff revision is stated to become effective on January 1, 2013. </w:t>
      </w:r>
    </w:p>
    <w:p w14:paraId="4477CE45" w14:textId="77777777" w:rsidR="00CD62CB" w:rsidRDefault="00CD62CB" w:rsidP="00843651">
      <w:pPr>
        <w:rPr>
          <w:rFonts w:ascii="Times New Roman" w:hAnsi="Times New Roman"/>
        </w:rPr>
      </w:pPr>
    </w:p>
    <w:p w14:paraId="13A9BB5F" w14:textId="77414E83" w:rsidR="00CD62CB" w:rsidRDefault="00CD62CB" w:rsidP="00775224">
      <w:pPr>
        <w:rPr>
          <w:rFonts w:ascii="Times New Roman" w:hAnsi="Times New Roman"/>
        </w:rPr>
      </w:pPr>
      <w:r>
        <w:rPr>
          <w:rFonts w:ascii="Times New Roman" w:hAnsi="Times New Roman"/>
        </w:rPr>
        <w:t>In 2013, the co</w:t>
      </w:r>
      <w:r w:rsidR="00645BE0">
        <w:rPr>
          <w:rFonts w:ascii="Times New Roman" w:hAnsi="Times New Roman"/>
        </w:rPr>
        <w:t>mpany expects to acquire between 220,421</w:t>
      </w:r>
      <w:r>
        <w:rPr>
          <w:rFonts w:ascii="Times New Roman" w:hAnsi="Times New Roman"/>
        </w:rPr>
        <w:t xml:space="preserve"> </w:t>
      </w:r>
      <w:r w:rsidR="00645BE0">
        <w:rPr>
          <w:rFonts w:ascii="Times New Roman" w:hAnsi="Times New Roman"/>
        </w:rPr>
        <w:t xml:space="preserve">and 259,319 </w:t>
      </w:r>
      <w:r>
        <w:rPr>
          <w:rFonts w:ascii="Times New Roman" w:hAnsi="Times New Roman"/>
        </w:rPr>
        <w:t>therm savings in the residential and commercial se</w:t>
      </w:r>
      <w:r w:rsidR="00645BE0">
        <w:rPr>
          <w:rFonts w:ascii="Times New Roman" w:hAnsi="Times New Roman"/>
        </w:rPr>
        <w:t xml:space="preserve">ctors at a cost of between $1,430,092 and </w:t>
      </w:r>
      <w:r w:rsidR="00E13BD1">
        <w:rPr>
          <w:rFonts w:ascii="Times New Roman" w:hAnsi="Times New Roman"/>
        </w:rPr>
        <w:t xml:space="preserve">$1,613,437. </w:t>
      </w:r>
    </w:p>
    <w:p w14:paraId="387B1B9E" w14:textId="77777777" w:rsidR="00CD62CB" w:rsidRDefault="00CD62CB" w:rsidP="00843651">
      <w:pPr>
        <w:rPr>
          <w:rFonts w:ascii="Times New Roman" w:hAnsi="Times New Roman"/>
        </w:rPr>
      </w:pPr>
    </w:p>
    <w:p w14:paraId="454614C2" w14:textId="77777777" w:rsidR="00843651" w:rsidRPr="00843651" w:rsidRDefault="00843651" w:rsidP="00843651">
      <w:pPr>
        <w:rPr>
          <w:rFonts w:ascii="Times New Roman" w:hAnsi="Times New Roman"/>
        </w:rPr>
      </w:pPr>
    </w:p>
    <w:p w14:paraId="66F31400" w14:textId="1F6DEE21" w:rsidR="00843651" w:rsidRPr="00775224" w:rsidRDefault="00775224" w:rsidP="00843651">
      <w:pPr>
        <w:rPr>
          <w:rFonts w:ascii="Times New Roman" w:hAnsi="Times New Roman"/>
          <w:b/>
          <w:u w:val="single"/>
        </w:rPr>
      </w:pPr>
      <w:r>
        <w:rPr>
          <w:rFonts w:ascii="Times New Roman" w:hAnsi="Times New Roman"/>
          <w:b/>
          <w:u w:val="single"/>
        </w:rPr>
        <w:t>Discussion</w:t>
      </w:r>
    </w:p>
    <w:p w14:paraId="5D0ECF5C" w14:textId="77777777" w:rsidR="00843651" w:rsidRPr="00843651" w:rsidRDefault="00843651" w:rsidP="00843651">
      <w:pPr>
        <w:pStyle w:val="NoSpacing"/>
        <w:rPr>
          <w:szCs w:val="24"/>
        </w:rPr>
      </w:pPr>
    </w:p>
    <w:p w14:paraId="46F9571A" w14:textId="77777777" w:rsidR="00986533" w:rsidRPr="00153EA6" w:rsidRDefault="00986533" w:rsidP="00986533">
      <w:pPr>
        <w:pStyle w:val="Heading1"/>
        <w:spacing w:before="0" w:after="0"/>
        <w:rPr>
          <w:b w:val="0"/>
          <w:i/>
        </w:rPr>
      </w:pPr>
      <w:r w:rsidRPr="00153EA6">
        <w:rPr>
          <w:b w:val="0"/>
          <w:i/>
        </w:rPr>
        <w:t>Progress in 2012</w:t>
      </w:r>
    </w:p>
    <w:p w14:paraId="668F5B68" w14:textId="77777777" w:rsidR="00986533" w:rsidRDefault="00986533" w:rsidP="00986533">
      <w:pPr>
        <w:pStyle w:val="Heading1"/>
        <w:spacing w:before="0" w:after="0"/>
        <w:rPr>
          <w:b w:val="0"/>
        </w:rPr>
      </w:pPr>
    </w:p>
    <w:p w14:paraId="24B29241" w14:textId="47DFDDBB" w:rsidR="00986533" w:rsidRPr="003B29FC" w:rsidRDefault="00986533" w:rsidP="00986533">
      <w:pPr>
        <w:pStyle w:val="Heading1"/>
        <w:spacing w:before="0" w:after="0"/>
        <w:rPr>
          <w:b w:val="0"/>
        </w:rPr>
      </w:pPr>
      <w:r>
        <w:rPr>
          <w:b w:val="0"/>
        </w:rPr>
        <w:t>The company filed its 2012 Third Quarterly (Q3) Report on NW Natural’s Energy Efficiency Program on November 15, 2012</w:t>
      </w:r>
      <w:r w:rsidR="007E7D82">
        <w:rPr>
          <w:b w:val="0"/>
        </w:rPr>
        <w:t>,</w:t>
      </w:r>
      <w:r>
        <w:rPr>
          <w:b w:val="0"/>
        </w:rPr>
        <w:t xml:space="preserve"> in Docket UG-121810. Through September, NW Natural saved 103,344 therms saved at a cost of $690,430. Through nine months, the company has achieved roughly 50 percent of its savings goal for 2012 of 212,550 – 250,000, and has spent roughly 50 </w:t>
      </w:r>
      <w:r>
        <w:rPr>
          <w:b w:val="0"/>
        </w:rPr>
        <w:lastRenderedPageBreak/>
        <w:t>percent of its budget range for 2012 of $1,431,460 to $1,614,980. NW Natural has historically achieved a large proportion of its program goals in Q4, so commission staff believes that the company is on track to meet its 2012 goals.</w:t>
      </w:r>
    </w:p>
    <w:p w14:paraId="71A1898C" w14:textId="77777777" w:rsidR="00986533" w:rsidRDefault="00986533" w:rsidP="00843651">
      <w:pPr>
        <w:rPr>
          <w:rFonts w:ascii="Times New Roman" w:eastAsia="Calibri" w:hAnsi="Times New Roman"/>
        </w:rPr>
      </w:pPr>
    </w:p>
    <w:p w14:paraId="5D26BA11" w14:textId="3AFEF20E" w:rsidR="00986533" w:rsidRDefault="00986533" w:rsidP="00843651">
      <w:pPr>
        <w:rPr>
          <w:rFonts w:ascii="Times New Roman" w:eastAsia="Calibri" w:hAnsi="Times New Roman"/>
          <w:i/>
        </w:rPr>
      </w:pPr>
      <w:r>
        <w:rPr>
          <w:rFonts w:ascii="Times New Roman" w:eastAsia="Calibri" w:hAnsi="Times New Roman"/>
          <w:i/>
        </w:rPr>
        <w:t>Plan Changes for 2013</w:t>
      </w:r>
    </w:p>
    <w:p w14:paraId="31BD01E8" w14:textId="77777777" w:rsidR="00986533" w:rsidRPr="00986533" w:rsidRDefault="00986533" w:rsidP="00843651">
      <w:pPr>
        <w:rPr>
          <w:rFonts w:ascii="Times New Roman" w:eastAsia="Calibri" w:hAnsi="Times New Roman"/>
          <w:i/>
        </w:rPr>
      </w:pPr>
    </w:p>
    <w:p w14:paraId="45278829" w14:textId="47A65F21" w:rsidR="003E6BD3" w:rsidRDefault="006F0EB5" w:rsidP="00843651">
      <w:pPr>
        <w:rPr>
          <w:rFonts w:ascii="Times New Roman" w:eastAsia="Calibri" w:hAnsi="Times New Roman"/>
        </w:rPr>
      </w:pPr>
      <w:r>
        <w:rPr>
          <w:rFonts w:ascii="Times New Roman" w:eastAsia="Calibri" w:hAnsi="Times New Roman"/>
        </w:rPr>
        <w:t xml:space="preserve">NW Natural is proposing a </w:t>
      </w:r>
      <w:r w:rsidR="00386B94">
        <w:rPr>
          <w:rFonts w:ascii="Times New Roman" w:eastAsia="Calibri" w:hAnsi="Times New Roman"/>
        </w:rPr>
        <w:t>negligible change</w:t>
      </w:r>
      <w:r w:rsidR="00C9605B">
        <w:rPr>
          <w:rFonts w:ascii="Times New Roman" w:eastAsia="Calibri" w:hAnsi="Times New Roman"/>
        </w:rPr>
        <w:t xml:space="preserve"> to its</w:t>
      </w:r>
      <w:r w:rsidR="00386209">
        <w:rPr>
          <w:rFonts w:ascii="Times New Roman" w:eastAsia="Calibri" w:hAnsi="Times New Roman"/>
        </w:rPr>
        <w:t xml:space="preserve"> 2013 energy efficiency p</w:t>
      </w:r>
      <w:r w:rsidR="00386B94">
        <w:rPr>
          <w:rFonts w:ascii="Times New Roman" w:eastAsia="Calibri" w:hAnsi="Times New Roman"/>
        </w:rPr>
        <w:t>rogram budget relative to 2012. The company’s 2013 budget range of</w:t>
      </w:r>
      <w:r w:rsidR="006C4518">
        <w:rPr>
          <w:rFonts w:ascii="Times New Roman" w:eastAsia="Calibri" w:hAnsi="Times New Roman"/>
        </w:rPr>
        <w:t xml:space="preserve"> </w:t>
      </w:r>
      <w:r w:rsidR="006C4518">
        <w:rPr>
          <w:rFonts w:ascii="Times New Roman" w:hAnsi="Times New Roman"/>
        </w:rPr>
        <w:t>$1,430,</w:t>
      </w:r>
      <w:r w:rsidR="006C0294">
        <w:rPr>
          <w:rFonts w:ascii="Times New Roman" w:hAnsi="Times New Roman"/>
        </w:rPr>
        <w:t xml:space="preserve">092 </w:t>
      </w:r>
      <w:r w:rsidR="00386B94">
        <w:rPr>
          <w:rFonts w:ascii="Times New Roman" w:hAnsi="Times New Roman"/>
        </w:rPr>
        <w:t>to</w:t>
      </w:r>
      <w:r w:rsidR="006C0294">
        <w:rPr>
          <w:rFonts w:ascii="Times New Roman" w:hAnsi="Times New Roman"/>
        </w:rPr>
        <w:t xml:space="preserve"> $1,613,437  </w:t>
      </w:r>
      <w:r w:rsidR="00386B94">
        <w:rPr>
          <w:rFonts w:ascii="Times New Roman" w:hAnsi="Times New Roman"/>
        </w:rPr>
        <w:t>is virtually identical to its 2012 range of</w:t>
      </w:r>
      <w:r w:rsidR="006C0294">
        <w:rPr>
          <w:rFonts w:ascii="Times New Roman" w:hAnsi="Times New Roman"/>
        </w:rPr>
        <w:t xml:space="preserve"> $1,431,460</w:t>
      </w:r>
      <w:r w:rsidR="00386B94">
        <w:rPr>
          <w:rFonts w:ascii="Times New Roman" w:hAnsi="Times New Roman"/>
        </w:rPr>
        <w:t xml:space="preserve">  to </w:t>
      </w:r>
      <w:r w:rsidR="006C4518">
        <w:rPr>
          <w:rFonts w:ascii="Times New Roman" w:hAnsi="Times New Roman"/>
        </w:rPr>
        <w:t>$1,614,980.</w:t>
      </w:r>
      <w:r w:rsidR="00AE0666">
        <w:rPr>
          <w:rFonts w:ascii="Times New Roman" w:eastAsia="Calibri" w:hAnsi="Times New Roman"/>
        </w:rPr>
        <w:t xml:space="preserve"> </w:t>
      </w:r>
    </w:p>
    <w:p w14:paraId="18E13103" w14:textId="77777777" w:rsidR="003E6BD3" w:rsidRDefault="003E6BD3" w:rsidP="00843651">
      <w:pPr>
        <w:rPr>
          <w:rFonts w:ascii="Times New Roman" w:eastAsia="Calibri" w:hAnsi="Times New Roman"/>
        </w:rPr>
      </w:pPr>
    </w:p>
    <w:tbl>
      <w:tblPr>
        <w:tblW w:w="786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368"/>
      </w:tblGrid>
      <w:tr w:rsidR="003E6BD3" w:rsidRPr="003E6BD3" w14:paraId="73643FAA" w14:textId="77777777" w:rsidTr="003E6BD3">
        <w:trPr>
          <w:trHeight w:val="279"/>
        </w:trPr>
        <w:tc>
          <w:tcPr>
            <w:tcW w:w="3168" w:type="dxa"/>
            <w:tcBorders>
              <w:bottom w:val="single" w:sz="12" w:space="0" w:color="000000"/>
            </w:tcBorders>
            <w:shd w:val="clear" w:color="auto" w:fill="auto"/>
          </w:tcPr>
          <w:p w14:paraId="5859DEB7" w14:textId="77777777" w:rsidR="00904430" w:rsidRDefault="00904430" w:rsidP="003E6BD3">
            <w:pPr>
              <w:rPr>
                <w:rFonts w:ascii="Times New Roman" w:hAnsi="Times New Roman"/>
                <w:b/>
                <w:bCs/>
                <w:color w:val="000000" w:themeColor="text1"/>
              </w:rPr>
            </w:pPr>
          </w:p>
          <w:p w14:paraId="71B69A1C" w14:textId="4A845358" w:rsidR="003E6BD3" w:rsidRPr="003E6BD3" w:rsidRDefault="003E6BD3" w:rsidP="003E6BD3">
            <w:pPr>
              <w:rPr>
                <w:rFonts w:ascii="Times New Roman" w:hAnsi="Times New Roman"/>
                <w:b/>
                <w:bCs/>
                <w:color w:val="000080"/>
              </w:rPr>
            </w:pPr>
            <w:r w:rsidRPr="003E6BD3">
              <w:rPr>
                <w:rFonts w:ascii="Times New Roman" w:hAnsi="Times New Roman"/>
                <w:b/>
                <w:bCs/>
                <w:color w:val="000000" w:themeColor="text1"/>
              </w:rPr>
              <w:t>Program Budgets</w:t>
            </w:r>
          </w:p>
        </w:tc>
        <w:tc>
          <w:tcPr>
            <w:tcW w:w="1620" w:type="dxa"/>
            <w:tcBorders>
              <w:bottom w:val="single" w:sz="12" w:space="0" w:color="000000"/>
            </w:tcBorders>
          </w:tcPr>
          <w:p w14:paraId="449662D2" w14:textId="77777777" w:rsidR="00904430" w:rsidRDefault="00904430" w:rsidP="003E6BD3">
            <w:pPr>
              <w:jc w:val="right"/>
              <w:rPr>
                <w:rFonts w:ascii="Times New Roman" w:hAnsi="Times New Roman"/>
                <w:b/>
                <w:bCs/>
                <w:color w:val="000000" w:themeColor="text1"/>
              </w:rPr>
            </w:pPr>
          </w:p>
          <w:p w14:paraId="0543182A" w14:textId="19D50414" w:rsidR="003E6BD3" w:rsidRPr="003E6BD3" w:rsidRDefault="003E6BD3" w:rsidP="003E6BD3">
            <w:pPr>
              <w:jc w:val="right"/>
              <w:rPr>
                <w:rFonts w:ascii="Times New Roman" w:hAnsi="Times New Roman"/>
                <w:b/>
                <w:bCs/>
                <w:color w:val="000000" w:themeColor="text1"/>
              </w:rPr>
            </w:pPr>
            <w:r>
              <w:rPr>
                <w:rFonts w:ascii="Times New Roman" w:hAnsi="Times New Roman"/>
                <w:b/>
                <w:bCs/>
                <w:color w:val="000000" w:themeColor="text1"/>
              </w:rPr>
              <w:t>2012</w:t>
            </w:r>
            <w:r w:rsidRPr="003E6BD3">
              <w:rPr>
                <w:rFonts w:ascii="Times New Roman" w:hAnsi="Times New Roman"/>
                <w:b/>
                <w:bCs/>
                <w:color w:val="000000" w:themeColor="text1"/>
              </w:rPr>
              <w:t xml:space="preserve"> Budget</w:t>
            </w:r>
            <w:r w:rsidRPr="003E6BD3">
              <w:rPr>
                <w:rStyle w:val="FootnoteReference"/>
                <w:rFonts w:ascii="Times New Roman" w:hAnsi="Times New Roman"/>
                <w:b/>
                <w:bCs/>
                <w:color w:val="000000" w:themeColor="text1"/>
              </w:rPr>
              <w:footnoteReference w:id="2"/>
            </w:r>
          </w:p>
        </w:tc>
        <w:tc>
          <w:tcPr>
            <w:tcW w:w="1710" w:type="dxa"/>
            <w:tcBorders>
              <w:bottom w:val="single" w:sz="12" w:space="0" w:color="000000"/>
            </w:tcBorders>
          </w:tcPr>
          <w:p w14:paraId="2403E5DF" w14:textId="77777777" w:rsidR="00904430" w:rsidRDefault="00904430" w:rsidP="003E6BD3">
            <w:pPr>
              <w:jc w:val="right"/>
              <w:rPr>
                <w:rFonts w:ascii="Times New Roman" w:hAnsi="Times New Roman"/>
                <w:b/>
                <w:bCs/>
                <w:color w:val="000000" w:themeColor="text1"/>
              </w:rPr>
            </w:pPr>
          </w:p>
          <w:p w14:paraId="56319012" w14:textId="585B2FB7" w:rsidR="003E6BD3" w:rsidRPr="003E6BD3" w:rsidRDefault="003E6BD3" w:rsidP="003E6BD3">
            <w:pPr>
              <w:jc w:val="right"/>
              <w:rPr>
                <w:rFonts w:ascii="Times New Roman" w:hAnsi="Times New Roman"/>
                <w:b/>
                <w:bCs/>
                <w:color w:val="000000" w:themeColor="text1"/>
              </w:rPr>
            </w:pPr>
            <w:r>
              <w:rPr>
                <w:rFonts w:ascii="Times New Roman" w:hAnsi="Times New Roman"/>
                <w:b/>
                <w:bCs/>
                <w:color w:val="000000" w:themeColor="text1"/>
              </w:rPr>
              <w:t>2013</w:t>
            </w:r>
            <w:r w:rsidRPr="003E6BD3">
              <w:rPr>
                <w:rFonts w:ascii="Times New Roman" w:hAnsi="Times New Roman"/>
                <w:b/>
                <w:bCs/>
                <w:color w:val="000000" w:themeColor="text1"/>
              </w:rPr>
              <w:t xml:space="preserve"> Budget </w:t>
            </w:r>
          </w:p>
        </w:tc>
        <w:tc>
          <w:tcPr>
            <w:tcW w:w="1368" w:type="dxa"/>
            <w:tcBorders>
              <w:bottom w:val="single" w:sz="12" w:space="0" w:color="000000"/>
            </w:tcBorders>
            <w:shd w:val="clear" w:color="auto" w:fill="auto"/>
          </w:tcPr>
          <w:p w14:paraId="4670E093" w14:textId="260A6F75" w:rsidR="003E6BD3" w:rsidRPr="003E6BD3" w:rsidRDefault="003E6BD3" w:rsidP="003E6BD3">
            <w:pPr>
              <w:jc w:val="right"/>
              <w:rPr>
                <w:rFonts w:ascii="Times New Roman" w:hAnsi="Times New Roman"/>
                <w:b/>
                <w:bCs/>
                <w:color w:val="000000" w:themeColor="text1"/>
              </w:rPr>
            </w:pPr>
            <w:r w:rsidRPr="003E6BD3">
              <w:rPr>
                <w:rFonts w:ascii="Times New Roman" w:hAnsi="Times New Roman"/>
                <w:b/>
                <w:bCs/>
                <w:color w:val="000000" w:themeColor="text1"/>
              </w:rPr>
              <w:t>2012-2013 Change</w:t>
            </w:r>
          </w:p>
        </w:tc>
      </w:tr>
      <w:tr w:rsidR="003E6BD3" w:rsidRPr="003E6BD3" w14:paraId="20C2DB6E" w14:textId="77777777" w:rsidTr="003E6BD3">
        <w:trPr>
          <w:trHeight w:val="291"/>
        </w:trPr>
        <w:tc>
          <w:tcPr>
            <w:tcW w:w="3168" w:type="dxa"/>
            <w:shd w:val="clear" w:color="auto" w:fill="auto"/>
          </w:tcPr>
          <w:p w14:paraId="67EB5BE9" w14:textId="20065AD1" w:rsidR="003E6BD3" w:rsidRPr="003E6BD3" w:rsidRDefault="003E6BD3" w:rsidP="003E6BD3">
            <w:pPr>
              <w:rPr>
                <w:rFonts w:ascii="Times New Roman" w:hAnsi="Times New Roman"/>
              </w:rPr>
            </w:pPr>
            <w:r w:rsidRPr="003E6BD3">
              <w:rPr>
                <w:rFonts w:ascii="Times New Roman" w:hAnsi="Times New Roman"/>
              </w:rPr>
              <w:t xml:space="preserve">Residential </w:t>
            </w:r>
            <w:r>
              <w:rPr>
                <w:rFonts w:ascii="Times New Roman" w:hAnsi="Times New Roman"/>
              </w:rPr>
              <w:t>Retrofit</w:t>
            </w:r>
          </w:p>
        </w:tc>
        <w:tc>
          <w:tcPr>
            <w:tcW w:w="1620" w:type="dxa"/>
          </w:tcPr>
          <w:p w14:paraId="4B31DCED" w14:textId="594925A4" w:rsidR="003E6BD3" w:rsidRPr="003E6BD3" w:rsidRDefault="003E6BD3" w:rsidP="003E6BD3">
            <w:pPr>
              <w:jc w:val="right"/>
              <w:rPr>
                <w:rFonts w:ascii="Times New Roman" w:hAnsi="Times New Roman"/>
                <w:highlight w:val="yellow"/>
              </w:rPr>
            </w:pPr>
            <w:r w:rsidRPr="003E6BD3">
              <w:rPr>
                <w:rFonts w:ascii="Times New Roman" w:hAnsi="Times New Roman"/>
              </w:rPr>
              <w:t xml:space="preserve">$ </w:t>
            </w:r>
            <w:r w:rsidR="002D1AB5">
              <w:rPr>
                <w:rFonts w:ascii="Times New Roman" w:hAnsi="Times New Roman"/>
              </w:rPr>
              <w:t>531,798</w:t>
            </w:r>
            <w:r>
              <w:rPr>
                <w:rFonts w:ascii="Times New Roman" w:hAnsi="Times New Roman"/>
              </w:rPr>
              <w:t xml:space="preserve">        </w:t>
            </w:r>
          </w:p>
        </w:tc>
        <w:tc>
          <w:tcPr>
            <w:tcW w:w="1710" w:type="dxa"/>
          </w:tcPr>
          <w:p w14:paraId="25424375" w14:textId="470246D5" w:rsidR="003E6BD3" w:rsidRPr="003E6BD3" w:rsidRDefault="003E6BD3" w:rsidP="003E6BD3">
            <w:pPr>
              <w:jc w:val="right"/>
              <w:rPr>
                <w:rFonts w:ascii="Times New Roman" w:hAnsi="Times New Roman"/>
              </w:rPr>
            </w:pPr>
            <w:r>
              <w:rPr>
                <w:rFonts w:ascii="Times New Roman" w:hAnsi="Times New Roman"/>
              </w:rPr>
              <w:t xml:space="preserve">$ </w:t>
            </w:r>
            <w:r w:rsidR="002D1AB5">
              <w:rPr>
                <w:rFonts w:ascii="Times New Roman" w:hAnsi="Times New Roman"/>
              </w:rPr>
              <w:t>465,617</w:t>
            </w:r>
          </w:p>
        </w:tc>
        <w:tc>
          <w:tcPr>
            <w:tcW w:w="1368" w:type="dxa"/>
            <w:shd w:val="clear" w:color="auto" w:fill="auto"/>
          </w:tcPr>
          <w:p w14:paraId="7A22B691" w14:textId="69A0C813" w:rsidR="003E6BD3" w:rsidRPr="003E6BD3" w:rsidRDefault="002D1AB5" w:rsidP="003E6BD3">
            <w:pPr>
              <w:jc w:val="right"/>
              <w:rPr>
                <w:rFonts w:ascii="Times New Roman" w:hAnsi="Times New Roman"/>
              </w:rPr>
            </w:pPr>
            <w:r>
              <w:rPr>
                <w:rFonts w:ascii="Times New Roman" w:hAnsi="Times New Roman"/>
              </w:rPr>
              <w:t>- 12</w:t>
            </w:r>
            <w:r w:rsidR="003E6BD3" w:rsidRPr="003E6BD3">
              <w:rPr>
                <w:rFonts w:ascii="Times New Roman" w:hAnsi="Times New Roman"/>
              </w:rPr>
              <w:t>%</w:t>
            </w:r>
          </w:p>
        </w:tc>
      </w:tr>
      <w:tr w:rsidR="003E6BD3" w:rsidRPr="003E6BD3" w14:paraId="491DCE60" w14:textId="77777777" w:rsidTr="003E6BD3">
        <w:trPr>
          <w:trHeight w:val="304"/>
        </w:trPr>
        <w:tc>
          <w:tcPr>
            <w:tcW w:w="3168" w:type="dxa"/>
            <w:shd w:val="clear" w:color="auto" w:fill="auto"/>
          </w:tcPr>
          <w:p w14:paraId="6E68BD16" w14:textId="0764FF2D" w:rsidR="003E6BD3" w:rsidRPr="003E6BD3" w:rsidRDefault="003E6BD3" w:rsidP="003E6BD3">
            <w:pPr>
              <w:rPr>
                <w:rFonts w:ascii="Times New Roman" w:hAnsi="Times New Roman"/>
              </w:rPr>
            </w:pPr>
            <w:r>
              <w:rPr>
                <w:rFonts w:ascii="Times New Roman" w:hAnsi="Times New Roman"/>
              </w:rPr>
              <w:t>Residential New Homes</w:t>
            </w:r>
          </w:p>
        </w:tc>
        <w:tc>
          <w:tcPr>
            <w:tcW w:w="1620" w:type="dxa"/>
          </w:tcPr>
          <w:p w14:paraId="432AE2B0" w14:textId="3D8EA5F0" w:rsidR="003E6BD3" w:rsidRPr="003E6BD3" w:rsidRDefault="003E6BD3" w:rsidP="003E6BD3">
            <w:pPr>
              <w:jc w:val="right"/>
              <w:rPr>
                <w:rFonts w:ascii="Times New Roman" w:hAnsi="Times New Roman"/>
              </w:rPr>
            </w:pPr>
            <w:r w:rsidRPr="003E6BD3">
              <w:rPr>
                <w:rFonts w:ascii="Times New Roman" w:hAnsi="Times New Roman"/>
              </w:rPr>
              <w:t xml:space="preserve">$ </w:t>
            </w:r>
            <w:r w:rsidR="002D1AB5">
              <w:rPr>
                <w:rFonts w:ascii="Times New Roman" w:hAnsi="Times New Roman"/>
              </w:rPr>
              <w:t>302,834</w:t>
            </w:r>
          </w:p>
        </w:tc>
        <w:tc>
          <w:tcPr>
            <w:tcW w:w="1710" w:type="dxa"/>
          </w:tcPr>
          <w:p w14:paraId="4DF2D023" w14:textId="3D642309" w:rsidR="003E6BD3" w:rsidRPr="003E6BD3" w:rsidRDefault="003E6BD3" w:rsidP="003E6BD3">
            <w:pPr>
              <w:jc w:val="right"/>
              <w:rPr>
                <w:rFonts w:ascii="Times New Roman" w:hAnsi="Times New Roman"/>
              </w:rPr>
            </w:pPr>
            <w:r>
              <w:rPr>
                <w:rFonts w:ascii="Times New Roman" w:hAnsi="Times New Roman"/>
              </w:rPr>
              <w:t xml:space="preserve">$ </w:t>
            </w:r>
            <w:r w:rsidR="002D1AB5">
              <w:rPr>
                <w:rFonts w:ascii="Times New Roman" w:hAnsi="Times New Roman"/>
              </w:rPr>
              <w:t>328,907</w:t>
            </w:r>
          </w:p>
        </w:tc>
        <w:tc>
          <w:tcPr>
            <w:tcW w:w="1368" w:type="dxa"/>
            <w:shd w:val="clear" w:color="auto" w:fill="auto"/>
          </w:tcPr>
          <w:p w14:paraId="7727B37E" w14:textId="5828806E" w:rsidR="003E6BD3" w:rsidRPr="003E6BD3" w:rsidRDefault="002D1AB5" w:rsidP="003E6BD3">
            <w:pPr>
              <w:jc w:val="right"/>
              <w:rPr>
                <w:rFonts w:ascii="Times New Roman" w:hAnsi="Times New Roman"/>
              </w:rPr>
            </w:pPr>
            <w:r>
              <w:rPr>
                <w:rFonts w:ascii="Times New Roman" w:hAnsi="Times New Roman"/>
              </w:rPr>
              <w:t>9</w:t>
            </w:r>
            <w:r w:rsidR="003E6BD3" w:rsidRPr="003E6BD3">
              <w:rPr>
                <w:rFonts w:ascii="Times New Roman" w:hAnsi="Times New Roman"/>
              </w:rPr>
              <w:t>%</w:t>
            </w:r>
          </w:p>
        </w:tc>
      </w:tr>
      <w:tr w:rsidR="003E6BD3" w:rsidRPr="003E6BD3" w14:paraId="312571D4" w14:textId="77777777" w:rsidTr="003E6BD3">
        <w:trPr>
          <w:trHeight w:val="291"/>
        </w:trPr>
        <w:tc>
          <w:tcPr>
            <w:tcW w:w="3168" w:type="dxa"/>
            <w:shd w:val="clear" w:color="auto" w:fill="auto"/>
          </w:tcPr>
          <w:p w14:paraId="17831E68" w14:textId="75BC7CC9" w:rsidR="003E6BD3" w:rsidRPr="003E6BD3" w:rsidRDefault="003E6BD3" w:rsidP="003E6BD3">
            <w:pPr>
              <w:rPr>
                <w:rFonts w:ascii="Times New Roman" w:hAnsi="Times New Roman"/>
              </w:rPr>
            </w:pPr>
            <w:r>
              <w:rPr>
                <w:rFonts w:ascii="Times New Roman" w:hAnsi="Times New Roman"/>
              </w:rPr>
              <w:t>Commercial Retrofit</w:t>
            </w:r>
          </w:p>
        </w:tc>
        <w:tc>
          <w:tcPr>
            <w:tcW w:w="1620" w:type="dxa"/>
          </w:tcPr>
          <w:p w14:paraId="1C3233FB" w14:textId="35434817" w:rsidR="003E6BD3" w:rsidRPr="003E6BD3" w:rsidRDefault="002D1AB5" w:rsidP="003E6BD3">
            <w:pPr>
              <w:jc w:val="right"/>
              <w:rPr>
                <w:rFonts w:ascii="Times New Roman" w:hAnsi="Times New Roman"/>
              </w:rPr>
            </w:pPr>
            <w:r>
              <w:rPr>
                <w:rFonts w:ascii="Times New Roman" w:hAnsi="Times New Roman"/>
              </w:rPr>
              <w:t>$ 596,829</w:t>
            </w:r>
          </w:p>
        </w:tc>
        <w:tc>
          <w:tcPr>
            <w:tcW w:w="1710" w:type="dxa"/>
          </w:tcPr>
          <w:p w14:paraId="35B170CF" w14:textId="45A0D8F3" w:rsidR="003E6BD3" w:rsidRPr="003E6BD3" w:rsidRDefault="003E6BD3" w:rsidP="003E6BD3">
            <w:pPr>
              <w:jc w:val="right"/>
              <w:rPr>
                <w:rFonts w:ascii="Times New Roman" w:hAnsi="Times New Roman"/>
              </w:rPr>
            </w:pPr>
            <w:r>
              <w:rPr>
                <w:rFonts w:ascii="Times New Roman" w:hAnsi="Times New Roman"/>
              </w:rPr>
              <w:t xml:space="preserve">$ </w:t>
            </w:r>
            <w:r w:rsidR="002D1AB5">
              <w:rPr>
                <w:rFonts w:ascii="Times New Roman" w:hAnsi="Times New Roman"/>
              </w:rPr>
              <w:t>635,568</w:t>
            </w:r>
          </w:p>
        </w:tc>
        <w:tc>
          <w:tcPr>
            <w:tcW w:w="1368" w:type="dxa"/>
            <w:shd w:val="clear" w:color="auto" w:fill="auto"/>
          </w:tcPr>
          <w:p w14:paraId="734174A9" w14:textId="24D3DBA5" w:rsidR="003E6BD3" w:rsidRPr="003E6BD3" w:rsidRDefault="002D1AB5" w:rsidP="003E6BD3">
            <w:pPr>
              <w:jc w:val="right"/>
              <w:rPr>
                <w:rFonts w:ascii="Times New Roman" w:hAnsi="Times New Roman"/>
              </w:rPr>
            </w:pPr>
            <w:r>
              <w:rPr>
                <w:rFonts w:ascii="Times New Roman" w:hAnsi="Times New Roman"/>
              </w:rPr>
              <w:t>6</w:t>
            </w:r>
            <w:r w:rsidR="003E6BD3" w:rsidRPr="003E6BD3">
              <w:rPr>
                <w:rFonts w:ascii="Times New Roman" w:hAnsi="Times New Roman"/>
              </w:rPr>
              <w:t>%</w:t>
            </w:r>
          </w:p>
        </w:tc>
      </w:tr>
      <w:tr w:rsidR="003E6BD3" w:rsidRPr="003E6BD3" w14:paraId="70DC9E5D" w14:textId="77777777" w:rsidTr="003E6BD3">
        <w:trPr>
          <w:trHeight w:val="291"/>
        </w:trPr>
        <w:tc>
          <w:tcPr>
            <w:tcW w:w="3168" w:type="dxa"/>
            <w:shd w:val="clear" w:color="auto" w:fill="auto"/>
          </w:tcPr>
          <w:p w14:paraId="7D5BA96A" w14:textId="77777777" w:rsidR="003E6BD3" w:rsidRPr="003E6BD3" w:rsidRDefault="003E6BD3" w:rsidP="003E6BD3">
            <w:pPr>
              <w:rPr>
                <w:rFonts w:ascii="Times New Roman" w:hAnsi="Times New Roman"/>
                <w:b/>
              </w:rPr>
            </w:pPr>
            <w:r w:rsidRPr="003E6BD3">
              <w:rPr>
                <w:rFonts w:ascii="Times New Roman" w:hAnsi="Times New Roman"/>
                <w:b/>
              </w:rPr>
              <w:t>Total</w:t>
            </w:r>
          </w:p>
        </w:tc>
        <w:tc>
          <w:tcPr>
            <w:tcW w:w="1620" w:type="dxa"/>
          </w:tcPr>
          <w:p w14:paraId="407F4C35" w14:textId="63AEE133" w:rsidR="003E6BD3" w:rsidRPr="003E6BD3" w:rsidRDefault="003E6BD3" w:rsidP="003E6BD3">
            <w:pPr>
              <w:jc w:val="right"/>
              <w:rPr>
                <w:rFonts w:ascii="Times New Roman" w:hAnsi="Times New Roman"/>
                <w:b/>
              </w:rPr>
            </w:pPr>
            <w:r w:rsidRPr="003E6BD3">
              <w:rPr>
                <w:rFonts w:ascii="Times New Roman" w:hAnsi="Times New Roman"/>
                <w:b/>
              </w:rPr>
              <w:t xml:space="preserve">$ </w:t>
            </w:r>
            <w:r w:rsidR="002D1AB5">
              <w:rPr>
                <w:rFonts w:ascii="Times New Roman" w:hAnsi="Times New Roman"/>
                <w:b/>
              </w:rPr>
              <w:t>1,431,461</w:t>
            </w:r>
          </w:p>
        </w:tc>
        <w:tc>
          <w:tcPr>
            <w:tcW w:w="1710" w:type="dxa"/>
          </w:tcPr>
          <w:p w14:paraId="5902EA15" w14:textId="289E6CA4" w:rsidR="003E6BD3" w:rsidRPr="003E6BD3" w:rsidRDefault="003E6BD3" w:rsidP="003E6BD3">
            <w:pPr>
              <w:jc w:val="right"/>
              <w:rPr>
                <w:rFonts w:ascii="Times New Roman" w:hAnsi="Times New Roman"/>
                <w:b/>
              </w:rPr>
            </w:pPr>
            <w:r>
              <w:rPr>
                <w:rFonts w:ascii="Times New Roman" w:hAnsi="Times New Roman"/>
                <w:b/>
              </w:rPr>
              <w:t xml:space="preserve">$ </w:t>
            </w:r>
            <w:r w:rsidR="00386B94">
              <w:rPr>
                <w:rFonts w:ascii="Times New Roman" w:hAnsi="Times New Roman"/>
                <w:b/>
              </w:rPr>
              <w:t>1,430,092</w:t>
            </w:r>
          </w:p>
        </w:tc>
        <w:tc>
          <w:tcPr>
            <w:tcW w:w="1368" w:type="dxa"/>
            <w:shd w:val="clear" w:color="auto" w:fill="auto"/>
          </w:tcPr>
          <w:p w14:paraId="5FDB085C" w14:textId="71A1F375" w:rsidR="003E6BD3" w:rsidRPr="003E6BD3" w:rsidRDefault="00386B94" w:rsidP="003E6BD3">
            <w:pPr>
              <w:jc w:val="right"/>
              <w:rPr>
                <w:rFonts w:ascii="Times New Roman" w:hAnsi="Times New Roman"/>
                <w:b/>
              </w:rPr>
            </w:pPr>
            <w:r>
              <w:rPr>
                <w:rFonts w:ascii="Times New Roman" w:hAnsi="Times New Roman"/>
                <w:b/>
              </w:rPr>
              <w:t>0</w:t>
            </w:r>
            <w:r w:rsidR="003E6BD3" w:rsidRPr="003E6BD3">
              <w:rPr>
                <w:rFonts w:ascii="Times New Roman" w:hAnsi="Times New Roman"/>
                <w:b/>
              </w:rPr>
              <w:t>%</w:t>
            </w:r>
          </w:p>
        </w:tc>
      </w:tr>
    </w:tbl>
    <w:p w14:paraId="12221224" w14:textId="77777777" w:rsidR="003E6BD3" w:rsidRDefault="003E6BD3" w:rsidP="00843651">
      <w:pPr>
        <w:rPr>
          <w:rFonts w:ascii="Times New Roman" w:eastAsia="Calibri" w:hAnsi="Times New Roman"/>
        </w:rPr>
      </w:pPr>
    </w:p>
    <w:p w14:paraId="3C270195" w14:textId="6B92F4B1" w:rsidR="00D91F8E" w:rsidRPr="00153EA6" w:rsidRDefault="00775224" w:rsidP="00843651">
      <w:pPr>
        <w:rPr>
          <w:rFonts w:ascii="Times New Roman" w:eastAsia="Calibri" w:hAnsi="Times New Roman"/>
        </w:rPr>
      </w:pPr>
      <w:r>
        <w:rPr>
          <w:rFonts w:ascii="Times New Roman" w:hAnsi="Times New Roman"/>
        </w:rPr>
        <w:t>The company</w:t>
      </w:r>
      <w:r w:rsidR="00E2146D">
        <w:rPr>
          <w:rFonts w:ascii="Times New Roman" w:hAnsi="Times New Roman"/>
        </w:rPr>
        <w:t xml:space="preserve"> is proposing an</w:t>
      </w:r>
      <w:r w:rsidR="00C9605B">
        <w:rPr>
          <w:rFonts w:ascii="Times New Roman" w:hAnsi="Times New Roman"/>
        </w:rPr>
        <w:t xml:space="preserve"> increase in its</w:t>
      </w:r>
      <w:r w:rsidR="00D91F8E">
        <w:rPr>
          <w:rFonts w:ascii="Times New Roman" w:hAnsi="Times New Roman"/>
        </w:rPr>
        <w:t xml:space="preserve"> 2013 therm</w:t>
      </w:r>
      <w:r w:rsidR="00904430">
        <w:rPr>
          <w:rFonts w:ascii="Times New Roman" w:hAnsi="Times New Roman"/>
        </w:rPr>
        <w:t xml:space="preserve"> savings goal relative to 2012.</w:t>
      </w:r>
      <w:r w:rsidR="00AE0666">
        <w:rPr>
          <w:rFonts w:ascii="Times New Roman" w:eastAsia="Calibri" w:hAnsi="Times New Roman"/>
        </w:rPr>
        <w:t xml:space="preserve"> </w:t>
      </w:r>
      <w:r w:rsidR="006C4518">
        <w:rPr>
          <w:rFonts w:ascii="Times New Roman" w:hAnsi="Times New Roman"/>
        </w:rPr>
        <w:t>In 2013, the company expects to acquire between 220,421 and 259,319 therm savings</w:t>
      </w:r>
      <w:r w:rsidR="00D91F8E">
        <w:rPr>
          <w:rFonts w:ascii="Times New Roman" w:hAnsi="Times New Roman"/>
        </w:rPr>
        <w:t xml:space="preserve">, a 3.7 percent increase over its 2012 savings goal of 212,550 to 250,000 therms. </w:t>
      </w:r>
    </w:p>
    <w:p w14:paraId="48389A26" w14:textId="77777777" w:rsidR="0077674A" w:rsidRDefault="0077674A" w:rsidP="00843651">
      <w:pPr>
        <w:rPr>
          <w:rFonts w:ascii="Times New Roman" w:hAnsi="Times New Roman"/>
        </w:rPr>
      </w:pPr>
    </w:p>
    <w:tbl>
      <w:tblPr>
        <w:tblW w:w="786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368"/>
      </w:tblGrid>
      <w:tr w:rsidR="00386B94" w:rsidRPr="003E6BD3" w14:paraId="012EDED0" w14:textId="77777777" w:rsidTr="00386B94">
        <w:trPr>
          <w:trHeight w:val="279"/>
        </w:trPr>
        <w:tc>
          <w:tcPr>
            <w:tcW w:w="3168" w:type="dxa"/>
            <w:tcBorders>
              <w:bottom w:val="single" w:sz="12" w:space="0" w:color="000000"/>
            </w:tcBorders>
            <w:shd w:val="clear" w:color="auto" w:fill="auto"/>
          </w:tcPr>
          <w:p w14:paraId="2D3F8BF3" w14:textId="77777777" w:rsidR="00904430" w:rsidRDefault="00904430" w:rsidP="00386B94">
            <w:pPr>
              <w:rPr>
                <w:rFonts w:ascii="Times New Roman" w:hAnsi="Times New Roman"/>
                <w:b/>
                <w:bCs/>
                <w:color w:val="000000" w:themeColor="text1"/>
              </w:rPr>
            </w:pPr>
          </w:p>
          <w:p w14:paraId="12DFD18F" w14:textId="77777777" w:rsidR="00386B94" w:rsidRPr="003E6BD3" w:rsidRDefault="00386B94" w:rsidP="00386B94">
            <w:pPr>
              <w:rPr>
                <w:rFonts w:ascii="Times New Roman" w:hAnsi="Times New Roman"/>
                <w:b/>
                <w:bCs/>
                <w:color w:val="000080"/>
              </w:rPr>
            </w:pPr>
            <w:r w:rsidRPr="003E6BD3">
              <w:rPr>
                <w:rFonts w:ascii="Times New Roman" w:hAnsi="Times New Roman"/>
                <w:b/>
                <w:bCs/>
                <w:color w:val="000000" w:themeColor="text1"/>
              </w:rPr>
              <w:t>Program Budgets</w:t>
            </w:r>
          </w:p>
        </w:tc>
        <w:tc>
          <w:tcPr>
            <w:tcW w:w="1620" w:type="dxa"/>
            <w:tcBorders>
              <w:bottom w:val="single" w:sz="12" w:space="0" w:color="000000"/>
            </w:tcBorders>
          </w:tcPr>
          <w:p w14:paraId="2F771B64" w14:textId="4C2A324C" w:rsidR="00386B94" w:rsidRPr="003E6BD3" w:rsidRDefault="00386B94" w:rsidP="00386B94">
            <w:pPr>
              <w:jc w:val="right"/>
              <w:rPr>
                <w:rFonts w:ascii="Times New Roman" w:hAnsi="Times New Roman"/>
                <w:b/>
                <w:bCs/>
                <w:color w:val="000000" w:themeColor="text1"/>
              </w:rPr>
            </w:pPr>
            <w:r>
              <w:rPr>
                <w:rFonts w:ascii="Times New Roman" w:hAnsi="Times New Roman"/>
                <w:b/>
                <w:bCs/>
                <w:color w:val="000000" w:themeColor="text1"/>
              </w:rPr>
              <w:t>2012 Savings (therms)</w:t>
            </w:r>
          </w:p>
        </w:tc>
        <w:tc>
          <w:tcPr>
            <w:tcW w:w="1710" w:type="dxa"/>
            <w:tcBorders>
              <w:bottom w:val="single" w:sz="12" w:space="0" w:color="000000"/>
            </w:tcBorders>
          </w:tcPr>
          <w:p w14:paraId="076286E6" w14:textId="36D3594C" w:rsidR="00386B94" w:rsidRPr="003E6BD3" w:rsidRDefault="00386B94" w:rsidP="00386B94">
            <w:pPr>
              <w:jc w:val="right"/>
              <w:rPr>
                <w:rFonts w:ascii="Times New Roman" w:hAnsi="Times New Roman"/>
                <w:b/>
                <w:bCs/>
                <w:color w:val="000000" w:themeColor="text1"/>
              </w:rPr>
            </w:pPr>
            <w:r>
              <w:rPr>
                <w:rFonts w:ascii="Times New Roman" w:hAnsi="Times New Roman"/>
                <w:b/>
                <w:bCs/>
                <w:color w:val="000000" w:themeColor="text1"/>
              </w:rPr>
              <w:t>2013 Savings (therms)</w:t>
            </w:r>
            <w:r w:rsidRPr="003E6BD3">
              <w:rPr>
                <w:rFonts w:ascii="Times New Roman" w:hAnsi="Times New Roman"/>
                <w:b/>
                <w:bCs/>
                <w:color w:val="000000" w:themeColor="text1"/>
              </w:rPr>
              <w:t xml:space="preserve"> </w:t>
            </w:r>
          </w:p>
        </w:tc>
        <w:tc>
          <w:tcPr>
            <w:tcW w:w="1368" w:type="dxa"/>
            <w:tcBorders>
              <w:bottom w:val="single" w:sz="12" w:space="0" w:color="000000"/>
            </w:tcBorders>
            <w:shd w:val="clear" w:color="auto" w:fill="auto"/>
          </w:tcPr>
          <w:p w14:paraId="69DDE88A" w14:textId="77777777" w:rsidR="00386B94" w:rsidRPr="003E6BD3" w:rsidRDefault="00386B94" w:rsidP="00386B94">
            <w:pPr>
              <w:jc w:val="right"/>
              <w:rPr>
                <w:rFonts w:ascii="Times New Roman" w:hAnsi="Times New Roman"/>
                <w:b/>
                <w:bCs/>
                <w:color w:val="000000" w:themeColor="text1"/>
              </w:rPr>
            </w:pPr>
            <w:r w:rsidRPr="003E6BD3">
              <w:rPr>
                <w:rFonts w:ascii="Times New Roman" w:hAnsi="Times New Roman"/>
                <w:b/>
                <w:bCs/>
                <w:color w:val="000000" w:themeColor="text1"/>
              </w:rPr>
              <w:t>2012-2013 Change</w:t>
            </w:r>
          </w:p>
        </w:tc>
      </w:tr>
      <w:tr w:rsidR="00386B94" w:rsidRPr="003E6BD3" w14:paraId="2E65370E" w14:textId="77777777" w:rsidTr="00386B94">
        <w:trPr>
          <w:trHeight w:val="291"/>
        </w:trPr>
        <w:tc>
          <w:tcPr>
            <w:tcW w:w="3168" w:type="dxa"/>
            <w:shd w:val="clear" w:color="auto" w:fill="auto"/>
          </w:tcPr>
          <w:p w14:paraId="7E267B85" w14:textId="77777777" w:rsidR="00386B94" w:rsidRPr="003E6BD3" w:rsidRDefault="00386B94" w:rsidP="00386B94">
            <w:pPr>
              <w:rPr>
                <w:rFonts w:ascii="Times New Roman" w:hAnsi="Times New Roman"/>
              </w:rPr>
            </w:pPr>
            <w:r w:rsidRPr="003E6BD3">
              <w:rPr>
                <w:rFonts w:ascii="Times New Roman" w:hAnsi="Times New Roman"/>
              </w:rPr>
              <w:t xml:space="preserve">Residential </w:t>
            </w:r>
            <w:r>
              <w:rPr>
                <w:rFonts w:ascii="Times New Roman" w:hAnsi="Times New Roman"/>
              </w:rPr>
              <w:t>Retrofit</w:t>
            </w:r>
          </w:p>
        </w:tc>
        <w:tc>
          <w:tcPr>
            <w:tcW w:w="1620" w:type="dxa"/>
          </w:tcPr>
          <w:p w14:paraId="255D92BB" w14:textId="721814A7" w:rsidR="00386B94" w:rsidRPr="003E6BD3" w:rsidRDefault="00386B94" w:rsidP="00386B94">
            <w:pPr>
              <w:jc w:val="right"/>
              <w:rPr>
                <w:rFonts w:ascii="Times New Roman" w:hAnsi="Times New Roman"/>
                <w:highlight w:val="yellow"/>
              </w:rPr>
            </w:pPr>
            <w:r>
              <w:rPr>
                <w:rFonts w:ascii="Times New Roman" w:hAnsi="Times New Roman"/>
              </w:rPr>
              <w:t xml:space="preserve">63,373        </w:t>
            </w:r>
          </w:p>
        </w:tc>
        <w:tc>
          <w:tcPr>
            <w:tcW w:w="1710" w:type="dxa"/>
          </w:tcPr>
          <w:p w14:paraId="11D2E73A" w14:textId="73FDC3A4" w:rsidR="00386B94" w:rsidRPr="003E6BD3" w:rsidRDefault="00986533" w:rsidP="00386B94">
            <w:pPr>
              <w:jc w:val="right"/>
              <w:rPr>
                <w:rFonts w:ascii="Times New Roman" w:hAnsi="Times New Roman"/>
              </w:rPr>
            </w:pPr>
            <w:r>
              <w:rPr>
                <w:rFonts w:ascii="Times New Roman" w:hAnsi="Times New Roman"/>
              </w:rPr>
              <w:t>56,400</w:t>
            </w:r>
          </w:p>
        </w:tc>
        <w:tc>
          <w:tcPr>
            <w:tcW w:w="1368" w:type="dxa"/>
            <w:shd w:val="clear" w:color="auto" w:fill="auto"/>
          </w:tcPr>
          <w:p w14:paraId="62FD66FF" w14:textId="3C2B1235" w:rsidR="00386B94" w:rsidRPr="003E6BD3" w:rsidRDefault="00986533" w:rsidP="00386B94">
            <w:pPr>
              <w:jc w:val="right"/>
              <w:rPr>
                <w:rFonts w:ascii="Times New Roman" w:hAnsi="Times New Roman"/>
              </w:rPr>
            </w:pPr>
            <w:r>
              <w:rPr>
                <w:rFonts w:ascii="Times New Roman" w:hAnsi="Times New Roman"/>
              </w:rPr>
              <w:t>- 11</w:t>
            </w:r>
            <w:r w:rsidR="00386B94" w:rsidRPr="003E6BD3">
              <w:rPr>
                <w:rFonts w:ascii="Times New Roman" w:hAnsi="Times New Roman"/>
              </w:rPr>
              <w:t>%</w:t>
            </w:r>
          </w:p>
        </w:tc>
      </w:tr>
      <w:tr w:rsidR="00386B94" w:rsidRPr="003E6BD3" w14:paraId="7592E726" w14:textId="77777777" w:rsidTr="00386B94">
        <w:trPr>
          <w:trHeight w:val="304"/>
        </w:trPr>
        <w:tc>
          <w:tcPr>
            <w:tcW w:w="3168" w:type="dxa"/>
            <w:shd w:val="clear" w:color="auto" w:fill="auto"/>
          </w:tcPr>
          <w:p w14:paraId="7BFDD592" w14:textId="77777777" w:rsidR="00386B94" w:rsidRPr="003E6BD3" w:rsidRDefault="00386B94" w:rsidP="00386B94">
            <w:pPr>
              <w:rPr>
                <w:rFonts w:ascii="Times New Roman" w:hAnsi="Times New Roman"/>
              </w:rPr>
            </w:pPr>
            <w:r>
              <w:rPr>
                <w:rFonts w:ascii="Times New Roman" w:hAnsi="Times New Roman"/>
              </w:rPr>
              <w:t>Residential New Homes</w:t>
            </w:r>
          </w:p>
        </w:tc>
        <w:tc>
          <w:tcPr>
            <w:tcW w:w="1620" w:type="dxa"/>
          </w:tcPr>
          <w:p w14:paraId="53F738CD" w14:textId="20DD4D6C" w:rsidR="00386B94" w:rsidRPr="003E6BD3" w:rsidRDefault="00386B94" w:rsidP="00386B94">
            <w:pPr>
              <w:jc w:val="right"/>
              <w:rPr>
                <w:rFonts w:ascii="Times New Roman" w:hAnsi="Times New Roman"/>
              </w:rPr>
            </w:pPr>
            <w:r>
              <w:rPr>
                <w:rFonts w:ascii="Times New Roman" w:hAnsi="Times New Roman"/>
              </w:rPr>
              <w:t>27,503</w:t>
            </w:r>
          </w:p>
        </w:tc>
        <w:tc>
          <w:tcPr>
            <w:tcW w:w="1710" w:type="dxa"/>
          </w:tcPr>
          <w:p w14:paraId="4E4AE691" w14:textId="6947502E" w:rsidR="00386B94" w:rsidRPr="003E6BD3" w:rsidRDefault="00986533" w:rsidP="00386B94">
            <w:pPr>
              <w:jc w:val="right"/>
              <w:rPr>
                <w:rFonts w:ascii="Times New Roman" w:hAnsi="Times New Roman"/>
              </w:rPr>
            </w:pPr>
            <w:r>
              <w:rPr>
                <w:rFonts w:ascii="Times New Roman" w:hAnsi="Times New Roman"/>
              </w:rPr>
              <w:t>36,500</w:t>
            </w:r>
          </w:p>
        </w:tc>
        <w:tc>
          <w:tcPr>
            <w:tcW w:w="1368" w:type="dxa"/>
            <w:shd w:val="clear" w:color="auto" w:fill="auto"/>
          </w:tcPr>
          <w:p w14:paraId="2A7C1734" w14:textId="6B7D4092" w:rsidR="00386B94" w:rsidRPr="003E6BD3" w:rsidRDefault="00121588" w:rsidP="00386B94">
            <w:pPr>
              <w:jc w:val="right"/>
              <w:rPr>
                <w:rFonts w:ascii="Times New Roman" w:hAnsi="Times New Roman"/>
              </w:rPr>
            </w:pPr>
            <w:r>
              <w:rPr>
                <w:rFonts w:ascii="Times New Roman" w:hAnsi="Times New Roman"/>
              </w:rPr>
              <w:t>3</w:t>
            </w:r>
            <w:r w:rsidR="00986533">
              <w:rPr>
                <w:rFonts w:ascii="Times New Roman" w:hAnsi="Times New Roman"/>
              </w:rPr>
              <w:t>3</w:t>
            </w:r>
            <w:r w:rsidR="00386B94" w:rsidRPr="003E6BD3">
              <w:rPr>
                <w:rFonts w:ascii="Times New Roman" w:hAnsi="Times New Roman"/>
              </w:rPr>
              <w:t>%</w:t>
            </w:r>
          </w:p>
        </w:tc>
      </w:tr>
      <w:tr w:rsidR="00386B94" w:rsidRPr="003E6BD3" w14:paraId="39ECF038" w14:textId="77777777" w:rsidTr="00386B94">
        <w:trPr>
          <w:trHeight w:val="291"/>
        </w:trPr>
        <w:tc>
          <w:tcPr>
            <w:tcW w:w="3168" w:type="dxa"/>
            <w:shd w:val="clear" w:color="auto" w:fill="auto"/>
          </w:tcPr>
          <w:p w14:paraId="1FBAA507" w14:textId="77777777" w:rsidR="00386B94" w:rsidRPr="003E6BD3" w:rsidRDefault="00386B94" w:rsidP="00386B94">
            <w:pPr>
              <w:rPr>
                <w:rFonts w:ascii="Times New Roman" w:hAnsi="Times New Roman"/>
              </w:rPr>
            </w:pPr>
            <w:r>
              <w:rPr>
                <w:rFonts w:ascii="Times New Roman" w:hAnsi="Times New Roman"/>
              </w:rPr>
              <w:t>Commercial Retrofit</w:t>
            </w:r>
          </w:p>
        </w:tc>
        <w:tc>
          <w:tcPr>
            <w:tcW w:w="1620" w:type="dxa"/>
          </w:tcPr>
          <w:p w14:paraId="5659B9B6" w14:textId="64EFDA5C" w:rsidR="00386B94" w:rsidRPr="003E6BD3" w:rsidRDefault="00386B94" w:rsidP="00386B94">
            <w:pPr>
              <w:jc w:val="right"/>
              <w:rPr>
                <w:rFonts w:ascii="Times New Roman" w:hAnsi="Times New Roman"/>
              </w:rPr>
            </w:pPr>
            <w:r>
              <w:rPr>
                <w:rFonts w:ascii="Times New Roman" w:hAnsi="Times New Roman"/>
              </w:rPr>
              <w:t>121,678</w:t>
            </w:r>
          </w:p>
        </w:tc>
        <w:tc>
          <w:tcPr>
            <w:tcW w:w="1710" w:type="dxa"/>
          </w:tcPr>
          <w:p w14:paraId="4B364F7C" w14:textId="6FDBDA3C" w:rsidR="00386B94" w:rsidRPr="003E6BD3" w:rsidRDefault="00986533" w:rsidP="00386B94">
            <w:pPr>
              <w:jc w:val="right"/>
              <w:rPr>
                <w:rFonts w:ascii="Times New Roman" w:hAnsi="Times New Roman"/>
              </w:rPr>
            </w:pPr>
            <w:r>
              <w:rPr>
                <w:rFonts w:ascii="Times New Roman" w:hAnsi="Times New Roman"/>
              </w:rPr>
              <w:t>127,500</w:t>
            </w:r>
          </w:p>
        </w:tc>
        <w:tc>
          <w:tcPr>
            <w:tcW w:w="1368" w:type="dxa"/>
            <w:shd w:val="clear" w:color="auto" w:fill="auto"/>
          </w:tcPr>
          <w:p w14:paraId="7D94361D" w14:textId="7E0100BA" w:rsidR="00386B94" w:rsidRPr="003E6BD3" w:rsidRDefault="00986533" w:rsidP="00386B94">
            <w:pPr>
              <w:jc w:val="right"/>
              <w:rPr>
                <w:rFonts w:ascii="Times New Roman" w:hAnsi="Times New Roman"/>
              </w:rPr>
            </w:pPr>
            <w:r>
              <w:rPr>
                <w:rFonts w:ascii="Times New Roman" w:hAnsi="Times New Roman"/>
              </w:rPr>
              <w:t>5</w:t>
            </w:r>
            <w:r w:rsidR="00386B94" w:rsidRPr="003E6BD3">
              <w:rPr>
                <w:rFonts w:ascii="Times New Roman" w:hAnsi="Times New Roman"/>
              </w:rPr>
              <w:t>%</w:t>
            </w:r>
          </w:p>
        </w:tc>
      </w:tr>
      <w:tr w:rsidR="00386B94" w:rsidRPr="003E6BD3" w14:paraId="19A4711F" w14:textId="77777777" w:rsidTr="00386B94">
        <w:trPr>
          <w:trHeight w:val="291"/>
        </w:trPr>
        <w:tc>
          <w:tcPr>
            <w:tcW w:w="3168" w:type="dxa"/>
            <w:shd w:val="clear" w:color="auto" w:fill="auto"/>
          </w:tcPr>
          <w:p w14:paraId="51C86D95" w14:textId="77777777" w:rsidR="00386B94" w:rsidRPr="003E6BD3" w:rsidRDefault="00386B94" w:rsidP="00386B94">
            <w:pPr>
              <w:rPr>
                <w:rFonts w:ascii="Times New Roman" w:hAnsi="Times New Roman"/>
                <w:b/>
              </w:rPr>
            </w:pPr>
            <w:r w:rsidRPr="003E6BD3">
              <w:rPr>
                <w:rFonts w:ascii="Times New Roman" w:hAnsi="Times New Roman"/>
                <w:b/>
              </w:rPr>
              <w:t>Total</w:t>
            </w:r>
          </w:p>
        </w:tc>
        <w:tc>
          <w:tcPr>
            <w:tcW w:w="1620" w:type="dxa"/>
          </w:tcPr>
          <w:p w14:paraId="1120D3C9" w14:textId="1B940BBB" w:rsidR="00386B94" w:rsidRPr="003E6BD3" w:rsidRDefault="00986533" w:rsidP="00386B94">
            <w:pPr>
              <w:jc w:val="right"/>
              <w:rPr>
                <w:rFonts w:ascii="Times New Roman" w:hAnsi="Times New Roman"/>
                <w:b/>
              </w:rPr>
            </w:pPr>
            <w:r>
              <w:rPr>
                <w:rFonts w:ascii="Times New Roman" w:hAnsi="Times New Roman"/>
                <w:b/>
              </w:rPr>
              <w:t>212,550</w:t>
            </w:r>
          </w:p>
        </w:tc>
        <w:tc>
          <w:tcPr>
            <w:tcW w:w="1710" w:type="dxa"/>
          </w:tcPr>
          <w:p w14:paraId="336973A7" w14:textId="1992BC29" w:rsidR="00386B94" w:rsidRPr="003E6BD3" w:rsidRDefault="00986533" w:rsidP="00386B94">
            <w:pPr>
              <w:jc w:val="right"/>
              <w:rPr>
                <w:rFonts w:ascii="Times New Roman" w:hAnsi="Times New Roman"/>
                <w:b/>
              </w:rPr>
            </w:pPr>
            <w:r>
              <w:rPr>
                <w:rFonts w:ascii="Times New Roman" w:hAnsi="Times New Roman"/>
                <w:b/>
              </w:rPr>
              <w:t>220,400</w:t>
            </w:r>
          </w:p>
        </w:tc>
        <w:tc>
          <w:tcPr>
            <w:tcW w:w="1368" w:type="dxa"/>
            <w:shd w:val="clear" w:color="auto" w:fill="auto"/>
          </w:tcPr>
          <w:p w14:paraId="6F8698E5" w14:textId="0785D4C3" w:rsidR="00386B94" w:rsidRPr="003E6BD3" w:rsidRDefault="00986533" w:rsidP="00386B94">
            <w:pPr>
              <w:jc w:val="right"/>
              <w:rPr>
                <w:rFonts w:ascii="Times New Roman" w:hAnsi="Times New Roman"/>
                <w:b/>
              </w:rPr>
            </w:pPr>
            <w:r>
              <w:rPr>
                <w:rFonts w:ascii="Times New Roman" w:hAnsi="Times New Roman"/>
                <w:b/>
              </w:rPr>
              <w:t>4</w:t>
            </w:r>
            <w:r w:rsidR="00386B94" w:rsidRPr="003E6BD3">
              <w:rPr>
                <w:rFonts w:ascii="Times New Roman" w:hAnsi="Times New Roman"/>
                <w:b/>
              </w:rPr>
              <w:t>%</w:t>
            </w:r>
          </w:p>
        </w:tc>
      </w:tr>
    </w:tbl>
    <w:p w14:paraId="38DD1DBC" w14:textId="77777777" w:rsidR="00386B94" w:rsidRDefault="00386B94" w:rsidP="00843651">
      <w:pPr>
        <w:rPr>
          <w:rFonts w:ascii="Times New Roman" w:hAnsi="Times New Roman"/>
        </w:rPr>
      </w:pPr>
    </w:p>
    <w:p w14:paraId="6F3EDABB" w14:textId="60FE4DF8" w:rsidR="006F0EB5" w:rsidRDefault="00E2146D" w:rsidP="00843651">
      <w:pPr>
        <w:rPr>
          <w:rFonts w:ascii="Times New Roman" w:eastAsia="Calibri" w:hAnsi="Times New Roman"/>
        </w:rPr>
      </w:pPr>
      <w:r>
        <w:rPr>
          <w:rFonts w:ascii="Times New Roman" w:eastAsia="Calibri" w:hAnsi="Times New Roman"/>
        </w:rPr>
        <w:t>The company also reports lower savings and budget estimates for the Washington Low Income Energy Efficiency (WALIEE) program. The company expects between 3</w:t>
      </w:r>
      <w:r w:rsidR="007E7D82">
        <w:rPr>
          <w:rFonts w:ascii="Times New Roman" w:eastAsia="Calibri" w:hAnsi="Times New Roman"/>
        </w:rPr>
        <w:t>,</w:t>
      </w:r>
      <w:r>
        <w:rPr>
          <w:rFonts w:ascii="Times New Roman" w:eastAsia="Calibri" w:hAnsi="Times New Roman"/>
        </w:rPr>
        <w:t>165 and 4</w:t>
      </w:r>
      <w:r w:rsidR="007E7D82">
        <w:rPr>
          <w:rFonts w:ascii="Times New Roman" w:eastAsia="Calibri" w:hAnsi="Times New Roman"/>
        </w:rPr>
        <w:t>,</w:t>
      </w:r>
      <w:r>
        <w:rPr>
          <w:rFonts w:ascii="Times New Roman" w:eastAsia="Calibri" w:hAnsi="Times New Roman"/>
        </w:rPr>
        <w:t xml:space="preserve">220 therm savings at a cost of between $66,975 and $89,300. </w:t>
      </w:r>
      <w:r w:rsidR="004931CD">
        <w:rPr>
          <w:rFonts w:ascii="Times New Roman" w:eastAsia="Calibri" w:hAnsi="Times New Roman"/>
        </w:rPr>
        <w:t>In 2012, the company had a savings goal of between 4</w:t>
      </w:r>
      <w:r w:rsidR="007E7D82">
        <w:rPr>
          <w:rFonts w:ascii="Times New Roman" w:eastAsia="Calibri" w:hAnsi="Times New Roman"/>
        </w:rPr>
        <w:t>,</w:t>
      </w:r>
      <w:r w:rsidR="004931CD">
        <w:rPr>
          <w:rFonts w:ascii="Times New Roman" w:eastAsia="Calibri" w:hAnsi="Times New Roman"/>
        </w:rPr>
        <w:t>220 and 8</w:t>
      </w:r>
      <w:r w:rsidR="007E7D82">
        <w:rPr>
          <w:rFonts w:ascii="Times New Roman" w:eastAsia="Calibri" w:hAnsi="Times New Roman"/>
        </w:rPr>
        <w:t>,</w:t>
      </w:r>
      <w:r w:rsidR="004931CD">
        <w:rPr>
          <w:rFonts w:ascii="Times New Roman" w:eastAsia="Calibri" w:hAnsi="Times New Roman"/>
        </w:rPr>
        <w:t xml:space="preserve">440 therms at a cost of between $89,300 and $178,600. </w:t>
      </w:r>
      <w:r w:rsidR="00612326">
        <w:rPr>
          <w:rFonts w:ascii="Times New Roman" w:eastAsia="Calibri" w:hAnsi="Times New Roman"/>
        </w:rPr>
        <w:t xml:space="preserve">The cause of the reduced savings and expenditures estimates </w:t>
      </w:r>
      <w:r w:rsidR="00E00D06">
        <w:rPr>
          <w:rFonts w:ascii="Times New Roman" w:eastAsia="Calibri" w:hAnsi="Times New Roman"/>
        </w:rPr>
        <w:t xml:space="preserve">for 2013 </w:t>
      </w:r>
      <w:r w:rsidR="00612326">
        <w:rPr>
          <w:rFonts w:ascii="Times New Roman" w:eastAsia="Calibri" w:hAnsi="Times New Roman"/>
        </w:rPr>
        <w:t>is a slower than expected uptake of the program. The company plans to increase marketing efforts in an effort to increase uptake and bring in more savings for the program.</w:t>
      </w:r>
    </w:p>
    <w:p w14:paraId="0A36AC7E" w14:textId="77777777" w:rsidR="00E2146D" w:rsidRDefault="00E2146D" w:rsidP="00843651">
      <w:pPr>
        <w:rPr>
          <w:rFonts w:ascii="Times New Roman" w:eastAsia="Calibri" w:hAnsi="Times New Roman"/>
        </w:rPr>
      </w:pPr>
    </w:p>
    <w:p w14:paraId="52237E67" w14:textId="05984B82" w:rsidR="00F961AF" w:rsidRDefault="00F961AF" w:rsidP="00843651">
      <w:pPr>
        <w:rPr>
          <w:rFonts w:ascii="Times New Roman" w:eastAsia="Calibri" w:hAnsi="Times New Roman"/>
        </w:rPr>
      </w:pPr>
      <w:r>
        <w:rPr>
          <w:rFonts w:ascii="Times New Roman" w:eastAsia="Calibri" w:hAnsi="Times New Roman"/>
        </w:rPr>
        <w:t>NW Natural</w:t>
      </w:r>
      <w:r w:rsidR="00A2645F">
        <w:rPr>
          <w:rFonts w:ascii="Times New Roman" w:eastAsia="Calibri" w:hAnsi="Times New Roman"/>
        </w:rPr>
        <w:t xml:space="preserve"> is also revising its </w:t>
      </w:r>
      <w:r w:rsidR="007E7D82">
        <w:rPr>
          <w:rFonts w:ascii="Times New Roman" w:eastAsia="Calibri" w:hAnsi="Times New Roman"/>
        </w:rPr>
        <w:t>EE</w:t>
      </w:r>
      <w:r>
        <w:rPr>
          <w:rFonts w:ascii="Times New Roman" w:eastAsia="Calibri" w:hAnsi="Times New Roman"/>
        </w:rPr>
        <w:t xml:space="preserve"> P</w:t>
      </w:r>
      <w:r w:rsidR="00775224">
        <w:rPr>
          <w:rFonts w:ascii="Times New Roman" w:eastAsia="Calibri" w:hAnsi="Times New Roman"/>
        </w:rPr>
        <w:t>lan to make revisions to four</w:t>
      </w:r>
      <w:r>
        <w:rPr>
          <w:rFonts w:ascii="Times New Roman" w:eastAsia="Calibri" w:hAnsi="Times New Roman"/>
        </w:rPr>
        <w:t xml:space="preserve"> o</w:t>
      </w:r>
      <w:r w:rsidR="00A2645F">
        <w:rPr>
          <w:rFonts w:ascii="Times New Roman" w:eastAsia="Calibri" w:hAnsi="Times New Roman"/>
        </w:rPr>
        <w:t xml:space="preserve">f its existing incentive offerings. </w:t>
      </w:r>
      <w:r>
        <w:rPr>
          <w:rFonts w:ascii="Times New Roman" w:eastAsia="Calibri" w:hAnsi="Times New Roman"/>
        </w:rPr>
        <w:t>The company is proposing to cancel tw</w:t>
      </w:r>
      <w:r w:rsidR="00775224">
        <w:rPr>
          <w:rFonts w:ascii="Times New Roman" w:eastAsia="Calibri" w:hAnsi="Times New Roman"/>
        </w:rPr>
        <w:t>o incentives for existing homes,</w:t>
      </w:r>
      <w:r>
        <w:rPr>
          <w:rFonts w:ascii="Times New Roman" w:eastAsia="Calibri" w:hAnsi="Times New Roman"/>
        </w:rPr>
        <w:t xml:space="preserve"> the incentive for tankless water heaters and the incentive for duct sea</w:t>
      </w:r>
      <w:r w:rsidR="00775224">
        <w:rPr>
          <w:rFonts w:ascii="Times New Roman" w:eastAsia="Calibri" w:hAnsi="Times New Roman"/>
        </w:rPr>
        <w:t xml:space="preserve">ling and duct leakage tests, and </w:t>
      </w:r>
      <w:r w:rsidR="00775224">
        <w:rPr>
          <w:rFonts w:ascii="Times New Roman" w:eastAsia="Calibri" w:hAnsi="Times New Roman"/>
        </w:rPr>
        <w:lastRenderedPageBreak/>
        <w:t xml:space="preserve">modifying the incentive for two others, the air sealing incentive for existing homes and the commercial radiant heating incentive. </w:t>
      </w:r>
    </w:p>
    <w:p w14:paraId="5E250578" w14:textId="77777777" w:rsidR="00F961AF" w:rsidRDefault="00F961AF" w:rsidP="00843651">
      <w:pPr>
        <w:rPr>
          <w:rFonts w:ascii="Times New Roman" w:eastAsia="Calibri" w:hAnsi="Times New Roman"/>
        </w:rPr>
      </w:pPr>
    </w:p>
    <w:p w14:paraId="43A74FBD" w14:textId="223B7A5F" w:rsidR="00A2645F" w:rsidRDefault="00AE0666" w:rsidP="00843651">
      <w:pPr>
        <w:rPr>
          <w:rFonts w:ascii="Times New Roman" w:eastAsia="Calibri" w:hAnsi="Times New Roman"/>
        </w:rPr>
      </w:pPr>
      <w:r>
        <w:rPr>
          <w:rFonts w:ascii="Times New Roman" w:eastAsia="Calibri" w:hAnsi="Times New Roman"/>
        </w:rPr>
        <w:t>T</w:t>
      </w:r>
      <w:r w:rsidR="00A2645F">
        <w:rPr>
          <w:rFonts w:ascii="Times New Roman" w:eastAsia="Calibri" w:hAnsi="Times New Roman"/>
        </w:rPr>
        <w:t xml:space="preserve">he company is discontinuing the </w:t>
      </w:r>
      <w:r>
        <w:rPr>
          <w:rFonts w:ascii="Times New Roman" w:eastAsia="Calibri" w:hAnsi="Times New Roman"/>
        </w:rPr>
        <w:t xml:space="preserve">existing-homes </w:t>
      </w:r>
      <w:r w:rsidR="00A2645F">
        <w:rPr>
          <w:rFonts w:ascii="Times New Roman" w:eastAsia="Calibri" w:hAnsi="Times New Roman"/>
        </w:rPr>
        <w:t>incentive</w:t>
      </w:r>
      <w:r>
        <w:rPr>
          <w:rFonts w:ascii="Times New Roman" w:eastAsia="Calibri" w:hAnsi="Times New Roman"/>
        </w:rPr>
        <w:t>s for</w:t>
      </w:r>
      <w:r w:rsidR="00A2645F">
        <w:rPr>
          <w:rFonts w:ascii="Times New Roman" w:eastAsia="Calibri" w:hAnsi="Times New Roman"/>
        </w:rPr>
        <w:t xml:space="preserve"> tankless water heater</w:t>
      </w:r>
      <w:r>
        <w:rPr>
          <w:rFonts w:ascii="Times New Roman" w:eastAsia="Calibri" w:hAnsi="Times New Roman"/>
        </w:rPr>
        <w:t xml:space="preserve">s and for duct sealing and duct leakage tests because they are no longer cost effective. The </w:t>
      </w:r>
      <w:r w:rsidR="00A2645F">
        <w:rPr>
          <w:rFonts w:ascii="Times New Roman" w:eastAsia="Calibri" w:hAnsi="Times New Roman"/>
        </w:rPr>
        <w:t>Total</w:t>
      </w:r>
      <w:r>
        <w:rPr>
          <w:rFonts w:ascii="Times New Roman" w:eastAsia="Calibri" w:hAnsi="Times New Roman"/>
        </w:rPr>
        <w:t xml:space="preserve"> Resource Cost (TRC) test</w:t>
      </w:r>
      <w:r w:rsidR="00A2645F">
        <w:rPr>
          <w:rFonts w:ascii="Times New Roman" w:eastAsia="Calibri" w:hAnsi="Times New Roman"/>
        </w:rPr>
        <w:t xml:space="preserve"> benefit-to-cost ratio </w:t>
      </w:r>
      <w:r>
        <w:rPr>
          <w:rFonts w:ascii="Times New Roman" w:eastAsia="Calibri" w:hAnsi="Times New Roman"/>
        </w:rPr>
        <w:t>is</w:t>
      </w:r>
      <w:r w:rsidR="00A2645F">
        <w:rPr>
          <w:rFonts w:ascii="Times New Roman" w:eastAsia="Calibri" w:hAnsi="Times New Roman"/>
        </w:rPr>
        <w:t xml:space="preserve"> 0.25</w:t>
      </w:r>
      <w:r>
        <w:rPr>
          <w:rFonts w:ascii="Times New Roman" w:eastAsia="Calibri" w:hAnsi="Times New Roman"/>
        </w:rPr>
        <w:t xml:space="preserve"> for tankless water heaters and 0.39 for duct sealing and duct leakage tests</w:t>
      </w:r>
      <w:r w:rsidR="00A2645F">
        <w:rPr>
          <w:rFonts w:ascii="Times New Roman" w:eastAsia="Calibri" w:hAnsi="Times New Roman"/>
        </w:rPr>
        <w:t xml:space="preserve">. </w:t>
      </w:r>
      <w:r>
        <w:rPr>
          <w:rFonts w:ascii="Times New Roman" w:eastAsia="Calibri" w:hAnsi="Times New Roman"/>
        </w:rPr>
        <w:t>The tankless water heater</w:t>
      </w:r>
      <w:r w:rsidR="00C641C6">
        <w:rPr>
          <w:rFonts w:ascii="Times New Roman" w:eastAsia="Calibri" w:hAnsi="Times New Roman"/>
        </w:rPr>
        <w:t xml:space="preserve"> measure continues to be cost-effective when installed in new homes (rather than retrofitting tankless water heaters in existing homes) so it will continue to be offered under the new homes program.</w:t>
      </w:r>
      <w:r w:rsidR="008E0C58">
        <w:rPr>
          <w:rFonts w:ascii="Times New Roman" w:eastAsia="Calibri" w:hAnsi="Times New Roman"/>
        </w:rPr>
        <w:t xml:space="preserve"> The incentive</w:t>
      </w:r>
      <w:r w:rsidR="00D91F8E">
        <w:rPr>
          <w:rFonts w:ascii="Times New Roman" w:eastAsia="Calibri" w:hAnsi="Times New Roman"/>
        </w:rPr>
        <w:t xml:space="preserve"> also remains cost effective for </w:t>
      </w:r>
      <w:r w:rsidR="008E0C58">
        <w:rPr>
          <w:rFonts w:ascii="Times New Roman" w:eastAsia="Calibri" w:hAnsi="Times New Roman"/>
        </w:rPr>
        <w:t xml:space="preserve">certain </w:t>
      </w:r>
      <w:r w:rsidR="00D91F8E">
        <w:rPr>
          <w:rFonts w:ascii="Times New Roman" w:eastAsia="Calibri" w:hAnsi="Times New Roman"/>
        </w:rPr>
        <w:t>commercial applicatio</w:t>
      </w:r>
      <w:r w:rsidR="008E0C58">
        <w:rPr>
          <w:rFonts w:ascii="Times New Roman" w:eastAsia="Calibri" w:hAnsi="Times New Roman"/>
        </w:rPr>
        <w:t xml:space="preserve">ns. </w:t>
      </w:r>
    </w:p>
    <w:p w14:paraId="5222FB34" w14:textId="77777777" w:rsidR="00F961AF" w:rsidRDefault="00F961AF" w:rsidP="00843651">
      <w:pPr>
        <w:rPr>
          <w:rFonts w:ascii="Times New Roman" w:eastAsia="Calibri" w:hAnsi="Times New Roman"/>
        </w:rPr>
      </w:pPr>
    </w:p>
    <w:p w14:paraId="230BD528" w14:textId="3F2309DD" w:rsidR="00F961AF" w:rsidRDefault="00AE0666" w:rsidP="00843651">
      <w:pPr>
        <w:rPr>
          <w:rFonts w:ascii="Times New Roman" w:eastAsia="Calibri" w:hAnsi="Times New Roman"/>
        </w:rPr>
      </w:pPr>
      <w:r>
        <w:rPr>
          <w:rFonts w:ascii="Times New Roman" w:eastAsia="Calibri" w:hAnsi="Times New Roman"/>
        </w:rPr>
        <w:t xml:space="preserve">The company is modifying its air sealing incentive for existing </w:t>
      </w:r>
      <w:r w:rsidR="005E1796">
        <w:rPr>
          <w:rFonts w:ascii="Times New Roman" w:eastAsia="Calibri" w:hAnsi="Times New Roman"/>
        </w:rPr>
        <w:t xml:space="preserve">homes due </w:t>
      </w:r>
      <w:r w:rsidR="00121588">
        <w:rPr>
          <w:rFonts w:ascii="Times New Roman" w:eastAsia="Calibri" w:hAnsi="Times New Roman"/>
        </w:rPr>
        <w:t xml:space="preserve">in part </w:t>
      </w:r>
      <w:r w:rsidR="005E1796">
        <w:rPr>
          <w:rFonts w:ascii="Times New Roman" w:eastAsia="Calibri" w:hAnsi="Times New Roman"/>
        </w:rPr>
        <w:t xml:space="preserve">to rising costs for implementing the measure. The company is proposing to reduce the incentive from 50 percent of cost (up to $275) to a flat $150 per installation. The company expects it will need to stop offering the measure later in 2013 if the results of a pending impact analysis do not show greater energy savings. </w:t>
      </w:r>
    </w:p>
    <w:p w14:paraId="04AAE353" w14:textId="77777777" w:rsidR="00A2645F" w:rsidRDefault="00A2645F" w:rsidP="00843651">
      <w:pPr>
        <w:rPr>
          <w:rFonts w:ascii="Times New Roman" w:eastAsia="Calibri" w:hAnsi="Times New Roman"/>
        </w:rPr>
      </w:pPr>
    </w:p>
    <w:p w14:paraId="0C09D07F" w14:textId="1A33E896" w:rsidR="00D91F8E" w:rsidRDefault="005E1796" w:rsidP="00843651">
      <w:pPr>
        <w:rPr>
          <w:rFonts w:ascii="Times New Roman" w:eastAsia="Calibri" w:hAnsi="Times New Roman"/>
        </w:rPr>
      </w:pPr>
      <w:r>
        <w:rPr>
          <w:rFonts w:ascii="Times New Roman" w:eastAsia="Calibri" w:hAnsi="Times New Roman"/>
        </w:rPr>
        <w:t xml:space="preserve">The company is revising its commercial radiant heating incentive because it has acquired higher quality data on </w:t>
      </w:r>
      <w:r w:rsidR="00586852">
        <w:rPr>
          <w:rFonts w:ascii="Times New Roman" w:eastAsia="Calibri" w:hAnsi="Times New Roman"/>
        </w:rPr>
        <w:t>actual measure costs and as a result it was able to perform a better, mod</w:t>
      </w:r>
      <w:r w:rsidR="007B0CE2">
        <w:rPr>
          <w:rFonts w:ascii="Times New Roman" w:eastAsia="Calibri" w:hAnsi="Times New Roman"/>
        </w:rPr>
        <w:t>e</w:t>
      </w:r>
      <w:r w:rsidR="00586852">
        <w:rPr>
          <w:rFonts w:ascii="Times New Roman" w:eastAsia="Calibri" w:hAnsi="Times New Roman"/>
        </w:rPr>
        <w:t>ling-based savings estimate.</w:t>
      </w:r>
      <w:r w:rsidR="00D8496C">
        <w:rPr>
          <w:rFonts w:ascii="Times New Roman" w:eastAsia="Calibri" w:hAnsi="Times New Roman"/>
        </w:rPr>
        <w:t xml:space="preserve"> The model suggested that a two-tiered </w:t>
      </w:r>
      <w:r w:rsidR="00573694">
        <w:rPr>
          <w:rFonts w:ascii="Times New Roman" w:eastAsia="Calibri" w:hAnsi="Times New Roman"/>
        </w:rPr>
        <w:t xml:space="preserve">incentive be offered, distinguishing between modulating and non-modulating units. The company is proposing to offer a $6.50 per kBtu/hour for non-modulating units and $10.00 per kBtu/hour for modulating units. </w:t>
      </w:r>
      <w:r w:rsidR="007B0CE2">
        <w:rPr>
          <w:rFonts w:ascii="Times New Roman" w:eastAsia="Calibri" w:hAnsi="Times New Roman"/>
        </w:rPr>
        <w:t>Previously the incentive was $6.50 per kBtu for all units.</w:t>
      </w:r>
    </w:p>
    <w:p w14:paraId="6F9043AB" w14:textId="77777777" w:rsidR="00D91F8E" w:rsidRDefault="00D91F8E" w:rsidP="00843651">
      <w:pPr>
        <w:rPr>
          <w:rFonts w:ascii="Times New Roman" w:eastAsia="Calibri" w:hAnsi="Times New Roman"/>
        </w:rPr>
      </w:pPr>
    </w:p>
    <w:p w14:paraId="23EE8D64" w14:textId="0117F2E7" w:rsidR="003B29FC" w:rsidRPr="00F73CD7" w:rsidRDefault="00FB256C" w:rsidP="00F73CD7">
      <w:pPr>
        <w:pStyle w:val="NoSpacing"/>
        <w:rPr>
          <w:rFonts w:eastAsia="Times New Roman"/>
          <w:szCs w:val="24"/>
        </w:rPr>
      </w:pPr>
      <w:r>
        <w:rPr>
          <w:rFonts w:eastAsia="Times New Roman"/>
          <w:szCs w:val="24"/>
        </w:rPr>
        <w:t>The overall increase in savings estimates coupled with no change in expected expenditures will likely lead to improved portfolio economics for NW Natural for 2013. Although low gas prices have put substantial strain on the conservation programs of natural gas utilities, NW Natural</w:t>
      </w:r>
      <w:r w:rsidR="00C9605B">
        <w:rPr>
          <w:rFonts w:eastAsia="Times New Roman"/>
          <w:szCs w:val="24"/>
        </w:rPr>
        <w:t xml:space="preserve"> has been able to keep its</w:t>
      </w:r>
      <w:r w:rsidR="00F73CD7">
        <w:rPr>
          <w:rFonts w:eastAsia="Times New Roman"/>
          <w:szCs w:val="24"/>
        </w:rPr>
        <w:t xml:space="preserve"> portfolio </w:t>
      </w:r>
      <w:r w:rsidR="007E7D82">
        <w:rPr>
          <w:rFonts w:eastAsia="Times New Roman"/>
          <w:szCs w:val="24"/>
        </w:rPr>
        <w:t>cost-</w:t>
      </w:r>
      <w:r w:rsidR="00F73CD7">
        <w:rPr>
          <w:rFonts w:eastAsia="Times New Roman"/>
          <w:szCs w:val="24"/>
        </w:rPr>
        <w:t>effect</w:t>
      </w:r>
      <w:r w:rsidR="00C9605B">
        <w:rPr>
          <w:rFonts w:eastAsia="Times New Roman"/>
          <w:szCs w:val="24"/>
        </w:rPr>
        <w:t>ive by adaptively managing its</w:t>
      </w:r>
      <w:r w:rsidR="00F73CD7">
        <w:rPr>
          <w:rFonts w:eastAsia="Times New Roman"/>
          <w:szCs w:val="24"/>
        </w:rPr>
        <w:t xml:space="preserve"> program offerings. </w:t>
      </w:r>
      <w:r>
        <w:rPr>
          <w:rFonts w:eastAsia="Times New Roman"/>
          <w:szCs w:val="24"/>
        </w:rPr>
        <w:t>Staff believes that savings and expenditure estimates are fairly presented i</w:t>
      </w:r>
      <w:r w:rsidR="00F73CD7">
        <w:rPr>
          <w:rFonts w:eastAsia="Times New Roman"/>
          <w:szCs w:val="24"/>
        </w:rPr>
        <w:t>n NW Natural’s 2013 Energy Efficiency Plan</w:t>
      </w:r>
      <w:r>
        <w:rPr>
          <w:rFonts w:eastAsia="Times New Roman"/>
          <w:szCs w:val="24"/>
        </w:rPr>
        <w:t>, and that the programmatic revisions have been designed appropriately and are accurately captured i</w:t>
      </w:r>
      <w:r w:rsidR="00C9605B">
        <w:rPr>
          <w:rFonts w:eastAsia="Times New Roman"/>
          <w:szCs w:val="24"/>
        </w:rPr>
        <w:t>n this p</w:t>
      </w:r>
      <w:r w:rsidR="00F73CD7">
        <w:rPr>
          <w:rFonts w:eastAsia="Times New Roman"/>
          <w:szCs w:val="24"/>
        </w:rPr>
        <w:t>lan</w:t>
      </w:r>
      <w:r>
        <w:rPr>
          <w:rFonts w:eastAsia="Times New Roman"/>
          <w:szCs w:val="24"/>
        </w:rPr>
        <w:t xml:space="preserve">. Therefore, staff recommends that the commission </w:t>
      </w:r>
      <w:r w:rsidR="00F73CD7">
        <w:rPr>
          <w:rFonts w:eastAsia="Times New Roman"/>
          <w:szCs w:val="24"/>
        </w:rPr>
        <w:t>accept this Energy Efficiency Plan by allowing the proposed tariff revision to go into effect by operation of law.</w:t>
      </w:r>
    </w:p>
    <w:p w14:paraId="4F2AE611" w14:textId="77777777" w:rsidR="00843651" w:rsidRPr="00843651" w:rsidRDefault="00843651" w:rsidP="00843651">
      <w:pPr>
        <w:pStyle w:val="Heading1"/>
      </w:pPr>
      <w:r w:rsidRPr="00843651">
        <w:t>Conclusion</w:t>
      </w:r>
    </w:p>
    <w:p w14:paraId="77B317DD" w14:textId="3F42E845" w:rsidR="00852045" w:rsidRPr="00843651" w:rsidRDefault="00852045" w:rsidP="00852045">
      <w:pPr>
        <w:rPr>
          <w:rFonts w:ascii="Times New Roman" w:hAnsi="Times New Roman"/>
          <w:color w:val="1F497D"/>
        </w:rPr>
      </w:pPr>
      <w:r w:rsidRPr="00843651">
        <w:rPr>
          <w:rFonts w:ascii="Times New Roman" w:hAnsi="Times New Roman"/>
        </w:rPr>
        <w:t xml:space="preserve">Take no action, </w:t>
      </w:r>
      <w:r>
        <w:rPr>
          <w:rFonts w:ascii="Times New Roman" w:hAnsi="Times New Roman"/>
        </w:rPr>
        <w:t xml:space="preserve">thereby allowing the proposed tariff revision to go into effect by operation of law, and acknowledging receipt of Northwest Natural Gas Company’s </w:t>
      </w:r>
      <w:r w:rsidRPr="00843651">
        <w:rPr>
          <w:rFonts w:ascii="Times New Roman" w:hAnsi="Times New Roman"/>
        </w:rPr>
        <w:t xml:space="preserve">2013 </w:t>
      </w:r>
      <w:r>
        <w:rPr>
          <w:rFonts w:ascii="Times New Roman" w:hAnsi="Times New Roman"/>
        </w:rPr>
        <w:t>Energy Efficiency Plan</w:t>
      </w:r>
      <w:r w:rsidRPr="00843651">
        <w:rPr>
          <w:rFonts w:ascii="Times New Roman" w:hAnsi="Times New Roman"/>
        </w:rPr>
        <w:t xml:space="preserve"> on </w:t>
      </w:r>
      <w:r>
        <w:rPr>
          <w:rFonts w:ascii="Times New Roman" w:hAnsi="Times New Roman"/>
        </w:rPr>
        <w:t>November 29, 2012</w:t>
      </w:r>
      <w:r w:rsidR="00961558">
        <w:rPr>
          <w:rFonts w:ascii="Times New Roman" w:hAnsi="Times New Roman"/>
        </w:rPr>
        <w:t>,</w:t>
      </w:r>
      <w:r>
        <w:rPr>
          <w:rFonts w:ascii="Times New Roman" w:hAnsi="Times New Roman"/>
        </w:rPr>
        <w:t xml:space="preserve"> in Docket UE-121886</w:t>
      </w:r>
      <w:r w:rsidRPr="00843651">
        <w:rPr>
          <w:rFonts w:ascii="Times New Roman" w:hAnsi="Times New Roman"/>
        </w:rPr>
        <w:t xml:space="preserve">. </w:t>
      </w:r>
    </w:p>
    <w:p w14:paraId="6D115189" w14:textId="77777777" w:rsidR="00843651" w:rsidRPr="00843651" w:rsidRDefault="00843651" w:rsidP="00843651">
      <w:pPr>
        <w:rPr>
          <w:rFonts w:ascii="Times New Roman" w:hAnsi="Times New Roman"/>
        </w:rPr>
      </w:pPr>
    </w:p>
    <w:sectPr w:rsidR="00843651" w:rsidRPr="00843651" w:rsidSect="00856AC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47840" w14:textId="77777777" w:rsidR="00FB256C" w:rsidRDefault="00FB256C" w:rsidP="000E03CA">
      <w:r>
        <w:separator/>
      </w:r>
    </w:p>
  </w:endnote>
  <w:endnote w:type="continuationSeparator" w:id="0">
    <w:p w14:paraId="72348E33" w14:textId="77777777" w:rsidR="00FB256C" w:rsidRDefault="00FB256C" w:rsidP="000E03CA">
      <w:r>
        <w:continuationSeparator/>
      </w:r>
    </w:p>
  </w:endnote>
  <w:endnote w:type="continuationNotice" w:id="1">
    <w:p w14:paraId="67FDD903" w14:textId="77777777" w:rsidR="00FB256C" w:rsidRDefault="00FB2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FE621" w14:textId="77777777" w:rsidR="00FB256C" w:rsidRDefault="00FB256C" w:rsidP="000E03CA">
      <w:r>
        <w:separator/>
      </w:r>
    </w:p>
  </w:footnote>
  <w:footnote w:type="continuationSeparator" w:id="0">
    <w:p w14:paraId="2E5E017C" w14:textId="77777777" w:rsidR="00FB256C" w:rsidRDefault="00FB256C" w:rsidP="000E03CA">
      <w:r>
        <w:continuationSeparator/>
      </w:r>
    </w:p>
  </w:footnote>
  <w:footnote w:type="continuationNotice" w:id="1">
    <w:p w14:paraId="28AB4C7D" w14:textId="77777777" w:rsidR="00FB256C" w:rsidRDefault="00FB256C"/>
  </w:footnote>
  <w:footnote w:id="2">
    <w:p w14:paraId="5AB45A08" w14:textId="6D549ED2" w:rsidR="00FB256C" w:rsidRDefault="00FB256C" w:rsidP="003E6BD3">
      <w:pPr>
        <w:pStyle w:val="FootnoteText"/>
      </w:pPr>
      <w:r>
        <w:rPr>
          <w:rStyle w:val="FootnoteReference"/>
        </w:rPr>
        <w:footnoteRef/>
      </w:r>
      <w:r>
        <w:t xml:space="preserve"> Docket UG-120369, Northwest Natural Gas Company, “2012 Energy Efficiency Plan,”  Updated March 19,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AB1A" w14:textId="2EA0B0D2" w:rsidR="00FB256C" w:rsidRPr="00856AC8" w:rsidRDefault="00FB256C">
    <w:pPr>
      <w:pStyle w:val="Header"/>
      <w:rPr>
        <w:rFonts w:ascii="Times New Roman" w:hAnsi="Times New Roman"/>
        <w:sz w:val="20"/>
        <w:szCs w:val="20"/>
      </w:rPr>
    </w:pPr>
    <w:r>
      <w:rPr>
        <w:rFonts w:ascii="Times New Roman" w:hAnsi="Times New Roman"/>
        <w:sz w:val="20"/>
        <w:szCs w:val="20"/>
      </w:rPr>
      <w:t>DOCKET UG-121886</w:t>
    </w:r>
  </w:p>
  <w:p w14:paraId="0031AB1B" w14:textId="3C380451" w:rsidR="00FB256C" w:rsidRPr="00856AC8" w:rsidRDefault="00FB256C">
    <w:pPr>
      <w:pStyle w:val="Header"/>
      <w:rPr>
        <w:rFonts w:ascii="Times New Roman" w:hAnsi="Times New Roman"/>
        <w:sz w:val="20"/>
        <w:szCs w:val="20"/>
      </w:rPr>
    </w:pPr>
    <w:r>
      <w:rPr>
        <w:rFonts w:ascii="Times New Roman" w:hAnsi="Times New Roman"/>
        <w:sz w:val="20"/>
        <w:szCs w:val="20"/>
      </w:rPr>
      <w:t>December 21</w:t>
    </w:r>
    <w:r w:rsidRPr="00856AC8">
      <w:rPr>
        <w:rFonts w:ascii="Times New Roman" w:hAnsi="Times New Roman"/>
        <w:sz w:val="20"/>
        <w:szCs w:val="20"/>
      </w:rPr>
      <w:t>, 2012</w:t>
    </w:r>
  </w:p>
  <w:p w14:paraId="0031AB1C" w14:textId="644E6553" w:rsidR="00FB256C" w:rsidRDefault="00FB256C">
    <w:pPr>
      <w:pStyle w:val="Header"/>
      <w:rPr>
        <w:rFonts w:ascii="Times New Roman" w:hAnsi="Times New Roman"/>
        <w:sz w:val="20"/>
        <w:szCs w:val="20"/>
      </w:rPr>
    </w:pPr>
    <w:r w:rsidRPr="00856AC8">
      <w:rPr>
        <w:rFonts w:ascii="Times New Roman" w:hAnsi="Times New Roman"/>
        <w:sz w:val="20"/>
        <w:szCs w:val="20"/>
      </w:rPr>
      <w:t xml:space="preserve">Page </w:t>
    </w:r>
    <w:r w:rsidR="00174298" w:rsidRPr="00174298">
      <w:rPr>
        <w:rFonts w:ascii="Times New Roman" w:hAnsi="Times New Roman"/>
        <w:sz w:val="20"/>
        <w:szCs w:val="20"/>
      </w:rPr>
      <w:fldChar w:fldCharType="begin"/>
    </w:r>
    <w:r w:rsidR="00174298" w:rsidRPr="00174298">
      <w:rPr>
        <w:rFonts w:ascii="Times New Roman" w:hAnsi="Times New Roman"/>
        <w:sz w:val="20"/>
        <w:szCs w:val="20"/>
      </w:rPr>
      <w:instrText xml:space="preserve"> PAGE   \* MERGEFORMAT </w:instrText>
    </w:r>
    <w:r w:rsidR="00174298" w:rsidRPr="00174298">
      <w:rPr>
        <w:rFonts w:ascii="Times New Roman" w:hAnsi="Times New Roman"/>
        <w:sz w:val="20"/>
        <w:szCs w:val="20"/>
      </w:rPr>
      <w:fldChar w:fldCharType="separate"/>
    </w:r>
    <w:r w:rsidR="002F4A44">
      <w:rPr>
        <w:rFonts w:ascii="Times New Roman" w:hAnsi="Times New Roman"/>
        <w:noProof/>
        <w:sz w:val="20"/>
        <w:szCs w:val="20"/>
      </w:rPr>
      <w:t>3</w:t>
    </w:r>
    <w:r w:rsidR="00174298" w:rsidRPr="00174298">
      <w:rPr>
        <w:rFonts w:ascii="Times New Roman" w:hAnsi="Times New Roman"/>
        <w:noProof/>
        <w:sz w:val="20"/>
        <w:szCs w:val="20"/>
      </w:rPr>
      <w:fldChar w:fldCharType="end"/>
    </w:r>
  </w:p>
  <w:p w14:paraId="28342DEC" w14:textId="77777777" w:rsidR="00FB256C" w:rsidRDefault="00FB256C">
    <w:pPr>
      <w:pStyle w:val="Header"/>
      <w:rPr>
        <w:rFonts w:ascii="Times New Roman" w:hAnsi="Times New Roman"/>
        <w:sz w:val="20"/>
        <w:szCs w:val="20"/>
      </w:rPr>
    </w:pPr>
  </w:p>
  <w:p w14:paraId="0031AB1D" w14:textId="77777777" w:rsidR="00FB256C" w:rsidRPr="00856AC8" w:rsidRDefault="00FB256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B715A"/>
    <w:multiLevelType w:val="hybridMultilevel"/>
    <w:tmpl w:val="D4847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CA"/>
    <w:rsid w:val="00024D69"/>
    <w:rsid w:val="00031596"/>
    <w:rsid w:val="00055548"/>
    <w:rsid w:val="000911D5"/>
    <w:rsid w:val="000A2A1B"/>
    <w:rsid w:val="000A70A9"/>
    <w:rsid w:val="000D59A5"/>
    <w:rsid w:val="000D7EC8"/>
    <w:rsid w:val="000E03CA"/>
    <w:rsid w:val="00121588"/>
    <w:rsid w:val="00131B07"/>
    <w:rsid w:val="0015380C"/>
    <w:rsid w:val="00153EA6"/>
    <w:rsid w:val="00174298"/>
    <w:rsid w:val="00183499"/>
    <w:rsid w:val="00190CA5"/>
    <w:rsid w:val="001911DC"/>
    <w:rsid w:val="001C269A"/>
    <w:rsid w:val="001C77C6"/>
    <w:rsid w:val="002036F1"/>
    <w:rsid w:val="00205760"/>
    <w:rsid w:val="00222DD6"/>
    <w:rsid w:val="0027493C"/>
    <w:rsid w:val="002D1AB5"/>
    <w:rsid w:val="002E3E4D"/>
    <w:rsid w:val="002F4A44"/>
    <w:rsid w:val="002F522E"/>
    <w:rsid w:val="00303952"/>
    <w:rsid w:val="00320691"/>
    <w:rsid w:val="00321B43"/>
    <w:rsid w:val="00337558"/>
    <w:rsid w:val="0034209B"/>
    <w:rsid w:val="00344CC6"/>
    <w:rsid w:val="00384633"/>
    <w:rsid w:val="00386209"/>
    <w:rsid w:val="00386B94"/>
    <w:rsid w:val="00397C47"/>
    <w:rsid w:val="003A447A"/>
    <w:rsid w:val="003B29FC"/>
    <w:rsid w:val="003D59E4"/>
    <w:rsid w:val="003E6BD3"/>
    <w:rsid w:val="003F2FDB"/>
    <w:rsid w:val="00402353"/>
    <w:rsid w:val="00414F4E"/>
    <w:rsid w:val="00425399"/>
    <w:rsid w:val="00443C4A"/>
    <w:rsid w:val="004534BD"/>
    <w:rsid w:val="004905B9"/>
    <w:rsid w:val="004931CD"/>
    <w:rsid w:val="004972CF"/>
    <w:rsid w:val="004B664E"/>
    <w:rsid w:val="004D072C"/>
    <w:rsid w:val="00505DF2"/>
    <w:rsid w:val="00573694"/>
    <w:rsid w:val="00586852"/>
    <w:rsid w:val="005C75A4"/>
    <w:rsid w:val="005E1796"/>
    <w:rsid w:val="00600924"/>
    <w:rsid w:val="006119FE"/>
    <w:rsid w:val="00612326"/>
    <w:rsid w:val="00645BE0"/>
    <w:rsid w:val="0066628F"/>
    <w:rsid w:val="00690455"/>
    <w:rsid w:val="006B0D33"/>
    <w:rsid w:val="006B17CF"/>
    <w:rsid w:val="006C0294"/>
    <w:rsid w:val="006C19A6"/>
    <w:rsid w:val="006C4518"/>
    <w:rsid w:val="006F0EB5"/>
    <w:rsid w:val="00707663"/>
    <w:rsid w:val="0076430E"/>
    <w:rsid w:val="00766124"/>
    <w:rsid w:val="00766CE4"/>
    <w:rsid w:val="0077214D"/>
    <w:rsid w:val="00775224"/>
    <w:rsid w:val="0077674A"/>
    <w:rsid w:val="007A025C"/>
    <w:rsid w:val="007B0CE2"/>
    <w:rsid w:val="007C7C2F"/>
    <w:rsid w:val="007E7D82"/>
    <w:rsid w:val="007F6C29"/>
    <w:rsid w:val="007F765D"/>
    <w:rsid w:val="00810D39"/>
    <w:rsid w:val="00811F53"/>
    <w:rsid w:val="00843651"/>
    <w:rsid w:val="00852045"/>
    <w:rsid w:val="00856AC8"/>
    <w:rsid w:val="008740F3"/>
    <w:rsid w:val="008A264B"/>
    <w:rsid w:val="008B2B7E"/>
    <w:rsid w:val="008E0C58"/>
    <w:rsid w:val="00904430"/>
    <w:rsid w:val="00915A42"/>
    <w:rsid w:val="009377DD"/>
    <w:rsid w:val="00944C1D"/>
    <w:rsid w:val="00957947"/>
    <w:rsid w:val="0096146B"/>
    <w:rsid w:val="00961558"/>
    <w:rsid w:val="00962CA0"/>
    <w:rsid w:val="00967D16"/>
    <w:rsid w:val="00980C07"/>
    <w:rsid w:val="00986533"/>
    <w:rsid w:val="00986ABF"/>
    <w:rsid w:val="009A6D5E"/>
    <w:rsid w:val="009B29F7"/>
    <w:rsid w:val="009B5F3F"/>
    <w:rsid w:val="009D44E7"/>
    <w:rsid w:val="009E63EA"/>
    <w:rsid w:val="00A056EF"/>
    <w:rsid w:val="00A2645F"/>
    <w:rsid w:val="00A2656C"/>
    <w:rsid w:val="00A63258"/>
    <w:rsid w:val="00A64CDB"/>
    <w:rsid w:val="00A66D93"/>
    <w:rsid w:val="00A84D62"/>
    <w:rsid w:val="00AA6974"/>
    <w:rsid w:val="00AE0666"/>
    <w:rsid w:val="00B32FCC"/>
    <w:rsid w:val="00B3604D"/>
    <w:rsid w:val="00B46546"/>
    <w:rsid w:val="00B5115B"/>
    <w:rsid w:val="00B830A2"/>
    <w:rsid w:val="00BB3ABD"/>
    <w:rsid w:val="00BC11DC"/>
    <w:rsid w:val="00C02A77"/>
    <w:rsid w:val="00C35217"/>
    <w:rsid w:val="00C641C6"/>
    <w:rsid w:val="00C9605B"/>
    <w:rsid w:val="00CA7938"/>
    <w:rsid w:val="00CB03AE"/>
    <w:rsid w:val="00CB7DF6"/>
    <w:rsid w:val="00CC0869"/>
    <w:rsid w:val="00CD62CB"/>
    <w:rsid w:val="00CE3C01"/>
    <w:rsid w:val="00CE44A4"/>
    <w:rsid w:val="00D27307"/>
    <w:rsid w:val="00D439BF"/>
    <w:rsid w:val="00D74E52"/>
    <w:rsid w:val="00D76BBF"/>
    <w:rsid w:val="00D8496C"/>
    <w:rsid w:val="00D91F8E"/>
    <w:rsid w:val="00D94401"/>
    <w:rsid w:val="00DC5524"/>
    <w:rsid w:val="00DD6A8A"/>
    <w:rsid w:val="00DF0B2B"/>
    <w:rsid w:val="00E00D06"/>
    <w:rsid w:val="00E13BD1"/>
    <w:rsid w:val="00E1436A"/>
    <w:rsid w:val="00E2146D"/>
    <w:rsid w:val="00E22217"/>
    <w:rsid w:val="00E2265A"/>
    <w:rsid w:val="00E23EC2"/>
    <w:rsid w:val="00E45F7C"/>
    <w:rsid w:val="00E73F28"/>
    <w:rsid w:val="00E943B3"/>
    <w:rsid w:val="00EA0E40"/>
    <w:rsid w:val="00EC19DC"/>
    <w:rsid w:val="00F0631D"/>
    <w:rsid w:val="00F0651A"/>
    <w:rsid w:val="00F311DB"/>
    <w:rsid w:val="00F32FD2"/>
    <w:rsid w:val="00F44817"/>
    <w:rsid w:val="00F453D2"/>
    <w:rsid w:val="00F50725"/>
    <w:rsid w:val="00F61160"/>
    <w:rsid w:val="00F71965"/>
    <w:rsid w:val="00F73CD7"/>
    <w:rsid w:val="00F7409B"/>
    <w:rsid w:val="00F75559"/>
    <w:rsid w:val="00F9063E"/>
    <w:rsid w:val="00F961AF"/>
    <w:rsid w:val="00FB256C"/>
    <w:rsid w:val="00FD72C6"/>
    <w:rsid w:val="00FE6AD2"/>
    <w:rsid w:val="00FE71EB"/>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843651"/>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03CA"/>
    <w:rPr>
      <w:rFonts w:ascii="Times New Roman" w:hAnsi="Times New Roman"/>
      <w:sz w:val="20"/>
      <w:szCs w:val="20"/>
    </w:rPr>
  </w:style>
  <w:style w:type="character" w:customStyle="1" w:styleId="FootnoteTextChar">
    <w:name w:val="Footnote Text Char"/>
    <w:basedOn w:val="DefaultParagraphFont"/>
    <w:link w:val="FootnoteText"/>
    <w:uiPriority w:val="99"/>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uiPriority w:val="99"/>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843651"/>
    <w:rPr>
      <w:rFonts w:ascii="Times New Roman" w:eastAsia="Times New Roman" w:hAnsi="Times New Roman" w:cs="Times New Roman"/>
      <w:b/>
      <w:sz w:val="24"/>
      <w:szCs w:val="24"/>
    </w:rPr>
  </w:style>
  <w:style w:type="paragraph" w:styleId="NoSpacing">
    <w:name w:val="No Spacing"/>
    <w:uiPriority w:val="1"/>
    <w:qFormat/>
    <w:rsid w:val="00843651"/>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843651"/>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03CA"/>
    <w:rPr>
      <w:rFonts w:ascii="Times New Roman" w:hAnsi="Times New Roman"/>
      <w:sz w:val="20"/>
      <w:szCs w:val="20"/>
    </w:rPr>
  </w:style>
  <w:style w:type="character" w:customStyle="1" w:styleId="FootnoteTextChar">
    <w:name w:val="Footnote Text Char"/>
    <w:basedOn w:val="DefaultParagraphFont"/>
    <w:link w:val="FootnoteText"/>
    <w:uiPriority w:val="99"/>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uiPriority w:val="99"/>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843651"/>
    <w:rPr>
      <w:rFonts w:ascii="Times New Roman" w:eastAsia="Times New Roman" w:hAnsi="Times New Roman" w:cs="Times New Roman"/>
      <w:b/>
      <w:sz w:val="24"/>
      <w:szCs w:val="24"/>
    </w:rPr>
  </w:style>
  <w:style w:type="paragraph" w:styleId="NoSpacing">
    <w:name w:val="No Spacing"/>
    <w:uiPriority w:val="1"/>
    <w:qFormat/>
    <w:rsid w:val="00843651"/>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6470">
      <w:bodyDiv w:val="1"/>
      <w:marLeft w:val="0"/>
      <w:marRight w:val="0"/>
      <w:marTop w:val="0"/>
      <w:marBottom w:val="0"/>
      <w:divBdr>
        <w:top w:val="none" w:sz="0" w:space="0" w:color="auto"/>
        <w:left w:val="none" w:sz="0" w:space="0" w:color="auto"/>
        <w:bottom w:val="none" w:sz="0" w:space="0" w:color="auto"/>
        <w:right w:val="none" w:sz="0" w:space="0" w:color="auto"/>
      </w:divBdr>
    </w:div>
    <w:div w:id="591083234">
      <w:bodyDiv w:val="1"/>
      <w:marLeft w:val="0"/>
      <w:marRight w:val="0"/>
      <w:marTop w:val="0"/>
      <w:marBottom w:val="0"/>
      <w:divBdr>
        <w:top w:val="none" w:sz="0" w:space="0" w:color="auto"/>
        <w:left w:val="none" w:sz="0" w:space="0" w:color="auto"/>
        <w:bottom w:val="none" w:sz="0" w:space="0" w:color="auto"/>
        <w:right w:val="none" w:sz="0" w:space="0" w:color="auto"/>
      </w:divBdr>
    </w:div>
    <w:div w:id="1520660478">
      <w:bodyDiv w:val="1"/>
      <w:marLeft w:val="0"/>
      <w:marRight w:val="0"/>
      <w:marTop w:val="0"/>
      <w:marBottom w:val="0"/>
      <w:divBdr>
        <w:top w:val="none" w:sz="0" w:space="0" w:color="auto"/>
        <w:left w:val="none" w:sz="0" w:space="0" w:color="auto"/>
        <w:bottom w:val="none" w:sz="0" w:space="0" w:color="auto"/>
        <w:right w:val="none" w:sz="0" w:space="0" w:color="auto"/>
      </w:divBdr>
    </w:div>
    <w:div w:id="15452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2012-11-29T08:00:00+00:00</OpenedDate>
    <Date1 xmlns="dc463f71-b30c-4ab2-9473-d307f9d35888">2012-12-21T08:00:00+00:00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121886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844C40AEABA4395CD6D16BA4B5F12" ma:contentTypeVersion="139" ma:contentTypeDescription="" ma:contentTypeScope="" ma:versionID="8aa3fdcc05e172bbb93072cf909278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BA10F-CB4D-4FC4-B255-DE3FF3088502}"/>
</file>

<file path=customXml/itemProps2.xml><?xml version="1.0" encoding="utf-8"?>
<ds:datastoreItem xmlns:ds="http://schemas.openxmlformats.org/officeDocument/2006/customXml" ds:itemID="{8F3C71BF-BFA8-409F-986B-DB8274228C48}"/>
</file>

<file path=customXml/itemProps3.xml><?xml version="1.0" encoding="utf-8"?>
<ds:datastoreItem xmlns:ds="http://schemas.openxmlformats.org/officeDocument/2006/customXml" ds:itemID="{835851B4-8732-4529-AD17-CF86DFED6196}"/>
</file>

<file path=customXml/itemProps4.xml><?xml version="1.0" encoding="utf-8"?>
<ds:datastoreItem xmlns:ds="http://schemas.openxmlformats.org/officeDocument/2006/customXml" ds:itemID="{2C35CF75-954F-4184-877B-88C7F021EC7C}"/>
</file>

<file path=customXml/itemProps5.xml><?xml version="1.0" encoding="utf-8"?>
<ds:datastoreItem xmlns:ds="http://schemas.openxmlformats.org/officeDocument/2006/customXml" ds:itemID="{07AB77A6-EC6C-4DD1-9A36-4B928160D8CF}"/>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UG-121886 Memo</vt:lpstr>
    </vt:vector>
  </TitlesOfParts>
  <Company>Washington Utilities and Transportation Commission</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UG-121886 Memo</dc:title>
  <dc:creator>White, Kendra (UTC)</dc:creator>
  <cp:lastModifiedBy>Lisa Wyse, Records Manager</cp:lastModifiedBy>
  <cp:revision>2</cp:revision>
  <dcterms:created xsi:type="dcterms:W3CDTF">2012-12-17T19:03:00Z</dcterms:created>
  <dcterms:modified xsi:type="dcterms:W3CDTF">2012-12-17T19:03:00Z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0x0101006E56B4D1795A2E4DB2F0B01679ED314A004A7844C40AEABA4395CD6D16BA4B5F12</vt:lpwstr>
  </property>
  <property fmtid="{D5CDD505-2E9C-101B-9397-08002B2CF9AE}" pid="3" name="_docset_NoMedatataSyncRequired">
    <vt:lpwstr>False</vt:lpwstr>
  </property>
</Properties>
</file>