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6818AB">
        <w:t>121075</w:t>
      </w:r>
    </w:p>
    <w:p w:rsidR="007214BD" w:rsidRDefault="00EE4871" w:rsidP="007214BD">
      <w:r>
        <w:t>Commission</w:t>
      </w:r>
      <w:r w:rsidR="007214BD">
        <w:t xml:space="preserve"> Approval Date: </w:t>
      </w:r>
      <w:r w:rsidR="006818AB">
        <w:t xml:space="preserve">July </w:t>
      </w:r>
      <w:r w:rsidR="00B225E0">
        <w:t>6</w:t>
      </w:r>
      <w:r w:rsidR="006818AB">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6818AB">
        <w:t xml:space="preserve">Kettle Falls International Railway, 125 East Meyers Street, Kettle Falls, Washington </w:t>
      </w:r>
      <w:r w:rsidR="008A46E6">
        <w:t>99141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8A46E6">
        <w:t>121075</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8A46E6">
        <w:t>121075</w:t>
      </w:r>
      <w:r w:rsidR="00CF4AA8">
        <w:t xml:space="preserve"> </w:t>
      </w:r>
      <w:r>
        <w:t xml:space="preserve">involves </w:t>
      </w:r>
      <w:r w:rsidR="008A46E6">
        <w:t>upgrading the incandescent flashing lights to LED type lights, replacing the system batteries/chargers, electronic bell and the outdated motion train detection with newer motion detection technology.</w:t>
      </w:r>
      <w:r w:rsidR="00837E81">
        <w:t xml:space="preserve"> Specific information about the project is contained in </w:t>
      </w:r>
      <w:r w:rsidR="008A46E6">
        <w:t>TR-121075</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8A46E6">
        <w:t xml:space="preserve">July </w:t>
      </w:r>
      <w:r w:rsidR="00B225E0">
        <w:t>6</w:t>
      </w:r>
      <w:r w:rsidR="008A46E6">
        <w:t>, 2012</w:t>
      </w:r>
      <w:r>
        <w:t xml:space="preserve">, and end </w:t>
      </w:r>
      <w:r w:rsidR="008A46E6">
        <w:t>February 28,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8A46E6">
        <w:rPr>
          <w:bCs/>
        </w:rPr>
        <w:t>11,663.25</w:t>
      </w:r>
      <w:r>
        <w:t>. The total approximate cost of the project</w:t>
      </w:r>
      <w:r w:rsidR="008A46E6">
        <w:t xml:space="preserve"> is</w:t>
      </w:r>
      <w:r w:rsidR="00837E81">
        <w:t xml:space="preserve"> </w:t>
      </w:r>
      <w:r w:rsidR="00E35BC4">
        <w:t>$</w:t>
      </w:r>
      <w:r w:rsidR="008A46E6">
        <w:t>22,104.25</w:t>
      </w:r>
      <w:bookmarkStart w:id="0" w:name="_GoBack"/>
      <w:bookmarkEnd w:id="0"/>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8A46E6" w:rsidP="00837E81">
            <w:pPr>
              <w:tabs>
                <w:tab w:val="left" w:pos="0"/>
              </w:tabs>
            </w:pPr>
            <w:r>
              <w:t>Kettle Falls International Railway</w:t>
            </w:r>
          </w:p>
          <w:p w:rsidR="008A46E6" w:rsidRDefault="008A46E6" w:rsidP="00837E81">
            <w:pPr>
              <w:tabs>
                <w:tab w:val="left" w:pos="0"/>
              </w:tabs>
            </w:pPr>
            <w:r>
              <w:t>Jason Scott</w:t>
            </w:r>
          </w:p>
          <w:p w:rsidR="008A46E6" w:rsidRDefault="008A46E6" w:rsidP="00837E81">
            <w:pPr>
              <w:tabs>
                <w:tab w:val="left" w:pos="0"/>
              </w:tabs>
            </w:pPr>
            <w:r>
              <w:t>125 East Meyers Street</w:t>
            </w:r>
          </w:p>
          <w:p w:rsidR="008A46E6" w:rsidRDefault="008A46E6" w:rsidP="00837E81">
            <w:pPr>
              <w:tabs>
                <w:tab w:val="left" w:pos="0"/>
              </w:tabs>
            </w:pPr>
            <w:r>
              <w:t>Kettle Falls, WA 99141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A46E6" w:rsidP="007214BD">
      <w:pPr>
        <w:tabs>
          <w:tab w:val="left" w:pos="0"/>
        </w:tabs>
        <w:ind w:left="360" w:hanging="360"/>
      </w:pPr>
      <w:r>
        <w:t>Kettle Falls International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B225E0">
      <w:rPr>
        <w:noProof/>
      </w:rPr>
      <w:t>2</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B225E0">
      <w:rPr>
        <w:rStyle w:val="PageNumber"/>
        <w:noProof/>
      </w:rPr>
      <w:t>1</w:t>
    </w:r>
    <w:r w:rsidR="00AB4729" w:rsidRPr="00357F48">
      <w:rPr>
        <w:rStyle w:val="PageNumber"/>
      </w:rPr>
      <w:fldChar w:fldCharType="end"/>
    </w:r>
    <w:r w:rsidR="007D5EBE">
      <w:rPr>
        <w:rStyle w:val="PageNumber"/>
      </w:rPr>
      <w:t xml:space="preserve"> of </w:t>
    </w:r>
    <w:r w:rsidR="009766D6">
      <w:rPr>
        <w:rStyle w:val="PageNumbe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818AB"/>
    <w:rsid w:val="006A41EE"/>
    <w:rsid w:val="006D650C"/>
    <w:rsid w:val="00703593"/>
    <w:rsid w:val="0070721D"/>
    <w:rsid w:val="007214BD"/>
    <w:rsid w:val="007561E1"/>
    <w:rsid w:val="007C3A53"/>
    <w:rsid w:val="007D2BA9"/>
    <w:rsid w:val="007D5EBE"/>
    <w:rsid w:val="00837E81"/>
    <w:rsid w:val="008A46E6"/>
    <w:rsid w:val="008B340B"/>
    <w:rsid w:val="00943F80"/>
    <w:rsid w:val="00963618"/>
    <w:rsid w:val="009766D6"/>
    <w:rsid w:val="009E6F54"/>
    <w:rsid w:val="00A84C2A"/>
    <w:rsid w:val="00AB4729"/>
    <w:rsid w:val="00AD3312"/>
    <w:rsid w:val="00B13041"/>
    <w:rsid w:val="00B225E0"/>
    <w:rsid w:val="00B32A1C"/>
    <w:rsid w:val="00BE29F4"/>
    <w:rsid w:val="00C24EA0"/>
    <w:rsid w:val="00CF4AA8"/>
    <w:rsid w:val="00D22EE1"/>
    <w:rsid w:val="00D24178"/>
    <w:rsid w:val="00D27903"/>
    <w:rsid w:val="00D92880"/>
    <w:rsid w:val="00D9754E"/>
    <w:rsid w:val="00DA1B86"/>
    <w:rsid w:val="00DD2A47"/>
    <w:rsid w:val="00E0762E"/>
    <w:rsid w:val="00E15413"/>
    <w:rsid w:val="00E35BC4"/>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2860D6B0CCB244877B488B97458CF6" ma:contentTypeVersion="139" ma:contentTypeDescription="" ma:contentTypeScope="" ma:versionID="04e3057fd4cd2793fe51a11058c89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2012-06-20T07:00:00+00:00</OpenedDate>
    <Date1 xmlns="dc463f71-b30c-4ab2-9473-d307f9d35888">2012-07-06T07:00:00+00:00</Date1>
    <IsDocumentOrder xmlns="dc463f71-b30c-4ab2-9473-d307f9d35888">true</IsDocumentOrder>
    <IsHighlyConfidential xmlns="dc463f71-b30c-4ab2-9473-d307f9d35888">false</IsHighlyConfidential>
    <CaseCompanyNames xmlns="dc463f71-b30c-4ab2-9473-d307f9d35888">Kettle Falls International Railway LLC</CaseCompanyNames>
    <DocketNumber xmlns="dc463f71-b30c-4ab2-9473-d307f9d35888">121075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D7AE0A-1853-4283-81B7-9864EAE3592C}"/>
</file>

<file path=customXml/itemProps2.xml><?xml version="1.0" encoding="utf-8"?>
<ds:datastoreItem xmlns:ds="http://schemas.openxmlformats.org/officeDocument/2006/customXml" ds:itemID="{E9BE4E35-C83F-4297-ADE0-F48262CABF6A}"/>
</file>

<file path=customXml/itemProps3.xml><?xml version="1.0" encoding="utf-8"?>
<ds:datastoreItem xmlns:ds="http://schemas.openxmlformats.org/officeDocument/2006/customXml" ds:itemID="{14A453E9-F6A4-4C92-8965-8601004B2A34}"/>
</file>

<file path=customXml/itemProps4.xml><?xml version="1.0" encoding="utf-8"?>
<ds:datastoreItem xmlns:ds="http://schemas.openxmlformats.org/officeDocument/2006/customXml" ds:itemID="{6FCAB559-0855-4C22-920A-0ABB5CD63EA1}"/>
</file>

<file path=customXml/itemProps5.xml><?xml version="1.0" encoding="utf-8"?>
<ds:datastoreItem xmlns:ds="http://schemas.openxmlformats.org/officeDocument/2006/customXml" ds:itemID="{0F9C6C46-1CFD-45E7-96DA-5AA2EB91B98B}"/>
</file>

<file path=docProps/app.xml><?xml version="1.0" encoding="utf-8"?>
<Properties xmlns="http://schemas.openxmlformats.org/officeDocument/2006/extended-properties" xmlns:vt="http://schemas.openxmlformats.org/officeDocument/2006/docPropsVTypes">
  <Template>Normal</Template>
  <TotalTime>7</TotalTime>
  <Pages>11</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5</cp:revision>
  <cp:lastPrinted>2010-05-04T19:54:00Z</cp:lastPrinted>
  <dcterms:created xsi:type="dcterms:W3CDTF">2012-06-25T22:06:00Z</dcterms:created>
  <dcterms:modified xsi:type="dcterms:W3CDTF">2012-06-28T21:09:00Z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0x0101006E56B4D1795A2E4DB2F0B01679ED314A00E02860D6B0CCB244877B488B97458CF6</vt:lpwstr>
  </property>
  <property fmtid="{D5CDD505-2E9C-101B-9397-08002B2CF9AE}" pid="3" name="_docset_NoMedatataSyncRequired">
    <vt:lpwstr>False</vt:lpwstr>
  </property>
</Properties>
</file>