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8A341C">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3F4865">
        <w:rPr>
          <w:i/>
          <w:sz w:val="24"/>
        </w:rPr>
        <w:t>Metropolitan Movers</w:t>
      </w:r>
      <w:r w:rsidR="00E62217">
        <w:rPr>
          <w:i/>
          <w:sz w:val="24"/>
        </w:rPr>
        <w:t>, Inc</w:t>
      </w:r>
      <w:r w:rsidR="008E1E18">
        <w:rPr>
          <w:i/>
          <w:sz w:val="24"/>
        </w:rPr>
        <w:t>.</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3F4865">
            <w:rPr>
              <w:sz w:val="24"/>
            </w:rPr>
            <w:t>TV</w:t>
          </w:r>
        </w:sdtContent>
      </w:sdt>
      <w:r w:rsidR="006C6F81">
        <w:rPr>
          <w:sz w:val="24"/>
        </w:rPr>
        <w:t>-</w:t>
      </w:r>
      <w:sdt>
        <w:sdtPr>
          <w:rPr>
            <w:sz w:val="24"/>
          </w:rPr>
          <w:id w:val="950126159"/>
          <w:placeholder>
            <w:docPart w:val="DefaultPlaceholder_1082065158"/>
          </w:placeholder>
        </w:sdtPr>
        <w:sdtEndPr/>
        <w:sdtContent>
          <w:r w:rsidR="003F4865">
            <w:rPr>
              <w:sz w:val="24"/>
            </w:rPr>
            <w:t>120929</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700D1A">
            <w:rPr>
              <w:sz w:val="24"/>
            </w:rPr>
            <w:t>July 24</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700D1A">
        <w:rPr>
          <w:sz w:val="24"/>
        </w:rPr>
        <w:t>400 Mitigated</w:t>
      </w:r>
      <w:r w:rsidR="008E1E18">
        <w:rPr>
          <w:sz w:val="24"/>
        </w:rPr>
        <w:t xml:space="preserve"> </w:t>
      </w:r>
      <w:r w:rsidR="00F9687F">
        <w:rPr>
          <w:sz w:val="24"/>
        </w:rPr>
        <w:t>P</w:t>
      </w:r>
      <w:r w:rsidR="00295126" w:rsidRPr="00AF0284">
        <w:rPr>
          <w:sz w:val="24"/>
        </w:rPr>
        <w:t xml:space="preserve">enalty </w:t>
      </w:r>
      <w:r w:rsidR="00F9687F">
        <w:rPr>
          <w:sz w:val="24"/>
        </w:rPr>
        <w:t>A</w:t>
      </w:r>
      <w:r w:rsidR="00295126" w:rsidRPr="00AF0284">
        <w:rPr>
          <w:sz w:val="24"/>
        </w:rPr>
        <w:t>ssessment</w:t>
      </w:r>
      <w:r w:rsidR="004A3679">
        <w:rPr>
          <w:sz w:val="24"/>
        </w:rPr>
        <w:t xml:space="preserve"> in </w:t>
      </w:r>
      <w:r w:rsidR="0063629B">
        <w:rPr>
          <w:sz w:val="24"/>
        </w:rPr>
        <w:t>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700D1A">
            <w:rPr>
              <w:sz w:val="24"/>
            </w:rPr>
            <w:t>TV</w:t>
          </w:r>
        </w:sdtContent>
      </w:sdt>
      <w:r w:rsidR="006C6F81">
        <w:rPr>
          <w:sz w:val="24"/>
        </w:rPr>
        <w:t>-</w:t>
      </w:r>
      <w:sdt>
        <w:sdtPr>
          <w:rPr>
            <w:sz w:val="24"/>
          </w:rPr>
          <w:id w:val="-338465090"/>
          <w:placeholder>
            <w:docPart w:val="DefaultPlaceholder_1082065158"/>
          </w:placeholder>
        </w:sdtPr>
        <w:sdtEndPr/>
        <w:sdtContent>
          <w:r w:rsidR="00700D1A">
            <w:rPr>
              <w:sz w:val="24"/>
            </w:rPr>
            <w:t>120929</w:t>
          </w:r>
        </w:sdtContent>
      </w:sdt>
      <w:r w:rsidRPr="00AF0284">
        <w:rPr>
          <w:sz w:val="24"/>
        </w:rPr>
        <w:t xml:space="preserve"> against </w:t>
      </w:r>
      <w:bookmarkStart w:id="1" w:name="Text1"/>
      <w:r w:rsidR="00700D1A">
        <w:rPr>
          <w:sz w:val="24"/>
        </w:rPr>
        <w:fldChar w:fldCharType="begin">
          <w:ffData>
            <w:name w:val="Text1"/>
            <w:enabled/>
            <w:calcOnExit w:val="0"/>
            <w:textInput>
              <w:default w:val="Metropolitan Movers, Inc."/>
            </w:textInput>
          </w:ffData>
        </w:fldChar>
      </w:r>
      <w:r w:rsidR="00700D1A">
        <w:rPr>
          <w:sz w:val="24"/>
        </w:rPr>
        <w:instrText xml:space="preserve"> FORMTEXT </w:instrText>
      </w:r>
      <w:r w:rsidR="00700D1A">
        <w:rPr>
          <w:sz w:val="24"/>
        </w:rPr>
      </w:r>
      <w:r w:rsidR="00700D1A">
        <w:rPr>
          <w:sz w:val="24"/>
        </w:rPr>
        <w:fldChar w:fldCharType="separate"/>
      </w:r>
      <w:r w:rsidR="00700D1A">
        <w:rPr>
          <w:noProof/>
          <w:sz w:val="24"/>
        </w:rPr>
        <w:t>Metropolitan Movers, Inc.</w:t>
      </w:r>
      <w:r w:rsidR="00700D1A">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700D1A">
            <w:rPr>
              <w:sz w:val="24"/>
            </w:rPr>
            <w:t>16</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700D1A">
            <w:rPr>
              <w:sz w:val="24"/>
            </w:rPr>
            <w:t>15</w:t>
          </w:r>
          <w:r w:rsidR="00A1380D">
            <w:rPr>
              <w:sz w:val="24"/>
            </w:rPr>
            <w:t>-</w:t>
          </w:r>
          <w:r w:rsidR="00700D1A">
            <w:rPr>
              <w:sz w:val="24"/>
            </w:rPr>
            <w:t>480</w:t>
          </w:r>
        </w:sdtContent>
      </w:sdt>
      <w:r w:rsidR="00C7612E">
        <w:rPr>
          <w:sz w:val="24"/>
        </w:rPr>
        <w:t xml:space="preserve">, which requires </w:t>
      </w:r>
      <w:bookmarkStart w:id="2" w:name="Text2"/>
      <w:r w:rsidR="00700D1A">
        <w:rPr>
          <w:sz w:val="24"/>
        </w:rPr>
        <w:fldChar w:fldCharType="begin">
          <w:ffData>
            <w:name w:val="Text2"/>
            <w:enabled/>
            <w:calcOnExit w:val="0"/>
            <w:textInput>
              <w:default w:val="permitted household goods companies"/>
            </w:textInput>
          </w:ffData>
        </w:fldChar>
      </w:r>
      <w:r w:rsidR="00700D1A">
        <w:rPr>
          <w:sz w:val="24"/>
        </w:rPr>
        <w:instrText xml:space="preserve"> FORMTEXT </w:instrText>
      </w:r>
      <w:r w:rsidR="00700D1A">
        <w:rPr>
          <w:sz w:val="24"/>
        </w:rPr>
      </w:r>
      <w:r w:rsidR="00700D1A">
        <w:rPr>
          <w:sz w:val="24"/>
        </w:rPr>
        <w:fldChar w:fldCharType="separate"/>
      </w:r>
      <w:r w:rsidR="00700D1A">
        <w:rPr>
          <w:noProof/>
          <w:sz w:val="24"/>
        </w:rPr>
        <w:t>permitted household goods companies</w:t>
      </w:r>
      <w:r w:rsidR="00700D1A">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700D1A">
            <w:rPr>
              <w:sz w:val="24"/>
            </w:rPr>
            <w:t>6</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68023A">
        <w:rPr>
          <w:noProof/>
          <w:sz w:val="24"/>
        </w:rPr>
        <w:t>Metropolitan Movers, Inc.</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68023A">
        <w:rPr>
          <w:noProof/>
          <w:sz w:val="24"/>
        </w:rPr>
        <w:t>Metropolitan Movers, Inc.</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700D1A">
        <w:rPr>
          <w:sz w:val="24"/>
        </w:rPr>
        <w:t>1. Due to down-sizing, the person responsible for filing this report is no longer with the company, which resulted in a bit of confusion as to the actual filing deadline date (somehow believed to be May 31), and therefore a delay in the filing of the required annual report. We have since inputted the due dates with instructions and procedures onto our company calendar as a reoccurring event to avoid any recurrence of this incident in the future. 2. We believe this admitted mistake on our part will not be repeated, and given that we have already paid our regulatory fees of $146.46, we therefore humbly request that this penalty be waived</w:t>
      </w:r>
      <w:r w:rsidR="008E1E18">
        <w:rPr>
          <w:sz w:val="24"/>
        </w:rPr>
        <w:t>.</w:t>
      </w:r>
      <w:r w:rsidR="007D29A9">
        <w:rPr>
          <w:sz w:val="24"/>
        </w:rPr>
        <w:t>”</w:t>
      </w:r>
    </w:p>
    <w:p w:rsidR="00EB5C48" w:rsidRPr="00AF0284" w:rsidRDefault="00EB5C48" w:rsidP="00317D57">
      <w:pPr>
        <w:rPr>
          <w:sz w:val="24"/>
        </w:rPr>
      </w:pPr>
    </w:p>
    <w:p w:rsidR="000D60D3" w:rsidRPr="00FD35FF" w:rsidRDefault="008A341C"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CD4522" w:rsidRPr="00CD4522">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68023A">
        <w:rPr>
          <w:noProof/>
          <w:sz w:val="24"/>
        </w:rPr>
        <w:t>permitted household goods companies</w:t>
      </w:r>
      <w:r w:rsidR="00C7612E">
        <w:rPr>
          <w:sz w:val="24"/>
        </w:rPr>
        <w:fldChar w:fldCharType="end"/>
      </w:r>
      <w:r w:rsidR="008718AE">
        <w:rPr>
          <w:sz w:val="24"/>
        </w:rPr>
        <w:t xml:space="preserve">. </w:t>
      </w:r>
      <w:r w:rsidR="00003191">
        <w:rPr>
          <w:sz w:val="24"/>
        </w:rPr>
        <w:t>In addition to other information, the cover letter informed the regulated company it must complete the annual report form, pay any regulatory fees and return the material by May 1, 2012 to avoid enforcement action.</w:t>
      </w:r>
      <w:r w:rsidR="00CD4522">
        <w:rPr>
          <w:sz w:val="24"/>
        </w:rPr>
        <w:t xml:space="preserve"> </w:t>
      </w:r>
      <w:r w:rsidR="008718AE">
        <w:rPr>
          <w:sz w:val="24"/>
        </w:rPr>
        <w:t xml:space="preserve">On May </w:t>
      </w:r>
      <w:sdt>
        <w:sdtPr>
          <w:rPr>
            <w:sz w:val="24"/>
          </w:rPr>
          <w:id w:val="94452951"/>
          <w:placeholder>
            <w:docPart w:val="DefaultPlaceholder_1082065158"/>
          </w:placeholder>
        </w:sdtPr>
        <w:sdtEndPr/>
        <w:sdtContent>
          <w:r w:rsidR="000D60D3">
            <w:rPr>
              <w:sz w:val="24"/>
            </w:rPr>
            <w:t>1</w:t>
          </w:r>
          <w:r w:rsidR="00700D1A">
            <w:rPr>
              <w:sz w:val="24"/>
            </w:rPr>
            <w:t>5</w:t>
          </w:r>
        </w:sdtContent>
      </w:sdt>
      <w:r w:rsidR="008718AE">
        <w:rPr>
          <w:sz w:val="24"/>
        </w:rPr>
        <w:t>, 2012</w:t>
      </w:r>
      <w:r w:rsidR="00CD4522" w:rsidRPr="00CD4522">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700D1A">
            <w:rPr>
              <w:sz w:val="24"/>
            </w:rPr>
            <w:t>9</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t>
      </w:r>
      <w:r w:rsidR="001F401D">
        <w:rPr>
          <w:sz w:val="24"/>
        </w:rPr>
        <w:lastRenderedPageBreak/>
        <w:t xml:space="preserve">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Default="00C7612E" w:rsidP="00127C04">
      <w:pPr>
        <w:rPr>
          <w:sz w:val="24"/>
        </w:rPr>
      </w:pPr>
      <w:r w:rsidRPr="00FD35FF">
        <w:rPr>
          <w:sz w:val="24"/>
        </w:rPr>
        <w:fldChar w:fldCharType="begin"/>
      </w:r>
      <w:r w:rsidRPr="00FD35FF">
        <w:rPr>
          <w:sz w:val="24"/>
        </w:rPr>
        <w:instrText xml:space="preserve"> REF Text1 \h </w:instrText>
      </w:r>
      <w:r w:rsidRPr="00FD35FF">
        <w:rPr>
          <w:sz w:val="24"/>
        </w:rPr>
      </w:r>
      <w:r w:rsidRPr="00FD35FF">
        <w:rPr>
          <w:sz w:val="24"/>
        </w:rPr>
        <w:fldChar w:fldCharType="separate"/>
      </w:r>
      <w:r w:rsidR="0068023A">
        <w:rPr>
          <w:noProof/>
          <w:sz w:val="24"/>
        </w:rPr>
        <w:t>Metropolitan Movers, Inc.</w:t>
      </w:r>
      <w:r w:rsidRPr="00FD35FF">
        <w:rPr>
          <w:sz w:val="24"/>
        </w:rPr>
        <w:fldChar w:fldCharType="end"/>
      </w:r>
      <w:r w:rsidR="007D29A9" w:rsidRPr="00FD35FF">
        <w:rPr>
          <w:sz w:val="24"/>
        </w:rPr>
        <w:t xml:space="preserve"> </w:t>
      </w:r>
      <w:r w:rsidR="005856E5">
        <w:rPr>
          <w:sz w:val="24"/>
        </w:rPr>
        <w:t>filed its annual report</w:t>
      </w:r>
      <w:r w:rsidR="00A74622">
        <w:rPr>
          <w:sz w:val="24"/>
        </w:rPr>
        <w:t xml:space="preserve"> on May 23</w:t>
      </w:r>
      <w:r w:rsidR="00E62217">
        <w:rPr>
          <w:sz w:val="24"/>
        </w:rPr>
        <w:t>, 2012</w:t>
      </w:r>
      <w:r w:rsidR="00A74622">
        <w:rPr>
          <w:sz w:val="24"/>
        </w:rPr>
        <w:t>, which is 16 business days past the deadline of May 1, 2012</w:t>
      </w:r>
      <w:r w:rsidR="005856E5">
        <w:rPr>
          <w:sz w:val="24"/>
        </w:rPr>
        <w:t>.</w:t>
      </w:r>
      <w:r w:rsidR="00A74622">
        <w:rPr>
          <w:sz w:val="24"/>
        </w:rPr>
        <w:t xml:space="preserve"> The penalty was mitigated from $100 per day to $25 per day for a total of $400.</w:t>
      </w:r>
      <w:r w:rsidR="00D523F7">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68023A">
        <w:rPr>
          <w:noProof/>
          <w:sz w:val="24"/>
        </w:rPr>
        <w:t>Metropolitan Movers, Inc.</w:t>
      </w:r>
      <w:r w:rsidR="003B33E4" w:rsidRPr="00FD35FF">
        <w:rPr>
          <w:sz w:val="24"/>
        </w:rPr>
        <w:fldChar w:fldCharType="end"/>
      </w:r>
      <w:r w:rsidR="002D0C51">
        <w:rPr>
          <w:sz w:val="24"/>
        </w:rPr>
        <w:t xml:space="preserve"> has held permanent household goods authority since January 1999 and received a penalty for filing a delinquent annual report in 2005.</w:t>
      </w:r>
    </w:p>
    <w:p w:rsidR="002D0C51" w:rsidRPr="00FD35FF" w:rsidRDefault="002D0C51" w:rsidP="00127C04">
      <w:pPr>
        <w:rPr>
          <w:sz w:val="24"/>
        </w:rPr>
      </w:pPr>
    </w:p>
    <w:p w:rsidR="00127C04" w:rsidRDefault="00A74622" w:rsidP="0085138F">
      <w:pPr>
        <w:widowControl/>
        <w:autoSpaceDE/>
        <w:autoSpaceDN/>
        <w:adjustRightInd/>
        <w:rPr>
          <w:sz w:val="24"/>
        </w:rPr>
      </w:pPr>
      <w:r>
        <w:rPr>
          <w:sz w:val="24"/>
        </w:rPr>
        <w:t>Based on the company’s delinquent annual report filling in the past, staff does not support mitigating the assessed penalty further and recommends the request be denied.</w:t>
      </w:r>
    </w:p>
    <w:p w:rsidR="00A74622" w:rsidRPr="00FD35FF" w:rsidRDefault="00A74622"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C64C52" w:rsidRDefault="00C64C52">
      <w:pPr>
        <w:widowControl/>
        <w:autoSpaceDE/>
        <w:autoSpaceDN/>
        <w:adjustRightInd/>
        <w:rPr>
          <w:sz w:val="24"/>
        </w:rPr>
      </w:pPr>
      <w:r>
        <w:rPr>
          <w:sz w:val="24"/>
        </w:rPr>
        <w:br w:type="page"/>
      </w:r>
    </w:p>
    <w:p w:rsidR="00CD4522" w:rsidRDefault="00CD4522">
      <w:pPr>
        <w:widowControl/>
        <w:autoSpaceDE/>
        <w:autoSpaceDN/>
        <w:adjustRightInd/>
        <w:rPr>
          <w:sz w:val="24"/>
        </w:rPr>
      </w:pPr>
      <w:r>
        <w:rPr>
          <w:noProof/>
          <w:sz w:val="24"/>
        </w:rPr>
        <w:lastRenderedPageBreak/>
        <w:drawing>
          <wp:anchor distT="0" distB="0" distL="114300" distR="114300" simplePos="0" relativeHeight="251658240" behindDoc="1" locked="0" layoutInCell="1" allowOverlap="1" wp14:anchorId="3A7DDF6B" wp14:editId="09F0DEF8">
            <wp:simplePos x="0" y="0"/>
            <wp:positionH relativeFrom="column">
              <wp:posOffset>-295275</wp:posOffset>
            </wp:positionH>
            <wp:positionV relativeFrom="paragraph">
              <wp:posOffset>-161925</wp:posOffset>
            </wp:positionV>
            <wp:extent cx="6614160" cy="853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4160" cy="853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7C3" w:rsidRDefault="00CD4522" w:rsidP="00CD4522">
      <w:pPr>
        <w:widowControl/>
        <w:autoSpaceDE/>
        <w:autoSpaceDN/>
        <w:adjustRightInd/>
        <w:jc w:val="center"/>
        <w:rPr>
          <w:sz w:val="24"/>
        </w:rPr>
      </w:pPr>
      <w:r w:rsidRPr="00CD4522">
        <w:rPr>
          <w:b/>
          <w:sz w:val="24"/>
        </w:rPr>
        <w:t>Attachment A</w:t>
      </w:r>
      <w:r w:rsidR="00F427C3">
        <w:rPr>
          <w:sz w:val="24"/>
        </w:rPr>
        <w:br w:type="page"/>
      </w:r>
    </w:p>
    <w:p w:rsidR="00CD4522" w:rsidRDefault="00F427C3" w:rsidP="00C7606D">
      <w:pPr>
        <w:widowControl/>
        <w:autoSpaceDE/>
        <w:autoSpaceDN/>
        <w:adjustRightInd/>
        <w:rPr>
          <w:sz w:val="24"/>
        </w:rPr>
      </w:pPr>
      <w:r>
        <w:rPr>
          <w:noProof/>
          <w:sz w:val="24"/>
        </w:rPr>
        <w:lastRenderedPageBreak/>
        <w:drawing>
          <wp:anchor distT="0" distB="0" distL="114300" distR="114300" simplePos="0" relativeHeight="251659264" behindDoc="1" locked="0" layoutInCell="1" allowOverlap="1" wp14:anchorId="2FC4EC35" wp14:editId="30A68A78">
            <wp:simplePos x="0" y="0"/>
            <wp:positionH relativeFrom="column">
              <wp:posOffset>-389890</wp:posOffset>
            </wp:positionH>
            <wp:positionV relativeFrom="paragraph">
              <wp:posOffset>-502920</wp:posOffset>
            </wp:positionV>
            <wp:extent cx="6722110" cy="8679815"/>
            <wp:effectExtent l="0" t="0" r="2540" b="6985"/>
            <wp:wrapThrough wrapText="bothSides">
              <wp:wrapPolygon edited="0">
                <wp:start x="0" y="0"/>
                <wp:lineTo x="0" y="21570"/>
                <wp:lineTo x="21547" y="21570"/>
                <wp:lineTo x="215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2110" cy="867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522" w:rsidRDefault="00CD4522" w:rsidP="00C7606D">
      <w:pPr>
        <w:widowControl/>
        <w:autoSpaceDE/>
        <w:autoSpaceDN/>
        <w:adjustRightInd/>
        <w:rPr>
          <w:sz w:val="24"/>
        </w:rPr>
      </w:pPr>
      <w:r>
        <w:rPr>
          <w:sz w:val="24"/>
        </w:rPr>
        <w:br w:type="page"/>
      </w:r>
    </w:p>
    <w:p w:rsidR="00CD4522" w:rsidRDefault="00CD4522">
      <w:pPr>
        <w:widowControl/>
        <w:autoSpaceDE/>
        <w:autoSpaceDN/>
        <w:adjustRightInd/>
        <w:rPr>
          <w:b/>
          <w:sz w:val="24"/>
        </w:rPr>
      </w:pPr>
      <w:r w:rsidRPr="00CD4522">
        <w:rPr>
          <w:b/>
          <w:noProof/>
          <w:sz w:val="24"/>
        </w:rPr>
        <w:lastRenderedPageBreak/>
        <w:drawing>
          <wp:anchor distT="0" distB="0" distL="114300" distR="114300" simplePos="0" relativeHeight="251660288" behindDoc="1" locked="0" layoutInCell="1" allowOverlap="1" wp14:anchorId="1AF3DF50" wp14:editId="18CAD170">
            <wp:simplePos x="0" y="0"/>
            <wp:positionH relativeFrom="column">
              <wp:posOffset>-523240</wp:posOffset>
            </wp:positionH>
            <wp:positionV relativeFrom="paragraph">
              <wp:posOffset>-342900</wp:posOffset>
            </wp:positionV>
            <wp:extent cx="6891655" cy="8898255"/>
            <wp:effectExtent l="0" t="0" r="4445" b="0"/>
            <wp:wrapThrough wrapText="bothSides">
              <wp:wrapPolygon edited="0">
                <wp:start x="0" y="0"/>
                <wp:lineTo x="0" y="21549"/>
                <wp:lineTo x="21554" y="21549"/>
                <wp:lineTo x="215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1655" cy="88982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br w:type="page"/>
      </w:r>
    </w:p>
    <w:p w:rsidR="00CD4522" w:rsidRDefault="00CD4522" w:rsidP="00CD4522">
      <w:pPr>
        <w:widowControl/>
        <w:autoSpaceDE/>
        <w:autoSpaceDN/>
        <w:adjustRightInd/>
        <w:jc w:val="center"/>
        <w:rPr>
          <w:sz w:val="24"/>
        </w:rPr>
      </w:pPr>
      <w:r w:rsidRPr="00CD4522">
        <w:rPr>
          <w:b/>
          <w:sz w:val="24"/>
        </w:rPr>
        <w:lastRenderedPageBreak/>
        <w:t>Attachment B</w:t>
      </w:r>
      <w:r>
        <w:rPr>
          <w:noProof/>
          <w:sz w:val="24"/>
        </w:rPr>
        <w:drawing>
          <wp:inline distT="0" distB="0" distL="0" distR="0">
            <wp:extent cx="6209109" cy="800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109" cy="8001000"/>
                    </a:xfrm>
                    <a:prstGeom prst="rect">
                      <a:avLst/>
                    </a:prstGeom>
                    <a:noFill/>
                    <a:ln>
                      <a:noFill/>
                    </a:ln>
                  </pic:spPr>
                </pic:pic>
              </a:graphicData>
            </a:graphic>
          </wp:inline>
        </w:drawing>
      </w:r>
      <w:r>
        <w:rPr>
          <w:noProof/>
          <w:sz w:val="24"/>
        </w:rPr>
        <w:lastRenderedPageBreak/>
        <w:drawing>
          <wp:inline distT="0" distB="0" distL="0" distR="0">
            <wp:extent cx="6280547" cy="803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2986" cy="8042222"/>
                    </a:xfrm>
                    <a:prstGeom prst="rect">
                      <a:avLst/>
                    </a:prstGeom>
                    <a:noFill/>
                    <a:ln>
                      <a:noFill/>
                    </a:ln>
                  </pic:spPr>
                </pic:pic>
              </a:graphicData>
            </a:graphic>
          </wp:inline>
        </w:drawing>
      </w:r>
      <w:r>
        <w:rPr>
          <w:noProof/>
          <w:sz w:val="24"/>
        </w:rPr>
        <w:lastRenderedPageBreak/>
        <w:drawing>
          <wp:inline distT="0" distB="0" distL="0" distR="0">
            <wp:extent cx="6210300" cy="7934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0" cy="7934229"/>
                    </a:xfrm>
                    <a:prstGeom prst="rect">
                      <a:avLst/>
                    </a:prstGeom>
                    <a:noFill/>
                    <a:ln>
                      <a:noFill/>
                    </a:ln>
                  </pic:spPr>
                </pic:pic>
              </a:graphicData>
            </a:graphic>
          </wp:inline>
        </w:drawing>
      </w:r>
    </w:p>
    <w:p w:rsidR="00CD4522" w:rsidRDefault="00CD4522" w:rsidP="00CD4522">
      <w:pPr>
        <w:widowControl/>
        <w:autoSpaceDE/>
        <w:autoSpaceDN/>
        <w:adjustRightInd/>
        <w:jc w:val="center"/>
        <w:rPr>
          <w:sz w:val="24"/>
        </w:rPr>
      </w:pPr>
    </w:p>
    <w:p w:rsidR="00CD4522" w:rsidRDefault="00CD4522" w:rsidP="00CD4522">
      <w:pPr>
        <w:widowControl/>
        <w:autoSpaceDE/>
        <w:autoSpaceDN/>
        <w:adjustRightInd/>
        <w:jc w:val="center"/>
        <w:rPr>
          <w:sz w:val="24"/>
        </w:rPr>
      </w:pPr>
    </w:p>
    <w:p w:rsidR="00CD4522" w:rsidRDefault="00CD4522" w:rsidP="00CD4522">
      <w:pPr>
        <w:widowControl/>
        <w:autoSpaceDE/>
        <w:autoSpaceDN/>
        <w:adjustRightInd/>
        <w:jc w:val="center"/>
        <w:rPr>
          <w:sz w:val="24"/>
        </w:rPr>
      </w:pPr>
    </w:p>
    <w:p w:rsidR="00CD4522" w:rsidRDefault="00CD4522" w:rsidP="00CD4522">
      <w:pPr>
        <w:widowControl/>
        <w:autoSpaceDE/>
        <w:autoSpaceDN/>
        <w:adjustRightInd/>
        <w:jc w:val="center"/>
        <w:rPr>
          <w:sz w:val="24"/>
        </w:rPr>
      </w:pPr>
    </w:p>
    <w:p w:rsidR="00CD4522" w:rsidRDefault="00CD4522" w:rsidP="00CD4522">
      <w:pPr>
        <w:widowControl/>
        <w:autoSpaceDE/>
        <w:autoSpaceDN/>
        <w:adjustRightInd/>
        <w:jc w:val="center"/>
        <w:rPr>
          <w:b/>
          <w:sz w:val="24"/>
        </w:rPr>
      </w:pPr>
      <w:r w:rsidRPr="00CD4522">
        <w:rPr>
          <w:b/>
          <w:sz w:val="24"/>
        </w:rPr>
        <w:lastRenderedPageBreak/>
        <w:t>Attachment C</w:t>
      </w:r>
    </w:p>
    <w:p w:rsidR="00CD4522" w:rsidRPr="00CD4522" w:rsidRDefault="00CD4522" w:rsidP="00CD4522">
      <w:pPr>
        <w:widowControl/>
        <w:autoSpaceDE/>
        <w:autoSpaceDN/>
        <w:adjustRightInd/>
        <w:jc w:val="center"/>
        <w:rPr>
          <w:b/>
          <w:sz w:val="24"/>
        </w:rPr>
      </w:pPr>
      <w:r>
        <w:rPr>
          <w:b/>
          <w:noProof/>
          <w:sz w:val="24"/>
        </w:rPr>
        <w:drawing>
          <wp:inline distT="0" distB="0" distL="0" distR="0">
            <wp:extent cx="6098721" cy="790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8721" cy="7905750"/>
                    </a:xfrm>
                    <a:prstGeom prst="rect">
                      <a:avLst/>
                    </a:prstGeom>
                    <a:noFill/>
                    <a:ln>
                      <a:noFill/>
                    </a:ln>
                  </pic:spPr>
                </pic:pic>
              </a:graphicData>
            </a:graphic>
          </wp:inline>
        </w:drawing>
      </w:r>
    </w:p>
    <w:sectPr w:rsidR="00CD4522" w:rsidRPr="00CD4522" w:rsidSect="006B0838">
      <w:footerReference w:type="even" r:id="rId17"/>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B5" w:rsidRDefault="001549B5">
      <w:r>
        <w:separator/>
      </w:r>
    </w:p>
  </w:endnote>
  <w:endnote w:type="continuationSeparator" w:id="0">
    <w:p w:rsidR="001549B5" w:rsidRDefault="0015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B5" w:rsidRDefault="001549B5">
      <w:r>
        <w:separator/>
      </w:r>
    </w:p>
  </w:footnote>
  <w:footnote w:type="continuationSeparator" w:id="0">
    <w:p w:rsidR="001549B5" w:rsidRDefault="001549B5">
      <w:r>
        <w:continuationSeparator/>
      </w:r>
    </w:p>
  </w:footnote>
  <w:footnote w:id="1">
    <w:p w:rsidR="00537493" w:rsidRDefault="00537493">
      <w:pPr>
        <w:pStyle w:val="FootnoteText"/>
      </w:pPr>
      <w:r>
        <w:rPr>
          <w:rStyle w:val="FootnoteReference"/>
        </w:rPr>
        <w:footnoteRef/>
      </w:r>
      <w:r>
        <w:t xml:space="preserve"> See </w:t>
      </w:r>
      <w:r w:rsidRPr="00F663EC">
        <w:t>attachment</w:t>
      </w:r>
      <w:r w:rsidR="00CD4522">
        <w:t xml:space="preserve"> A</w:t>
      </w:r>
      <w:r w:rsidRPr="00F663EC">
        <w:t xml:space="preserve"> </w:t>
      </w:r>
      <w:r w:rsidRPr="00A92F44">
        <w:t>for</w:t>
      </w:r>
      <w:r w:rsidR="00CD4522">
        <w:t xml:space="preserve"> a copy of</w:t>
      </w:r>
      <w:r w:rsidRPr="00A92F44">
        <w:t xml:space="preserve"> </w:t>
      </w:r>
      <w:r w:rsidR="00700D1A">
        <w:t>Metropolitan Movers, Inc</w:t>
      </w:r>
      <w:r w:rsidR="008E1E18">
        <w:t>.</w:t>
      </w:r>
      <w:r w:rsidR="00700D1A">
        <w:t>’s</w:t>
      </w:r>
      <w:r w:rsidR="008E1E18">
        <w:t xml:space="preserve"> </w:t>
      </w:r>
      <w:r w:rsidRPr="00F663EC">
        <w:t>Mitigation</w:t>
      </w:r>
      <w:r w:rsidR="009F4302">
        <w:t xml:space="preserve"> Request</w:t>
      </w:r>
      <w:r w:rsidRPr="00F663EC">
        <w:t>.</w:t>
      </w:r>
    </w:p>
  </w:footnote>
  <w:footnote w:id="2">
    <w:p w:rsidR="00CD4522" w:rsidRDefault="00CD4522">
      <w:pPr>
        <w:pStyle w:val="FootnoteText"/>
      </w:pPr>
      <w:r>
        <w:rPr>
          <w:rStyle w:val="FootnoteReference"/>
        </w:rPr>
        <w:footnoteRef/>
      </w:r>
      <w:r>
        <w:t xml:space="preserve"> See attachment B for a copy of the letter sent to all regulated companies on February 29, 2012.</w:t>
      </w:r>
    </w:p>
  </w:footnote>
  <w:footnote w:id="3">
    <w:p w:rsidR="00CD4522" w:rsidRPr="00CD4522" w:rsidRDefault="00CD4522">
      <w:pPr>
        <w:pStyle w:val="FootnoteText"/>
        <w:rPr>
          <w:vertAlign w:val="superscript"/>
        </w:rPr>
      </w:pPr>
      <w:r>
        <w:rPr>
          <w:rStyle w:val="FootnoteReference"/>
        </w:rPr>
        <w:footnoteRef/>
      </w:r>
      <w:r>
        <w:t xml:space="preserve"> See attachment C for a copy of the enforcement letter sent to the company on May 1</w:t>
      </w:r>
      <w:r w:rsidR="00AA46A4">
        <w:t>5</w:t>
      </w:r>
      <w:r>
        <w: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3191"/>
    <w:rsid w:val="00021C26"/>
    <w:rsid w:val="00026B1A"/>
    <w:rsid w:val="00034108"/>
    <w:rsid w:val="000343F2"/>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7A44"/>
    <w:rsid w:val="000C7C1B"/>
    <w:rsid w:val="000D60D3"/>
    <w:rsid w:val="000E0AB5"/>
    <w:rsid w:val="000F308D"/>
    <w:rsid w:val="000F4966"/>
    <w:rsid w:val="000F66FC"/>
    <w:rsid w:val="00106220"/>
    <w:rsid w:val="00110E73"/>
    <w:rsid w:val="0011131F"/>
    <w:rsid w:val="00127C04"/>
    <w:rsid w:val="0014321F"/>
    <w:rsid w:val="00144041"/>
    <w:rsid w:val="00147462"/>
    <w:rsid w:val="001532E7"/>
    <w:rsid w:val="001546D4"/>
    <w:rsid w:val="001549B5"/>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114D2"/>
    <w:rsid w:val="00211CBB"/>
    <w:rsid w:val="00236A9E"/>
    <w:rsid w:val="00260983"/>
    <w:rsid w:val="002738A9"/>
    <w:rsid w:val="00276FD5"/>
    <w:rsid w:val="00295126"/>
    <w:rsid w:val="002B20A5"/>
    <w:rsid w:val="002B57BC"/>
    <w:rsid w:val="002D0C51"/>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A5DF4"/>
    <w:rsid w:val="003A74AC"/>
    <w:rsid w:val="003B0245"/>
    <w:rsid w:val="003B33E4"/>
    <w:rsid w:val="003B3DA0"/>
    <w:rsid w:val="003C480E"/>
    <w:rsid w:val="003C7040"/>
    <w:rsid w:val="003D22A1"/>
    <w:rsid w:val="003F284D"/>
    <w:rsid w:val="003F4865"/>
    <w:rsid w:val="003F7AC7"/>
    <w:rsid w:val="00402A6F"/>
    <w:rsid w:val="00404CC3"/>
    <w:rsid w:val="00407E1B"/>
    <w:rsid w:val="00420CCE"/>
    <w:rsid w:val="00434726"/>
    <w:rsid w:val="0043712B"/>
    <w:rsid w:val="0046242E"/>
    <w:rsid w:val="00464AA8"/>
    <w:rsid w:val="00470FAF"/>
    <w:rsid w:val="004867DE"/>
    <w:rsid w:val="004A3679"/>
    <w:rsid w:val="004C0E1B"/>
    <w:rsid w:val="004D4418"/>
    <w:rsid w:val="004F1325"/>
    <w:rsid w:val="004F21C7"/>
    <w:rsid w:val="00506665"/>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856E5"/>
    <w:rsid w:val="00592856"/>
    <w:rsid w:val="00594B2E"/>
    <w:rsid w:val="005A0FFB"/>
    <w:rsid w:val="005B3411"/>
    <w:rsid w:val="005C3E22"/>
    <w:rsid w:val="005C400A"/>
    <w:rsid w:val="005E4A42"/>
    <w:rsid w:val="006203B6"/>
    <w:rsid w:val="00633CD6"/>
    <w:rsid w:val="00635704"/>
    <w:rsid w:val="0063629B"/>
    <w:rsid w:val="00666381"/>
    <w:rsid w:val="00674EB9"/>
    <w:rsid w:val="0067671D"/>
    <w:rsid w:val="0068023A"/>
    <w:rsid w:val="00684D95"/>
    <w:rsid w:val="00685A72"/>
    <w:rsid w:val="006867B7"/>
    <w:rsid w:val="006964E7"/>
    <w:rsid w:val="00697867"/>
    <w:rsid w:val="006A60C7"/>
    <w:rsid w:val="006B0838"/>
    <w:rsid w:val="006B2925"/>
    <w:rsid w:val="006B4575"/>
    <w:rsid w:val="006C2C85"/>
    <w:rsid w:val="006C6F81"/>
    <w:rsid w:val="006D7C64"/>
    <w:rsid w:val="006F3152"/>
    <w:rsid w:val="006F35BE"/>
    <w:rsid w:val="006F39CE"/>
    <w:rsid w:val="00700D1A"/>
    <w:rsid w:val="0070508E"/>
    <w:rsid w:val="00705704"/>
    <w:rsid w:val="00706955"/>
    <w:rsid w:val="007076EF"/>
    <w:rsid w:val="00730807"/>
    <w:rsid w:val="007323CA"/>
    <w:rsid w:val="00736E96"/>
    <w:rsid w:val="00752F7A"/>
    <w:rsid w:val="00753FDF"/>
    <w:rsid w:val="00755539"/>
    <w:rsid w:val="007676B3"/>
    <w:rsid w:val="00774465"/>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A341C"/>
    <w:rsid w:val="008B34FB"/>
    <w:rsid w:val="008B6957"/>
    <w:rsid w:val="008C259D"/>
    <w:rsid w:val="008D2F91"/>
    <w:rsid w:val="008E1E18"/>
    <w:rsid w:val="008F20DC"/>
    <w:rsid w:val="008F43E0"/>
    <w:rsid w:val="00902CEC"/>
    <w:rsid w:val="00905822"/>
    <w:rsid w:val="00910E08"/>
    <w:rsid w:val="00913ABF"/>
    <w:rsid w:val="00914092"/>
    <w:rsid w:val="009153CC"/>
    <w:rsid w:val="0092134C"/>
    <w:rsid w:val="009353E4"/>
    <w:rsid w:val="00935923"/>
    <w:rsid w:val="00942441"/>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74622"/>
    <w:rsid w:val="00A812D2"/>
    <w:rsid w:val="00A92F44"/>
    <w:rsid w:val="00AA46A4"/>
    <w:rsid w:val="00AB7EAF"/>
    <w:rsid w:val="00AC7847"/>
    <w:rsid w:val="00AD0E85"/>
    <w:rsid w:val="00AD499D"/>
    <w:rsid w:val="00AE66EA"/>
    <w:rsid w:val="00AF0284"/>
    <w:rsid w:val="00AF3357"/>
    <w:rsid w:val="00AF5EB3"/>
    <w:rsid w:val="00B0527D"/>
    <w:rsid w:val="00B165DE"/>
    <w:rsid w:val="00B26F40"/>
    <w:rsid w:val="00B3577A"/>
    <w:rsid w:val="00B40321"/>
    <w:rsid w:val="00B46D62"/>
    <w:rsid w:val="00B7645A"/>
    <w:rsid w:val="00B76F8A"/>
    <w:rsid w:val="00B822A2"/>
    <w:rsid w:val="00B82D81"/>
    <w:rsid w:val="00BA162F"/>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64C52"/>
    <w:rsid w:val="00C64CE0"/>
    <w:rsid w:val="00C7606D"/>
    <w:rsid w:val="00C7612E"/>
    <w:rsid w:val="00C86876"/>
    <w:rsid w:val="00CA14F2"/>
    <w:rsid w:val="00CA40A2"/>
    <w:rsid w:val="00CB7E4A"/>
    <w:rsid w:val="00CC50D9"/>
    <w:rsid w:val="00CD3B0A"/>
    <w:rsid w:val="00CD4522"/>
    <w:rsid w:val="00CE5772"/>
    <w:rsid w:val="00CE5EF9"/>
    <w:rsid w:val="00CF2AF0"/>
    <w:rsid w:val="00D10C46"/>
    <w:rsid w:val="00D136BF"/>
    <w:rsid w:val="00D227E6"/>
    <w:rsid w:val="00D23C03"/>
    <w:rsid w:val="00D40BD0"/>
    <w:rsid w:val="00D523F7"/>
    <w:rsid w:val="00D673E0"/>
    <w:rsid w:val="00D86216"/>
    <w:rsid w:val="00D94497"/>
    <w:rsid w:val="00DB7603"/>
    <w:rsid w:val="00DC2570"/>
    <w:rsid w:val="00DC6DB7"/>
    <w:rsid w:val="00DD5507"/>
    <w:rsid w:val="00DE19F4"/>
    <w:rsid w:val="00DF72B2"/>
    <w:rsid w:val="00DF793D"/>
    <w:rsid w:val="00E1140B"/>
    <w:rsid w:val="00E13739"/>
    <w:rsid w:val="00E21457"/>
    <w:rsid w:val="00E22515"/>
    <w:rsid w:val="00E42F9F"/>
    <w:rsid w:val="00E4724F"/>
    <w:rsid w:val="00E5129E"/>
    <w:rsid w:val="00E51FE7"/>
    <w:rsid w:val="00E62217"/>
    <w:rsid w:val="00E6415C"/>
    <w:rsid w:val="00E77982"/>
    <w:rsid w:val="00EA51BF"/>
    <w:rsid w:val="00EB437A"/>
    <w:rsid w:val="00EB5C48"/>
    <w:rsid w:val="00ED6A38"/>
    <w:rsid w:val="00EE2E54"/>
    <w:rsid w:val="00F03179"/>
    <w:rsid w:val="00F03AC5"/>
    <w:rsid w:val="00F3107B"/>
    <w:rsid w:val="00F427C3"/>
    <w:rsid w:val="00F52B2B"/>
    <w:rsid w:val="00F663EC"/>
    <w:rsid w:val="00F67013"/>
    <w:rsid w:val="00F71FF1"/>
    <w:rsid w:val="00F9687F"/>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0C6D82"/>
    <w:rsid w:val="001D19FC"/>
    <w:rsid w:val="002470D1"/>
    <w:rsid w:val="003541F5"/>
    <w:rsid w:val="00423EE7"/>
    <w:rsid w:val="00487004"/>
    <w:rsid w:val="004F2A2F"/>
    <w:rsid w:val="0053605C"/>
    <w:rsid w:val="005405E5"/>
    <w:rsid w:val="005D2FDC"/>
    <w:rsid w:val="006B3E1F"/>
    <w:rsid w:val="006F4BFF"/>
    <w:rsid w:val="0075464D"/>
    <w:rsid w:val="007B388F"/>
    <w:rsid w:val="00812E14"/>
    <w:rsid w:val="0088690D"/>
    <w:rsid w:val="008A0A2C"/>
    <w:rsid w:val="008D1B94"/>
    <w:rsid w:val="009B2A99"/>
    <w:rsid w:val="00AD7C7F"/>
    <w:rsid w:val="00BF5E02"/>
    <w:rsid w:val="00C02535"/>
    <w:rsid w:val="00CA1F07"/>
    <w:rsid w:val="00CB654A"/>
    <w:rsid w:val="00D705BB"/>
    <w:rsid w:val="00DA0D37"/>
    <w:rsid w:val="00DA3979"/>
    <w:rsid w:val="00E2760E"/>
    <w:rsid w:val="00E66C6F"/>
    <w:rsid w:val="00EC584B"/>
    <w:rsid w:val="00EE7D49"/>
    <w:rsid w:val="00EF4FD4"/>
    <w:rsid w:val="00F13663"/>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Metropolitan Movers, Inc.</CaseCompanyNames>
    <DocketNumber xmlns="dc463f71-b30c-4ab2-9473-d307f9d35888">120929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C045CC85745243B6E559890A6A5BA9" ma:contentTypeVersion="139" ma:contentTypeDescription="" ma:contentTypeScope="" ma:versionID="462774891a654e74e318e598799a4e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E1350-FAEE-4D1E-B8CE-5EC9DBF24EE7}"/>
</file>

<file path=customXml/itemProps2.xml><?xml version="1.0" encoding="utf-8"?>
<ds:datastoreItem xmlns:ds="http://schemas.openxmlformats.org/officeDocument/2006/customXml" ds:itemID="{537839CF-BF44-44EE-ABE1-A89B371C3896}"/>
</file>

<file path=customXml/itemProps3.xml><?xml version="1.0" encoding="utf-8"?>
<ds:datastoreItem xmlns:ds="http://schemas.openxmlformats.org/officeDocument/2006/customXml" ds:itemID="{0FC66AA5-8E00-4A77-A79D-766699FBC10D}"/>
</file>

<file path=customXml/itemProps4.xml><?xml version="1.0" encoding="utf-8"?>
<ds:datastoreItem xmlns:ds="http://schemas.openxmlformats.org/officeDocument/2006/customXml" ds:itemID="{6B1C3C19-D063-4575-985D-D5D87D0B21A9}"/>
</file>

<file path=customXml/itemProps5.xml><?xml version="1.0" encoding="utf-8"?>
<ds:datastoreItem xmlns:ds="http://schemas.openxmlformats.org/officeDocument/2006/customXml" ds:itemID="{AD669B88-7BA6-4032-8C08-3580BE267783}"/>
</file>

<file path=docProps/app.xml><?xml version="1.0" encoding="utf-8"?>
<Properties xmlns="http://schemas.openxmlformats.org/officeDocument/2006/extended-properties" xmlns:vt="http://schemas.openxmlformats.org/officeDocument/2006/docPropsVTypes">
  <Template>Normal</Template>
  <TotalTime>1</TotalTime>
  <Pages>9</Pages>
  <Words>535</Words>
  <Characters>3102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2012-08-09T21:50:00Z</cp:lastPrinted>
  <dcterms:created xsi:type="dcterms:W3CDTF">2012-08-10T15:09:00Z</dcterms:created>
  <dcterms:modified xsi:type="dcterms:W3CDTF">2012-08-10T15:09:00Z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0x0101006E56B4D1795A2E4DB2F0B01679ED314A0058C045CC85745243B6E559890A6A5BA9</vt:lpwstr>
  </property>
  <property fmtid="{D5CDD505-2E9C-101B-9397-08002B2CF9AE}" pid="3" name="_docset_NoMedatataSyncRequired">
    <vt:lpwstr>False</vt:lpwstr>
  </property>
</Properties>
</file>