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B8935" w14:textId="77777777" w:rsidR="008E1963" w:rsidRPr="00EA7CBD" w:rsidRDefault="008E1963" w:rsidP="008E1963">
      <w:bookmarkStart w:id="0" w:name="_GoBack"/>
      <w:bookmarkEnd w:id="0"/>
      <w:r w:rsidRPr="007E4BA2">
        <w:t>Agenda Date:</w:t>
      </w:r>
      <w:r w:rsidRPr="007E4BA2">
        <w:rPr>
          <w:caps/>
        </w:rPr>
        <w:tab/>
      </w:r>
      <w:r>
        <w:rPr>
          <w:caps/>
        </w:rPr>
        <w:tab/>
      </w:r>
      <w:r w:rsidR="001A2E01">
        <w:t xml:space="preserve">October </w:t>
      </w:r>
      <w:r w:rsidR="00AC44D9">
        <w:t>28, 2011</w:t>
      </w:r>
    </w:p>
    <w:p w14:paraId="7ACB8936" w14:textId="0C97BB99" w:rsidR="008E1963" w:rsidRPr="00EA7CBD" w:rsidRDefault="008E1963" w:rsidP="008E1963">
      <w:r>
        <w:t>Item Number</w:t>
      </w:r>
      <w:r w:rsidRPr="007E4BA2">
        <w:rPr>
          <w:caps/>
        </w:rPr>
        <w:t>:</w:t>
      </w:r>
      <w:r>
        <w:rPr>
          <w:caps/>
        </w:rPr>
        <w:tab/>
      </w:r>
      <w:r>
        <w:rPr>
          <w:caps/>
        </w:rPr>
        <w:tab/>
        <w:t>A</w:t>
      </w:r>
      <w:r w:rsidR="006C5127">
        <w:rPr>
          <w:caps/>
        </w:rPr>
        <w:t>3</w:t>
      </w:r>
    </w:p>
    <w:p w14:paraId="7ACB8937" w14:textId="77777777" w:rsidR="008E1963" w:rsidRPr="00EA7CBD" w:rsidRDefault="008E1963" w:rsidP="008E1963"/>
    <w:p w14:paraId="7ACB8938" w14:textId="77777777" w:rsidR="008E1963" w:rsidRPr="00EA7CBD" w:rsidRDefault="008E1963" w:rsidP="008E1963">
      <w:pPr>
        <w:rPr>
          <w:b/>
        </w:rPr>
      </w:pPr>
      <w:r w:rsidRPr="007E4BA2">
        <w:rPr>
          <w:rFonts w:ascii="Times New Roman Bold" w:hAnsi="Times New Roman Bold"/>
          <w:b/>
        </w:rPr>
        <w:t>Docket:</w:t>
      </w:r>
      <w:r w:rsidRPr="00EA7CBD">
        <w:rPr>
          <w:b/>
        </w:rPr>
        <w:tab/>
      </w:r>
      <w:r>
        <w:rPr>
          <w:b/>
        </w:rPr>
        <w:tab/>
        <w:t>UG-</w:t>
      </w:r>
      <w:r w:rsidR="001A2E01">
        <w:rPr>
          <w:b/>
        </w:rPr>
        <w:t>111665</w:t>
      </w:r>
    </w:p>
    <w:p w14:paraId="7ACB8939" w14:textId="77777777" w:rsidR="008E1963" w:rsidRPr="00EA7CBD" w:rsidRDefault="008E1963" w:rsidP="008E1963">
      <w:r w:rsidRPr="007E4BA2">
        <w:t>Company Name:</w:t>
      </w:r>
      <w:r w:rsidRPr="00EA7CBD">
        <w:tab/>
      </w:r>
      <w:r>
        <w:t>Avista Corporation</w:t>
      </w:r>
    </w:p>
    <w:p w14:paraId="7ACB893A" w14:textId="77777777" w:rsidR="008E1963" w:rsidRPr="00EA7CBD" w:rsidRDefault="008E1963" w:rsidP="008E1963"/>
    <w:p w14:paraId="7ACB893B" w14:textId="77777777" w:rsidR="008E1963" w:rsidRDefault="008E1963" w:rsidP="008E1963">
      <w:r w:rsidRPr="007E4BA2">
        <w:t>Staff:</w:t>
      </w:r>
      <w:r w:rsidRPr="007E4BA2">
        <w:tab/>
      </w:r>
      <w:r>
        <w:tab/>
      </w:r>
      <w:r w:rsidRPr="00EA7CBD">
        <w:tab/>
      </w:r>
      <w:r>
        <w:t>Kathryn Breda</w:t>
      </w:r>
      <w:r w:rsidRPr="00EA7CBD">
        <w:t>, Regulatory Analyst</w:t>
      </w:r>
    </w:p>
    <w:p w14:paraId="7ACB893C" w14:textId="77777777" w:rsidR="001A2E01" w:rsidRPr="00EA7CBD" w:rsidRDefault="001A2E01" w:rsidP="008E1963">
      <w:r>
        <w:tab/>
      </w:r>
      <w:r>
        <w:tab/>
      </w:r>
      <w:r>
        <w:tab/>
        <w:t>E. J. Keating, Regulatory Analyst</w:t>
      </w:r>
    </w:p>
    <w:p w14:paraId="7ACB893D" w14:textId="77777777" w:rsidR="008E1963" w:rsidRDefault="008E1963" w:rsidP="008E1963">
      <w:pPr>
        <w:spacing w:after="120"/>
      </w:pPr>
    </w:p>
    <w:p w14:paraId="7ACB893E" w14:textId="77777777" w:rsidR="008E1963" w:rsidRPr="00883CAE" w:rsidRDefault="008E1963" w:rsidP="008E1963">
      <w:pPr>
        <w:spacing w:after="120"/>
        <w:rPr>
          <w:b/>
          <w:caps/>
          <w:u w:val="single"/>
        </w:rPr>
      </w:pPr>
      <w:r w:rsidRPr="00883CAE">
        <w:rPr>
          <w:b/>
          <w:u w:val="single"/>
        </w:rPr>
        <w:t>Recommendation</w:t>
      </w:r>
    </w:p>
    <w:p w14:paraId="7ACB893F" w14:textId="610FF795" w:rsidR="008E1963" w:rsidRDefault="008E1963" w:rsidP="008E1963">
      <w:pPr>
        <w:spacing w:after="120"/>
      </w:pPr>
      <w:r>
        <w:t xml:space="preserve">Take no action, allowing the tariff filings made by Avista Corporation (Avista or </w:t>
      </w:r>
      <w:r w:rsidR="006C5127">
        <w:t>c</w:t>
      </w:r>
      <w:r>
        <w:t>ompany) in Docket UG-</w:t>
      </w:r>
      <w:r w:rsidR="001A2E01">
        <w:t>111665</w:t>
      </w:r>
      <w:r>
        <w:t xml:space="preserve"> to take effect November 1, 20</w:t>
      </w:r>
      <w:r w:rsidR="001A2E01">
        <w:t>11</w:t>
      </w:r>
      <w:r>
        <w:t>, by operation of law.</w:t>
      </w:r>
    </w:p>
    <w:p w14:paraId="7ACB8940" w14:textId="77777777" w:rsidR="008E1963" w:rsidRDefault="008E1963" w:rsidP="008E1963">
      <w:pPr>
        <w:spacing w:after="120"/>
      </w:pPr>
    </w:p>
    <w:p w14:paraId="7ACB8941" w14:textId="77777777" w:rsidR="008E1963" w:rsidRPr="00883CAE" w:rsidRDefault="008E1963" w:rsidP="008E1963">
      <w:pPr>
        <w:spacing w:after="120"/>
        <w:rPr>
          <w:b/>
          <w:caps/>
          <w:u w:val="single"/>
        </w:rPr>
      </w:pPr>
      <w:r w:rsidRPr="00883CAE">
        <w:rPr>
          <w:b/>
          <w:u w:val="single"/>
        </w:rPr>
        <w:t>Background</w:t>
      </w:r>
    </w:p>
    <w:p w14:paraId="7ACB8942" w14:textId="3C9A0870" w:rsidR="008E1963" w:rsidRDefault="008E1963" w:rsidP="008E1963">
      <w:pPr>
        <w:spacing w:after="120"/>
      </w:pPr>
      <w:r>
        <w:t>On September 15, 20</w:t>
      </w:r>
      <w:r w:rsidR="001A2E01">
        <w:t>11</w:t>
      </w:r>
      <w:r>
        <w:t>, Avista filed revisions to its Purchase Gas Adjustment (PGA) and deferred gas cost amortization tariffs in Docket UG-</w:t>
      </w:r>
      <w:r w:rsidR="001A2E01">
        <w:t>111665</w:t>
      </w:r>
      <w:r>
        <w:t>. The net effect of the proposed filings is a</w:t>
      </w:r>
      <w:r w:rsidR="00FB292D">
        <w:t>n</w:t>
      </w:r>
      <w:r>
        <w:t xml:space="preserve"> increase in annual gas sale</w:t>
      </w:r>
      <w:r w:rsidR="001A2E01">
        <w:t xml:space="preserve">s revenues of approximately $1.5 </w:t>
      </w:r>
      <w:r>
        <w:t xml:space="preserve">million or </w:t>
      </w:r>
      <w:r w:rsidR="00CD5AF8">
        <w:t>approximately 1.0</w:t>
      </w:r>
      <w:r>
        <w:t xml:space="preserve"> percent.</w:t>
      </w:r>
    </w:p>
    <w:p w14:paraId="7ACB8943" w14:textId="77777777" w:rsidR="008E1963" w:rsidRDefault="008E1963" w:rsidP="008E1963">
      <w:pPr>
        <w:spacing w:after="120"/>
      </w:pPr>
      <w:r>
        <w:t>The PGA and deferred gas cost amortization mechanisms are designed to pass through to customers the utility’s actual cost of natural gas on a periodic basis. The PGA establishes for the upcoming year a projection of the utility’s gas costs</w:t>
      </w:r>
      <w:r w:rsidR="001A2E01">
        <w:t xml:space="preserve"> reflected in Schedule 150</w:t>
      </w:r>
      <w:r>
        <w:t xml:space="preserve">. The difference between the projected cost </w:t>
      </w:r>
      <w:r w:rsidR="001331CB">
        <w:t xml:space="preserve">from the previous PGA filing, </w:t>
      </w:r>
      <w:r>
        <w:t xml:space="preserve">and the actual cost </w:t>
      </w:r>
      <w:r w:rsidR="001331CB">
        <w:t xml:space="preserve">incurred for the period, </w:t>
      </w:r>
      <w:r>
        <w:t>is deferred and ultimately amortized back to customers with interest, as a refund or a surcharge</w:t>
      </w:r>
      <w:r w:rsidR="001331CB">
        <w:t xml:space="preserve"> reflected in Schedule 155</w:t>
      </w:r>
      <w:r>
        <w:t>.</w:t>
      </w:r>
    </w:p>
    <w:p w14:paraId="7ACB8944" w14:textId="690A8B6C" w:rsidR="001331CB" w:rsidRDefault="001331CB" w:rsidP="008E1963">
      <w:pPr>
        <w:spacing w:after="120"/>
      </w:pPr>
      <w:r>
        <w:t xml:space="preserve">This year Schedule 155 includes </w:t>
      </w:r>
      <w:r w:rsidR="005B7BE1">
        <w:t>approximately $76</w:t>
      </w:r>
      <w:r w:rsidR="000F4E7D">
        <w:t>,000</w:t>
      </w:r>
      <w:r w:rsidR="006C5127">
        <w:t xml:space="preserve"> </w:t>
      </w:r>
      <w:r w:rsidR="005B7BE1">
        <w:t xml:space="preserve">for the </w:t>
      </w:r>
      <w:r>
        <w:t xml:space="preserve">recognition of </w:t>
      </w:r>
      <w:r w:rsidR="005B7BE1">
        <w:t>additional Jackson Prairie s</w:t>
      </w:r>
      <w:r w:rsidR="00EB2646">
        <w:t>torage</w:t>
      </w:r>
      <w:r w:rsidR="005B7BE1">
        <w:t xml:space="preserve"> and related operations and maintenance expense</w:t>
      </w:r>
      <w:r w:rsidR="00EB2646">
        <w:t xml:space="preserve"> </w:t>
      </w:r>
      <w:r w:rsidR="005B7BE1">
        <w:t>for the period May 1, 2011</w:t>
      </w:r>
      <w:r w:rsidR="00BA59F7">
        <w:t>,</w:t>
      </w:r>
      <w:r w:rsidR="005B7BE1">
        <w:t xml:space="preserve"> through June 30, 2011</w:t>
      </w:r>
      <w:r w:rsidR="009414C9">
        <w:t>,</w:t>
      </w:r>
      <w:r w:rsidR="005B7BE1">
        <w:t xml:space="preserve"> </w:t>
      </w:r>
      <w:r w:rsidR="00EB2646">
        <w:t>consistent with Order No. 7 in Dockets UE-100467 and UG-100468 (consolidated).  The Order states:</w:t>
      </w:r>
    </w:p>
    <w:p w14:paraId="7ACB8945" w14:textId="77777777" w:rsidR="00EB2646" w:rsidRDefault="00EB2646" w:rsidP="00EB2646">
      <w:pPr>
        <w:autoSpaceDE w:val="0"/>
        <w:autoSpaceDN w:val="0"/>
        <w:adjustRightInd w:val="0"/>
        <w:ind w:left="720"/>
        <w:jc w:val="both"/>
      </w:pPr>
      <w:r>
        <w:t>…The revenue requirement associated with Avista’s rate of return applied to the actual balance of the additional JP working gas inventory applicable to Washington gas operations shall be calculated as a deferred cost beginning May 1, 2011 to be recovered in the Company’s future PGA filings starting with Avista’s fall 2011 PGA filing, until recovered in base rates in a subsequent general rate case. In addition, the additional operations and maintenance costs shall be recorded in the Company's PGA deferrals for later recovery in rates until those costs are included in base retail rates.</w:t>
      </w:r>
      <w:r w:rsidR="005B7BE1">
        <w:rPr>
          <w:rStyle w:val="FootnoteReference"/>
        </w:rPr>
        <w:footnoteReference w:id="1"/>
      </w:r>
    </w:p>
    <w:p w14:paraId="7ACB8946" w14:textId="77777777" w:rsidR="001331CB" w:rsidRDefault="001331CB" w:rsidP="008E1963">
      <w:pPr>
        <w:spacing w:after="120"/>
      </w:pPr>
    </w:p>
    <w:p w14:paraId="7ACB8947" w14:textId="5E7D83B6" w:rsidR="005B7BE1" w:rsidRDefault="008217B8" w:rsidP="008E1963">
      <w:pPr>
        <w:spacing w:after="120"/>
      </w:pPr>
      <w:r>
        <w:t xml:space="preserve">This recognition of </w:t>
      </w:r>
      <w:r w:rsidR="00952EB0">
        <w:t xml:space="preserve">the </w:t>
      </w:r>
      <w:r>
        <w:t xml:space="preserve">additional </w:t>
      </w:r>
      <w:r w:rsidR="005B7BE1">
        <w:t>Jackson Prairie storage will continue to the next PGA period and end when new rates go into effect incorporating this additional storage.</w:t>
      </w:r>
    </w:p>
    <w:p w14:paraId="7ACB8948" w14:textId="77777777" w:rsidR="008E1963" w:rsidRDefault="008E1963" w:rsidP="008E1963">
      <w:pPr>
        <w:spacing w:after="120"/>
      </w:pPr>
      <w:r>
        <w:t>Avista, a combined electric and gas utility, serves approximately 14</w:t>
      </w:r>
      <w:r w:rsidR="005B7BE1">
        <w:t>8</w:t>
      </w:r>
      <w:r>
        <w:t>,000 gas customers in Eastern Washington.</w:t>
      </w:r>
    </w:p>
    <w:p w14:paraId="7ACB894A" w14:textId="77777777" w:rsidR="008E1963" w:rsidRPr="00A85FC6" w:rsidRDefault="008E1963" w:rsidP="008E1963">
      <w:pPr>
        <w:spacing w:after="120"/>
        <w:rPr>
          <w:b/>
          <w:u w:val="single"/>
        </w:rPr>
      </w:pPr>
      <w:r w:rsidRPr="00A85FC6">
        <w:rPr>
          <w:b/>
          <w:u w:val="single"/>
        </w:rPr>
        <w:lastRenderedPageBreak/>
        <w:t>Discussion</w:t>
      </w:r>
    </w:p>
    <w:p w14:paraId="7ACB894B" w14:textId="77777777" w:rsidR="008E1963" w:rsidRPr="0090455B" w:rsidRDefault="008E1963" w:rsidP="008E1963">
      <w:pPr>
        <w:spacing w:after="120"/>
        <w:rPr>
          <w:b/>
        </w:rPr>
      </w:pPr>
      <w:r w:rsidRPr="0090455B">
        <w:rPr>
          <w:b/>
        </w:rPr>
        <w:t xml:space="preserve">Purchase Gas </w:t>
      </w:r>
      <w:r>
        <w:rPr>
          <w:b/>
        </w:rPr>
        <w:t xml:space="preserve">Cost </w:t>
      </w:r>
      <w:r w:rsidRPr="0090455B">
        <w:rPr>
          <w:b/>
        </w:rPr>
        <w:t>Adjustment</w:t>
      </w:r>
      <w:r w:rsidR="001331CB">
        <w:rPr>
          <w:b/>
        </w:rPr>
        <w:t>, Schedule No. 150</w:t>
      </w:r>
      <w:r w:rsidRPr="0090455B">
        <w:rPr>
          <w:b/>
        </w:rPr>
        <w:t xml:space="preserve"> </w:t>
      </w:r>
    </w:p>
    <w:p w14:paraId="7ACB894C" w14:textId="14152FA0" w:rsidR="008E1963" w:rsidRDefault="001331CB" w:rsidP="008E1963">
      <w:pPr>
        <w:spacing w:after="120"/>
      </w:pPr>
      <w:r>
        <w:t xml:space="preserve">Avista’s Schedule </w:t>
      </w:r>
      <w:r w:rsidR="009C67DB">
        <w:t>150 reflects</w:t>
      </w:r>
      <w:r w:rsidR="008E1963">
        <w:t xml:space="preserve"> the projected costs of purchased gas for the coming year; November 20</w:t>
      </w:r>
      <w:r w:rsidR="00072B0E">
        <w:t>11</w:t>
      </w:r>
      <w:r w:rsidR="008E1963">
        <w:t xml:space="preserve"> through October 20</w:t>
      </w:r>
      <w:r w:rsidR="00072B0E">
        <w:t>12</w:t>
      </w:r>
      <w:r w:rsidR="008E1963">
        <w:t xml:space="preserve">. In its filing, the </w:t>
      </w:r>
      <w:r w:rsidR="00952EB0">
        <w:t>c</w:t>
      </w:r>
      <w:r w:rsidR="008E1963">
        <w:t>ompany proposes a</w:t>
      </w:r>
      <w:r w:rsidR="00DC1D95">
        <w:t>n estimated</w:t>
      </w:r>
      <w:r w:rsidR="008E1963">
        <w:t xml:space="preserve"> </w:t>
      </w:r>
      <w:r w:rsidR="00CE5D25">
        <w:t xml:space="preserve">residential </w:t>
      </w:r>
      <w:r w:rsidR="008E1963">
        <w:t xml:space="preserve">weighted average cost of gas (WACOG) </w:t>
      </w:r>
      <w:r w:rsidR="00072B0E">
        <w:t>o</w:t>
      </w:r>
      <w:r w:rsidR="008E1963">
        <w:t>f $0.</w:t>
      </w:r>
      <w:r w:rsidR="008217B8">
        <w:t>52379</w:t>
      </w:r>
      <w:r w:rsidR="008E1963">
        <w:t xml:space="preserve"> </w:t>
      </w:r>
      <w:r w:rsidR="00CE5D25">
        <w:t xml:space="preserve">per </w:t>
      </w:r>
      <w:r w:rsidR="009C67DB">
        <w:t>therm (</w:t>
      </w:r>
      <w:r w:rsidR="00CE5D25">
        <w:t xml:space="preserve">$0.41511 commodity and $0.10868 demand) </w:t>
      </w:r>
      <w:r w:rsidR="00FB292D">
        <w:t>resulting in a</w:t>
      </w:r>
      <w:r w:rsidR="008E1963">
        <w:t xml:space="preserve">n </w:t>
      </w:r>
      <w:r w:rsidR="00CE5D25">
        <w:t xml:space="preserve">estimated </w:t>
      </w:r>
      <w:r w:rsidR="008E1963">
        <w:t xml:space="preserve">overall annual </w:t>
      </w:r>
      <w:r w:rsidR="00CE5D25">
        <w:t>decrease</w:t>
      </w:r>
      <w:r w:rsidR="008E1963">
        <w:t xml:space="preserve"> in sales revenues of approximately $</w:t>
      </w:r>
      <w:r w:rsidR="0051415B">
        <w:t>6.5</w:t>
      </w:r>
      <w:r w:rsidR="00E95A7F">
        <w:t xml:space="preserve"> million</w:t>
      </w:r>
      <w:r w:rsidR="008217B8">
        <w:t>.</w:t>
      </w:r>
    </w:p>
    <w:p w14:paraId="7ACB894E" w14:textId="22BB261E" w:rsidR="009D7212" w:rsidRDefault="008550D5" w:rsidP="005671AA">
      <w:pPr>
        <w:spacing w:after="120"/>
      </w:pPr>
      <w:r>
        <w:t xml:space="preserve">Estimated commodity costs </w:t>
      </w:r>
      <w:r w:rsidR="00152ED3">
        <w:t>are projected to</w:t>
      </w:r>
      <w:r>
        <w:t xml:space="preserve"> </w:t>
      </w:r>
      <w:r w:rsidR="00E95A7F">
        <w:t>decrease</w:t>
      </w:r>
      <w:r>
        <w:t xml:space="preserve"> $0.04</w:t>
      </w:r>
      <w:r w:rsidR="00AC44D9">
        <w:t>338</w:t>
      </w:r>
      <w:r>
        <w:t xml:space="preserve"> per therm</w:t>
      </w:r>
      <w:r w:rsidR="00AC44D9">
        <w:t>.</w:t>
      </w:r>
      <w:r w:rsidR="007853B9">
        <w:t xml:space="preserve"> </w:t>
      </w:r>
      <w:r w:rsidR="009C67DB">
        <w:t xml:space="preserve"> Approximately</w:t>
      </w:r>
      <w:r w:rsidR="001974F2">
        <w:t xml:space="preserve"> 70% of the estimated annual load requirements are hedged</w:t>
      </w:r>
      <w:r w:rsidR="007C4E99">
        <w:t xml:space="preserve"> at a fixed price</w:t>
      </w:r>
      <w:r w:rsidR="001974F2">
        <w:t xml:space="preserve">.  The portion hedged </w:t>
      </w:r>
      <w:r w:rsidR="0012444B">
        <w:t>is comprised of</w:t>
      </w:r>
      <w:r w:rsidR="001974F2">
        <w:t>:  (1)</w:t>
      </w:r>
      <w:r w:rsidR="007853B9">
        <w:t xml:space="preserve"> </w:t>
      </w:r>
      <w:r w:rsidR="007C4E99">
        <w:t>one-year or less</w:t>
      </w:r>
      <w:r w:rsidR="007853B9">
        <w:t xml:space="preserve"> hedges</w:t>
      </w:r>
      <w:r w:rsidR="007C4E99">
        <w:t xml:space="preserve"> representing </w:t>
      </w:r>
      <w:r w:rsidR="008217B8">
        <w:t>about 30</w:t>
      </w:r>
      <w:r w:rsidR="007C4E99">
        <w:t>% of the volume</w:t>
      </w:r>
      <w:r w:rsidR="007853B9">
        <w:t xml:space="preserve">, </w:t>
      </w:r>
      <w:r w:rsidR="001974F2">
        <w:t xml:space="preserve">(2) </w:t>
      </w:r>
      <w:r w:rsidR="007C4E99">
        <w:t>prior multi-year hedges</w:t>
      </w:r>
      <w:r w:rsidR="009414C9">
        <w:t xml:space="preserve"> </w:t>
      </w:r>
      <w:r w:rsidR="007C4E99">
        <w:t>representing</w:t>
      </w:r>
      <w:r w:rsidR="008217B8">
        <w:t xml:space="preserve"> about</w:t>
      </w:r>
      <w:r w:rsidR="007C4E99">
        <w:t xml:space="preserve"> 20% of the volume and (3) Jackson Prairie underground storage representing</w:t>
      </w:r>
      <w:r w:rsidR="008217B8">
        <w:t xml:space="preserve"> about</w:t>
      </w:r>
      <w:r w:rsidR="007C4E99">
        <w:t xml:space="preserve"> 20% of the volume</w:t>
      </w:r>
      <w:r w:rsidR="0012444B">
        <w:t>s</w:t>
      </w:r>
      <w:r w:rsidR="007C4E99">
        <w:t>.</w:t>
      </w:r>
      <w:r w:rsidR="00D8553E">
        <w:t xml:space="preserve"> </w:t>
      </w:r>
      <w:r w:rsidR="007C4E99">
        <w:t>Avista uses</w:t>
      </w:r>
      <w:r w:rsidR="00D8553E">
        <w:t xml:space="preserve"> a 30-day histo</w:t>
      </w:r>
      <w:r w:rsidR="007C4E99">
        <w:t>rical average of forward prices, ending August 22, 2011, by supply basin to develop the</w:t>
      </w:r>
      <w:r w:rsidR="00D8553E">
        <w:t xml:space="preserve"> estimate</w:t>
      </w:r>
      <w:r w:rsidR="007C4E99">
        <w:t xml:space="preserve"> of index/spot purchases which represent about 30% of the estimated annual load</w:t>
      </w:r>
      <w:r w:rsidR="00D8553E">
        <w:t xml:space="preserve">.  </w:t>
      </w:r>
    </w:p>
    <w:p w14:paraId="7ACB894F" w14:textId="0BD0D3DC" w:rsidR="004B11EE" w:rsidRDefault="008B1535" w:rsidP="005671AA">
      <w:pPr>
        <w:spacing w:after="120"/>
        <w:rPr>
          <w:b/>
        </w:rPr>
      </w:pPr>
      <w:r>
        <w:t>Demand costs represent the cost of pipeline transportation to t</w:t>
      </w:r>
      <w:r w:rsidR="00AC44D9">
        <w:t xml:space="preserve">he </w:t>
      </w:r>
      <w:r w:rsidR="00952EB0">
        <w:t>c</w:t>
      </w:r>
      <w:r w:rsidR="00AC44D9">
        <w:t>ompany’s system. Projected d</w:t>
      </w:r>
      <w:r>
        <w:t xml:space="preserve">emand costs </w:t>
      </w:r>
      <w:r w:rsidR="0012444B">
        <w:t xml:space="preserve">increased </w:t>
      </w:r>
      <w:r w:rsidR="00AC44D9">
        <w:t>approximately $</w:t>
      </w:r>
      <w:r w:rsidR="008217B8">
        <w:t>0</w:t>
      </w:r>
      <w:r w:rsidR="00AC44D9">
        <w:t>.0070</w:t>
      </w:r>
      <w:r w:rsidR="008217B8">
        <w:t>0</w:t>
      </w:r>
      <w:r w:rsidR="001511B0">
        <w:t xml:space="preserve"> per therm</w:t>
      </w:r>
      <w:r w:rsidR="00AC44D9">
        <w:t xml:space="preserve"> primarily due to an increase in Gas Transmission </w:t>
      </w:r>
      <w:r w:rsidR="009C67DB">
        <w:t>Northwest</w:t>
      </w:r>
      <w:r w:rsidR="00AC44D9">
        <w:t xml:space="preserve"> rates.</w:t>
      </w:r>
      <w:r w:rsidR="00AC44D9">
        <w:rPr>
          <w:b/>
        </w:rPr>
        <w:t xml:space="preserve"> </w:t>
      </w:r>
    </w:p>
    <w:p w14:paraId="7ACB8950" w14:textId="77777777" w:rsidR="00A94D25" w:rsidRPr="0090455B" w:rsidRDefault="00883CAE" w:rsidP="005671AA">
      <w:pPr>
        <w:spacing w:after="120"/>
        <w:rPr>
          <w:b/>
          <w:caps/>
        </w:rPr>
      </w:pPr>
      <w:r w:rsidRPr="0090455B">
        <w:rPr>
          <w:b/>
        </w:rPr>
        <w:t>Gas Cost Deferral Amortization</w:t>
      </w:r>
      <w:r w:rsidR="008B1535">
        <w:rPr>
          <w:b/>
        </w:rPr>
        <w:t>, Schedule No. 155</w:t>
      </w:r>
    </w:p>
    <w:p w14:paraId="7ACB8951" w14:textId="54938BE5" w:rsidR="00984498" w:rsidRDefault="0074456F" w:rsidP="005671AA">
      <w:pPr>
        <w:spacing w:after="120"/>
      </w:pPr>
      <w:r>
        <w:t>Schedule 155</w:t>
      </w:r>
      <w:r w:rsidR="00885D0F">
        <w:t xml:space="preserve"> reflects </w:t>
      </w:r>
      <w:r w:rsidR="009D7212">
        <w:t>the</w:t>
      </w:r>
      <w:r w:rsidR="00885D0F">
        <w:t xml:space="preserve"> </w:t>
      </w:r>
      <w:r w:rsidR="00A94D25">
        <w:t xml:space="preserve">gas cost </w:t>
      </w:r>
      <w:r w:rsidR="00047DD3">
        <w:t xml:space="preserve">deferral </w:t>
      </w:r>
      <w:r w:rsidR="009D7212">
        <w:t>accumulated during the prior year</w:t>
      </w:r>
      <w:r>
        <w:t>s</w:t>
      </w:r>
      <w:r w:rsidR="009D7212">
        <w:t xml:space="preserve">. </w:t>
      </w:r>
      <w:r>
        <w:t>Currently Avista has an over-collection or</w:t>
      </w:r>
      <w:r w:rsidR="004B78A3">
        <w:t xml:space="preserve"> deferred refund balance of $</w:t>
      </w:r>
      <w:r w:rsidR="0012444B">
        <w:t>5.1</w:t>
      </w:r>
      <w:r w:rsidR="004B78A3">
        <w:t xml:space="preserve"> mill</w:t>
      </w:r>
      <w:r w:rsidR="00426939">
        <w:t>ion</w:t>
      </w:r>
      <w:r w:rsidR="009414C9">
        <w:t>,</w:t>
      </w:r>
      <w:r w:rsidR="0012444B">
        <w:t xml:space="preserve"> as compared to $</w:t>
      </w:r>
      <w:r w:rsidR="008217B8">
        <w:t>13.5</w:t>
      </w:r>
      <w:r w:rsidR="0012444B">
        <w:t xml:space="preserve"> million f</w:t>
      </w:r>
      <w:r w:rsidR="008217B8">
        <w:t>rom</w:t>
      </w:r>
      <w:r w:rsidR="0012444B">
        <w:t xml:space="preserve"> the previous PGA filing period.  The </w:t>
      </w:r>
      <w:r>
        <w:t>proposed rates reflect an increase of approximately $0.05</w:t>
      </w:r>
      <w:r w:rsidR="00E7228F">
        <w:t>000</w:t>
      </w:r>
      <w:r>
        <w:t xml:space="preserve"> </w:t>
      </w:r>
      <w:r w:rsidR="009414C9">
        <w:t xml:space="preserve">per therm </w:t>
      </w:r>
      <w:r>
        <w:t xml:space="preserve">reflecting </w:t>
      </w:r>
      <w:r w:rsidR="008217B8">
        <w:t xml:space="preserve">a smaller refund rate than the previous PGA due to </w:t>
      </w:r>
      <w:r>
        <w:t>this declining balance.  As mentioned above, recognition of additional Jackson Prairie storage and related operations and maintenance expense</w:t>
      </w:r>
      <w:r w:rsidR="009414C9">
        <w:t>,</w:t>
      </w:r>
      <w:r>
        <w:t xml:space="preserve"> for the period May 1, 2011</w:t>
      </w:r>
      <w:r w:rsidR="00BA59F7">
        <w:t>,</w:t>
      </w:r>
      <w:r>
        <w:t xml:space="preserve"> through June 30, 2011</w:t>
      </w:r>
      <w:r w:rsidR="009414C9">
        <w:t>,</w:t>
      </w:r>
      <w:r>
        <w:t xml:space="preserve"> decreased the refund balance approximately $76</w:t>
      </w:r>
      <w:r w:rsidR="00952EB0">
        <w:t>,000</w:t>
      </w:r>
      <w:r>
        <w:t xml:space="preserve">. </w:t>
      </w:r>
    </w:p>
    <w:p w14:paraId="7ACB8952" w14:textId="77777777" w:rsidR="00A94D25" w:rsidRPr="0090455B" w:rsidRDefault="00984498" w:rsidP="005671AA">
      <w:pPr>
        <w:spacing w:after="120"/>
        <w:rPr>
          <w:b/>
        </w:rPr>
      </w:pPr>
      <w:r w:rsidRPr="0090455B">
        <w:rPr>
          <w:b/>
        </w:rPr>
        <w:t xml:space="preserve"> </w:t>
      </w:r>
      <w:r w:rsidR="00883CAE" w:rsidRPr="0090455B">
        <w:rPr>
          <w:b/>
        </w:rPr>
        <w:t>Revenue and Residential Bill Impacts</w:t>
      </w:r>
    </w:p>
    <w:p w14:paraId="7ACB8953" w14:textId="77777777" w:rsidR="00B12D1A" w:rsidRDefault="00A94D25" w:rsidP="005671AA">
      <w:pPr>
        <w:spacing w:after="120"/>
      </w:pPr>
      <w:r>
        <w:t xml:space="preserve">The combined effect of the </w:t>
      </w:r>
      <w:r w:rsidR="001C32EC">
        <w:t>tariff change</w:t>
      </w:r>
      <w:r>
        <w:t xml:space="preserve"> </w:t>
      </w:r>
      <w:r w:rsidR="0074456F">
        <w:t>for Schedules 150 and 155</w:t>
      </w:r>
      <w:r w:rsidR="00984498">
        <w:t xml:space="preserve"> </w:t>
      </w:r>
      <w:r>
        <w:t xml:space="preserve">is </w:t>
      </w:r>
      <w:r w:rsidR="00984498">
        <w:t>an overall revenue increase from gas sales customers of $1.</w:t>
      </w:r>
      <w:r w:rsidR="0074456F">
        <w:t>5</w:t>
      </w:r>
      <w:r w:rsidR="00984498">
        <w:t xml:space="preserve"> million</w:t>
      </w:r>
      <w:r w:rsidR="004B11EE" w:rsidRPr="004B11EE">
        <w:t xml:space="preserve"> </w:t>
      </w:r>
      <w:r w:rsidR="004B11EE">
        <w:t xml:space="preserve">or </w:t>
      </w:r>
      <w:r w:rsidR="00CD5AF8">
        <w:t xml:space="preserve">approximately </w:t>
      </w:r>
      <w:r w:rsidR="0074456F">
        <w:t>1</w:t>
      </w:r>
      <w:r w:rsidR="00CD5AF8">
        <w:t>.0</w:t>
      </w:r>
      <w:r w:rsidR="004B11EE">
        <w:t xml:space="preserve"> percent</w:t>
      </w:r>
      <w:r w:rsidR="00984498">
        <w:t>.</w:t>
      </w:r>
      <w:r w:rsidRPr="00920F63">
        <w:t xml:space="preserve"> </w:t>
      </w:r>
    </w:p>
    <w:p w14:paraId="7ACB8954" w14:textId="626F9D3F" w:rsidR="00426939" w:rsidRDefault="006C5127" w:rsidP="005671AA">
      <w:pPr>
        <w:spacing w:after="120"/>
      </w:pPr>
      <w:r>
        <w:rPr>
          <w:noProof/>
        </w:rPr>
        <w:drawing>
          <wp:inline distT="0" distB="0" distL="0" distR="0" wp14:anchorId="18921E22" wp14:editId="118A8B8F">
            <wp:extent cx="5188585" cy="1871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8585" cy="1871345"/>
                    </a:xfrm>
                    <a:prstGeom prst="rect">
                      <a:avLst/>
                    </a:prstGeom>
                    <a:noFill/>
                    <a:ln>
                      <a:noFill/>
                    </a:ln>
                  </pic:spPr>
                </pic:pic>
              </a:graphicData>
            </a:graphic>
          </wp:inline>
        </w:drawing>
      </w:r>
    </w:p>
    <w:p w14:paraId="7ACB8955" w14:textId="1D1288AA" w:rsidR="00A94D25" w:rsidRDefault="00A94D25" w:rsidP="005671AA">
      <w:pPr>
        <w:spacing w:after="120"/>
      </w:pPr>
    </w:p>
    <w:p w14:paraId="7ACB8956" w14:textId="77777777" w:rsidR="00A94D25" w:rsidRDefault="00A94D25" w:rsidP="005671AA">
      <w:pPr>
        <w:spacing w:after="120"/>
      </w:pPr>
    </w:p>
    <w:p w14:paraId="7ACB8957" w14:textId="3AF7B842" w:rsidR="00A94D25" w:rsidRDefault="00A94D25" w:rsidP="005671AA">
      <w:pPr>
        <w:spacing w:after="120"/>
      </w:pPr>
      <w:r>
        <w:lastRenderedPageBreak/>
        <w:t>The impact of th</w:t>
      </w:r>
      <w:r w:rsidR="00AC44D9">
        <w:t>is</w:t>
      </w:r>
      <w:r>
        <w:t xml:space="preserve"> filing on a  residential customer with </w:t>
      </w:r>
      <w:r w:rsidR="00047DD3">
        <w:t xml:space="preserve">monthly average consumption of </w:t>
      </w:r>
      <w:r w:rsidR="00976B6E">
        <w:t>67</w:t>
      </w:r>
      <w:r>
        <w:t xml:space="preserve"> therms </w:t>
      </w:r>
      <w:r w:rsidR="006107C9">
        <w:t>is</w:t>
      </w:r>
      <w:r>
        <w:t xml:space="preserve"> </w:t>
      </w:r>
      <w:r w:rsidR="00B12D1A">
        <w:t>an increase</w:t>
      </w:r>
      <w:r>
        <w:t xml:space="preserve"> of $</w:t>
      </w:r>
      <w:r w:rsidR="00984498">
        <w:t>0</w:t>
      </w:r>
      <w:r w:rsidR="00505A09">
        <w:t>.</w:t>
      </w:r>
      <w:r w:rsidR="00976B6E">
        <w:t>72</w:t>
      </w:r>
      <w:r w:rsidR="00047DD3">
        <w:t xml:space="preserve"> </w:t>
      </w:r>
      <w:r w:rsidR="00984498">
        <w:t xml:space="preserve">per month </w:t>
      </w:r>
      <w:r w:rsidR="00047DD3">
        <w:t xml:space="preserve">or </w:t>
      </w:r>
      <w:r w:rsidR="00976B6E">
        <w:t>1.16</w:t>
      </w:r>
      <w:r w:rsidR="00426939">
        <w:t xml:space="preserve"> p</w:t>
      </w:r>
      <w:r w:rsidR="00976B6E">
        <w:t>ercent, for a revised bill of $63.05</w:t>
      </w:r>
      <w:r w:rsidR="00426939">
        <w:t>.</w:t>
      </w:r>
    </w:p>
    <w:p w14:paraId="47B466A8" w14:textId="77777777" w:rsidR="00AD7E1A" w:rsidRDefault="00AD7E1A" w:rsidP="006C5127">
      <w:pPr>
        <w:rPr>
          <w:b/>
          <w:u w:val="single"/>
        </w:rPr>
      </w:pPr>
    </w:p>
    <w:p w14:paraId="26E2F60E" w14:textId="4539955D" w:rsidR="00AD7E1A" w:rsidRDefault="00AD7E1A" w:rsidP="006C5127">
      <w:pPr>
        <w:rPr>
          <w:b/>
          <w:u w:val="single"/>
        </w:rPr>
      </w:pPr>
      <w:r w:rsidRPr="00AD7E1A">
        <w:rPr>
          <w:b/>
          <w:u w:val="single"/>
        </w:rPr>
        <w:t>Customer Comments</w:t>
      </w:r>
    </w:p>
    <w:p w14:paraId="4B9D4FD5" w14:textId="77777777" w:rsidR="00AD7E1A" w:rsidRPr="00AD7E1A" w:rsidRDefault="00AD7E1A" w:rsidP="006C5127">
      <w:pPr>
        <w:rPr>
          <w:b/>
          <w:u w:val="single"/>
        </w:rPr>
      </w:pPr>
    </w:p>
    <w:p w14:paraId="2A6026B9" w14:textId="09C6FB84" w:rsidR="006C5127" w:rsidRDefault="006C5127" w:rsidP="006C5127">
      <w:r>
        <w:t xml:space="preserve">The company notified its customers by </w:t>
      </w:r>
      <w:r w:rsidR="00F656B2">
        <w:t>press release on September 15, 2011</w:t>
      </w:r>
      <w:r w:rsidR="00BA59F7">
        <w:t xml:space="preserve">, </w:t>
      </w:r>
      <w:r w:rsidR="00F656B2">
        <w:t xml:space="preserve">and </w:t>
      </w:r>
      <w:r>
        <w:t xml:space="preserve">bill insert </w:t>
      </w:r>
      <w:r w:rsidR="00E17B05">
        <w:t>beginning</w:t>
      </w:r>
      <w:r>
        <w:t xml:space="preserve"> September</w:t>
      </w:r>
      <w:r w:rsidR="00E17B05">
        <w:t xml:space="preserve"> </w:t>
      </w:r>
      <w:r w:rsidR="003159F9">
        <w:t>20</w:t>
      </w:r>
      <w:r>
        <w:t>, 2011. The company explained the PGA process and the anticipated rate change. The commission did not receive any comments on this filing.</w:t>
      </w:r>
    </w:p>
    <w:p w14:paraId="6ED303DC" w14:textId="77777777" w:rsidR="00AD7E1A" w:rsidRDefault="00AD7E1A" w:rsidP="005671AA">
      <w:pPr>
        <w:spacing w:after="120"/>
      </w:pPr>
    </w:p>
    <w:p w14:paraId="7ACB8959" w14:textId="732F6D59" w:rsidR="00A94D25" w:rsidRDefault="00883CAE" w:rsidP="005671AA">
      <w:pPr>
        <w:spacing w:after="120"/>
        <w:rPr>
          <w:b/>
          <w:u w:val="single"/>
        </w:rPr>
      </w:pPr>
      <w:r w:rsidRPr="00883CAE">
        <w:rPr>
          <w:b/>
          <w:u w:val="single"/>
        </w:rPr>
        <w:t>Conclusion</w:t>
      </w:r>
    </w:p>
    <w:p w14:paraId="7ACB895A" w14:textId="77777777" w:rsidR="00A94D25" w:rsidRDefault="00A94D25" w:rsidP="005671AA">
      <w:pPr>
        <w:spacing w:after="120"/>
      </w:pPr>
      <w:r>
        <w:t xml:space="preserve">Staff has reviewed </w:t>
      </w:r>
      <w:r w:rsidR="00A83AA7">
        <w:t>Avista</w:t>
      </w:r>
      <w:r w:rsidR="00047DD3">
        <w:t>’s</w:t>
      </w:r>
      <w:r>
        <w:t xml:space="preserve"> prospective gas costs and deferral amortization rates proposed in its filing</w:t>
      </w:r>
      <w:r w:rsidR="00C22EA9">
        <w:t>s</w:t>
      </w:r>
      <w:r>
        <w:t xml:space="preserve"> and </w:t>
      </w:r>
      <w:r w:rsidR="00C36F82">
        <w:t>find</w:t>
      </w:r>
      <w:r>
        <w:t xml:space="preserve"> them to be reasonable. </w:t>
      </w:r>
      <w:r w:rsidR="00B12D1A">
        <w:t xml:space="preserve">Therefore, </w:t>
      </w:r>
      <w:r>
        <w:t>Sta</w:t>
      </w:r>
      <w:r w:rsidR="00C36F82">
        <w:t xml:space="preserve">ff recommends the Commission </w:t>
      </w:r>
      <w:r>
        <w:t>take no act</w:t>
      </w:r>
      <w:r w:rsidR="004D2225">
        <w:t>ion, allowing the tariff filing</w:t>
      </w:r>
      <w:r w:rsidR="00E56A3E">
        <w:t xml:space="preserve"> in Docket</w:t>
      </w:r>
      <w:r>
        <w:t xml:space="preserve"> UG-</w:t>
      </w:r>
      <w:r w:rsidR="00976B6E">
        <w:t>111665</w:t>
      </w:r>
      <w:r w:rsidR="00675A42">
        <w:t xml:space="preserve"> to become effective</w:t>
      </w:r>
      <w:r>
        <w:t xml:space="preserve"> </w:t>
      </w:r>
      <w:r w:rsidR="00047DD3">
        <w:t>November</w:t>
      </w:r>
      <w:r>
        <w:t xml:space="preserve"> 1, 20</w:t>
      </w:r>
      <w:r w:rsidR="00976B6E">
        <w:t>11</w:t>
      </w:r>
      <w:r>
        <w:t>, by operation of law.</w:t>
      </w:r>
    </w:p>
    <w:sectPr w:rsidR="00A94D25" w:rsidSect="0074170C">
      <w:headerReference w:type="default" r:id="rId12"/>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B895F" w14:textId="77777777" w:rsidR="00E17B05" w:rsidRDefault="00E17B05">
      <w:r>
        <w:separator/>
      </w:r>
    </w:p>
  </w:endnote>
  <w:endnote w:type="continuationSeparator" w:id="0">
    <w:p w14:paraId="7ACB8960" w14:textId="77777777" w:rsidR="00E17B05" w:rsidRDefault="00E1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B895D" w14:textId="77777777" w:rsidR="00E17B05" w:rsidRDefault="00E17B05">
      <w:r>
        <w:separator/>
      </w:r>
    </w:p>
  </w:footnote>
  <w:footnote w:type="continuationSeparator" w:id="0">
    <w:p w14:paraId="7ACB895E" w14:textId="77777777" w:rsidR="00E17B05" w:rsidRDefault="00E17B05">
      <w:r>
        <w:continuationSeparator/>
      </w:r>
    </w:p>
  </w:footnote>
  <w:footnote w:id="1">
    <w:p w14:paraId="7ACB8966" w14:textId="77777777" w:rsidR="00E17B05" w:rsidRDefault="00E17B05">
      <w:pPr>
        <w:pStyle w:val="FootnoteText"/>
      </w:pPr>
      <w:r>
        <w:rPr>
          <w:rStyle w:val="FootnoteReference"/>
        </w:rPr>
        <w:footnoteRef/>
      </w:r>
      <w:r>
        <w:t xml:space="preserve"> </w:t>
      </w:r>
      <w:r w:rsidRPr="00E17B05">
        <w:rPr>
          <w:i/>
        </w:rPr>
        <w:t>Utilities and Transportation Commission v. Avista Corporation</w:t>
      </w:r>
      <w:r>
        <w:t xml:space="preserve"> , Docket UE-100467 and Docket UG-100468 consolidated, Order 07 (November 19, 2010) Page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B8961" w14:textId="77777777" w:rsidR="00E17B05" w:rsidRPr="00E17B05" w:rsidRDefault="00E17B05">
    <w:pPr>
      <w:pStyle w:val="Header"/>
      <w:rPr>
        <w:sz w:val="20"/>
        <w:szCs w:val="20"/>
      </w:rPr>
    </w:pPr>
    <w:r w:rsidRPr="00E17B05">
      <w:rPr>
        <w:sz w:val="20"/>
        <w:szCs w:val="20"/>
      </w:rPr>
      <w:t>Docket UG-111665</w:t>
    </w:r>
  </w:p>
  <w:p w14:paraId="7ACB8962" w14:textId="77777777" w:rsidR="00E17B05" w:rsidRPr="00E17B05" w:rsidRDefault="00E17B05">
    <w:pPr>
      <w:pStyle w:val="Header"/>
      <w:rPr>
        <w:sz w:val="20"/>
        <w:szCs w:val="20"/>
      </w:rPr>
    </w:pPr>
    <w:r w:rsidRPr="00E17B05">
      <w:rPr>
        <w:sz w:val="20"/>
        <w:szCs w:val="20"/>
      </w:rPr>
      <w:t>October 27, 2011</w:t>
    </w:r>
  </w:p>
  <w:p w14:paraId="7ACB8963" w14:textId="77777777" w:rsidR="00E17B05" w:rsidRPr="00E17B05" w:rsidRDefault="00E17B05">
    <w:pPr>
      <w:pStyle w:val="Header"/>
      <w:rPr>
        <w:sz w:val="20"/>
        <w:szCs w:val="20"/>
      </w:rPr>
    </w:pPr>
    <w:r w:rsidRPr="00E17B05">
      <w:rPr>
        <w:sz w:val="20"/>
        <w:szCs w:val="20"/>
      </w:rPr>
      <w:t xml:space="preserve">Page </w:t>
    </w:r>
    <w:r w:rsidRPr="00E17B05">
      <w:rPr>
        <w:sz w:val="20"/>
        <w:szCs w:val="20"/>
      </w:rPr>
      <w:fldChar w:fldCharType="begin"/>
    </w:r>
    <w:r w:rsidRPr="00E17B05">
      <w:rPr>
        <w:sz w:val="20"/>
        <w:szCs w:val="20"/>
      </w:rPr>
      <w:instrText xml:space="preserve"> PAGE </w:instrText>
    </w:r>
    <w:r w:rsidRPr="00E17B05">
      <w:rPr>
        <w:sz w:val="20"/>
        <w:szCs w:val="20"/>
      </w:rPr>
      <w:fldChar w:fldCharType="separate"/>
    </w:r>
    <w:r w:rsidR="00067759">
      <w:rPr>
        <w:noProof/>
        <w:sz w:val="20"/>
        <w:szCs w:val="20"/>
      </w:rPr>
      <w:t>3</w:t>
    </w:r>
    <w:r w:rsidRPr="00E17B05">
      <w:rPr>
        <w:sz w:val="20"/>
        <w:szCs w:val="20"/>
      </w:rPr>
      <w:fldChar w:fldCharType="end"/>
    </w:r>
    <w:r w:rsidRPr="00E17B05">
      <w:rPr>
        <w:sz w:val="20"/>
        <w:szCs w:val="20"/>
      </w:rPr>
      <w:t xml:space="preserve"> of </w:t>
    </w:r>
    <w:r w:rsidRPr="00E17B05">
      <w:rPr>
        <w:sz w:val="20"/>
        <w:szCs w:val="20"/>
      </w:rPr>
      <w:fldChar w:fldCharType="begin"/>
    </w:r>
    <w:r w:rsidRPr="00E17B05">
      <w:rPr>
        <w:sz w:val="20"/>
        <w:szCs w:val="20"/>
      </w:rPr>
      <w:instrText xml:space="preserve"> NUMPAGES </w:instrText>
    </w:r>
    <w:r w:rsidRPr="00E17B05">
      <w:rPr>
        <w:sz w:val="20"/>
        <w:szCs w:val="20"/>
      </w:rPr>
      <w:fldChar w:fldCharType="separate"/>
    </w:r>
    <w:r w:rsidR="00067759">
      <w:rPr>
        <w:noProof/>
        <w:sz w:val="20"/>
        <w:szCs w:val="20"/>
      </w:rPr>
      <w:t>3</w:t>
    </w:r>
    <w:r w:rsidRPr="00E17B05">
      <w:rPr>
        <w:sz w:val="20"/>
        <w:szCs w:val="20"/>
      </w:rPr>
      <w:fldChar w:fldCharType="end"/>
    </w:r>
  </w:p>
  <w:p w14:paraId="7ACB8964" w14:textId="77777777" w:rsidR="00E17B05" w:rsidRDefault="00E17B05">
    <w:pPr>
      <w:pStyle w:val="Header"/>
      <w:rPr>
        <w:sz w:val="16"/>
        <w:szCs w:val="16"/>
      </w:rPr>
    </w:pPr>
  </w:p>
  <w:p w14:paraId="7ACB8965" w14:textId="77777777" w:rsidR="00E17B05" w:rsidRPr="00920F63" w:rsidRDefault="00E17B05">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25"/>
    <w:rsid w:val="0003426B"/>
    <w:rsid w:val="00037EFF"/>
    <w:rsid w:val="00047DD3"/>
    <w:rsid w:val="0005677A"/>
    <w:rsid w:val="00067400"/>
    <w:rsid w:val="00067759"/>
    <w:rsid w:val="00072B0E"/>
    <w:rsid w:val="000B0F15"/>
    <w:rsid w:val="000C7D9F"/>
    <w:rsid w:val="000F4E7D"/>
    <w:rsid w:val="001141F4"/>
    <w:rsid w:val="0012444B"/>
    <w:rsid w:val="00130902"/>
    <w:rsid w:val="001331CB"/>
    <w:rsid w:val="001511B0"/>
    <w:rsid w:val="00152ED3"/>
    <w:rsid w:val="001574A6"/>
    <w:rsid w:val="001974F2"/>
    <w:rsid w:val="001A2E01"/>
    <w:rsid w:val="001C32EC"/>
    <w:rsid w:val="002065E2"/>
    <w:rsid w:val="002134C7"/>
    <w:rsid w:val="00227214"/>
    <w:rsid w:val="00234459"/>
    <w:rsid w:val="002409F6"/>
    <w:rsid w:val="00246F67"/>
    <w:rsid w:val="00256E4C"/>
    <w:rsid w:val="00296F03"/>
    <w:rsid w:val="002C0C8B"/>
    <w:rsid w:val="002D129D"/>
    <w:rsid w:val="002F3021"/>
    <w:rsid w:val="002F39DA"/>
    <w:rsid w:val="00300FE2"/>
    <w:rsid w:val="003159F9"/>
    <w:rsid w:val="003259E7"/>
    <w:rsid w:val="003320A0"/>
    <w:rsid w:val="00373BE5"/>
    <w:rsid w:val="003819BD"/>
    <w:rsid w:val="0039777C"/>
    <w:rsid w:val="003A1CC0"/>
    <w:rsid w:val="003E5E18"/>
    <w:rsid w:val="00422693"/>
    <w:rsid w:val="00426939"/>
    <w:rsid w:val="00471FF9"/>
    <w:rsid w:val="00494D94"/>
    <w:rsid w:val="004A0CBB"/>
    <w:rsid w:val="004B11EE"/>
    <w:rsid w:val="004B78A3"/>
    <w:rsid w:val="004D2225"/>
    <w:rsid w:val="004D4908"/>
    <w:rsid w:val="004E13DE"/>
    <w:rsid w:val="004F4881"/>
    <w:rsid w:val="00505A09"/>
    <w:rsid w:val="0051415B"/>
    <w:rsid w:val="005144A2"/>
    <w:rsid w:val="00534E41"/>
    <w:rsid w:val="00560FED"/>
    <w:rsid w:val="005671AA"/>
    <w:rsid w:val="00581A2B"/>
    <w:rsid w:val="00586B5E"/>
    <w:rsid w:val="00590F16"/>
    <w:rsid w:val="005B023C"/>
    <w:rsid w:val="005B7BE1"/>
    <w:rsid w:val="005D2D85"/>
    <w:rsid w:val="006079FB"/>
    <w:rsid w:val="006107C9"/>
    <w:rsid w:val="00611C39"/>
    <w:rsid w:val="006344AD"/>
    <w:rsid w:val="0064607A"/>
    <w:rsid w:val="00667376"/>
    <w:rsid w:val="00675A42"/>
    <w:rsid w:val="00683404"/>
    <w:rsid w:val="00687DBE"/>
    <w:rsid w:val="006A1556"/>
    <w:rsid w:val="006C5127"/>
    <w:rsid w:val="006E179C"/>
    <w:rsid w:val="006F2C3D"/>
    <w:rsid w:val="007142B2"/>
    <w:rsid w:val="007315E5"/>
    <w:rsid w:val="00734F4E"/>
    <w:rsid w:val="00735B47"/>
    <w:rsid w:val="0074170C"/>
    <w:rsid w:val="0074456F"/>
    <w:rsid w:val="0076613D"/>
    <w:rsid w:val="00782D8A"/>
    <w:rsid w:val="007853B9"/>
    <w:rsid w:val="007A1A26"/>
    <w:rsid w:val="007C4E99"/>
    <w:rsid w:val="007E3706"/>
    <w:rsid w:val="007E4BA2"/>
    <w:rsid w:val="00817269"/>
    <w:rsid w:val="00817F0E"/>
    <w:rsid w:val="008217B8"/>
    <w:rsid w:val="00854E15"/>
    <w:rsid w:val="008550D5"/>
    <w:rsid w:val="00870DCA"/>
    <w:rsid w:val="00882C8E"/>
    <w:rsid w:val="00883CAE"/>
    <w:rsid w:val="00885D0F"/>
    <w:rsid w:val="00887923"/>
    <w:rsid w:val="008B1535"/>
    <w:rsid w:val="008E1963"/>
    <w:rsid w:val="0090455B"/>
    <w:rsid w:val="00920F63"/>
    <w:rsid w:val="0093608E"/>
    <w:rsid w:val="009414C9"/>
    <w:rsid w:val="00952307"/>
    <w:rsid w:val="00952EB0"/>
    <w:rsid w:val="00976B6E"/>
    <w:rsid w:val="00984498"/>
    <w:rsid w:val="009966F1"/>
    <w:rsid w:val="009C67DB"/>
    <w:rsid w:val="009D7212"/>
    <w:rsid w:val="00A077B3"/>
    <w:rsid w:val="00A2383E"/>
    <w:rsid w:val="00A56BAB"/>
    <w:rsid w:val="00A83AA7"/>
    <w:rsid w:val="00A85FC6"/>
    <w:rsid w:val="00A9398B"/>
    <w:rsid w:val="00A94D25"/>
    <w:rsid w:val="00A9572E"/>
    <w:rsid w:val="00AB68CC"/>
    <w:rsid w:val="00AC44D9"/>
    <w:rsid w:val="00AD7E1A"/>
    <w:rsid w:val="00AE62AC"/>
    <w:rsid w:val="00AF7966"/>
    <w:rsid w:val="00B12D1A"/>
    <w:rsid w:val="00B177A2"/>
    <w:rsid w:val="00B42C0F"/>
    <w:rsid w:val="00B53E37"/>
    <w:rsid w:val="00B64A4A"/>
    <w:rsid w:val="00B66D4F"/>
    <w:rsid w:val="00B67271"/>
    <w:rsid w:val="00BA59F7"/>
    <w:rsid w:val="00BA637D"/>
    <w:rsid w:val="00BE1D7E"/>
    <w:rsid w:val="00BE202F"/>
    <w:rsid w:val="00C22EA9"/>
    <w:rsid w:val="00C27DC3"/>
    <w:rsid w:val="00C36F82"/>
    <w:rsid w:val="00C50019"/>
    <w:rsid w:val="00C8290E"/>
    <w:rsid w:val="00CC4CE9"/>
    <w:rsid w:val="00CD5AF8"/>
    <w:rsid w:val="00CE1338"/>
    <w:rsid w:val="00CE5D25"/>
    <w:rsid w:val="00D07609"/>
    <w:rsid w:val="00D078B8"/>
    <w:rsid w:val="00D2359D"/>
    <w:rsid w:val="00D2468A"/>
    <w:rsid w:val="00D2728B"/>
    <w:rsid w:val="00D82CB5"/>
    <w:rsid w:val="00D8553E"/>
    <w:rsid w:val="00DA5CB4"/>
    <w:rsid w:val="00DB4351"/>
    <w:rsid w:val="00DC1D95"/>
    <w:rsid w:val="00E1203E"/>
    <w:rsid w:val="00E12E08"/>
    <w:rsid w:val="00E17B05"/>
    <w:rsid w:val="00E56A3E"/>
    <w:rsid w:val="00E7228F"/>
    <w:rsid w:val="00E85FB0"/>
    <w:rsid w:val="00E87EBE"/>
    <w:rsid w:val="00E95A7F"/>
    <w:rsid w:val="00EA1A7B"/>
    <w:rsid w:val="00EA7CBD"/>
    <w:rsid w:val="00EB2646"/>
    <w:rsid w:val="00EB5E9F"/>
    <w:rsid w:val="00EF6628"/>
    <w:rsid w:val="00F24119"/>
    <w:rsid w:val="00F5558B"/>
    <w:rsid w:val="00F60FF8"/>
    <w:rsid w:val="00F656B2"/>
    <w:rsid w:val="00F66888"/>
    <w:rsid w:val="00F6774D"/>
    <w:rsid w:val="00FB292D"/>
    <w:rsid w:val="00FE61FE"/>
    <w:rsid w:val="00FE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B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9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4BA2"/>
    <w:rPr>
      <w:rFonts w:ascii="Tahoma" w:hAnsi="Tahoma" w:cs="Tahoma"/>
      <w:sz w:val="16"/>
      <w:szCs w:val="16"/>
    </w:rPr>
  </w:style>
  <w:style w:type="paragraph" w:styleId="Header">
    <w:name w:val="header"/>
    <w:basedOn w:val="Normal"/>
    <w:rsid w:val="00920F63"/>
    <w:pPr>
      <w:tabs>
        <w:tab w:val="center" w:pos="4320"/>
        <w:tab w:val="right" w:pos="8640"/>
      </w:tabs>
    </w:pPr>
  </w:style>
  <w:style w:type="paragraph" w:styleId="Footer">
    <w:name w:val="footer"/>
    <w:basedOn w:val="Normal"/>
    <w:rsid w:val="00920F63"/>
    <w:pPr>
      <w:tabs>
        <w:tab w:val="center" w:pos="4320"/>
        <w:tab w:val="right" w:pos="8640"/>
      </w:tabs>
    </w:pPr>
  </w:style>
  <w:style w:type="paragraph" w:styleId="FootnoteText">
    <w:name w:val="footnote text"/>
    <w:basedOn w:val="Normal"/>
    <w:link w:val="FootnoteTextChar"/>
    <w:rsid w:val="005B7BE1"/>
    <w:rPr>
      <w:sz w:val="20"/>
      <w:szCs w:val="20"/>
    </w:rPr>
  </w:style>
  <w:style w:type="character" w:customStyle="1" w:styleId="FootnoteTextChar">
    <w:name w:val="Footnote Text Char"/>
    <w:basedOn w:val="DefaultParagraphFont"/>
    <w:link w:val="FootnoteText"/>
    <w:rsid w:val="005B7BE1"/>
  </w:style>
  <w:style w:type="character" w:styleId="FootnoteReference">
    <w:name w:val="footnote reference"/>
    <w:basedOn w:val="DefaultParagraphFont"/>
    <w:rsid w:val="005B7B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9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4BA2"/>
    <w:rPr>
      <w:rFonts w:ascii="Tahoma" w:hAnsi="Tahoma" w:cs="Tahoma"/>
      <w:sz w:val="16"/>
      <w:szCs w:val="16"/>
    </w:rPr>
  </w:style>
  <w:style w:type="paragraph" w:styleId="Header">
    <w:name w:val="header"/>
    <w:basedOn w:val="Normal"/>
    <w:rsid w:val="00920F63"/>
    <w:pPr>
      <w:tabs>
        <w:tab w:val="center" w:pos="4320"/>
        <w:tab w:val="right" w:pos="8640"/>
      </w:tabs>
    </w:pPr>
  </w:style>
  <w:style w:type="paragraph" w:styleId="Footer">
    <w:name w:val="footer"/>
    <w:basedOn w:val="Normal"/>
    <w:rsid w:val="00920F63"/>
    <w:pPr>
      <w:tabs>
        <w:tab w:val="center" w:pos="4320"/>
        <w:tab w:val="right" w:pos="8640"/>
      </w:tabs>
    </w:pPr>
  </w:style>
  <w:style w:type="paragraph" w:styleId="FootnoteText">
    <w:name w:val="footnote text"/>
    <w:basedOn w:val="Normal"/>
    <w:link w:val="FootnoteTextChar"/>
    <w:rsid w:val="005B7BE1"/>
    <w:rPr>
      <w:sz w:val="20"/>
      <w:szCs w:val="20"/>
    </w:rPr>
  </w:style>
  <w:style w:type="character" w:customStyle="1" w:styleId="FootnoteTextChar">
    <w:name w:val="Footnote Text Char"/>
    <w:basedOn w:val="DefaultParagraphFont"/>
    <w:link w:val="FootnoteText"/>
    <w:rsid w:val="005B7BE1"/>
  </w:style>
  <w:style w:type="character" w:styleId="FootnoteReference">
    <w:name w:val="footnote reference"/>
    <w:basedOn w:val="DefaultParagraphFont"/>
    <w:rsid w:val="005B7B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7230">
      <w:bodyDiv w:val="1"/>
      <w:marLeft w:val="0"/>
      <w:marRight w:val="0"/>
      <w:marTop w:val="0"/>
      <w:marBottom w:val="0"/>
      <w:divBdr>
        <w:top w:val="none" w:sz="0" w:space="0" w:color="auto"/>
        <w:left w:val="none" w:sz="0" w:space="0" w:color="auto"/>
        <w:bottom w:val="none" w:sz="0" w:space="0" w:color="auto"/>
        <w:right w:val="none" w:sz="0" w:space="0" w:color="auto"/>
      </w:divBdr>
    </w:div>
    <w:div w:id="579797743">
      <w:bodyDiv w:val="1"/>
      <w:marLeft w:val="0"/>
      <w:marRight w:val="0"/>
      <w:marTop w:val="0"/>
      <w:marBottom w:val="0"/>
      <w:divBdr>
        <w:top w:val="none" w:sz="0" w:space="0" w:color="auto"/>
        <w:left w:val="none" w:sz="0" w:space="0" w:color="auto"/>
        <w:bottom w:val="none" w:sz="0" w:space="0" w:color="auto"/>
        <w:right w:val="none" w:sz="0" w:space="0" w:color="auto"/>
      </w:divBdr>
    </w:div>
    <w:div w:id="788159629">
      <w:bodyDiv w:val="1"/>
      <w:marLeft w:val="0"/>
      <w:marRight w:val="0"/>
      <w:marTop w:val="0"/>
      <w:marBottom w:val="0"/>
      <w:divBdr>
        <w:top w:val="none" w:sz="0" w:space="0" w:color="auto"/>
        <w:left w:val="none" w:sz="0" w:space="0" w:color="auto"/>
        <w:bottom w:val="none" w:sz="0" w:space="0" w:color="auto"/>
        <w:right w:val="none" w:sz="0" w:space="0" w:color="auto"/>
      </w:divBdr>
    </w:div>
    <w:div w:id="876040774">
      <w:bodyDiv w:val="1"/>
      <w:marLeft w:val="0"/>
      <w:marRight w:val="0"/>
      <w:marTop w:val="0"/>
      <w:marBottom w:val="0"/>
      <w:divBdr>
        <w:top w:val="none" w:sz="0" w:space="0" w:color="auto"/>
        <w:left w:val="none" w:sz="0" w:space="0" w:color="auto"/>
        <w:bottom w:val="none" w:sz="0" w:space="0" w:color="auto"/>
        <w:right w:val="none" w:sz="0" w:space="0" w:color="auto"/>
      </w:divBdr>
    </w:div>
    <w:div w:id="932905647">
      <w:bodyDiv w:val="1"/>
      <w:marLeft w:val="0"/>
      <w:marRight w:val="0"/>
      <w:marTop w:val="0"/>
      <w:marBottom w:val="0"/>
      <w:divBdr>
        <w:top w:val="none" w:sz="0" w:space="0" w:color="auto"/>
        <w:left w:val="none" w:sz="0" w:space="0" w:color="auto"/>
        <w:bottom w:val="none" w:sz="0" w:space="0" w:color="auto"/>
        <w:right w:val="none" w:sz="0" w:space="0" w:color="auto"/>
      </w:divBdr>
    </w:div>
    <w:div w:id="1231578596">
      <w:bodyDiv w:val="1"/>
      <w:marLeft w:val="0"/>
      <w:marRight w:val="0"/>
      <w:marTop w:val="0"/>
      <w:marBottom w:val="0"/>
      <w:divBdr>
        <w:top w:val="none" w:sz="0" w:space="0" w:color="auto"/>
        <w:left w:val="none" w:sz="0" w:space="0" w:color="auto"/>
        <w:bottom w:val="none" w:sz="0" w:space="0" w:color="auto"/>
        <w:right w:val="none" w:sz="0" w:space="0" w:color="auto"/>
      </w:divBdr>
    </w:div>
    <w:div w:id="15955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2011-09-15T07:00:00+00:00</OpenedDate>
    <Date1 xmlns="dc463f71-b30c-4ab2-9473-d307f9d35888">2011-10-27T07:00:00+00:00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111665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9F5C466DB8D6479D9B58DC9744230E" ma:contentTypeVersion="135" ma:contentTypeDescription="" ma:contentTypeScope="" ma:versionID="ba5c3c6d6c107f73fd7eed5702b89d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EF9D1-C43E-4E31-9A6C-A43BB0684E3F}"/>
</file>

<file path=customXml/itemProps2.xml><?xml version="1.0" encoding="utf-8"?>
<ds:datastoreItem xmlns:ds="http://schemas.openxmlformats.org/officeDocument/2006/customXml" ds:itemID="{A288326E-8872-45F2-BC19-230312DDD440}"/>
</file>

<file path=customXml/itemProps3.xml><?xml version="1.0" encoding="utf-8"?>
<ds:datastoreItem xmlns:ds="http://schemas.openxmlformats.org/officeDocument/2006/customXml" ds:itemID="{D182F350-FF3F-4076-A918-28F9891C30ED}"/>
</file>

<file path=customXml/itemProps4.xml><?xml version="1.0" encoding="utf-8"?>
<ds:datastoreItem xmlns:ds="http://schemas.openxmlformats.org/officeDocument/2006/customXml" ds:itemID="{BBBF0158-1ED4-46DB-A780-BC2805730457}"/>
</file>

<file path=customXml/itemProps5.xml><?xml version="1.0" encoding="utf-8"?>
<ds:datastoreItem xmlns:ds="http://schemas.openxmlformats.org/officeDocument/2006/customXml" ds:itemID="{169CF25B-DC57-48D3-9F97-AA0AF309A008}"/>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Breda</dc:creator>
  <cp:keywords/>
  <dc:description/>
  <cp:lastModifiedBy>Lisa Wyse, Records Manager</cp:lastModifiedBy>
  <cp:revision>2</cp:revision>
  <cp:lastPrinted>2011-10-24T17:45:00Z</cp:lastPrinted>
  <dcterms:created xsi:type="dcterms:W3CDTF">2011-10-24T23:23:00Z</dcterms:created>
  <dcterms:modified xsi:type="dcterms:W3CDTF">2011-10-24T23:23:00Z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0x0101006E56B4D1795A2E4DB2F0B01679ED314A00469F5C466DB8D6479D9B58DC9744230E</vt:lpwstr>
  </property>
  <property fmtid="{D5CDD505-2E9C-101B-9397-08002B2CF9AE}" pid="3" name="_docset_NoMedatataSyncRequired">
    <vt:lpwstr>False</vt:lpwstr>
  </property>
</Properties>
</file>