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Default="001403F6" w:rsidP="002B75A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1403F6">
        <w:rPr>
          <w:b/>
          <w:sz w:val="20"/>
          <w:szCs w:val="20"/>
        </w:rPr>
        <w:t>[Service Date June 13, 2011</w:t>
      </w:r>
      <w:r w:rsidRPr="001403F6">
        <w:rPr>
          <w:sz w:val="20"/>
          <w:szCs w:val="20"/>
        </w:rPr>
        <w:t>]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  <w:jc w:val="center"/>
      </w:pPr>
      <w:r>
        <w:t>June 13, 2011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(Due by </w:t>
      </w:r>
      <w:r w:rsidR="00BF549B">
        <w:rPr>
          <w:b/>
        </w:rPr>
        <w:t>Tuesday</w:t>
      </w:r>
      <w:r w:rsidRPr="002B75A7">
        <w:rPr>
          <w:b/>
        </w:rPr>
        <w:t xml:space="preserve">, June </w:t>
      </w:r>
      <w:r w:rsidR="00BF549B">
        <w:rPr>
          <w:b/>
        </w:rPr>
        <w:t>21</w:t>
      </w:r>
      <w:r w:rsidRPr="002B75A7">
        <w:rPr>
          <w:b/>
        </w:rPr>
        <w:t>, 2011)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>In the Matter of the Petition of Industrial Customers of Northwest Utilities For a Declaratory Order Requiring Puget Sound Energy, Inc. to Provide Access to the AURORA Model in its 2011 General Rate Case</w:t>
      </w:r>
      <w:r>
        <w:t>, Docket U-111024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>TO ALL PARTIES AND INTERESTED PERSONS: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On June 7, 2011, the Industrial Customers of Northwest Utilities (ICNU) filed with the Washington Utilities and Transportation Commission (Commission) a Petition for a Declaratory Order </w:t>
      </w:r>
      <w:r w:rsidR="00BF549B">
        <w:t xml:space="preserve">(Petition) </w:t>
      </w:r>
      <w:r>
        <w:t>related to Puget Sound Energy, Inc.’s (PSE</w:t>
      </w:r>
      <w:r w:rsidR="00BF549B">
        <w:t>’s</w:t>
      </w:r>
      <w:r>
        <w:t>) proposed usage of the AURORA model for calculation of its net power costs in PSE’s 2011 general rate case</w:t>
      </w:r>
      <w:r w:rsidR="00474A17">
        <w:t xml:space="preserve"> </w:t>
      </w:r>
      <w:r w:rsidR="00BF549B">
        <w:t>(</w:t>
      </w:r>
      <w:r w:rsidR="00474A17">
        <w:t>GRC)</w:t>
      </w:r>
      <w:r>
        <w:t xml:space="preserve">.  </w:t>
      </w:r>
      <w:r w:rsidR="00474A17">
        <w:t xml:space="preserve">Because PSE will soon file its 2011 GRC, ICNU requests expedited consideration of its Petition. 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 xml:space="preserve">etition is posted on the Commission’s web site at </w:t>
      </w:r>
      <w:hyperlink r:id="rId7" w:history="1">
        <w:r w:rsidRPr="00B523D7">
          <w:rPr>
            <w:rStyle w:val="Hyperlink"/>
          </w:rPr>
          <w:t>www.utc.wa.gov/111024</w:t>
        </w:r>
      </w:hyperlink>
      <w:r>
        <w:t>.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Pursuant to RCW 34.05.240 and WAC 480-07-930, the Commission gives notice of </w:t>
      </w:r>
      <w:r w:rsidR="00BF549B">
        <w:t>ICNU’s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ICNU that no order will be entered, set a time by which the Commission will enter an order, or set time for a hearing.  </w:t>
      </w:r>
    </w:p>
    <w:p w:rsidR="00222EE8" w:rsidRDefault="00222EE8" w:rsidP="002B75A7">
      <w:pPr>
        <w:pStyle w:val="NoSpacing"/>
      </w:pPr>
    </w:p>
    <w:p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 xml:space="preserve">issues </w:t>
      </w:r>
      <w:proofErr w:type="gramStart"/>
      <w:r w:rsidR="00BF549B">
        <w:rPr>
          <w:b/>
        </w:rPr>
        <w:t>raised</w:t>
      </w:r>
      <w:proofErr w:type="gramEnd"/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either a statement of fact and law or a request to be placed upon the Commission’s service list in the event of further proceedings.  All comments must be filed with the Commission no later than 5:00 p.m., </w:t>
      </w:r>
      <w:r w:rsidR="00BF549B">
        <w:rPr>
          <w:b/>
        </w:rPr>
        <w:t>Tuesday</w:t>
      </w:r>
      <w:r w:rsidRPr="00222EE8">
        <w:rPr>
          <w:b/>
        </w:rPr>
        <w:t xml:space="preserve">, June </w:t>
      </w:r>
      <w:r w:rsidR="00BF549B">
        <w:rPr>
          <w:b/>
        </w:rPr>
        <w:t>21</w:t>
      </w:r>
      <w:r w:rsidRPr="00222EE8">
        <w:rPr>
          <w:b/>
        </w:rPr>
        <w:t>, 2011.</w:t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lastRenderedPageBreak/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8" w:history="1">
        <w:r w:rsidRPr="00B523D7">
          <w:rPr>
            <w:rStyle w:val="Hyperlink"/>
          </w:rPr>
          <w:t>gkopta@utc.wa.gov</w:t>
        </w:r>
      </w:hyperlink>
      <w:r>
        <w:t>.</w:t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>Sincerely,</w:t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>DAVID W. DANNER</w:t>
      </w:r>
    </w:p>
    <w:p w:rsidR="00222EE8" w:rsidRDefault="00222EE8" w:rsidP="002B75A7">
      <w:pPr>
        <w:pStyle w:val="NoSpacing"/>
      </w:pPr>
      <w:r>
        <w:t>Executive Director and Secretary</w:t>
      </w:r>
    </w:p>
    <w:p w:rsidR="002B75A7" w:rsidRDefault="002B75A7" w:rsidP="002B75A7">
      <w:pPr>
        <w:pStyle w:val="NoSpacing"/>
      </w:pPr>
    </w:p>
    <w:sectPr w:rsidR="002B75A7" w:rsidSect="00A6618A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8C" w:rsidRDefault="002D058C" w:rsidP="00222EE8">
      <w:pPr>
        <w:spacing w:line="240" w:lineRule="auto"/>
      </w:pPr>
      <w:r>
        <w:separator/>
      </w:r>
    </w:p>
  </w:endnote>
  <w:endnote w:type="continuationSeparator" w:id="0">
    <w:p w:rsidR="002D058C" w:rsidRDefault="002D058C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8C" w:rsidRDefault="002D058C" w:rsidP="00222EE8">
      <w:pPr>
        <w:spacing w:line="240" w:lineRule="auto"/>
      </w:pPr>
      <w:r>
        <w:separator/>
      </w:r>
    </w:p>
  </w:footnote>
  <w:footnote w:type="continuationSeparator" w:id="0">
    <w:p w:rsidR="002D058C" w:rsidRDefault="002D058C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U-111024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250368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C159F"/>
    <w:rsid w:val="000F4FEE"/>
    <w:rsid w:val="00125DE3"/>
    <w:rsid w:val="0012797D"/>
    <w:rsid w:val="00134F21"/>
    <w:rsid w:val="001403F6"/>
    <w:rsid w:val="001605B2"/>
    <w:rsid w:val="00196394"/>
    <w:rsid w:val="00222EE8"/>
    <w:rsid w:val="00250368"/>
    <w:rsid w:val="0025477A"/>
    <w:rsid w:val="00262124"/>
    <w:rsid w:val="00270B6C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71E79"/>
    <w:rsid w:val="006725EB"/>
    <w:rsid w:val="006B51AE"/>
    <w:rsid w:val="006C391D"/>
    <w:rsid w:val="00751967"/>
    <w:rsid w:val="007E4058"/>
    <w:rsid w:val="007E6723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50B86"/>
    <w:rsid w:val="00956140"/>
    <w:rsid w:val="009A5465"/>
    <w:rsid w:val="009F2B54"/>
    <w:rsid w:val="00A13853"/>
    <w:rsid w:val="00A25D45"/>
    <w:rsid w:val="00A35B1C"/>
    <w:rsid w:val="00A64972"/>
    <w:rsid w:val="00A6618A"/>
    <w:rsid w:val="00A6640F"/>
    <w:rsid w:val="00A713EE"/>
    <w:rsid w:val="00B6469B"/>
    <w:rsid w:val="00BC18E9"/>
    <w:rsid w:val="00BD4460"/>
    <w:rsid w:val="00BF549B"/>
    <w:rsid w:val="00C32100"/>
    <w:rsid w:val="00C55CFC"/>
    <w:rsid w:val="00CB2C63"/>
    <w:rsid w:val="00CB7F41"/>
    <w:rsid w:val="00D0056C"/>
    <w:rsid w:val="00D36495"/>
    <w:rsid w:val="00D417B8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/111024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2011-06-06T07:00:00+00:00</OpenedDate>
    <Date1 xmlns="dc463f71-b30c-4ab2-9473-d307f9d35888">2011-06-13T07:00:00+00:00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D091C36F30547BE3780C9831D2148" ma:contentTypeVersion="143" ma:contentTypeDescription="" ma:contentTypeScope="" ma:versionID="14fbc32b8ab13e6ca75fb251fe9de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D4AAB-A14B-4098-A265-BD09BA381327}"/>
</file>

<file path=customXml/itemProps2.xml><?xml version="1.0" encoding="utf-8"?>
<ds:datastoreItem xmlns:ds="http://schemas.openxmlformats.org/officeDocument/2006/customXml" ds:itemID="{A1849039-0836-4C32-9EAA-C8FABE26164F}"/>
</file>

<file path=customXml/itemProps3.xml><?xml version="1.0" encoding="utf-8"?>
<ds:datastoreItem xmlns:ds="http://schemas.openxmlformats.org/officeDocument/2006/customXml" ds:itemID="{9E2740D4-89E4-483D-913F-407F504BB3FA}"/>
</file>

<file path=customXml/itemProps4.xml><?xml version="1.0" encoding="utf-8"?>
<ds:datastoreItem xmlns:ds="http://schemas.openxmlformats.org/officeDocument/2006/customXml" ds:itemID="{E5473543-9531-4DD3-B6A2-0C8C28487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2011-06-13T20:26:00Z</dcterms:created>
  <dcterms:modified xsi:type="dcterms:W3CDTF">2011-06-13T20:26:00Z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0x0101006E56B4D1795A2E4DB2F0B01679ED314A00212D091C36F30547BE3780C9831D2148</vt:lpwstr>
  </property>
  <property fmtid="{D5CDD505-2E9C-101B-9397-08002B2CF9AE}" pid="3" name="_docset_NoMedatataSyncRequired">
    <vt:lpwstr>False</vt:lpwstr>
  </property>
</Properties>
</file>