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E5" w:rsidRPr="00A219C9" w:rsidRDefault="00633FE5" w:rsidP="00633FE5">
      <w:pPr>
        <w:pStyle w:val="Heading1"/>
        <w:spacing w:line="226" w:lineRule="auto"/>
        <w:rPr>
          <w:rFonts w:ascii="Times New Roman" w:hAnsi="Times New Roman"/>
          <w:color w:val="auto"/>
          <w:sz w:val="24"/>
          <w:szCs w:val="24"/>
        </w:rPr>
      </w:pPr>
      <w:r w:rsidRPr="00A219C9">
        <w:rPr>
          <w:rFonts w:ascii="Times New Roman" w:hAnsi="Times New Roman"/>
          <w:color w:val="auto"/>
          <w:sz w:val="24"/>
          <w:szCs w:val="24"/>
        </w:rPr>
        <w:t>Agenda Date:</w:t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="00A77552" w:rsidRPr="006D6651">
        <w:rPr>
          <w:rFonts w:ascii="Times New Roman" w:hAnsi="Times New Roman"/>
          <w:b w:val="0"/>
          <w:color w:val="auto"/>
          <w:sz w:val="24"/>
          <w:szCs w:val="24"/>
        </w:rPr>
        <w:t>October 28, 2010</w:t>
      </w:r>
      <w:r w:rsidRPr="00A219C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Item Numbers:</w:t>
      </w:r>
      <w:r w:rsidRPr="00FD0770">
        <w:rPr>
          <w:rFonts w:ascii="Times New Roman" w:hAnsi="Times New Roman"/>
          <w:sz w:val="24"/>
        </w:rPr>
        <w:tab/>
      </w:r>
      <w:r w:rsidR="003E10AA">
        <w:rPr>
          <w:rFonts w:ascii="Times New Roman" w:hAnsi="Times New Roman"/>
          <w:sz w:val="24"/>
        </w:rPr>
        <w:t xml:space="preserve">A6 </w:t>
      </w:r>
      <w:r w:rsidR="00066E1D">
        <w:rPr>
          <w:rFonts w:ascii="Times New Roman" w:hAnsi="Times New Roman"/>
          <w:sz w:val="24"/>
        </w:rPr>
        <w:t xml:space="preserve">and </w:t>
      </w:r>
      <w:r w:rsidR="003E10AA">
        <w:rPr>
          <w:rFonts w:ascii="Times New Roman" w:hAnsi="Times New Roman"/>
          <w:sz w:val="24"/>
        </w:rPr>
        <w:t>A7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rFonts w:ascii="Times New Roman" w:hAnsi="Times New Roman"/>
          <w:sz w:val="24"/>
        </w:rPr>
      </w:pPr>
    </w:p>
    <w:p w:rsidR="00633FE5" w:rsidRPr="00A4180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 xml:space="preserve">Dockets: </w:t>
      </w:r>
      <w:r w:rsidRPr="00FD0770">
        <w:rPr>
          <w:rFonts w:ascii="Times New Roman" w:hAnsi="Times New Roman"/>
          <w:b/>
          <w:bCs/>
          <w:sz w:val="24"/>
        </w:rPr>
        <w:tab/>
      </w:r>
      <w:r w:rsidRPr="00FD0770">
        <w:rPr>
          <w:rFonts w:ascii="Times New Roman" w:hAnsi="Times New Roman"/>
          <w:b/>
          <w:bCs/>
          <w:sz w:val="24"/>
        </w:rPr>
        <w:tab/>
      </w:r>
      <w:r w:rsidRPr="006D6651">
        <w:rPr>
          <w:rFonts w:ascii="Times New Roman" w:hAnsi="Times New Roman"/>
          <w:b/>
          <w:bCs/>
          <w:sz w:val="24"/>
        </w:rPr>
        <w:t>UG-</w:t>
      </w:r>
      <w:r w:rsidR="00EC12A3" w:rsidRPr="006D6651">
        <w:rPr>
          <w:rFonts w:ascii="Times New Roman" w:hAnsi="Times New Roman"/>
          <w:b/>
          <w:bCs/>
          <w:sz w:val="24"/>
        </w:rPr>
        <w:t>101642</w:t>
      </w:r>
      <w:r w:rsidRPr="006D6651">
        <w:rPr>
          <w:rFonts w:ascii="Times New Roman" w:hAnsi="Times New Roman"/>
          <w:b/>
          <w:bCs/>
          <w:sz w:val="24"/>
        </w:rPr>
        <w:t xml:space="preserve"> and UG-</w:t>
      </w:r>
      <w:r w:rsidR="00EC12A3" w:rsidRPr="006D6651">
        <w:rPr>
          <w:rFonts w:ascii="Times New Roman" w:hAnsi="Times New Roman"/>
          <w:b/>
          <w:bCs/>
          <w:sz w:val="24"/>
        </w:rPr>
        <w:t>101643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Company Name:</w:t>
      </w:r>
      <w:r w:rsidRPr="00FD0770">
        <w:rPr>
          <w:rFonts w:ascii="Times New Roman" w:hAnsi="Times New Roman"/>
          <w:sz w:val="24"/>
        </w:rPr>
        <w:tab/>
        <w:t>Puget Sound Energy</w:t>
      </w:r>
      <w:r>
        <w:rPr>
          <w:rFonts w:ascii="Times New Roman" w:hAnsi="Times New Roman"/>
          <w:sz w:val="24"/>
        </w:rPr>
        <w:t>, Inc.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  <w:u w:val="single"/>
        </w:rPr>
        <w:t>Staff:</w:t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="00EC12A3" w:rsidRPr="00EC12A3">
        <w:rPr>
          <w:rFonts w:ascii="Times New Roman" w:hAnsi="Times New Roman"/>
          <w:sz w:val="24"/>
        </w:rPr>
        <w:t>Roland C. Martin, Regulatory Analyst</w:t>
      </w:r>
    </w:p>
    <w:p w:rsidR="00380EAD" w:rsidRPr="00FD0770" w:rsidRDefault="00380EAD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Roger Kouchi, Consumer Protection Staff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  <w:u w:val="single"/>
        </w:rPr>
        <w:t>Recommendation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8B2CED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Take no action, </w:t>
      </w:r>
      <w:r w:rsidR="00380EAD">
        <w:rPr>
          <w:rFonts w:ascii="Times New Roman" w:hAnsi="Times New Roman"/>
          <w:sz w:val="24"/>
        </w:rPr>
        <w:t xml:space="preserve">thereby </w:t>
      </w:r>
      <w:r>
        <w:rPr>
          <w:rFonts w:ascii="Times New Roman" w:hAnsi="Times New Roman"/>
          <w:sz w:val="24"/>
        </w:rPr>
        <w:t>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made by Puget Sound Energy</w:t>
      </w:r>
      <w:r w:rsidR="006D6651">
        <w:rPr>
          <w:rFonts w:ascii="Times New Roman" w:hAnsi="Times New Roman"/>
          <w:sz w:val="24"/>
        </w:rPr>
        <w:t>, Inc.</w:t>
      </w:r>
      <w:r w:rsidR="008B2CED">
        <w:rPr>
          <w:rFonts w:ascii="Times New Roman" w:hAnsi="Times New Roman"/>
          <w:sz w:val="24"/>
        </w:rPr>
        <w:t>,</w:t>
      </w:r>
      <w:r w:rsidRPr="00FD0770">
        <w:rPr>
          <w:rFonts w:ascii="Times New Roman" w:hAnsi="Times New Roman"/>
          <w:sz w:val="24"/>
        </w:rPr>
        <w:t xml:space="preserve"> in Dockets </w:t>
      </w:r>
      <w:r w:rsidR="008B2CED">
        <w:rPr>
          <w:rFonts w:ascii="Times New Roman" w:hAnsi="Times New Roman"/>
          <w:sz w:val="24"/>
        </w:rPr>
        <w:t xml:space="preserve">   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 w:rsidR="00EC12A3" w:rsidRPr="00EC12A3">
        <w:rPr>
          <w:rFonts w:ascii="Times New Roman" w:hAnsi="Times New Roman"/>
          <w:bCs/>
          <w:sz w:val="24"/>
        </w:rPr>
        <w:t>101642</w:t>
      </w:r>
      <w:r w:rsidRPr="00FD0770">
        <w:rPr>
          <w:rFonts w:ascii="Times New Roman" w:hAnsi="Times New Roman"/>
          <w:sz w:val="24"/>
        </w:rPr>
        <w:t xml:space="preserve"> and UG-</w:t>
      </w:r>
      <w:r w:rsidR="00EC12A3" w:rsidRPr="00EC12A3">
        <w:rPr>
          <w:rFonts w:ascii="Times New Roman" w:hAnsi="Times New Roman"/>
          <w:bCs/>
          <w:sz w:val="24"/>
        </w:rPr>
        <w:t>101643</w:t>
      </w:r>
      <w:r w:rsidRPr="00FD0770">
        <w:rPr>
          <w:rFonts w:ascii="Times New Roman" w:hAnsi="Times New Roman"/>
          <w:sz w:val="24"/>
        </w:rPr>
        <w:t xml:space="preserve"> to </w:t>
      </w:r>
      <w:r w:rsidR="00446BE3">
        <w:rPr>
          <w:rFonts w:ascii="Times New Roman" w:hAnsi="Times New Roman"/>
          <w:sz w:val="24"/>
        </w:rPr>
        <w:t>become</w:t>
      </w:r>
      <w:r>
        <w:rPr>
          <w:rFonts w:ascii="Times New Roman" w:hAnsi="Times New Roman"/>
          <w:sz w:val="24"/>
        </w:rPr>
        <w:t xml:space="preserve"> effect</w:t>
      </w:r>
      <w:r w:rsidR="00446BE3">
        <w:rPr>
          <w:rFonts w:ascii="Times New Roman" w:hAnsi="Times New Roman"/>
          <w:sz w:val="24"/>
        </w:rPr>
        <w:t>ive on</w:t>
      </w:r>
      <w:r>
        <w:rPr>
          <w:rFonts w:ascii="Times New Roman" w:hAnsi="Times New Roman"/>
          <w:sz w:val="24"/>
        </w:rPr>
        <w:t xml:space="preserve"> </w:t>
      </w:r>
      <w:r w:rsidR="00A77552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1, 20</w:t>
      </w:r>
      <w:r w:rsidR="00A77552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, by operation of law.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D922B2" w:rsidRDefault="00633FE5" w:rsidP="00633FE5">
      <w:pPr>
        <w:rPr>
          <w:rFonts w:ascii="Times New Roman" w:hAnsi="Times New Roman"/>
          <w:b/>
          <w:sz w:val="24"/>
        </w:rPr>
      </w:pPr>
      <w:r w:rsidRPr="00D922B2">
        <w:rPr>
          <w:rFonts w:ascii="Times New Roman" w:hAnsi="Times New Roman"/>
          <w:b/>
          <w:sz w:val="24"/>
          <w:u w:val="single"/>
        </w:rPr>
        <w:t>Background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BA283A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On </w:t>
      </w:r>
      <w:r w:rsidR="00EC12A3">
        <w:rPr>
          <w:rFonts w:ascii="Times New Roman" w:hAnsi="Times New Roman"/>
          <w:sz w:val="24"/>
        </w:rPr>
        <w:t xml:space="preserve">October 1, </w:t>
      </w:r>
      <w:r w:rsidRPr="00FD0770">
        <w:rPr>
          <w:rFonts w:ascii="Times New Roman" w:hAnsi="Times New Roman"/>
          <w:sz w:val="24"/>
        </w:rPr>
        <w:t>20</w:t>
      </w:r>
      <w:r w:rsidR="00A77552">
        <w:rPr>
          <w:rFonts w:ascii="Times New Roman" w:hAnsi="Times New Roman"/>
          <w:sz w:val="24"/>
        </w:rPr>
        <w:t>10</w:t>
      </w:r>
      <w:r w:rsidRPr="00FD0770">
        <w:rPr>
          <w:rFonts w:ascii="Times New Roman" w:hAnsi="Times New Roman"/>
          <w:sz w:val="24"/>
        </w:rPr>
        <w:t>, Puget Sound Energy</w:t>
      </w:r>
      <w:r>
        <w:rPr>
          <w:rFonts w:ascii="Times New Roman" w:hAnsi="Times New Roman"/>
          <w:sz w:val="24"/>
        </w:rPr>
        <w:t>, Inc.</w:t>
      </w:r>
      <w:r w:rsidR="00BA283A">
        <w:rPr>
          <w:rFonts w:ascii="Times New Roman" w:hAnsi="Times New Roman"/>
          <w:sz w:val="24"/>
        </w:rPr>
        <w:t>,</w:t>
      </w:r>
      <w:r w:rsidRPr="00FD0770">
        <w:rPr>
          <w:rFonts w:ascii="Times New Roman" w:hAnsi="Times New Roman"/>
          <w:sz w:val="24"/>
        </w:rPr>
        <w:t xml:space="preserve"> (PSE or </w:t>
      </w:r>
      <w:r w:rsidR="00380EAD">
        <w:rPr>
          <w:rFonts w:ascii="Times New Roman" w:hAnsi="Times New Roman"/>
          <w:sz w:val="24"/>
        </w:rPr>
        <w:t>c</w:t>
      </w:r>
      <w:r w:rsidRPr="00FD0770">
        <w:rPr>
          <w:rFonts w:ascii="Times New Roman" w:hAnsi="Times New Roman"/>
          <w:sz w:val="24"/>
        </w:rPr>
        <w:t>ompany) filed revisions to its Purchase</w:t>
      </w:r>
      <w:r w:rsidR="0047045A">
        <w:rPr>
          <w:rFonts w:ascii="Times New Roman" w:hAnsi="Times New Roman"/>
          <w:sz w:val="24"/>
        </w:rPr>
        <w:t>d</w:t>
      </w:r>
      <w:r w:rsidRPr="00FD0770">
        <w:rPr>
          <w:rFonts w:ascii="Times New Roman" w:hAnsi="Times New Roman"/>
          <w:sz w:val="24"/>
        </w:rPr>
        <w:t xml:space="preserve"> Gas Adjustment </w:t>
      </w:r>
      <w:r w:rsidR="0047045A">
        <w:rPr>
          <w:rFonts w:ascii="Times New Roman" w:hAnsi="Times New Roman"/>
          <w:sz w:val="24"/>
        </w:rPr>
        <w:t xml:space="preserve">(PGA) </w:t>
      </w:r>
      <w:r w:rsidRPr="00FD0770">
        <w:rPr>
          <w:rFonts w:ascii="Times New Roman" w:hAnsi="Times New Roman"/>
          <w:sz w:val="24"/>
        </w:rPr>
        <w:t>and deferred gas cost amortization tariffs in Dockets</w:t>
      </w:r>
      <w:r w:rsidR="00380EAD">
        <w:rPr>
          <w:rFonts w:ascii="Times New Roman" w:hAnsi="Times New Roman"/>
          <w:sz w:val="24"/>
        </w:rPr>
        <w:t xml:space="preserve">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 w:rsidR="00EC12A3" w:rsidRPr="00EC12A3">
        <w:rPr>
          <w:rFonts w:ascii="Times New Roman" w:hAnsi="Times New Roman"/>
          <w:bCs/>
          <w:sz w:val="24"/>
        </w:rPr>
        <w:t>101642</w:t>
      </w:r>
      <w:r w:rsidRPr="00FD0770">
        <w:rPr>
          <w:rFonts w:ascii="Times New Roman" w:hAnsi="Times New Roman"/>
          <w:sz w:val="24"/>
        </w:rPr>
        <w:t xml:space="preserve"> and UG-</w:t>
      </w:r>
      <w:r w:rsidR="00EC12A3" w:rsidRPr="00EC12A3">
        <w:rPr>
          <w:rFonts w:ascii="Times New Roman" w:hAnsi="Times New Roman"/>
          <w:bCs/>
          <w:sz w:val="24"/>
        </w:rPr>
        <w:t>101643</w:t>
      </w:r>
      <w:r w:rsidRPr="00FD0770">
        <w:rPr>
          <w:rFonts w:ascii="Times New Roman" w:hAnsi="Times New Roman"/>
          <w:sz w:val="24"/>
        </w:rPr>
        <w:t xml:space="preserve">, respectively. The </w:t>
      </w:r>
      <w:r>
        <w:rPr>
          <w:rFonts w:ascii="Times New Roman" w:hAnsi="Times New Roman"/>
          <w:sz w:val="24"/>
        </w:rPr>
        <w:t xml:space="preserve">combined </w:t>
      </w:r>
      <w:r w:rsidRPr="00FD0770">
        <w:rPr>
          <w:rFonts w:ascii="Times New Roman" w:hAnsi="Times New Roman"/>
          <w:sz w:val="24"/>
        </w:rPr>
        <w:t xml:space="preserve">net effect of the proposed filings is </w:t>
      </w:r>
      <w:r>
        <w:rPr>
          <w:rFonts w:ascii="Times New Roman" w:hAnsi="Times New Roman"/>
          <w:sz w:val="24"/>
        </w:rPr>
        <w:t>a</w:t>
      </w:r>
      <w:r w:rsidR="00177632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 w:rsidR="00177632">
        <w:rPr>
          <w:rFonts w:ascii="Times New Roman" w:hAnsi="Times New Roman"/>
          <w:sz w:val="24"/>
        </w:rPr>
        <w:t>increase</w:t>
      </w:r>
      <w:r>
        <w:rPr>
          <w:rFonts w:ascii="Times New Roman" w:hAnsi="Times New Roman"/>
          <w:sz w:val="24"/>
        </w:rPr>
        <w:t xml:space="preserve"> in</w:t>
      </w:r>
      <w:r w:rsidRPr="00FD0770">
        <w:rPr>
          <w:rFonts w:ascii="Times New Roman" w:hAnsi="Times New Roman"/>
          <w:sz w:val="24"/>
        </w:rPr>
        <w:t xml:space="preserve"> annual gas sales revenues of approximately $</w:t>
      </w:r>
      <w:r w:rsidR="00177632">
        <w:rPr>
          <w:rFonts w:ascii="Times New Roman" w:hAnsi="Times New Roman"/>
          <w:sz w:val="24"/>
        </w:rPr>
        <w:t>18.3</w:t>
      </w:r>
      <w:r>
        <w:rPr>
          <w:rFonts w:ascii="Times New Roman" w:hAnsi="Times New Roman"/>
          <w:sz w:val="24"/>
        </w:rPr>
        <w:t xml:space="preserve"> million (</w:t>
      </w:r>
      <w:r w:rsidR="00177632">
        <w:rPr>
          <w:rFonts w:ascii="Times New Roman" w:hAnsi="Times New Roman"/>
          <w:sz w:val="24"/>
        </w:rPr>
        <w:t>1.9</w:t>
      </w:r>
      <w:r w:rsidR="0047045A">
        <w:rPr>
          <w:rFonts w:ascii="Times New Roman" w:hAnsi="Times New Roman"/>
          <w:sz w:val="24"/>
        </w:rPr>
        <w:t xml:space="preserve"> percent</w:t>
      </w:r>
      <w:r w:rsidRPr="00FD0770">
        <w:rPr>
          <w:rFonts w:ascii="Times New Roman" w:hAnsi="Times New Roman"/>
          <w:sz w:val="24"/>
        </w:rPr>
        <w:t>).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446BE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FD0770">
        <w:rPr>
          <w:rFonts w:ascii="Times New Roman" w:hAnsi="Times New Roman"/>
        </w:rPr>
        <w:t xml:space="preserve">The PGA and deferred gas cost amortization mechanisms are designed to pass through to customers the utility’s actual cost of natural gas </w:t>
      </w:r>
      <w:r>
        <w:rPr>
          <w:rFonts w:ascii="Times New Roman" w:hAnsi="Times New Roman"/>
        </w:rPr>
        <w:t xml:space="preserve">on a periodic basis. </w:t>
      </w:r>
      <w:r w:rsidRPr="00FD0770">
        <w:rPr>
          <w:rFonts w:ascii="Times New Roman" w:hAnsi="Times New Roman"/>
        </w:rPr>
        <w:t xml:space="preserve">The PGA establishes for the upcoming year a projection of </w:t>
      </w:r>
      <w:r>
        <w:rPr>
          <w:rFonts w:ascii="Times New Roman" w:hAnsi="Times New Roman"/>
        </w:rPr>
        <w:t xml:space="preserve">the utility’s gas costs. </w:t>
      </w:r>
      <w:r w:rsidRPr="00FD0770">
        <w:rPr>
          <w:rFonts w:ascii="Times New Roman" w:hAnsi="Times New Roman"/>
        </w:rPr>
        <w:t xml:space="preserve">The difference between the projected cost and the actual cost is deferred and ultimately amortized back to customers with interest, </w:t>
      </w:r>
      <w:r>
        <w:rPr>
          <w:rFonts w:ascii="Times New Roman" w:hAnsi="Times New Roman"/>
        </w:rPr>
        <w:t xml:space="preserve">as </w:t>
      </w:r>
      <w:r w:rsidR="0047045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surcharge or refund.</w:t>
      </w:r>
    </w:p>
    <w:p w:rsidR="00633FE5" w:rsidRDefault="00772B5A" w:rsidP="00633FE5">
      <w:pPr>
        <w:pStyle w:val="NormalWeb"/>
      </w:pPr>
      <w:r w:rsidRPr="00FD0770">
        <w:t>PSE</w:t>
      </w:r>
      <w:r>
        <w:t>, a combined electric and natural gas utility,</w:t>
      </w:r>
      <w:r w:rsidRPr="00FD0770">
        <w:t xml:space="preserve"> serves approximately </w:t>
      </w:r>
      <w:r w:rsidRPr="00EC12A3">
        <w:t>750,000</w:t>
      </w:r>
      <w:r w:rsidRPr="00FD0770">
        <w:t xml:space="preserve"> gas customers in</w:t>
      </w:r>
      <w:r>
        <w:t xml:space="preserve"> parts of Snohomish, King, Pierce, Thurston, Lewis, and Kittitas counties in</w:t>
      </w:r>
      <w:r w:rsidRPr="00FD0770">
        <w:t xml:space="preserve"> </w:t>
      </w:r>
      <w:r>
        <w:t>W</w:t>
      </w:r>
      <w:r w:rsidRPr="00FD0770">
        <w:t xml:space="preserve">ashington. </w:t>
      </w:r>
    </w:p>
    <w:p w:rsidR="00633FE5" w:rsidRDefault="00633FE5" w:rsidP="00633FE5">
      <w:pPr>
        <w:rPr>
          <w:rFonts w:ascii="Times New Roman" w:hAnsi="Times New Roman"/>
          <w:b/>
          <w:bCs/>
          <w:sz w:val="24"/>
        </w:rPr>
      </w:pP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>Schedule No. 101, Purchase</w:t>
      </w:r>
      <w:r w:rsidR="0047045A">
        <w:rPr>
          <w:rFonts w:ascii="Times New Roman" w:hAnsi="Times New Roman"/>
          <w:b/>
          <w:bCs/>
          <w:sz w:val="24"/>
        </w:rPr>
        <w:t>d</w:t>
      </w:r>
      <w:r w:rsidRPr="00FD0770">
        <w:rPr>
          <w:rFonts w:ascii="Times New Roman" w:hAnsi="Times New Roman"/>
          <w:b/>
          <w:bCs/>
          <w:sz w:val="24"/>
        </w:rPr>
        <w:t xml:space="preserve"> Gas Adjustment (PGA, Docket UG-</w:t>
      </w:r>
      <w:r w:rsidR="00177632">
        <w:rPr>
          <w:rFonts w:ascii="Times New Roman" w:hAnsi="Times New Roman"/>
          <w:b/>
          <w:bCs/>
          <w:sz w:val="24"/>
        </w:rPr>
        <w:t>101642</w:t>
      </w:r>
      <w:r w:rsidRPr="00FD0770">
        <w:rPr>
          <w:rFonts w:ascii="Times New Roman" w:hAnsi="Times New Roman"/>
          <w:b/>
          <w:bCs/>
          <w:sz w:val="24"/>
        </w:rPr>
        <w:t>)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D6438C" w:rsidRDefault="00633FE5" w:rsidP="00633FE5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D6438C">
        <w:rPr>
          <w:rFonts w:ascii="Times New Roman" w:hAnsi="Times New Roman"/>
        </w:rPr>
        <w:t>Docket UG-</w:t>
      </w:r>
      <w:r w:rsidR="00EC12A3" w:rsidRPr="00D6438C">
        <w:rPr>
          <w:rFonts w:ascii="Times New Roman" w:hAnsi="Times New Roman"/>
          <w:bCs/>
        </w:rPr>
        <w:t>101642</w:t>
      </w:r>
      <w:r w:rsidRPr="00D6438C">
        <w:rPr>
          <w:rFonts w:ascii="Times New Roman" w:hAnsi="Times New Roman"/>
        </w:rPr>
        <w:t xml:space="preserve"> is PSE’s PGA filing to adjust rates that recover expected gas costs from sales customers. PSE filed tariff sheets to reflect a total average cost of gas of $0.</w:t>
      </w:r>
      <w:r w:rsidR="003D3006" w:rsidRPr="00D6438C">
        <w:rPr>
          <w:rFonts w:ascii="Times New Roman" w:hAnsi="Times New Roman"/>
        </w:rPr>
        <w:t>68321</w:t>
      </w:r>
      <w:r w:rsidRPr="00D6438C">
        <w:rPr>
          <w:rFonts w:ascii="Times New Roman" w:hAnsi="Times New Roman"/>
        </w:rPr>
        <w:t xml:space="preserve"> per therm ($0.</w:t>
      </w:r>
      <w:r w:rsidR="003D3006" w:rsidRPr="00D6438C">
        <w:rPr>
          <w:rFonts w:ascii="Times New Roman" w:hAnsi="Times New Roman"/>
        </w:rPr>
        <w:t>56214</w:t>
      </w:r>
      <w:r w:rsidRPr="00D6438C">
        <w:rPr>
          <w:rFonts w:ascii="Times New Roman" w:hAnsi="Times New Roman"/>
        </w:rPr>
        <w:t xml:space="preserve"> commodity + $0.1</w:t>
      </w:r>
      <w:r w:rsidR="003D3006" w:rsidRPr="00D6438C">
        <w:rPr>
          <w:rFonts w:ascii="Times New Roman" w:hAnsi="Times New Roman"/>
        </w:rPr>
        <w:t>2107</w:t>
      </w:r>
      <w:r w:rsidRPr="00D6438C">
        <w:rPr>
          <w:rFonts w:ascii="Times New Roman" w:hAnsi="Times New Roman"/>
        </w:rPr>
        <w:t xml:space="preserve"> demand) resulting in an overall </w:t>
      </w:r>
      <w:r w:rsidR="00593F87" w:rsidRPr="00D6438C">
        <w:rPr>
          <w:rFonts w:ascii="Times New Roman" w:hAnsi="Times New Roman"/>
        </w:rPr>
        <w:t>decrease</w:t>
      </w:r>
      <w:r w:rsidR="00B25220" w:rsidRPr="00D6438C">
        <w:rPr>
          <w:rFonts w:ascii="Times New Roman" w:hAnsi="Times New Roman"/>
        </w:rPr>
        <w:t xml:space="preserve"> </w:t>
      </w:r>
      <w:r w:rsidRPr="00D6438C">
        <w:rPr>
          <w:rFonts w:ascii="Times New Roman" w:hAnsi="Times New Roman"/>
        </w:rPr>
        <w:t>in annual gas sales revenues of approximately $</w:t>
      </w:r>
      <w:r w:rsidR="00593F87" w:rsidRPr="00D6438C">
        <w:rPr>
          <w:rFonts w:ascii="Times New Roman" w:hAnsi="Times New Roman"/>
        </w:rPr>
        <w:t>30.4</w:t>
      </w:r>
      <w:r w:rsidRPr="00D6438C">
        <w:rPr>
          <w:rFonts w:ascii="Times New Roman" w:hAnsi="Times New Roman"/>
        </w:rPr>
        <w:t xml:space="preserve"> million</w:t>
      </w:r>
      <w:r w:rsidR="0089773C" w:rsidRPr="00D6438C">
        <w:rPr>
          <w:rFonts w:ascii="Times New Roman" w:hAnsi="Times New Roman"/>
        </w:rPr>
        <w:t xml:space="preserve"> </w:t>
      </w:r>
      <w:r w:rsidR="00194A3D">
        <w:rPr>
          <w:rFonts w:ascii="Times New Roman" w:hAnsi="Times New Roman"/>
        </w:rPr>
        <w:t>(</w:t>
      </w:r>
      <w:r w:rsidR="00593F87" w:rsidRPr="00D6438C">
        <w:rPr>
          <w:rFonts w:ascii="Times New Roman" w:hAnsi="Times New Roman"/>
        </w:rPr>
        <w:t>3.1</w:t>
      </w:r>
      <w:r w:rsidR="0089773C" w:rsidRPr="00D6438C">
        <w:rPr>
          <w:rFonts w:ascii="Times New Roman" w:hAnsi="Times New Roman"/>
        </w:rPr>
        <w:t xml:space="preserve"> percent</w:t>
      </w:r>
      <w:r w:rsidR="00194A3D">
        <w:rPr>
          <w:rFonts w:ascii="Times New Roman" w:hAnsi="Times New Roman"/>
        </w:rPr>
        <w:t>)</w:t>
      </w:r>
      <w:r w:rsidRPr="00D6438C">
        <w:rPr>
          <w:rFonts w:ascii="Times New Roman" w:hAnsi="Times New Roman"/>
        </w:rPr>
        <w:t xml:space="preserve"> related to prospective natural gas purchases for the period </w:t>
      </w:r>
      <w:r w:rsidR="003D3006" w:rsidRPr="00D6438C">
        <w:rPr>
          <w:rFonts w:ascii="Times New Roman" w:hAnsi="Times New Roman"/>
        </w:rPr>
        <w:t>November</w:t>
      </w:r>
      <w:r w:rsidRPr="00D6438C">
        <w:rPr>
          <w:rFonts w:ascii="Times New Roman" w:hAnsi="Times New Roman"/>
        </w:rPr>
        <w:t xml:space="preserve"> 20</w:t>
      </w:r>
      <w:r w:rsidR="003D3006" w:rsidRPr="00D6438C">
        <w:rPr>
          <w:rFonts w:ascii="Times New Roman" w:hAnsi="Times New Roman"/>
        </w:rPr>
        <w:t>10</w:t>
      </w:r>
      <w:r w:rsidRPr="00D6438C">
        <w:rPr>
          <w:rFonts w:ascii="Times New Roman" w:hAnsi="Times New Roman"/>
        </w:rPr>
        <w:t xml:space="preserve"> through </w:t>
      </w:r>
      <w:r w:rsidR="003D3006" w:rsidRPr="00D6438C">
        <w:rPr>
          <w:rFonts w:ascii="Times New Roman" w:hAnsi="Times New Roman"/>
        </w:rPr>
        <w:t>October</w:t>
      </w:r>
      <w:r w:rsidRPr="00D6438C">
        <w:rPr>
          <w:rFonts w:ascii="Times New Roman" w:hAnsi="Times New Roman"/>
        </w:rPr>
        <w:t xml:space="preserve"> 201</w:t>
      </w:r>
      <w:r w:rsidR="003D3006" w:rsidRPr="00D6438C">
        <w:rPr>
          <w:rFonts w:ascii="Times New Roman" w:hAnsi="Times New Roman"/>
        </w:rPr>
        <w:t>1</w:t>
      </w:r>
      <w:r w:rsidRPr="00D6438C">
        <w:rPr>
          <w:rFonts w:ascii="Times New Roman" w:hAnsi="Times New Roman"/>
        </w:rPr>
        <w:t xml:space="preserve">. The proposed PGA rates reflect </w:t>
      </w:r>
      <w:r w:rsidR="00593F87" w:rsidRPr="00D6438C">
        <w:rPr>
          <w:rFonts w:ascii="Times New Roman" w:hAnsi="Times New Roman"/>
        </w:rPr>
        <w:t>approximately</w:t>
      </w:r>
      <w:r w:rsidRPr="00D6438C">
        <w:rPr>
          <w:rFonts w:ascii="Times New Roman" w:hAnsi="Times New Roman"/>
        </w:rPr>
        <w:t xml:space="preserve"> </w:t>
      </w:r>
      <w:r w:rsidR="007842F2" w:rsidRPr="00D6438C">
        <w:rPr>
          <w:rFonts w:ascii="Times New Roman" w:hAnsi="Times New Roman"/>
        </w:rPr>
        <w:t>4.3</w:t>
      </w:r>
      <w:r w:rsidR="00593F87" w:rsidRPr="00D6438C">
        <w:rPr>
          <w:rFonts w:ascii="Times New Roman" w:hAnsi="Times New Roman"/>
        </w:rPr>
        <w:t xml:space="preserve"> </w:t>
      </w:r>
      <w:r w:rsidR="0089773C" w:rsidRPr="00D6438C">
        <w:rPr>
          <w:rFonts w:ascii="Times New Roman" w:hAnsi="Times New Roman"/>
        </w:rPr>
        <w:t>percent</w:t>
      </w:r>
      <w:r w:rsidRPr="00D6438C">
        <w:rPr>
          <w:rFonts w:ascii="Times New Roman" w:hAnsi="Times New Roman"/>
        </w:rPr>
        <w:t xml:space="preserve"> decrease in gas costs due to decreases in forward market prices. Currently embedded in PSE’s natural gas retail rates is a total average cost of gas of $0.</w:t>
      </w:r>
      <w:r w:rsidR="003D3006" w:rsidRPr="00D6438C">
        <w:rPr>
          <w:rFonts w:ascii="Times New Roman" w:hAnsi="Times New Roman"/>
        </w:rPr>
        <w:t>71360</w:t>
      </w:r>
      <w:r w:rsidRPr="00D6438C">
        <w:rPr>
          <w:rFonts w:ascii="Times New Roman" w:hAnsi="Times New Roman"/>
        </w:rPr>
        <w:t xml:space="preserve"> per therm ($</w:t>
      </w:r>
      <w:r w:rsidR="00EC12A3" w:rsidRPr="00D6438C">
        <w:rPr>
          <w:rFonts w:ascii="Times New Roman" w:hAnsi="Times New Roman"/>
        </w:rPr>
        <w:t>0.60641</w:t>
      </w:r>
      <w:r w:rsidR="003D3006" w:rsidRPr="00D6438C">
        <w:rPr>
          <w:rFonts w:ascii="Times New Roman" w:hAnsi="Times New Roman"/>
        </w:rPr>
        <w:t xml:space="preserve"> </w:t>
      </w:r>
      <w:r w:rsidRPr="00D6438C">
        <w:rPr>
          <w:rFonts w:ascii="Times New Roman" w:hAnsi="Times New Roman"/>
        </w:rPr>
        <w:t>commodity + $0.</w:t>
      </w:r>
      <w:r w:rsidR="00EC12A3" w:rsidRPr="00D6438C">
        <w:rPr>
          <w:rFonts w:ascii="Times New Roman" w:hAnsi="Times New Roman"/>
        </w:rPr>
        <w:t>10719</w:t>
      </w:r>
      <w:r w:rsidRPr="00D6438C">
        <w:rPr>
          <w:rFonts w:ascii="Times New Roman" w:hAnsi="Times New Roman"/>
        </w:rPr>
        <w:t xml:space="preserve"> demand).</w:t>
      </w:r>
    </w:p>
    <w:p w:rsidR="00633FE5" w:rsidRPr="00593F87" w:rsidRDefault="00633FE5" w:rsidP="00633FE5">
      <w:pPr>
        <w:rPr>
          <w:rFonts w:ascii="Times New Roman" w:hAnsi="Times New Roman"/>
          <w:b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544395">
        <w:rPr>
          <w:rFonts w:ascii="Times New Roman" w:hAnsi="Times New Roman"/>
          <w:sz w:val="24"/>
        </w:rPr>
        <w:t>PSE estimated the annual gas supply costs using a model that</w:t>
      </w:r>
      <w:r>
        <w:rPr>
          <w:rFonts w:ascii="Times New Roman" w:hAnsi="Times New Roman"/>
          <w:sz w:val="24"/>
        </w:rPr>
        <w:t xml:space="preserve"> creates a least</w:t>
      </w:r>
      <w:r w:rsidR="00194A3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cost supply portfolio </w:t>
      </w:r>
      <w:r w:rsidRPr="00FD0770">
        <w:rPr>
          <w:rFonts w:ascii="Times New Roman" w:hAnsi="Times New Roman"/>
          <w:sz w:val="24"/>
        </w:rPr>
        <w:t>of fixed and variable priced contracted supplies</w:t>
      </w:r>
      <w:r>
        <w:rPr>
          <w:rFonts w:ascii="Times New Roman" w:hAnsi="Times New Roman"/>
          <w:sz w:val="24"/>
        </w:rPr>
        <w:t xml:space="preserve">, gas </w:t>
      </w:r>
      <w:r w:rsidRPr="00FD0770">
        <w:rPr>
          <w:rFonts w:ascii="Times New Roman" w:hAnsi="Times New Roman"/>
          <w:sz w:val="24"/>
        </w:rPr>
        <w:t xml:space="preserve">storage </w:t>
      </w:r>
      <w:r>
        <w:rPr>
          <w:rFonts w:ascii="Times New Roman" w:hAnsi="Times New Roman"/>
          <w:sz w:val="24"/>
        </w:rPr>
        <w:t>operations, and transportation costs.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lastRenderedPageBreak/>
        <w:t xml:space="preserve">Variable priced (market based) contracts were priced in the model using </w:t>
      </w:r>
      <w:r>
        <w:rPr>
          <w:rFonts w:ascii="Times New Roman" w:hAnsi="Times New Roman"/>
          <w:sz w:val="24"/>
        </w:rPr>
        <w:t xml:space="preserve">an </w:t>
      </w:r>
      <w:r w:rsidRPr="00FD0770">
        <w:rPr>
          <w:rFonts w:ascii="Times New Roman" w:hAnsi="Times New Roman"/>
          <w:sz w:val="24"/>
        </w:rPr>
        <w:t>average of forward market prices</w:t>
      </w:r>
      <w:r>
        <w:rPr>
          <w:rFonts w:ascii="Times New Roman" w:hAnsi="Times New Roman"/>
          <w:sz w:val="24"/>
        </w:rPr>
        <w:t xml:space="preserve"> for the basins from which PSE acquires gas, during the </w:t>
      </w:r>
      <w:r w:rsidRPr="00FD0770">
        <w:rPr>
          <w:rFonts w:ascii="Times New Roman" w:hAnsi="Times New Roman"/>
          <w:sz w:val="24"/>
        </w:rPr>
        <w:t>3</w:t>
      </w:r>
      <w:r w:rsidRPr="005D6D68">
        <w:rPr>
          <w:rFonts w:ascii="Times New Roman" w:hAnsi="Times New Roman"/>
          <w:sz w:val="24"/>
        </w:rPr>
        <w:t xml:space="preserve">-month </w:t>
      </w:r>
      <w:r w:rsidRPr="00B2318B">
        <w:rPr>
          <w:rFonts w:ascii="Times New Roman" w:hAnsi="Times New Roman"/>
          <w:sz w:val="24"/>
        </w:rPr>
        <w:t xml:space="preserve">period </w:t>
      </w:r>
      <w:r w:rsidRPr="005D6D68">
        <w:rPr>
          <w:rFonts w:ascii="Times New Roman" w:hAnsi="Times New Roman"/>
          <w:sz w:val="24"/>
        </w:rPr>
        <w:t>(</w:t>
      </w:r>
      <w:r w:rsidR="008650F8">
        <w:rPr>
          <w:rFonts w:ascii="Times New Roman" w:hAnsi="Times New Roman"/>
          <w:sz w:val="24"/>
        </w:rPr>
        <w:t>June 9</w:t>
      </w:r>
      <w:r w:rsidRPr="005D6D68">
        <w:rPr>
          <w:rFonts w:ascii="Times New Roman" w:hAnsi="Times New Roman"/>
          <w:sz w:val="24"/>
        </w:rPr>
        <w:t xml:space="preserve"> through </w:t>
      </w:r>
      <w:r w:rsidR="008650F8">
        <w:rPr>
          <w:rFonts w:ascii="Times New Roman" w:hAnsi="Times New Roman"/>
          <w:sz w:val="24"/>
        </w:rPr>
        <w:t>September 8, 2010</w:t>
      </w:r>
      <w:r w:rsidRPr="005D6D6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immediately preceding the filing preparation.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b/>
          <w:bCs/>
          <w:sz w:val="24"/>
        </w:rPr>
        <w:t>Schedule No. 106, Gas Cost Deferral Amortization (Docket UG-</w:t>
      </w:r>
      <w:r w:rsidR="008650F8" w:rsidRPr="0063230B">
        <w:rPr>
          <w:rFonts w:ascii="Times New Roman" w:hAnsi="Times New Roman"/>
          <w:b/>
          <w:bCs/>
          <w:sz w:val="24"/>
        </w:rPr>
        <w:t>101643</w:t>
      </w:r>
      <w:r w:rsidRPr="0063230B">
        <w:rPr>
          <w:rFonts w:ascii="Times New Roman" w:hAnsi="Times New Roman"/>
          <w:b/>
          <w:bCs/>
          <w:sz w:val="24"/>
        </w:rPr>
        <w:t>)</w:t>
      </w:r>
    </w:p>
    <w:p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 xml:space="preserve"> </w:t>
      </w:r>
    </w:p>
    <w:p w:rsidR="00633FE5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>Docket UG-</w:t>
      </w:r>
      <w:r w:rsidR="008650F8" w:rsidRPr="0063230B">
        <w:rPr>
          <w:rFonts w:ascii="Times New Roman" w:hAnsi="Times New Roman"/>
          <w:sz w:val="24"/>
        </w:rPr>
        <w:t>101643</w:t>
      </w:r>
      <w:r w:rsidRPr="0063230B">
        <w:rPr>
          <w:rFonts w:ascii="Times New Roman" w:hAnsi="Times New Roman"/>
          <w:sz w:val="24"/>
        </w:rPr>
        <w:t xml:space="preserve"> is PSE’s deferred gas cost amortization filing to adjust rates that true up prior over or under recoveries of revenue to cover actual purchased gas expenses</w:t>
      </w:r>
      <w:r w:rsidR="001A6FE3" w:rsidRPr="0063230B">
        <w:rPr>
          <w:rFonts w:ascii="Times New Roman" w:hAnsi="Times New Roman"/>
          <w:sz w:val="24"/>
        </w:rPr>
        <w:t xml:space="preserve"> (“Tracker Filing”)</w:t>
      </w:r>
      <w:r w:rsidRPr="0063230B">
        <w:rPr>
          <w:rFonts w:ascii="Times New Roman" w:hAnsi="Times New Roman"/>
          <w:sz w:val="24"/>
        </w:rPr>
        <w:t>. Currently, PSE projects a net over</w:t>
      </w:r>
      <w:r w:rsidR="00194A3D">
        <w:rPr>
          <w:rFonts w:ascii="Times New Roman" w:hAnsi="Times New Roman"/>
          <w:sz w:val="24"/>
        </w:rPr>
        <w:t>-</w:t>
      </w:r>
      <w:r w:rsidRPr="0063230B">
        <w:rPr>
          <w:rFonts w:ascii="Times New Roman" w:hAnsi="Times New Roman"/>
          <w:sz w:val="24"/>
        </w:rPr>
        <w:t xml:space="preserve">collection balance at the end of </w:t>
      </w:r>
      <w:r w:rsidR="008650F8" w:rsidRPr="0063230B">
        <w:rPr>
          <w:rFonts w:ascii="Times New Roman" w:hAnsi="Times New Roman"/>
          <w:sz w:val="24"/>
        </w:rPr>
        <w:t>October 2010</w:t>
      </w:r>
      <w:r w:rsidRPr="0063230B">
        <w:rPr>
          <w:rFonts w:ascii="Times New Roman" w:hAnsi="Times New Roman"/>
          <w:sz w:val="24"/>
        </w:rPr>
        <w:t xml:space="preserve"> of approximately $</w:t>
      </w:r>
      <w:r w:rsidR="008650F8" w:rsidRPr="0063230B">
        <w:rPr>
          <w:rFonts w:ascii="Times New Roman" w:hAnsi="Times New Roman"/>
          <w:sz w:val="24"/>
        </w:rPr>
        <w:t>3</w:t>
      </w:r>
      <w:r w:rsidRPr="0063230B">
        <w:rPr>
          <w:rFonts w:ascii="Times New Roman" w:hAnsi="Times New Roman"/>
          <w:sz w:val="24"/>
        </w:rPr>
        <w:t xml:space="preserve">.4 million, including </w:t>
      </w:r>
      <w:r w:rsidR="00380EAD">
        <w:rPr>
          <w:rFonts w:ascii="Times New Roman" w:hAnsi="Times New Roman"/>
          <w:sz w:val="24"/>
        </w:rPr>
        <w:t xml:space="preserve">a </w:t>
      </w:r>
      <w:r w:rsidRPr="0063230B">
        <w:rPr>
          <w:rFonts w:ascii="Times New Roman" w:hAnsi="Times New Roman"/>
          <w:sz w:val="24"/>
        </w:rPr>
        <w:t>$</w:t>
      </w:r>
      <w:r w:rsidR="005C1FF7" w:rsidRPr="0063230B">
        <w:rPr>
          <w:rFonts w:ascii="Times New Roman" w:hAnsi="Times New Roman"/>
          <w:sz w:val="24"/>
        </w:rPr>
        <w:t>63.2</w:t>
      </w:r>
      <w:r w:rsidRPr="0063230B">
        <w:rPr>
          <w:rFonts w:ascii="Times New Roman" w:hAnsi="Times New Roman"/>
          <w:sz w:val="24"/>
        </w:rPr>
        <w:t xml:space="preserve"> </w:t>
      </w:r>
      <w:r w:rsidR="0047045A" w:rsidRPr="0063230B">
        <w:rPr>
          <w:rFonts w:ascii="Times New Roman" w:hAnsi="Times New Roman"/>
          <w:sz w:val="24"/>
        </w:rPr>
        <w:t xml:space="preserve">million </w:t>
      </w:r>
      <w:r w:rsidR="00380EAD">
        <w:rPr>
          <w:rFonts w:ascii="Times New Roman" w:hAnsi="Times New Roman"/>
          <w:sz w:val="24"/>
        </w:rPr>
        <w:t xml:space="preserve">refund </w:t>
      </w:r>
      <w:r w:rsidRPr="0063230B">
        <w:rPr>
          <w:rFonts w:ascii="Times New Roman" w:hAnsi="Times New Roman"/>
          <w:sz w:val="24"/>
        </w:rPr>
        <w:t xml:space="preserve">currently being amortized in rates effective </w:t>
      </w:r>
      <w:r w:rsidR="005C1FF7" w:rsidRPr="0063230B">
        <w:rPr>
          <w:rFonts w:ascii="Times New Roman" w:hAnsi="Times New Roman"/>
          <w:sz w:val="24"/>
        </w:rPr>
        <w:t>October 1, 2009</w:t>
      </w:r>
      <w:r w:rsidRPr="0063230B">
        <w:rPr>
          <w:rFonts w:ascii="Times New Roman" w:hAnsi="Times New Roman"/>
          <w:sz w:val="24"/>
        </w:rPr>
        <w:t>. The over</w:t>
      </w:r>
      <w:r w:rsidR="00194A3D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collection is a net result of over</w:t>
      </w:r>
      <w:r w:rsidR="00194A3D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recovery caused by lower actual gas market prices than the forward prices used in last year’s PGA and under</w:t>
      </w:r>
      <w:r w:rsidR="00194A3D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collection of demand</w:t>
      </w:r>
      <w:r>
        <w:rPr>
          <w:rFonts w:ascii="Times New Roman" w:hAnsi="Times New Roman"/>
          <w:sz w:val="24"/>
        </w:rPr>
        <w:t xml:space="preserve"> related costs </w:t>
      </w:r>
      <w:r w:rsidR="00B205F9">
        <w:rPr>
          <w:rFonts w:ascii="Times New Roman" w:hAnsi="Times New Roman"/>
          <w:sz w:val="24"/>
        </w:rPr>
        <w:t>together with</w:t>
      </w:r>
      <w:r>
        <w:rPr>
          <w:rFonts w:ascii="Times New Roman" w:hAnsi="Times New Roman"/>
          <w:sz w:val="24"/>
        </w:rPr>
        <w:t xml:space="preserve"> costs in the amortization account. The </w:t>
      </w:r>
      <w:r w:rsidR="00380EAD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ompany is proposing to amortize in rates the entire projected balance of over-recovered commodity costs and a portion of under-collected demand related costs to reflect the cyclical nature of demand gas costs recoveries relative to incurre</w:t>
      </w:r>
      <w:r w:rsidR="00A106C0">
        <w:rPr>
          <w:rFonts w:ascii="Times New Roman" w:hAnsi="Times New Roman"/>
          <w:sz w:val="24"/>
        </w:rPr>
        <w:t>d costs</w:t>
      </w:r>
      <w:r>
        <w:rPr>
          <w:rFonts w:ascii="Times New Roman" w:hAnsi="Times New Roman"/>
          <w:sz w:val="24"/>
        </w:rPr>
        <w:t>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Pr="00380EAD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net effect of the </w:t>
      </w:r>
      <w:r w:rsidR="001A6FE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racker </w:t>
      </w:r>
      <w:r w:rsidR="001A6FE3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iling </w:t>
      </w:r>
      <w:r w:rsidRPr="00380EAD">
        <w:rPr>
          <w:rFonts w:ascii="Times New Roman" w:hAnsi="Times New Roman"/>
          <w:sz w:val="24"/>
        </w:rPr>
        <w:t xml:space="preserve">is </w:t>
      </w:r>
      <w:r w:rsidR="0047045A" w:rsidRPr="00380EAD">
        <w:rPr>
          <w:rFonts w:ascii="Times New Roman" w:hAnsi="Times New Roman"/>
          <w:sz w:val="24"/>
        </w:rPr>
        <w:t xml:space="preserve">a </w:t>
      </w:r>
      <w:r w:rsidRPr="00380EAD">
        <w:rPr>
          <w:rFonts w:ascii="Times New Roman" w:hAnsi="Times New Roman"/>
          <w:sz w:val="24"/>
        </w:rPr>
        <w:t>$</w:t>
      </w:r>
      <w:r w:rsidR="003D0731" w:rsidRPr="00380EAD">
        <w:rPr>
          <w:rFonts w:ascii="Times New Roman" w:hAnsi="Times New Roman"/>
          <w:sz w:val="24"/>
        </w:rPr>
        <w:t>17</w:t>
      </w:r>
      <w:r w:rsidRPr="00380EAD">
        <w:rPr>
          <w:rFonts w:ascii="Times New Roman" w:hAnsi="Times New Roman"/>
          <w:sz w:val="24"/>
        </w:rPr>
        <w:t xml:space="preserve"> million credit to customers through Schedule 106 rates over the upcoming PGA period from </w:t>
      </w:r>
      <w:r w:rsidR="003D0731" w:rsidRPr="00380EAD">
        <w:rPr>
          <w:rFonts w:ascii="Times New Roman" w:hAnsi="Times New Roman"/>
          <w:sz w:val="24"/>
        </w:rPr>
        <w:t>November 2010</w:t>
      </w:r>
      <w:r w:rsidRPr="00380EAD">
        <w:rPr>
          <w:rFonts w:ascii="Times New Roman" w:hAnsi="Times New Roman"/>
          <w:sz w:val="24"/>
        </w:rPr>
        <w:t xml:space="preserve"> through </w:t>
      </w:r>
      <w:r w:rsidR="003D0731" w:rsidRPr="00380EAD">
        <w:rPr>
          <w:rFonts w:ascii="Times New Roman" w:hAnsi="Times New Roman"/>
          <w:sz w:val="24"/>
        </w:rPr>
        <w:t>October 2011</w:t>
      </w:r>
      <w:r w:rsidRPr="00380EAD">
        <w:rPr>
          <w:rFonts w:ascii="Times New Roman" w:hAnsi="Times New Roman"/>
          <w:sz w:val="24"/>
        </w:rPr>
        <w:t xml:space="preserve">. </w:t>
      </w:r>
      <w:r w:rsidR="003D0731" w:rsidRPr="00380EAD">
        <w:rPr>
          <w:rFonts w:ascii="Times New Roman" w:hAnsi="Times New Roman"/>
          <w:sz w:val="24"/>
        </w:rPr>
        <w:t xml:space="preserve">The proposed credit results in increased rates </w:t>
      </w:r>
      <w:r w:rsidR="00E2042D" w:rsidRPr="00380EAD">
        <w:rPr>
          <w:rFonts w:ascii="Times New Roman" w:hAnsi="Times New Roman"/>
          <w:sz w:val="24"/>
        </w:rPr>
        <w:t>due to the higher credit reflected in</w:t>
      </w:r>
      <w:r w:rsidR="003D0731" w:rsidRPr="00380EAD">
        <w:rPr>
          <w:rFonts w:ascii="Times New Roman" w:hAnsi="Times New Roman"/>
          <w:sz w:val="24"/>
        </w:rPr>
        <w:t xml:space="preserve"> the current Schedule 106 </w:t>
      </w:r>
      <w:r w:rsidR="00E2042D" w:rsidRPr="00380EAD">
        <w:rPr>
          <w:rFonts w:ascii="Times New Roman" w:hAnsi="Times New Roman"/>
          <w:sz w:val="24"/>
        </w:rPr>
        <w:t>rates.</w:t>
      </w:r>
      <w:r w:rsidR="003D0731" w:rsidRPr="00380EAD">
        <w:rPr>
          <w:rFonts w:ascii="Times New Roman" w:hAnsi="Times New Roman"/>
          <w:sz w:val="24"/>
        </w:rPr>
        <w:t xml:space="preserve"> </w:t>
      </w:r>
    </w:p>
    <w:p w:rsidR="003D0731" w:rsidRPr="00A56A21" w:rsidRDefault="003D0731" w:rsidP="00633FE5">
      <w:pPr>
        <w:rPr>
          <w:rFonts w:ascii="Times New Roman" w:hAnsi="Times New Roman"/>
          <w:sz w:val="24"/>
        </w:rPr>
      </w:pP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Revenue and Residential Bill Impacts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following table shows the </w:t>
      </w:r>
      <w:r w:rsidR="006E1137">
        <w:rPr>
          <w:rFonts w:ascii="Times New Roman" w:hAnsi="Times New Roman"/>
          <w:sz w:val="24"/>
        </w:rPr>
        <w:t xml:space="preserve">annual </w:t>
      </w:r>
      <w:r>
        <w:rPr>
          <w:rFonts w:ascii="Times New Roman" w:hAnsi="Times New Roman"/>
          <w:sz w:val="24"/>
        </w:rPr>
        <w:t>revenue impacts of the filings by customer class: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485"/>
        <w:gridCol w:w="1875"/>
        <w:gridCol w:w="2040"/>
      </w:tblGrid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In Millions of $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PGA</w:t>
            </w: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Impact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Tracker Impact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Total Impact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Residential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23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16</w:t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18.2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2.8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88197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2.3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$30.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(4.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88197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(3.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9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tabs>
                <w:tab w:val="righ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12.6 (1.9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C2E3A" w:rsidP="00881976">
            <w:pPr>
              <w:tabs>
                <w:tab w:val="lef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(1.6%)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Comm. &amp; Ind.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31, 36, 51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41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6.6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6D6651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4.8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10.9 (5.2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AB0E6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3.7 (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5.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7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4.3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2.0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AB0E66" w:rsidP="000A3A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.6 (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.9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Interruptible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85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86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87</w:t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.6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5.3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-$.6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4.5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6D6651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1.2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5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.8%)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.9 (7.1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$.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8 (6.2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AB0E6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$1.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6 (7.6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AB0E66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(1.8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AB0E66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(1.6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0A3A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4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1.9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6D6651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30.4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AB0E66" w:rsidP="00AB0E6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$48.7 (5.0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0A3A72" w:rsidP="000A3A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8.3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(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1.9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</w:tbl>
    <w:p w:rsidR="00633FE5" w:rsidRPr="0063230B" w:rsidRDefault="00633FE5" w:rsidP="00633FE5">
      <w:pPr>
        <w:rPr>
          <w:rFonts w:ascii="Times New Roman" w:hAnsi="Times New Roman"/>
          <w:sz w:val="24"/>
        </w:rPr>
      </w:pPr>
    </w:p>
    <w:p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>The impact of the PGA and tracker filings on a monthly bill for a residential customer with monthly average consumption of 68 therms will be a</w:t>
      </w:r>
      <w:r w:rsidR="00527D0C" w:rsidRPr="0063230B">
        <w:rPr>
          <w:rFonts w:ascii="Times New Roman" w:hAnsi="Times New Roman"/>
          <w:sz w:val="24"/>
        </w:rPr>
        <w:t>n</w:t>
      </w:r>
      <w:r w:rsidRPr="0063230B">
        <w:rPr>
          <w:rFonts w:ascii="Times New Roman" w:hAnsi="Times New Roman"/>
          <w:sz w:val="24"/>
        </w:rPr>
        <w:t xml:space="preserve"> </w:t>
      </w:r>
      <w:r w:rsidR="00527D0C" w:rsidRPr="0063230B">
        <w:rPr>
          <w:rFonts w:ascii="Times New Roman" w:hAnsi="Times New Roman"/>
          <w:sz w:val="24"/>
        </w:rPr>
        <w:t xml:space="preserve">increase </w:t>
      </w:r>
      <w:r w:rsidRPr="0063230B">
        <w:rPr>
          <w:rFonts w:ascii="Times New Roman" w:hAnsi="Times New Roman"/>
          <w:sz w:val="24"/>
        </w:rPr>
        <w:t>of $</w:t>
      </w:r>
      <w:r w:rsidR="00527D0C" w:rsidRPr="0063230B">
        <w:rPr>
          <w:rFonts w:ascii="Times New Roman" w:hAnsi="Times New Roman"/>
          <w:sz w:val="24"/>
        </w:rPr>
        <w:t>1.56</w:t>
      </w:r>
      <w:r w:rsidRPr="0063230B">
        <w:rPr>
          <w:rFonts w:ascii="Times New Roman" w:hAnsi="Times New Roman"/>
          <w:sz w:val="24"/>
        </w:rPr>
        <w:t xml:space="preserve"> or </w:t>
      </w:r>
      <w:r w:rsidR="00527D0C" w:rsidRPr="0063230B">
        <w:rPr>
          <w:rFonts w:ascii="Times New Roman" w:hAnsi="Times New Roman"/>
          <w:sz w:val="24"/>
        </w:rPr>
        <w:t>1.9</w:t>
      </w:r>
      <w:r w:rsidR="0047045A" w:rsidRPr="0063230B">
        <w:rPr>
          <w:rFonts w:ascii="Times New Roman" w:hAnsi="Times New Roman"/>
          <w:sz w:val="24"/>
        </w:rPr>
        <w:t xml:space="preserve"> percent</w:t>
      </w:r>
      <w:r w:rsidRPr="0063230B">
        <w:rPr>
          <w:rFonts w:ascii="Times New Roman" w:hAnsi="Times New Roman"/>
          <w:sz w:val="24"/>
        </w:rPr>
        <w:t>, for a revised monthly bill of $</w:t>
      </w:r>
      <w:r w:rsidR="00527D0C" w:rsidRPr="0063230B">
        <w:rPr>
          <w:rFonts w:ascii="Times New Roman" w:hAnsi="Times New Roman"/>
          <w:sz w:val="24"/>
        </w:rPr>
        <w:t>82</w:t>
      </w:r>
      <w:r w:rsidRPr="0063230B">
        <w:rPr>
          <w:rFonts w:ascii="Times New Roman" w:hAnsi="Times New Roman"/>
          <w:sz w:val="24"/>
        </w:rPr>
        <w:t>.</w:t>
      </w:r>
      <w:r w:rsidR="00527D0C" w:rsidRPr="0063230B">
        <w:rPr>
          <w:rFonts w:ascii="Times New Roman" w:hAnsi="Times New Roman"/>
          <w:sz w:val="24"/>
        </w:rPr>
        <w:t>88</w:t>
      </w:r>
      <w:r w:rsidRPr="0063230B">
        <w:rPr>
          <w:rFonts w:ascii="Times New Roman" w:hAnsi="Times New Roman"/>
          <w:sz w:val="24"/>
        </w:rPr>
        <w:t>.</w:t>
      </w:r>
      <w:r w:rsidR="00A05DF7">
        <w:rPr>
          <w:rFonts w:ascii="Times New Roman" w:hAnsi="Times New Roman"/>
          <w:sz w:val="24"/>
        </w:rPr>
        <w:t xml:space="preserve"> </w:t>
      </w:r>
    </w:p>
    <w:p w:rsidR="000A3A72" w:rsidRPr="0063230B" w:rsidRDefault="000A3A72" w:rsidP="00633FE5">
      <w:pPr>
        <w:rPr>
          <w:rFonts w:ascii="Times New Roman" w:hAnsi="Times New Roman"/>
          <w:sz w:val="24"/>
        </w:rPr>
      </w:pPr>
    </w:p>
    <w:p w:rsidR="000A3A72" w:rsidRDefault="000A3A72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Customer Comments</w:t>
      </w:r>
    </w:p>
    <w:p w:rsidR="000A3A72" w:rsidRDefault="000A3A72" w:rsidP="00633FE5">
      <w:pPr>
        <w:rPr>
          <w:rFonts w:ascii="Times New Roman" w:hAnsi="Times New Roman"/>
          <w:b/>
          <w:sz w:val="24"/>
          <w:u w:val="single"/>
        </w:rPr>
      </w:pPr>
    </w:p>
    <w:p w:rsidR="000A3A72" w:rsidRPr="000A3A72" w:rsidRDefault="000A3A72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October 1, 2010, the </w:t>
      </w:r>
      <w:r w:rsidR="00806375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ompany notified its customers of the proposed rate increase by </w:t>
      </w:r>
      <w:r>
        <w:rPr>
          <w:rFonts w:ascii="Times New Roman" w:hAnsi="Times New Roman"/>
          <w:sz w:val="24"/>
        </w:rPr>
        <w:lastRenderedPageBreak/>
        <w:t xml:space="preserve">advertising in nine daily newspapers. The </w:t>
      </w:r>
      <w:r w:rsidR="00380EAD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ompany issued a news release to editors of those newspapers, television</w:t>
      </w:r>
      <w:r w:rsidR="00D8206F">
        <w:rPr>
          <w:rFonts w:ascii="Times New Roman" w:hAnsi="Times New Roman"/>
          <w:sz w:val="24"/>
        </w:rPr>
        <w:t xml:space="preserve"> stations</w:t>
      </w:r>
      <w:r w:rsidR="00772B5A">
        <w:rPr>
          <w:rFonts w:ascii="Times New Roman" w:hAnsi="Times New Roman"/>
          <w:sz w:val="24"/>
        </w:rPr>
        <w:t>, and</w:t>
      </w:r>
      <w:r w:rsidR="00D8206F">
        <w:rPr>
          <w:rFonts w:ascii="Times New Roman" w:hAnsi="Times New Roman"/>
          <w:sz w:val="24"/>
        </w:rPr>
        <w:t xml:space="preserve"> radio stations within the </w:t>
      </w:r>
      <w:r w:rsidR="00380EAD">
        <w:rPr>
          <w:rFonts w:ascii="Times New Roman" w:hAnsi="Times New Roman"/>
          <w:sz w:val="24"/>
        </w:rPr>
        <w:t>c</w:t>
      </w:r>
      <w:r w:rsidR="00D8206F">
        <w:rPr>
          <w:rFonts w:ascii="Times New Roman" w:hAnsi="Times New Roman"/>
          <w:sz w:val="24"/>
        </w:rPr>
        <w:t xml:space="preserve">ompany’s service area. </w:t>
      </w:r>
      <w:r w:rsidR="00772B5A">
        <w:rPr>
          <w:rFonts w:ascii="Times New Roman" w:hAnsi="Times New Roman"/>
          <w:sz w:val="24"/>
        </w:rPr>
        <w:t>PSE</w:t>
      </w:r>
      <w:r w:rsidR="00D8206F">
        <w:rPr>
          <w:rFonts w:ascii="Times New Roman" w:hAnsi="Times New Roman"/>
          <w:sz w:val="24"/>
        </w:rPr>
        <w:t xml:space="preserve"> also forwarded </w:t>
      </w:r>
      <w:r w:rsidR="00772B5A">
        <w:rPr>
          <w:rFonts w:ascii="Times New Roman" w:hAnsi="Times New Roman"/>
          <w:sz w:val="24"/>
        </w:rPr>
        <w:t>the notice to</w:t>
      </w:r>
      <w:r w:rsidR="00D8206F">
        <w:rPr>
          <w:rFonts w:ascii="Times New Roman" w:hAnsi="Times New Roman"/>
          <w:sz w:val="24"/>
        </w:rPr>
        <w:t xml:space="preserve"> community action agencies and posted to </w:t>
      </w:r>
      <w:r w:rsidR="00772B5A">
        <w:rPr>
          <w:rFonts w:ascii="Times New Roman" w:hAnsi="Times New Roman"/>
          <w:sz w:val="24"/>
        </w:rPr>
        <w:t xml:space="preserve">its </w:t>
      </w:r>
      <w:r w:rsidR="00D8206F">
        <w:rPr>
          <w:rFonts w:ascii="Times New Roman" w:hAnsi="Times New Roman"/>
          <w:sz w:val="24"/>
        </w:rPr>
        <w:t xml:space="preserve">website. The </w:t>
      </w:r>
      <w:r w:rsidR="00380EAD">
        <w:rPr>
          <w:rFonts w:ascii="Times New Roman" w:hAnsi="Times New Roman"/>
          <w:sz w:val="24"/>
        </w:rPr>
        <w:t>c</w:t>
      </w:r>
      <w:r w:rsidR="00D8206F">
        <w:rPr>
          <w:rFonts w:ascii="Times New Roman" w:hAnsi="Times New Roman"/>
          <w:sz w:val="24"/>
        </w:rPr>
        <w:t>ommission did not receive any customer comments on this filing.</w:t>
      </w:r>
    </w:p>
    <w:p w:rsidR="00633FE5" w:rsidRPr="00FD0770" w:rsidRDefault="00633FE5" w:rsidP="00633FE5">
      <w:pPr>
        <w:rPr>
          <w:rFonts w:ascii="Times New Roman" w:hAnsi="Times New Roman"/>
          <w:sz w:val="24"/>
          <w:u w:val="single"/>
        </w:rPr>
      </w:pPr>
      <w:r w:rsidRPr="00FD0770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</w:t>
      </w:r>
      <w:r w:rsidRPr="00FD0770">
        <w:rPr>
          <w:rFonts w:ascii="Times New Roman" w:hAnsi="Times New Roman"/>
          <w:sz w:val="24"/>
          <w:u w:val="single"/>
          <w:bdr w:val="single" w:sz="4" w:space="0" w:color="auto"/>
        </w:rPr>
        <w:t xml:space="preserve">                       </w:t>
      </w:r>
      <w:r w:rsidRPr="00FD0770">
        <w:rPr>
          <w:rFonts w:ascii="Times New Roman" w:hAnsi="Times New Roman"/>
          <w:sz w:val="24"/>
          <w:u w:val="single"/>
        </w:rPr>
        <w:t xml:space="preserve">                              </w:t>
      </w: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 w:rsidRPr="00F559D3">
        <w:rPr>
          <w:rFonts w:ascii="Times New Roman" w:hAnsi="Times New Roman"/>
          <w:b/>
          <w:sz w:val="24"/>
          <w:u w:val="single"/>
        </w:rPr>
        <w:t>Conclusion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</w:t>
      </w:r>
      <w:r w:rsidR="00F1226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review</w:t>
      </w:r>
      <w:r w:rsidR="00F12260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PSE’s </w:t>
      </w:r>
      <w:r w:rsidR="00F12260">
        <w:rPr>
          <w:rFonts w:ascii="Times New Roman" w:hAnsi="Times New Roman"/>
          <w:sz w:val="24"/>
        </w:rPr>
        <w:t xml:space="preserve">PGA </w:t>
      </w:r>
      <w:r>
        <w:rPr>
          <w:rFonts w:ascii="Times New Roman" w:hAnsi="Times New Roman"/>
          <w:sz w:val="24"/>
        </w:rPr>
        <w:t>and deferr</w:t>
      </w:r>
      <w:r w:rsidR="00F12260">
        <w:rPr>
          <w:rFonts w:ascii="Times New Roman" w:hAnsi="Times New Roman"/>
          <w:sz w:val="24"/>
        </w:rPr>
        <w:t>ed gas cost</w:t>
      </w:r>
      <w:r>
        <w:rPr>
          <w:rFonts w:ascii="Times New Roman" w:hAnsi="Times New Roman"/>
          <w:sz w:val="24"/>
        </w:rPr>
        <w:t xml:space="preserve"> amortization filings </w:t>
      </w:r>
      <w:r w:rsidR="00F12260">
        <w:rPr>
          <w:rFonts w:ascii="Times New Roman" w:hAnsi="Times New Roman"/>
          <w:sz w:val="24"/>
        </w:rPr>
        <w:t xml:space="preserve">show </w:t>
      </w:r>
      <w:r>
        <w:rPr>
          <w:rFonts w:ascii="Times New Roman" w:hAnsi="Times New Roman"/>
          <w:sz w:val="24"/>
        </w:rPr>
        <w:t xml:space="preserve">them to be reasonable. Therefore, </w:t>
      </w:r>
      <w:r w:rsidR="00380EA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taff recommend</w:t>
      </w:r>
      <w:r w:rsidR="00F12260">
        <w:rPr>
          <w:rFonts w:ascii="Times New Roman" w:hAnsi="Times New Roman"/>
          <w:sz w:val="24"/>
        </w:rPr>
        <w:t xml:space="preserve">s the Commission take no action </w:t>
      </w:r>
      <w:r>
        <w:rPr>
          <w:rFonts w:ascii="Times New Roman" w:hAnsi="Times New Roman"/>
          <w:sz w:val="24"/>
        </w:rPr>
        <w:t>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in Dockets UG</w:t>
      </w:r>
      <w:r w:rsidR="00527D0C">
        <w:rPr>
          <w:rFonts w:ascii="Times New Roman" w:hAnsi="Times New Roman"/>
          <w:sz w:val="24"/>
        </w:rPr>
        <w:t>-</w:t>
      </w:r>
      <w:r w:rsidR="00527D0C" w:rsidRPr="00527D0C">
        <w:rPr>
          <w:rFonts w:ascii="Times New Roman" w:hAnsi="Times New Roman"/>
          <w:bCs/>
          <w:sz w:val="24"/>
        </w:rPr>
        <w:t>101642</w:t>
      </w:r>
      <w:r w:rsidR="00527D0C">
        <w:rPr>
          <w:rFonts w:ascii="Times New Roman" w:hAnsi="Times New Roman"/>
          <w:sz w:val="24"/>
        </w:rPr>
        <w:t xml:space="preserve"> </w:t>
      </w:r>
      <w:r w:rsidRPr="00FD0770">
        <w:rPr>
          <w:rFonts w:ascii="Times New Roman" w:hAnsi="Times New Roman"/>
          <w:sz w:val="24"/>
        </w:rPr>
        <w:t>and UG-</w:t>
      </w:r>
      <w:r w:rsidR="00527D0C">
        <w:rPr>
          <w:rFonts w:ascii="Times New Roman" w:hAnsi="Times New Roman"/>
          <w:bCs/>
          <w:sz w:val="24"/>
        </w:rPr>
        <w:t>101643</w:t>
      </w:r>
      <w:r w:rsidRPr="00FD0770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take effect</w:t>
      </w:r>
      <w:r w:rsidRPr="00FD0770">
        <w:rPr>
          <w:rFonts w:ascii="Times New Roman" w:hAnsi="Times New Roman"/>
          <w:sz w:val="24"/>
        </w:rPr>
        <w:t xml:space="preserve"> </w:t>
      </w:r>
      <w:r w:rsidR="008A6E77">
        <w:rPr>
          <w:rFonts w:ascii="Times New Roman" w:hAnsi="Times New Roman"/>
          <w:sz w:val="24"/>
        </w:rPr>
        <w:t>November</w:t>
      </w:r>
      <w:r w:rsidRPr="00FD0770">
        <w:rPr>
          <w:rFonts w:ascii="Times New Roman" w:hAnsi="Times New Roman"/>
          <w:sz w:val="24"/>
        </w:rPr>
        <w:t xml:space="preserve"> 1, 20</w:t>
      </w:r>
      <w:r w:rsidR="008A6E77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, by operation of law.</w:t>
      </w:r>
    </w:p>
    <w:p w:rsidR="002C039A" w:rsidRPr="00AD3312" w:rsidRDefault="002C039A" w:rsidP="00AD3312">
      <w:pPr>
        <w:rPr>
          <w:rFonts w:ascii="Times New Roman" w:hAnsi="Times New Roman"/>
          <w:sz w:val="24"/>
        </w:rPr>
      </w:pPr>
    </w:p>
    <w:sectPr w:rsidR="002C039A" w:rsidRPr="00AD3312" w:rsidSect="00446BE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60" w:rsidRDefault="00AB3160" w:rsidP="00446BE3">
      <w:r>
        <w:separator/>
      </w:r>
    </w:p>
  </w:endnote>
  <w:endnote w:type="continuationSeparator" w:id="0">
    <w:p w:rsidR="00AB3160" w:rsidRDefault="00AB3160" w:rsidP="0044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60" w:rsidRDefault="00AB3160" w:rsidP="00446BE3">
      <w:r>
        <w:separator/>
      </w:r>
    </w:p>
  </w:footnote>
  <w:footnote w:type="continuationSeparator" w:id="0">
    <w:p w:rsidR="00AB3160" w:rsidRDefault="00AB3160" w:rsidP="0044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E3" w:rsidRP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>Dockets UG-</w:t>
    </w:r>
    <w:r w:rsidR="00527D0C">
      <w:rPr>
        <w:rFonts w:ascii="Times New Roman" w:hAnsi="Times New Roman"/>
      </w:rPr>
      <w:t>101642</w:t>
    </w:r>
    <w:r w:rsidRPr="00446BE3">
      <w:rPr>
        <w:rFonts w:ascii="Times New Roman" w:hAnsi="Times New Roman"/>
      </w:rPr>
      <w:t xml:space="preserve"> and UG-</w:t>
    </w:r>
    <w:r w:rsidR="00527D0C">
      <w:rPr>
        <w:rFonts w:ascii="Times New Roman" w:hAnsi="Times New Roman"/>
      </w:rPr>
      <w:t>101643</w:t>
    </w:r>
  </w:p>
  <w:p w:rsidR="00446BE3" w:rsidRPr="00446BE3" w:rsidRDefault="00A7755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October 28, 2010</w:t>
    </w:r>
  </w:p>
  <w:p w:rsid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 xml:space="preserve">Page </w:t>
    </w:r>
    <w:r w:rsidR="00865C7F" w:rsidRPr="00446BE3">
      <w:rPr>
        <w:rFonts w:ascii="Times New Roman" w:hAnsi="Times New Roman"/>
      </w:rPr>
      <w:fldChar w:fldCharType="begin"/>
    </w:r>
    <w:r w:rsidRPr="00446BE3">
      <w:rPr>
        <w:rFonts w:ascii="Times New Roman" w:hAnsi="Times New Roman"/>
      </w:rPr>
      <w:instrText xml:space="preserve"> PAGE   \* MERGEFORMAT </w:instrText>
    </w:r>
    <w:r w:rsidR="00865C7F" w:rsidRPr="00446BE3">
      <w:rPr>
        <w:rFonts w:ascii="Times New Roman" w:hAnsi="Times New Roman"/>
      </w:rPr>
      <w:fldChar w:fldCharType="separate"/>
    </w:r>
    <w:r w:rsidR="00057EA0">
      <w:rPr>
        <w:rFonts w:ascii="Times New Roman" w:hAnsi="Times New Roman"/>
        <w:noProof/>
      </w:rPr>
      <w:t>3</w:t>
    </w:r>
    <w:r w:rsidR="00865C7F" w:rsidRPr="00446BE3">
      <w:rPr>
        <w:rFonts w:ascii="Times New Roman" w:hAnsi="Times New Roman"/>
      </w:rPr>
      <w:fldChar w:fldCharType="end"/>
    </w:r>
  </w:p>
  <w:p w:rsidR="00687B64" w:rsidRDefault="00687B64">
    <w:pPr>
      <w:pStyle w:val="Header"/>
      <w:rPr>
        <w:rFonts w:ascii="Times New Roman" w:hAnsi="Times New Roman"/>
      </w:rPr>
    </w:pPr>
  </w:p>
  <w:p w:rsidR="00066E1D" w:rsidRPr="00446BE3" w:rsidRDefault="00066E1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633FE5"/>
    <w:rsid w:val="00057EA0"/>
    <w:rsid w:val="00066E1D"/>
    <w:rsid w:val="000779A9"/>
    <w:rsid w:val="000A3A72"/>
    <w:rsid w:val="000E640C"/>
    <w:rsid w:val="00117B59"/>
    <w:rsid w:val="00156C69"/>
    <w:rsid w:val="00164376"/>
    <w:rsid w:val="00177632"/>
    <w:rsid w:val="00194A3D"/>
    <w:rsid w:val="001A6FE3"/>
    <w:rsid w:val="001C5AB1"/>
    <w:rsid w:val="001D79D8"/>
    <w:rsid w:val="00243FF5"/>
    <w:rsid w:val="00290FB9"/>
    <w:rsid w:val="002C039A"/>
    <w:rsid w:val="002D433E"/>
    <w:rsid w:val="00372469"/>
    <w:rsid w:val="00373110"/>
    <w:rsid w:val="00380EAD"/>
    <w:rsid w:val="003C7604"/>
    <w:rsid w:val="003D0731"/>
    <w:rsid w:val="003D3006"/>
    <w:rsid w:val="003E10AA"/>
    <w:rsid w:val="003E328C"/>
    <w:rsid w:val="003F35C6"/>
    <w:rsid w:val="00437E98"/>
    <w:rsid w:val="00446BE3"/>
    <w:rsid w:val="0047045A"/>
    <w:rsid w:val="004936EB"/>
    <w:rsid w:val="00497895"/>
    <w:rsid w:val="004A466B"/>
    <w:rsid w:val="00511448"/>
    <w:rsid w:val="00527D0C"/>
    <w:rsid w:val="005304A4"/>
    <w:rsid w:val="00537B5F"/>
    <w:rsid w:val="00544395"/>
    <w:rsid w:val="00552600"/>
    <w:rsid w:val="00593F87"/>
    <w:rsid w:val="005A6C74"/>
    <w:rsid w:val="005C1FF7"/>
    <w:rsid w:val="005F4DF5"/>
    <w:rsid w:val="006169C1"/>
    <w:rsid w:val="0063230B"/>
    <w:rsid w:val="00633FE5"/>
    <w:rsid w:val="006415D5"/>
    <w:rsid w:val="00672F7B"/>
    <w:rsid w:val="00687B64"/>
    <w:rsid w:val="006A41EE"/>
    <w:rsid w:val="006C2E3A"/>
    <w:rsid w:val="006D6651"/>
    <w:rsid w:val="006E1137"/>
    <w:rsid w:val="006E2AF0"/>
    <w:rsid w:val="007013C1"/>
    <w:rsid w:val="00731AF5"/>
    <w:rsid w:val="00772B5A"/>
    <w:rsid w:val="007842F2"/>
    <w:rsid w:val="007A2709"/>
    <w:rsid w:val="0080254B"/>
    <w:rsid w:val="00806375"/>
    <w:rsid w:val="00835F23"/>
    <w:rsid w:val="008650F8"/>
    <w:rsid w:val="00865C7F"/>
    <w:rsid w:val="00881976"/>
    <w:rsid w:val="0089773C"/>
    <w:rsid w:val="008A6E77"/>
    <w:rsid w:val="008B2CED"/>
    <w:rsid w:val="008E7EF1"/>
    <w:rsid w:val="00941DEC"/>
    <w:rsid w:val="00953B32"/>
    <w:rsid w:val="009C405D"/>
    <w:rsid w:val="009D3328"/>
    <w:rsid w:val="00A05DF7"/>
    <w:rsid w:val="00A106C0"/>
    <w:rsid w:val="00A219C9"/>
    <w:rsid w:val="00A30587"/>
    <w:rsid w:val="00A33C31"/>
    <w:rsid w:val="00A41805"/>
    <w:rsid w:val="00A6374E"/>
    <w:rsid w:val="00A77552"/>
    <w:rsid w:val="00A84C2A"/>
    <w:rsid w:val="00AB0E66"/>
    <w:rsid w:val="00AB3160"/>
    <w:rsid w:val="00AD3312"/>
    <w:rsid w:val="00B02767"/>
    <w:rsid w:val="00B1167C"/>
    <w:rsid w:val="00B13041"/>
    <w:rsid w:val="00B205F9"/>
    <w:rsid w:val="00B25220"/>
    <w:rsid w:val="00B7730B"/>
    <w:rsid w:val="00BA283A"/>
    <w:rsid w:val="00BB2F89"/>
    <w:rsid w:val="00BC030F"/>
    <w:rsid w:val="00BD7BB1"/>
    <w:rsid w:val="00BE5DA3"/>
    <w:rsid w:val="00C32170"/>
    <w:rsid w:val="00C93991"/>
    <w:rsid w:val="00CA35A6"/>
    <w:rsid w:val="00CD29F3"/>
    <w:rsid w:val="00CD34D2"/>
    <w:rsid w:val="00D104E1"/>
    <w:rsid w:val="00D315CF"/>
    <w:rsid w:val="00D6438C"/>
    <w:rsid w:val="00D75700"/>
    <w:rsid w:val="00D8206F"/>
    <w:rsid w:val="00DA1B86"/>
    <w:rsid w:val="00DB48A9"/>
    <w:rsid w:val="00DD2A47"/>
    <w:rsid w:val="00E009B6"/>
    <w:rsid w:val="00E2042D"/>
    <w:rsid w:val="00E42EAC"/>
    <w:rsid w:val="00EB108F"/>
    <w:rsid w:val="00EC12A3"/>
    <w:rsid w:val="00EE547B"/>
    <w:rsid w:val="00EF1488"/>
    <w:rsid w:val="00F12260"/>
    <w:rsid w:val="00F13195"/>
    <w:rsid w:val="00F21B68"/>
    <w:rsid w:val="00F44145"/>
    <w:rsid w:val="00F578AF"/>
    <w:rsid w:val="00F6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b/>
      <w:bCs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AE58134C227E4B8C1DE868EFBFF960" ma:contentTypeVersion="131" ma:contentTypeDescription="" ma:contentTypeScope="" ma:versionID="3b5b7be64a8428c8726f56cce511c3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2010-10-01T07:00:00+00:00</OpenedDate>
    <Date1 xmlns="dc463f71-b30c-4ab2-9473-d307f9d35888">2010-10-28T07:00:00+00:00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101642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91BA2-530C-40E9-B7AA-67926C96A116}"/>
</file>

<file path=customXml/itemProps2.xml><?xml version="1.0" encoding="utf-8"?>
<ds:datastoreItem xmlns:ds="http://schemas.openxmlformats.org/officeDocument/2006/customXml" ds:itemID="{CBD724AC-7118-4E17-B235-E114C62C7F19}"/>
</file>

<file path=customXml/itemProps3.xml><?xml version="1.0" encoding="utf-8"?>
<ds:datastoreItem xmlns:ds="http://schemas.openxmlformats.org/officeDocument/2006/customXml" ds:itemID="{6E1D5F1F-93CD-4653-8574-523D2A3F0803}"/>
</file>

<file path=customXml/itemProps4.xml><?xml version="1.0" encoding="utf-8"?>
<ds:datastoreItem xmlns:ds="http://schemas.openxmlformats.org/officeDocument/2006/customXml" ds:itemID="{2988AEC5-3A03-4D83-8157-003BA39650CB}"/>
</file>

<file path=customXml/itemProps5.xml><?xml version="1.0" encoding="utf-8"?>
<ds:datastoreItem xmlns:ds="http://schemas.openxmlformats.org/officeDocument/2006/customXml" ds:itemID="{C74B479A-D8DE-4E5E-9568-CA5BF16B2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Foisy</dc:creator>
  <cp:keywords/>
  <dc:description/>
  <cp:lastModifiedBy>Lisa Wyse, Records Manager</cp:lastModifiedBy>
  <cp:revision>2</cp:revision>
  <cp:lastPrinted>2010-10-25T17:48:00Z</cp:lastPrinted>
  <dcterms:created xsi:type="dcterms:W3CDTF">2010-10-25T22:02:00Z</dcterms:created>
  <dcterms:modified xsi:type="dcterms:W3CDTF">2010-10-25T22:02:00Z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0x0101006E56B4D1795A2E4DB2F0B01679ED314A00A1AE58134C227E4B8C1DE868EFBFF960</vt:lpwstr>
  </property>
  <property fmtid="{D5CDD505-2E9C-101B-9397-08002B2CF9AE}" pid="3" name="_docset_NoMedatataSyncRequired">
    <vt:lpwstr>False</vt:lpwstr>
  </property>
</Properties>
</file>