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91" w:rsidRPr="00AE2E5E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AE2E5E">
            <w:rPr>
              <w:rFonts w:ascii="Arial" w:hAnsi="Arial" w:cs="Arial"/>
              <w:sz w:val="18"/>
            </w:rPr>
            <w:t>1600</w:t>
          </w:r>
          <w:r w:rsidR="00374108" w:rsidRPr="00AE2E5E">
            <w:rPr>
              <w:rFonts w:ascii="Arial" w:hAnsi="Arial" w:cs="Arial"/>
              <w:sz w:val="18"/>
            </w:rPr>
            <w:t xml:space="preserve"> </w:t>
          </w:r>
          <w:r w:rsidRPr="00AE2E5E">
            <w:rPr>
              <w:rFonts w:ascii="Arial" w:hAnsi="Arial" w:cs="Arial"/>
              <w:sz w:val="18"/>
            </w:rPr>
            <w:t>127</w:t>
          </w:r>
          <w:r w:rsidRPr="00AE2E5E">
            <w:rPr>
              <w:rFonts w:ascii="Arial" w:hAnsi="Arial" w:cs="Arial"/>
              <w:sz w:val="18"/>
              <w:vertAlign w:val="superscript"/>
            </w:rPr>
            <w:t>th</w:t>
          </w:r>
          <w:r w:rsidRPr="00AE2E5E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AE2E5E">
            <w:rPr>
              <w:rFonts w:ascii="Arial" w:hAnsi="Arial" w:cs="Arial"/>
              <w:sz w:val="18"/>
            </w:rPr>
            <w:t>Bellevue</w:t>
          </w:r>
        </w:smartTag>
        <w:r w:rsidRPr="00AE2E5E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AE2E5E">
            <w:rPr>
              <w:rFonts w:ascii="Arial" w:hAnsi="Arial" w:cs="Arial"/>
              <w:sz w:val="18"/>
            </w:rPr>
            <w:t>WA</w:t>
          </w:r>
        </w:smartTag>
        <w:r w:rsidRPr="00AE2E5E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AE2E5E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AE2E5E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2609F1" w:rsidRPr="00374108">
        <w:rPr>
          <w:rFonts w:ascii="Arial" w:hAnsi="Arial" w:cs="Arial"/>
        </w:rPr>
        <w:t xml:space="preserve"> 1, 2010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Allied Waste of </w:t>
      </w:r>
      <w:r w:rsidR="00F670A6">
        <w:rPr>
          <w:rFonts w:ascii="Arial" w:hAnsi="Arial" w:cs="Arial"/>
        </w:rPr>
        <w:t>Lynnwood</w:t>
      </w:r>
      <w:r w:rsidRPr="00374108">
        <w:rPr>
          <w:rFonts w:ascii="Arial" w:hAnsi="Arial" w:cs="Arial"/>
        </w:rPr>
        <w:t xml:space="preserve"> areas of </w:t>
      </w:r>
      <w:smartTag w:uri="urn:schemas-microsoft-com:office:smarttags" w:element="place">
        <w:smartTag w:uri="urn:schemas-microsoft-com:office:smarttags" w:element="PlaceName">
          <w:r w:rsidR="00F670A6">
            <w:rPr>
              <w:rFonts w:ascii="Arial" w:hAnsi="Arial" w:cs="Arial"/>
            </w:rPr>
            <w:t>Snohomish</w:t>
          </w:r>
        </w:smartTag>
        <w:r w:rsidRPr="0037410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374108">
            <w:rPr>
              <w:rFonts w:ascii="Arial" w:hAnsi="Arial" w:cs="Arial"/>
            </w:rPr>
            <w:t>County</w:t>
          </w:r>
        </w:smartTag>
      </w:smartTag>
      <w:r w:rsidRPr="00374108">
        <w:rPr>
          <w:rFonts w:ascii="Arial" w:hAnsi="Arial" w:cs="Arial"/>
        </w:rPr>
        <w:t xml:space="preserve">.  Should the Washington Utilities and Transportation Commission (Commission) approve our request customers will experience </w:t>
      </w:r>
      <w:r w:rsidR="00F670A6">
        <w:rPr>
          <w:rFonts w:ascii="Arial" w:hAnsi="Arial" w:cs="Arial"/>
        </w:rPr>
        <w:t>adjustments to all services provided by Allied Waste as outlined in the table below</w:t>
      </w:r>
      <w:r w:rsidRPr="00374108">
        <w:rPr>
          <w:rFonts w:ascii="Arial" w:hAnsi="Arial" w:cs="Arial"/>
        </w:rPr>
        <w:t xml:space="preserve">.  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F67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four years since our last general rate case. In that time Allied Waste of Lynnwood has experienced increases </w:t>
      </w:r>
      <w:r w:rsidR="00AE2E5E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all of the costs </w:t>
      </w:r>
      <w:r w:rsidR="00AE2E5E">
        <w:rPr>
          <w:rFonts w:ascii="Arial" w:hAnsi="Arial" w:cs="Arial"/>
        </w:rPr>
        <w:t>key to</w:t>
      </w:r>
      <w:r>
        <w:rPr>
          <w:rFonts w:ascii="Arial" w:hAnsi="Arial" w:cs="Arial"/>
        </w:rPr>
        <w:t xml:space="preserve"> delivering our services; including labor, fuel and maintenance costs.</w:t>
      </w:r>
      <w:r w:rsidR="000D6091" w:rsidRPr="00374108">
        <w:rPr>
          <w:rFonts w:ascii="Arial" w:hAnsi="Arial" w:cs="Arial"/>
        </w:rPr>
        <w:t xml:space="preserve"> </w:t>
      </w:r>
      <w:r w:rsidR="000D6091" w:rsidRPr="00374108">
        <w:rPr>
          <w:rFonts w:ascii="Arial" w:hAnsi="Arial" w:cs="Arial"/>
          <w:b/>
          <w:bCs/>
        </w:rPr>
        <w:t xml:space="preserve">If approved, the proposed rates will become effective </w:t>
      </w:r>
      <w:r>
        <w:rPr>
          <w:rFonts w:ascii="Arial" w:hAnsi="Arial" w:cs="Arial"/>
          <w:b/>
          <w:bCs/>
        </w:rPr>
        <w:t>July</w:t>
      </w:r>
      <w:r w:rsidR="002609F1" w:rsidRPr="00374108">
        <w:rPr>
          <w:rFonts w:ascii="Arial" w:hAnsi="Arial" w:cs="Arial"/>
          <w:b/>
          <w:bCs/>
        </w:rPr>
        <w:t xml:space="preserve"> 1</w:t>
      </w:r>
      <w:r w:rsidR="000D6091" w:rsidRPr="00374108">
        <w:rPr>
          <w:rFonts w:ascii="Arial" w:hAnsi="Arial" w:cs="Arial"/>
          <w:b/>
          <w:bCs/>
        </w:rPr>
        <w:t>, 20</w:t>
      </w:r>
      <w:r w:rsidR="002609F1" w:rsidRPr="00374108">
        <w:rPr>
          <w:rFonts w:ascii="Arial" w:hAnsi="Arial" w:cs="Arial"/>
          <w:b/>
          <w:bCs/>
        </w:rPr>
        <w:t>10</w:t>
      </w:r>
      <w:r w:rsidR="000D6091" w:rsidRPr="00374108">
        <w:rPr>
          <w:rFonts w:ascii="Arial" w:hAnsi="Arial" w:cs="Arial"/>
        </w:rPr>
        <w:t>.</w:t>
      </w:r>
    </w:p>
    <w:p w:rsidR="000D6091" w:rsidRPr="00374108" w:rsidRDefault="000D6091">
      <w:pPr>
        <w:rPr>
          <w:rFonts w:ascii="Arial" w:hAnsi="Arial" w:cs="Arial"/>
        </w:rPr>
      </w:pPr>
    </w:p>
    <w:tbl>
      <w:tblPr>
        <w:tblW w:w="9577" w:type="dxa"/>
        <w:tblLook w:val="01E0"/>
      </w:tblPr>
      <w:tblGrid>
        <w:gridCol w:w="2690"/>
        <w:gridCol w:w="1380"/>
        <w:gridCol w:w="1769"/>
        <w:gridCol w:w="1770"/>
        <w:gridCol w:w="984"/>
        <w:gridCol w:w="984"/>
      </w:tblGrid>
      <w:tr w:rsidR="009D34D5" w:rsidRPr="00374108" w:rsidTr="00AE2E5E">
        <w:trPr>
          <w:trHeight w:val="648"/>
        </w:trPr>
        <w:tc>
          <w:tcPr>
            <w:tcW w:w="0" w:type="auto"/>
            <w:vAlign w:val="center"/>
          </w:tcPr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9D34D5" w:rsidRPr="009D34D5" w:rsidRDefault="009D34D5" w:rsidP="009D34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380" w:type="dxa"/>
            <w:vAlign w:val="center"/>
          </w:tcPr>
          <w:p w:rsidR="009D34D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1584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769" w:type="dxa"/>
            <w:vAlign w:val="center"/>
          </w:tcPr>
          <w:p w:rsidR="009D34D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15845" w:rsidRDefault="009D34D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1770" w:type="dxa"/>
            <w:vAlign w:val="center"/>
          </w:tcPr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15845" w:rsidRDefault="00B15845" w:rsidP="009D3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9D34D5">
              <w:rPr>
                <w:rFonts w:ascii="Arial" w:hAnsi="Arial" w:cs="Arial"/>
              </w:rPr>
              <w:t xml:space="preserve"> Ra</w:t>
            </w:r>
            <w:r>
              <w:rPr>
                <w:rFonts w:ascii="Arial" w:hAnsi="Arial" w:cs="Arial"/>
              </w:rPr>
              <w:t>te</w:t>
            </w:r>
          </w:p>
        </w:tc>
        <w:tc>
          <w:tcPr>
            <w:tcW w:w="0" w:type="auto"/>
            <w:vAlign w:val="center"/>
          </w:tcPr>
          <w:p w:rsidR="00B1584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9D34D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($)</w:t>
            </w:r>
          </w:p>
        </w:tc>
        <w:tc>
          <w:tcPr>
            <w:tcW w:w="0" w:type="auto"/>
            <w:vAlign w:val="center"/>
          </w:tcPr>
          <w:p w:rsidR="009D34D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B15845" w:rsidRPr="00AE2E5E" w:rsidRDefault="009D34D5" w:rsidP="009D34D5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(%)</w:t>
            </w: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Mini Can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$11.94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$12.38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$0.44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3.7%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Can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$16.23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$16.73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3.1%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Cans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$23.28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$23.87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$0.59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2.5%</w:t>
            </w: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Cart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$16.23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$16.73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3.1%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Gal Cart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$22.43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$23.01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$0.58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2.6%</w:t>
            </w: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  <w:tcBorders>
              <w:bottom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Gal Cart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$32.57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$33.28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$0.71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2.2%</w:t>
            </w:r>
          </w:p>
        </w:tc>
      </w:tr>
      <w:tr w:rsidR="00FA2B06" w:rsidRPr="00374108" w:rsidTr="00FA2B06">
        <w:trPr>
          <w:trHeight w:val="188"/>
        </w:trPr>
        <w:tc>
          <w:tcPr>
            <w:tcW w:w="0" w:type="auto"/>
            <w:tcBorders>
              <w:top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A2B06" w:rsidRPr="00374108" w:rsidTr="00FA2B06">
        <w:trPr>
          <w:trHeight w:val="245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Recycle Only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EOW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$7.48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$7.85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$0.37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4.9%</w:t>
            </w:r>
          </w:p>
        </w:tc>
      </w:tr>
      <w:tr w:rsidR="00FA2B06" w:rsidRPr="00374108" w:rsidTr="00FA2B06">
        <w:trPr>
          <w:trHeight w:val="1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A2B06" w:rsidRPr="00374108" w:rsidTr="00FA2B06">
        <w:trPr>
          <w:trHeight w:val="262"/>
        </w:trPr>
        <w:tc>
          <w:tcPr>
            <w:tcW w:w="0" w:type="auto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Yardwaste Only</w:t>
            </w:r>
          </w:p>
        </w:tc>
        <w:tc>
          <w:tcPr>
            <w:tcW w:w="1380" w:type="dxa"/>
          </w:tcPr>
          <w:p w:rsidR="00FA2B06" w:rsidRDefault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EOW</w:t>
            </w:r>
          </w:p>
        </w:tc>
        <w:tc>
          <w:tcPr>
            <w:tcW w:w="1769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$8.04</w:t>
            </w:r>
          </w:p>
        </w:tc>
        <w:tc>
          <w:tcPr>
            <w:tcW w:w="1770" w:type="dxa"/>
            <w:vAlign w:val="center"/>
          </w:tcPr>
          <w:p w:rsidR="00FA2B06" w:rsidRDefault="00FA2B06" w:rsidP="00FA2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$9.60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$1.56 </w:t>
            </w:r>
          </w:p>
        </w:tc>
        <w:tc>
          <w:tcPr>
            <w:tcW w:w="0" w:type="auto"/>
            <w:vAlign w:val="center"/>
          </w:tcPr>
          <w:p w:rsidR="00FA2B06" w:rsidRDefault="00FA2B06" w:rsidP="00FA2B06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19.4%</w:t>
            </w:r>
          </w:p>
        </w:tc>
      </w:tr>
    </w:tbl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 w:rsidP="00374108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 0</w:t>
      </w:r>
      <w:r w:rsidR="00FA2B06">
        <w:rPr>
          <w:rFonts w:ascii="Arial" w:hAnsi="Arial" w:cs="Arial"/>
        </w:rPr>
        <w:t>.0</w:t>
      </w:r>
      <w:r w:rsidRPr="00374108">
        <w:rPr>
          <w:rFonts w:ascii="Arial" w:hAnsi="Arial" w:cs="Arial"/>
        </w:rPr>
        <w:t xml:space="preserve">% to </w:t>
      </w:r>
      <w:r w:rsidR="00FA2B06">
        <w:rPr>
          <w:rFonts w:ascii="Arial" w:hAnsi="Arial" w:cs="Arial"/>
        </w:rPr>
        <w:t>19.4</w:t>
      </w:r>
      <w:r w:rsidRPr="00374108">
        <w:rPr>
          <w:rFonts w:ascii="Arial" w:hAnsi="Arial" w:cs="Arial"/>
        </w:rPr>
        <w:t xml:space="preserve">% and not all residential services are listed above. </w:t>
      </w:r>
      <w:r w:rsidR="006B5CF8">
        <w:rPr>
          <w:rFonts w:ascii="Arial" w:hAnsi="Arial" w:cs="Arial"/>
        </w:rPr>
        <w:t>Most customers will experience increases between 2</w:t>
      </w:r>
      <w:r w:rsidR="006A3FD5">
        <w:rPr>
          <w:rFonts w:ascii="Arial" w:hAnsi="Arial" w:cs="Arial"/>
        </w:rPr>
        <w:t>.1</w:t>
      </w:r>
      <w:r w:rsidR="006B5CF8">
        <w:rPr>
          <w:rFonts w:ascii="Arial" w:hAnsi="Arial" w:cs="Arial"/>
        </w:rPr>
        <w:t xml:space="preserve">% and </w:t>
      </w:r>
      <w:r w:rsidR="006A3FD5">
        <w:rPr>
          <w:rFonts w:ascii="Arial" w:hAnsi="Arial" w:cs="Arial"/>
        </w:rPr>
        <w:t>8.</w:t>
      </w:r>
      <w:r w:rsidR="00FA2B06">
        <w:rPr>
          <w:rFonts w:ascii="Arial" w:hAnsi="Arial" w:cs="Arial"/>
        </w:rPr>
        <w:t>8</w:t>
      </w:r>
      <w:r w:rsidR="006B5CF8">
        <w:rPr>
          <w:rFonts w:ascii="Arial" w:hAnsi="Arial" w:cs="Arial"/>
        </w:rPr>
        <w:t>%.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If you have questions about the proposed rate increase you may contact the company at </w:t>
      </w:r>
      <w:r w:rsidR="00510D0B">
        <w:rPr>
          <w:rFonts w:ascii="Arial" w:hAnsi="Arial" w:cs="Arial"/>
        </w:rPr>
        <w:t>(800) 942-5965</w:t>
      </w:r>
      <w:r w:rsidRPr="00374108">
        <w:rPr>
          <w:rFonts w:ascii="Arial" w:hAnsi="Arial" w:cs="Arial"/>
        </w:rPr>
        <w:t>.</w:t>
      </w:r>
    </w:p>
    <w:p w:rsidR="000D6091" w:rsidRPr="00374108" w:rsidRDefault="000D6091">
      <w:pPr>
        <w:rPr>
          <w:rFonts w:ascii="Arial" w:hAnsi="Arial" w:cs="Arial"/>
        </w:rPr>
      </w:pPr>
    </w:p>
    <w:p w:rsidR="002B5C56" w:rsidRPr="002B5C56" w:rsidRDefault="002B5C56" w:rsidP="002B5C56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may vary from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2B5C56">
            <w:rPr>
              <w:rFonts w:ascii="Arial" w:hAnsi="Arial" w:cs="Arial"/>
              <w:szCs w:val="24"/>
            </w:rPr>
            <w:t>Olympia</w:t>
          </w:r>
        </w:smartTag>
      </w:smartTag>
      <w:r w:rsidRPr="002B5C56">
        <w:rPr>
          <w:rFonts w:ascii="Arial" w:hAnsi="Arial" w:cs="Arial"/>
          <w:szCs w:val="24"/>
        </w:rPr>
        <w:t xml:space="preserve">, which is scheduled for 9:30 a.m. on </w:t>
      </w:r>
      <w:r w:rsidR="00510D0B">
        <w:rPr>
          <w:rFonts w:ascii="Arial" w:hAnsi="Arial" w:cs="Arial"/>
          <w:szCs w:val="24"/>
        </w:rPr>
        <w:t>June 24, 2010</w:t>
      </w:r>
      <w:r w:rsidRPr="002B5C56">
        <w:rPr>
          <w:rFonts w:ascii="Arial" w:hAnsi="Arial" w:cs="Arial"/>
          <w:szCs w:val="24"/>
        </w:rPr>
        <w:t xml:space="preserve">.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6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B5C56" w:rsidRPr="002B5C56" w:rsidRDefault="002B5C56" w:rsidP="002B5C56">
      <w:pPr>
        <w:rPr>
          <w:rFonts w:ascii="Arial" w:hAnsi="Arial" w:cs="Arial"/>
          <w:szCs w:val="24"/>
        </w:rPr>
      </w:pPr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B5C56" w:rsidRPr="002B5C56" w:rsidRDefault="002B5C56" w:rsidP="002B5C56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B5C56" w:rsidRPr="002B5C56" w:rsidRDefault="002B5C56" w:rsidP="002B5C56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7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B5C56" w:rsidRPr="002B5C56" w:rsidRDefault="002B5C56" w:rsidP="002B5C56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0D6091" w:rsidRPr="00374108" w:rsidRDefault="000D6091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0D6091" w:rsidRPr="00374108" w:rsidRDefault="000D6091">
      <w:pPr>
        <w:ind w:firstLine="720"/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Allied Waste of </w:t>
      </w:r>
      <w:smartTag w:uri="urn:schemas-microsoft-com:office:smarttags" w:element="City">
        <w:smartTag w:uri="urn:schemas-microsoft-com:office:smarttags" w:element="place">
          <w:r w:rsidR="00AE2E5E">
            <w:rPr>
              <w:rFonts w:ascii="Arial" w:hAnsi="Arial" w:cs="Arial"/>
            </w:rPr>
            <w:t>Lynnwood</w:t>
          </w:r>
        </w:smartTag>
      </w:smartTag>
    </w:p>
    <w:sectPr w:rsidR="000D6091" w:rsidRPr="00374108" w:rsidSect="00AE2E5E">
      <w:head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04" w:rsidRDefault="00273A04" w:rsidP="002B1D5E">
      <w:r>
        <w:separator/>
      </w:r>
    </w:p>
  </w:endnote>
  <w:endnote w:type="continuationSeparator" w:id="0">
    <w:p w:rsidR="00273A04" w:rsidRDefault="00273A04" w:rsidP="002B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04" w:rsidRDefault="00273A04" w:rsidP="002B1D5E">
      <w:r>
        <w:separator/>
      </w:r>
    </w:p>
  </w:footnote>
  <w:footnote w:type="continuationSeparator" w:id="0">
    <w:p w:rsidR="00273A04" w:rsidRDefault="00273A04" w:rsidP="002B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D5" w:rsidRDefault="00594422" w:rsidP="00374108">
    <w:pPr>
      <w:pStyle w:val="Header"/>
      <w:ind w:left="-360"/>
    </w:pPr>
    <w:r>
      <w:rPr>
        <w:noProof/>
      </w:rPr>
      <w:drawing>
        <wp:inline distT="0" distB="0" distL="0" distR="0">
          <wp:extent cx="1668780" cy="853440"/>
          <wp:effectExtent l="19050" t="0" r="762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9F1"/>
    <w:rsid w:val="00010E8D"/>
    <w:rsid w:val="000D6091"/>
    <w:rsid w:val="001421C3"/>
    <w:rsid w:val="0021479F"/>
    <w:rsid w:val="002336D8"/>
    <w:rsid w:val="002609F1"/>
    <w:rsid w:val="00273A04"/>
    <w:rsid w:val="002B143E"/>
    <w:rsid w:val="002B1D5E"/>
    <w:rsid w:val="002B5C56"/>
    <w:rsid w:val="00324609"/>
    <w:rsid w:val="00374108"/>
    <w:rsid w:val="0039675A"/>
    <w:rsid w:val="003B7479"/>
    <w:rsid w:val="004F697F"/>
    <w:rsid w:val="00510D0B"/>
    <w:rsid w:val="0054405A"/>
    <w:rsid w:val="00594422"/>
    <w:rsid w:val="00655A5B"/>
    <w:rsid w:val="006A3FD5"/>
    <w:rsid w:val="006B5CF8"/>
    <w:rsid w:val="006F1E20"/>
    <w:rsid w:val="008924C7"/>
    <w:rsid w:val="00924795"/>
    <w:rsid w:val="0093110F"/>
    <w:rsid w:val="009A67B9"/>
    <w:rsid w:val="009D34D5"/>
    <w:rsid w:val="00A03253"/>
    <w:rsid w:val="00A23B85"/>
    <w:rsid w:val="00A66783"/>
    <w:rsid w:val="00AE2E5E"/>
    <w:rsid w:val="00B15845"/>
    <w:rsid w:val="00B2428F"/>
    <w:rsid w:val="00BC49E4"/>
    <w:rsid w:val="00C16776"/>
    <w:rsid w:val="00C44F2A"/>
    <w:rsid w:val="00DE3832"/>
    <w:rsid w:val="00E24F95"/>
    <w:rsid w:val="00F62A62"/>
    <w:rsid w:val="00F670A6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9E4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49E4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B5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C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B5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C56"/>
  </w:style>
  <w:style w:type="character" w:customStyle="1" w:styleId="CommentTextChar">
    <w:name w:val="Comment Text Char"/>
    <w:basedOn w:val="DefaultParagraphFont"/>
    <w:link w:val="CommentText"/>
    <w:rsid w:val="002B5C56"/>
  </w:style>
  <w:style w:type="paragraph" w:styleId="CommentSubject">
    <w:name w:val="annotation subject"/>
    <w:basedOn w:val="CommentText"/>
    <w:next w:val="CommentText"/>
    <w:link w:val="CommentSubjectChar"/>
    <w:rsid w:val="002B5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omments@utc.wa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c.wa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2010-05-05T07:00:00+00:00</OpenedDate>
    <Date1 xmlns="dc463f71-b30c-4ab2-9473-d307f9d35888">2010-05-05T07:00:00+00:00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100774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97B29820231649B36AD0438F1A1964" ma:contentTypeVersion="131" ma:contentTypeDescription="" ma:contentTypeScope="" ma:versionID="7284231135c0062ec83432dab2437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A51D44-923C-46E2-96E3-2789C795AB75}"/>
</file>

<file path=customXml/itemProps2.xml><?xml version="1.0" encoding="utf-8"?>
<ds:datastoreItem xmlns:ds="http://schemas.openxmlformats.org/officeDocument/2006/customXml" ds:itemID="{E73E5276-49BF-4785-ABDC-92FCE5BDCE3D}"/>
</file>

<file path=customXml/itemProps3.xml><?xml version="1.0" encoding="utf-8"?>
<ds:datastoreItem xmlns:ds="http://schemas.openxmlformats.org/officeDocument/2006/customXml" ds:itemID="{C68F7A56-3D05-42E7-9C74-E0F11A93D04F}"/>
</file>

<file path=customXml/itemProps4.xml><?xml version="1.0" encoding="utf-8"?>
<ds:datastoreItem xmlns:ds="http://schemas.openxmlformats.org/officeDocument/2006/customXml" ds:itemID="{3983EF03-7DC5-4BCC-9A50-EF57917E9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2678</CharactersWithSpaces>
  <SharedDoc>false</SharedDoc>
  <HLinks>
    <vt:vector size="30" baseType="variant">
      <vt:variant>
        <vt:i4>1507445</vt:i4>
      </vt:variant>
      <vt:variant>
        <vt:i4>12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Catherine Hudspeth</cp:lastModifiedBy>
  <cp:revision>2</cp:revision>
  <cp:lastPrinted>2010-04-30T17:37:00Z</cp:lastPrinted>
  <dcterms:created xsi:type="dcterms:W3CDTF">2010-05-06T21:33:00Z</dcterms:created>
  <dcterms:modified xsi:type="dcterms:W3CDTF">2010-05-06T21:33:00Z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0x0101006E56B4D1795A2E4DB2F0B01679ED314A009C97B29820231649B36AD0438F1A1964</vt:lpwstr>
  </property>
  <property fmtid="{D5CDD505-2E9C-101B-9397-08002B2CF9AE}" pid="3" name="_docset_NoMedatataSyncRequired">
    <vt:lpwstr>False</vt:lpwstr>
  </property>
</Properties>
</file>