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B6497" w14:textId="77777777" w:rsidR="00F100B0" w:rsidRPr="004A2910" w:rsidRDefault="00F100B0" w:rsidP="009F67A5">
      <w:pPr>
        <w:tabs>
          <w:tab w:val="center" w:pos="4680"/>
        </w:tabs>
        <w:ind w:right="-108" w:hanging="180"/>
        <w:jc w:val="center"/>
      </w:pPr>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14:paraId="3E6EC09C" w14:textId="77777777" w:rsidR="00F100B0" w:rsidRPr="004A2910" w:rsidRDefault="00F100B0" w:rsidP="00F100B0">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100B0" w:rsidRPr="004A2910" w14:paraId="6BBD7B94" w14:textId="77777777" w:rsidTr="00487C7C">
        <w:tc>
          <w:tcPr>
            <w:tcW w:w="4590" w:type="dxa"/>
            <w:tcBorders>
              <w:top w:val="single" w:sz="6" w:space="0" w:color="FFFFFF"/>
              <w:left w:val="single" w:sz="6" w:space="0" w:color="FFFFFF"/>
              <w:bottom w:val="single" w:sz="7" w:space="0" w:color="000000"/>
              <w:right w:val="single" w:sz="6" w:space="0" w:color="FFFFFF"/>
            </w:tcBorders>
          </w:tcPr>
          <w:p w14:paraId="39DFECA6" w14:textId="77777777" w:rsidR="00DB54AF" w:rsidRPr="00DB54AF" w:rsidRDefault="00DB54AF" w:rsidP="000C186D">
            <w:pPr>
              <w:rPr>
                <w:szCs w:val="24"/>
              </w:rPr>
            </w:pPr>
            <w:r w:rsidRPr="00DB54AF">
              <w:rPr>
                <w:szCs w:val="24"/>
              </w:rPr>
              <w:t xml:space="preserve">In the Matter of the Petition of </w:t>
            </w:r>
          </w:p>
          <w:p w14:paraId="5E867D2F" w14:textId="77777777" w:rsidR="00DB54AF" w:rsidRPr="00DB54AF" w:rsidRDefault="00DB54AF" w:rsidP="000C186D">
            <w:pPr>
              <w:rPr>
                <w:szCs w:val="24"/>
              </w:rPr>
            </w:pPr>
          </w:p>
          <w:p w14:paraId="687D6EF4" w14:textId="77777777" w:rsidR="00DB54AF" w:rsidRPr="00DB54AF" w:rsidRDefault="00DB54AF" w:rsidP="000C186D">
            <w:pPr>
              <w:rPr>
                <w:szCs w:val="24"/>
              </w:rPr>
            </w:pPr>
            <w:r w:rsidRPr="00DB54AF">
              <w:rPr>
                <w:szCs w:val="24"/>
              </w:rPr>
              <w:t xml:space="preserve">PUGET SOUND ENERGY </w:t>
            </w:r>
          </w:p>
          <w:p w14:paraId="2F1682A6" w14:textId="77777777" w:rsidR="00DB54AF" w:rsidRPr="00DB54AF" w:rsidRDefault="00DB54AF" w:rsidP="000C186D">
            <w:pPr>
              <w:rPr>
                <w:szCs w:val="24"/>
              </w:rPr>
            </w:pPr>
          </w:p>
          <w:p w14:paraId="0D9EE563" w14:textId="77777777" w:rsidR="00DB54AF" w:rsidRPr="00DB54AF" w:rsidRDefault="00DB54AF" w:rsidP="000C186D">
            <w:pPr>
              <w:rPr>
                <w:szCs w:val="24"/>
              </w:rPr>
            </w:pPr>
            <w:r w:rsidRPr="00DB54AF">
              <w:rPr>
                <w:szCs w:val="24"/>
              </w:rPr>
              <w:t>For an Accounting Order Authorizing Accounting Treatment Related to Payments for Major Maintenance Activities</w:t>
            </w:r>
          </w:p>
          <w:p w14:paraId="23D2BA98" w14:textId="77777777" w:rsidR="00AF1BC1" w:rsidRPr="00DB54AF" w:rsidRDefault="00AF1BC1" w:rsidP="000C186D">
            <w:pPr>
              <w:pBdr>
                <w:bottom w:val="single" w:sz="12" w:space="1" w:color="auto"/>
              </w:pBdr>
              <w:rPr>
                <w:szCs w:val="24"/>
              </w:rPr>
            </w:pPr>
          </w:p>
          <w:p w14:paraId="664D1276" w14:textId="77777777" w:rsidR="00AF1BC1" w:rsidRPr="00DB54AF" w:rsidRDefault="00AF1BC1" w:rsidP="000C186D">
            <w:pPr>
              <w:rPr>
                <w:szCs w:val="24"/>
              </w:rPr>
            </w:pPr>
          </w:p>
          <w:p w14:paraId="35CA3061" w14:textId="77777777" w:rsidR="00DB54AF" w:rsidRPr="00DB54AF" w:rsidRDefault="00DB54AF" w:rsidP="000C186D">
            <w:pPr>
              <w:rPr>
                <w:szCs w:val="24"/>
              </w:rPr>
            </w:pPr>
            <w:r w:rsidRPr="00DB54AF">
              <w:rPr>
                <w:szCs w:val="24"/>
              </w:rPr>
              <w:t>WASHINGTON UTILITIES AND TRANSPORTATION COMMISSION,</w:t>
            </w:r>
          </w:p>
          <w:p w14:paraId="28AEC837" w14:textId="77777777" w:rsidR="00DB54AF" w:rsidRPr="00DB54AF" w:rsidRDefault="00DB54AF" w:rsidP="000C186D">
            <w:pPr>
              <w:rPr>
                <w:szCs w:val="24"/>
              </w:rPr>
            </w:pPr>
          </w:p>
          <w:p w14:paraId="5443AAB0" w14:textId="77777777" w:rsidR="00DB54AF" w:rsidRPr="00DB54AF" w:rsidRDefault="00DB54AF" w:rsidP="000C186D">
            <w:pPr>
              <w:rPr>
                <w:szCs w:val="24"/>
              </w:rPr>
            </w:pPr>
            <w:r w:rsidRPr="00DB54AF">
              <w:rPr>
                <w:szCs w:val="24"/>
              </w:rPr>
              <w:tab/>
            </w:r>
            <w:r w:rsidRPr="00DB54AF">
              <w:rPr>
                <w:szCs w:val="24"/>
              </w:rPr>
              <w:tab/>
              <w:t>Complainant,</w:t>
            </w:r>
          </w:p>
          <w:p w14:paraId="42F8116E" w14:textId="77777777" w:rsidR="00DB54AF" w:rsidRPr="00DB54AF" w:rsidRDefault="00DB54AF" w:rsidP="000C186D">
            <w:pPr>
              <w:rPr>
                <w:szCs w:val="24"/>
              </w:rPr>
            </w:pPr>
            <w:r w:rsidRPr="00DB54AF">
              <w:rPr>
                <w:szCs w:val="24"/>
              </w:rPr>
              <w:t>v.</w:t>
            </w:r>
          </w:p>
          <w:p w14:paraId="41C18D97" w14:textId="77777777" w:rsidR="00DB54AF" w:rsidRPr="00DB54AF" w:rsidRDefault="00DB54AF" w:rsidP="000C186D">
            <w:pPr>
              <w:rPr>
                <w:szCs w:val="24"/>
              </w:rPr>
            </w:pPr>
          </w:p>
          <w:p w14:paraId="3961B186" w14:textId="77777777" w:rsidR="00DB54AF" w:rsidRPr="00DB54AF" w:rsidRDefault="00DB54AF" w:rsidP="000C186D">
            <w:pPr>
              <w:rPr>
                <w:szCs w:val="24"/>
              </w:rPr>
            </w:pPr>
            <w:r w:rsidRPr="00DB54AF">
              <w:rPr>
                <w:szCs w:val="24"/>
              </w:rPr>
              <w:t xml:space="preserve">PUGET SOUND ENERGY </w:t>
            </w:r>
          </w:p>
          <w:p w14:paraId="73E42915" w14:textId="77777777" w:rsidR="00DB54AF" w:rsidRPr="00DB54AF" w:rsidRDefault="00DB54AF" w:rsidP="000C186D">
            <w:pPr>
              <w:rPr>
                <w:szCs w:val="24"/>
              </w:rPr>
            </w:pPr>
          </w:p>
          <w:p w14:paraId="13090ECE" w14:textId="77777777" w:rsidR="00DB54AF" w:rsidRPr="00DB54AF" w:rsidRDefault="00DB54AF" w:rsidP="000C186D">
            <w:pPr>
              <w:rPr>
                <w:szCs w:val="24"/>
              </w:rPr>
            </w:pPr>
            <w:r w:rsidRPr="00DB54AF">
              <w:rPr>
                <w:szCs w:val="24"/>
              </w:rPr>
              <w:tab/>
            </w:r>
            <w:r w:rsidRPr="00DB54AF">
              <w:rPr>
                <w:szCs w:val="24"/>
              </w:rPr>
              <w:tab/>
              <w:t>Respondent.</w:t>
            </w:r>
          </w:p>
          <w:p w14:paraId="5D89B832" w14:textId="77777777" w:rsidR="00AF1BC1" w:rsidRPr="00DB54AF" w:rsidRDefault="00AF1BC1" w:rsidP="000C186D">
            <w:pPr>
              <w:pBdr>
                <w:bottom w:val="single" w:sz="12" w:space="1" w:color="auto"/>
              </w:pBdr>
              <w:rPr>
                <w:szCs w:val="24"/>
              </w:rPr>
            </w:pPr>
          </w:p>
          <w:p w14:paraId="076C3B52" w14:textId="77777777" w:rsidR="00AF1BC1" w:rsidRPr="00DB54AF" w:rsidRDefault="00AF1BC1" w:rsidP="000C186D">
            <w:pPr>
              <w:rPr>
                <w:szCs w:val="24"/>
              </w:rPr>
            </w:pPr>
          </w:p>
          <w:p w14:paraId="5E2C7481" w14:textId="77777777" w:rsidR="00DB54AF" w:rsidRPr="00DB54AF" w:rsidRDefault="00DB54AF" w:rsidP="000C186D">
            <w:pPr>
              <w:rPr>
                <w:szCs w:val="24"/>
              </w:rPr>
            </w:pPr>
            <w:r w:rsidRPr="00DB54AF">
              <w:rPr>
                <w:szCs w:val="24"/>
              </w:rPr>
              <w:t xml:space="preserve">In the Matter of the Petition of </w:t>
            </w:r>
          </w:p>
          <w:p w14:paraId="6A7E7026" w14:textId="77777777" w:rsidR="00DB54AF" w:rsidRPr="00DB54AF" w:rsidRDefault="00DB54AF" w:rsidP="000C186D">
            <w:pPr>
              <w:rPr>
                <w:szCs w:val="24"/>
              </w:rPr>
            </w:pPr>
          </w:p>
          <w:p w14:paraId="0FA1423E" w14:textId="77777777" w:rsidR="00DB54AF" w:rsidRPr="00DB54AF" w:rsidRDefault="00DB54AF" w:rsidP="000C186D">
            <w:pPr>
              <w:rPr>
                <w:szCs w:val="24"/>
              </w:rPr>
            </w:pPr>
            <w:r w:rsidRPr="00DB54AF">
              <w:rPr>
                <w:szCs w:val="24"/>
              </w:rPr>
              <w:t xml:space="preserve">PUGET SOUND ENERGY </w:t>
            </w:r>
          </w:p>
          <w:p w14:paraId="3876EF3C" w14:textId="77777777" w:rsidR="00DB54AF" w:rsidRPr="00DB54AF" w:rsidRDefault="00DB54AF" w:rsidP="000C186D">
            <w:pPr>
              <w:rPr>
                <w:szCs w:val="24"/>
              </w:rPr>
            </w:pPr>
          </w:p>
          <w:p w14:paraId="45C498CE" w14:textId="77777777" w:rsidR="00F100B0" w:rsidRPr="00DB54AF" w:rsidRDefault="00DB54AF" w:rsidP="000C186D">
            <w:pPr>
              <w:pBdr>
                <w:bottom w:val="single" w:sz="12" w:space="1" w:color="auto"/>
              </w:pBdr>
              <w:rPr>
                <w:szCs w:val="24"/>
              </w:rPr>
            </w:pPr>
            <w:r w:rsidRPr="00DB54AF">
              <w:rPr>
                <w:szCs w:val="24"/>
              </w:rPr>
              <w:t>For an Accounting Order Authorizing Accounting the Sale of the Water Rights and Associated Assets of the Electron Hydroelectric Project in Accordance with WAC 480-143 and RCW 80.12.</w:t>
            </w:r>
            <w:r w:rsidR="00F100B0" w:rsidRPr="00DB54AF">
              <w:rPr>
                <w:szCs w:val="24"/>
              </w:rPr>
              <w:t>.</w:t>
            </w:r>
          </w:p>
          <w:p w14:paraId="2226DFAB" w14:textId="77777777" w:rsidR="00DB54AF" w:rsidRPr="00DB54AF" w:rsidRDefault="00DB54AF" w:rsidP="000C186D">
            <w:pPr>
              <w:pBdr>
                <w:bottom w:val="single" w:sz="12" w:space="1" w:color="auto"/>
              </w:pBdr>
              <w:rPr>
                <w:szCs w:val="24"/>
              </w:rPr>
            </w:pPr>
          </w:p>
          <w:p w14:paraId="485F6BE0" w14:textId="77777777" w:rsidR="00DB54AF" w:rsidRPr="00DB54AF" w:rsidRDefault="00DB54AF" w:rsidP="000C186D">
            <w:pPr>
              <w:rPr>
                <w:szCs w:val="24"/>
              </w:rPr>
            </w:pPr>
          </w:p>
          <w:p w14:paraId="0FBA5887" w14:textId="77777777" w:rsidR="00DB54AF" w:rsidRPr="00DB54AF" w:rsidRDefault="00DB54AF" w:rsidP="000C186D">
            <w:pPr>
              <w:rPr>
                <w:szCs w:val="24"/>
              </w:rPr>
            </w:pPr>
            <w:r w:rsidRPr="00DB54AF">
              <w:rPr>
                <w:szCs w:val="24"/>
              </w:rPr>
              <w:t xml:space="preserve">In the Matter of the Application of </w:t>
            </w:r>
          </w:p>
          <w:p w14:paraId="7AE2F8F3" w14:textId="77777777" w:rsidR="00DB54AF" w:rsidRPr="00DB54AF" w:rsidRDefault="00DB54AF" w:rsidP="000C186D">
            <w:pPr>
              <w:rPr>
                <w:szCs w:val="24"/>
              </w:rPr>
            </w:pPr>
          </w:p>
          <w:p w14:paraId="70756E2C" w14:textId="77777777" w:rsidR="00DB54AF" w:rsidRPr="00DB54AF" w:rsidRDefault="00DB54AF" w:rsidP="000C186D">
            <w:pPr>
              <w:rPr>
                <w:szCs w:val="24"/>
              </w:rPr>
            </w:pPr>
            <w:r w:rsidRPr="00DB54AF">
              <w:rPr>
                <w:szCs w:val="24"/>
              </w:rPr>
              <w:t xml:space="preserve">PUGET SOUND ENERGY, INC., </w:t>
            </w:r>
          </w:p>
          <w:p w14:paraId="64107D67" w14:textId="77777777" w:rsidR="00DB54AF" w:rsidRPr="00DB54AF" w:rsidRDefault="00DB54AF" w:rsidP="000C186D">
            <w:pPr>
              <w:rPr>
                <w:szCs w:val="24"/>
              </w:rPr>
            </w:pPr>
          </w:p>
          <w:p w14:paraId="67A7B627" w14:textId="77777777" w:rsidR="00DB54AF" w:rsidRPr="00DB54AF" w:rsidRDefault="00DB54AF" w:rsidP="000C186D">
            <w:pPr>
              <w:rPr>
                <w:szCs w:val="24"/>
              </w:rPr>
            </w:pPr>
            <w:r w:rsidRPr="00DB54AF">
              <w:rPr>
                <w:szCs w:val="24"/>
              </w:rPr>
              <w:t>For an Order Authorizing the Sale of Interests in the Development Assets Required for the Construction and Operation of Phase II of the Lower Snake River Wind Facility</w:t>
            </w:r>
            <w:r w:rsidRPr="00DB54AF">
              <w:rPr>
                <w:i/>
                <w:szCs w:val="24"/>
              </w:rPr>
              <w:t>.</w:t>
            </w:r>
          </w:p>
          <w:p w14:paraId="2803D8ED" w14:textId="77777777" w:rsidR="00F100B0" w:rsidRPr="00DB54AF" w:rsidRDefault="00F100B0" w:rsidP="000C186D">
            <w:pPr>
              <w:rPr>
                <w:szCs w:val="24"/>
              </w:rPr>
            </w:pPr>
          </w:p>
        </w:tc>
        <w:tc>
          <w:tcPr>
            <w:tcW w:w="4590" w:type="dxa"/>
            <w:tcBorders>
              <w:top w:val="single" w:sz="6" w:space="0" w:color="FFFFFF"/>
              <w:left w:val="single" w:sz="7" w:space="0" w:color="000000"/>
              <w:bottom w:val="single" w:sz="6" w:space="0" w:color="FFFFFF"/>
              <w:right w:val="single" w:sz="6" w:space="0" w:color="FFFFFF"/>
            </w:tcBorders>
          </w:tcPr>
          <w:p w14:paraId="36A5BF02" w14:textId="77777777" w:rsidR="00DB54AF" w:rsidRPr="00BE1447" w:rsidRDefault="00DB54AF" w:rsidP="000C186D">
            <w:pPr>
              <w:ind w:left="776"/>
              <w:rPr>
                <w:i/>
                <w:sz w:val="25"/>
                <w:szCs w:val="25"/>
              </w:rPr>
            </w:pPr>
            <w:r w:rsidRPr="00DB09AD">
              <w:rPr>
                <w:sz w:val="25"/>
                <w:szCs w:val="25"/>
              </w:rPr>
              <w:t xml:space="preserve">DOCKET </w:t>
            </w:r>
            <w:r w:rsidRPr="00DB09AD">
              <w:rPr>
                <w:bCs/>
                <w:sz w:val="25"/>
                <w:szCs w:val="25"/>
              </w:rPr>
              <w:t>UE-130583</w:t>
            </w:r>
            <w:r>
              <w:rPr>
                <w:bCs/>
                <w:i/>
                <w:sz w:val="25"/>
                <w:szCs w:val="25"/>
              </w:rPr>
              <w:t xml:space="preserve"> (Consolidated)</w:t>
            </w:r>
          </w:p>
          <w:p w14:paraId="0F9D9170" w14:textId="77777777" w:rsidR="00DB54AF" w:rsidRPr="00DB09AD" w:rsidRDefault="00DB54AF" w:rsidP="000C186D">
            <w:pPr>
              <w:ind w:left="776"/>
              <w:rPr>
                <w:sz w:val="25"/>
                <w:szCs w:val="25"/>
              </w:rPr>
            </w:pPr>
          </w:p>
          <w:p w14:paraId="2AE123C5" w14:textId="77777777" w:rsidR="00DB54AF" w:rsidRPr="00DB09AD" w:rsidRDefault="00DB54AF" w:rsidP="000C186D">
            <w:pPr>
              <w:ind w:left="776"/>
              <w:rPr>
                <w:sz w:val="25"/>
                <w:szCs w:val="25"/>
              </w:rPr>
            </w:pPr>
          </w:p>
          <w:p w14:paraId="1A260B3E" w14:textId="77777777" w:rsidR="00DB54AF" w:rsidRPr="00DB09AD" w:rsidRDefault="00DB54AF" w:rsidP="000C186D">
            <w:pPr>
              <w:pStyle w:val="BodyText"/>
              <w:spacing w:after="0"/>
              <w:ind w:left="776"/>
              <w:rPr>
                <w:b/>
                <w:bCs/>
                <w:sz w:val="25"/>
                <w:szCs w:val="25"/>
              </w:rPr>
            </w:pPr>
          </w:p>
          <w:p w14:paraId="408A18B9" w14:textId="77777777" w:rsidR="00DB54AF" w:rsidRPr="00DB09AD" w:rsidRDefault="00DB54AF" w:rsidP="000C186D">
            <w:pPr>
              <w:ind w:left="776"/>
              <w:rPr>
                <w:sz w:val="25"/>
                <w:szCs w:val="25"/>
              </w:rPr>
            </w:pPr>
          </w:p>
          <w:p w14:paraId="0CE34AD3" w14:textId="77777777" w:rsidR="00DB54AF" w:rsidRPr="00DB09AD" w:rsidRDefault="00DB54AF" w:rsidP="000C186D">
            <w:pPr>
              <w:pStyle w:val="Header"/>
              <w:ind w:left="776"/>
              <w:rPr>
                <w:sz w:val="25"/>
                <w:szCs w:val="25"/>
              </w:rPr>
            </w:pPr>
          </w:p>
          <w:p w14:paraId="06BA3D6C" w14:textId="77777777" w:rsidR="00DB54AF" w:rsidRPr="00DB09AD" w:rsidRDefault="00DB54AF" w:rsidP="000C186D">
            <w:pPr>
              <w:pStyle w:val="Header"/>
              <w:ind w:left="776"/>
              <w:rPr>
                <w:sz w:val="25"/>
                <w:szCs w:val="25"/>
              </w:rPr>
            </w:pPr>
          </w:p>
          <w:p w14:paraId="31D317A0" w14:textId="77777777" w:rsidR="00DB54AF" w:rsidRPr="00DB09AD" w:rsidRDefault="00DB54AF" w:rsidP="000C186D">
            <w:pPr>
              <w:pStyle w:val="Header"/>
              <w:ind w:left="776"/>
              <w:rPr>
                <w:sz w:val="25"/>
                <w:szCs w:val="25"/>
              </w:rPr>
            </w:pPr>
          </w:p>
          <w:p w14:paraId="0A3E223B" w14:textId="77777777" w:rsidR="00DB54AF" w:rsidRPr="00DB09AD" w:rsidRDefault="00DB54AF" w:rsidP="000C186D">
            <w:pPr>
              <w:pStyle w:val="Header"/>
              <w:ind w:left="776"/>
              <w:rPr>
                <w:sz w:val="25"/>
                <w:szCs w:val="25"/>
              </w:rPr>
            </w:pPr>
            <w:r w:rsidRPr="00DB09AD">
              <w:rPr>
                <w:sz w:val="25"/>
                <w:szCs w:val="25"/>
              </w:rPr>
              <w:t>DOCKET UE-130617</w:t>
            </w:r>
            <w:r>
              <w:rPr>
                <w:sz w:val="25"/>
                <w:szCs w:val="25"/>
              </w:rPr>
              <w:t xml:space="preserve"> </w:t>
            </w:r>
            <w:r>
              <w:rPr>
                <w:bCs/>
                <w:i/>
                <w:sz w:val="25"/>
                <w:szCs w:val="25"/>
              </w:rPr>
              <w:t>(Consolidated)</w:t>
            </w:r>
          </w:p>
          <w:p w14:paraId="0CB3E164" w14:textId="77777777" w:rsidR="00DB54AF" w:rsidRPr="00DB09AD" w:rsidRDefault="00DB54AF" w:rsidP="000C186D">
            <w:pPr>
              <w:pStyle w:val="Header"/>
              <w:ind w:left="776"/>
              <w:rPr>
                <w:sz w:val="25"/>
                <w:szCs w:val="25"/>
              </w:rPr>
            </w:pPr>
          </w:p>
          <w:p w14:paraId="6BDA7664" w14:textId="77777777" w:rsidR="00DB54AF" w:rsidRPr="00DB09AD" w:rsidRDefault="00DB54AF" w:rsidP="000C186D">
            <w:pPr>
              <w:pStyle w:val="Header"/>
              <w:ind w:left="776"/>
              <w:rPr>
                <w:sz w:val="25"/>
                <w:szCs w:val="25"/>
              </w:rPr>
            </w:pPr>
          </w:p>
          <w:p w14:paraId="36FCDBF4" w14:textId="77777777" w:rsidR="00DB54AF" w:rsidRPr="00DB09AD" w:rsidRDefault="00DB54AF" w:rsidP="000C186D">
            <w:pPr>
              <w:pStyle w:val="Header"/>
              <w:ind w:left="776"/>
              <w:rPr>
                <w:sz w:val="25"/>
                <w:szCs w:val="25"/>
              </w:rPr>
            </w:pPr>
          </w:p>
          <w:p w14:paraId="1D8F02C6" w14:textId="77777777" w:rsidR="00DB54AF" w:rsidRPr="00DB09AD" w:rsidRDefault="00DB54AF" w:rsidP="000C186D">
            <w:pPr>
              <w:pStyle w:val="Header"/>
              <w:ind w:left="776"/>
              <w:rPr>
                <w:sz w:val="25"/>
                <w:szCs w:val="25"/>
              </w:rPr>
            </w:pPr>
          </w:p>
          <w:p w14:paraId="126A2552" w14:textId="77777777" w:rsidR="00DB54AF" w:rsidRPr="00DB09AD" w:rsidRDefault="00DB54AF" w:rsidP="000C186D">
            <w:pPr>
              <w:pStyle w:val="Header"/>
              <w:ind w:left="776"/>
              <w:rPr>
                <w:sz w:val="25"/>
                <w:szCs w:val="25"/>
              </w:rPr>
            </w:pPr>
          </w:p>
          <w:p w14:paraId="0D2687E5" w14:textId="77777777" w:rsidR="00DB54AF" w:rsidRPr="00DB09AD" w:rsidRDefault="00DB54AF" w:rsidP="000C186D">
            <w:pPr>
              <w:pStyle w:val="Header"/>
              <w:ind w:left="776"/>
              <w:rPr>
                <w:sz w:val="25"/>
                <w:szCs w:val="25"/>
              </w:rPr>
            </w:pPr>
          </w:p>
          <w:p w14:paraId="1A380C26" w14:textId="77777777" w:rsidR="00DB54AF" w:rsidRPr="00DB09AD" w:rsidRDefault="00DB54AF" w:rsidP="000C186D">
            <w:pPr>
              <w:pStyle w:val="Header"/>
              <w:ind w:left="776"/>
              <w:rPr>
                <w:sz w:val="25"/>
                <w:szCs w:val="25"/>
              </w:rPr>
            </w:pPr>
          </w:p>
          <w:p w14:paraId="7336CADE" w14:textId="77777777" w:rsidR="00DB54AF" w:rsidRPr="00DB09AD" w:rsidRDefault="00DB54AF" w:rsidP="000C186D">
            <w:pPr>
              <w:pStyle w:val="Header"/>
              <w:ind w:left="776"/>
              <w:rPr>
                <w:sz w:val="25"/>
                <w:szCs w:val="25"/>
              </w:rPr>
            </w:pPr>
          </w:p>
          <w:p w14:paraId="1811A847" w14:textId="77777777" w:rsidR="00DB54AF" w:rsidRPr="00DB09AD" w:rsidRDefault="00DB54AF" w:rsidP="000C186D">
            <w:pPr>
              <w:pStyle w:val="Header"/>
              <w:ind w:left="776"/>
              <w:rPr>
                <w:sz w:val="25"/>
                <w:szCs w:val="25"/>
              </w:rPr>
            </w:pPr>
            <w:r w:rsidRPr="00DB09AD">
              <w:rPr>
                <w:sz w:val="25"/>
                <w:szCs w:val="25"/>
              </w:rPr>
              <w:t>DOCKET UE-131099</w:t>
            </w:r>
            <w:r>
              <w:rPr>
                <w:sz w:val="25"/>
                <w:szCs w:val="25"/>
              </w:rPr>
              <w:t xml:space="preserve"> </w:t>
            </w:r>
            <w:r>
              <w:rPr>
                <w:bCs/>
                <w:i/>
                <w:sz w:val="25"/>
                <w:szCs w:val="25"/>
              </w:rPr>
              <w:t>(Consolidated)</w:t>
            </w:r>
          </w:p>
          <w:p w14:paraId="7871688F" w14:textId="77777777" w:rsidR="00DB54AF" w:rsidRDefault="00DB54AF" w:rsidP="000C186D">
            <w:pPr>
              <w:pStyle w:val="Header"/>
              <w:ind w:left="776"/>
              <w:rPr>
                <w:sz w:val="25"/>
                <w:szCs w:val="25"/>
              </w:rPr>
            </w:pPr>
          </w:p>
          <w:p w14:paraId="31C51BB4" w14:textId="77777777" w:rsidR="00DB54AF" w:rsidRDefault="00DB54AF" w:rsidP="000C186D">
            <w:pPr>
              <w:pStyle w:val="Header"/>
              <w:ind w:left="776"/>
              <w:rPr>
                <w:sz w:val="25"/>
                <w:szCs w:val="25"/>
              </w:rPr>
            </w:pPr>
          </w:p>
          <w:p w14:paraId="71C495A4" w14:textId="77777777" w:rsidR="00DB54AF" w:rsidRDefault="00DB54AF" w:rsidP="000C186D">
            <w:pPr>
              <w:pStyle w:val="Header"/>
              <w:ind w:left="776"/>
              <w:rPr>
                <w:sz w:val="25"/>
                <w:szCs w:val="25"/>
              </w:rPr>
            </w:pPr>
          </w:p>
          <w:p w14:paraId="1DAD98D6" w14:textId="77777777" w:rsidR="00DB54AF" w:rsidRDefault="00DB54AF" w:rsidP="000C186D">
            <w:pPr>
              <w:pStyle w:val="Header"/>
              <w:ind w:left="776"/>
              <w:rPr>
                <w:sz w:val="25"/>
                <w:szCs w:val="25"/>
              </w:rPr>
            </w:pPr>
          </w:p>
          <w:p w14:paraId="27CCFEB8" w14:textId="77777777" w:rsidR="00DB54AF" w:rsidRDefault="00DB54AF" w:rsidP="000C186D">
            <w:pPr>
              <w:pStyle w:val="Header"/>
              <w:ind w:left="776"/>
              <w:rPr>
                <w:sz w:val="25"/>
                <w:szCs w:val="25"/>
              </w:rPr>
            </w:pPr>
          </w:p>
          <w:p w14:paraId="7E549C6D" w14:textId="77777777" w:rsidR="00DB54AF" w:rsidRDefault="00DB54AF" w:rsidP="000C186D">
            <w:pPr>
              <w:pStyle w:val="Header"/>
              <w:ind w:left="776"/>
              <w:rPr>
                <w:sz w:val="25"/>
                <w:szCs w:val="25"/>
              </w:rPr>
            </w:pPr>
          </w:p>
          <w:p w14:paraId="0F01FBA9" w14:textId="77777777" w:rsidR="00DB54AF" w:rsidRDefault="00DB54AF" w:rsidP="000C186D">
            <w:pPr>
              <w:pStyle w:val="Header"/>
              <w:ind w:left="776"/>
              <w:rPr>
                <w:sz w:val="25"/>
                <w:szCs w:val="25"/>
              </w:rPr>
            </w:pPr>
          </w:p>
          <w:p w14:paraId="5A2031D3" w14:textId="77777777" w:rsidR="000C186D" w:rsidRDefault="000C186D" w:rsidP="000C186D">
            <w:pPr>
              <w:pStyle w:val="Header"/>
              <w:ind w:left="776"/>
              <w:rPr>
                <w:sz w:val="25"/>
                <w:szCs w:val="25"/>
              </w:rPr>
            </w:pPr>
          </w:p>
          <w:p w14:paraId="202444AB" w14:textId="77777777" w:rsidR="000C186D" w:rsidRDefault="000C186D" w:rsidP="000C186D">
            <w:pPr>
              <w:pStyle w:val="Header"/>
              <w:ind w:left="776"/>
              <w:rPr>
                <w:sz w:val="25"/>
                <w:szCs w:val="25"/>
              </w:rPr>
            </w:pPr>
          </w:p>
          <w:p w14:paraId="2A6B25DF" w14:textId="77777777" w:rsidR="00DB54AF" w:rsidRPr="00DB54AF" w:rsidRDefault="00DB54AF" w:rsidP="000C186D">
            <w:pPr>
              <w:pStyle w:val="Header"/>
              <w:ind w:left="776"/>
              <w:rPr>
                <w:szCs w:val="24"/>
              </w:rPr>
            </w:pPr>
            <w:r w:rsidRPr="00DB54AF">
              <w:rPr>
                <w:szCs w:val="24"/>
              </w:rPr>
              <w:t>DOCKET UE-131230 (</w:t>
            </w:r>
            <w:r w:rsidRPr="00DB54AF">
              <w:rPr>
                <w:i/>
                <w:szCs w:val="24"/>
              </w:rPr>
              <w:t>Consolidated</w:t>
            </w:r>
            <w:r w:rsidRPr="00DB54AF">
              <w:rPr>
                <w:szCs w:val="24"/>
              </w:rPr>
              <w:t>)</w:t>
            </w:r>
          </w:p>
          <w:p w14:paraId="6B989601" w14:textId="77777777" w:rsidR="00DB54AF" w:rsidRPr="00DB54AF" w:rsidRDefault="00DB54AF" w:rsidP="000C186D">
            <w:pPr>
              <w:pStyle w:val="Header"/>
              <w:ind w:left="776"/>
              <w:rPr>
                <w:szCs w:val="24"/>
              </w:rPr>
            </w:pPr>
          </w:p>
          <w:p w14:paraId="57BF94D4" w14:textId="04522AD1" w:rsidR="00C94A25" w:rsidRPr="004A2910" w:rsidRDefault="002B1263" w:rsidP="00C94A25">
            <w:pPr>
              <w:ind w:left="720"/>
            </w:pPr>
            <w:r>
              <w:rPr>
                <w:szCs w:val="24"/>
              </w:rPr>
              <w:t xml:space="preserve">COMMISSION </w:t>
            </w:r>
            <w:r w:rsidR="00E4213C" w:rsidRPr="00DB54AF">
              <w:rPr>
                <w:szCs w:val="24"/>
              </w:rPr>
              <w:t xml:space="preserve">STAFF </w:t>
            </w:r>
            <w:r w:rsidR="00674988">
              <w:rPr>
                <w:szCs w:val="24"/>
              </w:rPr>
              <w:t xml:space="preserve">CONFIDENTIAL </w:t>
            </w:r>
            <w:r w:rsidR="00E4213C" w:rsidRPr="00DB54AF">
              <w:rPr>
                <w:szCs w:val="24"/>
              </w:rPr>
              <w:t xml:space="preserve">RESPONSE TO </w:t>
            </w:r>
            <w:r>
              <w:rPr>
                <w:szCs w:val="24"/>
              </w:rPr>
              <w:t>THE PUYALLUP TRIBE</w:t>
            </w:r>
            <w:r w:rsidR="0039069B">
              <w:rPr>
                <w:szCs w:val="24"/>
              </w:rPr>
              <w:t>’S</w:t>
            </w:r>
            <w:r>
              <w:rPr>
                <w:szCs w:val="24"/>
              </w:rPr>
              <w:t xml:space="preserve"> </w:t>
            </w:r>
            <w:r w:rsidR="00674988">
              <w:t>BRIEF IN OPPOSITION TO PUGET SOUND ENERGY’S PROPOSED SALE OF THE ELECTRON HYDROELECTRIC PROJECT</w:t>
            </w:r>
          </w:p>
        </w:tc>
      </w:tr>
    </w:tbl>
    <w:p w14:paraId="5F3AD28D" w14:textId="79C178A9" w:rsidR="002157A7" w:rsidRDefault="002157A7" w:rsidP="00C94A25">
      <w:pPr>
        <w:rPr>
          <w:rFonts w:cs="Times New Roman"/>
          <w:b/>
          <w:szCs w:val="24"/>
        </w:rPr>
      </w:pPr>
    </w:p>
    <w:p w14:paraId="713AD9C6" w14:textId="270F3CE7" w:rsidR="00C94A25" w:rsidRDefault="00C94A25" w:rsidP="00C94A25">
      <w:pPr>
        <w:jc w:val="center"/>
        <w:rPr>
          <w:rFonts w:cs="Times New Roman"/>
          <w:b/>
          <w:szCs w:val="24"/>
        </w:rPr>
      </w:pPr>
      <w:r>
        <w:rPr>
          <w:rFonts w:cs="Times New Roman"/>
          <w:b/>
          <w:szCs w:val="24"/>
        </w:rPr>
        <w:t>CONFIDENTIAL PER PROTECTIVE ORDER</w:t>
      </w:r>
    </w:p>
    <w:p w14:paraId="026005A7" w14:textId="40E0DDB7" w:rsidR="000A4FE6" w:rsidRDefault="000A4FE6" w:rsidP="00C94A25">
      <w:pPr>
        <w:jc w:val="center"/>
        <w:rPr>
          <w:rFonts w:cs="Times New Roman"/>
          <w:b/>
          <w:szCs w:val="24"/>
        </w:rPr>
      </w:pPr>
      <w:r>
        <w:rPr>
          <w:rFonts w:cs="Times New Roman"/>
          <w:b/>
          <w:szCs w:val="24"/>
        </w:rPr>
        <w:t>Redacted Version</w:t>
      </w:r>
      <w:bookmarkStart w:id="0" w:name="_GoBack"/>
      <w:bookmarkEnd w:id="0"/>
    </w:p>
    <w:p w14:paraId="32DBEFFF" w14:textId="77777777" w:rsidR="00C94A25" w:rsidRPr="00C94A25" w:rsidRDefault="00C94A25" w:rsidP="00C94A25">
      <w:pPr>
        <w:rPr>
          <w:rFonts w:cs="Times New Roman"/>
          <w:b/>
          <w:szCs w:val="24"/>
        </w:rPr>
        <w:sectPr w:rsidR="00C94A25" w:rsidRPr="00C94A25" w:rsidSect="002157A7">
          <w:footerReference w:type="default" r:id="rId12"/>
          <w:pgSz w:w="12240" w:h="15840"/>
          <w:pgMar w:top="1440" w:right="1440" w:bottom="1440" w:left="1872" w:header="720" w:footer="720" w:gutter="0"/>
          <w:pgNumType w:start="1"/>
          <w:cols w:space="720"/>
          <w:titlePg/>
          <w:docGrid w:linePitch="360"/>
        </w:sectPr>
      </w:pPr>
    </w:p>
    <w:p w14:paraId="6EAC59BD" w14:textId="77777777" w:rsidR="002B1263" w:rsidRPr="00380061" w:rsidRDefault="001A0F72" w:rsidP="00A401E7">
      <w:pPr>
        <w:pStyle w:val="ListParagraph"/>
        <w:numPr>
          <w:ilvl w:val="0"/>
          <w:numId w:val="10"/>
        </w:numPr>
        <w:spacing w:line="480" w:lineRule="auto"/>
        <w:ind w:left="0" w:hanging="720"/>
        <w:rPr>
          <w:rFonts w:cs="Times New Roman"/>
          <w:szCs w:val="24"/>
        </w:rPr>
      </w:pPr>
      <w:r>
        <w:lastRenderedPageBreak/>
        <w:tab/>
        <w:t>O</w:t>
      </w:r>
      <w:r w:rsidR="0039069B">
        <w:t xml:space="preserve">n </w:t>
      </w:r>
      <w:r w:rsidR="00FC6958">
        <w:t>August 28,</w:t>
      </w:r>
      <w:r w:rsidR="0039069B">
        <w:t xml:space="preserve"> 2</w:t>
      </w:r>
      <w:r w:rsidR="000C201D">
        <w:t>0</w:t>
      </w:r>
      <w:r w:rsidR="0039069B">
        <w:t>14, t</w:t>
      </w:r>
      <w:r w:rsidR="002B1263" w:rsidRPr="00380061">
        <w:rPr>
          <w:rFonts w:cs="Times New Roman"/>
          <w:szCs w:val="24"/>
        </w:rPr>
        <w:t>he Puyallup Indian Tribe (</w:t>
      </w:r>
      <w:r w:rsidR="00E01238">
        <w:rPr>
          <w:rFonts w:cs="Times New Roman"/>
          <w:szCs w:val="24"/>
        </w:rPr>
        <w:t xml:space="preserve">Puyallup </w:t>
      </w:r>
      <w:r w:rsidR="002B1263" w:rsidRPr="00380061">
        <w:rPr>
          <w:rFonts w:cs="Times New Roman"/>
          <w:szCs w:val="24"/>
        </w:rPr>
        <w:t xml:space="preserve">Tribe) filed </w:t>
      </w:r>
      <w:r w:rsidR="000E4275" w:rsidRPr="00380061">
        <w:rPr>
          <w:rFonts w:cs="Times New Roman"/>
          <w:szCs w:val="24"/>
        </w:rPr>
        <w:t xml:space="preserve">with the Utilities and Transportation Commission (Commission) its </w:t>
      </w:r>
      <w:r w:rsidR="00890582" w:rsidRPr="00380061">
        <w:rPr>
          <w:rFonts w:cs="Times New Roman"/>
          <w:szCs w:val="24"/>
        </w:rPr>
        <w:t>brief in</w:t>
      </w:r>
      <w:r w:rsidR="00FC6958" w:rsidRPr="00380061">
        <w:rPr>
          <w:rFonts w:cs="Times New Roman"/>
          <w:szCs w:val="24"/>
        </w:rPr>
        <w:t xml:space="preserve"> </w:t>
      </w:r>
      <w:r w:rsidR="000E4275" w:rsidRPr="00380061">
        <w:rPr>
          <w:rFonts w:cs="Times New Roman"/>
          <w:szCs w:val="24"/>
        </w:rPr>
        <w:t>o</w:t>
      </w:r>
      <w:r w:rsidR="00FC6958" w:rsidRPr="00380061">
        <w:rPr>
          <w:rFonts w:cs="Times New Roman"/>
          <w:szCs w:val="24"/>
        </w:rPr>
        <w:t xml:space="preserve">pposition to Puget Sound Energy’s </w:t>
      </w:r>
      <w:r w:rsidR="000E4275" w:rsidRPr="00380061">
        <w:rPr>
          <w:rFonts w:cs="Times New Roman"/>
          <w:szCs w:val="24"/>
        </w:rPr>
        <w:t>(PSE or Company) p</w:t>
      </w:r>
      <w:r w:rsidR="00FC6958" w:rsidRPr="00380061">
        <w:rPr>
          <w:rFonts w:cs="Times New Roman"/>
          <w:szCs w:val="24"/>
        </w:rPr>
        <w:t xml:space="preserve">roposed </w:t>
      </w:r>
      <w:r w:rsidR="000E4275" w:rsidRPr="00380061">
        <w:rPr>
          <w:rFonts w:cs="Times New Roman"/>
          <w:szCs w:val="24"/>
        </w:rPr>
        <w:t>s</w:t>
      </w:r>
      <w:r w:rsidR="00FC6958" w:rsidRPr="00380061">
        <w:rPr>
          <w:rFonts w:cs="Times New Roman"/>
          <w:szCs w:val="24"/>
        </w:rPr>
        <w:t>ale of the Electron Hydroelectric Project</w:t>
      </w:r>
      <w:r w:rsidR="000E4275" w:rsidRPr="00380061">
        <w:rPr>
          <w:rFonts w:cs="Times New Roman"/>
          <w:szCs w:val="24"/>
        </w:rPr>
        <w:t xml:space="preserve"> </w:t>
      </w:r>
      <w:r w:rsidR="006C6806" w:rsidRPr="00380061">
        <w:rPr>
          <w:rFonts w:cs="Times New Roman"/>
          <w:szCs w:val="24"/>
        </w:rPr>
        <w:t>(Electron</w:t>
      </w:r>
      <w:r w:rsidR="00224934" w:rsidRPr="00224934">
        <w:rPr>
          <w:rFonts w:cs="Times New Roman"/>
          <w:szCs w:val="24"/>
        </w:rPr>
        <w:t xml:space="preserve"> </w:t>
      </w:r>
      <w:r w:rsidR="00224934">
        <w:rPr>
          <w:rFonts w:cs="Times New Roman"/>
          <w:szCs w:val="24"/>
        </w:rPr>
        <w:t xml:space="preserve">or Project) </w:t>
      </w:r>
      <w:r w:rsidR="000E4275" w:rsidRPr="00380061">
        <w:rPr>
          <w:rFonts w:cs="Times New Roman"/>
          <w:szCs w:val="24"/>
        </w:rPr>
        <w:t>to Electron Hydro LLC (Electron Hydro</w:t>
      </w:r>
      <w:r w:rsidR="006C6806" w:rsidRPr="00380061">
        <w:rPr>
          <w:rFonts w:cs="Times New Roman"/>
          <w:szCs w:val="24"/>
        </w:rPr>
        <w:t>)</w:t>
      </w:r>
      <w:r w:rsidR="0039069B" w:rsidRPr="00380061">
        <w:rPr>
          <w:rFonts w:cs="Times New Roman"/>
          <w:szCs w:val="24"/>
        </w:rPr>
        <w:t>.</w:t>
      </w:r>
      <w:r w:rsidR="000E4275" w:rsidRPr="00380061">
        <w:rPr>
          <w:rFonts w:cs="Times New Roman"/>
          <w:szCs w:val="24"/>
        </w:rPr>
        <w:t xml:space="preserve">  </w:t>
      </w:r>
      <w:r w:rsidR="002B1263" w:rsidRPr="00380061">
        <w:rPr>
          <w:rFonts w:cs="Times New Roman"/>
          <w:szCs w:val="24"/>
        </w:rPr>
        <w:t xml:space="preserve">The </w:t>
      </w:r>
      <w:r w:rsidR="00E01238">
        <w:rPr>
          <w:rFonts w:cs="Times New Roman"/>
          <w:szCs w:val="24"/>
        </w:rPr>
        <w:t xml:space="preserve">Puyallup </w:t>
      </w:r>
      <w:r w:rsidR="002B1263" w:rsidRPr="00380061">
        <w:rPr>
          <w:rFonts w:cs="Times New Roman"/>
          <w:szCs w:val="24"/>
        </w:rPr>
        <w:t xml:space="preserve">Tribe </w:t>
      </w:r>
      <w:r w:rsidR="006C6806" w:rsidRPr="00380061">
        <w:rPr>
          <w:rFonts w:cs="Times New Roman"/>
          <w:szCs w:val="24"/>
        </w:rPr>
        <w:t xml:space="preserve">is asking the </w:t>
      </w:r>
      <w:r w:rsidR="00890582" w:rsidRPr="00380061">
        <w:rPr>
          <w:rFonts w:cs="Times New Roman"/>
          <w:szCs w:val="24"/>
        </w:rPr>
        <w:t xml:space="preserve">Commission </w:t>
      </w:r>
      <w:r w:rsidR="00890582">
        <w:rPr>
          <w:rFonts w:cs="Times New Roman"/>
          <w:szCs w:val="24"/>
        </w:rPr>
        <w:t>to</w:t>
      </w:r>
      <w:r w:rsidR="006C6806" w:rsidRPr="00380061">
        <w:rPr>
          <w:rFonts w:cs="Times New Roman"/>
          <w:szCs w:val="24"/>
        </w:rPr>
        <w:t xml:space="preserve"> </w:t>
      </w:r>
      <w:r w:rsidR="009E618C" w:rsidRPr="00380061">
        <w:rPr>
          <w:rFonts w:cs="Times New Roman"/>
          <w:szCs w:val="24"/>
        </w:rPr>
        <w:t>deny PSE’s proposed sale of Electron</w:t>
      </w:r>
      <w:r w:rsidR="002B1263" w:rsidRPr="00380061">
        <w:rPr>
          <w:rFonts w:cs="Times New Roman"/>
          <w:szCs w:val="24"/>
        </w:rPr>
        <w:t>.</w:t>
      </w:r>
      <w:r w:rsidR="009E618C" w:rsidRPr="00380061">
        <w:rPr>
          <w:rFonts w:cs="Times New Roman"/>
          <w:szCs w:val="24"/>
        </w:rPr>
        <w:t xml:space="preserve">  </w:t>
      </w:r>
      <w:r w:rsidR="00E01238">
        <w:rPr>
          <w:rFonts w:cs="Times New Roman"/>
          <w:szCs w:val="24"/>
        </w:rPr>
        <w:t xml:space="preserve">In the alternative, </w:t>
      </w:r>
      <w:r w:rsidR="00890582">
        <w:rPr>
          <w:rFonts w:cs="Times New Roman"/>
          <w:szCs w:val="24"/>
        </w:rPr>
        <w:t xml:space="preserve">it </w:t>
      </w:r>
      <w:r w:rsidR="00890582" w:rsidRPr="00380061">
        <w:rPr>
          <w:rFonts w:cs="Times New Roman"/>
          <w:szCs w:val="24"/>
        </w:rPr>
        <w:t>asks</w:t>
      </w:r>
      <w:r w:rsidR="009E618C" w:rsidRPr="00380061">
        <w:rPr>
          <w:rFonts w:cs="Times New Roman"/>
          <w:szCs w:val="24"/>
        </w:rPr>
        <w:t xml:space="preserve"> the Commission, to affirm its </w:t>
      </w:r>
      <w:r w:rsidR="000C201D" w:rsidRPr="00380061">
        <w:rPr>
          <w:rFonts w:cs="Times New Roman"/>
          <w:szCs w:val="24"/>
        </w:rPr>
        <w:t>order in Docket UE-131099</w:t>
      </w:r>
      <w:r w:rsidR="00DE1FDE">
        <w:rPr>
          <w:rFonts w:cs="Times New Roman"/>
          <w:szCs w:val="24"/>
        </w:rPr>
        <w:t xml:space="preserve">, </w:t>
      </w:r>
      <w:r w:rsidR="000C201D" w:rsidRPr="00380061">
        <w:rPr>
          <w:rFonts w:cs="Times New Roman"/>
          <w:szCs w:val="24"/>
        </w:rPr>
        <w:t xml:space="preserve">subject </w:t>
      </w:r>
      <w:r w:rsidR="00890582">
        <w:rPr>
          <w:rFonts w:cs="Times New Roman"/>
          <w:szCs w:val="24"/>
        </w:rPr>
        <w:t xml:space="preserve">to </w:t>
      </w:r>
      <w:r w:rsidR="00890582" w:rsidRPr="00380061">
        <w:rPr>
          <w:rFonts w:cs="Times New Roman"/>
          <w:szCs w:val="24"/>
        </w:rPr>
        <w:t>Electron</w:t>
      </w:r>
      <w:r w:rsidR="000C201D" w:rsidRPr="00380061">
        <w:rPr>
          <w:rFonts w:cs="Times New Roman"/>
          <w:szCs w:val="24"/>
        </w:rPr>
        <w:t xml:space="preserve"> Hydro entering into a separate agreement with the </w:t>
      </w:r>
      <w:r w:rsidR="00E01238">
        <w:rPr>
          <w:rFonts w:cs="Times New Roman"/>
          <w:szCs w:val="24"/>
        </w:rPr>
        <w:t xml:space="preserve">Puyallup </w:t>
      </w:r>
      <w:r w:rsidR="000C201D" w:rsidRPr="00380061">
        <w:rPr>
          <w:rFonts w:cs="Times New Roman"/>
          <w:szCs w:val="24"/>
        </w:rPr>
        <w:t xml:space="preserve">Tribe to replace the Resource Enhancement Agreement (REA) currently in effect between the </w:t>
      </w:r>
      <w:r w:rsidR="00DE1FDE">
        <w:rPr>
          <w:rFonts w:cs="Times New Roman"/>
          <w:szCs w:val="24"/>
        </w:rPr>
        <w:t xml:space="preserve">Puyallup </w:t>
      </w:r>
      <w:r w:rsidR="000C201D" w:rsidRPr="00380061">
        <w:rPr>
          <w:rFonts w:cs="Times New Roman"/>
          <w:szCs w:val="24"/>
        </w:rPr>
        <w:t>Tribe and PSE.</w:t>
      </w:r>
      <w:r w:rsidR="009E618C">
        <w:rPr>
          <w:rStyle w:val="FootnoteReference"/>
          <w:rFonts w:cs="Times New Roman"/>
          <w:szCs w:val="24"/>
        </w:rPr>
        <w:footnoteReference w:id="1"/>
      </w:r>
    </w:p>
    <w:p w14:paraId="64FBA4CA" w14:textId="77777777" w:rsidR="002B1263" w:rsidRDefault="0039069B" w:rsidP="00F37296">
      <w:pPr>
        <w:spacing w:before="120" w:after="240"/>
        <w:jc w:val="center"/>
        <w:rPr>
          <w:rFonts w:cs="Times New Roman"/>
          <w:szCs w:val="24"/>
        </w:rPr>
      </w:pPr>
      <w:r>
        <w:rPr>
          <w:rFonts w:cs="Times New Roman"/>
          <w:b/>
          <w:szCs w:val="24"/>
        </w:rPr>
        <w:t>I.</w:t>
      </w:r>
      <w:r>
        <w:rPr>
          <w:rFonts w:cs="Times New Roman"/>
          <w:b/>
          <w:szCs w:val="24"/>
        </w:rPr>
        <w:tab/>
      </w:r>
      <w:r w:rsidR="00B126A3">
        <w:rPr>
          <w:rFonts w:cs="Times New Roman"/>
          <w:b/>
          <w:szCs w:val="24"/>
        </w:rPr>
        <w:t xml:space="preserve">STAFF’S ANALYSIS OF THE PROPOSED </w:t>
      </w:r>
      <w:r w:rsidR="00470954">
        <w:rPr>
          <w:rFonts w:cs="Times New Roman"/>
          <w:b/>
          <w:szCs w:val="24"/>
        </w:rPr>
        <w:t xml:space="preserve">SALE OF ELECTRON </w:t>
      </w:r>
    </w:p>
    <w:p w14:paraId="24EDC069" w14:textId="77777777" w:rsidR="00383E35" w:rsidRDefault="00F84830" w:rsidP="00F84830">
      <w:pPr>
        <w:pStyle w:val="ListParagraph"/>
        <w:numPr>
          <w:ilvl w:val="0"/>
          <w:numId w:val="10"/>
        </w:numPr>
        <w:spacing w:line="480" w:lineRule="auto"/>
        <w:ind w:left="0" w:hanging="720"/>
        <w:rPr>
          <w:rFonts w:cs="Times New Roman"/>
          <w:szCs w:val="24"/>
        </w:rPr>
      </w:pPr>
      <w:r>
        <w:rPr>
          <w:rFonts w:cs="Times New Roman"/>
          <w:szCs w:val="24"/>
        </w:rPr>
        <w:tab/>
      </w:r>
      <w:r w:rsidR="00890582">
        <w:rPr>
          <w:rFonts w:cs="Times New Roman"/>
          <w:szCs w:val="24"/>
        </w:rPr>
        <w:t>In its brief, t</w:t>
      </w:r>
      <w:r w:rsidR="002B1263">
        <w:rPr>
          <w:rFonts w:cs="Times New Roman"/>
          <w:szCs w:val="24"/>
        </w:rPr>
        <w:t xml:space="preserve">he </w:t>
      </w:r>
      <w:r w:rsidR="00DE1FDE">
        <w:rPr>
          <w:rFonts w:cs="Times New Roman"/>
          <w:szCs w:val="24"/>
        </w:rPr>
        <w:t xml:space="preserve">Puyallup </w:t>
      </w:r>
      <w:r w:rsidR="00470954">
        <w:rPr>
          <w:rFonts w:cs="Times New Roman"/>
          <w:szCs w:val="24"/>
        </w:rPr>
        <w:t xml:space="preserve">Tribe contends that Commission Staff’s analysis of the </w:t>
      </w:r>
      <w:r w:rsidR="00DE1FDE">
        <w:rPr>
          <w:rFonts w:cs="Times New Roman"/>
          <w:szCs w:val="24"/>
        </w:rPr>
        <w:t>Amended Asset Purchase Agreement for the Electron Dam, dated June 2014 (A</w:t>
      </w:r>
      <w:r w:rsidR="00470954">
        <w:rPr>
          <w:rFonts w:cs="Times New Roman"/>
          <w:szCs w:val="24"/>
        </w:rPr>
        <w:t xml:space="preserve">mended </w:t>
      </w:r>
      <w:r w:rsidR="00DE1FDE">
        <w:rPr>
          <w:rFonts w:cs="Times New Roman"/>
          <w:szCs w:val="24"/>
        </w:rPr>
        <w:t>Agreement</w:t>
      </w:r>
      <w:r w:rsidR="00383E35">
        <w:rPr>
          <w:rFonts w:cs="Times New Roman"/>
          <w:szCs w:val="24"/>
        </w:rPr>
        <w:t>)</w:t>
      </w:r>
      <w:r w:rsidR="00DE1FDE">
        <w:rPr>
          <w:rFonts w:cs="Times New Roman"/>
          <w:szCs w:val="24"/>
        </w:rPr>
        <w:t>,</w:t>
      </w:r>
      <w:r w:rsidR="00470954">
        <w:rPr>
          <w:rFonts w:cs="Times New Roman"/>
          <w:szCs w:val="24"/>
        </w:rPr>
        <w:t xml:space="preserve"> is deficient</w:t>
      </w:r>
      <w:r w:rsidR="00DE1FDE">
        <w:rPr>
          <w:rFonts w:cs="Times New Roman"/>
          <w:szCs w:val="24"/>
        </w:rPr>
        <w:t>.</w:t>
      </w:r>
      <w:r w:rsidR="00171DD1">
        <w:rPr>
          <w:rStyle w:val="FootnoteReference"/>
          <w:rFonts w:cs="Times New Roman"/>
          <w:szCs w:val="24"/>
        </w:rPr>
        <w:footnoteReference w:id="2"/>
      </w:r>
      <w:r w:rsidR="0093349A">
        <w:rPr>
          <w:rFonts w:cs="Times New Roman"/>
          <w:szCs w:val="24"/>
        </w:rPr>
        <w:t xml:space="preserve"> </w:t>
      </w:r>
      <w:r w:rsidR="00890582">
        <w:rPr>
          <w:rFonts w:cs="Times New Roman"/>
          <w:szCs w:val="24"/>
        </w:rPr>
        <w:t xml:space="preserve"> </w:t>
      </w:r>
      <w:r w:rsidR="0093349A">
        <w:rPr>
          <w:rFonts w:cs="Times New Roman"/>
          <w:szCs w:val="24"/>
        </w:rPr>
        <w:t>Citing only the passage of time, the Puyallup Tribe a</w:t>
      </w:r>
      <w:r w:rsidR="00DE1FDE">
        <w:rPr>
          <w:rFonts w:cs="Times New Roman"/>
          <w:szCs w:val="24"/>
        </w:rPr>
        <w:t xml:space="preserve">rgues that </w:t>
      </w:r>
      <w:r w:rsidR="00AF4959">
        <w:rPr>
          <w:rFonts w:cs="Times New Roman"/>
          <w:szCs w:val="24"/>
        </w:rPr>
        <w:t>Staff cannot not rely on</w:t>
      </w:r>
      <w:r w:rsidR="00535B4C">
        <w:rPr>
          <w:rFonts w:cs="Times New Roman"/>
          <w:szCs w:val="24"/>
        </w:rPr>
        <w:t xml:space="preserve"> its</w:t>
      </w:r>
      <w:r w:rsidR="00383E35">
        <w:rPr>
          <w:rFonts w:cs="Times New Roman"/>
          <w:szCs w:val="24"/>
        </w:rPr>
        <w:t xml:space="preserve"> </w:t>
      </w:r>
      <w:r w:rsidR="00AF4959">
        <w:rPr>
          <w:rFonts w:cs="Times New Roman"/>
          <w:szCs w:val="24"/>
        </w:rPr>
        <w:t>assessment</w:t>
      </w:r>
      <w:r w:rsidR="00535B4C">
        <w:rPr>
          <w:rStyle w:val="FootnoteReference"/>
          <w:rFonts w:cs="Times New Roman"/>
          <w:szCs w:val="24"/>
        </w:rPr>
        <w:footnoteReference w:id="3"/>
      </w:r>
      <w:r w:rsidR="00383E35">
        <w:rPr>
          <w:rFonts w:cs="Times New Roman"/>
          <w:szCs w:val="24"/>
        </w:rPr>
        <w:t xml:space="preserve"> </w:t>
      </w:r>
      <w:r w:rsidR="00535B4C">
        <w:rPr>
          <w:rFonts w:cs="Times New Roman"/>
          <w:szCs w:val="24"/>
        </w:rPr>
        <w:t xml:space="preserve">of </w:t>
      </w:r>
      <w:r w:rsidR="0093349A">
        <w:rPr>
          <w:rFonts w:cs="Times New Roman"/>
          <w:szCs w:val="24"/>
        </w:rPr>
        <w:t xml:space="preserve"> PSE’s</w:t>
      </w:r>
      <w:r w:rsidR="00383E35">
        <w:rPr>
          <w:rFonts w:cs="Times New Roman"/>
          <w:szCs w:val="24"/>
        </w:rPr>
        <w:t xml:space="preserve"> </w:t>
      </w:r>
      <w:r w:rsidR="00535B4C">
        <w:rPr>
          <w:rFonts w:cs="Times New Roman"/>
          <w:szCs w:val="24"/>
        </w:rPr>
        <w:t xml:space="preserve">initial </w:t>
      </w:r>
      <w:r w:rsidR="00383E35">
        <w:rPr>
          <w:rFonts w:cs="Times New Roman"/>
          <w:szCs w:val="24"/>
        </w:rPr>
        <w:t xml:space="preserve">Asset Sale and Purchase Agreement of the Electron properties (Initial Agreement) as </w:t>
      </w:r>
      <w:r w:rsidR="00AF4959">
        <w:rPr>
          <w:rFonts w:cs="Times New Roman"/>
          <w:szCs w:val="24"/>
        </w:rPr>
        <w:t>support for the Amended Agreement</w:t>
      </w:r>
      <w:r w:rsidR="0093349A">
        <w:rPr>
          <w:rFonts w:cs="Times New Roman"/>
          <w:szCs w:val="24"/>
        </w:rPr>
        <w:t>.</w:t>
      </w:r>
      <w:r w:rsidR="0093349A">
        <w:rPr>
          <w:rStyle w:val="FootnoteReference"/>
          <w:rFonts w:cs="Times New Roman"/>
          <w:szCs w:val="24"/>
        </w:rPr>
        <w:footnoteReference w:id="4"/>
      </w:r>
      <w:r w:rsidR="00AF4959">
        <w:rPr>
          <w:rFonts w:cs="Times New Roman"/>
          <w:szCs w:val="24"/>
        </w:rPr>
        <w:t xml:space="preserve">  </w:t>
      </w:r>
      <w:r w:rsidR="0093349A">
        <w:rPr>
          <w:rFonts w:cs="Times New Roman"/>
          <w:szCs w:val="24"/>
        </w:rPr>
        <w:t>The Puyallup T</w:t>
      </w:r>
      <w:r w:rsidR="00171DD1">
        <w:rPr>
          <w:rFonts w:cs="Times New Roman"/>
          <w:szCs w:val="24"/>
        </w:rPr>
        <w:t>ri</w:t>
      </w:r>
      <w:r w:rsidR="008F10D5">
        <w:rPr>
          <w:rFonts w:cs="Times New Roman"/>
          <w:szCs w:val="24"/>
        </w:rPr>
        <w:t>bes’ argument misses the mark.</w:t>
      </w:r>
    </w:p>
    <w:p w14:paraId="4FFB4C9E" w14:textId="77777777" w:rsidR="00784083" w:rsidRDefault="00890582" w:rsidP="003715A5">
      <w:pPr>
        <w:pStyle w:val="ListParagraph"/>
        <w:numPr>
          <w:ilvl w:val="0"/>
          <w:numId w:val="10"/>
        </w:numPr>
        <w:spacing w:line="480" w:lineRule="auto"/>
        <w:ind w:left="0" w:right="-252" w:hanging="720"/>
        <w:rPr>
          <w:rFonts w:cs="Times New Roman"/>
          <w:szCs w:val="24"/>
        </w:rPr>
      </w:pPr>
      <w:r>
        <w:rPr>
          <w:rFonts w:cs="Times New Roman"/>
          <w:szCs w:val="24"/>
        </w:rPr>
        <w:tab/>
      </w:r>
      <w:r w:rsidR="00224934" w:rsidRPr="00784083">
        <w:rPr>
          <w:rFonts w:cs="Times New Roman"/>
          <w:szCs w:val="24"/>
        </w:rPr>
        <w:t xml:space="preserve">Staff’s </w:t>
      </w:r>
      <w:r w:rsidR="00224934" w:rsidRPr="00C2514F">
        <w:rPr>
          <w:rFonts w:cs="Times New Roman"/>
          <w:szCs w:val="24"/>
        </w:rPr>
        <w:t xml:space="preserve">initial </w:t>
      </w:r>
      <w:r w:rsidR="00224934" w:rsidRPr="0044661D">
        <w:rPr>
          <w:rFonts w:cs="Times New Roman"/>
          <w:szCs w:val="24"/>
        </w:rPr>
        <w:t>assessment of the P</w:t>
      </w:r>
      <w:r w:rsidR="00224934" w:rsidRPr="00EC3F05">
        <w:rPr>
          <w:rFonts w:cs="Times New Roman"/>
          <w:szCs w:val="24"/>
        </w:rPr>
        <w:t>roject</w:t>
      </w:r>
      <w:r w:rsidR="00224934" w:rsidRPr="008376B2">
        <w:rPr>
          <w:rFonts w:cs="Times New Roman"/>
          <w:szCs w:val="24"/>
        </w:rPr>
        <w:t xml:space="preserve">’s sale </w:t>
      </w:r>
      <w:r w:rsidR="00224934" w:rsidRPr="00263B1D">
        <w:rPr>
          <w:rFonts w:cs="Times New Roman"/>
          <w:szCs w:val="24"/>
        </w:rPr>
        <w:t xml:space="preserve">concluded that </w:t>
      </w:r>
      <w:r w:rsidR="00224934" w:rsidRPr="00784083">
        <w:rPr>
          <w:rFonts w:cs="Times New Roman"/>
          <w:szCs w:val="24"/>
        </w:rPr>
        <w:t>the sale of Electron to Electron Hydro</w:t>
      </w:r>
      <w:r w:rsidR="00E160E7" w:rsidRPr="00784083">
        <w:rPr>
          <w:rFonts w:cs="Times New Roman"/>
          <w:szCs w:val="24"/>
        </w:rPr>
        <w:t xml:space="preserve"> conveyed</w:t>
      </w:r>
      <w:r w:rsidR="00224934" w:rsidRPr="00784083">
        <w:rPr>
          <w:rFonts w:cs="Times New Roman"/>
          <w:szCs w:val="24"/>
        </w:rPr>
        <w:t xml:space="preserve"> benefit</w:t>
      </w:r>
      <w:r w:rsidR="00E160E7" w:rsidRPr="00784083">
        <w:rPr>
          <w:rFonts w:cs="Times New Roman"/>
          <w:szCs w:val="24"/>
        </w:rPr>
        <w:t>s</w:t>
      </w:r>
      <w:r w:rsidR="00224934" w:rsidRPr="00784083">
        <w:rPr>
          <w:rFonts w:cs="Times New Roman"/>
          <w:szCs w:val="24"/>
        </w:rPr>
        <w:t xml:space="preserve"> to PSE’s ratepayers.  </w:t>
      </w:r>
      <w:r w:rsidR="00E160E7" w:rsidRPr="00784083">
        <w:rPr>
          <w:rFonts w:cs="Times New Roman"/>
          <w:szCs w:val="24"/>
        </w:rPr>
        <w:t xml:space="preserve">These same benefits became the foundation for the Commission’s order approving the sale.  </w:t>
      </w:r>
      <w:r w:rsidR="00224934" w:rsidRPr="00784083">
        <w:rPr>
          <w:rFonts w:cs="Times New Roman"/>
          <w:szCs w:val="24"/>
        </w:rPr>
        <w:t xml:space="preserve">In Staff’s opinion, the basic structure of the Initial Agreement </w:t>
      </w:r>
      <w:r w:rsidR="00E32549">
        <w:rPr>
          <w:rFonts w:cs="Times New Roman"/>
          <w:szCs w:val="24"/>
        </w:rPr>
        <w:t xml:space="preserve">has not been </w:t>
      </w:r>
      <w:r w:rsidR="00535B4C">
        <w:rPr>
          <w:rFonts w:cs="Times New Roman"/>
          <w:szCs w:val="24"/>
        </w:rPr>
        <w:t xml:space="preserve">materially </w:t>
      </w:r>
      <w:r w:rsidR="008C5EEF">
        <w:rPr>
          <w:rFonts w:cs="Times New Roman"/>
          <w:szCs w:val="24"/>
        </w:rPr>
        <w:t xml:space="preserve">changed </w:t>
      </w:r>
      <w:r w:rsidR="00535B4C">
        <w:rPr>
          <w:rFonts w:cs="Times New Roman"/>
          <w:szCs w:val="24"/>
        </w:rPr>
        <w:t xml:space="preserve">by </w:t>
      </w:r>
      <w:r w:rsidR="008C5EEF">
        <w:rPr>
          <w:rFonts w:cs="Times New Roman"/>
          <w:szCs w:val="24"/>
        </w:rPr>
        <w:t>the</w:t>
      </w:r>
      <w:r w:rsidR="00224934" w:rsidRPr="00784083">
        <w:rPr>
          <w:rFonts w:cs="Times New Roman"/>
          <w:szCs w:val="24"/>
        </w:rPr>
        <w:t xml:space="preserve"> Amended </w:t>
      </w:r>
      <w:r w:rsidR="00224934" w:rsidRPr="00784083">
        <w:rPr>
          <w:rFonts w:cs="Times New Roman"/>
          <w:szCs w:val="24"/>
        </w:rPr>
        <w:lastRenderedPageBreak/>
        <w:t>Agreement.</w:t>
      </w:r>
      <w:r w:rsidR="008F10D5">
        <w:rPr>
          <w:rStyle w:val="FootnoteReference"/>
          <w:rFonts w:cs="Times New Roman"/>
          <w:szCs w:val="24"/>
        </w:rPr>
        <w:footnoteReference w:id="5"/>
      </w:r>
      <w:r w:rsidR="00224934" w:rsidRPr="00784083">
        <w:rPr>
          <w:rFonts w:cs="Times New Roman"/>
          <w:szCs w:val="24"/>
        </w:rPr>
        <w:t xml:space="preserve"> </w:t>
      </w:r>
      <w:r w:rsidR="00E160E7" w:rsidRPr="00784083">
        <w:rPr>
          <w:rFonts w:cs="Times New Roman"/>
          <w:szCs w:val="24"/>
        </w:rPr>
        <w:t xml:space="preserve"> Th</w:t>
      </w:r>
      <w:r w:rsidR="008C5EEF">
        <w:rPr>
          <w:rFonts w:cs="Times New Roman"/>
          <w:szCs w:val="24"/>
        </w:rPr>
        <w:t xml:space="preserve">us, the </w:t>
      </w:r>
      <w:r w:rsidR="00E160E7" w:rsidRPr="00784083">
        <w:rPr>
          <w:rFonts w:cs="Times New Roman"/>
          <w:szCs w:val="24"/>
        </w:rPr>
        <w:t xml:space="preserve">benefits to ratepayers </w:t>
      </w:r>
      <w:r w:rsidR="008C5EEF">
        <w:rPr>
          <w:rFonts w:cs="Times New Roman"/>
          <w:szCs w:val="24"/>
        </w:rPr>
        <w:t xml:space="preserve">resulting from </w:t>
      </w:r>
      <w:r w:rsidR="00E160E7" w:rsidRPr="00784083">
        <w:rPr>
          <w:rFonts w:cs="Times New Roman"/>
          <w:szCs w:val="24"/>
        </w:rPr>
        <w:t xml:space="preserve">the performance of the Initial Agreement </w:t>
      </w:r>
      <w:r w:rsidR="008C5EEF">
        <w:rPr>
          <w:rFonts w:cs="Times New Roman"/>
          <w:szCs w:val="24"/>
        </w:rPr>
        <w:t xml:space="preserve">will </w:t>
      </w:r>
      <w:r w:rsidR="00E160E7" w:rsidRPr="00784083">
        <w:rPr>
          <w:rFonts w:cs="Times New Roman"/>
          <w:szCs w:val="24"/>
        </w:rPr>
        <w:t>hold true under the terms of the Amended Agreement.</w:t>
      </w:r>
      <w:r w:rsidR="001451D3">
        <w:rPr>
          <w:rStyle w:val="FootnoteReference"/>
          <w:rFonts w:cs="Times New Roman"/>
          <w:szCs w:val="24"/>
        </w:rPr>
        <w:footnoteReference w:id="6"/>
      </w:r>
      <w:r w:rsidR="00E160E7" w:rsidRPr="00784083">
        <w:rPr>
          <w:rFonts w:cs="Times New Roman"/>
          <w:szCs w:val="24"/>
        </w:rPr>
        <w:t xml:space="preserve">  Admittedly, the </w:t>
      </w:r>
      <w:r w:rsidR="00784083" w:rsidRPr="00784083">
        <w:rPr>
          <w:rFonts w:cs="Times New Roman"/>
          <w:szCs w:val="24"/>
        </w:rPr>
        <w:t xml:space="preserve">contemplated </w:t>
      </w:r>
      <w:r w:rsidR="00E160E7" w:rsidRPr="00784083">
        <w:rPr>
          <w:rFonts w:cs="Times New Roman"/>
          <w:szCs w:val="24"/>
        </w:rPr>
        <w:t xml:space="preserve">contractual relationship between the Puyallup Tribe and Electron Hydro </w:t>
      </w:r>
      <w:r w:rsidR="00784083" w:rsidRPr="00784083">
        <w:rPr>
          <w:rFonts w:cs="Times New Roman"/>
          <w:szCs w:val="24"/>
        </w:rPr>
        <w:t xml:space="preserve">may be altered by </w:t>
      </w:r>
      <w:r w:rsidR="00784083">
        <w:rPr>
          <w:rFonts w:cs="Times New Roman"/>
          <w:szCs w:val="24"/>
        </w:rPr>
        <w:t xml:space="preserve">the </w:t>
      </w:r>
      <w:r w:rsidR="00784083" w:rsidRPr="00784083">
        <w:rPr>
          <w:rFonts w:cs="Times New Roman"/>
          <w:szCs w:val="24"/>
        </w:rPr>
        <w:t xml:space="preserve">Amended Agreement, but </w:t>
      </w:r>
      <w:r w:rsidR="008C5EEF">
        <w:rPr>
          <w:rFonts w:cs="Times New Roman"/>
          <w:szCs w:val="24"/>
        </w:rPr>
        <w:t xml:space="preserve">this </w:t>
      </w:r>
      <w:r w:rsidR="00EF301A">
        <w:rPr>
          <w:rFonts w:cs="Times New Roman"/>
          <w:szCs w:val="24"/>
        </w:rPr>
        <w:t xml:space="preserve">modification </w:t>
      </w:r>
      <w:r w:rsidR="00A944B7">
        <w:rPr>
          <w:rFonts w:cs="Times New Roman"/>
          <w:szCs w:val="24"/>
        </w:rPr>
        <w:t>s</w:t>
      </w:r>
      <w:r w:rsidR="00784083" w:rsidRPr="00784083">
        <w:rPr>
          <w:rFonts w:cs="Times New Roman"/>
          <w:szCs w:val="24"/>
        </w:rPr>
        <w:t xml:space="preserve">hould not </w:t>
      </w:r>
      <w:r w:rsidR="008C5EEF">
        <w:rPr>
          <w:rFonts w:cs="Times New Roman"/>
          <w:szCs w:val="24"/>
        </w:rPr>
        <w:t xml:space="preserve">materially reduce </w:t>
      </w:r>
      <w:r w:rsidR="00784083" w:rsidRPr="00784083">
        <w:rPr>
          <w:rFonts w:cs="Times New Roman"/>
          <w:szCs w:val="24"/>
        </w:rPr>
        <w:t xml:space="preserve"> the economic benefits resulting from the sale. </w:t>
      </w:r>
      <w:r w:rsidR="00784083">
        <w:rPr>
          <w:rFonts w:cs="Times New Roman"/>
          <w:szCs w:val="24"/>
        </w:rPr>
        <w:t xml:space="preserve"> </w:t>
      </w:r>
      <w:r w:rsidR="00EF301A">
        <w:rPr>
          <w:rFonts w:cs="Times New Roman"/>
          <w:szCs w:val="24"/>
        </w:rPr>
        <w:t>In short,</w:t>
      </w:r>
      <w:r w:rsidR="00E32549">
        <w:rPr>
          <w:rFonts w:cs="Times New Roman"/>
          <w:szCs w:val="24"/>
        </w:rPr>
        <w:t xml:space="preserve"> </w:t>
      </w:r>
      <w:r w:rsidR="00A944B7">
        <w:rPr>
          <w:rFonts w:cs="Times New Roman"/>
          <w:szCs w:val="24"/>
        </w:rPr>
        <w:t>t</w:t>
      </w:r>
      <w:r w:rsidR="00784083">
        <w:rPr>
          <w:rFonts w:cs="Times New Roman"/>
          <w:szCs w:val="24"/>
        </w:rPr>
        <w:t xml:space="preserve">he simple passage of time is not sufficient to undermine the economic analysis </w:t>
      </w:r>
      <w:r w:rsidR="00EF301A">
        <w:rPr>
          <w:rFonts w:cs="Times New Roman"/>
          <w:szCs w:val="24"/>
        </w:rPr>
        <w:t>that supported</w:t>
      </w:r>
      <w:r w:rsidR="00784083">
        <w:rPr>
          <w:rFonts w:cs="Times New Roman"/>
          <w:szCs w:val="24"/>
        </w:rPr>
        <w:t xml:space="preserve"> the Co</w:t>
      </w:r>
      <w:r w:rsidR="00A944B7">
        <w:rPr>
          <w:rFonts w:cs="Times New Roman"/>
          <w:szCs w:val="24"/>
        </w:rPr>
        <w:t>mmission’s approval of the sale.</w:t>
      </w:r>
      <w:r w:rsidR="00784083">
        <w:rPr>
          <w:rFonts w:cs="Times New Roman"/>
          <w:szCs w:val="24"/>
        </w:rPr>
        <w:t xml:space="preserve"> </w:t>
      </w:r>
    </w:p>
    <w:p w14:paraId="76B72662" w14:textId="77777777" w:rsidR="000B197B" w:rsidRDefault="00171DD1" w:rsidP="00784083">
      <w:pPr>
        <w:pStyle w:val="ListParagraph"/>
        <w:numPr>
          <w:ilvl w:val="0"/>
          <w:numId w:val="10"/>
        </w:numPr>
        <w:spacing w:line="480" w:lineRule="auto"/>
        <w:ind w:left="0" w:hanging="720"/>
        <w:rPr>
          <w:rFonts w:cs="Times New Roman"/>
          <w:szCs w:val="24"/>
        </w:rPr>
      </w:pPr>
      <w:r>
        <w:rPr>
          <w:rFonts w:cs="Times New Roman"/>
          <w:szCs w:val="24"/>
        </w:rPr>
        <w:tab/>
      </w:r>
      <w:r w:rsidR="00596F74" w:rsidRPr="00784083">
        <w:rPr>
          <w:rFonts w:cs="Times New Roman"/>
          <w:szCs w:val="24"/>
        </w:rPr>
        <w:t>T</w:t>
      </w:r>
      <w:r w:rsidR="000C05BF" w:rsidRPr="00784083">
        <w:rPr>
          <w:rFonts w:cs="Times New Roman"/>
          <w:szCs w:val="24"/>
        </w:rPr>
        <w:t xml:space="preserve">he </w:t>
      </w:r>
      <w:r w:rsidR="00C2514F">
        <w:rPr>
          <w:rFonts w:cs="Times New Roman"/>
          <w:szCs w:val="24"/>
        </w:rPr>
        <w:t xml:space="preserve">Puyallup </w:t>
      </w:r>
      <w:r w:rsidR="000C05BF" w:rsidRPr="00784083">
        <w:rPr>
          <w:rFonts w:cs="Times New Roman"/>
          <w:szCs w:val="24"/>
        </w:rPr>
        <w:t xml:space="preserve">Tribe </w:t>
      </w:r>
      <w:r w:rsidR="00C2514F">
        <w:rPr>
          <w:rFonts w:cs="Times New Roman"/>
          <w:szCs w:val="24"/>
        </w:rPr>
        <w:t>goes on to assert</w:t>
      </w:r>
      <w:r w:rsidR="00784083">
        <w:rPr>
          <w:rFonts w:cs="Times New Roman"/>
          <w:szCs w:val="24"/>
        </w:rPr>
        <w:t xml:space="preserve"> that the</w:t>
      </w:r>
      <w:r w:rsidR="00C2514F">
        <w:rPr>
          <w:rFonts w:cs="Times New Roman"/>
          <w:szCs w:val="24"/>
        </w:rPr>
        <w:t xml:space="preserve"> </w:t>
      </w:r>
      <w:r w:rsidR="00784083">
        <w:rPr>
          <w:rFonts w:cs="Times New Roman"/>
          <w:szCs w:val="24"/>
        </w:rPr>
        <w:t xml:space="preserve">operation of the Project </w:t>
      </w:r>
      <w:r w:rsidR="00C2514F">
        <w:rPr>
          <w:rFonts w:cs="Times New Roman"/>
          <w:szCs w:val="24"/>
        </w:rPr>
        <w:t xml:space="preserve">by Electron Hydro will result in significant economic losses and could harm the species affected by its operation.  It </w:t>
      </w:r>
      <w:r w:rsidR="002C5038">
        <w:rPr>
          <w:rFonts w:cs="Times New Roman"/>
          <w:szCs w:val="24"/>
        </w:rPr>
        <w:t xml:space="preserve">offers </w:t>
      </w:r>
      <w:r w:rsidR="002C5038" w:rsidRPr="00784083">
        <w:rPr>
          <w:rFonts w:cs="Times New Roman"/>
          <w:szCs w:val="24"/>
        </w:rPr>
        <w:t>the</w:t>
      </w:r>
      <w:r w:rsidR="000C05BF" w:rsidRPr="00784083">
        <w:rPr>
          <w:rFonts w:cs="Times New Roman"/>
          <w:szCs w:val="24"/>
        </w:rPr>
        <w:t xml:space="preserve"> declarations of Mr. Gary Saleba of ESS Consulting, Inc. and Mr. Russell Ladley, the </w:t>
      </w:r>
      <w:r w:rsidR="00C2514F">
        <w:rPr>
          <w:rFonts w:cs="Times New Roman"/>
          <w:szCs w:val="24"/>
        </w:rPr>
        <w:t xml:space="preserve">Puyallup </w:t>
      </w:r>
      <w:r w:rsidR="000C05BF" w:rsidRPr="00784083">
        <w:rPr>
          <w:rFonts w:cs="Times New Roman"/>
          <w:szCs w:val="24"/>
        </w:rPr>
        <w:t>Tribe’s Resource Protection Manager</w:t>
      </w:r>
      <w:r w:rsidR="00C2514F">
        <w:rPr>
          <w:rFonts w:cs="Times New Roman"/>
          <w:szCs w:val="24"/>
        </w:rPr>
        <w:t xml:space="preserve">, to support its assertions.  </w:t>
      </w:r>
      <w:r w:rsidR="00596F74" w:rsidRPr="00784083">
        <w:rPr>
          <w:rFonts w:cs="Times New Roman"/>
          <w:szCs w:val="24"/>
        </w:rPr>
        <w:t xml:space="preserve"> </w:t>
      </w:r>
      <w:r w:rsidR="00C2514F">
        <w:rPr>
          <w:rFonts w:cs="Times New Roman"/>
          <w:szCs w:val="24"/>
        </w:rPr>
        <w:t xml:space="preserve">Essentially, the Puyallup Tribe </w:t>
      </w:r>
      <w:r w:rsidR="002C5038">
        <w:rPr>
          <w:rFonts w:cs="Times New Roman"/>
          <w:szCs w:val="24"/>
        </w:rPr>
        <w:t xml:space="preserve">attacks </w:t>
      </w:r>
      <w:r w:rsidR="002C5038" w:rsidRPr="00784083">
        <w:rPr>
          <w:rFonts w:cs="Times New Roman"/>
          <w:szCs w:val="24"/>
        </w:rPr>
        <w:t>the</w:t>
      </w:r>
      <w:r w:rsidR="00596F74" w:rsidRPr="00784083">
        <w:rPr>
          <w:rFonts w:cs="Times New Roman"/>
          <w:szCs w:val="24"/>
        </w:rPr>
        <w:t xml:space="preserve"> fitness of Electron Hydro to operate the Electron facility economically and in keeping with the requirements of the Endangered Species Act and the REA.</w:t>
      </w:r>
      <w:r w:rsidR="00BB0DE9" w:rsidRPr="00784083">
        <w:rPr>
          <w:rFonts w:cs="Times New Roman"/>
          <w:szCs w:val="24"/>
        </w:rPr>
        <w:t xml:space="preserve"> </w:t>
      </w:r>
      <w:r w:rsidR="00703670">
        <w:rPr>
          <w:rFonts w:cs="Times New Roman"/>
          <w:szCs w:val="24"/>
        </w:rPr>
        <w:t xml:space="preserve"> Even </w:t>
      </w:r>
      <w:r w:rsidR="000B197B">
        <w:rPr>
          <w:rFonts w:cs="Times New Roman"/>
          <w:szCs w:val="24"/>
        </w:rPr>
        <w:t xml:space="preserve">if the Commission were to </w:t>
      </w:r>
      <w:r w:rsidR="00703670">
        <w:rPr>
          <w:rFonts w:cs="Times New Roman"/>
          <w:szCs w:val="24"/>
        </w:rPr>
        <w:t>assum</w:t>
      </w:r>
      <w:r w:rsidR="000B197B">
        <w:rPr>
          <w:rFonts w:cs="Times New Roman"/>
          <w:szCs w:val="24"/>
        </w:rPr>
        <w:t xml:space="preserve">e </w:t>
      </w:r>
      <w:r w:rsidR="00703670">
        <w:rPr>
          <w:rFonts w:cs="Times New Roman"/>
          <w:szCs w:val="24"/>
        </w:rPr>
        <w:t xml:space="preserve">the </w:t>
      </w:r>
      <w:r w:rsidR="000B197B">
        <w:rPr>
          <w:rFonts w:cs="Times New Roman"/>
          <w:szCs w:val="24"/>
        </w:rPr>
        <w:t xml:space="preserve">negative projections predicted by Mr. Saleba and Mr. Ladley would come true, the Puyallup Tribe cannot effectively tie Electron Hydro’s economic future with the interests of PSE’s ratepayers.  </w:t>
      </w:r>
    </w:p>
    <w:p w14:paraId="6B486766" w14:textId="21632043" w:rsidR="001A0F72" w:rsidRDefault="00694D3D" w:rsidP="00694D3D">
      <w:pPr>
        <w:pStyle w:val="ListParagraph"/>
        <w:numPr>
          <w:ilvl w:val="0"/>
          <w:numId w:val="10"/>
        </w:numPr>
        <w:spacing w:line="480" w:lineRule="auto"/>
        <w:ind w:left="0" w:hanging="720"/>
        <w:rPr>
          <w:rFonts w:cs="Times New Roman"/>
          <w:szCs w:val="24"/>
        </w:rPr>
      </w:pPr>
      <w:r>
        <w:rPr>
          <w:rFonts w:cs="Times New Roman"/>
          <w:szCs w:val="24"/>
        </w:rPr>
        <w:tab/>
      </w:r>
      <w:r w:rsidR="001A0F72" w:rsidRPr="00694D3D">
        <w:rPr>
          <w:rFonts w:cs="Times New Roman"/>
          <w:szCs w:val="24"/>
        </w:rPr>
        <w:t>T</w:t>
      </w:r>
      <w:r w:rsidR="00B836FA" w:rsidRPr="00694D3D">
        <w:rPr>
          <w:rFonts w:cs="Times New Roman"/>
          <w:szCs w:val="24"/>
        </w:rPr>
        <w:t>he analysis performed by ESS Consulting, Inc. (ESS Report</w:t>
      </w:r>
      <w:r w:rsidR="002C5038" w:rsidRPr="00694D3D">
        <w:rPr>
          <w:rFonts w:cs="Times New Roman"/>
          <w:szCs w:val="24"/>
        </w:rPr>
        <w:t>) concludes</w:t>
      </w:r>
      <w:r w:rsidR="00B836FA" w:rsidRPr="00694D3D">
        <w:rPr>
          <w:rFonts w:cs="Times New Roman"/>
          <w:szCs w:val="24"/>
        </w:rPr>
        <w:t xml:space="preserve"> there are </w:t>
      </w:r>
      <w:r w:rsidR="001A0F72" w:rsidRPr="00694D3D">
        <w:rPr>
          <w:rFonts w:cs="Times New Roman"/>
          <w:szCs w:val="24"/>
        </w:rPr>
        <w:t xml:space="preserve">only </w:t>
      </w:r>
      <w:r w:rsidR="00B836FA" w:rsidRPr="00694D3D">
        <w:rPr>
          <w:rFonts w:cs="Times New Roman"/>
          <w:szCs w:val="24"/>
        </w:rPr>
        <w:t xml:space="preserve">two possible outcomes resulting from Electron Hydro’s operation of the </w:t>
      </w:r>
      <w:r w:rsidR="000B197B" w:rsidRPr="00694D3D">
        <w:rPr>
          <w:rFonts w:cs="Times New Roman"/>
          <w:szCs w:val="24"/>
        </w:rPr>
        <w:t>Project</w:t>
      </w:r>
      <w:r w:rsidR="00B836FA" w:rsidRPr="00694D3D">
        <w:rPr>
          <w:rFonts w:cs="Times New Roman"/>
          <w:szCs w:val="24"/>
        </w:rPr>
        <w:t xml:space="preserve">.  </w:t>
      </w:r>
      <w:r w:rsidR="000B197B" w:rsidRPr="00694D3D">
        <w:rPr>
          <w:rFonts w:cs="Times New Roman"/>
          <w:szCs w:val="24"/>
        </w:rPr>
        <w:t xml:space="preserve">Under its </w:t>
      </w:r>
      <w:r w:rsidR="00B836FA" w:rsidRPr="00694D3D">
        <w:rPr>
          <w:rFonts w:cs="Times New Roman"/>
          <w:szCs w:val="24"/>
        </w:rPr>
        <w:t xml:space="preserve">Scenario #1, </w:t>
      </w:r>
      <w:r w:rsidR="000B197B" w:rsidRPr="00694D3D">
        <w:rPr>
          <w:rFonts w:cs="Times New Roman"/>
          <w:szCs w:val="24"/>
        </w:rPr>
        <w:t xml:space="preserve">the ESS Report </w:t>
      </w:r>
      <w:r w:rsidR="002C5038" w:rsidRPr="00694D3D">
        <w:rPr>
          <w:rFonts w:cs="Times New Roman"/>
          <w:szCs w:val="24"/>
        </w:rPr>
        <w:t>predicts net</w:t>
      </w:r>
      <w:r w:rsidR="00B836FA" w:rsidRPr="00694D3D">
        <w:rPr>
          <w:rFonts w:cs="Times New Roman"/>
          <w:szCs w:val="24"/>
        </w:rPr>
        <w:t xml:space="preserve"> present value losses to Electron Hydro of $</w:t>
      </w:r>
      <w:r w:rsidR="0023264A" w:rsidRPr="0023264A">
        <w:rPr>
          <w:rFonts w:cs="Times New Roman"/>
          <w:szCs w:val="24"/>
          <w:highlight w:val="black"/>
        </w:rPr>
        <w:t>xx</w:t>
      </w:r>
      <w:r w:rsidR="00B836FA" w:rsidRPr="0023264A">
        <w:rPr>
          <w:rFonts w:cs="Times New Roman"/>
          <w:szCs w:val="24"/>
          <w:highlight w:val="black"/>
        </w:rPr>
        <w:t xml:space="preserve"> </w:t>
      </w:r>
      <w:r w:rsidR="0023264A" w:rsidRPr="0023264A">
        <w:rPr>
          <w:rFonts w:cs="Times New Roman"/>
          <w:szCs w:val="24"/>
          <w:highlight w:val="black"/>
        </w:rPr>
        <w:t>xxxxxxx</w:t>
      </w:r>
      <w:r w:rsidR="0044661D" w:rsidRPr="00694D3D">
        <w:rPr>
          <w:rFonts w:cs="Times New Roman"/>
          <w:szCs w:val="24"/>
        </w:rPr>
        <w:t>. Under</w:t>
      </w:r>
      <w:r w:rsidR="00B836FA" w:rsidRPr="00694D3D">
        <w:rPr>
          <w:rFonts w:cs="Times New Roman"/>
          <w:szCs w:val="24"/>
        </w:rPr>
        <w:t xml:space="preserve"> Scenario #2, </w:t>
      </w:r>
      <w:r w:rsidR="0044661D" w:rsidRPr="00694D3D">
        <w:rPr>
          <w:rFonts w:cs="Times New Roman"/>
          <w:szCs w:val="24"/>
        </w:rPr>
        <w:t xml:space="preserve">the </w:t>
      </w:r>
      <w:r w:rsidR="00E948BD" w:rsidRPr="00694D3D">
        <w:rPr>
          <w:rFonts w:cs="Times New Roman"/>
          <w:szCs w:val="24"/>
        </w:rPr>
        <w:t xml:space="preserve">net present </w:t>
      </w:r>
      <w:r w:rsidR="0044661D" w:rsidRPr="00694D3D">
        <w:rPr>
          <w:rFonts w:cs="Times New Roman"/>
          <w:szCs w:val="24"/>
        </w:rPr>
        <w:t xml:space="preserve">value </w:t>
      </w:r>
      <w:r w:rsidR="00E948BD" w:rsidRPr="00694D3D">
        <w:rPr>
          <w:rFonts w:cs="Times New Roman"/>
          <w:szCs w:val="24"/>
        </w:rPr>
        <w:t xml:space="preserve">losses to Electron Hydro </w:t>
      </w:r>
      <w:r w:rsidR="0044661D" w:rsidRPr="00694D3D">
        <w:rPr>
          <w:rFonts w:cs="Times New Roman"/>
          <w:szCs w:val="24"/>
        </w:rPr>
        <w:t>would escalate substantially to</w:t>
      </w:r>
      <w:r w:rsidR="00E948BD" w:rsidRPr="00694D3D">
        <w:rPr>
          <w:rFonts w:cs="Times New Roman"/>
          <w:szCs w:val="24"/>
        </w:rPr>
        <w:t xml:space="preserve"> $</w:t>
      </w:r>
      <w:r w:rsidR="0023264A" w:rsidRPr="0023264A">
        <w:rPr>
          <w:rFonts w:cs="Times New Roman"/>
          <w:szCs w:val="24"/>
          <w:highlight w:val="black"/>
        </w:rPr>
        <w:t>xxx</w:t>
      </w:r>
      <w:r w:rsidR="00E948BD" w:rsidRPr="0023264A">
        <w:rPr>
          <w:rFonts w:cs="Times New Roman"/>
          <w:szCs w:val="24"/>
          <w:highlight w:val="black"/>
        </w:rPr>
        <w:t xml:space="preserve"> </w:t>
      </w:r>
      <w:r w:rsidR="0023264A" w:rsidRPr="0023264A">
        <w:rPr>
          <w:rFonts w:cs="Times New Roman"/>
          <w:szCs w:val="24"/>
          <w:highlight w:val="black"/>
        </w:rPr>
        <w:t>xxxxxxx</w:t>
      </w:r>
      <w:r w:rsidR="00E948BD" w:rsidRPr="00694D3D">
        <w:rPr>
          <w:rFonts w:cs="Times New Roman"/>
          <w:szCs w:val="24"/>
        </w:rPr>
        <w:t xml:space="preserve">.  </w:t>
      </w:r>
      <w:r w:rsidR="0044661D" w:rsidRPr="00694D3D">
        <w:rPr>
          <w:rFonts w:cs="Times New Roman"/>
          <w:szCs w:val="24"/>
        </w:rPr>
        <w:t xml:space="preserve">In an effort to </w:t>
      </w:r>
      <w:r w:rsidR="00EF301A" w:rsidRPr="00694D3D">
        <w:rPr>
          <w:rFonts w:cs="Times New Roman"/>
          <w:szCs w:val="24"/>
        </w:rPr>
        <w:t>link</w:t>
      </w:r>
      <w:r w:rsidR="0044661D" w:rsidRPr="00694D3D">
        <w:rPr>
          <w:rFonts w:cs="Times New Roman"/>
          <w:szCs w:val="24"/>
        </w:rPr>
        <w:t xml:space="preserve"> Electron Hydro’s future operations to </w:t>
      </w:r>
      <w:r w:rsidR="00EF301A" w:rsidRPr="00694D3D">
        <w:rPr>
          <w:rFonts w:cs="Times New Roman"/>
          <w:szCs w:val="24"/>
        </w:rPr>
        <w:t xml:space="preserve">the welfare of PSE’s </w:t>
      </w:r>
      <w:r w:rsidR="0044661D" w:rsidRPr="00694D3D">
        <w:rPr>
          <w:rFonts w:cs="Times New Roman"/>
          <w:szCs w:val="24"/>
        </w:rPr>
        <w:t>ratepayers, the Puyallup</w:t>
      </w:r>
      <w:r w:rsidR="00E948BD" w:rsidRPr="00694D3D">
        <w:rPr>
          <w:rFonts w:cs="Times New Roman"/>
          <w:szCs w:val="24"/>
        </w:rPr>
        <w:t xml:space="preserve"> </w:t>
      </w:r>
      <w:r w:rsidR="000F141F" w:rsidRPr="00694D3D">
        <w:rPr>
          <w:rFonts w:cs="Times New Roman"/>
          <w:szCs w:val="24"/>
        </w:rPr>
        <w:t xml:space="preserve">Tribe </w:t>
      </w:r>
      <w:r w:rsidR="0044661D" w:rsidRPr="00694D3D">
        <w:rPr>
          <w:rFonts w:cs="Times New Roman"/>
          <w:szCs w:val="24"/>
        </w:rPr>
        <w:t xml:space="preserve">asserts </w:t>
      </w:r>
      <w:r w:rsidR="000F141F" w:rsidRPr="00694D3D">
        <w:rPr>
          <w:rFonts w:cs="Times New Roman"/>
          <w:szCs w:val="24"/>
        </w:rPr>
        <w:t xml:space="preserve">that the sale to Electron Hydro will </w:t>
      </w:r>
      <w:r w:rsidR="00E948BD" w:rsidRPr="00694D3D">
        <w:rPr>
          <w:rFonts w:cs="Times New Roman"/>
          <w:szCs w:val="24"/>
        </w:rPr>
        <w:lastRenderedPageBreak/>
        <w:t>have unacceptable “substantial rate impacts and risks.”</w:t>
      </w:r>
      <w:r w:rsidR="00E948BD">
        <w:rPr>
          <w:rStyle w:val="FootnoteReference"/>
          <w:rFonts w:cs="Times New Roman"/>
          <w:szCs w:val="24"/>
        </w:rPr>
        <w:footnoteReference w:id="7"/>
      </w:r>
      <w:r w:rsidR="000F141F" w:rsidRPr="00694D3D">
        <w:rPr>
          <w:rFonts w:cs="Times New Roman"/>
          <w:szCs w:val="24"/>
        </w:rPr>
        <w:t xml:space="preserve">  </w:t>
      </w:r>
      <w:r w:rsidR="0044661D" w:rsidRPr="00694D3D">
        <w:rPr>
          <w:rFonts w:cs="Times New Roman"/>
          <w:szCs w:val="24"/>
        </w:rPr>
        <w:t>T</w:t>
      </w:r>
      <w:r w:rsidR="004C1A0C" w:rsidRPr="00694D3D">
        <w:rPr>
          <w:rFonts w:cs="Times New Roman"/>
          <w:szCs w:val="24"/>
        </w:rPr>
        <w:t xml:space="preserve">he </w:t>
      </w:r>
      <w:r w:rsidR="0044661D" w:rsidRPr="00694D3D">
        <w:rPr>
          <w:rFonts w:cs="Times New Roman"/>
          <w:szCs w:val="24"/>
        </w:rPr>
        <w:t xml:space="preserve">Puyallup </w:t>
      </w:r>
      <w:r w:rsidR="004C1A0C" w:rsidRPr="00694D3D">
        <w:rPr>
          <w:rFonts w:cs="Times New Roman"/>
          <w:szCs w:val="24"/>
        </w:rPr>
        <w:t xml:space="preserve">Tribe’s conclusion </w:t>
      </w:r>
      <w:r w:rsidR="00CF7822" w:rsidRPr="00694D3D">
        <w:rPr>
          <w:rFonts w:cs="Times New Roman"/>
          <w:szCs w:val="24"/>
        </w:rPr>
        <w:t xml:space="preserve">that </w:t>
      </w:r>
      <w:r w:rsidR="004C1A0C" w:rsidRPr="00694D3D">
        <w:rPr>
          <w:rFonts w:cs="Times New Roman"/>
          <w:szCs w:val="24"/>
        </w:rPr>
        <w:t xml:space="preserve">Electron Hydro’s </w:t>
      </w:r>
      <w:r w:rsidR="00C361A8" w:rsidRPr="00694D3D">
        <w:rPr>
          <w:rFonts w:cs="Times New Roman"/>
          <w:szCs w:val="24"/>
        </w:rPr>
        <w:t xml:space="preserve">predicted </w:t>
      </w:r>
      <w:r w:rsidR="00EF301A" w:rsidRPr="00694D3D">
        <w:rPr>
          <w:rFonts w:cs="Times New Roman"/>
          <w:szCs w:val="24"/>
        </w:rPr>
        <w:t xml:space="preserve">economic </w:t>
      </w:r>
      <w:r w:rsidR="00DD3747" w:rsidRPr="00694D3D">
        <w:rPr>
          <w:rFonts w:cs="Times New Roman"/>
          <w:szCs w:val="24"/>
        </w:rPr>
        <w:t xml:space="preserve">losses </w:t>
      </w:r>
      <w:r w:rsidR="002C5038" w:rsidRPr="00694D3D">
        <w:rPr>
          <w:rFonts w:cs="Times New Roman"/>
          <w:szCs w:val="24"/>
        </w:rPr>
        <w:t>would somehow</w:t>
      </w:r>
      <w:r w:rsidR="002B521F" w:rsidRPr="00694D3D">
        <w:rPr>
          <w:rFonts w:cs="Times New Roman"/>
          <w:szCs w:val="24"/>
        </w:rPr>
        <w:t xml:space="preserve"> </w:t>
      </w:r>
      <w:r w:rsidR="00EF301A" w:rsidRPr="00694D3D">
        <w:rPr>
          <w:rFonts w:cs="Times New Roman"/>
          <w:szCs w:val="24"/>
        </w:rPr>
        <w:t xml:space="preserve">land at the feet </w:t>
      </w:r>
      <w:r w:rsidR="004C1A0C" w:rsidRPr="00694D3D">
        <w:rPr>
          <w:rFonts w:cs="Times New Roman"/>
          <w:szCs w:val="24"/>
        </w:rPr>
        <w:t>of PSE’s ratepayers is</w:t>
      </w:r>
      <w:r w:rsidR="0044661D" w:rsidRPr="00694D3D">
        <w:rPr>
          <w:rFonts w:cs="Times New Roman"/>
          <w:szCs w:val="24"/>
        </w:rPr>
        <w:t xml:space="preserve"> simply</w:t>
      </w:r>
      <w:r w:rsidR="004C1A0C" w:rsidRPr="00694D3D">
        <w:rPr>
          <w:rFonts w:cs="Times New Roman"/>
          <w:szCs w:val="24"/>
        </w:rPr>
        <w:t xml:space="preserve"> incorrect.  </w:t>
      </w:r>
      <w:r w:rsidR="00C361A8" w:rsidRPr="00694D3D">
        <w:rPr>
          <w:rFonts w:cs="Times New Roman"/>
          <w:szCs w:val="24"/>
        </w:rPr>
        <w:t>As pointed out earlier by Staff</w:t>
      </w:r>
      <w:r w:rsidR="0044661D" w:rsidRPr="00694D3D">
        <w:rPr>
          <w:rFonts w:cs="Times New Roman"/>
          <w:szCs w:val="24"/>
        </w:rPr>
        <w:t>, any</w:t>
      </w:r>
      <w:r w:rsidR="004C1A0C" w:rsidRPr="00694D3D">
        <w:rPr>
          <w:rFonts w:cs="Times New Roman"/>
          <w:szCs w:val="24"/>
        </w:rPr>
        <w:t xml:space="preserve"> losses </w:t>
      </w:r>
      <w:r w:rsidR="000F141F" w:rsidRPr="00694D3D">
        <w:rPr>
          <w:rFonts w:cs="Times New Roman"/>
          <w:szCs w:val="24"/>
        </w:rPr>
        <w:t xml:space="preserve">that may be sustained </w:t>
      </w:r>
      <w:r w:rsidR="004C1A0C" w:rsidRPr="00694D3D">
        <w:rPr>
          <w:rFonts w:cs="Times New Roman"/>
          <w:szCs w:val="24"/>
        </w:rPr>
        <w:t xml:space="preserve">by Electron Hydro </w:t>
      </w:r>
      <w:r w:rsidR="00EF301A" w:rsidRPr="00694D3D">
        <w:rPr>
          <w:rFonts w:cs="Times New Roman"/>
          <w:szCs w:val="24"/>
        </w:rPr>
        <w:t>will not be</w:t>
      </w:r>
      <w:r w:rsidR="002C5038" w:rsidRPr="00694D3D">
        <w:rPr>
          <w:rFonts w:cs="Times New Roman"/>
          <w:szCs w:val="24"/>
        </w:rPr>
        <w:t xml:space="preserve"> recoverable</w:t>
      </w:r>
      <w:r w:rsidR="004C1A0C" w:rsidRPr="00694D3D">
        <w:rPr>
          <w:rFonts w:cs="Times New Roman"/>
          <w:szCs w:val="24"/>
        </w:rPr>
        <w:t xml:space="preserve"> in rates charged </w:t>
      </w:r>
      <w:r w:rsidR="000F141F" w:rsidRPr="00694D3D">
        <w:rPr>
          <w:rFonts w:cs="Times New Roman"/>
          <w:szCs w:val="24"/>
        </w:rPr>
        <w:t xml:space="preserve">to </w:t>
      </w:r>
      <w:r w:rsidR="004C1A0C" w:rsidRPr="00694D3D">
        <w:rPr>
          <w:rFonts w:cs="Times New Roman"/>
          <w:szCs w:val="24"/>
        </w:rPr>
        <w:t>PSE</w:t>
      </w:r>
      <w:r w:rsidR="000F141F" w:rsidRPr="00694D3D">
        <w:rPr>
          <w:rFonts w:cs="Times New Roman"/>
          <w:szCs w:val="24"/>
        </w:rPr>
        <w:t>’s customers</w:t>
      </w:r>
      <w:r w:rsidR="004C1A0C" w:rsidRPr="00694D3D">
        <w:rPr>
          <w:rFonts w:cs="Times New Roman"/>
          <w:szCs w:val="24"/>
        </w:rPr>
        <w:t>.</w:t>
      </w:r>
      <w:r w:rsidR="00C361A8">
        <w:rPr>
          <w:rStyle w:val="FootnoteReference"/>
          <w:rFonts w:cs="Times New Roman"/>
          <w:szCs w:val="24"/>
        </w:rPr>
        <w:footnoteReference w:id="8"/>
      </w:r>
      <w:r w:rsidR="004C1A0C" w:rsidRPr="00694D3D">
        <w:rPr>
          <w:rFonts w:cs="Times New Roman"/>
          <w:szCs w:val="24"/>
        </w:rPr>
        <w:t xml:space="preserve">  </w:t>
      </w:r>
    </w:p>
    <w:p w14:paraId="53B3A02D" w14:textId="18D84FE0" w:rsidR="00B11D9B" w:rsidRDefault="000F141F" w:rsidP="00694D3D">
      <w:pPr>
        <w:pStyle w:val="ListParagraph"/>
        <w:numPr>
          <w:ilvl w:val="0"/>
          <w:numId w:val="10"/>
        </w:numPr>
        <w:spacing w:line="480" w:lineRule="auto"/>
        <w:ind w:left="0" w:right="-252" w:hanging="720"/>
        <w:rPr>
          <w:rFonts w:cs="Times New Roman"/>
          <w:szCs w:val="24"/>
        </w:rPr>
      </w:pPr>
      <w:r w:rsidRPr="00694D3D">
        <w:rPr>
          <w:rFonts w:cs="Times New Roman"/>
          <w:szCs w:val="24"/>
        </w:rPr>
        <w:tab/>
      </w:r>
      <w:r w:rsidR="00FF4008" w:rsidRPr="00694D3D">
        <w:rPr>
          <w:rFonts w:cs="Times New Roman"/>
          <w:szCs w:val="24"/>
        </w:rPr>
        <w:t xml:space="preserve">Staff’s analysis </w:t>
      </w:r>
      <w:r w:rsidRPr="00694D3D">
        <w:rPr>
          <w:rFonts w:cs="Times New Roman"/>
          <w:szCs w:val="24"/>
        </w:rPr>
        <w:t xml:space="preserve">concluded that </w:t>
      </w:r>
      <w:r w:rsidR="00FF4008" w:rsidRPr="00694D3D">
        <w:rPr>
          <w:rFonts w:cs="Times New Roman"/>
          <w:szCs w:val="24"/>
        </w:rPr>
        <w:t xml:space="preserve">the </w:t>
      </w:r>
      <w:r w:rsidR="0044661D" w:rsidRPr="00694D3D">
        <w:rPr>
          <w:rFonts w:cs="Times New Roman"/>
          <w:szCs w:val="24"/>
        </w:rPr>
        <w:t>sale result</w:t>
      </w:r>
      <w:r w:rsidR="00742E63" w:rsidRPr="00694D3D">
        <w:rPr>
          <w:rFonts w:cs="Times New Roman"/>
          <w:szCs w:val="24"/>
        </w:rPr>
        <w:t>ed</w:t>
      </w:r>
      <w:r w:rsidR="0044661D" w:rsidRPr="00694D3D">
        <w:rPr>
          <w:rFonts w:cs="Times New Roman"/>
          <w:szCs w:val="24"/>
        </w:rPr>
        <w:t xml:space="preserve"> in </w:t>
      </w:r>
      <w:r w:rsidR="00B11D9B" w:rsidRPr="00694D3D">
        <w:rPr>
          <w:rFonts w:cs="Times New Roman"/>
          <w:szCs w:val="24"/>
        </w:rPr>
        <w:t xml:space="preserve">a </w:t>
      </w:r>
      <w:r w:rsidR="000207E7" w:rsidRPr="00694D3D">
        <w:rPr>
          <w:rFonts w:cs="Times New Roman"/>
          <w:szCs w:val="24"/>
        </w:rPr>
        <w:t>$2.</w:t>
      </w:r>
      <w:r w:rsidR="00F41FF5" w:rsidRPr="00694D3D">
        <w:rPr>
          <w:rFonts w:cs="Times New Roman"/>
          <w:szCs w:val="24"/>
        </w:rPr>
        <w:t>27</w:t>
      </w:r>
      <w:r w:rsidR="000207E7" w:rsidRPr="00694D3D">
        <w:rPr>
          <w:rFonts w:cs="Times New Roman"/>
          <w:szCs w:val="24"/>
        </w:rPr>
        <w:t xml:space="preserve"> million </w:t>
      </w:r>
      <w:r w:rsidR="0044661D" w:rsidRPr="00694D3D">
        <w:rPr>
          <w:rFonts w:cs="Times New Roman"/>
          <w:szCs w:val="24"/>
        </w:rPr>
        <w:t xml:space="preserve">reduction </w:t>
      </w:r>
      <w:r w:rsidR="003165C4" w:rsidRPr="00694D3D">
        <w:rPr>
          <w:rFonts w:cs="Times New Roman"/>
          <w:szCs w:val="24"/>
        </w:rPr>
        <w:t xml:space="preserve">in </w:t>
      </w:r>
      <w:r w:rsidRPr="00694D3D">
        <w:rPr>
          <w:rFonts w:cs="Times New Roman"/>
          <w:szCs w:val="24"/>
        </w:rPr>
        <w:t xml:space="preserve">revenue requirement </w:t>
      </w:r>
      <w:r w:rsidR="003165C4" w:rsidRPr="00694D3D">
        <w:rPr>
          <w:rFonts w:cs="Times New Roman"/>
          <w:szCs w:val="24"/>
        </w:rPr>
        <w:t>in PSE’s Power Cost Only Rate Case (PCORC) in Docket UE-141141</w:t>
      </w:r>
      <w:r w:rsidR="00B11D9B" w:rsidRPr="00694D3D">
        <w:rPr>
          <w:rFonts w:cs="Times New Roman"/>
          <w:szCs w:val="24"/>
        </w:rPr>
        <w:t>.</w:t>
      </w:r>
      <w:r w:rsidR="00F41FF5">
        <w:rPr>
          <w:rStyle w:val="FootnoteReference"/>
          <w:rFonts w:cs="Times New Roman"/>
          <w:szCs w:val="24"/>
        </w:rPr>
        <w:footnoteReference w:id="9"/>
      </w:r>
      <w:r w:rsidR="00B11D9B" w:rsidRPr="00694D3D">
        <w:rPr>
          <w:rFonts w:cs="Times New Roman"/>
          <w:szCs w:val="24"/>
        </w:rPr>
        <w:t xml:space="preserve"> </w:t>
      </w:r>
      <w:r w:rsidR="002C5038" w:rsidRPr="00694D3D">
        <w:rPr>
          <w:rFonts w:cs="Times New Roman"/>
          <w:szCs w:val="24"/>
        </w:rPr>
        <w:t xml:space="preserve"> </w:t>
      </w:r>
      <w:r w:rsidR="00712606" w:rsidRPr="00694D3D">
        <w:rPr>
          <w:rFonts w:cs="Times New Roman"/>
          <w:szCs w:val="24"/>
        </w:rPr>
        <w:t xml:space="preserve">This immediate </w:t>
      </w:r>
      <w:r w:rsidR="00F41FF5" w:rsidRPr="00694D3D">
        <w:rPr>
          <w:rFonts w:cs="Times New Roman"/>
          <w:szCs w:val="24"/>
        </w:rPr>
        <w:t xml:space="preserve">and </w:t>
      </w:r>
      <w:r w:rsidR="00712606" w:rsidRPr="00694D3D">
        <w:rPr>
          <w:rFonts w:cs="Times New Roman"/>
          <w:szCs w:val="24"/>
        </w:rPr>
        <w:t xml:space="preserve">positive outcome for ratepayers was </w:t>
      </w:r>
      <w:r w:rsidR="00742E63" w:rsidRPr="00694D3D">
        <w:rPr>
          <w:rFonts w:cs="Times New Roman"/>
          <w:szCs w:val="24"/>
        </w:rPr>
        <w:t>detailed in an adjustment</w:t>
      </w:r>
      <w:r w:rsidR="00F41FF5" w:rsidRPr="00694D3D">
        <w:rPr>
          <w:rFonts w:cs="Times New Roman"/>
          <w:szCs w:val="24"/>
        </w:rPr>
        <w:t xml:space="preserve"> </w:t>
      </w:r>
      <w:r w:rsidR="00742E63" w:rsidRPr="00694D3D">
        <w:rPr>
          <w:rFonts w:cs="Times New Roman"/>
          <w:szCs w:val="24"/>
        </w:rPr>
        <w:t>based upon</w:t>
      </w:r>
      <w:r w:rsidR="00F41FF5" w:rsidRPr="00694D3D">
        <w:rPr>
          <w:rFonts w:cs="Times New Roman"/>
          <w:szCs w:val="24"/>
        </w:rPr>
        <w:t xml:space="preserve"> the sale of Electron to Electron Hydro.  </w:t>
      </w:r>
      <w:r w:rsidR="00742E63" w:rsidRPr="00694D3D">
        <w:rPr>
          <w:rFonts w:cs="Times New Roman"/>
          <w:szCs w:val="24"/>
        </w:rPr>
        <w:t>Further</w:t>
      </w:r>
      <w:r w:rsidR="00F41FF5" w:rsidRPr="00694D3D">
        <w:rPr>
          <w:rFonts w:cs="Times New Roman"/>
          <w:szCs w:val="24"/>
        </w:rPr>
        <w:t xml:space="preserve">, </w:t>
      </w:r>
      <w:r w:rsidR="00B11D9B" w:rsidRPr="00694D3D">
        <w:rPr>
          <w:rFonts w:cs="Times New Roman"/>
          <w:szCs w:val="24"/>
        </w:rPr>
        <w:t xml:space="preserve">Staff’s analysis showed the sale resulted in </w:t>
      </w:r>
      <w:r w:rsidR="002C5038" w:rsidRPr="00694D3D">
        <w:rPr>
          <w:rFonts w:cs="Times New Roman"/>
          <w:szCs w:val="24"/>
        </w:rPr>
        <w:t xml:space="preserve">a </w:t>
      </w:r>
      <w:r w:rsidR="003165C4" w:rsidRPr="00694D3D">
        <w:rPr>
          <w:rFonts w:cs="Times New Roman"/>
          <w:szCs w:val="24"/>
        </w:rPr>
        <w:t>continued overall positive portfolio benefit</w:t>
      </w:r>
      <w:r w:rsidR="00B11D9B" w:rsidRPr="00694D3D">
        <w:rPr>
          <w:rFonts w:cs="Times New Roman"/>
          <w:szCs w:val="24"/>
        </w:rPr>
        <w:t>.</w:t>
      </w:r>
      <w:r w:rsidR="003165C4">
        <w:rPr>
          <w:rStyle w:val="FootnoteReference"/>
          <w:rFonts w:eastAsia="Times New Roman" w:cs="Times New Roman"/>
        </w:rPr>
        <w:footnoteReference w:id="10"/>
      </w:r>
      <w:r w:rsidR="003165C4" w:rsidRPr="00694D3D">
        <w:rPr>
          <w:rFonts w:cs="Times New Roman"/>
          <w:szCs w:val="24"/>
        </w:rPr>
        <w:t xml:space="preserve"> </w:t>
      </w:r>
      <w:r w:rsidR="00B11D9B" w:rsidRPr="00694D3D">
        <w:rPr>
          <w:rFonts w:cs="Times New Roman"/>
          <w:szCs w:val="24"/>
        </w:rPr>
        <w:t xml:space="preserve"> In Staff’s opinion, the </w:t>
      </w:r>
      <w:r w:rsidR="00E72D10" w:rsidRPr="00694D3D">
        <w:rPr>
          <w:rFonts w:cs="Times New Roman"/>
          <w:szCs w:val="24"/>
        </w:rPr>
        <w:t xml:space="preserve">net </w:t>
      </w:r>
      <w:r w:rsidR="00F41FF5" w:rsidRPr="00694D3D">
        <w:rPr>
          <w:rFonts w:cs="Times New Roman"/>
          <w:szCs w:val="24"/>
        </w:rPr>
        <w:t xml:space="preserve">positive portfolio </w:t>
      </w:r>
      <w:r w:rsidR="00B11D9B" w:rsidRPr="00694D3D">
        <w:rPr>
          <w:rFonts w:cs="Times New Roman"/>
          <w:szCs w:val="24"/>
        </w:rPr>
        <w:t xml:space="preserve">benefits </w:t>
      </w:r>
      <w:r w:rsidR="00F41FF5" w:rsidRPr="00694D3D">
        <w:rPr>
          <w:rFonts w:cs="Times New Roman"/>
          <w:szCs w:val="24"/>
        </w:rPr>
        <w:t xml:space="preserve">alone </w:t>
      </w:r>
      <w:r w:rsidR="00E72D10" w:rsidRPr="00694D3D">
        <w:rPr>
          <w:rFonts w:cs="Times New Roman"/>
          <w:szCs w:val="24"/>
        </w:rPr>
        <w:t xml:space="preserve">offer </w:t>
      </w:r>
      <w:r w:rsidR="003165C4" w:rsidRPr="00694D3D">
        <w:rPr>
          <w:rFonts w:cs="Times New Roman"/>
          <w:szCs w:val="24"/>
        </w:rPr>
        <w:t xml:space="preserve">sufficient evidence to warrant </w:t>
      </w:r>
      <w:r w:rsidR="00742E63" w:rsidRPr="00694D3D">
        <w:rPr>
          <w:rFonts w:cs="Times New Roman"/>
          <w:szCs w:val="24"/>
        </w:rPr>
        <w:t xml:space="preserve">continued </w:t>
      </w:r>
      <w:r w:rsidR="003165C4" w:rsidRPr="00694D3D">
        <w:rPr>
          <w:rFonts w:cs="Times New Roman"/>
          <w:szCs w:val="24"/>
        </w:rPr>
        <w:t xml:space="preserve">support for the </w:t>
      </w:r>
      <w:r w:rsidR="00712606" w:rsidRPr="00694D3D">
        <w:rPr>
          <w:rFonts w:cs="Times New Roman"/>
          <w:szCs w:val="24"/>
        </w:rPr>
        <w:t>sale</w:t>
      </w:r>
      <w:r w:rsidR="00694D3D">
        <w:rPr>
          <w:rFonts w:cs="Times New Roman"/>
          <w:szCs w:val="24"/>
        </w:rPr>
        <w:t xml:space="preserve">.  </w:t>
      </w:r>
    </w:p>
    <w:p w14:paraId="2D14BC62" w14:textId="0E323B35" w:rsidR="003165C4" w:rsidRDefault="00E72D10" w:rsidP="00694D3D">
      <w:pPr>
        <w:pStyle w:val="ListParagraph"/>
        <w:numPr>
          <w:ilvl w:val="0"/>
          <w:numId w:val="10"/>
        </w:numPr>
        <w:spacing w:line="480" w:lineRule="auto"/>
        <w:ind w:left="0" w:hanging="720"/>
        <w:rPr>
          <w:rFonts w:cs="Times New Roman"/>
          <w:szCs w:val="24"/>
        </w:rPr>
      </w:pPr>
      <w:r w:rsidRPr="00694D3D">
        <w:rPr>
          <w:rFonts w:cs="Times New Roman"/>
          <w:szCs w:val="24"/>
        </w:rPr>
        <w:tab/>
      </w:r>
      <w:r w:rsidR="00FF4008" w:rsidRPr="00694D3D">
        <w:rPr>
          <w:rFonts w:cs="Times New Roman"/>
          <w:szCs w:val="24"/>
        </w:rPr>
        <w:t xml:space="preserve">Staff also examined the risks posed to ratepayers as a result of </w:t>
      </w:r>
      <w:r w:rsidR="000207E7" w:rsidRPr="00694D3D">
        <w:rPr>
          <w:rFonts w:cs="Times New Roman"/>
          <w:szCs w:val="24"/>
        </w:rPr>
        <w:t xml:space="preserve">PSE’s </w:t>
      </w:r>
      <w:r w:rsidR="00FF4008" w:rsidRPr="00694D3D">
        <w:rPr>
          <w:rFonts w:cs="Times New Roman"/>
          <w:szCs w:val="24"/>
        </w:rPr>
        <w:t>continued assignment of the obligations under the REA</w:t>
      </w:r>
      <w:r w:rsidR="001D6265" w:rsidRPr="00694D3D">
        <w:rPr>
          <w:rFonts w:cs="Times New Roman"/>
          <w:szCs w:val="24"/>
        </w:rPr>
        <w:t>.  The risk</w:t>
      </w:r>
      <w:r w:rsidR="00CC11CD" w:rsidRPr="00694D3D">
        <w:rPr>
          <w:rFonts w:cs="Times New Roman"/>
          <w:szCs w:val="24"/>
        </w:rPr>
        <w:t xml:space="preserve"> assumes</w:t>
      </w:r>
      <w:r w:rsidR="00330DA6" w:rsidRPr="00694D3D">
        <w:rPr>
          <w:rFonts w:cs="Times New Roman"/>
          <w:szCs w:val="24"/>
        </w:rPr>
        <w:t>,</w:t>
      </w:r>
      <w:r w:rsidR="00CC11CD" w:rsidRPr="00694D3D">
        <w:rPr>
          <w:rFonts w:cs="Times New Roman"/>
          <w:szCs w:val="24"/>
        </w:rPr>
        <w:t xml:space="preserve"> of course</w:t>
      </w:r>
      <w:r w:rsidR="00330DA6" w:rsidRPr="00694D3D">
        <w:rPr>
          <w:rFonts w:cs="Times New Roman"/>
          <w:szCs w:val="24"/>
        </w:rPr>
        <w:t>,</w:t>
      </w:r>
      <w:r w:rsidR="00CC11CD" w:rsidRPr="00694D3D">
        <w:rPr>
          <w:rFonts w:cs="Times New Roman"/>
          <w:szCs w:val="24"/>
        </w:rPr>
        <w:t xml:space="preserve"> th</w:t>
      </w:r>
      <w:r w:rsidR="006438B4" w:rsidRPr="00694D3D">
        <w:rPr>
          <w:rFonts w:cs="Times New Roman"/>
          <w:szCs w:val="24"/>
        </w:rPr>
        <w:t>e</w:t>
      </w:r>
      <w:r w:rsidR="00CC11CD" w:rsidRPr="00694D3D">
        <w:rPr>
          <w:rFonts w:cs="Times New Roman"/>
          <w:szCs w:val="24"/>
        </w:rPr>
        <w:t xml:space="preserve"> </w:t>
      </w:r>
      <w:r w:rsidR="00456684" w:rsidRPr="00694D3D">
        <w:rPr>
          <w:rFonts w:cs="Times New Roman"/>
          <w:szCs w:val="24"/>
        </w:rPr>
        <w:t xml:space="preserve">unlikely event that </w:t>
      </w:r>
      <w:r w:rsidR="00CC11CD" w:rsidRPr="00694D3D">
        <w:rPr>
          <w:rFonts w:cs="Times New Roman"/>
          <w:szCs w:val="24"/>
        </w:rPr>
        <w:t xml:space="preserve">Electron Hydro </w:t>
      </w:r>
      <w:r w:rsidR="00C361A8" w:rsidRPr="00694D3D">
        <w:rPr>
          <w:rFonts w:cs="Times New Roman"/>
          <w:szCs w:val="24"/>
        </w:rPr>
        <w:t>would</w:t>
      </w:r>
      <w:r w:rsidR="00A1575C" w:rsidRPr="00694D3D">
        <w:rPr>
          <w:rFonts w:cs="Times New Roman"/>
          <w:szCs w:val="24"/>
        </w:rPr>
        <w:t xml:space="preserve"> not </w:t>
      </w:r>
      <w:r w:rsidR="001D6265" w:rsidRPr="00694D3D">
        <w:rPr>
          <w:rFonts w:cs="Times New Roman"/>
          <w:szCs w:val="24"/>
        </w:rPr>
        <w:t xml:space="preserve">make </w:t>
      </w:r>
      <w:r w:rsidR="00CC11CD" w:rsidRPr="00694D3D">
        <w:rPr>
          <w:rFonts w:cs="Times New Roman"/>
          <w:szCs w:val="24"/>
        </w:rPr>
        <w:t xml:space="preserve">its payments to PSE as required by the </w:t>
      </w:r>
      <w:r w:rsidRPr="00694D3D">
        <w:rPr>
          <w:rFonts w:cs="Times New Roman"/>
          <w:szCs w:val="24"/>
        </w:rPr>
        <w:t xml:space="preserve">Facility </w:t>
      </w:r>
      <w:r w:rsidR="00CC11CD" w:rsidRPr="00694D3D">
        <w:rPr>
          <w:rFonts w:cs="Times New Roman"/>
          <w:szCs w:val="24"/>
        </w:rPr>
        <w:t xml:space="preserve">Operating Agreement.  </w:t>
      </w:r>
      <w:r w:rsidR="00B11D9B" w:rsidRPr="00694D3D">
        <w:rPr>
          <w:rFonts w:cs="Times New Roman"/>
          <w:szCs w:val="24"/>
        </w:rPr>
        <w:t xml:space="preserve">Even </w:t>
      </w:r>
      <w:r w:rsidRPr="00694D3D">
        <w:rPr>
          <w:rFonts w:cs="Times New Roman"/>
          <w:szCs w:val="24"/>
        </w:rPr>
        <w:t>if PSE</w:t>
      </w:r>
      <w:r w:rsidR="00CC11CD" w:rsidRPr="00694D3D">
        <w:rPr>
          <w:rFonts w:cs="Times New Roman"/>
          <w:szCs w:val="24"/>
        </w:rPr>
        <w:t xml:space="preserve"> </w:t>
      </w:r>
      <w:r w:rsidR="00330DA6" w:rsidRPr="00694D3D">
        <w:rPr>
          <w:rFonts w:cs="Times New Roman"/>
          <w:szCs w:val="24"/>
        </w:rPr>
        <w:t xml:space="preserve">were required to </w:t>
      </w:r>
      <w:r w:rsidR="00A3561B" w:rsidRPr="00694D3D">
        <w:rPr>
          <w:rFonts w:cs="Times New Roman"/>
          <w:szCs w:val="24"/>
        </w:rPr>
        <w:t>make ongoing</w:t>
      </w:r>
      <w:r w:rsidR="00CC11CD" w:rsidRPr="00694D3D">
        <w:rPr>
          <w:rFonts w:cs="Times New Roman"/>
          <w:szCs w:val="24"/>
        </w:rPr>
        <w:t xml:space="preserve"> annual </w:t>
      </w:r>
      <w:r w:rsidR="00A3561B" w:rsidRPr="00694D3D">
        <w:rPr>
          <w:rFonts w:cs="Times New Roman"/>
          <w:szCs w:val="24"/>
        </w:rPr>
        <w:t>payments</w:t>
      </w:r>
      <w:r w:rsidR="00B11D9B" w:rsidRPr="00694D3D">
        <w:rPr>
          <w:rFonts w:cs="Times New Roman"/>
          <w:szCs w:val="24"/>
        </w:rPr>
        <w:t xml:space="preserve"> under the REA</w:t>
      </w:r>
      <w:r w:rsidR="00742E63" w:rsidRPr="00694D3D">
        <w:rPr>
          <w:rFonts w:cs="Times New Roman"/>
          <w:szCs w:val="24"/>
        </w:rPr>
        <w:t xml:space="preserve"> without Electron Hydro’s support</w:t>
      </w:r>
      <w:r w:rsidR="00B11D9B" w:rsidRPr="00694D3D">
        <w:rPr>
          <w:rFonts w:cs="Times New Roman"/>
          <w:szCs w:val="24"/>
        </w:rPr>
        <w:t>,</w:t>
      </w:r>
      <w:r w:rsidR="00CC11CD" w:rsidRPr="00694D3D">
        <w:rPr>
          <w:rFonts w:cs="Times New Roman"/>
          <w:szCs w:val="24"/>
        </w:rPr>
        <w:t xml:space="preserve"> </w:t>
      </w:r>
      <w:r w:rsidR="00A3561B" w:rsidRPr="00694D3D">
        <w:rPr>
          <w:rFonts w:cs="Times New Roman"/>
          <w:szCs w:val="24"/>
        </w:rPr>
        <w:t>it would</w:t>
      </w:r>
      <w:r w:rsidR="00330DA6" w:rsidRPr="00694D3D">
        <w:rPr>
          <w:rFonts w:cs="Times New Roman"/>
          <w:szCs w:val="24"/>
        </w:rPr>
        <w:t xml:space="preserve"> </w:t>
      </w:r>
      <w:r w:rsidR="00CC11CD" w:rsidRPr="00694D3D">
        <w:rPr>
          <w:rFonts w:cs="Times New Roman"/>
          <w:szCs w:val="24"/>
        </w:rPr>
        <w:t xml:space="preserve">not materially affect the overall benefit </w:t>
      </w:r>
      <w:r w:rsidR="00330DA6" w:rsidRPr="00694D3D">
        <w:rPr>
          <w:rFonts w:cs="Times New Roman"/>
          <w:szCs w:val="24"/>
        </w:rPr>
        <w:t xml:space="preserve">to ratepayers </w:t>
      </w:r>
      <w:r w:rsidR="00742E63" w:rsidRPr="00694D3D">
        <w:rPr>
          <w:rFonts w:cs="Times New Roman"/>
          <w:szCs w:val="24"/>
        </w:rPr>
        <w:t>arising from</w:t>
      </w:r>
      <w:r w:rsidR="00CC11CD" w:rsidRPr="00694D3D">
        <w:rPr>
          <w:rFonts w:cs="Times New Roman"/>
          <w:szCs w:val="24"/>
        </w:rPr>
        <w:t xml:space="preserve"> the transaction</w:t>
      </w:r>
      <w:r w:rsidR="00B11D9B" w:rsidRPr="00694D3D">
        <w:rPr>
          <w:rFonts w:cs="Times New Roman"/>
          <w:szCs w:val="24"/>
        </w:rPr>
        <w:t xml:space="preserve">. </w:t>
      </w:r>
      <w:r w:rsidR="00A3561B" w:rsidRPr="00694D3D">
        <w:rPr>
          <w:rFonts w:cs="Times New Roman"/>
          <w:szCs w:val="24"/>
        </w:rPr>
        <w:t xml:space="preserve"> </w:t>
      </w:r>
      <w:r w:rsidR="00B11D9B" w:rsidRPr="00694D3D">
        <w:rPr>
          <w:rFonts w:cs="Times New Roman"/>
          <w:szCs w:val="24"/>
        </w:rPr>
        <w:t xml:space="preserve">Nor </w:t>
      </w:r>
      <w:r w:rsidR="00A3561B" w:rsidRPr="00694D3D">
        <w:rPr>
          <w:rFonts w:cs="Times New Roman"/>
          <w:szCs w:val="24"/>
        </w:rPr>
        <w:t>would the</w:t>
      </w:r>
      <w:r w:rsidR="000207E7" w:rsidRPr="00694D3D">
        <w:rPr>
          <w:rFonts w:cs="Times New Roman"/>
          <w:szCs w:val="24"/>
        </w:rPr>
        <w:t xml:space="preserve"> estimated </w:t>
      </w:r>
      <w:r w:rsidR="003165C4" w:rsidRPr="00694D3D">
        <w:rPr>
          <w:rFonts w:cs="Times New Roman"/>
          <w:szCs w:val="24"/>
        </w:rPr>
        <w:t xml:space="preserve">$845,000 </w:t>
      </w:r>
      <w:r w:rsidR="00330DA6" w:rsidRPr="00694D3D">
        <w:rPr>
          <w:rFonts w:cs="Times New Roman"/>
          <w:szCs w:val="24"/>
        </w:rPr>
        <w:t xml:space="preserve">in </w:t>
      </w:r>
      <w:r w:rsidR="000207E7" w:rsidRPr="00694D3D">
        <w:rPr>
          <w:rFonts w:cs="Times New Roman"/>
          <w:szCs w:val="24"/>
        </w:rPr>
        <w:t>one-time cost</w:t>
      </w:r>
      <w:r w:rsidR="00EC3F05" w:rsidRPr="00694D3D">
        <w:rPr>
          <w:rFonts w:cs="Times New Roman"/>
          <w:szCs w:val="24"/>
        </w:rPr>
        <w:t xml:space="preserve">s associated with </w:t>
      </w:r>
      <w:r w:rsidR="00A3561B" w:rsidRPr="00694D3D">
        <w:rPr>
          <w:rFonts w:cs="Times New Roman"/>
          <w:szCs w:val="24"/>
        </w:rPr>
        <w:t>the removal</w:t>
      </w:r>
      <w:r w:rsidR="000207E7" w:rsidRPr="00694D3D">
        <w:rPr>
          <w:rFonts w:cs="Times New Roman"/>
          <w:szCs w:val="24"/>
        </w:rPr>
        <w:t xml:space="preserve"> of </w:t>
      </w:r>
      <w:r w:rsidR="003165C4" w:rsidRPr="00694D3D">
        <w:rPr>
          <w:rFonts w:cs="Times New Roman"/>
          <w:szCs w:val="24"/>
        </w:rPr>
        <w:t>E</w:t>
      </w:r>
      <w:r w:rsidR="000207E7" w:rsidRPr="00694D3D">
        <w:rPr>
          <w:rFonts w:cs="Times New Roman"/>
          <w:szCs w:val="24"/>
        </w:rPr>
        <w:t>lectron</w:t>
      </w:r>
      <w:r w:rsidR="003165C4" w:rsidRPr="00694D3D">
        <w:rPr>
          <w:rFonts w:cs="Times New Roman"/>
          <w:szCs w:val="24"/>
        </w:rPr>
        <w:t>’s</w:t>
      </w:r>
      <w:r w:rsidR="000207E7" w:rsidRPr="00694D3D">
        <w:rPr>
          <w:rFonts w:cs="Times New Roman"/>
          <w:szCs w:val="24"/>
        </w:rPr>
        <w:t xml:space="preserve"> </w:t>
      </w:r>
      <w:r w:rsidR="003165C4" w:rsidRPr="00694D3D">
        <w:rPr>
          <w:rFonts w:cs="Times New Roman"/>
          <w:szCs w:val="24"/>
        </w:rPr>
        <w:t>div</w:t>
      </w:r>
      <w:r w:rsidR="000207E7" w:rsidRPr="00694D3D">
        <w:rPr>
          <w:rFonts w:cs="Times New Roman"/>
          <w:szCs w:val="24"/>
        </w:rPr>
        <w:t xml:space="preserve">ersion dam and headworks from the channel of the Puyallup River </w:t>
      </w:r>
      <w:r w:rsidR="00F431AF" w:rsidRPr="00694D3D">
        <w:rPr>
          <w:rFonts w:cs="Times New Roman"/>
          <w:szCs w:val="24"/>
        </w:rPr>
        <w:t xml:space="preserve">upon the </w:t>
      </w:r>
      <w:r w:rsidR="00EC3F05" w:rsidRPr="00694D3D">
        <w:rPr>
          <w:rFonts w:cs="Times New Roman"/>
          <w:szCs w:val="24"/>
        </w:rPr>
        <w:t xml:space="preserve">Project’s </w:t>
      </w:r>
      <w:r w:rsidR="00F431AF" w:rsidRPr="00694D3D">
        <w:rPr>
          <w:rFonts w:cs="Times New Roman"/>
          <w:szCs w:val="24"/>
        </w:rPr>
        <w:t>retirement.</w:t>
      </w:r>
      <w:r w:rsidR="000207E7" w:rsidRPr="00694D3D">
        <w:rPr>
          <w:rFonts w:cs="Times New Roman"/>
          <w:szCs w:val="24"/>
        </w:rPr>
        <w:t xml:space="preserve"> </w:t>
      </w:r>
      <w:r w:rsidR="00A3561B" w:rsidRPr="00694D3D">
        <w:rPr>
          <w:rFonts w:cs="Times New Roman"/>
          <w:szCs w:val="24"/>
        </w:rPr>
        <w:t xml:space="preserve"> </w:t>
      </w:r>
      <w:r w:rsidR="00EC3F05" w:rsidRPr="00694D3D">
        <w:rPr>
          <w:rFonts w:cs="Times New Roman"/>
          <w:szCs w:val="24"/>
        </w:rPr>
        <w:t>Given these facts</w:t>
      </w:r>
      <w:r w:rsidR="00742E63" w:rsidRPr="00694D3D">
        <w:rPr>
          <w:rFonts w:cs="Times New Roman"/>
          <w:szCs w:val="24"/>
        </w:rPr>
        <w:t>,</w:t>
      </w:r>
      <w:r w:rsidR="00EC3F05" w:rsidRPr="00694D3D">
        <w:rPr>
          <w:rFonts w:cs="Times New Roman"/>
          <w:szCs w:val="24"/>
        </w:rPr>
        <w:t xml:space="preserve"> Staff continues to conclude that ratepayer exposure post-sale is limited to the requirements under the REA until such time as the Puyallup Tribe and Electron Hydro agree on a new REA. </w:t>
      </w:r>
      <w:r w:rsidR="00A3561B" w:rsidRPr="00694D3D">
        <w:rPr>
          <w:rFonts w:cs="Times New Roman"/>
          <w:szCs w:val="24"/>
        </w:rPr>
        <w:t xml:space="preserve"> </w:t>
      </w:r>
      <w:r w:rsidR="00EC3F05" w:rsidRPr="00694D3D">
        <w:rPr>
          <w:rFonts w:cs="Times New Roman"/>
          <w:szCs w:val="24"/>
        </w:rPr>
        <w:t>The Puyallup Tribe has provided no evidence to the contrary.</w:t>
      </w:r>
      <w:r w:rsidR="00694D3D">
        <w:rPr>
          <w:rFonts w:cs="Times New Roman"/>
          <w:szCs w:val="24"/>
        </w:rPr>
        <w:t xml:space="preserve">  </w:t>
      </w:r>
    </w:p>
    <w:p w14:paraId="0F8BD3DF" w14:textId="15497348" w:rsidR="00F84830" w:rsidRDefault="00A3561B" w:rsidP="00694D3D">
      <w:pPr>
        <w:pStyle w:val="ListParagraph"/>
        <w:numPr>
          <w:ilvl w:val="0"/>
          <w:numId w:val="10"/>
        </w:numPr>
        <w:spacing w:line="480" w:lineRule="auto"/>
        <w:ind w:left="0" w:hanging="720"/>
        <w:rPr>
          <w:rFonts w:cs="Times New Roman"/>
          <w:szCs w:val="24"/>
        </w:rPr>
      </w:pPr>
      <w:r w:rsidRPr="00694D3D">
        <w:rPr>
          <w:rFonts w:cs="Times New Roman"/>
          <w:szCs w:val="24"/>
        </w:rPr>
        <w:lastRenderedPageBreak/>
        <w:tab/>
      </w:r>
      <w:r w:rsidR="00EC3F05" w:rsidRPr="00694D3D">
        <w:rPr>
          <w:rFonts w:cs="Times New Roman"/>
          <w:szCs w:val="24"/>
        </w:rPr>
        <w:t xml:space="preserve">As noted above, the Puyallup Tribes’ brief attacks the fitness of Electron Hydro to operate the Electron facility economically.  To counter this assertion, Staff points the Commission to evidence presented by PSE </w:t>
      </w:r>
      <w:r w:rsidR="00890582" w:rsidRPr="00694D3D">
        <w:rPr>
          <w:rFonts w:cs="Times New Roman"/>
          <w:szCs w:val="24"/>
        </w:rPr>
        <w:t>i</w:t>
      </w:r>
      <w:r w:rsidRPr="00694D3D">
        <w:rPr>
          <w:rFonts w:cs="Times New Roman"/>
          <w:szCs w:val="24"/>
        </w:rPr>
        <w:t>n</w:t>
      </w:r>
      <w:r w:rsidR="00890582" w:rsidRPr="00694D3D">
        <w:rPr>
          <w:rFonts w:cs="Times New Roman"/>
          <w:szCs w:val="24"/>
        </w:rPr>
        <w:t xml:space="preserve"> filings</w:t>
      </w:r>
      <w:r w:rsidR="00EC3F05" w:rsidRPr="00694D3D">
        <w:rPr>
          <w:rFonts w:cs="Times New Roman"/>
          <w:szCs w:val="24"/>
        </w:rPr>
        <w:t xml:space="preserve"> related to this docket</w:t>
      </w:r>
      <w:r w:rsidR="00890582" w:rsidRPr="00694D3D">
        <w:rPr>
          <w:rFonts w:cs="Times New Roman"/>
          <w:szCs w:val="24"/>
        </w:rPr>
        <w:t xml:space="preserve">.  </w:t>
      </w:r>
      <w:r w:rsidR="00EC3F05" w:rsidRPr="00694D3D">
        <w:rPr>
          <w:rFonts w:cs="Times New Roman"/>
          <w:szCs w:val="24"/>
        </w:rPr>
        <w:t xml:space="preserve">Therein, </w:t>
      </w:r>
      <w:r w:rsidR="00BE5F2A" w:rsidRPr="00694D3D">
        <w:rPr>
          <w:rFonts w:cs="Times New Roman"/>
          <w:szCs w:val="24"/>
        </w:rPr>
        <w:t xml:space="preserve">PSE </w:t>
      </w:r>
      <w:r w:rsidR="006438B4" w:rsidRPr="00694D3D">
        <w:rPr>
          <w:rFonts w:cs="Times New Roman"/>
          <w:szCs w:val="24"/>
        </w:rPr>
        <w:t xml:space="preserve">represented how it </w:t>
      </w:r>
      <w:r w:rsidR="00BE5F2A" w:rsidRPr="00694D3D">
        <w:rPr>
          <w:rFonts w:cs="Times New Roman"/>
          <w:szCs w:val="24"/>
        </w:rPr>
        <w:t xml:space="preserve">performed its due </w:t>
      </w:r>
      <w:r w:rsidR="006438B4" w:rsidRPr="00694D3D">
        <w:rPr>
          <w:rFonts w:cs="Times New Roman"/>
          <w:szCs w:val="24"/>
        </w:rPr>
        <w:t>diligence</w:t>
      </w:r>
      <w:r w:rsidR="00BE5F2A" w:rsidRPr="00694D3D">
        <w:rPr>
          <w:rFonts w:cs="Times New Roman"/>
          <w:szCs w:val="24"/>
        </w:rPr>
        <w:t xml:space="preserve"> to screen offers for the sale of the project and weighed the </w:t>
      </w:r>
      <w:r w:rsidR="006438B4" w:rsidRPr="00694D3D">
        <w:rPr>
          <w:rFonts w:cs="Times New Roman"/>
          <w:szCs w:val="24"/>
        </w:rPr>
        <w:t xml:space="preserve">results of the solicitation </w:t>
      </w:r>
      <w:r w:rsidR="00BE5F2A" w:rsidRPr="00694D3D">
        <w:rPr>
          <w:rFonts w:cs="Times New Roman"/>
          <w:szCs w:val="24"/>
        </w:rPr>
        <w:t xml:space="preserve">against </w:t>
      </w:r>
      <w:r w:rsidR="008D3F54" w:rsidRPr="00694D3D">
        <w:rPr>
          <w:rFonts w:cs="Times New Roman"/>
          <w:szCs w:val="24"/>
        </w:rPr>
        <w:t>at least seven alternatives to the sale</w:t>
      </w:r>
      <w:r w:rsidR="006438B4" w:rsidRPr="00694D3D">
        <w:rPr>
          <w:rFonts w:cs="Times New Roman"/>
          <w:szCs w:val="24"/>
        </w:rPr>
        <w:t xml:space="preserve"> which included retirement</w:t>
      </w:r>
      <w:r w:rsidR="008D3F54" w:rsidRPr="00694D3D">
        <w:rPr>
          <w:rFonts w:cs="Times New Roman"/>
          <w:szCs w:val="24"/>
        </w:rPr>
        <w:t xml:space="preserve">.  PSE selected Electron Hydro as the most responsive and responsible bidder and </w:t>
      </w:r>
      <w:r w:rsidR="006438B4" w:rsidRPr="00694D3D">
        <w:rPr>
          <w:rFonts w:cs="Times New Roman"/>
          <w:szCs w:val="24"/>
        </w:rPr>
        <w:t xml:space="preserve">chose </w:t>
      </w:r>
      <w:r w:rsidR="008D3F54" w:rsidRPr="00694D3D">
        <w:rPr>
          <w:rFonts w:cs="Times New Roman"/>
          <w:szCs w:val="24"/>
        </w:rPr>
        <w:t xml:space="preserve">them based on their experience and ability to </w:t>
      </w:r>
      <w:r w:rsidR="00A1575C" w:rsidRPr="00694D3D">
        <w:rPr>
          <w:rFonts w:cs="Times New Roman"/>
          <w:szCs w:val="24"/>
        </w:rPr>
        <w:t xml:space="preserve">successfully </w:t>
      </w:r>
      <w:r w:rsidR="008D3F54" w:rsidRPr="00694D3D">
        <w:rPr>
          <w:rFonts w:cs="Times New Roman"/>
          <w:szCs w:val="24"/>
        </w:rPr>
        <w:t xml:space="preserve">perform to both the Power Purchase Agreement (PPA) and the </w:t>
      </w:r>
      <w:r w:rsidRPr="00694D3D">
        <w:rPr>
          <w:rFonts w:cs="Times New Roman"/>
          <w:szCs w:val="24"/>
        </w:rPr>
        <w:t xml:space="preserve">Facility </w:t>
      </w:r>
      <w:r w:rsidR="008D3F54" w:rsidRPr="00694D3D">
        <w:rPr>
          <w:rFonts w:cs="Times New Roman"/>
          <w:szCs w:val="24"/>
        </w:rPr>
        <w:t xml:space="preserve">Operating Agreement.  As a result, </w:t>
      </w:r>
      <w:r w:rsidR="00330DA6" w:rsidRPr="00694D3D">
        <w:rPr>
          <w:rFonts w:cs="Times New Roman"/>
          <w:szCs w:val="24"/>
        </w:rPr>
        <w:t xml:space="preserve">Staff </w:t>
      </w:r>
      <w:r w:rsidR="00346D2C" w:rsidRPr="00694D3D">
        <w:rPr>
          <w:rFonts w:cs="Times New Roman"/>
          <w:szCs w:val="24"/>
        </w:rPr>
        <w:t>concludes that</w:t>
      </w:r>
      <w:r w:rsidR="00330DA6" w:rsidRPr="00694D3D">
        <w:rPr>
          <w:rFonts w:cs="Times New Roman"/>
          <w:szCs w:val="24"/>
        </w:rPr>
        <w:t xml:space="preserve"> </w:t>
      </w:r>
      <w:r w:rsidR="008D3F54" w:rsidRPr="00694D3D">
        <w:rPr>
          <w:rFonts w:cs="Times New Roman"/>
          <w:szCs w:val="24"/>
        </w:rPr>
        <w:t xml:space="preserve">PSE has staked shareholder risk </w:t>
      </w:r>
      <w:r w:rsidR="006438B4" w:rsidRPr="00694D3D">
        <w:rPr>
          <w:rFonts w:cs="Times New Roman"/>
          <w:szCs w:val="24"/>
        </w:rPr>
        <w:t xml:space="preserve">on the outcome of </w:t>
      </w:r>
      <w:r w:rsidR="00A1575C" w:rsidRPr="00694D3D">
        <w:rPr>
          <w:rFonts w:cs="Times New Roman"/>
          <w:szCs w:val="24"/>
        </w:rPr>
        <w:t>Electron Hydro being successful in this business venture</w:t>
      </w:r>
      <w:r w:rsidR="006438B4" w:rsidRPr="00694D3D">
        <w:rPr>
          <w:rFonts w:cs="Times New Roman"/>
          <w:szCs w:val="24"/>
        </w:rPr>
        <w:t xml:space="preserve">. </w:t>
      </w:r>
      <w:r w:rsidRPr="00694D3D">
        <w:rPr>
          <w:rFonts w:cs="Times New Roman"/>
          <w:szCs w:val="24"/>
        </w:rPr>
        <w:t xml:space="preserve"> </w:t>
      </w:r>
      <w:r w:rsidR="00346D2C" w:rsidRPr="00694D3D">
        <w:rPr>
          <w:rFonts w:cs="Times New Roman"/>
          <w:szCs w:val="24"/>
        </w:rPr>
        <w:t xml:space="preserve">It is </w:t>
      </w:r>
      <w:r w:rsidR="00EC3F05" w:rsidRPr="00694D3D">
        <w:rPr>
          <w:rFonts w:cs="Times New Roman"/>
          <w:szCs w:val="24"/>
        </w:rPr>
        <w:t xml:space="preserve">unlikely that PSE would risk shareholder dollars by underestimating Electron Hydro’s ability to perform its obligations under the Amended Agreement. </w:t>
      </w:r>
      <w:r w:rsidR="00694D3D">
        <w:rPr>
          <w:rFonts w:cs="Times New Roman"/>
          <w:szCs w:val="24"/>
        </w:rPr>
        <w:t xml:space="preserve"> </w:t>
      </w:r>
    </w:p>
    <w:p w14:paraId="001DE0E5" w14:textId="0EE9B38C" w:rsidR="00694D3D" w:rsidRDefault="00694D3D" w:rsidP="00694D3D">
      <w:pPr>
        <w:pStyle w:val="ListParagraph"/>
        <w:spacing w:line="480" w:lineRule="auto"/>
        <w:ind w:left="0"/>
        <w:jc w:val="center"/>
        <w:rPr>
          <w:rFonts w:cs="Times New Roman"/>
          <w:szCs w:val="24"/>
        </w:rPr>
      </w:pPr>
      <w:r>
        <w:rPr>
          <w:rFonts w:cs="Times New Roman"/>
          <w:b/>
          <w:szCs w:val="24"/>
        </w:rPr>
        <w:t>II.</w:t>
      </w:r>
      <w:r>
        <w:rPr>
          <w:rFonts w:cs="Times New Roman"/>
          <w:b/>
          <w:szCs w:val="24"/>
        </w:rPr>
        <w:tab/>
        <w:t>CONCLUSION</w:t>
      </w:r>
    </w:p>
    <w:p w14:paraId="2FBBDFE5" w14:textId="40C601D0" w:rsidR="00556EEF" w:rsidRDefault="002B1263" w:rsidP="00694D3D">
      <w:pPr>
        <w:pStyle w:val="ListParagraph"/>
        <w:numPr>
          <w:ilvl w:val="0"/>
          <w:numId w:val="10"/>
        </w:numPr>
        <w:spacing w:line="480" w:lineRule="auto"/>
        <w:ind w:left="0" w:hanging="720"/>
        <w:rPr>
          <w:rFonts w:cs="Times New Roman"/>
          <w:szCs w:val="24"/>
        </w:rPr>
      </w:pPr>
      <w:r w:rsidRPr="00694D3D">
        <w:rPr>
          <w:rFonts w:cs="Times New Roman"/>
          <w:szCs w:val="24"/>
        </w:rPr>
        <w:tab/>
        <w:t xml:space="preserve">The </w:t>
      </w:r>
      <w:r w:rsidR="00EC3F05" w:rsidRPr="00694D3D">
        <w:rPr>
          <w:rFonts w:cs="Times New Roman"/>
          <w:szCs w:val="24"/>
        </w:rPr>
        <w:t xml:space="preserve">Puyallup </w:t>
      </w:r>
      <w:r w:rsidRPr="00694D3D">
        <w:rPr>
          <w:rFonts w:cs="Times New Roman"/>
          <w:szCs w:val="24"/>
        </w:rPr>
        <w:t>Tribe</w:t>
      </w:r>
      <w:r w:rsidR="00F84830" w:rsidRPr="00694D3D">
        <w:rPr>
          <w:rFonts w:cs="Times New Roman"/>
          <w:szCs w:val="24"/>
        </w:rPr>
        <w:t xml:space="preserve">’s principal argument against the sale of Electron revolves around two central issues: 1) Whether Electron Hydro is both financially and operationally able to operate Electron successfully; and </w:t>
      </w:r>
      <w:r w:rsidRPr="00694D3D">
        <w:rPr>
          <w:rFonts w:cs="Times New Roman"/>
          <w:szCs w:val="24"/>
        </w:rPr>
        <w:t xml:space="preserve">2) </w:t>
      </w:r>
      <w:r w:rsidR="0039069B" w:rsidRPr="00694D3D">
        <w:rPr>
          <w:rFonts w:cs="Times New Roman"/>
          <w:szCs w:val="24"/>
        </w:rPr>
        <w:t>a</w:t>
      </w:r>
      <w:r w:rsidRPr="00694D3D">
        <w:rPr>
          <w:rFonts w:cs="Times New Roman"/>
          <w:szCs w:val="24"/>
        </w:rPr>
        <w:t>lleged unlawful assignment of contract rights from PSE to Electron Hydro LLC.</w:t>
      </w:r>
      <w:r w:rsidR="00F84830" w:rsidRPr="00694D3D">
        <w:rPr>
          <w:rFonts w:cs="Times New Roman"/>
          <w:szCs w:val="24"/>
        </w:rPr>
        <w:t xml:space="preserve">  </w:t>
      </w:r>
    </w:p>
    <w:p w14:paraId="55891A8D" w14:textId="0F78366A" w:rsidR="002B1263" w:rsidRDefault="00556EEF" w:rsidP="00694D3D">
      <w:pPr>
        <w:pStyle w:val="ListParagraph"/>
        <w:numPr>
          <w:ilvl w:val="0"/>
          <w:numId w:val="10"/>
        </w:numPr>
        <w:spacing w:line="480" w:lineRule="auto"/>
        <w:ind w:left="0" w:hanging="720"/>
        <w:rPr>
          <w:rFonts w:cs="Times New Roman"/>
          <w:szCs w:val="24"/>
        </w:rPr>
      </w:pPr>
      <w:r w:rsidRPr="00694D3D">
        <w:rPr>
          <w:rFonts w:cs="Times New Roman"/>
          <w:szCs w:val="24"/>
        </w:rPr>
        <w:tab/>
      </w:r>
      <w:r w:rsidR="008376B2" w:rsidRPr="00694D3D">
        <w:rPr>
          <w:rFonts w:cs="Times New Roman"/>
          <w:szCs w:val="24"/>
        </w:rPr>
        <w:t>With regard to</w:t>
      </w:r>
      <w:r w:rsidR="00F84830" w:rsidRPr="00694D3D">
        <w:rPr>
          <w:rFonts w:cs="Times New Roman"/>
          <w:szCs w:val="24"/>
        </w:rPr>
        <w:t xml:space="preserve"> the first issue</w:t>
      </w:r>
      <w:r w:rsidR="00A3561B" w:rsidRPr="00694D3D">
        <w:rPr>
          <w:rFonts w:cs="Times New Roman"/>
          <w:szCs w:val="24"/>
        </w:rPr>
        <w:t>, PSE</w:t>
      </w:r>
      <w:r w:rsidRPr="00694D3D">
        <w:rPr>
          <w:rFonts w:cs="Times New Roman"/>
          <w:szCs w:val="24"/>
        </w:rPr>
        <w:t xml:space="preserve"> has demonstrated to the satisfaction of Staff that the sale relieves PSE of any need to incur future retirement or reconditioning costs, which would be additions to PSE’s current revenue requirement.  Staff evaluated all of the options presented by PSE and found the chosen option of selling the plant as the best one.</w:t>
      </w:r>
      <w:r w:rsidR="008376B2">
        <w:rPr>
          <w:rStyle w:val="FootnoteReference"/>
          <w:rFonts w:cs="Times New Roman"/>
          <w:szCs w:val="24"/>
        </w:rPr>
        <w:footnoteReference w:id="11"/>
      </w:r>
      <w:r w:rsidRPr="00694D3D">
        <w:rPr>
          <w:rFonts w:cs="Times New Roman"/>
          <w:szCs w:val="24"/>
        </w:rPr>
        <w:t xml:space="preserve"> </w:t>
      </w:r>
      <w:r w:rsidR="00A3561B" w:rsidRPr="00694D3D">
        <w:rPr>
          <w:rFonts w:cs="Times New Roman"/>
          <w:szCs w:val="24"/>
        </w:rPr>
        <w:t xml:space="preserve"> </w:t>
      </w:r>
      <w:r w:rsidR="008579E1" w:rsidRPr="00694D3D">
        <w:rPr>
          <w:rFonts w:cs="Times New Roman"/>
          <w:szCs w:val="24"/>
        </w:rPr>
        <w:t xml:space="preserve">PSE has demonstrated that it has selected a competent entity willing and able to run the facility in </w:t>
      </w:r>
      <w:r w:rsidR="008579E1" w:rsidRPr="00694D3D">
        <w:rPr>
          <w:rFonts w:cs="Times New Roman"/>
          <w:szCs w:val="24"/>
        </w:rPr>
        <w:lastRenderedPageBreak/>
        <w:t xml:space="preserve">both a financially and environmentally sound manner.  Nothing the </w:t>
      </w:r>
      <w:r w:rsidR="00A3561B" w:rsidRPr="00694D3D">
        <w:rPr>
          <w:rFonts w:cs="Times New Roman"/>
          <w:szCs w:val="24"/>
        </w:rPr>
        <w:t xml:space="preserve">Puyallup </w:t>
      </w:r>
      <w:r w:rsidR="008579E1" w:rsidRPr="00694D3D">
        <w:rPr>
          <w:rFonts w:cs="Times New Roman"/>
          <w:szCs w:val="24"/>
        </w:rPr>
        <w:t>Tribe presented in its brief alters Staff’s conclusion that the sale is in the public interest</w:t>
      </w:r>
      <w:r w:rsidR="00B45363" w:rsidRPr="00694D3D">
        <w:rPr>
          <w:rFonts w:cs="Times New Roman"/>
          <w:szCs w:val="24"/>
        </w:rPr>
        <w:t xml:space="preserve">. </w:t>
      </w:r>
      <w:r w:rsidR="00AA523D" w:rsidRPr="00694D3D">
        <w:rPr>
          <w:rFonts w:cs="Times New Roman"/>
          <w:szCs w:val="24"/>
        </w:rPr>
        <w:t xml:space="preserve"> </w:t>
      </w:r>
    </w:p>
    <w:p w14:paraId="07CC7336" w14:textId="0CB335CB" w:rsidR="00A401E7" w:rsidRDefault="002B1263" w:rsidP="00694D3D">
      <w:pPr>
        <w:pStyle w:val="ListParagraph"/>
        <w:numPr>
          <w:ilvl w:val="0"/>
          <w:numId w:val="10"/>
        </w:numPr>
        <w:spacing w:line="480" w:lineRule="auto"/>
        <w:ind w:left="0" w:hanging="720"/>
        <w:rPr>
          <w:rFonts w:cs="Times New Roman"/>
          <w:szCs w:val="24"/>
        </w:rPr>
      </w:pPr>
      <w:r w:rsidRPr="00694D3D">
        <w:rPr>
          <w:rFonts w:cs="Times New Roman"/>
          <w:b/>
          <w:szCs w:val="24"/>
        </w:rPr>
        <w:tab/>
      </w:r>
      <w:r w:rsidR="008376B2" w:rsidRPr="00694D3D">
        <w:rPr>
          <w:rFonts w:cs="Times New Roman"/>
          <w:szCs w:val="24"/>
        </w:rPr>
        <w:t>As to the second issue,</w:t>
      </w:r>
      <w:r w:rsidR="008376B2" w:rsidRPr="00694D3D">
        <w:rPr>
          <w:rFonts w:cs="Times New Roman"/>
          <w:b/>
          <w:szCs w:val="24"/>
        </w:rPr>
        <w:t xml:space="preserve"> </w:t>
      </w:r>
      <w:r w:rsidR="008579E1" w:rsidRPr="00694D3D">
        <w:rPr>
          <w:rFonts w:cs="Times New Roman"/>
          <w:szCs w:val="24"/>
        </w:rPr>
        <w:t xml:space="preserve">the </w:t>
      </w:r>
      <w:r w:rsidR="008376B2" w:rsidRPr="00694D3D">
        <w:rPr>
          <w:rFonts w:cs="Times New Roman"/>
          <w:szCs w:val="24"/>
        </w:rPr>
        <w:t xml:space="preserve">Puyallup </w:t>
      </w:r>
      <w:r w:rsidR="008579E1" w:rsidRPr="00694D3D">
        <w:rPr>
          <w:rFonts w:cs="Times New Roman"/>
          <w:szCs w:val="24"/>
        </w:rPr>
        <w:t xml:space="preserve">Tribe </w:t>
      </w:r>
      <w:r w:rsidR="008376B2" w:rsidRPr="00694D3D">
        <w:rPr>
          <w:rFonts w:cs="Times New Roman"/>
          <w:szCs w:val="24"/>
        </w:rPr>
        <w:t xml:space="preserve">objects </w:t>
      </w:r>
      <w:r w:rsidR="00A3561B" w:rsidRPr="00694D3D">
        <w:rPr>
          <w:rFonts w:cs="Times New Roman"/>
          <w:szCs w:val="24"/>
        </w:rPr>
        <w:t>to PSE’s</w:t>
      </w:r>
      <w:r w:rsidR="008376B2" w:rsidRPr="00694D3D">
        <w:rPr>
          <w:rFonts w:cs="Times New Roman"/>
          <w:szCs w:val="24"/>
        </w:rPr>
        <w:t xml:space="preserve"> </w:t>
      </w:r>
      <w:r w:rsidR="003A2616" w:rsidRPr="00694D3D">
        <w:rPr>
          <w:rFonts w:cs="Times New Roman"/>
          <w:szCs w:val="24"/>
        </w:rPr>
        <w:t xml:space="preserve">assignment of </w:t>
      </w:r>
      <w:r w:rsidR="008579E1" w:rsidRPr="00694D3D">
        <w:rPr>
          <w:rFonts w:cs="Times New Roman"/>
          <w:szCs w:val="24"/>
        </w:rPr>
        <w:t>the REA.</w:t>
      </w:r>
      <w:r w:rsidR="003A2616" w:rsidRPr="00694D3D">
        <w:rPr>
          <w:rFonts w:cs="Times New Roman"/>
          <w:szCs w:val="24"/>
        </w:rPr>
        <w:t xml:space="preserve"> </w:t>
      </w:r>
      <w:r w:rsidR="00B45363" w:rsidRPr="00694D3D">
        <w:rPr>
          <w:rFonts w:cs="Times New Roman"/>
          <w:szCs w:val="24"/>
        </w:rPr>
        <w:t xml:space="preserve">This </w:t>
      </w:r>
      <w:r w:rsidR="008376B2" w:rsidRPr="00694D3D">
        <w:rPr>
          <w:rFonts w:cs="Times New Roman"/>
          <w:szCs w:val="24"/>
        </w:rPr>
        <w:t xml:space="preserve">is no reason to derail </w:t>
      </w:r>
      <w:r w:rsidR="00B45363" w:rsidRPr="00694D3D">
        <w:rPr>
          <w:rFonts w:cs="Times New Roman"/>
          <w:szCs w:val="24"/>
        </w:rPr>
        <w:t>the</w:t>
      </w:r>
      <w:r w:rsidR="008376B2" w:rsidRPr="00694D3D">
        <w:rPr>
          <w:rFonts w:cs="Times New Roman"/>
          <w:szCs w:val="24"/>
        </w:rPr>
        <w:t xml:space="preserve"> sale. </w:t>
      </w:r>
      <w:r w:rsidR="00B45363" w:rsidRPr="00694D3D">
        <w:rPr>
          <w:rFonts w:cs="Times New Roman"/>
          <w:szCs w:val="24"/>
        </w:rPr>
        <w:t xml:space="preserve">Even if the Puyallup Tribe offered actual facts as to PSE’s breach of the agreement, the Commission is not the proper venue to resolve the matter, and </w:t>
      </w:r>
      <w:r w:rsidR="008376B2" w:rsidRPr="00694D3D">
        <w:rPr>
          <w:rFonts w:cs="Times New Roman"/>
          <w:szCs w:val="24"/>
        </w:rPr>
        <w:t>should not be placed in the position of having to interpret or determine the rights of the Puyallup Tribe under the REA.  If the Puyallup Tribe believes PSE has breached the agreement, then it should turn to the dispute resolution provisions found in the REA.</w:t>
      </w:r>
      <w:r w:rsidR="008376B2">
        <w:rPr>
          <w:rStyle w:val="FootnoteReference"/>
          <w:rFonts w:cs="Times New Roman"/>
          <w:szCs w:val="24"/>
        </w:rPr>
        <w:footnoteReference w:id="12"/>
      </w:r>
      <w:r w:rsidR="003A2616" w:rsidRPr="00694D3D">
        <w:rPr>
          <w:rFonts w:cs="Times New Roman"/>
          <w:szCs w:val="24"/>
        </w:rPr>
        <w:t xml:space="preserve">  </w:t>
      </w:r>
    </w:p>
    <w:p w14:paraId="496C85E1" w14:textId="77777777" w:rsidR="00A401E7" w:rsidRPr="00694D3D" w:rsidRDefault="00A401E7" w:rsidP="00694D3D">
      <w:pPr>
        <w:pStyle w:val="ListParagraph"/>
        <w:numPr>
          <w:ilvl w:val="0"/>
          <w:numId w:val="10"/>
        </w:numPr>
        <w:spacing w:line="480" w:lineRule="auto"/>
        <w:ind w:left="0" w:hanging="720"/>
        <w:rPr>
          <w:rFonts w:cs="Times New Roman"/>
          <w:szCs w:val="24"/>
        </w:rPr>
      </w:pPr>
      <w:r w:rsidRPr="00694D3D">
        <w:rPr>
          <w:rFonts w:cs="Times New Roman"/>
          <w:szCs w:val="24"/>
        </w:rPr>
        <w:tab/>
      </w:r>
      <w:r w:rsidR="008376B2" w:rsidRPr="00694D3D">
        <w:rPr>
          <w:rFonts w:cs="Times New Roman"/>
          <w:szCs w:val="24"/>
        </w:rPr>
        <w:t xml:space="preserve">In conclusion, </w:t>
      </w:r>
      <w:r w:rsidR="003A2616" w:rsidRPr="00694D3D">
        <w:rPr>
          <w:rFonts w:cs="Times New Roman"/>
          <w:szCs w:val="24"/>
        </w:rPr>
        <w:t xml:space="preserve">Staff </w:t>
      </w:r>
      <w:r w:rsidRPr="00694D3D">
        <w:rPr>
          <w:rFonts w:cs="Times New Roman"/>
          <w:szCs w:val="24"/>
        </w:rPr>
        <w:t xml:space="preserve">recommends the Commission </w:t>
      </w:r>
      <w:r w:rsidR="00FF6DC6" w:rsidRPr="00694D3D">
        <w:rPr>
          <w:rFonts w:cs="Times New Roman"/>
          <w:szCs w:val="24"/>
        </w:rPr>
        <w:t xml:space="preserve">reaffirm its decision to </w:t>
      </w:r>
      <w:r w:rsidRPr="00694D3D">
        <w:rPr>
          <w:rFonts w:cs="Times New Roman"/>
          <w:szCs w:val="24"/>
        </w:rPr>
        <w:t>approve:</w:t>
      </w:r>
    </w:p>
    <w:p w14:paraId="6358E978" w14:textId="77777777" w:rsidR="00A401E7" w:rsidRPr="00A401E7" w:rsidRDefault="00A401E7" w:rsidP="00A401E7">
      <w:pPr>
        <w:pStyle w:val="ListParagraph"/>
        <w:numPr>
          <w:ilvl w:val="2"/>
          <w:numId w:val="11"/>
        </w:numPr>
        <w:spacing w:line="480" w:lineRule="auto"/>
        <w:ind w:left="1890" w:hanging="540"/>
        <w:rPr>
          <w:rFonts w:cs="Times New Roman"/>
          <w:szCs w:val="24"/>
        </w:rPr>
      </w:pPr>
      <w:r w:rsidRPr="00A401E7">
        <w:rPr>
          <w:rFonts w:cs="Times New Roman"/>
          <w:szCs w:val="24"/>
        </w:rPr>
        <w:t xml:space="preserve">The sale of PSE’s Electron Project to Electron Hydro under the originally filed Asset Purchase Agreement (Agreement) as amended in Exhibit F-5 of PSE’s Amended Application; and  </w:t>
      </w:r>
    </w:p>
    <w:p w14:paraId="65018D8A" w14:textId="77777777" w:rsidR="00A401E7" w:rsidRPr="00A401E7" w:rsidRDefault="00A401E7" w:rsidP="00A401E7">
      <w:pPr>
        <w:pStyle w:val="ListParagraph"/>
        <w:numPr>
          <w:ilvl w:val="2"/>
          <w:numId w:val="11"/>
        </w:numPr>
        <w:spacing w:line="480" w:lineRule="auto"/>
        <w:ind w:left="1890" w:hanging="540"/>
        <w:rPr>
          <w:rFonts w:cs="Times New Roman"/>
          <w:szCs w:val="24"/>
        </w:rPr>
      </w:pPr>
      <w:r w:rsidRPr="00A401E7">
        <w:rPr>
          <w:rFonts w:cs="Times New Roman"/>
          <w:szCs w:val="24"/>
        </w:rPr>
        <w:t>The proposed accounting and ratemaking treatment briefly described by the Company in the Amended Application on substitute page 11, paragraph 23 and outlined in detail in substitute Exhibit G.</w:t>
      </w:r>
    </w:p>
    <w:p w14:paraId="079FC506" w14:textId="77777777" w:rsidR="009F67A5" w:rsidRDefault="009F67A5" w:rsidP="003715A5">
      <w:pPr>
        <w:widowControl w:val="0"/>
        <w:autoSpaceDE w:val="0"/>
        <w:autoSpaceDN w:val="0"/>
        <w:adjustRightInd w:val="0"/>
        <w:spacing w:line="240" w:lineRule="exact"/>
        <w:ind w:left="720"/>
        <w:rPr>
          <w:rFonts w:eastAsia="Times New Roman" w:cs="Times New Roman"/>
          <w:szCs w:val="24"/>
        </w:rPr>
      </w:pPr>
      <w:r w:rsidRPr="009F67A5">
        <w:rPr>
          <w:rFonts w:eastAsia="Times New Roman" w:cs="Times New Roman"/>
          <w:szCs w:val="24"/>
        </w:rPr>
        <w:t xml:space="preserve">DATED this </w:t>
      </w:r>
      <w:r w:rsidR="00A3561B">
        <w:rPr>
          <w:rFonts w:eastAsia="Times New Roman" w:cs="Times New Roman"/>
          <w:szCs w:val="24"/>
        </w:rPr>
        <w:t>11</w:t>
      </w:r>
      <w:r w:rsidR="00A3561B" w:rsidRPr="00A3561B">
        <w:rPr>
          <w:rFonts w:eastAsia="Times New Roman" w:cs="Times New Roman"/>
          <w:szCs w:val="24"/>
          <w:vertAlign w:val="superscript"/>
        </w:rPr>
        <w:t>th</w:t>
      </w:r>
      <w:r w:rsidR="002B1263">
        <w:rPr>
          <w:rFonts w:eastAsia="Times New Roman" w:cs="Times New Roman"/>
          <w:szCs w:val="24"/>
        </w:rPr>
        <w:t xml:space="preserve"> </w:t>
      </w:r>
      <w:r w:rsidRPr="009F67A5">
        <w:rPr>
          <w:rFonts w:eastAsia="Times New Roman" w:cs="Times New Roman"/>
          <w:szCs w:val="24"/>
        </w:rPr>
        <w:t xml:space="preserve">day of </w:t>
      </w:r>
      <w:r w:rsidR="00A3561B">
        <w:rPr>
          <w:rFonts w:eastAsia="Times New Roman" w:cs="Times New Roman"/>
          <w:szCs w:val="24"/>
        </w:rPr>
        <w:t>September</w:t>
      </w:r>
      <w:r>
        <w:rPr>
          <w:rFonts w:eastAsia="Times New Roman" w:cs="Times New Roman"/>
          <w:szCs w:val="24"/>
        </w:rPr>
        <w:t xml:space="preserve"> </w:t>
      </w:r>
      <w:r w:rsidRPr="009F67A5">
        <w:rPr>
          <w:rFonts w:eastAsia="Times New Roman" w:cs="Times New Roman"/>
          <w:szCs w:val="24"/>
        </w:rPr>
        <w:t>201</w:t>
      </w:r>
      <w:r w:rsidR="001F55EF">
        <w:rPr>
          <w:rFonts w:eastAsia="Times New Roman" w:cs="Times New Roman"/>
          <w:szCs w:val="24"/>
        </w:rPr>
        <w:t>4</w:t>
      </w:r>
      <w:r w:rsidRPr="009F67A5">
        <w:rPr>
          <w:rFonts w:eastAsia="Times New Roman" w:cs="Times New Roman"/>
          <w:szCs w:val="24"/>
        </w:rPr>
        <w:t>.</w:t>
      </w:r>
    </w:p>
    <w:p w14:paraId="17561B26" w14:textId="77777777" w:rsidR="003715A5" w:rsidRPr="009F67A5" w:rsidRDefault="003715A5" w:rsidP="003715A5">
      <w:pPr>
        <w:widowControl w:val="0"/>
        <w:autoSpaceDE w:val="0"/>
        <w:autoSpaceDN w:val="0"/>
        <w:adjustRightInd w:val="0"/>
        <w:spacing w:line="240" w:lineRule="exact"/>
        <w:ind w:left="720"/>
        <w:rPr>
          <w:rFonts w:eastAsia="Times New Roman" w:cs="Times New Roman"/>
          <w:szCs w:val="24"/>
        </w:rPr>
      </w:pPr>
    </w:p>
    <w:p w14:paraId="5D5C3B79" w14:textId="77777777" w:rsidR="009F67A5" w:rsidRPr="009F67A5" w:rsidRDefault="009F67A5" w:rsidP="003715A5">
      <w:pPr>
        <w:widowControl w:val="0"/>
        <w:autoSpaceDE w:val="0"/>
        <w:autoSpaceDN w:val="0"/>
        <w:adjustRightInd w:val="0"/>
        <w:spacing w:line="240" w:lineRule="exact"/>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14:paraId="3662736A" w14:textId="77777777" w:rsidR="009F67A5" w:rsidRPr="009F67A5" w:rsidRDefault="009F67A5" w:rsidP="003715A5">
      <w:pPr>
        <w:spacing w:line="240" w:lineRule="exact"/>
        <w:ind w:left="686"/>
        <w:rPr>
          <w:rFonts w:eastAsia="Times New Roman" w:cs="Times New Roman"/>
          <w:szCs w:val="24"/>
        </w:rPr>
      </w:pPr>
    </w:p>
    <w:p w14:paraId="79F276E8" w14:textId="77777777" w:rsidR="009F67A5" w:rsidRPr="009F67A5" w:rsidRDefault="009F67A5" w:rsidP="003715A5">
      <w:pPr>
        <w:widowControl w:val="0"/>
        <w:autoSpaceDE w:val="0"/>
        <w:autoSpaceDN w:val="0"/>
        <w:adjustRightInd w:val="0"/>
        <w:spacing w:line="240" w:lineRule="exact"/>
        <w:ind w:left="5040"/>
        <w:jc w:val="both"/>
        <w:rPr>
          <w:rFonts w:eastAsia="Times New Roman" w:cs="Times New Roman"/>
          <w:szCs w:val="24"/>
        </w:rPr>
      </w:pPr>
      <w:r w:rsidRPr="009F67A5">
        <w:rPr>
          <w:rFonts w:eastAsia="Times New Roman" w:cs="Times New Roman"/>
          <w:szCs w:val="24"/>
        </w:rPr>
        <w:t xml:space="preserve">ROBERT W. FERGUSON </w:t>
      </w:r>
    </w:p>
    <w:p w14:paraId="65C89478" w14:textId="77777777" w:rsidR="009F67A5" w:rsidRPr="009F67A5" w:rsidRDefault="009F67A5" w:rsidP="003715A5">
      <w:pPr>
        <w:widowControl w:val="0"/>
        <w:autoSpaceDE w:val="0"/>
        <w:autoSpaceDN w:val="0"/>
        <w:adjustRightInd w:val="0"/>
        <w:spacing w:line="240" w:lineRule="exact"/>
        <w:ind w:firstLine="5040"/>
        <w:jc w:val="both"/>
        <w:rPr>
          <w:rFonts w:eastAsia="Times New Roman" w:cs="Times New Roman"/>
          <w:szCs w:val="24"/>
        </w:rPr>
      </w:pPr>
      <w:r w:rsidRPr="009F67A5">
        <w:rPr>
          <w:rFonts w:eastAsia="Times New Roman" w:cs="Times New Roman"/>
          <w:szCs w:val="24"/>
        </w:rPr>
        <w:t>Attorney General</w:t>
      </w:r>
    </w:p>
    <w:p w14:paraId="5AF4B8E7" w14:textId="77777777" w:rsidR="009F67A5" w:rsidRDefault="009F67A5" w:rsidP="003715A5">
      <w:pPr>
        <w:widowControl w:val="0"/>
        <w:autoSpaceDE w:val="0"/>
        <w:autoSpaceDN w:val="0"/>
        <w:adjustRightInd w:val="0"/>
        <w:spacing w:line="240" w:lineRule="exact"/>
        <w:jc w:val="both"/>
        <w:rPr>
          <w:rFonts w:eastAsia="Times New Roman" w:cs="Times New Roman"/>
          <w:szCs w:val="24"/>
        </w:rPr>
      </w:pPr>
    </w:p>
    <w:p w14:paraId="796652AD" w14:textId="77777777" w:rsidR="003715A5" w:rsidRDefault="003715A5" w:rsidP="003715A5">
      <w:pPr>
        <w:widowControl w:val="0"/>
        <w:autoSpaceDE w:val="0"/>
        <w:autoSpaceDN w:val="0"/>
        <w:adjustRightInd w:val="0"/>
        <w:spacing w:line="240" w:lineRule="exact"/>
        <w:jc w:val="both"/>
        <w:rPr>
          <w:rFonts w:eastAsia="Times New Roman" w:cs="Times New Roman"/>
          <w:szCs w:val="24"/>
        </w:rPr>
      </w:pPr>
    </w:p>
    <w:p w14:paraId="657EB21A" w14:textId="77777777" w:rsidR="009F67A5" w:rsidRPr="009F67A5" w:rsidRDefault="009F67A5" w:rsidP="003715A5">
      <w:pPr>
        <w:widowControl w:val="0"/>
        <w:autoSpaceDE w:val="0"/>
        <w:autoSpaceDN w:val="0"/>
        <w:adjustRightInd w:val="0"/>
        <w:spacing w:line="240" w:lineRule="exact"/>
        <w:ind w:left="1440" w:firstLine="3600"/>
        <w:jc w:val="both"/>
        <w:rPr>
          <w:rFonts w:eastAsia="Times New Roman" w:cs="Times New Roman"/>
          <w:szCs w:val="24"/>
        </w:rPr>
      </w:pPr>
      <w:r w:rsidRPr="009F67A5">
        <w:rPr>
          <w:rFonts w:eastAsia="Times New Roman" w:cs="Times New Roman"/>
          <w:szCs w:val="24"/>
        </w:rPr>
        <w:t>______________________________</w:t>
      </w:r>
    </w:p>
    <w:p w14:paraId="48838801" w14:textId="77777777" w:rsidR="00FF6DC6" w:rsidRDefault="00FF6DC6" w:rsidP="003715A5">
      <w:pPr>
        <w:widowControl w:val="0"/>
        <w:autoSpaceDE w:val="0"/>
        <w:autoSpaceDN w:val="0"/>
        <w:adjustRightInd w:val="0"/>
        <w:spacing w:line="240" w:lineRule="exact"/>
        <w:ind w:left="1440" w:firstLine="3600"/>
        <w:jc w:val="both"/>
        <w:rPr>
          <w:rFonts w:eastAsia="Times New Roman" w:cs="Times New Roman"/>
          <w:szCs w:val="24"/>
        </w:rPr>
      </w:pPr>
    </w:p>
    <w:p w14:paraId="7905722A" w14:textId="5721FB0F" w:rsidR="00A401E7" w:rsidRDefault="00C3336A" w:rsidP="003715A5">
      <w:pPr>
        <w:widowControl w:val="0"/>
        <w:autoSpaceDE w:val="0"/>
        <w:autoSpaceDN w:val="0"/>
        <w:adjustRightInd w:val="0"/>
        <w:spacing w:line="240" w:lineRule="exact"/>
        <w:ind w:left="1440" w:firstLine="3600"/>
        <w:jc w:val="both"/>
        <w:rPr>
          <w:rFonts w:eastAsia="Times New Roman" w:cs="Times New Roman"/>
          <w:szCs w:val="24"/>
        </w:rPr>
      </w:pPr>
      <w:r>
        <w:rPr>
          <w:rFonts w:eastAsia="Times New Roman" w:cs="Times New Roman"/>
          <w:szCs w:val="24"/>
        </w:rPr>
        <w:t>SALLY BROWN</w:t>
      </w:r>
    </w:p>
    <w:p w14:paraId="60F9B35C" w14:textId="6BD9FE34" w:rsidR="009F67A5" w:rsidRPr="009F67A5" w:rsidRDefault="00C3336A" w:rsidP="003715A5">
      <w:pPr>
        <w:widowControl w:val="0"/>
        <w:autoSpaceDE w:val="0"/>
        <w:autoSpaceDN w:val="0"/>
        <w:adjustRightInd w:val="0"/>
        <w:spacing w:line="240" w:lineRule="exact"/>
        <w:ind w:left="1440" w:firstLine="3600"/>
        <w:jc w:val="both"/>
        <w:rPr>
          <w:rFonts w:eastAsia="Times New Roman" w:cs="Times New Roman"/>
          <w:szCs w:val="24"/>
        </w:rPr>
      </w:pPr>
      <w:r>
        <w:rPr>
          <w:rFonts w:eastAsia="Times New Roman" w:cs="Times New Roman"/>
          <w:szCs w:val="24"/>
        </w:rPr>
        <w:t xml:space="preserve">Senior </w:t>
      </w:r>
      <w:r w:rsidR="009F67A5" w:rsidRPr="009F67A5">
        <w:rPr>
          <w:rFonts w:eastAsia="Times New Roman" w:cs="Times New Roman"/>
          <w:szCs w:val="24"/>
        </w:rPr>
        <w:t>Assistant Attorney General</w:t>
      </w:r>
    </w:p>
    <w:p w14:paraId="6662C53C" w14:textId="77777777" w:rsidR="009F67A5" w:rsidRPr="009F67A5" w:rsidRDefault="009F67A5" w:rsidP="003715A5">
      <w:pPr>
        <w:widowControl w:val="0"/>
        <w:autoSpaceDE w:val="0"/>
        <w:autoSpaceDN w:val="0"/>
        <w:adjustRightInd w:val="0"/>
        <w:spacing w:line="240" w:lineRule="exact"/>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14:paraId="76356F74" w14:textId="77777777" w:rsidR="009F67A5" w:rsidRPr="002157A7" w:rsidRDefault="009F67A5" w:rsidP="003715A5">
      <w:pPr>
        <w:widowControl w:val="0"/>
        <w:autoSpaceDE w:val="0"/>
        <w:autoSpaceDN w:val="0"/>
        <w:adjustRightInd w:val="0"/>
        <w:spacing w:line="240" w:lineRule="exact"/>
        <w:ind w:left="2880" w:firstLine="2160"/>
        <w:jc w:val="both"/>
        <w:rPr>
          <w:rFonts w:eastAsia="Times New Roman" w:cs="Times New Roman"/>
          <w:szCs w:val="24"/>
        </w:rPr>
      </w:pPr>
      <w:r w:rsidRPr="009F67A5">
        <w:rPr>
          <w:rFonts w:eastAsia="Times New Roman" w:cs="Times New Roman"/>
          <w:szCs w:val="24"/>
        </w:rPr>
        <w:t>Transportation Commission Staff</w:t>
      </w:r>
    </w:p>
    <w:sectPr w:rsidR="009F67A5" w:rsidRPr="002157A7" w:rsidSect="00A401E7">
      <w:pgSz w:w="12240" w:h="15840"/>
      <w:pgMar w:top="126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C0A7D" w14:textId="77777777" w:rsidR="00522243" w:rsidRDefault="00522243" w:rsidP="00422488">
      <w:r>
        <w:separator/>
      </w:r>
    </w:p>
  </w:endnote>
  <w:endnote w:type="continuationSeparator" w:id="0">
    <w:p w14:paraId="71B5A20D" w14:textId="77777777" w:rsidR="00522243" w:rsidRDefault="00522243" w:rsidP="0042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A509B" w14:textId="77777777" w:rsidR="004D574A" w:rsidRDefault="004D574A">
    <w:pPr>
      <w:pStyle w:val="Footer"/>
      <w:rPr>
        <w:sz w:val="20"/>
        <w:szCs w:val="20"/>
      </w:rPr>
    </w:pPr>
  </w:p>
  <w:p w14:paraId="035324FA" w14:textId="77777777" w:rsidR="004D574A" w:rsidRPr="009F67A5" w:rsidRDefault="008579E1" w:rsidP="00DB54AF">
    <w:pPr>
      <w:pStyle w:val="Footer"/>
      <w:rPr>
        <w:sz w:val="20"/>
        <w:szCs w:val="20"/>
      </w:rPr>
    </w:pPr>
    <w:r w:rsidRPr="008579E1">
      <w:rPr>
        <w:sz w:val="20"/>
        <w:szCs w:val="20"/>
      </w:rPr>
      <w:t xml:space="preserve">STAFF CONFIDENTIAL RESPONSE TO PUYALLUP TRIBE BRIEF </w:t>
    </w:r>
    <w:r w:rsidR="002157A7">
      <w:rPr>
        <w:sz w:val="20"/>
        <w:szCs w:val="20"/>
      </w:rPr>
      <w:t xml:space="preserve">- </w:t>
    </w:r>
    <w:r w:rsidR="002157A7" w:rsidRPr="002157A7">
      <w:rPr>
        <w:sz w:val="20"/>
        <w:szCs w:val="20"/>
      </w:rPr>
      <w:fldChar w:fldCharType="begin"/>
    </w:r>
    <w:r w:rsidR="002157A7" w:rsidRPr="002157A7">
      <w:rPr>
        <w:sz w:val="20"/>
        <w:szCs w:val="20"/>
      </w:rPr>
      <w:instrText xml:space="preserve"> PAGE   \* MERGEFORMAT </w:instrText>
    </w:r>
    <w:r w:rsidR="002157A7" w:rsidRPr="002157A7">
      <w:rPr>
        <w:sz w:val="20"/>
        <w:szCs w:val="20"/>
      </w:rPr>
      <w:fldChar w:fldCharType="separate"/>
    </w:r>
    <w:r w:rsidR="000A4FE6">
      <w:rPr>
        <w:noProof/>
        <w:sz w:val="20"/>
        <w:szCs w:val="20"/>
      </w:rPr>
      <w:t>1</w:t>
    </w:r>
    <w:r w:rsidR="002157A7" w:rsidRPr="002157A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19B1D" w14:textId="77777777" w:rsidR="00522243" w:rsidRDefault="00522243" w:rsidP="00422488">
      <w:r>
        <w:separator/>
      </w:r>
    </w:p>
  </w:footnote>
  <w:footnote w:type="continuationSeparator" w:id="0">
    <w:p w14:paraId="6D74012E" w14:textId="77777777" w:rsidR="00522243" w:rsidRDefault="00522243" w:rsidP="00422488">
      <w:r>
        <w:continuationSeparator/>
      </w:r>
    </w:p>
  </w:footnote>
  <w:footnote w:id="1">
    <w:p w14:paraId="12A42994" w14:textId="77777777" w:rsidR="009E618C" w:rsidRDefault="009E618C">
      <w:pPr>
        <w:pStyle w:val="FootnoteText"/>
      </w:pPr>
      <w:r>
        <w:rPr>
          <w:rStyle w:val="FootnoteReference"/>
        </w:rPr>
        <w:footnoteRef/>
      </w:r>
      <w:r>
        <w:t xml:space="preserve"> </w:t>
      </w:r>
      <w:r w:rsidRPr="009E618C">
        <w:t>Wash. Utils. &amp; Transportation Commn. v. Puget Sound Energy, Inc., Dockets UE-131099, et al., Order 06 at ¶ 7</w:t>
      </w:r>
      <w:r>
        <w:t>7</w:t>
      </w:r>
      <w:r w:rsidRPr="009E618C">
        <w:t xml:space="preserve"> (Oct. 23, 2013).</w:t>
      </w:r>
    </w:p>
  </w:footnote>
  <w:footnote w:id="2">
    <w:p w14:paraId="3EDBD514" w14:textId="77777777" w:rsidR="00171DD1" w:rsidRDefault="00171DD1">
      <w:pPr>
        <w:pStyle w:val="FootnoteText"/>
      </w:pPr>
      <w:r>
        <w:rPr>
          <w:rStyle w:val="FootnoteReference"/>
        </w:rPr>
        <w:footnoteRef/>
      </w:r>
      <w:r>
        <w:t xml:space="preserve"> </w:t>
      </w:r>
      <w:r w:rsidRPr="00171DD1">
        <w:t xml:space="preserve">Wash. Utils. &amp; Transportation Commn. v. Puget Sound Energy, Inc., Dockets UE-131099, et al., Intervener’s Brief in Opposition to Puget Sound Energy’s Proposed Sale of the Electron Hydroelectric Project, ¶ </w:t>
      </w:r>
      <w:r>
        <w:t>5</w:t>
      </w:r>
      <w:r w:rsidRPr="00171DD1">
        <w:t>.</w:t>
      </w:r>
    </w:p>
  </w:footnote>
  <w:footnote w:id="3">
    <w:p w14:paraId="128A3098" w14:textId="77777777" w:rsidR="00535B4C" w:rsidRDefault="00535B4C" w:rsidP="00535B4C">
      <w:pPr>
        <w:pStyle w:val="FootnoteText"/>
      </w:pPr>
      <w:r>
        <w:rPr>
          <w:rStyle w:val="FootnoteReference"/>
        </w:rPr>
        <w:footnoteRef/>
      </w:r>
      <w:r>
        <w:t xml:space="preserve"> See </w:t>
      </w:r>
      <w:r w:rsidRPr="00EE57D5">
        <w:t>Wash. Utils. &amp; Transportation Commn. v. Puget Sound Energy, Inc., Dockets UE-131099, et al.,</w:t>
      </w:r>
      <w:r>
        <w:t xml:space="preserve"> Testimony of David C. Gomez, Exhibit No. __ CT (DCG-1T).</w:t>
      </w:r>
    </w:p>
  </w:footnote>
  <w:footnote w:id="4">
    <w:p w14:paraId="5A76DFE7" w14:textId="77777777" w:rsidR="0093349A" w:rsidRDefault="0093349A">
      <w:pPr>
        <w:pStyle w:val="FootnoteText"/>
      </w:pPr>
      <w:r>
        <w:rPr>
          <w:rStyle w:val="FootnoteReference"/>
        </w:rPr>
        <w:footnoteRef/>
      </w:r>
      <w:r>
        <w:t xml:space="preserve"> See UTC Staff Response to Commission Notice, dated July 18, 2014.</w:t>
      </w:r>
    </w:p>
  </w:footnote>
  <w:footnote w:id="5">
    <w:p w14:paraId="1D7892F6" w14:textId="77777777" w:rsidR="008F10D5" w:rsidRDefault="008F10D5" w:rsidP="008F10D5">
      <w:pPr>
        <w:pStyle w:val="FootnoteText"/>
      </w:pPr>
      <w:r>
        <w:rPr>
          <w:rStyle w:val="FootnoteReference"/>
        </w:rPr>
        <w:footnoteRef/>
      </w:r>
      <w:r>
        <w:t xml:space="preserve"> See </w:t>
      </w:r>
      <w:r w:rsidRPr="00EE57D5">
        <w:t>Wash. Utils. &amp; Transportation Commn. v. Puget Sound Energy, Inc., Dockets UE-131099,</w:t>
      </w:r>
      <w:r>
        <w:t xml:space="preserve"> et al., Amended Application of Puget Sound Energy, Inc., Page 6, </w:t>
      </w:r>
      <w:r>
        <w:rPr>
          <w:rFonts w:cs="Times New Roman"/>
        </w:rPr>
        <w:t>¶</w:t>
      </w:r>
      <w:r>
        <w:t xml:space="preserve"> 11; Page 7, </w:t>
      </w:r>
      <w:r>
        <w:rPr>
          <w:rFonts w:cs="Times New Roman"/>
        </w:rPr>
        <w:t>¶¶</w:t>
      </w:r>
      <w:r>
        <w:t xml:space="preserve"> 12, 13 and 14; and Page 8, </w:t>
      </w:r>
      <w:r>
        <w:rPr>
          <w:rFonts w:cs="Times New Roman"/>
        </w:rPr>
        <w:t>¶¶</w:t>
      </w:r>
      <w:r>
        <w:t xml:space="preserve"> 15 16 and 17, </w:t>
      </w:r>
      <w:r w:rsidR="002C5038">
        <w:t>provides a summary of the impact of the Amended Agreement.</w:t>
      </w:r>
      <w:r>
        <w:t xml:space="preserve"> </w:t>
      </w:r>
    </w:p>
  </w:footnote>
  <w:footnote w:id="6">
    <w:p w14:paraId="35AAAC61" w14:textId="77777777" w:rsidR="001451D3" w:rsidRDefault="001451D3">
      <w:pPr>
        <w:pStyle w:val="FootnoteText"/>
      </w:pPr>
      <w:r>
        <w:rPr>
          <w:rStyle w:val="FootnoteReference"/>
        </w:rPr>
        <w:footnoteRef/>
      </w:r>
      <w:r>
        <w:t xml:space="preserve"> Ibid, Exhibit</w:t>
      </w:r>
      <w:r w:rsidR="00A944B7">
        <w:t>s C and</w:t>
      </w:r>
      <w:r>
        <w:t xml:space="preserve"> D.</w:t>
      </w:r>
    </w:p>
  </w:footnote>
  <w:footnote w:id="7">
    <w:p w14:paraId="6FA3C3E0" w14:textId="77777777" w:rsidR="00E948BD" w:rsidRDefault="00E948BD">
      <w:pPr>
        <w:pStyle w:val="FootnoteText"/>
      </w:pPr>
      <w:r>
        <w:rPr>
          <w:rStyle w:val="FootnoteReference"/>
        </w:rPr>
        <w:footnoteRef/>
      </w:r>
      <w:r>
        <w:t xml:space="preserve"> </w:t>
      </w:r>
      <w:r w:rsidRPr="009E618C">
        <w:t>Wash. Utils. &amp; Transportation Commn. v. Puget Sound Energy, Inc., Dockets UE-131099, et al.,</w:t>
      </w:r>
      <w:r>
        <w:t xml:space="preserve"> Intervener’s Brief in Opposition to Puget Sound Energy’s Proposed Sale of the Electron Hydroelectric Project, </w:t>
      </w:r>
      <w:r>
        <w:rPr>
          <w:rFonts w:cs="Times New Roman"/>
        </w:rPr>
        <w:t>¶</w:t>
      </w:r>
      <w:r>
        <w:t xml:space="preserve"> 3.</w:t>
      </w:r>
    </w:p>
  </w:footnote>
  <w:footnote w:id="8">
    <w:p w14:paraId="789E62E1" w14:textId="77777777" w:rsidR="00C361A8" w:rsidRDefault="00C361A8">
      <w:pPr>
        <w:pStyle w:val="FootnoteText"/>
      </w:pPr>
      <w:r>
        <w:rPr>
          <w:rStyle w:val="FootnoteReference"/>
        </w:rPr>
        <w:footnoteRef/>
      </w:r>
      <w:r>
        <w:t xml:space="preserve"> </w:t>
      </w:r>
      <w:r w:rsidRPr="001A0F72">
        <w:rPr>
          <w:rFonts w:cs="Times New Roman"/>
          <w:szCs w:val="24"/>
        </w:rPr>
        <w:t xml:space="preserve">Staff outlined this position clearly in its July 18, 2014, </w:t>
      </w:r>
      <w:r>
        <w:rPr>
          <w:rFonts w:cs="Times New Roman"/>
          <w:szCs w:val="24"/>
        </w:rPr>
        <w:t>r</w:t>
      </w:r>
      <w:r w:rsidRPr="001A0F72">
        <w:rPr>
          <w:rFonts w:cs="Times New Roman"/>
          <w:szCs w:val="24"/>
        </w:rPr>
        <w:t xml:space="preserve">esponse to </w:t>
      </w:r>
      <w:r>
        <w:rPr>
          <w:rFonts w:cs="Times New Roman"/>
          <w:szCs w:val="24"/>
        </w:rPr>
        <w:t xml:space="preserve">the </w:t>
      </w:r>
      <w:r w:rsidRPr="001A0F72">
        <w:rPr>
          <w:rFonts w:cs="Times New Roman"/>
          <w:szCs w:val="24"/>
        </w:rPr>
        <w:t>Commission</w:t>
      </w:r>
      <w:r>
        <w:rPr>
          <w:rFonts w:cs="Times New Roman"/>
          <w:szCs w:val="24"/>
        </w:rPr>
        <w:t>’s</w:t>
      </w:r>
      <w:r w:rsidRPr="001A0F72">
        <w:rPr>
          <w:rFonts w:cs="Times New Roman"/>
          <w:szCs w:val="24"/>
        </w:rPr>
        <w:t xml:space="preserve"> Notice in this docket.</w:t>
      </w:r>
    </w:p>
  </w:footnote>
  <w:footnote w:id="9">
    <w:p w14:paraId="6F445157" w14:textId="77777777" w:rsidR="00F41FF5" w:rsidRDefault="00F41FF5">
      <w:pPr>
        <w:pStyle w:val="FootnoteText"/>
      </w:pPr>
      <w:r>
        <w:rPr>
          <w:rStyle w:val="FootnoteReference"/>
        </w:rPr>
        <w:footnoteRef/>
      </w:r>
      <w:r>
        <w:t xml:space="preserve"> </w:t>
      </w:r>
      <w:r w:rsidRPr="009E618C">
        <w:t>Wash. Utils. &amp; Transportation Commn. v. Puget Sound Energy, Inc., Dockets UE-</w:t>
      </w:r>
      <w:r>
        <w:t>141141</w:t>
      </w:r>
      <w:r w:rsidRPr="009E618C">
        <w:t>,</w:t>
      </w:r>
      <w:r>
        <w:t xml:space="preserve"> Prefiled Supplemental Direct Testimony of Katherine J. Barnard, </w:t>
      </w:r>
      <w:r>
        <w:rPr>
          <w:rFonts w:cs="Times New Roman"/>
          <w:szCs w:val="24"/>
        </w:rPr>
        <w:t>Exhibit No. ___ (KJB-9T), Page 5, at 3.</w:t>
      </w:r>
    </w:p>
  </w:footnote>
  <w:footnote w:id="10">
    <w:p w14:paraId="2AF15D55" w14:textId="77777777" w:rsidR="003165C4" w:rsidRPr="003327B7" w:rsidRDefault="003165C4" w:rsidP="003165C4">
      <w:pPr>
        <w:pStyle w:val="FootnoteText"/>
      </w:pPr>
      <w:r>
        <w:rPr>
          <w:rStyle w:val="FootnoteReference"/>
        </w:rPr>
        <w:footnoteRef/>
      </w:r>
      <w:r>
        <w:t xml:space="preserve"> Mullally, Exh</w:t>
      </w:r>
      <w:r w:rsidR="00E72D10">
        <w:t>ibit</w:t>
      </w:r>
      <w:r>
        <w:t xml:space="preserve"> No. ___(MM-1HCT) at  66:Table 5.</w:t>
      </w:r>
    </w:p>
  </w:footnote>
  <w:footnote w:id="11">
    <w:p w14:paraId="089660EC" w14:textId="77777777" w:rsidR="008376B2" w:rsidRDefault="008376B2">
      <w:pPr>
        <w:pStyle w:val="FootnoteText"/>
      </w:pPr>
      <w:r>
        <w:rPr>
          <w:rStyle w:val="FootnoteReference"/>
        </w:rPr>
        <w:footnoteRef/>
      </w:r>
      <w:r>
        <w:t xml:space="preserve"> </w:t>
      </w:r>
      <w:r w:rsidRPr="00556EEF">
        <w:rPr>
          <w:rFonts w:cs="Times New Roman"/>
          <w:szCs w:val="24"/>
        </w:rPr>
        <w:t xml:space="preserve">The other options have PSE maintaining ownership of the plant and either repairing the plant to a serviceable condition, or retiring and removing the plant altogether.  Both of those options cause greater costs </w:t>
      </w:r>
      <w:r>
        <w:rPr>
          <w:rFonts w:cs="Times New Roman"/>
          <w:szCs w:val="24"/>
        </w:rPr>
        <w:t xml:space="preserve">and risks </w:t>
      </w:r>
      <w:r w:rsidRPr="00556EEF">
        <w:rPr>
          <w:rFonts w:cs="Times New Roman"/>
          <w:szCs w:val="24"/>
        </w:rPr>
        <w:t>to ratepayers.</w:t>
      </w:r>
      <w:r>
        <w:rPr>
          <w:rFonts w:cs="Times New Roman"/>
          <w:szCs w:val="24"/>
        </w:rPr>
        <w:t xml:space="preserve">  </w:t>
      </w:r>
    </w:p>
  </w:footnote>
  <w:footnote w:id="12">
    <w:p w14:paraId="0C10E573" w14:textId="77777777" w:rsidR="008376B2" w:rsidRDefault="008376B2">
      <w:pPr>
        <w:pStyle w:val="FootnoteText"/>
      </w:pPr>
      <w:r>
        <w:rPr>
          <w:rStyle w:val="FootnoteReference"/>
        </w:rPr>
        <w:footnoteRef/>
      </w:r>
      <w:r>
        <w:t xml:space="preserve"> </w:t>
      </w:r>
      <w:r>
        <w:rPr>
          <w:rFonts w:cs="Times New Roman"/>
          <w:szCs w:val="24"/>
        </w:rPr>
        <w:t xml:space="preserve">REA’s Section 15, Formal Dispute Resolution, goes into great detail the procedures available to the Tribe to </w:t>
      </w:r>
      <w:r w:rsidR="00FF6DC6">
        <w:rPr>
          <w:rFonts w:cs="Times New Roman"/>
          <w:szCs w:val="24"/>
        </w:rPr>
        <w:t xml:space="preserve">seek relief.  These procedures do not involve the Commission.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062FA"/>
    <w:multiLevelType w:val="hybridMultilevel"/>
    <w:tmpl w:val="BF689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8A045D"/>
    <w:multiLevelType w:val="hybridMultilevel"/>
    <w:tmpl w:val="0A3E2D2A"/>
    <w:lvl w:ilvl="0" w:tplc="F372E494">
      <w:start w:val="1"/>
      <w:numFmt w:val="decimal"/>
      <w:lvlText w:val="%1"/>
      <w:lvlJc w:val="left"/>
      <w:pPr>
        <w:ind w:left="720" w:hanging="360"/>
      </w:pPr>
      <w:rPr>
        <w:rFonts w:ascii="Times New Roman" w:hAnsi="Times New Roman"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72643"/>
    <w:multiLevelType w:val="hybridMultilevel"/>
    <w:tmpl w:val="402A0C48"/>
    <w:lvl w:ilvl="0" w:tplc="F372E494">
      <w:start w:val="1"/>
      <w:numFmt w:val="decimal"/>
      <w:lvlText w:val="%1"/>
      <w:lvlJc w:val="left"/>
      <w:pPr>
        <w:ind w:left="720" w:hanging="360"/>
      </w:pPr>
      <w:rPr>
        <w:rFonts w:ascii="Times New Roman" w:hAnsi="Times New Roman" w:hint="default"/>
        <w:b w:val="0"/>
        <w:i/>
        <w:sz w:val="24"/>
      </w:rPr>
    </w:lvl>
    <w:lvl w:ilvl="1" w:tplc="BECC2C2C">
      <w:start w:val="1"/>
      <w:numFmt w:val="decimal"/>
      <w:lvlText w:val="%2"/>
      <w:lvlJc w:val="left"/>
      <w:pPr>
        <w:ind w:left="0" w:hanging="720"/>
      </w:pPr>
      <w:rPr>
        <w:rFonts w:ascii="Palatino Linotype" w:hAnsi="Palatino Linotype" w:hint="default"/>
        <w:b w:val="0"/>
        <w:i/>
        <w:sz w:val="20"/>
        <w:szCs w:val="20"/>
      </w:rPr>
    </w:lvl>
    <w:lvl w:ilvl="2" w:tplc="0409001B">
      <w:start w:val="1"/>
      <w:numFmt w:val="lowerRoman"/>
      <w:lvlText w:val="%3."/>
      <w:lvlJc w:val="right"/>
      <w:pPr>
        <w:ind w:left="2160" w:hanging="180"/>
      </w:pPr>
    </w:lvl>
    <w:lvl w:ilvl="3" w:tplc="0818D3C8">
      <w:start w:val="1"/>
      <w:numFmt w:val="lowerRoman"/>
      <w:lvlText w:val="(%4)"/>
      <w:lvlJc w:val="left"/>
      <w:pPr>
        <w:ind w:left="3240" w:hanging="720"/>
      </w:pPr>
      <w:rPr>
        <w:rFonts w:hint="default"/>
      </w:rPr>
    </w:lvl>
    <w:lvl w:ilvl="4" w:tplc="AB7C432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351B7"/>
    <w:multiLevelType w:val="hybridMultilevel"/>
    <w:tmpl w:val="332EE96C"/>
    <w:lvl w:ilvl="0" w:tplc="90AE0D76">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A4D55"/>
    <w:multiLevelType w:val="hybridMultilevel"/>
    <w:tmpl w:val="FF12FCB2"/>
    <w:lvl w:ilvl="0" w:tplc="F372E494">
      <w:start w:val="1"/>
      <w:numFmt w:val="decimal"/>
      <w:lvlText w:val="%1"/>
      <w:lvlJc w:val="left"/>
      <w:pPr>
        <w:ind w:left="720" w:hanging="360"/>
      </w:pPr>
      <w:rPr>
        <w:rFonts w:ascii="Times New Roman" w:hAnsi="Times New Roman" w:hint="default"/>
        <w:b w:val="0"/>
        <w:i/>
        <w:sz w:val="24"/>
      </w:rPr>
    </w:lvl>
    <w:lvl w:ilvl="1" w:tplc="92184BEC">
      <w:start w:val="2"/>
      <w:numFmt w:val="decimal"/>
      <w:lvlText w:val="%2"/>
      <w:lvlJc w:val="left"/>
      <w:pPr>
        <w:ind w:left="0" w:hanging="720"/>
      </w:pPr>
      <w:rPr>
        <w:rFonts w:ascii="Times New Roman" w:hAnsi="Times New Roman" w:hint="default"/>
        <w:b w:val="0"/>
        <w:i/>
        <w:sz w:val="24"/>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E111E"/>
    <w:multiLevelType w:val="hybridMultilevel"/>
    <w:tmpl w:val="6EC86E62"/>
    <w:lvl w:ilvl="0" w:tplc="F372E494">
      <w:start w:val="1"/>
      <w:numFmt w:val="decimal"/>
      <w:lvlText w:val="%1"/>
      <w:lvlJc w:val="left"/>
      <w:pPr>
        <w:ind w:left="720" w:hanging="360"/>
      </w:pPr>
      <w:rPr>
        <w:rFonts w:ascii="Times New Roman" w:hAnsi="Times New Roman" w:hint="default"/>
        <w:b w:val="0"/>
        <w:i/>
        <w:sz w:val="24"/>
      </w:rPr>
    </w:lvl>
    <w:lvl w:ilvl="1" w:tplc="92184BEC">
      <w:start w:val="2"/>
      <w:numFmt w:val="decimal"/>
      <w:lvlText w:val="%2"/>
      <w:lvlJc w:val="left"/>
      <w:pPr>
        <w:ind w:left="0" w:hanging="720"/>
      </w:pPr>
      <w:rPr>
        <w:rFonts w:ascii="Times New Roman" w:hAnsi="Times New Roman" w:hint="default"/>
        <w:b w:val="0"/>
        <w:i/>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D4D43"/>
    <w:multiLevelType w:val="hybridMultilevel"/>
    <w:tmpl w:val="9C24AA52"/>
    <w:lvl w:ilvl="0" w:tplc="90AE0D76">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B71E50"/>
    <w:multiLevelType w:val="multilevel"/>
    <w:tmpl w:val="2DAC8328"/>
    <w:lvl w:ilvl="0">
      <w:start w:val="1"/>
      <w:numFmt w:val="decimal"/>
      <w:lvlText w:val="%1"/>
      <w:lvlJc w:val="left"/>
      <w:pPr>
        <w:ind w:left="10440" w:hanging="360"/>
      </w:pPr>
      <w:rPr>
        <w:rFonts w:ascii="Times New Roman" w:hAnsi="Times New Roman" w:hint="default"/>
        <w:b w:val="0"/>
        <w:i/>
        <w:sz w:val="24"/>
      </w:rPr>
    </w:lvl>
    <w:lvl w:ilvl="1">
      <w:start w:val="1"/>
      <w:numFmt w:val="lowerLetter"/>
      <w:lvlText w:val="%2)"/>
      <w:lvlJc w:val="left"/>
      <w:pPr>
        <w:ind w:left="10800" w:hanging="360"/>
      </w:pPr>
    </w:lvl>
    <w:lvl w:ilvl="2">
      <w:start w:val="1"/>
      <w:numFmt w:val="lowerRoman"/>
      <w:lvlText w:val="%3)"/>
      <w:lvlJc w:val="left"/>
      <w:pPr>
        <w:ind w:left="11160" w:hanging="360"/>
      </w:pPr>
    </w:lvl>
    <w:lvl w:ilvl="3">
      <w:start w:val="1"/>
      <w:numFmt w:val="decimal"/>
      <w:lvlText w:val="(%4)"/>
      <w:lvlJc w:val="left"/>
      <w:pPr>
        <w:ind w:left="11520" w:hanging="360"/>
      </w:pPr>
    </w:lvl>
    <w:lvl w:ilvl="4">
      <w:start w:val="1"/>
      <w:numFmt w:val="lowerLetter"/>
      <w:lvlText w:val="(%5)"/>
      <w:lvlJc w:val="left"/>
      <w:pPr>
        <w:ind w:left="11880" w:hanging="360"/>
      </w:pPr>
    </w:lvl>
    <w:lvl w:ilvl="5">
      <w:start w:val="1"/>
      <w:numFmt w:val="lowerRoman"/>
      <w:lvlText w:val="(%6)"/>
      <w:lvlJc w:val="left"/>
      <w:pPr>
        <w:ind w:left="12240" w:hanging="360"/>
      </w:pPr>
    </w:lvl>
    <w:lvl w:ilvl="6">
      <w:start w:val="1"/>
      <w:numFmt w:val="decimal"/>
      <w:lvlText w:val="%7."/>
      <w:lvlJc w:val="left"/>
      <w:pPr>
        <w:ind w:left="12600" w:hanging="360"/>
      </w:pPr>
    </w:lvl>
    <w:lvl w:ilvl="7">
      <w:start w:val="1"/>
      <w:numFmt w:val="lowerLetter"/>
      <w:lvlText w:val="%8."/>
      <w:lvlJc w:val="left"/>
      <w:pPr>
        <w:ind w:left="12960" w:hanging="360"/>
      </w:pPr>
    </w:lvl>
    <w:lvl w:ilvl="8">
      <w:start w:val="1"/>
      <w:numFmt w:val="lowerRoman"/>
      <w:lvlText w:val="%9."/>
      <w:lvlJc w:val="left"/>
      <w:pPr>
        <w:ind w:left="13320" w:hanging="360"/>
      </w:pPr>
    </w:lvl>
  </w:abstractNum>
  <w:num w:numId="1">
    <w:abstractNumId w:val="5"/>
  </w:num>
  <w:num w:numId="2">
    <w:abstractNumId w:val="5"/>
  </w:num>
  <w:num w:numId="3">
    <w:abstractNumId w:val="0"/>
  </w:num>
  <w:num w:numId="4">
    <w:abstractNumId w:val="8"/>
  </w:num>
  <w:num w:numId="5">
    <w:abstractNumId w:val="2"/>
  </w:num>
  <w:num w:numId="6">
    <w:abstractNumId w:val="3"/>
  </w:num>
  <w:num w:numId="7">
    <w:abstractNumId w:val="1"/>
  </w:num>
  <w:num w:numId="8">
    <w:abstractNumId w:val="7"/>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A2"/>
    <w:rsid w:val="00004B91"/>
    <w:rsid w:val="00004B93"/>
    <w:rsid w:val="00015258"/>
    <w:rsid w:val="000155C2"/>
    <w:rsid w:val="000207E7"/>
    <w:rsid w:val="0003264C"/>
    <w:rsid w:val="000A4FE6"/>
    <w:rsid w:val="000B197B"/>
    <w:rsid w:val="000B5A64"/>
    <w:rsid w:val="000B709D"/>
    <w:rsid w:val="000C05BF"/>
    <w:rsid w:val="000C186D"/>
    <w:rsid w:val="000C201D"/>
    <w:rsid w:val="000C6B27"/>
    <w:rsid w:val="000C6CE7"/>
    <w:rsid w:val="000D7988"/>
    <w:rsid w:val="000E4275"/>
    <w:rsid w:val="000F141F"/>
    <w:rsid w:val="00105687"/>
    <w:rsid w:val="00110146"/>
    <w:rsid w:val="00124D0E"/>
    <w:rsid w:val="001451D3"/>
    <w:rsid w:val="001467E5"/>
    <w:rsid w:val="00171DD1"/>
    <w:rsid w:val="00187775"/>
    <w:rsid w:val="00191B24"/>
    <w:rsid w:val="001A0F72"/>
    <w:rsid w:val="001A2562"/>
    <w:rsid w:val="001A49A1"/>
    <w:rsid w:val="001D020E"/>
    <w:rsid w:val="001D6265"/>
    <w:rsid w:val="001F55EF"/>
    <w:rsid w:val="002157A7"/>
    <w:rsid w:val="00224934"/>
    <w:rsid w:val="00225090"/>
    <w:rsid w:val="0023264A"/>
    <w:rsid w:val="0023686B"/>
    <w:rsid w:val="002374CD"/>
    <w:rsid w:val="00243AB6"/>
    <w:rsid w:val="00257F3E"/>
    <w:rsid w:val="00263B1D"/>
    <w:rsid w:val="00280671"/>
    <w:rsid w:val="00280E95"/>
    <w:rsid w:val="00283D6B"/>
    <w:rsid w:val="00286C8D"/>
    <w:rsid w:val="0029302B"/>
    <w:rsid w:val="00295F70"/>
    <w:rsid w:val="002B1263"/>
    <w:rsid w:val="002B521F"/>
    <w:rsid w:val="002C5038"/>
    <w:rsid w:val="002F5EC4"/>
    <w:rsid w:val="003164FB"/>
    <w:rsid w:val="003165C4"/>
    <w:rsid w:val="003236EA"/>
    <w:rsid w:val="00330DA6"/>
    <w:rsid w:val="003411F4"/>
    <w:rsid w:val="00346518"/>
    <w:rsid w:val="00346D2C"/>
    <w:rsid w:val="00347E9E"/>
    <w:rsid w:val="003715A5"/>
    <w:rsid w:val="003741B2"/>
    <w:rsid w:val="0037554A"/>
    <w:rsid w:val="00380061"/>
    <w:rsid w:val="00383E35"/>
    <w:rsid w:val="0039069B"/>
    <w:rsid w:val="003A2616"/>
    <w:rsid w:val="003C2E1E"/>
    <w:rsid w:val="003E39F4"/>
    <w:rsid w:val="003E49F3"/>
    <w:rsid w:val="00400301"/>
    <w:rsid w:val="00422488"/>
    <w:rsid w:val="00422FFC"/>
    <w:rsid w:val="00426BE9"/>
    <w:rsid w:val="00430652"/>
    <w:rsid w:val="004414B1"/>
    <w:rsid w:val="0044661D"/>
    <w:rsid w:val="00452BB6"/>
    <w:rsid w:val="00456684"/>
    <w:rsid w:val="00462BE0"/>
    <w:rsid w:val="00470954"/>
    <w:rsid w:val="00486378"/>
    <w:rsid w:val="00487C7C"/>
    <w:rsid w:val="004C1A0C"/>
    <w:rsid w:val="004C296D"/>
    <w:rsid w:val="004D574A"/>
    <w:rsid w:val="004E70DA"/>
    <w:rsid w:val="004F446A"/>
    <w:rsid w:val="00501C15"/>
    <w:rsid w:val="00506CC8"/>
    <w:rsid w:val="00510C22"/>
    <w:rsid w:val="00522243"/>
    <w:rsid w:val="00525974"/>
    <w:rsid w:val="00535B4C"/>
    <w:rsid w:val="00545964"/>
    <w:rsid w:val="00547AA1"/>
    <w:rsid w:val="00554776"/>
    <w:rsid w:val="00556EEF"/>
    <w:rsid w:val="00572937"/>
    <w:rsid w:val="00572F99"/>
    <w:rsid w:val="00573644"/>
    <w:rsid w:val="00596F74"/>
    <w:rsid w:val="005A6726"/>
    <w:rsid w:val="005F07EE"/>
    <w:rsid w:val="005F2DF0"/>
    <w:rsid w:val="00603259"/>
    <w:rsid w:val="00611294"/>
    <w:rsid w:val="00627F9F"/>
    <w:rsid w:val="0063424E"/>
    <w:rsid w:val="006402F1"/>
    <w:rsid w:val="006438B4"/>
    <w:rsid w:val="00646274"/>
    <w:rsid w:val="00674988"/>
    <w:rsid w:val="0068455F"/>
    <w:rsid w:val="00694D3D"/>
    <w:rsid w:val="006B213E"/>
    <w:rsid w:val="006B30FA"/>
    <w:rsid w:val="006C6806"/>
    <w:rsid w:val="006D7259"/>
    <w:rsid w:val="006E46EA"/>
    <w:rsid w:val="0070311C"/>
    <w:rsid w:val="00703670"/>
    <w:rsid w:val="00707BBB"/>
    <w:rsid w:val="00712606"/>
    <w:rsid w:val="00742E63"/>
    <w:rsid w:val="007514B6"/>
    <w:rsid w:val="00773EC9"/>
    <w:rsid w:val="00784083"/>
    <w:rsid w:val="007855A0"/>
    <w:rsid w:val="007912D1"/>
    <w:rsid w:val="0079518F"/>
    <w:rsid w:val="007B1A03"/>
    <w:rsid w:val="007D7FA2"/>
    <w:rsid w:val="007E1FCF"/>
    <w:rsid w:val="007E434A"/>
    <w:rsid w:val="007F78F7"/>
    <w:rsid w:val="00834669"/>
    <w:rsid w:val="00836A28"/>
    <w:rsid w:val="008376B2"/>
    <w:rsid w:val="0085734E"/>
    <w:rsid w:val="008579E1"/>
    <w:rsid w:val="00861306"/>
    <w:rsid w:val="008824C2"/>
    <w:rsid w:val="00890582"/>
    <w:rsid w:val="00895FE1"/>
    <w:rsid w:val="008A627F"/>
    <w:rsid w:val="008A750B"/>
    <w:rsid w:val="008C5EEF"/>
    <w:rsid w:val="008D3F54"/>
    <w:rsid w:val="008D6578"/>
    <w:rsid w:val="008E57F0"/>
    <w:rsid w:val="008E5D1F"/>
    <w:rsid w:val="008F10D5"/>
    <w:rsid w:val="00900480"/>
    <w:rsid w:val="0092227B"/>
    <w:rsid w:val="0093349A"/>
    <w:rsid w:val="00941054"/>
    <w:rsid w:val="00982D72"/>
    <w:rsid w:val="00982ED9"/>
    <w:rsid w:val="00986D66"/>
    <w:rsid w:val="00996F42"/>
    <w:rsid w:val="009C0917"/>
    <w:rsid w:val="009C3A14"/>
    <w:rsid w:val="009C3E5C"/>
    <w:rsid w:val="009E22BE"/>
    <w:rsid w:val="009E618C"/>
    <w:rsid w:val="009F67A5"/>
    <w:rsid w:val="00A04CEE"/>
    <w:rsid w:val="00A1575C"/>
    <w:rsid w:val="00A3561B"/>
    <w:rsid w:val="00A401E7"/>
    <w:rsid w:val="00A45E08"/>
    <w:rsid w:val="00A944B7"/>
    <w:rsid w:val="00AA523D"/>
    <w:rsid w:val="00AC3180"/>
    <w:rsid w:val="00AD7F9E"/>
    <w:rsid w:val="00AF1BC1"/>
    <w:rsid w:val="00AF4959"/>
    <w:rsid w:val="00AF6DCF"/>
    <w:rsid w:val="00B03EBB"/>
    <w:rsid w:val="00B0757D"/>
    <w:rsid w:val="00B11D9B"/>
    <w:rsid w:val="00B126A3"/>
    <w:rsid w:val="00B151E9"/>
    <w:rsid w:val="00B32D04"/>
    <w:rsid w:val="00B45363"/>
    <w:rsid w:val="00B74343"/>
    <w:rsid w:val="00B836FA"/>
    <w:rsid w:val="00B83E61"/>
    <w:rsid w:val="00BB0DE9"/>
    <w:rsid w:val="00BB2CDB"/>
    <w:rsid w:val="00BE5A19"/>
    <w:rsid w:val="00BE5F2A"/>
    <w:rsid w:val="00BF08D9"/>
    <w:rsid w:val="00C211D9"/>
    <w:rsid w:val="00C234EF"/>
    <w:rsid w:val="00C2514F"/>
    <w:rsid w:val="00C27FBD"/>
    <w:rsid w:val="00C3336A"/>
    <w:rsid w:val="00C361A8"/>
    <w:rsid w:val="00C7341A"/>
    <w:rsid w:val="00C773CD"/>
    <w:rsid w:val="00C82C50"/>
    <w:rsid w:val="00C84A5C"/>
    <w:rsid w:val="00C94A25"/>
    <w:rsid w:val="00CB0F9C"/>
    <w:rsid w:val="00CB5055"/>
    <w:rsid w:val="00CC11CD"/>
    <w:rsid w:val="00CD12AF"/>
    <w:rsid w:val="00CE255B"/>
    <w:rsid w:val="00CF1325"/>
    <w:rsid w:val="00CF7822"/>
    <w:rsid w:val="00D012B9"/>
    <w:rsid w:val="00D10539"/>
    <w:rsid w:val="00D50B57"/>
    <w:rsid w:val="00D6389F"/>
    <w:rsid w:val="00D64BA9"/>
    <w:rsid w:val="00D732F0"/>
    <w:rsid w:val="00D808C5"/>
    <w:rsid w:val="00D80C83"/>
    <w:rsid w:val="00D944B5"/>
    <w:rsid w:val="00DA4751"/>
    <w:rsid w:val="00DB0908"/>
    <w:rsid w:val="00DB54AF"/>
    <w:rsid w:val="00DC7661"/>
    <w:rsid w:val="00DD3747"/>
    <w:rsid w:val="00DE1FDE"/>
    <w:rsid w:val="00E01238"/>
    <w:rsid w:val="00E13EED"/>
    <w:rsid w:val="00E15CB5"/>
    <w:rsid w:val="00E160E7"/>
    <w:rsid w:val="00E262C5"/>
    <w:rsid w:val="00E32549"/>
    <w:rsid w:val="00E37AAD"/>
    <w:rsid w:val="00E4213C"/>
    <w:rsid w:val="00E55408"/>
    <w:rsid w:val="00E64A9D"/>
    <w:rsid w:val="00E666A2"/>
    <w:rsid w:val="00E72D10"/>
    <w:rsid w:val="00E74130"/>
    <w:rsid w:val="00E83DD7"/>
    <w:rsid w:val="00E948BD"/>
    <w:rsid w:val="00EB1C34"/>
    <w:rsid w:val="00EB52BE"/>
    <w:rsid w:val="00EC3F05"/>
    <w:rsid w:val="00EC5F9D"/>
    <w:rsid w:val="00ED697C"/>
    <w:rsid w:val="00EE57D5"/>
    <w:rsid w:val="00EF301A"/>
    <w:rsid w:val="00F04FAC"/>
    <w:rsid w:val="00F05232"/>
    <w:rsid w:val="00F100B0"/>
    <w:rsid w:val="00F155A7"/>
    <w:rsid w:val="00F20A72"/>
    <w:rsid w:val="00F3294A"/>
    <w:rsid w:val="00F37296"/>
    <w:rsid w:val="00F41FF5"/>
    <w:rsid w:val="00F431AF"/>
    <w:rsid w:val="00F55A74"/>
    <w:rsid w:val="00F66ECB"/>
    <w:rsid w:val="00F73BF4"/>
    <w:rsid w:val="00F84830"/>
    <w:rsid w:val="00F95369"/>
    <w:rsid w:val="00FB35C1"/>
    <w:rsid w:val="00FC4449"/>
    <w:rsid w:val="00FC6958"/>
    <w:rsid w:val="00FF0140"/>
    <w:rsid w:val="00FF1F99"/>
    <w:rsid w:val="00FF4008"/>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2289"/>
    <o:shapelayout v:ext="edit">
      <o:idmap v:ext="edit" data="1"/>
    </o:shapelayout>
  </w:shapeDefaults>
  <w:decimalSymbol w:val="."/>
  <w:listSeparator w:val=","/>
  <w14:docId w14:val="20A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2488"/>
    <w:rPr>
      <w:sz w:val="20"/>
      <w:szCs w:val="20"/>
    </w:rPr>
  </w:style>
  <w:style w:type="character" w:customStyle="1" w:styleId="FootnoteTextChar">
    <w:name w:val="Footnote Text Char"/>
    <w:basedOn w:val="DefaultParagraphFont"/>
    <w:link w:val="FootnoteText"/>
    <w:uiPriority w:val="99"/>
    <w:rsid w:val="00422488"/>
    <w:rPr>
      <w:sz w:val="20"/>
      <w:szCs w:val="20"/>
    </w:rPr>
  </w:style>
  <w:style w:type="character" w:styleId="FootnoteReference">
    <w:name w:val="footnote reference"/>
    <w:basedOn w:val="DefaultParagraphFont"/>
    <w:uiPriority w:val="99"/>
    <w:semiHidden/>
    <w:unhideWhenUsed/>
    <w:rsid w:val="00422488"/>
    <w:rPr>
      <w:vertAlign w:val="superscript"/>
    </w:rPr>
  </w:style>
  <w:style w:type="character" w:styleId="CommentReference">
    <w:name w:val="annotation reference"/>
    <w:basedOn w:val="DefaultParagraphFont"/>
    <w:uiPriority w:val="99"/>
    <w:semiHidden/>
    <w:unhideWhenUsed/>
    <w:rsid w:val="007D7FA2"/>
    <w:rPr>
      <w:sz w:val="16"/>
      <w:szCs w:val="16"/>
    </w:rPr>
  </w:style>
  <w:style w:type="paragraph" w:styleId="CommentText">
    <w:name w:val="annotation text"/>
    <w:basedOn w:val="Normal"/>
    <w:link w:val="CommentTextChar"/>
    <w:uiPriority w:val="99"/>
    <w:semiHidden/>
    <w:unhideWhenUsed/>
    <w:rsid w:val="007D7FA2"/>
    <w:rPr>
      <w:sz w:val="20"/>
      <w:szCs w:val="20"/>
    </w:rPr>
  </w:style>
  <w:style w:type="character" w:customStyle="1" w:styleId="CommentTextChar">
    <w:name w:val="Comment Text Char"/>
    <w:basedOn w:val="DefaultParagraphFont"/>
    <w:link w:val="CommentText"/>
    <w:uiPriority w:val="99"/>
    <w:semiHidden/>
    <w:rsid w:val="007D7FA2"/>
    <w:rPr>
      <w:sz w:val="20"/>
      <w:szCs w:val="20"/>
    </w:rPr>
  </w:style>
  <w:style w:type="paragraph" w:styleId="CommentSubject">
    <w:name w:val="annotation subject"/>
    <w:basedOn w:val="CommentText"/>
    <w:next w:val="CommentText"/>
    <w:link w:val="CommentSubjectChar"/>
    <w:uiPriority w:val="99"/>
    <w:semiHidden/>
    <w:unhideWhenUsed/>
    <w:rsid w:val="007D7FA2"/>
    <w:rPr>
      <w:b/>
      <w:bCs/>
    </w:rPr>
  </w:style>
  <w:style w:type="character" w:customStyle="1" w:styleId="CommentSubjectChar">
    <w:name w:val="Comment Subject Char"/>
    <w:basedOn w:val="CommentTextChar"/>
    <w:link w:val="CommentSubject"/>
    <w:uiPriority w:val="99"/>
    <w:semiHidden/>
    <w:rsid w:val="007D7FA2"/>
    <w:rPr>
      <w:b/>
      <w:bCs/>
      <w:sz w:val="20"/>
      <w:szCs w:val="20"/>
    </w:rPr>
  </w:style>
  <w:style w:type="paragraph" w:styleId="BalloonText">
    <w:name w:val="Balloon Text"/>
    <w:basedOn w:val="Normal"/>
    <w:link w:val="BalloonTextChar"/>
    <w:uiPriority w:val="99"/>
    <w:semiHidden/>
    <w:unhideWhenUsed/>
    <w:rsid w:val="007D7FA2"/>
    <w:rPr>
      <w:rFonts w:ascii="Tahoma" w:hAnsi="Tahoma" w:cs="Tahoma"/>
      <w:sz w:val="16"/>
      <w:szCs w:val="16"/>
    </w:rPr>
  </w:style>
  <w:style w:type="character" w:customStyle="1" w:styleId="BalloonTextChar">
    <w:name w:val="Balloon Text Char"/>
    <w:basedOn w:val="DefaultParagraphFont"/>
    <w:link w:val="BalloonText"/>
    <w:uiPriority w:val="99"/>
    <w:semiHidden/>
    <w:rsid w:val="007D7FA2"/>
    <w:rPr>
      <w:rFonts w:ascii="Tahoma" w:hAnsi="Tahoma" w:cs="Tahoma"/>
      <w:sz w:val="16"/>
      <w:szCs w:val="16"/>
    </w:rPr>
  </w:style>
  <w:style w:type="paragraph" w:styleId="BodyText">
    <w:name w:val="Body Text"/>
    <w:basedOn w:val="Normal"/>
    <w:link w:val="BodyTextChar"/>
    <w:rsid w:val="00F100B0"/>
    <w:pPr>
      <w:spacing w:after="120"/>
    </w:pPr>
    <w:rPr>
      <w:rFonts w:eastAsia="Times New Roman" w:cs="Times New Roman"/>
      <w:sz w:val="26"/>
      <w:szCs w:val="26"/>
    </w:rPr>
  </w:style>
  <w:style w:type="character" w:customStyle="1" w:styleId="BodyTextChar">
    <w:name w:val="Body Text Char"/>
    <w:basedOn w:val="DefaultParagraphFont"/>
    <w:link w:val="BodyText"/>
    <w:rsid w:val="00F100B0"/>
    <w:rPr>
      <w:rFonts w:eastAsia="Times New Roman" w:cs="Times New Roman"/>
      <w:sz w:val="26"/>
      <w:szCs w:val="26"/>
    </w:rPr>
  </w:style>
  <w:style w:type="paragraph" w:styleId="Header">
    <w:name w:val="header"/>
    <w:basedOn w:val="Normal"/>
    <w:link w:val="HeaderChar"/>
    <w:uiPriority w:val="99"/>
    <w:unhideWhenUsed/>
    <w:rsid w:val="009F67A5"/>
    <w:pPr>
      <w:tabs>
        <w:tab w:val="center" w:pos="4680"/>
        <w:tab w:val="right" w:pos="9360"/>
      </w:tabs>
    </w:pPr>
  </w:style>
  <w:style w:type="character" w:customStyle="1" w:styleId="HeaderChar">
    <w:name w:val="Header Char"/>
    <w:basedOn w:val="DefaultParagraphFont"/>
    <w:link w:val="Header"/>
    <w:uiPriority w:val="99"/>
    <w:rsid w:val="009F67A5"/>
  </w:style>
  <w:style w:type="paragraph" w:styleId="Footer">
    <w:name w:val="footer"/>
    <w:basedOn w:val="Normal"/>
    <w:link w:val="FooterChar"/>
    <w:uiPriority w:val="99"/>
    <w:unhideWhenUsed/>
    <w:rsid w:val="009F67A5"/>
    <w:pPr>
      <w:tabs>
        <w:tab w:val="center" w:pos="4680"/>
        <w:tab w:val="right" w:pos="9360"/>
      </w:tabs>
    </w:pPr>
  </w:style>
  <w:style w:type="character" w:customStyle="1" w:styleId="FooterChar">
    <w:name w:val="Footer Char"/>
    <w:basedOn w:val="DefaultParagraphFont"/>
    <w:link w:val="Footer"/>
    <w:uiPriority w:val="99"/>
    <w:rsid w:val="009F67A5"/>
  </w:style>
  <w:style w:type="paragraph" w:styleId="BodyTextIndent2">
    <w:name w:val="Body Text Indent 2"/>
    <w:basedOn w:val="Normal"/>
    <w:link w:val="BodyTextIndent2Char"/>
    <w:uiPriority w:val="99"/>
    <w:semiHidden/>
    <w:unhideWhenUsed/>
    <w:rsid w:val="009F67A5"/>
    <w:pPr>
      <w:spacing w:after="120" w:line="480" w:lineRule="auto"/>
      <w:ind w:left="360"/>
    </w:pPr>
  </w:style>
  <w:style w:type="character" w:customStyle="1" w:styleId="BodyTextIndent2Char">
    <w:name w:val="Body Text Indent 2 Char"/>
    <w:basedOn w:val="DefaultParagraphFont"/>
    <w:link w:val="BodyTextIndent2"/>
    <w:uiPriority w:val="99"/>
    <w:semiHidden/>
    <w:rsid w:val="009F67A5"/>
  </w:style>
  <w:style w:type="paragraph" w:styleId="ListParagraph">
    <w:name w:val="List Paragraph"/>
    <w:basedOn w:val="Normal"/>
    <w:uiPriority w:val="34"/>
    <w:qFormat/>
    <w:rsid w:val="00DC7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2488"/>
    <w:rPr>
      <w:sz w:val="20"/>
      <w:szCs w:val="20"/>
    </w:rPr>
  </w:style>
  <w:style w:type="character" w:customStyle="1" w:styleId="FootnoteTextChar">
    <w:name w:val="Footnote Text Char"/>
    <w:basedOn w:val="DefaultParagraphFont"/>
    <w:link w:val="FootnoteText"/>
    <w:uiPriority w:val="99"/>
    <w:rsid w:val="00422488"/>
    <w:rPr>
      <w:sz w:val="20"/>
      <w:szCs w:val="20"/>
    </w:rPr>
  </w:style>
  <w:style w:type="character" w:styleId="FootnoteReference">
    <w:name w:val="footnote reference"/>
    <w:basedOn w:val="DefaultParagraphFont"/>
    <w:uiPriority w:val="99"/>
    <w:semiHidden/>
    <w:unhideWhenUsed/>
    <w:rsid w:val="00422488"/>
    <w:rPr>
      <w:vertAlign w:val="superscript"/>
    </w:rPr>
  </w:style>
  <w:style w:type="character" w:styleId="CommentReference">
    <w:name w:val="annotation reference"/>
    <w:basedOn w:val="DefaultParagraphFont"/>
    <w:uiPriority w:val="99"/>
    <w:semiHidden/>
    <w:unhideWhenUsed/>
    <w:rsid w:val="007D7FA2"/>
    <w:rPr>
      <w:sz w:val="16"/>
      <w:szCs w:val="16"/>
    </w:rPr>
  </w:style>
  <w:style w:type="paragraph" w:styleId="CommentText">
    <w:name w:val="annotation text"/>
    <w:basedOn w:val="Normal"/>
    <w:link w:val="CommentTextChar"/>
    <w:uiPriority w:val="99"/>
    <w:semiHidden/>
    <w:unhideWhenUsed/>
    <w:rsid w:val="007D7FA2"/>
    <w:rPr>
      <w:sz w:val="20"/>
      <w:szCs w:val="20"/>
    </w:rPr>
  </w:style>
  <w:style w:type="character" w:customStyle="1" w:styleId="CommentTextChar">
    <w:name w:val="Comment Text Char"/>
    <w:basedOn w:val="DefaultParagraphFont"/>
    <w:link w:val="CommentText"/>
    <w:uiPriority w:val="99"/>
    <w:semiHidden/>
    <w:rsid w:val="007D7FA2"/>
    <w:rPr>
      <w:sz w:val="20"/>
      <w:szCs w:val="20"/>
    </w:rPr>
  </w:style>
  <w:style w:type="paragraph" w:styleId="CommentSubject">
    <w:name w:val="annotation subject"/>
    <w:basedOn w:val="CommentText"/>
    <w:next w:val="CommentText"/>
    <w:link w:val="CommentSubjectChar"/>
    <w:uiPriority w:val="99"/>
    <w:semiHidden/>
    <w:unhideWhenUsed/>
    <w:rsid w:val="007D7FA2"/>
    <w:rPr>
      <w:b/>
      <w:bCs/>
    </w:rPr>
  </w:style>
  <w:style w:type="character" w:customStyle="1" w:styleId="CommentSubjectChar">
    <w:name w:val="Comment Subject Char"/>
    <w:basedOn w:val="CommentTextChar"/>
    <w:link w:val="CommentSubject"/>
    <w:uiPriority w:val="99"/>
    <w:semiHidden/>
    <w:rsid w:val="007D7FA2"/>
    <w:rPr>
      <w:b/>
      <w:bCs/>
      <w:sz w:val="20"/>
      <w:szCs w:val="20"/>
    </w:rPr>
  </w:style>
  <w:style w:type="paragraph" w:styleId="BalloonText">
    <w:name w:val="Balloon Text"/>
    <w:basedOn w:val="Normal"/>
    <w:link w:val="BalloonTextChar"/>
    <w:uiPriority w:val="99"/>
    <w:semiHidden/>
    <w:unhideWhenUsed/>
    <w:rsid w:val="007D7FA2"/>
    <w:rPr>
      <w:rFonts w:ascii="Tahoma" w:hAnsi="Tahoma" w:cs="Tahoma"/>
      <w:sz w:val="16"/>
      <w:szCs w:val="16"/>
    </w:rPr>
  </w:style>
  <w:style w:type="character" w:customStyle="1" w:styleId="BalloonTextChar">
    <w:name w:val="Balloon Text Char"/>
    <w:basedOn w:val="DefaultParagraphFont"/>
    <w:link w:val="BalloonText"/>
    <w:uiPriority w:val="99"/>
    <w:semiHidden/>
    <w:rsid w:val="007D7FA2"/>
    <w:rPr>
      <w:rFonts w:ascii="Tahoma" w:hAnsi="Tahoma" w:cs="Tahoma"/>
      <w:sz w:val="16"/>
      <w:szCs w:val="16"/>
    </w:rPr>
  </w:style>
  <w:style w:type="paragraph" w:styleId="BodyText">
    <w:name w:val="Body Text"/>
    <w:basedOn w:val="Normal"/>
    <w:link w:val="BodyTextChar"/>
    <w:rsid w:val="00F100B0"/>
    <w:pPr>
      <w:spacing w:after="120"/>
    </w:pPr>
    <w:rPr>
      <w:rFonts w:eastAsia="Times New Roman" w:cs="Times New Roman"/>
      <w:sz w:val="26"/>
      <w:szCs w:val="26"/>
    </w:rPr>
  </w:style>
  <w:style w:type="character" w:customStyle="1" w:styleId="BodyTextChar">
    <w:name w:val="Body Text Char"/>
    <w:basedOn w:val="DefaultParagraphFont"/>
    <w:link w:val="BodyText"/>
    <w:rsid w:val="00F100B0"/>
    <w:rPr>
      <w:rFonts w:eastAsia="Times New Roman" w:cs="Times New Roman"/>
      <w:sz w:val="26"/>
      <w:szCs w:val="26"/>
    </w:rPr>
  </w:style>
  <w:style w:type="paragraph" w:styleId="Header">
    <w:name w:val="header"/>
    <w:basedOn w:val="Normal"/>
    <w:link w:val="HeaderChar"/>
    <w:uiPriority w:val="99"/>
    <w:unhideWhenUsed/>
    <w:rsid w:val="009F67A5"/>
    <w:pPr>
      <w:tabs>
        <w:tab w:val="center" w:pos="4680"/>
        <w:tab w:val="right" w:pos="9360"/>
      </w:tabs>
    </w:pPr>
  </w:style>
  <w:style w:type="character" w:customStyle="1" w:styleId="HeaderChar">
    <w:name w:val="Header Char"/>
    <w:basedOn w:val="DefaultParagraphFont"/>
    <w:link w:val="Header"/>
    <w:uiPriority w:val="99"/>
    <w:rsid w:val="009F67A5"/>
  </w:style>
  <w:style w:type="paragraph" w:styleId="Footer">
    <w:name w:val="footer"/>
    <w:basedOn w:val="Normal"/>
    <w:link w:val="FooterChar"/>
    <w:uiPriority w:val="99"/>
    <w:unhideWhenUsed/>
    <w:rsid w:val="009F67A5"/>
    <w:pPr>
      <w:tabs>
        <w:tab w:val="center" w:pos="4680"/>
        <w:tab w:val="right" w:pos="9360"/>
      </w:tabs>
    </w:pPr>
  </w:style>
  <w:style w:type="character" w:customStyle="1" w:styleId="FooterChar">
    <w:name w:val="Footer Char"/>
    <w:basedOn w:val="DefaultParagraphFont"/>
    <w:link w:val="Footer"/>
    <w:uiPriority w:val="99"/>
    <w:rsid w:val="009F67A5"/>
  </w:style>
  <w:style w:type="paragraph" w:styleId="BodyTextIndent2">
    <w:name w:val="Body Text Indent 2"/>
    <w:basedOn w:val="Normal"/>
    <w:link w:val="BodyTextIndent2Char"/>
    <w:uiPriority w:val="99"/>
    <w:semiHidden/>
    <w:unhideWhenUsed/>
    <w:rsid w:val="009F67A5"/>
    <w:pPr>
      <w:spacing w:after="120" w:line="480" w:lineRule="auto"/>
      <w:ind w:left="360"/>
    </w:pPr>
  </w:style>
  <w:style w:type="character" w:customStyle="1" w:styleId="BodyTextIndent2Char">
    <w:name w:val="Body Text Indent 2 Char"/>
    <w:basedOn w:val="DefaultParagraphFont"/>
    <w:link w:val="BodyTextIndent2"/>
    <w:uiPriority w:val="99"/>
    <w:semiHidden/>
    <w:rsid w:val="009F67A5"/>
  </w:style>
  <w:style w:type="paragraph" w:styleId="ListParagraph">
    <w:name w:val="List Paragraph"/>
    <w:basedOn w:val="Normal"/>
    <w:uiPriority w:val="34"/>
    <w:qFormat/>
    <w:rsid w:val="00DC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2014-09-11T22:53:39+00:00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FD8A1-2111-422D-BF15-E8F90A021CA4}"/>
</file>

<file path=customXml/itemProps2.xml><?xml version="1.0" encoding="utf-8"?>
<ds:datastoreItem xmlns:ds="http://schemas.openxmlformats.org/officeDocument/2006/customXml" ds:itemID="{E87FA439-6D66-4D11-A534-92C1626D65B4}"/>
</file>

<file path=customXml/itemProps3.xml><?xml version="1.0" encoding="utf-8"?>
<ds:datastoreItem xmlns:ds="http://schemas.openxmlformats.org/officeDocument/2006/customXml" ds:itemID="{D50031A2-7391-4830-9D7E-9454AF3B2635}"/>
</file>

<file path=customXml/itemProps4.xml><?xml version="1.0" encoding="utf-8"?>
<ds:datastoreItem xmlns:ds="http://schemas.openxmlformats.org/officeDocument/2006/customXml" ds:itemID="{8C65D643-1F48-4E9D-9B5D-A7C0CB1A765B}"/>
</file>

<file path=customXml/itemProps5.xml><?xml version="1.0" encoding="utf-8"?>
<ds:datastoreItem xmlns:ds="http://schemas.openxmlformats.org/officeDocument/2006/customXml" ds:itemID="{2D8CF987-8ED9-4786-B962-C7B5122F8D9A}"/>
</file>

<file path=docProps/app.xml><?xml version="1.0" encoding="utf-8"?>
<Properties xmlns="http://schemas.openxmlformats.org/officeDocument/2006/extended-properties" xmlns:vt="http://schemas.openxmlformats.org/officeDocument/2006/docPropsVTypes">
  <Template>Normal.dotm</Template>
  <TotalTime>10</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4</cp:revision>
  <cp:lastPrinted>2014-09-11T22:04:00Z</cp:lastPrinted>
  <dcterms:created xsi:type="dcterms:W3CDTF">2014-09-11T21:59:00Z</dcterms:created>
  <dcterms:modified xsi:type="dcterms:W3CDTF">2014-09-11T22:12:00Z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