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3955A" w14:textId="67FB34EF" w:rsidR="00C0665B" w:rsidRPr="00B814E2" w:rsidRDefault="00B814E2" w:rsidP="007521DA">
      <w:pPr>
        <w:ind w:left="5580"/>
        <w:rPr>
          <w:b/>
        </w:rPr>
      </w:pPr>
      <w:r w:rsidRPr="00B814E2">
        <w:rPr>
          <w:b/>
        </w:rPr>
        <w:t>Exhibit No. ___</w:t>
      </w:r>
      <w:r w:rsidR="00A343ED">
        <w:rPr>
          <w:b/>
        </w:rPr>
        <w:t xml:space="preserve"> </w:t>
      </w:r>
      <w:r w:rsidRPr="00B814E2">
        <w:rPr>
          <w:b/>
        </w:rPr>
        <w:t>(</w:t>
      </w:r>
      <w:r w:rsidR="00090416">
        <w:rPr>
          <w:b/>
        </w:rPr>
        <w:t>DN</w:t>
      </w:r>
      <w:r w:rsidRPr="00B814E2">
        <w:rPr>
          <w:b/>
        </w:rPr>
        <w:t>-</w:t>
      </w:r>
      <w:r w:rsidR="00090416">
        <w:rPr>
          <w:b/>
        </w:rPr>
        <w:t>1</w:t>
      </w:r>
      <w:r w:rsidRPr="00B814E2">
        <w:rPr>
          <w:b/>
        </w:rPr>
        <w:t>T)</w:t>
      </w:r>
    </w:p>
    <w:p w14:paraId="19558BEB" w14:textId="77777777" w:rsidR="00B814E2" w:rsidRPr="00B814E2" w:rsidRDefault="007521DA" w:rsidP="007521DA">
      <w:pPr>
        <w:ind w:left="5580"/>
        <w:rPr>
          <w:b/>
        </w:rPr>
      </w:pPr>
      <w:r>
        <w:rPr>
          <w:b/>
        </w:rPr>
        <w:t>Dockets UE-150204/UG-150205</w:t>
      </w:r>
    </w:p>
    <w:p w14:paraId="01E57145" w14:textId="2B2AB3FB" w:rsidR="00B814E2" w:rsidRPr="00B814E2" w:rsidRDefault="00090416" w:rsidP="007521DA">
      <w:pPr>
        <w:ind w:left="5580"/>
        <w:rPr>
          <w:b/>
        </w:rPr>
      </w:pPr>
      <w:r>
        <w:rPr>
          <w:b/>
        </w:rPr>
        <w:t>Witness:</w:t>
      </w:r>
      <w:r w:rsidDel="00C33438">
        <w:rPr>
          <w:b/>
        </w:rPr>
        <w:t xml:space="preserve"> </w:t>
      </w:r>
      <w:r w:rsidR="00A343ED">
        <w:rPr>
          <w:b/>
        </w:rPr>
        <w:t xml:space="preserve"> </w:t>
      </w:r>
      <w:r>
        <w:rPr>
          <w:b/>
        </w:rPr>
        <w:t>David Nightingale</w:t>
      </w:r>
      <w:r w:rsidR="00B814E2" w:rsidRPr="00B814E2">
        <w:rPr>
          <w:b/>
        </w:rPr>
        <w:t xml:space="preserve"> </w:t>
      </w:r>
    </w:p>
    <w:p w14:paraId="5A370EB3" w14:textId="77777777" w:rsidR="00B814E2" w:rsidRPr="00B814E2" w:rsidRDefault="00B814E2" w:rsidP="00B814E2">
      <w:pPr>
        <w:rPr>
          <w:b/>
        </w:rPr>
      </w:pPr>
    </w:p>
    <w:p w14:paraId="0D3BD06F" w14:textId="77777777" w:rsidR="00B814E2" w:rsidRPr="00B814E2" w:rsidRDefault="00B814E2" w:rsidP="00B814E2">
      <w:pPr>
        <w:rPr>
          <w:b/>
        </w:rPr>
      </w:pPr>
    </w:p>
    <w:p w14:paraId="7EFD8451" w14:textId="77777777" w:rsidR="00A343ED" w:rsidRDefault="00B814E2" w:rsidP="00B814E2">
      <w:pPr>
        <w:ind w:left="-360" w:right="-252"/>
        <w:jc w:val="center"/>
        <w:rPr>
          <w:b/>
        </w:rPr>
      </w:pPr>
      <w:r w:rsidRPr="00B814E2">
        <w:rPr>
          <w:b/>
        </w:rPr>
        <w:t xml:space="preserve">BEFORE THE WASHINGTON </w:t>
      </w:r>
    </w:p>
    <w:p w14:paraId="4AB7EFEA" w14:textId="5ECA227E" w:rsidR="00B814E2" w:rsidRPr="00B814E2" w:rsidRDefault="00B814E2" w:rsidP="00B814E2">
      <w:pPr>
        <w:ind w:left="-360" w:right="-252"/>
        <w:jc w:val="center"/>
        <w:rPr>
          <w:b/>
        </w:rPr>
      </w:pPr>
      <w:r w:rsidRPr="00B814E2">
        <w:rPr>
          <w:b/>
        </w:rPr>
        <w:t>UTILITIES AND TRANSPORTATION COMMISSION</w:t>
      </w:r>
    </w:p>
    <w:p w14:paraId="0D7BC9B0" w14:textId="77777777" w:rsidR="00B814E2" w:rsidRPr="00B814E2" w:rsidRDefault="00B814E2" w:rsidP="00B814E2">
      <w:pPr>
        <w:rPr>
          <w:b/>
        </w:rPr>
      </w:pPr>
    </w:p>
    <w:tbl>
      <w:tblPr>
        <w:tblW w:w="9180" w:type="dxa"/>
        <w:tblLayout w:type="fixed"/>
        <w:tblCellMar>
          <w:left w:w="124" w:type="dxa"/>
          <w:right w:w="124" w:type="dxa"/>
        </w:tblCellMar>
        <w:tblLook w:val="04A0" w:firstRow="1" w:lastRow="0" w:firstColumn="1" w:lastColumn="0" w:noHBand="0" w:noVBand="1"/>
      </w:tblPr>
      <w:tblGrid>
        <w:gridCol w:w="4590"/>
        <w:gridCol w:w="4590"/>
      </w:tblGrid>
      <w:tr w:rsidR="007521DA" w14:paraId="55E9623F" w14:textId="77777777" w:rsidTr="007521DA">
        <w:tc>
          <w:tcPr>
            <w:tcW w:w="4590" w:type="dxa"/>
            <w:tcBorders>
              <w:top w:val="single" w:sz="6" w:space="0" w:color="FFFFFF"/>
              <w:left w:val="single" w:sz="6" w:space="0" w:color="FFFFFF"/>
              <w:bottom w:val="single" w:sz="8" w:space="0" w:color="000000"/>
              <w:right w:val="single" w:sz="6" w:space="0" w:color="FFFFFF"/>
            </w:tcBorders>
          </w:tcPr>
          <w:p w14:paraId="60F52B12" w14:textId="77777777" w:rsidR="007521DA" w:rsidRDefault="007521DA">
            <w:pPr>
              <w:rPr>
                <w:b/>
              </w:rPr>
            </w:pPr>
            <w:r>
              <w:rPr>
                <w:b/>
              </w:rPr>
              <w:t>WASHINGTON UTILITIES AND TRANSPORTATION COMMISSION,</w:t>
            </w:r>
          </w:p>
          <w:p w14:paraId="38822BFA" w14:textId="77777777" w:rsidR="007521DA" w:rsidRDefault="007521DA">
            <w:pPr>
              <w:rPr>
                <w:b/>
              </w:rPr>
            </w:pPr>
          </w:p>
          <w:p w14:paraId="74DDF8DF" w14:textId="77777777" w:rsidR="007521DA" w:rsidRDefault="007521DA">
            <w:pPr>
              <w:tabs>
                <w:tab w:val="left" w:pos="1800"/>
              </w:tabs>
              <w:rPr>
                <w:b/>
              </w:rPr>
            </w:pPr>
            <w:r>
              <w:rPr>
                <w:b/>
              </w:rPr>
              <w:tab/>
              <w:t>Complainant,</w:t>
            </w:r>
          </w:p>
          <w:p w14:paraId="02A1882A" w14:textId="77777777" w:rsidR="007521DA" w:rsidRDefault="007521DA">
            <w:pPr>
              <w:rPr>
                <w:b/>
              </w:rPr>
            </w:pPr>
          </w:p>
          <w:p w14:paraId="09F15E32" w14:textId="77777777" w:rsidR="007521DA" w:rsidRDefault="007521DA">
            <w:pPr>
              <w:rPr>
                <w:b/>
              </w:rPr>
            </w:pPr>
            <w:r>
              <w:rPr>
                <w:b/>
              </w:rPr>
              <w:t>v.</w:t>
            </w:r>
          </w:p>
          <w:p w14:paraId="0BB75AB8" w14:textId="77777777" w:rsidR="007521DA" w:rsidRDefault="007521DA">
            <w:pPr>
              <w:jc w:val="center"/>
              <w:rPr>
                <w:b/>
              </w:rPr>
            </w:pPr>
          </w:p>
          <w:p w14:paraId="141FF1F2" w14:textId="0FACDB99" w:rsidR="007521DA" w:rsidRDefault="00A343ED">
            <w:pPr>
              <w:rPr>
                <w:b/>
              </w:rPr>
            </w:pPr>
            <w:r>
              <w:rPr>
                <w:b/>
              </w:rPr>
              <w:t>AVISTA CORPORATION</w:t>
            </w:r>
            <w:r w:rsidR="007521DA">
              <w:rPr>
                <w:b/>
              </w:rPr>
              <w:t xml:space="preserve"> dba</w:t>
            </w:r>
          </w:p>
          <w:p w14:paraId="28918279" w14:textId="77777777" w:rsidR="007521DA" w:rsidRDefault="007521DA">
            <w:pPr>
              <w:rPr>
                <w:b/>
              </w:rPr>
            </w:pPr>
            <w:r>
              <w:rPr>
                <w:b/>
              </w:rPr>
              <w:t>AVISTA UTILITIES,</w:t>
            </w:r>
          </w:p>
          <w:p w14:paraId="71471952" w14:textId="77777777" w:rsidR="007521DA" w:rsidRDefault="007521DA">
            <w:pPr>
              <w:jc w:val="center"/>
              <w:rPr>
                <w:b/>
              </w:rPr>
            </w:pPr>
          </w:p>
          <w:p w14:paraId="4FA355ED" w14:textId="77777777" w:rsidR="007521DA" w:rsidRDefault="007521DA">
            <w:pPr>
              <w:tabs>
                <w:tab w:val="left" w:pos="1800"/>
              </w:tabs>
              <w:rPr>
                <w:b/>
              </w:rPr>
            </w:pPr>
            <w:r>
              <w:rPr>
                <w:b/>
              </w:rPr>
              <w:tab/>
              <w:t>Respondent.</w:t>
            </w:r>
          </w:p>
          <w:p w14:paraId="482437BE" w14:textId="77777777" w:rsidR="007521DA" w:rsidRDefault="007521DA">
            <w:pPr>
              <w:tabs>
                <w:tab w:val="center" w:pos="4680"/>
              </w:tabs>
              <w:jc w:val="center"/>
              <w:rPr>
                <w:b/>
                <w:bCs/>
              </w:rPr>
            </w:pPr>
          </w:p>
        </w:tc>
        <w:tc>
          <w:tcPr>
            <w:tcW w:w="4590" w:type="dxa"/>
            <w:tcBorders>
              <w:top w:val="single" w:sz="6" w:space="0" w:color="FFFFFF"/>
              <w:left w:val="single" w:sz="8" w:space="0" w:color="000000"/>
              <w:bottom w:val="single" w:sz="6" w:space="0" w:color="FFFFFF"/>
              <w:right w:val="single" w:sz="6" w:space="0" w:color="FFFFFF"/>
            </w:tcBorders>
          </w:tcPr>
          <w:p w14:paraId="307B5B47" w14:textId="552CED46" w:rsidR="007521DA" w:rsidRDefault="007521DA">
            <w:pPr>
              <w:ind w:left="450"/>
              <w:rPr>
                <w:b/>
              </w:rPr>
            </w:pPr>
            <w:r>
              <w:rPr>
                <w:b/>
              </w:rPr>
              <w:t>DOCKETS UE-</w:t>
            </w:r>
            <w:r w:rsidR="008C469B">
              <w:rPr>
                <w:b/>
              </w:rPr>
              <w:t xml:space="preserve">150204 </w:t>
            </w:r>
            <w:r>
              <w:rPr>
                <w:b/>
              </w:rPr>
              <w:t xml:space="preserve">and </w:t>
            </w:r>
          </w:p>
          <w:p w14:paraId="23394D79" w14:textId="77777777" w:rsidR="00A343ED" w:rsidRDefault="007521DA">
            <w:pPr>
              <w:ind w:left="450"/>
              <w:rPr>
                <w:b/>
              </w:rPr>
            </w:pPr>
            <w:r>
              <w:rPr>
                <w:b/>
              </w:rPr>
              <w:t>UG-1</w:t>
            </w:r>
            <w:r w:rsidR="008C469B">
              <w:rPr>
                <w:b/>
              </w:rPr>
              <w:t xml:space="preserve">50205 </w:t>
            </w:r>
          </w:p>
          <w:p w14:paraId="076971D0" w14:textId="685DDB18" w:rsidR="007521DA" w:rsidRDefault="007521DA">
            <w:pPr>
              <w:ind w:left="450"/>
              <w:rPr>
                <w:b/>
              </w:rPr>
            </w:pPr>
            <w:r>
              <w:rPr>
                <w:b/>
                <w:i/>
              </w:rPr>
              <w:t>(Consolidated)</w:t>
            </w:r>
          </w:p>
          <w:p w14:paraId="733FE2D2" w14:textId="77777777" w:rsidR="007521DA" w:rsidRDefault="007521DA">
            <w:pPr>
              <w:tabs>
                <w:tab w:val="center" w:pos="4680"/>
              </w:tabs>
              <w:rPr>
                <w:b/>
              </w:rPr>
            </w:pPr>
          </w:p>
          <w:p w14:paraId="74ED7D35" w14:textId="77777777" w:rsidR="007521DA" w:rsidRDefault="007521DA">
            <w:pPr>
              <w:tabs>
                <w:tab w:val="center" w:pos="4680"/>
              </w:tabs>
              <w:jc w:val="center"/>
              <w:rPr>
                <w:b/>
              </w:rPr>
            </w:pPr>
          </w:p>
        </w:tc>
      </w:tr>
    </w:tbl>
    <w:p w14:paraId="756AFECC" w14:textId="77777777" w:rsidR="00B814E2" w:rsidRDefault="00B814E2" w:rsidP="00B814E2">
      <w:pPr>
        <w:rPr>
          <w:b/>
          <w:bCs/>
        </w:rPr>
      </w:pPr>
    </w:p>
    <w:p w14:paraId="24BDD83D" w14:textId="77777777" w:rsidR="00B814E2" w:rsidRDefault="00B814E2" w:rsidP="00B814E2">
      <w:pPr>
        <w:rPr>
          <w:b/>
          <w:bCs/>
        </w:rPr>
      </w:pPr>
    </w:p>
    <w:p w14:paraId="221D6704" w14:textId="77777777" w:rsidR="00B814E2" w:rsidRDefault="00B814E2" w:rsidP="00B814E2">
      <w:pPr>
        <w:tabs>
          <w:tab w:val="center" w:pos="4680"/>
        </w:tabs>
        <w:jc w:val="center"/>
        <w:rPr>
          <w:b/>
          <w:bCs/>
        </w:rPr>
      </w:pPr>
      <w:r>
        <w:rPr>
          <w:b/>
          <w:bCs/>
        </w:rPr>
        <w:t>TESTIMONY OF</w:t>
      </w:r>
    </w:p>
    <w:p w14:paraId="5D05C989" w14:textId="77777777" w:rsidR="00B814E2" w:rsidRDefault="00B814E2" w:rsidP="00B814E2">
      <w:pPr>
        <w:jc w:val="center"/>
        <w:rPr>
          <w:b/>
          <w:bCs/>
        </w:rPr>
      </w:pPr>
    </w:p>
    <w:p w14:paraId="421178BE" w14:textId="76052590" w:rsidR="00B814E2" w:rsidRDefault="00A45AA0" w:rsidP="00B814E2">
      <w:pPr>
        <w:tabs>
          <w:tab w:val="center" w:pos="4680"/>
        </w:tabs>
        <w:jc w:val="center"/>
        <w:rPr>
          <w:b/>
          <w:bCs/>
        </w:rPr>
      </w:pPr>
      <w:r>
        <w:rPr>
          <w:b/>
          <w:bCs/>
        </w:rPr>
        <w:t>David Nightingale</w:t>
      </w:r>
    </w:p>
    <w:p w14:paraId="3351E10C" w14:textId="77777777" w:rsidR="00B814E2" w:rsidRDefault="00B814E2" w:rsidP="00B814E2">
      <w:pPr>
        <w:tabs>
          <w:tab w:val="center" w:pos="4680"/>
        </w:tabs>
        <w:jc w:val="center"/>
        <w:rPr>
          <w:b/>
          <w:bCs/>
        </w:rPr>
      </w:pPr>
    </w:p>
    <w:p w14:paraId="673362E6" w14:textId="77777777" w:rsidR="00B814E2" w:rsidRDefault="00B814E2" w:rsidP="00B814E2">
      <w:pPr>
        <w:tabs>
          <w:tab w:val="center" w:pos="4680"/>
        </w:tabs>
        <w:jc w:val="center"/>
        <w:rPr>
          <w:b/>
          <w:bCs/>
        </w:rPr>
      </w:pPr>
      <w:r>
        <w:rPr>
          <w:b/>
          <w:bCs/>
        </w:rPr>
        <w:t>STAFF OF</w:t>
      </w:r>
    </w:p>
    <w:p w14:paraId="3965EDB8" w14:textId="77777777"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165D6F5B" w14:textId="77777777" w:rsidR="00B814E2" w:rsidRDefault="00B814E2" w:rsidP="00B814E2">
      <w:pPr>
        <w:tabs>
          <w:tab w:val="center" w:pos="4680"/>
        </w:tabs>
        <w:jc w:val="center"/>
        <w:rPr>
          <w:b/>
          <w:bCs/>
        </w:rPr>
      </w:pPr>
      <w:r>
        <w:rPr>
          <w:b/>
          <w:bCs/>
        </w:rPr>
        <w:t>TRANSPORTATION COMMISSION</w:t>
      </w:r>
    </w:p>
    <w:p w14:paraId="1985C2CA" w14:textId="77777777" w:rsidR="00B814E2" w:rsidRDefault="00B814E2" w:rsidP="00B814E2">
      <w:pPr>
        <w:jc w:val="center"/>
        <w:rPr>
          <w:b/>
          <w:bCs/>
        </w:rPr>
      </w:pPr>
    </w:p>
    <w:p w14:paraId="3B8E72DC" w14:textId="77777777" w:rsidR="00B814E2" w:rsidRDefault="00B814E2" w:rsidP="00B814E2">
      <w:pPr>
        <w:rPr>
          <w:b/>
          <w:bCs/>
        </w:rPr>
      </w:pPr>
    </w:p>
    <w:p w14:paraId="62D93398" w14:textId="77777777" w:rsidR="00B814E2" w:rsidRDefault="00B814E2" w:rsidP="00B814E2">
      <w:pPr>
        <w:rPr>
          <w:b/>
          <w:bCs/>
        </w:rPr>
      </w:pPr>
    </w:p>
    <w:p w14:paraId="419D279C" w14:textId="77777777" w:rsidR="00B814E2" w:rsidRPr="00B814E2" w:rsidRDefault="00090416" w:rsidP="00B814E2">
      <w:pPr>
        <w:jc w:val="center"/>
        <w:rPr>
          <w:b/>
          <w:bCs/>
          <w:i/>
        </w:rPr>
      </w:pPr>
      <w:r>
        <w:rPr>
          <w:b/>
          <w:bCs/>
          <w:i/>
        </w:rPr>
        <w:t>Recovery of Costs for Smart Grid</w:t>
      </w:r>
    </w:p>
    <w:p w14:paraId="450559E6" w14:textId="77777777" w:rsidR="00B814E2" w:rsidRDefault="00B814E2" w:rsidP="00B814E2">
      <w:pPr>
        <w:rPr>
          <w:b/>
          <w:bCs/>
        </w:rPr>
      </w:pPr>
    </w:p>
    <w:p w14:paraId="7956984E" w14:textId="77777777" w:rsidR="00B814E2" w:rsidRDefault="00B814E2" w:rsidP="00B814E2">
      <w:pPr>
        <w:rPr>
          <w:b/>
          <w:bCs/>
        </w:rPr>
      </w:pPr>
    </w:p>
    <w:p w14:paraId="0A1DDAAE" w14:textId="77777777" w:rsidR="00B814E2" w:rsidRDefault="00090416" w:rsidP="00B814E2">
      <w:pPr>
        <w:jc w:val="center"/>
        <w:rPr>
          <w:b/>
          <w:bCs/>
        </w:rPr>
      </w:pPr>
      <w:r>
        <w:rPr>
          <w:b/>
          <w:bCs/>
        </w:rPr>
        <w:t>July 27, 2015</w:t>
      </w:r>
    </w:p>
    <w:p w14:paraId="365AFFE1" w14:textId="77777777" w:rsidR="00B814E2" w:rsidRDefault="00B814E2" w:rsidP="00B814E2"/>
    <w:p w14:paraId="5C173D31" w14:textId="77777777" w:rsidR="00B814E2" w:rsidRDefault="00B814E2" w:rsidP="00B814E2"/>
    <w:p w14:paraId="02937492"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6DEBAA80" w14:textId="77777777" w:rsidR="00B814E2" w:rsidRDefault="00B814E2" w:rsidP="00B814E2">
      <w:pPr>
        <w:jc w:val="center"/>
      </w:pPr>
      <w:r>
        <w:rPr>
          <w:b/>
        </w:rPr>
        <w:lastRenderedPageBreak/>
        <w:t>TABLE OF CONTENTS</w:t>
      </w:r>
    </w:p>
    <w:p w14:paraId="04F8E9D1" w14:textId="77777777" w:rsidR="00B814E2" w:rsidRDefault="00B814E2" w:rsidP="00B814E2"/>
    <w:p w14:paraId="5C2E9DF6" w14:textId="77777777" w:rsidR="00B814E2" w:rsidRDefault="00B814E2" w:rsidP="00B814E2"/>
    <w:p w14:paraId="036ED890" w14:textId="645B5047" w:rsidR="00B814E2" w:rsidRDefault="00B814E2" w:rsidP="00324685">
      <w:pPr>
        <w:pStyle w:val="ListParagraph"/>
        <w:numPr>
          <w:ilvl w:val="0"/>
          <w:numId w:val="9"/>
        </w:numPr>
        <w:tabs>
          <w:tab w:val="left" w:pos="720"/>
          <w:tab w:val="left" w:pos="1440"/>
          <w:tab w:val="left" w:pos="2160"/>
          <w:tab w:val="right" w:leader="dot" w:pos="8820"/>
        </w:tabs>
      </w:pPr>
      <w:r>
        <w:t xml:space="preserve">INTRODUCTION </w:t>
      </w:r>
      <w:r>
        <w:tab/>
        <w:t>1</w:t>
      </w:r>
    </w:p>
    <w:p w14:paraId="4E76B8E5" w14:textId="77777777" w:rsidR="00B814E2" w:rsidRDefault="00B814E2" w:rsidP="00B814E2">
      <w:pPr>
        <w:tabs>
          <w:tab w:val="left" w:pos="720"/>
          <w:tab w:val="left" w:pos="1440"/>
          <w:tab w:val="left" w:pos="2160"/>
          <w:tab w:val="right" w:leader="dot" w:pos="8820"/>
        </w:tabs>
      </w:pPr>
    </w:p>
    <w:p w14:paraId="3BA005F4" w14:textId="5F8AA1ED" w:rsidR="00B814E2" w:rsidRDefault="00B814E2" w:rsidP="00324685">
      <w:pPr>
        <w:pStyle w:val="ListParagraph"/>
        <w:numPr>
          <w:ilvl w:val="0"/>
          <w:numId w:val="9"/>
        </w:numPr>
        <w:tabs>
          <w:tab w:val="left" w:pos="720"/>
          <w:tab w:val="left" w:pos="1440"/>
          <w:tab w:val="left" w:pos="2160"/>
          <w:tab w:val="right" w:leader="dot" w:pos="8820"/>
        </w:tabs>
      </w:pPr>
      <w:r>
        <w:t xml:space="preserve">SCOPE AND SUMMARY OF TESTIMONY </w:t>
      </w:r>
      <w:r>
        <w:tab/>
      </w:r>
      <w:r w:rsidR="009564E6">
        <w:t>3</w:t>
      </w:r>
    </w:p>
    <w:p w14:paraId="0511368A" w14:textId="77777777" w:rsidR="00B814E2" w:rsidRDefault="00B814E2" w:rsidP="00B814E2">
      <w:pPr>
        <w:tabs>
          <w:tab w:val="left" w:pos="720"/>
          <w:tab w:val="left" w:pos="1440"/>
          <w:tab w:val="left" w:pos="2160"/>
          <w:tab w:val="right" w:leader="dot" w:pos="8820"/>
        </w:tabs>
      </w:pPr>
    </w:p>
    <w:p w14:paraId="78AF4144" w14:textId="06DB5BD4" w:rsidR="005B40B5" w:rsidRDefault="005B40B5" w:rsidP="00324685">
      <w:pPr>
        <w:pStyle w:val="ListParagraph"/>
        <w:numPr>
          <w:ilvl w:val="0"/>
          <w:numId w:val="9"/>
        </w:numPr>
        <w:tabs>
          <w:tab w:val="left" w:pos="720"/>
          <w:tab w:val="left" w:pos="1440"/>
          <w:tab w:val="left" w:pos="2160"/>
          <w:tab w:val="right" w:leader="dot" w:pos="8820"/>
        </w:tabs>
      </w:pPr>
      <w:r>
        <w:t>COST RECOVERY FOR AMI</w:t>
      </w:r>
      <w:r w:rsidR="009564E6">
        <w:tab/>
        <w:t>4</w:t>
      </w:r>
    </w:p>
    <w:p w14:paraId="200FF03C" w14:textId="77777777" w:rsidR="005B40B5" w:rsidRDefault="005B40B5" w:rsidP="00B814E2">
      <w:pPr>
        <w:tabs>
          <w:tab w:val="left" w:pos="720"/>
          <w:tab w:val="left" w:pos="1440"/>
          <w:tab w:val="left" w:pos="2160"/>
          <w:tab w:val="right" w:leader="dot" w:pos="8820"/>
        </w:tabs>
      </w:pPr>
    </w:p>
    <w:p w14:paraId="053641DC" w14:textId="41274496" w:rsidR="005B40B5" w:rsidRDefault="005B40B5" w:rsidP="008C469B">
      <w:pPr>
        <w:pStyle w:val="ListParagraph"/>
        <w:numPr>
          <w:ilvl w:val="0"/>
          <w:numId w:val="9"/>
        </w:numPr>
        <w:tabs>
          <w:tab w:val="left" w:pos="720"/>
          <w:tab w:val="right" w:leader="dot" w:pos="8820"/>
        </w:tabs>
      </w:pPr>
      <w:r>
        <w:t>COMMISSION POLICY STATEMENT REGARDING AMI COST RECOVERY</w:t>
      </w:r>
      <w:r w:rsidR="009564E6">
        <w:tab/>
      </w:r>
      <w:r w:rsidR="009564E6">
        <w:tab/>
        <w:t>13</w:t>
      </w:r>
    </w:p>
    <w:p w14:paraId="0CD1D562" w14:textId="77777777" w:rsidR="008C469B" w:rsidRDefault="008C469B" w:rsidP="008C469B">
      <w:pPr>
        <w:tabs>
          <w:tab w:val="left" w:pos="720"/>
          <w:tab w:val="right" w:leader="dot" w:pos="8820"/>
        </w:tabs>
      </w:pPr>
    </w:p>
    <w:p w14:paraId="651F7D67" w14:textId="24B54A5D" w:rsidR="005B40B5" w:rsidRDefault="00C84F76" w:rsidP="00324685">
      <w:pPr>
        <w:pStyle w:val="ListParagraph"/>
        <w:numPr>
          <w:ilvl w:val="0"/>
          <w:numId w:val="9"/>
        </w:numPr>
        <w:tabs>
          <w:tab w:val="left" w:pos="720"/>
          <w:tab w:val="left" w:pos="1440"/>
          <w:tab w:val="left" w:pos="2160"/>
          <w:tab w:val="right" w:leader="dot" w:pos="8820"/>
        </w:tabs>
      </w:pPr>
      <w:r>
        <w:t>RECOMMENDATIONS</w:t>
      </w:r>
      <w:r w:rsidR="009564E6">
        <w:tab/>
        <w:t>15</w:t>
      </w:r>
      <w:bookmarkStart w:id="0" w:name="_GoBack"/>
      <w:bookmarkEnd w:id="0"/>
    </w:p>
    <w:p w14:paraId="0065F7E5" w14:textId="77777777" w:rsidR="00B814E2" w:rsidRDefault="00B814E2" w:rsidP="00B814E2">
      <w:pPr>
        <w:tabs>
          <w:tab w:val="left" w:pos="720"/>
          <w:tab w:val="left" w:pos="1440"/>
          <w:tab w:val="left" w:pos="2160"/>
          <w:tab w:val="right" w:leader="dot" w:pos="8820"/>
        </w:tabs>
      </w:pPr>
    </w:p>
    <w:p w14:paraId="62E3C2AA" w14:textId="77777777" w:rsidR="00B814E2" w:rsidRDefault="00B814E2" w:rsidP="00B814E2">
      <w:pPr>
        <w:tabs>
          <w:tab w:val="left" w:pos="720"/>
          <w:tab w:val="left" w:pos="1440"/>
          <w:tab w:val="left" w:pos="2160"/>
          <w:tab w:val="right" w:leader="dot" w:pos="8820"/>
        </w:tabs>
      </w:pPr>
    </w:p>
    <w:p w14:paraId="56AFCF9F" w14:textId="77777777" w:rsidR="00B814E2" w:rsidRDefault="00B814E2" w:rsidP="00B814E2"/>
    <w:p w14:paraId="7E69DE64" w14:textId="77777777" w:rsidR="00B814E2" w:rsidRDefault="00B814E2" w:rsidP="00B814E2"/>
    <w:p w14:paraId="3E859C89" w14:textId="77777777" w:rsidR="00B814E2" w:rsidRDefault="00B814E2" w:rsidP="00B814E2">
      <w:pPr>
        <w:sectPr w:rsidR="00B814E2" w:rsidSect="0015026F">
          <w:footerReference w:type="default" r:id="rId11"/>
          <w:pgSz w:w="12240" w:h="15840"/>
          <w:pgMar w:top="1440" w:right="1440" w:bottom="1440" w:left="1872" w:header="720" w:footer="720" w:gutter="0"/>
          <w:pgNumType w:fmt="lowerRoman" w:start="1"/>
          <w:cols w:space="720"/>
          <w:docGrid w:linePitch="360"/>
        </w:sectPr>
      </w:pPr>
    </w:p>
    <w:p w14:paraId="26D31780" w14:textId="77777777" w:rsidR="00B814E2" w:rsidRDefault="00B814E2" w:rsidP="00B814E2">
      <w:pPr>
        <w:spacing w:line="480" w:lineRule="auto"/>
        <w:jc w:val="center"/>
        <w:rPr>
          <w:b/>
        </w:rPr>
      </w:pPr>
      <w:r>
        <w:rPr>
          <w:b/>
        </w:rPr>
        <w:t>I.</w:t>
      </w:r>
      <w:r>
        <w:rPr>
          <w:b/>
        </w:rPr>
        <w:tab/>
        <w:t>INTRODUCTION</w:t>
      </w:r>
    </w:p>
    <w:p w14:paraId="0B395A47" w14:textId="77777777" w:rsidR="00B814E2" w:rsidRDefault="00B814E2" w:rsidP="00B814E2">
      <w:pPr>
        <w:spacing w:line="480" w:lineRule="auto"/>
        <w:rPr>
          <w:b/>
        </w:rPr>
      </w:pPr>
    </w:p>
    <w:p w14:paraId="324901ED" w14:textId="430211E8" w:rsidR="00B814E2" w:rsidRDefault="00B814E2" w:rsidP="00B814E2">
      <w:pPr>
        <w:spacing w:line="480" w:lineRule="auto"/>
      </w:pPr>
      <w:r>
        <w:rPr>
          <w:b/>
        </w:rPr>
        <w:t>Q.</w:t>
      </w:r>
      <w:r>
        <w:rPr>
          <w:b/>
        </w:rPr>
        <w:tab/>
        <w:t>Please state your name and business address.</w:t>
      </w:r>
      <w:r w:rsidDel="00C33438">
        <w:rPr>
          <w:b/>
        </w:rPr>
        <w:t xml:space="preserve"> </w:t>
      </w:r>
    </w:p>
    <w:p w14:paraId="35DBBA6A" w14:textId="434D638A" w:rsidR="00B814E2" w:rsidRDefault="00B814E2" w:rsidP="00B814E2">
      <w:pPr>
        <w:spacing w:line="480" w:lineRule="auto"/>
        <w:ind w:left="720" w:hanging="720"/>
      </w:pPr>
      <w:r>
        <w:t>A.</w:t>
      </w:r>
      <w:r>
        <w:tab/>
      </w:r>
      <w:r w:rsidR="00090416">
        <w:t>My name is David Nightingale</w:t>
      </w:r>
      <w:r>
        <w:t>.</w:t>
      </w:r>
      <w:r w:rsidDel="00C33438">
        <w:t xml:space="preserve"> </w:t>
      </w:r>
      <w:r>
        <w:t>My business address is 1300 S. Evergreen Park Drive S.W., P.O. Box 47250, Olympia, WA</w:t>
      </w:r>
      <w:r w:rsidDel="00C33438">
        <w:t xml:space="preserve"> </w:t>
      </w:r>
      <w:r>
        <w:t>98504.</w:t>
      </w:r>
      <w:r w:rsidDel="00C33438">
        <w:t xml:space="preserve"> </w:t>
      </w:r>
    </w:p>
    <w:p w14:paraId="498B3BC4" w14:textId="77777777" w:rsidR="00B814E2" w:rsidRDefault="00B814E2" w:rsidP="00B814E2">
      <w:pPr>
        <w:spacing w:line="480" w:lineRule="auto"/>
        <w:ind w:left="720" w:hanging="720"/>
      </w:pPr>
    </w:p>
    <w:p w14:paraId="7D809E13" w14:textId="77777777" w:rsidR="00FD5BCD" w:rsidRPr="00FD5BCD" w:rsidRDefault="00B814E2" w:rsidP="00FD5BCD">
      <w:pPr>
        <w:tabs>
          <w:tab w:val="left" w:pos="-1440"/>
        </w:tabs>
        <w:spacing w:line="480" w:lineRule="auto"/>
        <w:ind w:left="720" w:hanging="720"/>
      </w:pPr>
      <w:r>
        <w:rPr>
          <w:b/>
        </w:rPr>
        <w:t>Q.</w:t>
      </w:r>
      <w:r>
        <w:rPr>
          <w:b/>
        </w:rPr>
        <w:tab/>
      </w:r>
      <w:r w:rsidR="00FD5BCD" w:rsidRPr="00245FEE">
        <w:rPr>
          <w:b/>
        </w:rPr>
        <w:t>By whom are you employed and in what capacity?</w:t>
      </w:r>
    </w:p>
    <w:p w14:paraId="4A3D30DE" w14:textId="718AFD7B" w:rsidR="00FD5BCD" w:rsidRPr="00245FEE" w:rsidRDefault="00FD5BCD" w:rsidP="00FD5BCD">
      <w:pPr>
        <w:tabs>
          <w:tab w:val="left" w:pos="-1440"/>
        </w:tabs>
        <w:spacing w:line="480" w:lineRule="auto"/>
        <w:ind w:left="720" w:hanging="720"/>
      </w:pPr>
      <w:r>
        <w:rPr>
          <w:b/>
        </w:rPr>
        <w:t>A.</w:t>
      </w:r>
      <w:r>
        <w:rPr>
          <w:b/>
        </w:rPr>
        <w:tab/>
      </w:r>
      <w:r w:rsidRPr="00245FEE">
        <w:t xml:space="preserve">I </w:t>
      </w:r>
      <w:r>
        <w:t>am</w:t>
      </w:r>
      <w:r w:rsidRPr="00245FEE">
        <w:t xml:space="preserve"> employed by the Washington Utilities a</w:t>
      </w:r>
      <w:r>
        <w:t>nd Transportation Commission (Commission</w:t>
      </w:r>
      <w:r w:rsidRPr="00245FEE">
        <w:t>) as a Senior Regulatory Engineering Specialist</w:t>
      </w:r>
      <w:r>
        <w:t xml:space="preserve"> in the Conservation and Energy Planning Section of the Regulatory Services Division.</w:t>
      </w:r>
      <w:r w:rsidDel="00C33438">
        <w:t xml:space="preserve"> </w:t>
      </w:r>
      <w:r>
        <w:t>I have held that position</w:t>
      </w:r>
      <w:r w:rsidRPr="00245FEE">
        <w:t xml:space="preserve"> since </w:t>
      </w:r>
      <w:r>
        <w:t xml:space="preserve">February </w:t>
      </w:r>
      <w:r w:rsidRPr="00245FEE">
        <w:t>2009.</w:t>
      </w:r>
      <w:r w:rsidRPr="00245FEE" w:rsidDel="00C33438">
        <w:t xml:space="preserve"> </w:t>
      </w:r>
    </w:p>
    <w:p w14:paraId="28889921" w14:textId="77777777" w:rsidR="00FD5BCD" w:rsidRPr="00245FEE" w:rsidRDefault="00FD5BCD" w:rsidP="00FD5BCD">
      <w:pPr>
        <w:tabs>
          <w:tab w:val="left" w:pos="-1440"/>
        </w:tabs>
        <w:spacing w:line="480" w:lineRule="auto"/>
        <w:ind w:left="720" w:hanging="720"/>
      </w:pPr>
    </w:p>
    <w:p w14:paraId="1B6750B8" w14:textId="77777777" w:rsidR="00FD5BCD" w:rsidRPr="00245FEE" w:rsidRDefault="00FD5BCD" w:rsidP="00FD5BCD">
      <w:pPr>
        <w:tabs>
          <w:tab w:val="left" w:pos="-1440"/>
        </w:tabs>
        <w:spacing w:line="480" w:lineRule="auto"/>
        <w:ind w:left="720" w:hanging="720"/>
        <w:rPr>
          <w:b/>
        </w:rPr>
      </w:pPr>
      <w:r w:rsidRPr="00245FEE">
        <w:rPr>
          <w:b/>
        </w:rPr>
        <w:t>Q.</w:t>
      </w:r>
      <w:r w:rsidRPr="00245FEE">
        <w:rPr>
          <w:b/>
        </w:rPr>
        <w:tab/>
        <w:t>What are your duties as a Senior Regulatory Engineering Specialist?</w:t>
      </w:r>
    </w:p>
    <w:p w14:paraId="6590727E" w14:textId="7426157A" w:rsidR="00FD5BCD" w:rsidRPr="00245FEE" w:rsidRDefault="00FD5BCD" w:rsidP="00FD5BCD">
      <w:pPr>
        <w:tabs>
          <w:tab w:val="left" w:pos="-1440"/>
        </w:tabs>
        <w:spacing w:line="480" w:lineRule="auto"/>
        <w:ind w:left="720" w:hanging="720"/>
      </w:pPr>
      <w:r w:rsidRPr="00245FEE">
        <w:t>A.</w:t>
      </w:r>
      <w:r w:rsidRPr="00245FEE">
        <w:tab/>
        <w:t xml:space="preserve">My duties involve </w:t>
      </w:r>
      <w:r>
        <w:t xml:space="preserve">the </w:t>
      </w:r>
      <w:r w:rsidRPr="00245FEE">
        <w:t xml:space="preserve">analysis </w:t>
      </w:r>
      <w:r>
        <w:t>of</w:t>
      </w:r>
      <w:r w:rsidRPr="00245FEE">
        <w:t xml:space="preserve"> </w:t>
      </w:r>
      <w:r>
        <w:t>resource</w:t>
      </w:r>
      <w:r w:rsidRPr="00245FEE">
        <w:t xml:space="preserve"> acquisition</w:t>
      </w:r>
      <w:r>
        <w:t xml:space="preserve"> prudence</w:t>
      </w:r>
      <w:r w:rsidRPr="00245FEE">
        <w:t>,</w:t>
      </w:r>
      <w:r>
        <w:t xml:space="preserve"> requests for proposals for acquisition of new resources, smart grid implementation, </w:t>
      </w:r>
      <w:r w:rsidRPr="00245FEE">
        <w:t xml:space="preserve">greenhouse gases emissions performance standard compliance, </w:t>
      </w:r>
      <w:r>
        <w:t>compliance with the energy conservation and renewable portfolio standards of the Energy I</w:t>
      </w:r>
      <w:r w:rsidR="00324685">
        <w:t>ndependence Act (EIA</w:t>
      </w:r>
      <w:r>
        <w:t>), and energy conservation program development and implementation.</w:t>
      </w:r>
      <w:r w:rsidDel="00C33438">
        <w:t xml:space="preserve"> </w:t>
      </w:r>
    </w:p>
    <w:p w14:paraId="718528D5" w14:textId="77777777" w:rsidR="00FD5BCD" w:rsidRPr="00245FEE" w:rsidRDefault="00FD5BCD" w:rsidP="00FD5BCD">
      <w:pPr>
        <w:tabs>
          <w:tab w:val="left" w:pos="-1440"/>
        </w:tabs>
        <w:spacing w:line="480" w:lineRule="auto"/>
        <w:ind w:left="720" w:hanging="720"/>
      </w:pPr>
    </w:p>
    <w:p w14:paraId="1C7C6426" w14:textId="77777777" w:rsidR="00FD5BCD" w:rsidRPr="00245FEE" w:rsidRDefault="00FD5BCD" w:rsidP="00FD5BCD">
      <w:pPr>
        <w:tabs>
          <w:tab w:val="left" w:pos="-1440"/>
        </w:tabs>
        <w:spacing w:line="480" w:lineRule="auto"/>
        <w:ind w:left="720" w:hanging="720"/>
      </w:pPr>
      <w:r w:rsidRPr="00245FEE">
        <w:rPr>
          <w:b/>
        </w:rPr>
        <w:t>Q.</w:t>
      </w:r>
      <w:r w:rsidRPr="00245FEE">
        <w:rPr>
          <w:b/>
        </w:rPr>
        <w:tab/>
        <w:t>Please describe your education and relevant employment experience</w:t>
      </w:r>
      <w:r>
        <w:rPr>
          <w:b/>
        </w:rPr>
        <w:t xml:space="preserve"> before you joined the Commission</w:t>
      </w:r>
      <w:r w:rsidRPr="00245FEE">
        <w:rPr>
          <w:b/>
        </w:rPr>
        <w:t>.</w:t>
      </w:r>
    </w:p>
    <w:p w14:paraId="6B1AC784" w14:textId="11667DE5" w:rsidR="00FD5BCD" w:rsidRPr="00245FEE" w:rsidRDefault="00FD5BCD" w:rsidP="00FD5BCD">
      <w:pPr>
        <w:tabs>
          <w:tab w:val="left" w:pos="-1440"/>
        </w:tabs>
        <w:spacing w:line="480" w:lineRule="auto"/>
        <w:ind w:left="720" w:hanging="720"/>
      </w:pPr>
      <w:r w:rsidRPr="00245FEE">
        <w:t>A.</w:t>
      </w:r>
      <w:r w:rsidRPr="00245FEE">
        <w:tab/>
        <w:t>I hold a Bachelor of Arts degree in Business Administration from Western Washington Universit</w:t>
      </w:r>
      <w:r>
        <w:t>y</w:t>
      </w:r>
      <w:r w:rsidRPr="00245FEE">
        <w:t>, Bellingham.</w:t>
      </w:r>
      <w:r w:rsidRPr="00245FEE" w:rsidDel="00C33438">
        <w:t xml:space="preserve"> </w:t>
      </w:r>
      <w:r w:rsidRPr="00245FEE">
        <w:t>I also hold a Bachelor of Science degree in Energy Engineering from the University of Washington, Seattle, where my studies fo</w:t>
      </w:r>
      <w:r>
        <w:t>cused on fluid dynamics, thermo</w:t>
      </w:r>
      <w:r w:rsidRPr="00245FEE">
        <w:t>dynamics, and alternative energy.</w:t>
      </w:r>
      <w:r w:rsidRPr="00245FEE" w:rsidDel="00C33438">
        <w:t xml:space="preserve"> </w:t>
      </w:r>
      <w:r w:rsidRPr="00245FEE">
        <w:t xml:space="preserve">I performed research and designed projects, including testing residential conservation standards in four fully-instrumented model homes, cost-effectiveness of residential solar hot water heating, and design </w:t>
      </w:r>
      <w:r>
        <w:t>of a small wind turbine system on</w:t>
      </w:r>
      <w:r w:rsidRPr="00245FEE">
        <w:t xml:space="preserve"> Orcas Island. </w:t>
      </w:r>
    </w:p>
    <w:p w14:paraId="7D64F841" w14:textId="5A28EE36" w:rsidR="00FD5BCD" w:rsidRPr="00245FEE" w:rsidRDefault="00930B6A" w:rsidP="005B40B5">
      <w:pPr>
        <w:tabs>
          <w:tab w:val="left" w:pos="-1440"/>
        </w:tabs>
        <w:spacing w:line="480" w:lineRule="auto"/>
        <w:ind w:left="720"/>
      </w:pPr>
      <w:r>
        <w:tab/>
      </w:r>
      <w:r w:rsidR="00FD5BCD" w:rsidRPr="00245FEE">
        <w:t>From 1987 to 1991, I worked for RW Beck and Associates, an engineering consulting firm in Seattle.</w:t>
      </w:r>
      <w:r w:rsidR="00FD5BCD" w:rsidRPr="00245FEE" w:rsidDel="00C33438">
        <w:t xml:space="preserve"> </w:t>
      </w:r>
      <w:r w:rsidR="00FD5BCD">
        <w:t xml:space="preserve">My responsibilities included </w:t>
      </w:r>
      <w:r w:rsidR="00FD5BCD" w:rsidRPr="00245FEE">
        <w:t xml:space="preserve">county and state waste </w:t>
      </w:r>
      <w:r w:rsidR="00FD5BCD">
        <w:t xml:space="preserve">and recycling </w:t>
      </w:r>
      <w:r w:rsidR="00FD5BCD" w:rsidRPr="00245FEE">
        <w:t>system planning, landfill development, and waste-to-energy (renewable biomass) project evaluation and analysis for clients in Washington and Alaska.</w:t>
      </w:r>
      <w:r w:rsidR="00FD5BCD" w:rsidRPr="00245FEE" w:rsidDel="00C33438">
        <w:t xml:space="preserve"> </w:t>
      </w:r>
    </w:p>
    <w:p w14:paraId="2594C5A2" w14:textId="1BBA88AC" w:rsidR="00FD5BCD" w:rsidRDefault="00FD5BCD" w:rsidP="005B40B5">
      <w:pPr>
        <w:tabs>
          <w:tab w:val="left" w:pos="-1440"/>
        </w:tabs>
        <w:spacing w:line="480" w:lineRule="auto"/>
        <w:ind w:left="720"/>
      </w:pPr>
      <w:r w:rsidRPr="00245FEE">
        <w:t xml:space="preserve">From </w:t>
      </w:r>
      <w:r>
        <w:t xml:space="preserve">October </w:t>
      </w:r>
      <w:r w:rsidRPr="00245FEE">
        <w:t>1991 th</w:t>
      </w:r>
      <w:r>
        <w:t>rough January of</w:t>
      </w:r>
      <w:r w:rsidRPr="00245FEE">
        <w:t xml:space="preserve"> 2009, I worked for the Washington </w:t>
      </w:r>
      <w:r>
        <w:t xml:space="preserve">State </w:t>
      </w:r>
      <w:r w:rsidRPr="00245FEE">
        <w:t xml:space="preserve">Department of Ecology in various capacities; as a planner, engineer, technical unit supervisor, statewide technical-lead, and policy </w:t>
      </w:r>
      <w:r>
        <w:t>Staff</w:t>
      </w:r>
      <w:r w:rsidRPr="00245FEE">
        <w:t>.</w:t>
      </w:r>
      <w:r w:rsidRPr="00245FEE" w:rsidDel="00C33438">
        <w:t xml:space="preserve"> </w:t>
      </w:r>
      <w:r w:rsidRPr="00245FEE">
        <w:t xml:space="preserve">My projects included technical review and regulatory compliance of renewable biomass projects, such as landfill gas </w:t>
      </w:r>
      <w:r>
        <w:t xml:space="preserve">to </w:t>
      </w:r>
      <w:r w:rsidRPr="00245FEE">
        <w:t>energy projects, variously-fueled pyrolysis plants and proposals, and fluidized-bed and m</w:t>
      </w:r>
      <w:r>
        <w:t>ass-burn waste-to-energy plants</w:t>
      </w:r>
      <w:r w:rsidRPr="00245FEE">
        <w:t>.</w:t>
      </w:r>
      <w:r w:rsidRPr="00245FEE" w:rsidDel="00C33438">
        <w:t xml:space="preserve"> </w:t>
      </w:r>
      <w:r w:rsidRPr="00245FEE">
        <w:t>I was also responsible for technical review and regulatory assistance for coal combustion products recycling and disposal options for TransAlta’s Centralia power generation plant</w:t>
      </w:r>
      <w:r>
        <w:t>,</w:t>
      </w:r>
      <w:r w:rsidRPr="00245FEE">
        <w:t xml:space="preserve"> as well as combustion products disposal for Avista’s Kettle Falls wood-fuel</w:t>
      </w:r>
      <w:r>
        <w:t>ed</w:t>
      </w:r>
      <w:r w:rsidRPr="00245FEE">
        <w:t xml:space="preserve"> </w:t>
      </w:r>
      <w:r>
        <w:t xml:space="preserve">electric generating </w:t>
      </w:r>
      <w:r w:rsidRPr="00245FEE">
        <w:t xml:space="preserve">plant. </w:t>
      </w:r>
    </w:p>
    <w:p w14:paraId="576EA09B" w14:textId="49B0E502" w:rsidR="00FD5BCD" w:rsidRDefault="00930B6A" w:rsidP="005B40B5">
      <w:pPr>
        <w:tabs>
          <w:tab w:val="left" w:pos="-1440"/>
        </w:tabs>
        <w:spacing w:line="480" w:lineRule="auto"/>
        <w:ind w:left="720"/>
      </w:pPr>
      <w:r>
        <w:tab/>
      </w:r>
      <w:r w:rsidR="00FD5BCD">
        <w:t>In the past few years I have increasingly focused on smart grid technologies and issues of implementation for smart grid and variable resources.</w:t>
      </w:r>
      <w:r w:rsidR="00FD5BCD" w:rsidDel="00C33438">
        <w:t xml:space="preserve"> </w:t>
      </w:r>
      <w:r w:rsidR="00FD5BCD">
        <w:t>This has included:</w:t>
      </w:r>
    </w:p>
    <w:p w14:paraId="4A144275" w14:textId="472E9AED" w:rsidR="00FD5BCD" w:rsidRDefault="00FD5BCD" w:rsidP="00A506B2">
      <w:pPr>
        <w:pStyle w:val="ListParagraph"/>
        <w:numPr>
          <w:ilvl w:val="0"/>
          <w:numId w:val="3"/>
        </w:numPr>
        <w:tabs>
          <w:tab w:val="left" w:pos="-1440"/>
        </w:tabs>
        <w:spacing w:line="480" w:lineRule="auto"/>
      </w:pPr>
      <w:r w:rsidRPr="00B54250">
        <w:t>Spokane</w:t>
      </w:r>
      <w:r>
        <w:t xml:space="preserve"> site visit</w:t>
      </w:r>
      <w:r w:rsidRPr="00B54250">
        <w:t xml:space="preserve"> with Avista staff </w:t>
      </w:r>
      <w:r>
        <w:t xml:space="preserve">to </w:t>
      </w:r>
      <w:r w:rsidR="00A506B2">
        <w:t>examine</w:t>
      </w:r>
      <w:r w:rsidRPr="00B54250">
        <w:t xml:space="preserve"> smart-grid installation sites that were part of their ARRA grants.</w:t>
      </w:r>
      <w:r w:rsidRPr="00B54250" w:rsidDel="00C33438">
        <w:t xml:space="preserve"> </w:t>
      </w:r>
      <w:r w:rsidRPr="00B54250">
        <w:t xml:space="preserve">This included </w:t>
      </w:r>
      <w:r>
        <w:t>tour</w:t>
      </w:r>
      <w:r w:rsidR="00A506B2">
        <w:t>s</w:t>
      </w:r>
      <w:r>
        <w:t xml:space="preserve"> of Avista’s training center and substation,</w:t>
      </w:r>
      <w:r w:rsidRPr="004666D6">
        <w:t xml:space="preserve"> meter shop, field installations of smart distribution devices, control center communications and software upgrades.</w:t>
      </w:r>
      <w:r w:rsidRPr="004666D6" w:rsidDel="00C33438">
        <w:t xml:space="preserve"> </w:t>
      </w:r>
    </w:p>
    <w:p w14:paraId="06466EC7" w14:textId="73C054F5" w:rsidR="00FD5BCD" w:rsidRDefault="00FD5BCD" w:rsidP="00A506B2">
      <w:pPr>
        <w:pStyle w:val="ListParagraph"/>
        <w:numPr>
          <w:ilvl w:val="0"/>
          <w:numId w:val="3"/>
        </w:numPr>
        <w:tabs>
          <w:tab w:val="left" w:pos="-1440"/>
        </w:tabs>
        <w:spacing w:line="480" w:lineRule="auto"/>
      </w:pPr>
      <w:r>
        <w:t>C</w:t>
      </w:r>
      <w:r w:rsidR="002D0C74">
        <w:t>ompleted the w</w:t>
      </w:r>
      <w:r w:rsidRPr="004666D6">
        <w:t xml:space="preserve">inter-term </w:t>
      </w:r>
      <w:r>
        <w:t xml:space="preserve">2015 </w:t>
      </w:r>
      <w:r w:rsidRPr="004666D6">
        <w:t>graduate course “</w:t>
      </w:r>
      <w:r w:rsidRPr="004666D6">
        <w:rPr>
          <w:i/>
        </w:rPr>
        <w:t>Designing the Smart Grid for Sustainable Communities</w:t>
      </w:r>
      <w:r w:rsidRPr="004666D6">
        <w:t>”</w:t>
      </w:r>
      <w:r w:rsidRPr="00892794">
        <w:t xml:space="preserve"> </w:t>
      </w:r>
      <w:r w:rsidRPr="00B54250">
        <w:t>offered by Portland State University</w:t>
      </w:r>
      <w:r>
        <w:t>.</w:t>
      </w:r>
    </w:p>
    <w:p w14:paraId="57148DD3" w14:textId="77777777" w:rsidR="00FD5BCD" w:rsidRDefault="00FD5BCD" w:rsidP="00A506B2">
      <w:pPr>
        <w:pStyle w:val="ListParagraph"/>
        <w:numPr>
          <w:ilvl w:val="0"/>
          <w:numId w:val="3"/>
        </w:numPr>
        <w:tabs>
          <w:tab w:val="left" w:pos="-1440"/>
        </w:tabs>
        <w:spacing w:line="480" w:lineRule="auto"/>
      </w:pPr>
      <w:r>
        <w:t>A</w:t>
      </w:r>
      <w:r w:rsidRPr="007D1F60">
        <w:t xml:space="preserve">ttended the </w:t>
      </w:r>
      <w:r>
        <w:t xml:space="preserve">September 2014 </w:t>
      </w:r>
      <w:r w:rsidRPr="00A506B2">
        <w:rPr>
          <w:i/>
        </w:rPr>
        <w:t>Energy Storage System Peer Review Update</w:t>
      </w:r>
      <w:r>
        <w:t xml:space="preserve"> regarding stationary battery research and bench-scale and pilot projects sponsored by </w:t>
      </w:r>
      <w:r w:rsidRPr="007D1F60">
        <w:t>Dept. o</w:t>
      </w:r>
      <w:r>
        <w:t>f</w:t>
      </w:r>
      <w:r w:rsidRPr="00B54250">
        <w:t xml:space="preserve"> Energy</w:t>
      </w:r>
      <w:r>
        <w:t>.</w:t>
      </w:r>
    </w:p>
    <w:p w14:paraId="4A91C712" w14:textId="77777777" w:rsidR="00FD5BCD" w:rsidRDefault="00FD5BCD" w:rsidP="00A506B2">
      <w:pPr>
        <w:pStyle w:val="ListParagraph"/>
        <w:numPr>
          <w:ilvl w:val="0"/>
          <w:numId w:val="3"/>
        </w:numPr>
        <w:tabs>
          <w:tab w:val="left" w:pos="-1440"/>
        </w:tabs>
        <w:spacing w:line="480" w:lineRule="auto"/>
      </w:pPr>
      <w:r>
        <w:t xml:space="preserve">Attended </w:t>
      </w:r>
      <w:r w:rsidRPr="004666D6">
        <w:rPr>
          <w:i/>
        </w:rPr>
        <w:t>Offshore Wind Conference</w:t>
      </w:r>
      <w:r>
        <w:t xml:space="preserve"> October 2014 sponsored by American Wind Energy Association.</w:t>
      </w:r>
    </w:p>
    <w:p w14:paraId="06645D76" w14:textId="140AACE0" w:rsidR="00B814E2" w:rsidRDefault="00FD5BCD" w:rsidP="00930B6A">
      <w:pPr>
        <w:pStyle w:val="ListParagraph"/>
        <w:numPr>
          <w:ilvl w:val="0"/>
          <w:numId w:val="3"/>
        </w:numPr>
        <w:tabs>
          <w:tab w:val="left" w:pos="-1440"/>
        </w:tabs>
        <w:spacing w:line="480" w:lineRule="auto"/>
      </w:pPr>
      <w:r>
        <w:t xml:space="preserve">Attended </w:t>
      </w:r>
      <w:r w:rsidRPr="00892794">
        <w:t>February 25, 2015</w:t>
      </w:r>
      <w:r w:rsidR="002D0C74">
        <w:t>,</w:t>
      </w:r>
      <w:r>
        <w:t xml:space="preserve"> </w:t>
      </w:r>
      <w:r w:rsidRPr="00A506B2">
        <w:rPr>
          <w:i/>
        </w:rPr>
        <w:t xml:space="preserve">Pacific Northwest Demand Response Project Meeting </w:t>
      </w:r>
      <w:r w:rsidRPr="004666D6">
        <w:t>sponsored by</w:t>
      </w:r>
      <w:r w:rsidRPr="00A506B2">
        <w:rPr>
          <w:i/>
        </w:rPr>
        <w:t xml:space="preserve"> </w:t>
      </w:r>
      <w:r w:rsidRPr="004666D6">
        <w:t xml:space="preserve">the </w:t>
      </w:r>
      <w:r>
        <w:t>Northwest Power and Conservation Council.</w:t>
      </w:r>
    </w:p>
    <w:p w14:paraId="20C11A50" w14:textId="77777777" w:rsidR="00B814E2" w:rsidRDefault="00B814E2" w:rsidP="00B814E2">
      <w:pPr>
        <w:spacing w:line="480" w:lineRule="auto"/>
        <w:ind w:left="720" w:hanging="720"/>
      </w:pPr>
    </w:p>
    <w:p w14:paraId="2B1B4202" w14:textId="77777777" w:rsidR="00B814E2" w:rsidRDefault="00B814E2" w:rsidP="00B814E2">
      <w:pPr>
        <w:spacing w:line="480" w:lineRule="auto"/>
        <w:ind w:left="720" w:hanging="720"/>
        <w:jc w:val="center"/>
      </w:pPr>
      <w:r>
        <w:rPr>
          <w:b/>
        </w:rPr>
        <w:t>II.</w:t>
      </w:r>
      <w:r>
        <w:rPr>
          <w:b/>
        </w:rPr>
        <w:tab/>
        <w:t>SCOPE AND SUMMARY OF TESTIMONY</w:t>
      </w:r>
    </w:p>
    <w:p w14:paraId="4FC0237D" w14:textId="77777777" w:rsidR="00B814E2" w:rsidRDefault="00B814E2" w:rsidP="00B814E2">
      <w:pPr>
        <w:spacing w:line="480" w:lineRule="auto"/>
        <w:ind w:left="720" w:hanging="720"/>
      </w:pPr>
    </w:p>
    <w:p w14:paraId="191E474E" w14:textId="77777777" w:rsidR="00B814E2" w:rsidRDefault="00B814E2" w:rsidP="00B814E2">
      <w:pPr>
        <w:spacing w:line="480" w:lineRule="auto"/>
        <w:ind w:left="720" w:hanging="720"/>
        <w:rPr>
          <w:b/>
        </w:rPr>
      </w:pPr>
      <w:r>
        <w:rPr>
          <w:b/>
        </w:rPr>
        <w:t>Q.</w:t>
      </w:r>
      <w:r>
        <w:rPr>
          <w:b/>
        </w:rPr>
        <w:tab/>
      </w:r>
      <w:r w:rsidR="00FD5BCD">
        <w:rPr>
          <w:b/>
        </w:rPr>
        <w:t>Please explain the purpose of your testimony.</w:t>
      </w:r>
    </w:p>
    <w:p w14:paraId="39A24D75" w14:textId="0AFDE420" w:rsidR="00B814E2" w:rsidRDefault="00B814E2" w:rsidP="00B814E2">
      <w:pPr>
        <w:spacing w:line="480" w:lineRule="auto"/>
        <w:ind w:left="720" w:hanging="720"/>
      </w:pPr>
      <w:r>
        <w:t>A.</w:t>
      </w:r>
      <w:r>
        <w:tab/>
      </w:r>
      <w:r w:rsidR="00BA6048">
        <w:t>M</w:t>
      </w:r>
      <w:r w:rsidR="00FD5BCD" w:rsidRPr="00FD5BCD">
        <w:t xml:space="preserve">y testimony addresses the proposed Avista’s request for cost recovery </w:t>
      </w:r>
      <w:r w:rsidR="008838ED">
        <w:t>for the future</w:t>
      </w:r>
      <w:r w:rsidR="00FD5BCD" w:rsidRPr="00FD5BCD">
        <w:t xml:space="preserve"> acquisition of Advanced Meter Infrastructure </w:t>
      </w:r>
      <w:r w:rsidR="008838ED">
        <w:t>(smart meters or AMI) through most of</w:t>
      </w:r>
      <w:r w:rsidR="00FD5BCD" w:rsidRPr="00FD5BCD">
        <w:t xml:space="preserve"> Avista’s Washington system. This </w:t>
      </w:r>
      <w:r w:rsidR="003F4589">
        <w:t>pro forma</w:t>
      </w:r>
      <w:r w:rsidR="00FD5BCD" w:rsidRPr="00FD5BCD">
        <w:t xml:space="preserve"> adjustment is </w:t>
      </w:r>
      <w:r w:rsidR="00703D63">
        <w:t>also discussed</w:t>
      </w:r>
      <w:r w:rsidR="00703D63" w:rsidRPr="00FD5BCD">
        <w:t xml:space="preserve"> </w:t>
      </w:r>
      <w:r w:rsidR="00FD5BCD" w:rsidRPr="00FD5BCD">
        <w:t>in</w:t>
      </w:r>
      <w:r w:rsidR="00703D63">
        <w:t xml:space="preserve"> the testimony of</w:t>
      </w:r>
      <w:r w:rsidR="00FD5BCD" w:rsidRPr="00FD5BCD">
        <w:t xml:space="preserve"> </w:t>
      </w:r>
      <w:r w:rsidR="00703D63">
        <w:t>S</w:t>
      </w:r>
      <w:r w:rsidR="00703D63" w:rsidRPr="00FD5BCD">
        <w:t>taff witness</w:t>
      </w:r>
      <w:r w:rsidR="00FD5BCD" w:rsidRPr="00FD5BCD">
        <w:t xml:space="preserve"> Mr. Hancock.</w:t>
      </w:r>
      <w:r w:rsidR="00FD5BCD" w:rsidRPr="00FD5BCD" w:rsidDel="002E3813">
        <w:t xml:space="preserve"> </w:t>
      </w:r>
      <w:r w:rsidR="00FD5BCD" w:rsidRPr="00FD5BCD">
        <w:t>I</w:t>
      </w:r>
      <w:r w:rsidR="00FD5BCD" w:rsidRPr="00FD5BCD" w:rsidDel="004C4D45">
        <w:t xml:space="preserve"> </w:t>
      </w:r>
      <w:r w:rsidR="00FD5BCD" w:rsidRPr="00FD5BCD">
        <w:t>recommen</w:t>
      </w:r>
      <w:r w:rsidR="004C4D45">
        <w:t>d the Commission</w:t>
      </w:r>
      <w:r w:rsidR="004C4D45" w:rsidDel="002E3813">
        <w:t xml:space="preserve"> </w:t>
      </w:r>
      <w:r w:rsidR="004C4D45">
        <w:t>hold</w:t>
      </w:r>
      <w:r w:rsidR="00FD5BCD" w:rsidRPr="00FD5BCD">
        <w:t xml:space="preserve"> </w:t>
      </w:r>
      <w:r w:rsidR="00EC3A5B">
        <w:t>a</w:t>
      </w:r>
      <w:r w:rsidR="00BA6048">
        <w:t xml:space="preserve"> </w:t>
      </w:r>
      <w:r w:rsidR="004C4D45">
        <w:t>workshop to</w:t>
      </w:r>
      <w:r w:rsidR="00FD5BCD" w:rsidRPr="00FD5BCD" w:rsidDel="004C4D45">
        <w:t xml:space="preserve"> </w:t>
      </w:r>
      <w:r w:rsidR="002E3813">
        <w:t>review</w:t>
      </w:r>
      <w:r w:rsidR="002E3813" w:rsidRPr="00FD5BCD">
        <w:t xml:space="preserve"> </w:t>
      </w:r>
      <w:r w:rsidR="002E3813">
        <w:t>the smart grid related elements of the 2007 Policy Statement</w:t>
      </w:r>
      <w:r w:rsidR="00FD5BCD" w:rsidRPr="00FD5BCD">
        <w:t xml:space="preserve"> </w:t>
      </w:r>
      <w:r w:rsidR="004C4D45">
        <w:t>in light of today’s technologies and societal concerns</w:t>
      </w:r>
      <w:r w:rsidR="00FD5BCD" w:rsidRPr="00FD5BCD">
        <w:t>.</w:t>
      </w:r>
    </w:p>
    <w:p w14:paraId="22825E58" w14:textId="77777777" w:rsidR="00B814E2" w:rsidRDefault="00B814E2" w:rsidP="00B814E2">
      <w:pPr>
        <w:spacing w:line="480" w:lineRule="auto"/>
        <w:ind w:left="720" w:hanging="720"/>
      </w:pPr>
    </w:p>
    <w:p w14:paraId="7E6A0B77" w14:textId="77777777" w:rsidR="00A506B2" w:rsidRDefault="00A506B2" w:rsidP="00A506B2">
      <w:pPr>
        <w:keepNext/>
        <w:spacing w:line="480" w:lineRule="auto"/>
        <w:ind w:left="720" w:hanging="720"/>
        <w:rPr>
          <w:b/>
        </w:rPr>
      </w:pPr>
      <w:r>
        <w:rPr>
          <w:b/>
        </w:rPr>
        <w:t>Q.</w:t>
      </w:r>
      <w:r>
        <w:rPr>
          <w:b/>
        </w:rPr>
        <w:tab/>
        <w:t>Please summarize your conclusions regarding the cost recovery of future expenditures to acquire smart meters?</w:t>
      </w:r>
    </w:p>
    <w:p w14:paraId="408D151C" w14:textId="3FB48AFD" w:rsidR="003D70FF" w:rsidRDefault="00A506B2" w:rsidP="00D23B12">
      <w:pPr>
        <w:spacing w:line="480" w:lineRule="auto"/>
        <w:ind w:left="720" w:hanging="720"/>
        <w:rPr>
          <w:b/>
        </w:rPr>
      </w:pPr>
      <w:r>
        <w:t>A.</w:t>
      </w:r>
      <w:r>
        <w:tab/>
      </w:r>
      <w:r w:rsidR="00EC3A5B">
        <w:t>I conclude that the Company’s request for approval of expenditures for AMI is not ready.</w:t>
      </w:r>
      <w:r w:rsidR="00EC3A5B" w:rsidDel="00C33438">
        <w:t xml:space="preserve"> </w:t>
      </w:r>
      <w:r w:rsidR="008838ED">
        <w:t>T</w:t>
      </w:r>
      <w:r>
        <w:t xml:space="preserve">he </w:t>
      </w:r>
      <w:r w:rsidR="0040577F">
        <w:t xml:space="preserve">Commission should </w:t>
      </w:r>
      <w:r w:rsidR="009203E9">
        <w:t>exclude</w:t>
      </w:r>
      <w:r w:rsidR="008838ED">
        <w:t xml:space="preserve"> </w:t>
      </w:r>
      <w:r w:rsidR="0040577F">
        <w:t xml:space="preserve">these </w:t>
      </w:r>
      <w:r w:rsidR="008838ED">
        <w:t>yet-</w:t>
      </w:r>
      <w:r>
        <w:t>to</w:t>
      </w:r>
      <w:r w:rsidR="008838ED">
        <w:t>-</w:t>
      </w:r>
      <w:r>
        <w:t>be</w:t>
      </w:r>
      <w:r w:rsidR="008838ED">
        <w:t>-</w:t>
      </w:r>
      <w:r>
        <w:t xml:space="preserve">incurred expenses </w:t>
      </w:r>
      <w:r w:rsidR="008838ED">
        <w:t xml:space="preserve">from this rate case </w:t>
      </w:r>
      <w:r w:rsidR="009203E9">
        <w:t>because</w:t>
      </w:r>
      <w:r w:rsidR="0040577F">
        <w:t xml:space="preserve"> </w:t>
      </w:r>
      <w:r w:rsidR="008838ED">
        <w:t>th</w:t>
      </w:r>
      <w:r>
        <w:t xml:space="preserve">e </w:t>
      </w:r>
      <w:r w:rsidR="008838ED">
        <w:t xml:space="preserve">AMI </w:t>
      </w:r>
      <w:r w:rsidR="00D53FCA">
        <w:t xml:space="preserve">is </w:t>
      </w:r>
      <w:r>
        <w:t>not yet used and useful for service in Washington.</w:t>
      </w:r>
      <w:r w:rsidDel="00C33438">
        <w:t xml:space="preserve"> </w:t>
      </w:r>
      <w:r>
        <w:t>Therefore, the request for AMI cost recovery in pro forma adjustment 4.02 is premature and should be excluded from</w:t>
      </w:r>
      <w:r w:rsidR="00AE36A9">
        <w:t xml:space="preserve"> the revenue requirement determined in</w:t>
      </w:r>
      <w:r>
        <w:t xml:space="preserve"> this rate case.</w:t>
      </w:r>
      <w:r w:rsidDel="00C33438">
        <w:t xml:space="preserve"> </w:t>
      </w:r>
    </w:p>
    <w:p w14:paraId="7F6F9747" w14:textId="77777777" w:rsidR="003D70FF" w:rsidRDefault="003D70FF" w:rsidP="00A506B2">
      <w:pPr>
        <w:tabs>
          <w:tab w:val="left" w:pos="-1440"/>
        </w:tabs>
        <w:spacing w:line="480" w:lineRule="auto"/>
        <w:ind w:left="720" w:hanging="720"/>
        <w:jc w:val="center"/>
        <w:rPr>
          <w:b/>
        </w:rPr>
      </w:pPr>
    </w:p>
    <w:p w14:paraId="3730039F" w14:textId="64D63C97" w:rsidR="00A506B2" w:rsidRPr="00790EEE" w:rsidRDefault="00A506B2" w:rsidP="00B85E11">
      <w:pPr>
        <w:spacing w:line="480" w:lineRule="auto"/>
        <w:jc w:val="center"/>
        <w:rPr>
          <w:b/>
        </w:rPr>
      </w:pPr>
      <w:r w:rsidRPr="00790EEE">
        <w:rPr>
          <w:b/>
        </w:rPr>
        <w:t>III</w:t>
      </w:r>
      <w:r w:rsidR="00B85E11">
        <w:rPr>
          <w:b/>
        </w:rPr>
        <w:t>.</w:t>
      </w:r>
      <w:r w:rsidRPr="00790EEE">
        <w:rPr>
          <w:b/>
        </w:rPr>
        <w:tab/>
      </w:r>
      <w:r w:rsidR="00885A1D">
        <w:rPr>
          <w:b/>
        </w:rPr>
        <w:t>COST RECOVERY FOR AMI</w:t>
      </w:r>
    </w:p>
    <w:p w14:paraId="4807CA38" w14:textId="77777777" w:rsidR="00A506B2" w:rsidRDefault="00A506B2" w:rsidP="00A506B2">
      <w:pPr>
        <w:tabs>
          <w:tab w:val="left" w:pos="-1440"/>
        </w:tabs>
        <w:spacing w:line="480" w:lineRule="auto"/>
        <w:ind w:left="720" w:hanging="720"/>
      </w:pPr>
    </w:p>
    <w:p w14:paraId="79DB9338" w14:textId="3C52D55F" w:rsidR="008838ED" w:rsidRPr="004228C5" w:rsidRDefault="008838ED" w:rsidP="00A506B2">
      <w:pPr>
        <w:tabs>
          <w:tab w:val="left" w:pos="-1440"/>
        </w:tabs>
        <w:spacing w:line="480" w:lineRule="auto"/>
        <w:ind w:left="720" w:hanging="720"/>
        <w:rPr>
          <w:b/>
        </w:rPr>
      </w:pPr>
      <w:r w:rsidRPr="004228C5">
        <w:rPr>
          <w:b/>
        </w:rPr>
        <w:t>Q.</w:t>
      </w:r>
      <w:r w:rsidRPr="004228C5">
        <w:rPr>
          <w:b/>
        </w:rPr>
        <w:tab/>
        <w:t xml:space="preserve">What is Avista’s proposal </w:t>
      </w:r>
      <w:r w:rsidR="00DE4AF3">
        <w:rPr>
          <w:b/>
        </w:rPr>
        <w:t xml:space="preserve">regarding AMI cost recovery </w:t>
      </w:r>
      <w:r w:rsidRPr="004228C5">
        <w:rPr>
          <w:b/>
        </w:rPr>
        <w:t>in this rate case?</w:t>
      </w:r>
    </w:p>
    <w:p w14:paraId="42AD1D79" w14:textId="2A662281" w:rsidR="008838ED" w:rsidRDefault="008838ED" w:rsidP="00A506B2">
      <w:pPr>
        <w:tabs>
          <w:tab w:val="left" w:pos="-1440"/>
        </w:tabs>
        <w:spacing w:line="480" w:lineRule="auto"/>
        <w:ind w:left="720" w:hanging="720"/>
      </w:pPr>
      <w:r>
        <w:t>A.</w:t>
      </w:r>
      <w:r>
        <w:tab/>
        <w:t>Avista</w:t>
      </w:r>
      <w:r w:rsidR="00703D63">
        <w:t>’s</w:t>
      </w:r>
      <w:r>
        <w:t xml:space="preserve"> </w:t>
      </w:r>
      <w:r w:rsidR="003F4589">
        <w:t>pro forma</w:t>
      </w:r>
      <w:r>
        <w:t xml:space="preserve"> adjustment 4.02 </w:t>
      </w:r>
      <w:r w:rsidR="00703D63">
        <w:t xml:space="preserve">includes </w:t>
      </w:r>
      <w:r>
        <w:t xml:space="preserve">the planned costs for </w:t>
      </w:r>
      <w:r w:rsidR="004228C5">
        <w:t>deploying AMI in Washington.</w:t>
      </w:r>
      <w:r w:rsidR="00703D63">
        <w:rPr>
          <w:rStyle w:val="FootnoteReference"/>
        </w:rPr>
        <w:footnoteReference w:id="2"/>
      </w:r>
    </w:p>
    <w:p w14:paraId="4387D272" w14:textId="77777777" w:rsidR="008838ED" w:rsidRDefault="008838ED" w:rsidP="00A506B2">
      <w:pPr>
        <w:tabs>
          <w:tab w:val="left" w:pos="-1440"/>
        </w:tabs>
        <w:spacing w:line="480" w:lineRule="auto"/>
        <w:ind w:left="720" w:hanging="720"/>
      </w:pPr>
    </w:p>
    <w:p w14:paraId="6DE5AFEA" w14:textId="0B056160" w:rsidR="00A506B2" w:rsidRPr="000516B5" w:rsidRDefault="00A506B2" w:rsidP="00A506B2">
      <w:pPr>
        <w:tabs>
          <w:tab w:val="left" w:pos="-1440"/>
        </w:tabs>
        <w:spacing w:line="480" w:lineRule="auto"/>
        <w:ind w:left="720" w:hanging="720"/>
        <w:rPr>
          <w:b/>
        </w:rPr>
      </w:pPr>
      <w:r w:rsidRPr="000516B5">
        <w:rPr>
          <w:b/>
        </w:rPr>
        <w:t>Q.</w:t>
      </w:r>
      <w:r w:rsidRPr="000516B5">
        <w:rPr>
          <w:b/>
        </w:rPr>
        <w:tab/>
      </w:r>
      <w:r w:rsidR="00AE36A9">
        <w:rPr>
          <w:b/>
        </w:rPr>
        <w:t>Do you agree that Avista’s</w:t>
      </w:r>
      <w:r w:rsidR="00AE36A9" w:rsidRPr="000516B5">
        <w:rPr>
          <w:b/>
        </w:rPr>
        <w:t xml:space="preserve"> </w:t>
      </w:r>
      <w:r w:rsidR="00AE36A9">
        <w:rPr>
          <w:b/>
        </w:rPr>
        <w:t>e</w:t>
      </w:r>
      <w:r w:rsidR="00AE36A9" w:rsidRPr="000516B5">
        <w:rPr>
          <w:b/>
        </w:rPr>
        <w:t xml:space="preserve">stimated </w:t>
      </w:r>
      <w:r w:rsidR="00AE36A9">
        <w:rPr>
          <w:b/>
        </w:rPr>
        <w:t>c</w:t>
      </w:r>
      <w:r w:rsidR="00AE36A9" w:rsidRPr="000516B5">
        <w:rPr>
          <w:b/>
        </w:rPr>
        <w:t xml:space="preserve">ost </w:t>
      </w:r>
      <w:r w:rsidRPr="000516B5">
        <w:rPr>
          <w:b/>
        </w:rPr>
        <w:t xml:space="preserve">for AMI </w:t>
      </w:r>
      <w:r>
        <w:rPr>
          <w:b/>
        </w:rPr>
        <w:t xml:space="preserve">in </w:t>
      </w:r>
      <w:r w:rsidR="003F4589">
        <w:rPr>
          <w:b/>
        </w:rPr>
        <w:t>pro forma</w:t>
      </w:r>
      <w:r>
        <w:rPr>
          <w:b/>
        </w:rPr>
        <w:t xml:space="preserve"> adjustment 4.02 </w:t>
      </w:r>
      <w:r w:rsidRPr="000516B5">
        <w:rPr>
          <w:b/>
        </w:rPr>
        <w:t xml:space="preserve">be allowed </w:t>
      </w:r>
      <w:r w:rsidR="00AE36A9">
        <w:rPr>
          <w:b/>
        </w:rPr>
        <w:t>for recovery</w:t>
      </w:r>
      <w:r w:rsidRPr="000516B5">
        <w:rPr>
          <w:b/>
        </w:rPr>
        <w:t>?</w:t>
      </w:r>
    </w:p>
    <w:p w14:paraId="5B071AC6" w14:textId="6FB10C89" w:rsidR="00D23B12" w:rsidRDefault="00A506B2" w:rsidP="00D23B12">
      <w:pPr>
        <w:spacing w:line="480" w:lineRule="auto"/>
        <w:ind w:left="720" w:hanging="720"/>
      </w:pPr>
      <w:r>
        <w:t>A.</w:t>
      </w:r>
      <w:r>
        <w:tab/>
        <w:t>No.</w:t>
      </w:r>
      <w:r w:rsidR="00C33438">
        <w:t xml:space="preserve"> </w:t>
      </w:r>
      <w:r w:rsidR="00AE36A9">
        <w:t xml:space="preserve">Avista’s </w:t>
      </w:r>
      <w:r>
        <w:t>request for</w:t>
      </w:r>
      <w:r w:rsidR="004228C5">
        <w:t xml:space="preserve"> inclusion of the cost of AMI is</w:t>
      </w:r>
      <w:r>
        <w:t xml:space="preserve"> not yet ripe for decision-making by the Commission because the equipment has not yet been</w:t>
      </w:r>
      <w:r w:rsidR="004228C5">
        <w:t xml:space="preserve"> purchased or</w:t>
      </w:r>
      <w:r>
        <w:t xml:space="preserve"> put into service.</w:t>
      </w:r>
      <w:r w:rsidDel="00C33438">
        <w:t xml:space="preserve"> </w:t>
      </w:r>
      <w:r w:rsidR="008D5187" w:rsidRPr="008D5187">
        <w:t>No smart meters have been purchased or installed outside of the Pullman smart grid</w:t>
      </w:r>
      <w:r w:rsidR="006D68E7">
        <w:t xml:space="preserve"> pilot project.</w:t>
      </w:r>
      <w:r>
        <w:t xml:space="preserve"> </w:t>
      </w:r>
      <w:r w:rsidR="00703D63" w:rsidRPr="00703D63">
        <w:t>In fact, the Company is still in the process of developing a request for proposals to bring on board experts to assist the utility in procuring smart meters.</w:t>
      </w:r>
      <w:r w:rsidR="00703D63" w:rsidRPr="00703D63" w:rsidDel="00C33438">
        <w:t xml:space="preserve"> </w:t>
      </w:r>
    </w:p>
    <w:p w14:paraId="1F9AA197" w14:textId="6B90092D" w:rsidR="00A506B2" w:rsidRDefault="00A506B2">
      <w:pPr>
        <w:spacing w:line="480" w:lineRule="auto"/>
        <w:ind w:left="720" w:firstLine="720"/>
      </w:pPr>
      <w:r>
        <w:t xml:space="preserve">The </w:t>
      </w:r>
      <w:r w:rsidR="006D68E7">
        <w:t xml:space="preserve">Company’s </w:t>
      </w:r>
      <w:r>
        <w:t xml:space="preserve">request for cost recovery is contrary to a fundamental principle embodied in statute at RCW 80.04.250(1) that calls for the Commission to “determine the fair value for rate making purposes the property of any public service company </w:t>
      </w:r>
      <w:r w:rsidRPr="00AB65B5">
        <w:rPr>
          <w:i/>
        </w:rPr>
        <w:t>used and useful</w:t>
      </w:r>
      <w:r>
        <w:t xml:space="preserve"> for service in this state</w:t>
      </w:r>
      <w:r w:rsidR="006D68E7">
        <w:t xml:space="preserve"> </w:t>
      </w:r>
      <w:r w:rsidR="00267497">
        <w:t>..</w:t>
      </w:r>
      <w:r w:rsidR="006D68E7">
        <w:t>. .</w:t>
      </w:r>
      <w:r>
        <w:t xml:space="preserve">” </w:t>
      </w:r>
      <w:r w:rsidR="00703D63" w:rsidRPr="00703D63">
        <w:t>The absence of any actual costs or even RFPs documenting projected costs shows that Company’s proposal lacks</w:t>
      </w:r>
      <w:r w:rsidR="00703D63">
        <w:t xml:space="preserve"> </w:t>
      </w:r>
      <w:r>
        <w:t>sufficient evidence</w:t>
      </w:r>
      <w:r w:rsidR="00DE4AF3">
        <w:t xml:space="preserve"> that the property is</w:t>
      </w:r>
      <w:r>
        <w:t xml:space="preserve"> used and useful</w:t>
      </w:r>
      <w:r w:rsidR="00703D63">
        <w:t>.</w:t>
      </w:r>
      <w:r>
        <w:t xml:space="preserve"> </w:t>
      </w:r>
      <w:r w:rsidR="00703D63">
        <w:t>T</w:t>
      </w:r>
      <w:r>
        <w:t xml:space="preserve">he recovery of costs </w:t>
      </w:r>
      <w:r w:rsidR="00560E28">
        <w:t>for AMI</w:t>
      </w:r>
      <w:r w:rsidR="00703D63">
        <w:t xml:space="preserve"> therefore</w:t>
      </w:r>
      <w:r w:rsidR="00560E28">
        <w:t xml:space="preserve"> </w:t>
      </w:r>
      <w:r>
        <w:t>should not be allowed into rates.</w:t>
      </w:r>
    </w:p>
    <w:p w14:paraId="0A35E1D2" w14:textId="77777777" w:rsidR="00A506B2" w:rsidRDefault="00A506B2" w:rsidP="00A506B2">
      <w:pPr>
        <w:spacing w:line="480" w:lineRule="auto"/>
        <w:ind w:left="720" w:hanging="720"/>
      </w:pPr>
    </w:p>
    <w:p w14:paraId="4E977A6D" w14:textId="6B070755" w:rsidR="00E766F2" w:rsidRPr="00E766F2" w:rsidRDefault="00E766F2" w:rsidP="00A506B2">
      <w:pPr>
        <w:spacing w:line="480" w:lineRule="auto"/>
        <w:ind w:left="720" w:hanging="720"/>
        <w:rPr>
          <w:b/>
        </w:rPr>
      </w:pPr>
      <w:r w:rsidRPr="00E766F2">
        <w:rPr>
          <w:b/>
        </w:rPr>
        <w:t>Q.</w:t>
      </w:r>
      <w:r w:rsidRPr="00E766F2">
        <w:rPr>
          <w:b/>
        </w:rPr>
        <w:tab/>
        <w:t>How has the term “used and useful” be</w:t>
      </w:r>
      <w:r>
        <w:rPr>
          <w:b/>
        </w:rPr>
        <w:t>en</w:t>
      </w:r>
      <w:r w:rsidRPr="00E766F2">
        <w:rPr>
          <w:b/>
        </w:rPr>
        <w:t xml:space="preserve"> interpreted?</w:t>
      </w:r>
    </w:p>
    <w:p w14:paraId="433CA7F4" w14:textId="38FB13F9" w:rsidR="00E766F2" w:rsidRDefault="00E766F2" w:rsidP="00324685">
      <w:pPr>
        <w:spacing w:line="480" w:lineRule="auto"/>
        <w:ind w:left="720" w:hanging="720"/>
      </w:pPr>
      <w:r>
        <w:t>A.</w:t>
      </w:r>
      <w:r>
        <w:tab/>
      </w:r>
      <w:r w:rsidRPr="00E766F2">
        <w:t xml:space="preserve">According to the Supreme Court of Washington, “RCW 80.04.250 empowers the Commission to determine, for rate making purposes, the fair value of property which is </w:t>
      </w:r>
      <w:r w:rsidRPr="00E766F2">
        <w:rPr>
          <w:i/>
        </w:rPr>
        <w:t>employed for service in Washington and capable of being put to use for service in Washington</w:t>
      </w:r>
      <w:r w:rsidRPr="00E766F2">
        <w:t>.”</w:t>
      </w:r>
      <w:r>
        <w:rPr>
          <w:rStyle w:val="FootnoteReference"/>
        </w:rPr>
        <w:footnoteReference w:id="3"/>
      </w:r>
      <w:r w:rsidRPr="00E766F2" w:rsidDel="00C33438">
        <w:t xml:space="preserve"> </w:t>
      </w:r>
      <w:r>
        <w:t>If the property has not been “employed for service</w:t>
      </w:r>
      <w:r w:rsidR="00324685">
        <w:t>,</w:t>
      </w:r>
      <w:r>
        <w:t>” such as AMI technology that has yet to be installed, it is not used and useful.</w:t>
      </w:r>
      <w:r w:rsidDel="00C33438">
        <w:t xml:space="preserve"> </w:t>
      </w:r>
      <w:r>
        <w:t>Further, the Commission</w:t>
      </w:r>
      <w:r w:rsidRPr="009B32D6">
        <w:t xml:space="preserve"> </w:t>
      </w:r>
      <w:r w:rsidR="00CD1C24">
        <w:t xml:space="preserve">has explained that to meet the state’s used and useful standard, </w:t>
      </w:r>
      <w:r w:rsidR="00B24F1B" w:rsidRPr="00B24F1B">
        <w:t xml:space="preserve">the Company </w:t>
      </w:r>
      <w:r w:rsidR="00CD1C24">
        <w:t>“</w:t>
      </w:r>
      <w:r w:rsidR="00B24F1B" w:rsidRPr="00B24F1B">
        <w:t>must demonstrate tangible and quantifiable benefits to Washington of resources in the system before [the Commission] will include the resources in rates.”</w:t>
      </w:r>
      <w:r w:rsidR="00B24F1B" w:rsidRPr="00B24F1B">
        <w:rPr>
          <w:vertAlign w:val="superscript"/>
        </w:rPr>
        <w:footnoteReference w:id="4"/>
      </w:r>
      <w:r w:rsidR="00B24F1B" w:rsidRPr="00B24F1B">
        <w:t xml:space="preserve"> In particular, the test is “whether [the resource] provides </w:t>
      </w:r>
      <w:r w:rsidR="00B24F1B" w:rsidRPr="00B24F1B">
        <w:rPr>
          <w:i/>
          <w:u w:val="single"/>
        </w:rPr>
        <w:t>quantifiable direct or indirect benefits to Washington commensurate with its cost</w:t>
      </w:r>
      <w:r w:rsidR="00B24F1B" w:rsidRPr="00B24F1B">
        <w:t>.”</w:t>
      </w:r>
      <w:r w:rsidR="00B24F1B" w:rsidRPr="00B24F1B">
        <w:rPr>
          <w:vertAlign w:val="superscript"/>
        </w:rPr>
        <w:footnoteReference w:id="5"/>
      </w:r>
      <w:r w:rsidR="00CD1C24">
        <w:t xml:space="preserve"> </w:t>
      </w:r>
      <w:r w:rsidR="00C33438">
        <w:t>Once a decision is made to include the cost of a resource in rate base, the “need, deliverability and least cost” criteria come into play.</w:t>
      </w:r>
      <w:r w:rsidR="00885A1D">
        <w:rPr>
          <w:rStyle w:val="FootnoteReference"/>
        </w:rPr>
        <w:footnoteReference w:id="6"/>
      </w:r>
      <w:r w:rsidR="00C33438">
        <w:t xml:space="preserve"> The</w:t>
      </w:r>
      <w:r w:rsidR="00453E9A">
        <w:t xml:space="preserve">se criteria </w:t>
      </w:r>
      <w:r w:rsidR="00C33438">
        <w:t xml:space="preserve">determine whether a portion or all of the cost of a resource is included in rate base. </w:t>
      </w:r>
      <w:r>
        <w:t xml:space="preserve">Because the AMI proposal in this rate case </w:t>
      </w:r>
      <w:r w:rsidR="00453E9A">
        <w:t>anticipates</w:t>
      </w:r>
      <w:r>
        <w:t xml:space="preserve"> future deployment, there have been no benefits, direct or indirect, accrued to Washington customers from AMI deployment.</w:t>
      </w:r>
      <w:r w:rsidR="00B6236A" w:rsidDel="00C33438">
        <w:t xml:space="preserve"> </w:t>
      </w:r>
      <w:r w:rsidR="00B6236A">
        <w:t>Consequently, those future deployments are not yet used and useful.</w:t>
      </w:r>
    </w:p>
    <w:p w14:paraId="583FB8D9" w14:textId="77777777" w:rsidR="00E766F2" w:rsidRDefault="00E766F2" w:rsidP="00A506B2">
      <w:pPr>
        <w:spacing w:line="480" w:lineRule="auto"/>
        <w:ind w:left="720" w:hanging="720"/>
      </w:pPr>
    </w:p>
    <w:p w14:paraId="5024DF19" w14:textId="77777777" w:rsidR="00A506B2" w:rsidRDefault="00A506B2" w:rsidP="00A506B2">
      <w:pPr>
        <w:spacing w:line="480" w:lineRule="auto"/>
        <w:ind w:left="720" w:hanging="720"/>
        <w:rPr>
          <w:b/>
        </w:rPr>
      </w:pPr>
      <w:r w:rsidRPr="0084000E">
        <w:rPr>
          <w:b/>
        </w:rPr>
        <w:t>Q.</w:t>
      </w:r>
      <w:r w:rsidRPr="00AB65B5">
        <w:rPr>
          <w:b/>
        </w:rPr>
        <w:t xml:space="preserve"> </w:t>
      </w:r>
      <w:r w:rsidRPr="00AB65B5">
        <w:rPr>
          <w:b/>
        </w:rPr>
        <w:tab/>
      </w:r>
      <w:r>
        <w:rPr>
          <w:b/>
        </w:rPr>
        <w:t xml:space="preserve">In addition to </w:t>
      </w:r>
      <w:r w:rsidRPr="0084000E">
        <w:rPr>
          <w:b/>
        </w:rPr>
        <w:t xml:space="preserve">Avista’s </w:t>
      </w:r>
      <w:r>
        <w:rPr>
          <w:b/>
        </w:rPr>
        <w:t xml:space="preserve">inability to show that the AMI deployment is used and useful, are there problems in “determining the fair value” of the </w:t>
      </w:r>
      <w:r w:rsidRPr="0084000E">
        <w:rPr>
          <w:b/>
        </w:rPr>
        <w:t xml:space="preserve">smart grid proposal </w:t>
      </w:r>
      <w:r>
        <w:rPr>
          <w:b/>
        </w:rPr>
        <w:t>as required in statute?</w:t>
      </w:r>
    </w:p>
    <w:p w14:paraId="318FA98F" w14:textId="02612680" w:rsidR="00A506B2" w:rsidRDefault="00A506B2" w:rsidP="00A506B2">
      <w:pPr>
        <w:spacing w:line="480" w:lineRule="auto"/>
        <w:ind w:left="720" w:hanging="720"/>
      </w:pPr>
      <w:r>
        <w:rPr>
          <w:b/>
        </w:rPr>
        <w:t>A.</w:t>
      </w:r>
      <w:r>
        <w:t xml:space="preserve"> </w:t>
      </w:r>
      <w:r>
        <w:tab/>
        <w:t>Yes.</w:t>
      </w:r>
      <w:r w:rsidR="00C33438">
        <w:t xml:space="preserve"> </w:t>
      </w:r>
      <w:r>
        <w:t>To approve cost recovery the Commission must be able to “determine the fair value” associated with a purchase.</w:t>
      </w:r>
      <w:r w:rsidR="00B04024">
        <w:rPr>
          <w:rStyle w:val="FootnoteReference"/>
        </w:rPr>
        <w:footnoteReference w:id="7"/>
      </w:r>
      <w:r w:rsidR="00C33438">
        <w:t xml:space="preserve"> </w:t>
      </w:r>
      <w:r>
        <w:t xml:space="preserve">Without a current purchase price for AMI through a competitive bid process, let alone the known and measurable costs of installation, </w:t>
      </w:r>
      <w:r w:rsidR="00DE4AF3">
        <w:t xml:space="preserve">as well as some </w:t>
      </w:r>
      <w:r>
        <w:t xml:space="preserve">maintenance </w:t>
      </w:r>
      <w:r w:rsidR="00DE4AF3">
        <w:t>history</w:t>
      </w:r>
      <w:r>
        <w:t>, it is not possible to determine the cost, benefits, or the fair value of AMI in this rate case.</w:t>
      </w:r>
      <w:r w:rsidDel="00C33438">
        <w:t xml:space="preserve"> </w:t>
      </w:r>
    </w:p>
    <w:p w14:paraId="6F68A6DE" w14:textId="77777777" w:rsidR="00A506B2" w:rsidRDefault="00A506B2" w:rsidP="00A506B2">
      <w:pPr>
        <w:spacing w:line="480" w:lineRule="auto"/>
        <w:ind w:hanging="720"/>
      </w:pPr>
    </w:p>
    <w:p w14:paraId="1CD67D46" w14:textId="0FA06241" w:rsidR="00A506B2" w:rsidRPr="007456F4" w:rsidRDefault="00A506B2" w:rsidP="00A506B2">
      <w:pPr>
        <w:tabs>
          <w:tab w:val="left" w:pos="-1440"/>
        </w:tabs>
        <w:spacing w:line="480" w:lineRule="auto"/>
        <w:ind w:left="720" w:hanging="720"/>
        <w:rPr>
          <w:b/>
        </w:rPr>
      </w:pPr>
      <w:r w:rsidRPr="007456F4">
        <w:rPr>
          <w:b/>
        </w:rPr>
        <w:t>Q.</w:t>
      </w:r>
      <w:r>
        <w:rPr>
          <w:b/>
        </w:rPr>
        <w:tab/>
        <w:t>Can you provide an example of how the initial planning level estimated costs could present problems?</w:t>
      </w:r>
      <w:r w:rsidDel="00C33438">
        <w:rPr>
          <w:b/>
        </w:rPr>
        <w:t xml:space="preserve">  </w:t>
      </w:r>
    </w:p>
    <w:p w14:paraId="59864BA9" w14:textId="599A26C8" w:rsidR="00FF2477" w:rsidRDefault="00A506B2" w:rsidP="00A506B2">
      <w:pPr>
        <w:tabs>
          <w:tab w:val="left" w:pos="-1440"/>
        </w:tabs>
        <w:spacing w:line="480" w:lineRule="auto"/>
        <w:ind w:left="720" w:hanging="720"/>
      </w:pPr>
      <w:r w:rsidRPr="00DE4AF3">
        <w:t>A.</w:t>
      </w:r>
      <w:r w:rsidRPr="00DE4AF3">
        <w:tab/>
      </w:r>
      <w:r w:rsidR="00DE4AF3" w:rsidRPr="00DE4AF3">
        <w:t>T</w:t>
      </w:r>
      <w:r w:rsidRPr="00DE4AF3">
        <w:t>he</w:t>
      </w:r>
      <w:r>
        <w:t xml:space="preserve"> AMI Business Case has a one line total for the preliminary estimated capital cost of the “Electric Meters</w:t>
      </w:r>
      <w:r w:rsidR="00324685">
        <w:t>,</w:t>
      </w:r>
      <w:r>
        <w:t>” $33.8 million.</w:t>
      </w:r>
      <w:r>
        <w:rPr>
          <w:rStyle w:val="FootnoteReference"/>
        </w:rPr>
        <w:footnoteReference w:id="8"/>
      </w:r>
      <w:r w:rsidDel="00C33438">
        <w:t xml:space="preserve"> </w:t>
      </w:r>
      <w:r w:rsidR="00B04024">
        <w:t xml:space="preserve">This estimate </w:t>
      </w:r>
      <w:r>
        <w:t xml:space="preserve">is not based on any actual costs, as the </w:t>
      </w:r>
      <w:r w:rsidR="00B04024">
        <w:t xml:space="preserve">Company </w:t>
      </w:r>
      <w:r>
        <w:t>has not yet received bids for this equipment.</w:t>
      </w:r>
      <w:r w:rsidR="00143F1E" w:rsidDel="00C33438">
        <w:t xml:space="preserve"> </w:t>
      </w:r>
      <w:r w:rsidR="00453E9A">
        <w:t>In this preliminary stage, t</w:t>
      </w:r>
      <w:r w:rsidR="00143F1E">
        <w:t xml:space="preserve">he </w:t>
      </w:r>
      <w:r w:rsidR="00453E9A">
        <w:t>C</w:t>
      </w:r>
      <w:r w:rsidR="00143F1E">
        <w:t>ompany has only solicited responses from consultants to assist them in developing an AMI request for proposals.</w:t>
      </w:r>
      <w:r w:rsidDel="00C33438">
        <w:t xml:space="preserve"> </w:t>
      </w:r>
      <w:r>
        <w:t>It is highly likely that the actual costs for these AMI meters will not be $33.8 million.</w:t>
      </w:r>
      <w:r w:rsidDel="00C33438">
        <w:t xml:space="preserve">  </w:t>
      </w:r>
    </w:p>
    <w:p w14:paraId="6B90AC30" w14:textId="274EE2FB" w:rsidR="00A506B2" w:rsidRDefault="00FF2477" w:rsidP="00A506B2">
      <w:pPr>
        <w:tabs>
          <w:tab w:val="left" w:pos="-1440"/>
        </w:tabs>
        <w:spacing w:line="480" w:lineRule="auto"/>
        <w:ind w:left="720" w:hanging="720"/>
      </w:pPr>
      <w:r>
        <w:tab/>
      </w:r>
      <w:r>
        <w:tab/>
      </w:r>
      <w:r w:rsidR="000E3F8D">
        <w:t>I</w:t>
      </w:r>
      <w:r w:rsidR="000E3F8D" w:rsidRPr="000E3F8D">
        <w:t xml:space="preserve">f these estimated costs </w:t>
      </w:r>
      <w:r w:rsidR="00B3329D">
        <w:t>we</w:t>
      </w:r>
      <w:r w:rsidR="000E3F8D" w:rsidRPr="000E3F8D">
        <w:t>re approved in rates now</w:t>
      </w:r>
      <w:r w:rsidR="000E3F8D">
        <w:t>, and the estimate</w:t>
      </w:r>
      <w:r w:rsidR="00B3329D">
        <w:t>s</w:t>
      </w:r>
      <w:r w:rsidR="000E3F8D">
        <w:t xml:space="preserve"> prove</w:t>
      </w:r>
      <w:r w:rsidR="00945882">
        <w:t xml:space="preserve">d to be </w:t>
      </w:r>
      <w:r w:rsidR="000E3F8D">
        <w:t xml:space="preserve">inaccurate, either the </w:t>
      </w:r>
      <w:r w:rsidR="00703D63">
        <w:t xml:space="preserve">Company </w:t>
      </w:r>
      <w:r w:rsidR="000E3F8D">
        <w:t>or its customers w</w:t>
      </w:r>
      <w:r w:rsidR="00453E9A">
        <w:t xml:space="preserve">ould </w:t>
      </w:r>
      <w:r w:rsidR="000E3F8D">
        <w:t xml:space="preserve"> bear the </w:t>
      </w:r>
      <w:r w:rsidR="00B3329D">
        <w:t xml:space="preserve">risk associated with the actual </w:t>
      </w:r>
      <w:r w:rsidR="000E3F8D">
        <w:t>cost</w:t>
      </w:r>
      <w:r w:rsidR="00B3329D">
        <w:t>s</w:t>
      </w:r>
      <w:r w:rsidR="000E3F8D">
        <w:t>.</w:t>
      </w:r>
      <w:r w:rsidR="000E3F8D" w:rsidDel="00C33438">
        <w:t xml:space="preserve"> </w:t>
      </w:r>
      <w:r w:rsidR="00B3329D">
        <w:t>For example, t</w:t>
      </w:r>
      <w:r w:rsidR="00A506B2">
        <w:t xml:space="preserve">o the extent that actual costs are estimated too low, the </w:t>
      </w:r>
      <w:r w:rsidR="00324685">
        <w:t xml:space="preserve">Company </w:t>
      </w:r>
      <w:r w:rsidR="00A506B2">
        <w:t>is at risk of having to cover excess costs</w:t>
      </w:r>
      <w:r w:rsidR="00560E28">
        <w:t>, or attempt to recover cost over-runs from customers at a later date.</w:t>
      </w:r>
      <w:r w:rsidR="00560E28" w:rsidDel="00C33438">
        <w:t xml:space="preserve"> </w:t>
      </w:r>
      <w:r w:rsidR="00560E28">
        <w:t>If the estimated</w:t>
      </w:r>
      <w:r w:rsidR="00A506B2">
        <w:t xml:space="preserve"> costs </w:t>
      </w:r>
      <w:r w:rsidR="00453E9A">
        <w:t>prove to be too</w:t>
      </w:r>
      <w:r w:rsidR="00A506B2">
        <w:t xml:space="preserve"> high</w:t>
      </w:r>
      <w:r w:rsidR="00560E28">
        <w:t xml:space="preserve"> </w:t>
      </w:r>
      <w:r w:rsidR="00453E9A">
        <w:t xml:space="preserve">when </w:t>
      </w:r>
      <w:r w:rsidR="00560E28">
        <w:t>compared to actual costs</w:t>
      </w:r>
      <w:r w:rsidR="00A506B2">
        <w:t>, customers are at risk of paying more than needed in rates.</w:t>
      </w:r>
      <w:r w:rsidR="00A506B2" w:rsidDel="00C33438">
        <w:t xml:space="preserve"> </w:t>
      </w:r>
      <w:r w:rsidR="00A506B2">
        <w:t>Consequently, t</w:t>
      </w:r>
      <w:r w:rsidR="00560E28">
        <w:t>he cost</w:t>
      </w:r>
      <w:r w:rsidR="00A506B2">
        <w:t xml:space="preserve"> estimate</w:t>
      </w:r>
      <w:r w:rsidR="00560E28">
        <w:t xml:space="preserve">s presented </w:t>
      </w:r>
      <w:r w:rsidR="00453E9A">
        <w:t xml:space="preserve">by the Company </w:t>
      </w:r>
      <w:r w:rsidR="00560E28">
        <w:t>are</w:t>
      </w:r>
      <w:r w:rsidR="00A506B2">
        <w:t xml:space="preserve"> too speculative to be useful for ratemaking purposes</w:t>
      </w:r>
      <w:r w:rsidR="00866BA9">
        <w:t xml:space="preserve">. When the project’s </w:t>
      </w:r>
      <w:r w:rsidR="00A506B2">
        <w:t xml:space="preserve">e actual costs </w:t>
      </w:r>
      <w:r w:rsidR="00866BA9">
        <w:t xml:space="preserve">are </w:t>
      </w:r>
      <w:r w:rsidR="00560E28">
        <w:t xml:space="preserve">determined, </w:t>
      </w:r>
      <w:r w:rsidR="00866BA9">
        <w:t xml:space="preserve">and Staff and other parties have had the opportunity to fully analyze these costs, </w:t>
      </w:r>
      <w:r w:rsidR="00560E28">
        <w:t xml:space="preserve">the </w:t>
      </w:r>
      <w:r w:rsidR="00866BA9">
        <w:t xml:space="preserve">decision can be made as to whether the </w:t>
      </w:r>
      <w:r w:rsidR="00560E28">
        <w:t xml:space="preserve">AMI </w:t>
      </w:r>
      <w:r w:rsidR="00866BA9">
        <w:t xml:space="preserve">project’s </w:t>
      </w:r>
      <w:r w:rsidR="00560E28">
        <w:t>costs are  known and measureable</w:t>
      </w:r>
      <w:r w:rsidR="00A506B2">
        <w:t>.</w:t>
      </w:r>
    </w:p>
    <w:p w14:paraId="282A8B66" w14:textId="77777777" w:rsidR="00817640" w:rsidRDefault="00817640" w:rsidP="00A506B2">
      <w:pPr>
        <w:tabs>
          <w:tab w:val="left" w:pos="-1440"/>
        </w:tabs>
        <w:spacing w:line="480" w:lineRule="auto"/>
        <w:ind w:left="720" w:hanging="720"/>
      </w:pPr>
    </w:p>
    <w:p w14:paraId="52B8048F" w14:textId="77777777" w:rsidR="00A506B2" w:rsidRDefault="00A506B2" w:rsidP="00560E28">
      <w:pPr>
        <w:spacing w:line="480" w:lineRule="auto"/>
        <w:ind w:left="720" w:hanging="720"/>
        <w:rPr>
          <w:b/>
        </w:rPr>
      </w:pPr>
      <w:r w:rsidRPr="0084000E">
        <w:rPr>
          <w:b/>
        </w:rPr>
        <w:t>Q.</w:t>
      </w:r>
      <w:r w:rsidRPr="00AB65B5">
        <w:rPr>
          <w:b/>
        </w:rPr>
        <w:t xml:space="preserve"> </w:t>
      </w:r>
      <w:r w:rsidRPr="00AB65B5">
        <w:rPr>
          <w:b/>
        </w:rPr>
        <w:tab/>
      </w:r>
      <w:r>
        <w:rPr>
          <w:b/>
        </w:rPr>
        <w:t>What else</w:t>
      </w:r>
      <w:r w:rsidR="001566E6">
        <w:rPr>
          <w:b/>
        </w:rPr>
        <w:t>,</w:t>
      </w:r>
      <w:r>
        <w:rPr>
          <w:b/>
        </w:rPr>
        <w:t xml:space="preserve"> besides costs</w:t>
      </w:r>
      <w:r w:rsidR="001566E6">
        <w:rPr>
          <w:b/>
        </w:rPr>
        <w:t>,</w:t>
      </w:r>
      <w:r>
        <w:rPr>
          <w:b/>
        </w:rPr>
        <w:t xml:space="preserve"> need to be considered in determining the</w:t>
      </w:r>
      <w:r w:rsidR="00212569">
        <w:rPr>
          <w:b/>
        </w:rPr>
        <w:t xml:space="preserve"> fair value of the AMI proposal</w:t>
      </w:r>
      <w:r>
        <w:rPr>
          <w:b/>
        </w:rPr>
        <w:t>?</w:t>
      </w:r>
    </w:p>
    <w:p w14:paraId="7893BF15" w14:textId="4BC1F0BF" w:rsidR="00212569" w:rsidRDefault="00A506B2" w:rsidP="00212569">
      <w:pPr>
        <w:spacing w:line="480" w:lineRule="auto"/>
        <w:ind w:left="720" w:hanging="720"/>
      </w:pPr>
      <w:r>
        <w:rPr>
          <w:b/>
        </w:rPr>
        <w:t>A.</w:t>
      </w:r>
      <w:r>
        <w:t xml:space="preserve"> </w:t>
      </w:r>
      <w:r>
        <w:tab/>
        <w:t>To determine the fair value of any equipment purchase</w:t>
      </w:r>
      <w:r w:rsidR="001566E6">
        <w:t xml:space="preserve"> or smart grid investment</w:t>
      </w:r>
      <w:r>
        <w:t xml:space="preserve">, the benefits </w:t>
      </w:r>
      <w:r w:rsidR="000E3F8D">
        <w:t xml:space="preserve">also </w:t>
      </w:r>
      <w:r>
        <w:t>need to be considered.</w:t>
      </w:r>
      <w:r w:rsidDel="00C33438">
        <w:t xml:space="preserve"> </w:t>
      </w:r>
      <w:r w:rsidR="001566E6">
        <w:t xml:space="preserve">Just as with costs, Avista presented an initial </w:t>
      </w:r>
      <w:r>
        <w:t xml:space="preserve">planning level estimate of the multiplicity of potential benefits that </w:t>
      </w:r>
      <w:r w:rsidR="00866BA9">
        <w:t>the Company</w:t>
      </w:r>
      <w:r>
        <w:t xml:space="preserve"> might expect</w:t>
      </w:r>
      <w:r w:rsidR="001566E6">
        <w:t>.</w:t>
      </w:r>
      <w:r w:rsidR="001566E6" w:rsidDel="00C33438">
        <w:t xml:space="preserve"> </w:t>
      </w:r>
      <w:r w:rsidR="001566E6">
        <w:t xml:space="preserve">Nonetheless, </w:t>
      </w:r>
      <w:r>
        <w:t xml:space="preserve">as no equipment has been </w:t>
      </w:r>
      <w:r w:rsidR="000E3F8D">
        <w:t xml:space="preserve">selected, </w:t>
      </w:r>
      <w:r>
        <w:t>purchased</w:t>
      </w:r>
      <w:r w:rsidR="000E3F8D">
        <w:t>,</w:t>
      </w:r>
      <w:r>
        <w:t xml:space="preserve"> or installed, it is again premature for the Commission to consider the speculative benefits of full-scale AMI deployment.</w:t>
      </w:r>
      <w:r w:rsidR="00212569" w:rsidDel="00C33438">
        <w:t xml:space="preserve">  </w:t>
      </w:r>
    </w:p>
    <w:p w14:paraId="5716805D" w14:textId="77777777" w:rsidR="00212569" w:rsidRDefault="00212569" w:rsidP="00A506B2">
      <w:pPr>
        <w:spacing w:line="480" w:lineRule="auto"/>
        <w:ind w:hanging="720"/>
      </w:pPr>
    </w:p>
    <w:p w14:paraId="154753D1" w14:textId="67B76F1A" w:rsidR="00A506B2" w:rsidRPr="00212569" w:rsidRDefault="00212569" w:rsidP="00A334CA">
      <w:pPr>
        <w:spacing w:line="480" w:lineRule="auto"/>
        <w:ind w:left="720" w:hanging="720"/>
        <w:rPr>
          <w:b/>
        </w:rPr>
      </w:pPr>
      <w:r w:rsidRPr="00212569">
        <w:rPr>
          <w:b/>
        </w:rPr>
        <w:t>Q.</w:t>
      </w:r>
      <w:r w:rsidRPr="00212569">
        <w:rPr>
          <w:b/>
        </w:rPr>
        <w:tab/>
        <w:t>How and when are the expected benefits likely to be realized for AMI</w:t>
      </w:r>
      <w:r w:rsidR="00A334CA">
        <w:rPr>
          <w:b/>
        </w:rPr>
        <w:t xml:space="preserve"> in comparison to a traditional generating resource invest</w:t>
      </w:r>
      <w:r w:rsidR="00A334CA" w:rsidRPr="00995BBC">
        <w:rPr>
          <w:b/>
        </w:rPr>
        <w:t>me</w:t>
      </w:r>
      <w:r w:rsidR="00A334CA">
        <w:rPr>
          <w:b/>
        </w:rPr>
        <w:t>nt</w:t>
      </w:r>
      <w:r w:rsidRPr="00212569">
        <w:rPr>
          <w:b/>
        </w:rPr>
        <w:t>?</w:t>
      </w:r>
    </w:p>
    <w:p w14:paraId="6C673F35" w14:textId="649FDF25" w:rsidR="00212569" w:rsidRDefault="00212569" w:rsidP="00995BBC">
      <w:pPr>
        <w:spacing w:line="480" w:lineRule="auto"/>
        <w:ind w:left="720" w:hanging="720"/>
      </w:pPr>
      <w:r>
        <w:t>A.</w:t>
      </w:r>
      <w:r>
        <w:tab/>
      </w:r>
      <w:r w:rsidR="00995BBC">
        <w:t xml:space="preserve">A traditional generating resource provides </w:t>
      </w:r>
      <w:r w:rsidR="000E3F8D">
        <w:t xml:space="preserve">quantifiable </w:t>
      </w:r>
      <w:r w:rsidR="00995BBC">
        <w:t>benefits immediately upon going into service.</w:t>
      </w:r>
      <w:r w:rsidR="00995BBC" w:rsidDel="00C33438">
        <w:t xml:space="preserve"> </w:t>
      </w:r>
      <w:r w:rsidR="00995BBC">
        <w:t>The energy output of traditional utility-scale thermal and wind systems consists of mature technology whose output is easily characterized and modeled financially, providing a high level of certainty at the point of facility acceptance.</w:t>
      </w:r>
    </w:p>
    <w:p w14:paraId="5C174877" w14:textId="588882D1" w:rsidR="00995BBC" w:rsidRDefault="00866BA9" w:rsidP="00CE1454">
      <w:pPr>
        <w:spacing w:line="480" w:lineRule="auto"/>
        <w:ind w:left="720"/>
      </w:pPr>
      <w:r>
        <w:tab/>
      </w:r>
      <w:r w:rsidR="00065821">
        <w:t xml:space="preserve">The </w:t>
      </w:r>
      <w:r w:rsidR="00995BBC">
        <w:t xml:space="preserve">estimated AMI </w:t>
      </w:r>
      <w:r w:rsidR="00065821">
        <w:t>benefits shown</w:t>
      </w:r>
      <w:r w:rsidR="00995BBC">
        <w:t xml:space="preserve"> by </w:t>
      </w:r>
      <w:r w:rsidR="00995BBC" w:rsidRPr="00995BBC">
        <w:t>Mr. Kopczynski</w:t>
      </w:r>
      <w:r>
        <w:t>’s</w:t>
      </w:r>
      <w:r w:rsidR="00995BBC" w:rsidRPr="00995BBC">
        <w:t xml:space="preserve"> direct testimony</w:t>
      </w:r>
      <w:r w:rsidR="00236D23">
        <w:t xml:space="preserve">, </w:t>
      </w:r>
      <w:r>
        <w:t xml:space="preserve">in his </w:t>
      </w:r>
      <w:r w:rsidR="00236D23">
        <w:t>Illustration No. 6</w:t>
      </w:r>
      <w:r w:rsidR="00065821">
        <w:t>, are</w:t>
      </w:r>
      <w:r w:rsidR="00995BBC">
        <w:t xml:space="preserve"> split between company and customer benefits.</w:t>
      </w:r>
      <w:r w:rsidR="00236D23">
        <w:rPr>
          <w:rStyle w:val="FootnoteReference"/>
        </w:rPr>
        <w:footnoteReference w:id="9"/>
      </w:r>
      <w:r w:rsidR="00995BBC" w:rsidDel="00C33438">
        <w:t xml:space="preserve"> </w:t>
      </w:r>
      <w:r w:rsidR="00236D23">
        <w:t xml:space="preserve">The majority of </w:t>
      </w:r>
      <w:r>
        <w:t>C</w:t>
      </w:r>
      <w:r w:rsidR="00236D23">
        <w:t xml:space="preserve">ompany </w:t>
      </w:r>
      <w:r>
        <w:t xml:space="preserve">estimated </w:t>
      </w:r>
      <w:r w:rsidR="00236D23">
        <w:t>system benefits are due to three AMI functions: reduced meter reading costs, the ability to remotely connect and disconnect customer meters, and the ability to reduce costs by more efficient outage management.</w:t>
      </w:r>
      <w:r w:rsidR="00236D23" w:rsidDel="00C33438">
        <w:t xml:space="preserve"> </w:t>
      </w:r>
      <w:r w:rsidR="00236D23">
        <w:t>The customer benefits are primarily related to reduced after</w:t>
      </w:r>
      <w:r w:rsidR="006A372B">
        <w:t>-</w:t>
      </w:r>
      <w:r w:rsidR="00236D23">
        <w:t>hours service tariff fees and energy efficiency improvements.</w:t>
      </w:r>
      <w:r w:rsidR="00236D23">
        <w:rPr>
          <w:rStyle w:val="FootnoteReference"/>
        </w:rPr>
        <w:footnoteReference w:id="10"/>
      </w:r>
      <w:r w:rsidR="00236D23" w:rsidDel="00C33438">
        <w:t xml:space="preserve"> </w:t>
      </w:r>
      <w:r w:rsidR="00EC37CC">
        <w:t xml:space="preserve">These benefits will only be realized over time as the system operates in a </w:t>
      </w:r>
      <w:r w:rsidR="003F4589">
        <w:t>new, more efficient</w:t>
      </w:r>
      <w:r w:rsidR="00EC37CC">
        <w:t xml:space="preserve"> way.</w:t>
      </w:r>
      <w:r w:rsidR="00EC37CC" w:rsidDel="00C33438">
        <w:t xml:space="preserve"> </w:t>
      </w:r>
      <w:r w:rsidR="00EC37CC">
        <w:t>In fact, the full AMI deployment is scheduled for a six year roll out from 2015 to 2019.</w:t>
      </w:r>
      <w:r w:rsidR="000915CB">
        <w:rPr>
          <w:rStyle w:val="FootnoteReference"/>
        </w:rPr>
        <w:footnoteReference w:id="11"/>
      </w:r>
    </w:p>
    <w:p w14:paraId="46993CC3" w14:textId="77777777" w:rsidR="00EC37CC" w:rsidRDefault="00EC37CC" w:rsidP="00995BBC">
      <w:pPr>
        <w:spacing w:line="480" w:lineRule="auto"/>
        <w:ind w:left="720" w:hanging="720"/>
      </w:pPr>
    </w:p>
    <w:p w14:paraId="501AD241" w14:textId="09D515EA" w:rsidR="00EC37CC" w:rsidRPr="00EC37CC" w:rsidRDefault="00EC37CC" w:rsidP="00A343ED">
      <w:pPr>
        <w:keepNext/>
        <w:spacing w:line="480" w:lineRule="auto"/>
        <w:ind w:left="720" w:hanging="720"/>
        <w:rPr>
          <w:b/>
        </w:rPr>
      </w:pPr>
      <w:r w:rsidRPr="00EC37CC">
        <w:rPr>
          <w:b/>
        </w:rPr>
        <w:t>Q.</w:t>
      </w:r>
      <w:r w:rsidRPr="00EC37CC">
        <w:rPr>
          <w:b/>
        </w:rPr>
        <w:tab/>
        <w:t>What sort of factors will influence the realization of AMI benefits?</w:t>
      </w:r>
    </w:p>
    <w:p w14:paraId="11F755B7" w14:textId="58BA4FFD" w:rsidR="00945882" w:rsidRDefault="00EC37CC" w:rsidP="00995BBC">
      <w:pPr>
        <w:spacing w:line="480" w:lineRule="auto"/>
        <w:ind w:left="720" w:hanging="720"/>
      </w:pPr>
      <w:r>
        <w:t>A.</w:t>
      </w:r>
      <w:r>
        <w:tab/>
      </w:r>
      <w:r w:rsidR="00236D23">
        <w:t xml:space="preserve">The nature of the AMI benefits will depend on the diligence with which Avista follows through with implementing all the </w:t>
      </w:r>
      <w:r w:rsidR="009D000F">
        <w:t xml:space="preserve">planned smart grid </w:t>
      </w:r>
      <w:r w:rsidR="00236D23">
        <w:t xml:space="preserve">technology </w:t>
      </w:r>
      <w:r w:rsidR="00945882">
        <w:t xml:space="preserve">applications </w:t>
      </w:r>
      <w:r w:rsidR="00236D23">
        <w:t xml:space="preserve">and </w:t>
      </w:r>
      <w:r w:rsidR="000915CB">
        <w:t xml:space="preserve">related </w:t>
      </w:r>
      <w:r w:rsidR="00236D23">
        <w:t>communication</w:t>
      </w:r>
      <w:r w:rsidR="009D000F">
        <w:t xml:space="preserve">s </w:t>
      </w:r>
      <w:r w:rsidR="00945882">
        <w:t xml:space="preserve">tools </w:t>
      </w:r>
      <w:r w:rsidR="009D000F">
        <w:t>on their grid</w:t>
      </w:r>
      <w:r w:rsidR="00945882">
        <w:t xml:space="preserve">. Importantly, these applications and tools must interface effectively and efficiently </w:t>
      </w:r>
      <w:r w:rsidR="009D000F">
        <w:t xml:space="preserve">with customers </w:t>
      </w:r>
      <w:r w:rsidR="00945882">
        <w:t>to produce the</w:t>
      </w:r>
      <w:r w:rsidR="00945882" w:rsidDel="00C33438">
        <w:t xml:space="preserve"> </w:t>
      </w:r>
      <w:r w:rsidR="009D000F">
        <w:t xml:space="preserve">projected </w:t>
      </w:r>
      <w:r w:rsidR="00945882">
        <w:t xml:space="preserve">benefits </w:t>
      </w:r>
      <w:r w:rsidR="009D000F">
        <w:t>over time</w:t>
      </w:r>
      <w:r w:rsidR="00945882">
        <w:t xml:space="preserve">. On the other side of the meter, a customer </w:t>
      </w:r>
      <w:r w:rsidR="0007530C">
        <w:t xml:space="preserve">must </w:t>
      </w:r>
      <w:r w:rsidR="00945882">
        <w:t xml:space="preserve">be willing and able to take advantage of the advanced services offered by the Company. Without affirmative action on both sides of the meter, the potential benefits of AMI may never be realized. </w:t>
      </w:r>
    </w:p>
    <w:p w14:paraId="7137A2DB" w14:textId="13073914" w:rsidR="00236D23" w:rsidRDefault="00945882" w:rsidP="00995BBC">
      <w:pPr>
        <w:spacing w:line="480" w:lineRule="auto"/>
        <w:ind w:left="720" w:hanging="720"/>
      </w:pPr>
      <w:r>
        <w:tab/>
      </w:r>
      <w:r>
        <w:tab/>
      </w:r>
      <w:r w:rsidR="009D000F">
        <w:t>This is different from generating resources where traditional technologies provide known quantities of energy with known reliability once the project is completed.</w:t>
      </w:r>
      <w:r w:rsidR="009D000F" w:rsidDel="00C33438">
        <w:t xml:space="preserve"> </w:t>
      </w:r>
      <w:r w:rsidR="009D000F">
        <w:t>With AMI technology, as an emerging technology reliant on operator and customer interactions with the grid, the benefits are less certain to be immediately available or as reliable.</w:t>
      </w:r>
      <w:r w:rsidR="009D000F" w:rsidDel="00C33438">
        <w:t xml:space="preserve"> </w:t>
      </w:r>
      <w:r w:rsidR="0007530C">
        <w:t xml:space="preserve">As a result, </w:t>
      </w:r>
      <w:r w:rsidR="009D000F">
        <w:t>AMI benefits are less w</w:t>
      </w:r>
      <w:r w:rsidR="00DE4AF3">
        <w:t>e</w:t>
      </w:r>
      <w:r w:rsidR="009D000F">
        <w:t>ll understood and will take time to verify after implementation.</w:t>
      </w:r>
      <w:r w:rsidR="006A372B" w:rsidDel="00C33438">
        <w:t xml:space="preserve"> </w:t>
      </w:r>
      <w:r w:rsidR="0007530C">
        <w:t xml:space="preserve">Further, </w:t>
      </w:r>
      <w:r w:rsidR="006A372B" w:rsidRPr="006A372B">
        <w:t xml:space="preserve">AMI benefits depend on the economy of scale created by the coordination and synchronization of many </w:t>
      </w:r>
      <w:r w:rsidR="006A372B">
        <w:t>pieces</w:t>
      </w:r>
      <w:r w:rsidR="006A372B" w:rsidRPr="006A372B">
        <w:t xml:space="preserve"> </w:t>
      </w:r>
      <w:r w:rsidR="006A372B">
        <w:t>effectively communicating in an integrated network</w:t>
      </w:r>
      <w:r w:rsidR="006A372B" w:rsidRPr="006A372B">
        <w:t>.</w:t>
      </w:r>
      <w:r w:rsidR="006A372B" w:rsidRPr="006A372B" w:rsidDel="00C33438">
        <w:t xml:space="preserve"> </w:t>
      </w:r>
    </w:p>
    <w:p w14:paraId="669213E8" w14:textId="7B8E9F81" w:rsidR="009D000F" w:rsidRDefault="009D000F" w:rsidP="00E16A68">
      <w:pPr>
        <w:spacing w:line="480" w:lineRule="auto"/>
        <w:ind w:left="720" w:firstLine="720"/>
      </w:pPr>
      <w:r>
        <w:t>All of this taken together illustrate the variable nature</w:t>
      </w:r>
      <w:r w:rsidR="003F0E8A">
        <w:t>, complexity,</w:t>
      </w:r>
      <w:r>
        <w:t xml:space="preserve"> and </w:t>
      </w:r>
      <w:r w:rsidR="003F0E8A">
        <w:t xml:space="preserve">overall </w:t>
      </w:r>
      <w:r>
        <w:t>difficulty in accurately predic</w:t>
      </w:r>
      <w:r w:rsidR="00780D78">
        <w:t xml:space="preserve">ting benefits of AMI deployment </w:t>
      </w:r>
      <w:r w:rsidR="00447C0A">
        <w:t xml:space="preserve">as </w:t>
      </w:r>
      <w:r w:rsidR="00780D78">
        <w:t>compared to traditional utility-scale generating resources.</w:t>
      </w:r>
      <w:r w:rsidDel="00C33438">
        <w:t xml:space="preserve"> </w:t>
      </w:r>
      <w:r w:rsidR="003F0E8A">
        <w:t>The actual</w:t>
      </w:r>
      <w:r w:rsidR="000915CB">
        <w:t xml:space="preserve"> benefits may fall short, meet, or exceed expectations</w:t>
      </w:r>
      <w:r w:rsidR="003F0E8A">
        <w:t>.</w:t>
      </w:r>
      <w:r w:rsidR="003F0E8A" w:rsidDel="00C33438">
        <w:t xml:space="preserve"> </w:t>
      </w:r>
      <w:r w:rsidR="00CF7E1A">
        <w:t>While pilot projects</w:t>
      </w:r>
      <w:r w:rsidR="00447C0A">
        <w:t>,</w:t>
      </w:r>
      <w:r w:rsidR="00CF7E1A">
        <w:t xml:space="preserve"> up-front performance and financial risk mitigation can narrow the variance, the results</w:t>
      </w:r>
      <w:r w:rsidR="000915CB">
        <w:t xml:space="preserve"> </w:t>
      </w:r>
      <w:r w:rsidR="003F0E8A">
        <w:t>will o</w:t>
      </w:r>
      <w:r w:rsidR="000915CB">
        <w:t xml:space="preserve">nly </w:t>
      </w:r>
      <w:r w:rsidR="003F0E8A">
        <w:t xml:space="preserve">be </w:t>
      </w:r>
      <w:r w:rsidR="000915CB">
        <w:t>know</w:t>
      </w:r>
      <w:r w:rsidR="003F0E8A">
        <w:t>n</w:t>
      </w:r>
      <w:r w:rsidR="000915CB">
        <w:t xml:space="preserve"> after the AMI upgrades have been implemented and operating results </w:t>
      </w:r>
      <w:r w:rsidR="009247C8">
        <w:t xml:space="preserve">have been </w:t>
      </w:r>
      <w:r w:rsidR="000915CB">
        <w:t xml:space="preserve">verified using </w:t>
      </w:r>
      <w:r w:rsidR="003F0E8A">
        <w:t>actual</w:t>
      </w:r>
      <w:r w:rsidR="000915CB">
        <w:t xml:space="preserve"> AMI </w:t>
      </w:r>
      <w:r w:rsidR="009247C8">
        <w:t>performance</w:t>
      </w:r>
      <w:r w:rsidR="000915CB">
        <w:t>.</w:t>
      </w:r>
    </w:p>
    <w:p w14:paraId="4FF0BCA1" w14:textId="33A873E9" w:rsidR="00A506B2" w:rsidRDefault="00A506B2" w:rsidP="00A506B2">
      <w:pPr>
        <w:spacing w:line="480" w:lineRule="auto"/>
        <w:ind w:hanging="720"/>
      </w:pPr>
    </w:p>
    <w:p w14:paraId="61814760" w14:textId="344E0EE9" w:rsidR="00A506B2" w:rsidRPr="00780D78" w:rsidRDefault="00780D78" w:rsidP="00780D78">
      <w:pPr>
        <w:spacing w:line="480" w:lineRule="auto"/>
        <w:ind w:left="720" w:hanging="720"/>
        <w:rPr>
          <w:b/>
        </w:rPr>
      </w:pPr>
      <w:r w:rsidRPr="00780D78">
        <w:rPr>
          <w:b/>
        </w:rPr>
        <w:t xml:space="preserve">Q. </w:t>
      </w:r>
      <w:r w:rsidRPr="00780D78">
        <w:rPr>
          <w:b/>
        </w:rPr>
        <w:tab/>
      </w:r>
      <w:r w:rsidR="003F0E8A">
        <w:rPr>
          <w:b/>
        </w:rPr>
        <w:t>Does</w:t>
      </w:r>
      <w:r w:rsidRPr="00780D78">
        <w:rPr>
          <w:b/>
        </w:rPr>
        <w:t xml:space="preserve"> Mr. K</w:t>
      </w:r>
      <w:r>
        <w:rPr>
          <w:b/>
        </w:rPr>
        <w:t>opczynski</w:t>
      </w:r>
      <w:r w:rsidRPr="00780D78">
        <w:rPr>
          <w:b/>
        </w:rPr>
        <w:t xml:space="preserve"> characterize the state of knowledge </w:t>
      </w:r>
      <w:r>
        <w:rPr>
          <w:b/>
        </w:rPr>
        <w:t>regarding costs and benefits the AMI project</w:t>
      </w:r>
      <w:r w:rsidR="003F0E8A">
        <w:rPr>
          <w:b/>
        </w:rPr>
        <w:t xml:space="preserve"> as uncertain</w:t>
      </w:r>
      <w:r>
        <w:rPr>
          <w:b/>
        </w:rPr>
        <w:t>?</w:t>
      </w:r>
    </w:p>
    <w:p w14:paraId="41308A8B" w14:textId="06BEEEE6" w:rsidR="00780D78" w:rsidRDefault="00780D78" w:rsidP="00780D78">
      <w:pPr>
        <w:tabs>
          <w:tab w:val="left" w:pos="-1440"/>
        </w:tabs>
        <w:spacing w:line="480" w:lineRule="auto"/>
        <w:ind w:left="720" w:hanging="720"/>
      </w:pPr>
      <w:r>
        <w:t>A.</w:t>
      </w:r>
      <w:r>
        <w:tab/>
      </w:r>
      <w:r w:rsidR="003F0E8A">
        <w:t>Yes, he does.</w:t>
      </w:r>
      <w:r w:rsidR="00C33438">
        <w:t xml:space="preserve"> </w:t>
      </w:r>
      <w:r>
        <w:t>Mr. Kopczynski’s direct testimony is supported by his Exhibit DFK-5T, the Washington Advanced Metering Project Business Case, (AMI Business Case)</w:t>
      </w:r>
      <w:r w:rsidR="003F0E8A">
        <w:t xml:space="preserve"> and related workpapers</w:t>
      </w:r>
      <w:r>
        <w:t>.</w:t>
      </w:r>
      <w:r w:rsidDel="00C33438">
        <w:t xml:space="preserve"> </w:t>
      </w:r>
      <w:r>
        <w:t xml:space="preserve">Mr. Kopczynski </w:t>
      </w:r>
      <w:r w:rsidR="003F0E8A">
        <w:t>characterizes</w:t>
      </w:r>
      <w:r>
        <w:t xml:space="preserve"> this report </w:t>
      </w:r>
      <w:r w:rsidR="003F0E8A">
        <w:t>as only providing</w:t>
      </w:r>
      <w:r>
        <w:t xml:space="preserve"> “initial estimates” of capital and operating costs.</w:t>
      </w:r>
      <w:r>
        <w:rPr>
          <w:rStyle w:val="FootnoteReference"/>
        </w:rPr>
        <w:footnoteReference w:id="12"/>
      </w:r>
      <w:r w:rsidDel="00C33438">
        <w:t xml:space="preserve"> </w:t>
      </w:r>
      <w:r w:rsidR="0007530C">
        <w:t>In short, Avista’s</w:t>
      </w:r>
      <w:r w:rsidR="0007530C" w:rsidDel="00C33438">
        <w:t xml:space="preserve"> </w:t>
      </w:r>
      <w:r w:rsidR="00473422" w:rsidRPr="00473422">
        <w:t>AMI Business Case</w:t>
      </w:r>
      <w:r w:rsidR="00473422">
        <w:t xml:space="preserve"> </w:t>
      </w:r>
      <w:r>
        <w:t>is essentially a pl</w:t>
      </w:r>
      <w:r w:rsidR="003C175E">
        <w:t>anning level report</w:t>
      </w:r>
      <w:r>
        <w:t xml:space="preserve"> that summarizes national trends, </w:t>
      </w:r>
      <w:r w:rsidR="003F0E8A">
        <w:t xml:space="preserve">and Avista’s </w:t>
      </w:r>
      <w:r w:rsidR="0007530C">
        <w:t xml:space="preserve">limited </w:t>
      </w:r>
      <w:r>
        <w:t>experience</w:t>
      </w:r>
      <w:r w:rsidR="003F0E8A">
        <w:t xml:space="preserve"> </w:t>
      </w:r>
      <w:r w:rsidR="009B2620">
        <w:t xml:space="preserve">with smart grid deployment and AMI </w:t>
      </w:r>
      <w:r w:rsidR="003F0E8A">
        <w:t>to date</w:t>
      </w:r>
      <w:r>
        <w:t>.</w:t>
      </w:r>
      <w:r w:rsidDel="00C33438">
        <w:t xml:space="preserve"> </w:t>
      </w:r>
    </w:p>
    <w:p w14:paraId="63CD6857" w14:textId="01D7F258" w:rsidR="00780D78" w:rsidRDefault="00703D63" w:rsidP="00CE1454">
      <w:pPr>
        <w:tabs>
          <w:tab w:val="left" w:pos="-1440"/>
        </w:tabs>
        <w:spacing w:line="480" w:lineRule="auto"/>
        <w:ind w:left="720"/>
      </w:pPr>
      <w:r>
        <w:tab/>
      </w:r>
      <w:r w:rsidR="00780D78">
        <w:t>Mr. Kopczynski’s testimony is consistent with a planning level estimate as it fails to address how the Company would accomplish these various objectives, including the specific steps necessary to ensure completion on time and on budget.</w:t>
      </w:r>
      <w:r w:rsidR="00780D78" w:rsidDel="00C33438">
        <w:t xml:space="preserve"> </w:t>
      </w:r>
      <w:r w:rsidR="00780D78">
        <w:t xml:space="preserve">He does not address the </w:t>
      </w:r>
      <w:r w:rsidR="003F0E8A">
        <w:t xml:space="preserve">mitigation of </w:t>
      </w:r>
      <w:r w:rsidR="00780D78">
        <w:t>risks facing the Company as it attempts to accomplish these tasks. Each task carries with it a specific set of risks that could delay or increase the cost of the project.</w:t>
      </w:r>
      <w:r w:rsidR="00780D78" w:rsidDel="00C33438">
        <w:t xml:space="preserve"> </w:t>
      </w:r>
      <w:r w:rsidR="00780D78">
        <w:t>He likewise does not address what circumstance</w:t>
      </w:r>
      <w:r w:rsidR="009247C8">
        <w:t>s</w:t>
      </w:r>
      <w:r w:rsidR="00780D78">
        <w:t xml:space="preserve"> might result in shor</w:t>
      </w:r>
      <w:r w:rsidR="003F0E8A">
        <w:t>t</w:t>
      </w:r>
      <w:r w:rsidR="00780D78">
        <w:t>comings in projected benefits after implementation</w:t>
      </w:r>
      <w:r w:rsidR="00473422">
        <w:t xml:space="preserve"> or how such shortcomings might be mitigated</w:t>
      </w:r>
      <w:r w:rsidR="00780D78">
        <w:t>.</w:t>
      </w:r>
      <w:r w:rsidR="00780D78" w:rsidDel="00C33438">
        <w:t xml:space="preserve"> </w:t>
      </w:r>
    </w:p>
    <w:p w14:paraId="7E3FCA30" w14:textId="47CDE5C3" w:rsidR="00780D78" w:rsidRDefault="00703D63" w:rsidP="00CE1454">
      <w:pPr>
        <w:tabs>
          <w:tab w:val="left" w:pos="-1440"/>
        </w:tabs>
        <w:spacing w:line="480" w:lineRule="auto"/>
        <w:ind w:left="720"/>
      </w:pPr>
      <w:r>
        <w:tab/>
      </w:r>
      <w:r w:rsidR="009B2620">
        <w:t>He states that the AMI</w:t>
      </w:r>
      <w:r w:rsidR="00780D78">
        <w:t xml:space="preserve"> Business Case is a report that summarizes the project and “describes the expected benefits associated with the project, and provides an initial estimate of the project capital investments and operating costs.”</w:t>
      </w:r>
      <w:r w:rsidR="00780D78">
        <w:rPr>
          <w:rStyle w:val="FootnoteReference"/>
        </w:rPr>
        <w:footnoteReference w:id="13"/>
      </w:r>
      <w:r w:rsidR="00780D78" w:rsidDel="00C33438">
        <w:t xml:space="preserve"> </w:t>
      </w:r>
      <w:r w:rsidR="00780D78">
        <w:t xml:space="preserve">For purposes of ratemaking, </w:t>
      </w:r>
      <w:r w:rsidR="00780D78" w:rsidRPr="00780D78">
        <w:rPr>
          <w:i/>
        </w:rPr>
        <w:t>estimated</w:t>
      </w:r>
      <w:r w:rsidR="00780D78">
        <w:t xml:space="preserve"> benefits are not enough to warrant any level of approval</w:t>
      </w:r>
      <w:r w:rsidR="00EF62EF">
        <w:t xml:space="preserve"> - </w:t>
      </w:r>
      <w:r w:rsidR="00780D78">
        <w:t>let alone approval of the full build-out of the Company’s proposal over a period of many years.</w:t>
      </w:r>
      <w:r w:rsidR="00780D78" w:rsidDel="00C33438">
        <w:t xml:space="preserve"> </w:t>
      </w:r>
    </w:p>
    <w:p w14:paraId="76FFD0D9" w14:textId="108C91E9" w:rsidR="00780D78" w:rsidRDefault="00780D78" w:rsidP="00A506B2">
      <w:pPr>
        <w:spacing w:line="480" w:lineRule="auto"/>
        <w:ind w:hanging="720"/>
      </w:pPr>
    </w:p>
    <w:p w14:paraId="001A745D" w14:textId="5F875DAB" w:rsidR="003F0E8A" w:rsidRPr="003C175E" w:rsidRDefault="003F0E8A" w:rsidP="003C175E">
      <w:pPr>
        <w:spacing w:line="480" w:lineRule="auto"/>
        <w:ind w:left="720" w:hanging="720"/>
        <w:rPr>
          <w:b/>
        </w:rPr>
      </w:pPr>
      <w:r w:rsidRPr="003C175E">
        <w:rPr>
          <w:b/>
        </w:rPr>
        <w:t>Q.</w:t>
      </w:r>
      <w:r w:rsidRPr="003C175E">
        <w:rPr>
          <w:b/>
        </w:rPr>
        <w:tab/>
        <w:t xml:space="preserve">If Mr. </w:t>
      </w:r>
      <w:r w:rsidR="003C175E" w:rsidRPr="003C175E">
        <w:rPr>
          <w:b/>
        </w:rPr>
        <w:t>Kop</w:t>
      </w:r>
      <w:r w:rsidR="003C175E">
        <w:rPr>
          <w:b/>
        </w:rPr>
        <w:t>czynski described how Avista plans to</w:t>
      </w:r>
      <w:r w:rsidR="003C175E" w:rsidRPr="003C175E">
        <w:rPr>
          <w:b/>
        </w:rPr>
        <w:t xml:space="preserve"> mitigate the risks associated with the project, would that be sufficient </w:t>
      </w:r>
      <w:r w:rsidR="009B2620">
        <w:rPr>
          <w:b/>
        </w:rPr>
        <w:t xml:space="preserve">for Staff </w:t>
      </w:r>
      <w:r w:rsidR="003C175E" w:rsidRPr="003C175E">
        <w:rPr>
          <w:b/>
        </w:rPr>
        <w:t>to recommend allowance of AMI into this rate setting proceeding?</w:t>
      </w:r>
    </w:p>
    <w:p w14:paraId="21A09AED" w14:textId="5D5EE055" w:rsidR="003C175E" w:rsidRDefault="003C175E" w:rsidP="003C175E">
      <w:pPr>
        <w:spacing w:line="480" w:lineRule="auto"/>
        <w:ind w:left="720" w:hanging="720"/>
      </w:pPr>
      <w:r>
        <w:t>A.</w:t>
      </w:r>
      <w:r>
        <w:tab/>
        <w:t>No.</w:t>
      </w:r>
      <w:r w:rsidR="00C33438">
        <w:t xml:space="preserve"> </w:t>
      </w:r>
      <w:r>
        <w:t>The projected costs and benefits would still be too speculative for Staff to recommend AMI cost recovery in this rate case as they cannot be reliably estimated prior to implementation.</w:t>
      </w:r>
    </w:p>
    <w:p w14:paraId="7C571974" w14:textId="77777777" w:rsidR="003C175E" w:rsidRDefault="003C175E" w:rsidP="00A506B2">
      <w:pPr>
        <w:spacing w:line="480" w:lineRule="auto"/>
        <w:ind w:hanging="720"/>
      </w:pPr>
    </w:p>
    <w:p w14:paraId="3F29D018" w14:textId="298A0B41" w:rsidR="00EC37CC" w:rsidRPr="00817640" w:rsidRDefault="009247C8" w:rsidP="00EC37CC">
      <w:pPr>
        <w:spacing w:line="480" w:lineRule="auto"/>
        <w:ind w:left="720" w:hanging="720"/>
        <w:rPr>
          <w:b/>
        </w:rPr>
      </w:pPr>
      <w:r>
        <w:rPr>
          <w:b/>
        </w:rPr>
        <w:t>Q.</w:t>
      </w:r>
      <w:r>
        <w:rPr>
          <w:b/>
        </w:rPr>
        <w:tab/>
        <w:t>How does</w:t>
      </w:r>
      <w:r w:rsidR="00EC37CC" w:rsidRPr="00817640">
        <w:rPr>
          <w:b/>
        </w:rPr>
        <w:t xml:space="preserve"> Avista’s </w:t>
      </w:r>
      <w:r w:rsidR="00447C0A">
        <w:rPr>
          <w:b/>
        </w:rPr>
        <w:t xml:space="preserve">document </w:t>
      </w:r>
      <w:r w:rsidR="009D74B9">
        <w:rPr>
          <w:b/>
        </w:rPr>
        <w:t>called “</w:t>
      </w:r>
      <w:r w:rsidR="00EC37CC" w:rsidRPr="00817640">
        <w:rPr>
          <w:b/>
        </w:rPr>
        <w:t>Capital Project Business Case</w:t>
      </w:r>
      <w:r w:rsidR="009D74B9">
        <w:rPr>
          <w:b/>
        </w:rPr>
        <w:t>”</w:t>
      </w:r>
      <w:r w:rsidR="00EC37CC" w:rsidRPr="00817640">
        <w:rPr>
          <w:b/>
        </w:rPr>
        <w:t xml:space="preserve"> describe the business risk of the Washington AMI project?</w:t>
      </w:r>
    </w:p>
    <w:p w14:paraId="422102A2" w14:textId="2FDE8BF7" w:rsidR="00EC37CC" w:rsidRDefault="00EC37CC" w:rsidP="00EC37CC">
      <w:pPr>
        <w:spacing w:line="480" w:lineRule="auto"/>
        <w:ind w:left="720" w:hanging="720"/>
      </w:pPr>
      <w:r>
        <w:t>A.</w:t>
      </w:r>
      <w:r>
        <w:tab/>
        <w:t xml:space="preserve">The </w:t>
      </w:r>
      <w:r w:rsidR="00447C0A">
        <w:t>C</w:t>
      </w:r>
      <w:r>
        <w:t>ompany describes the business risk for the Washington AMI project as “[m]oderate certainty around cost, schedule and resources.”</w:t>
      </w:r>
      <w:r>
        <w:rPr>
          <w:rStyle w:val="FootnoteReference"/>
        </w:rPr>
        <w:footnoteReference w:id="14"/>
      </w:r>
      <w:r w:rsidDel="00C33438">
        <w:t xml:space="preserve"> </w:t>
      </w:r>
      <w:r w:rsidR="00E16A68">
        <w:t>E</w:t>
      </w:r>
      <w:r w:rsidR="00A1133C">
        <w:t xml:space="preserve">ven the moderate risk of failure raises significant questions as to the efficacy of the Company’s proposal, and these questions were not addressed by the Company. </w:t>
      </w:r>
    </w:p>
    <w:p w14:paraId="115FBA5D" w14:textId="68936762" w:rsidR="009D74B9" w:rsidRDefault="009D74B9" w:rsidP="003C175E">
      <w:pPr>
        <w:spacing w:line="480" w:lineRule="auto"/>
        <w:ind w:left="720" w:hanging="720"/>
      </w:pPr>
    </w:p>
    <w:p w14:paraId="1E4135C2" w14:textId="07AC43EC" w:rsidR="009D74B9" w:rsidRDefault="009D74B9" w:rsidP="009D74B9">
      <w:pPr>
        <w:tabs>
          <w:tab w:val="left" w:pos="-1440"/>
        </w:tabs>
        <w:spacing w:line="480" w:lineRule="auto"/>
        <w:ind w:left="720" w:hanging="720"/>
        <w:rPr>
          <w:b/>
        </w:rPr>
      </w:pPr>
      <w:r>
        <w:rPr>
          <w:b/>
        </w:rPr>
        <w:t>Q.</w:t>
      </w:r>
      <w:r>
        <w:rPr>
          <w:b/>
        </w:rPr>
        <w:tab/>
        <w:t>Are ther</w:t>
      </w:r>
      <w:r w:rsidR="009247C8">
        <w:rPr>
          <w:b/>
        </w:rPr>
        <w:t>e</w:t>
      </w:r>
      <w:r>
        <w:rPr>
          <w:b/>
        </w:rPr>
        <w:t xml:space="preserve"> examples elsewhere in this case where the </w:t>
      </w:r>
      <w:r w:rsidR="00447C0A">
        <w:rPr>
          <w:b/>
        </w:rPr>
        <w:t>C</w:t>
      </w:r>
      <w:r>
        <w:rPr>
          <w:b/>
        </w:rPr>
        <w:t>ompany’s estimates of expected costs or benefits have proven unreliable?</w:t>
      </w:r>
    </w:p>
    <w:p w14:paraId="46B81C3B" w14:textId="22A7FC32" w:rsidR="009D74B9" w:rsidRDefault="009D74B9" w:rsidP="009D74B9">
      <w:pPr>
        <w:tabs>
          <w:tab w:val="left" w:pos="-1440"/>
        </w:tabs>
        <w:spacing w:line="480" w:lineRule="auto"/>
        <w:ind w:left="720" w:hanging="720"/>
      </w:pPr>
      <w:r w:rsidRPr="009B2620">
        <w:t>A.</w:t>
      </w:r>
      <w:r w:rsidRPr="009B2620">
        <w:tab/>
        <w:t>Yes, as shown by Staff witnesses Mr. Gomez</w:t>
      </w:r>
      <w:r>
        <w:t xml:space="preserve"> and Mr. Hancock, prior company projected expenses have been exceeded by significant amounts</w:t>
      </w:r>
      <w:r w:rsidR="00AE6103">
        <w:t xml:space="preserve"> on various projects</w:t>
      </w:r>
      <w:r>
        <w:t>.</w:t>
      </w:r>
      <w:r w:rsidDel="00C33438">
        <w:t xml:space="preserve"> </w:t>
      </w:r>
      <w:r w:rsidR="009247C8">
        <w:t>Project Compass, f</w:t>
      </w:r>
      <w:r>
        <w:t>or example</w:t>
      </w:r>
      <w:r w:rsidR="009247C8">
        <w:t>,</w:t>
      </w:r>
      <w:r>
        <w:t xml:space="preserve"> has experienced large cost over-runs.</w:t>
      </w:r>
    </w:p>
    <w:p w14:paraId="79C6934B" w14:textId="77777777" w:rsidR="00A506B2" w:rsidRDefault="00A506B2" w:rsidP="00A506B2">
      <w:pPr>
        <w:spacing w:line="480" w:lineRule="auto"/>
        <w:ind w:hanging="720"/>
      </w:pPr>
    </w:p>
    <w:p w14:paraId="1CD1A087" w14:textId="3141E5DF" w:rsidR="00A506B2" w:rsidRPr="00495628" w:rsidRDefault="00A506B2" w:rsidP="00A506B2">
      <w:pPr>
        <w:tabs>
          <w:tab w:val="left" w:pos="-1440"/>
        </w:tabs>
        <w:spacing w:line="480" w:lineRule="auto"/>
        <w:ind w:left="720" w:hanging="720"/>
        <w:rPr>
          <w:b/>
        </w:rPr>
      </w:pPr>
      <w:r w:rsidRPr="00495628">
        <w:rPr>
          <w:b/>
        </w:rPr>
        <w:t>Q.</w:t>
      </w:r>
      <w:r w:rsidRPr="00495628">
        <w:rPr>
          <w:b/>
        </w:rPr>
        <w:tab/>
        <w:t>In the past</w:t>
      </w:r>
      <w:r w:rsidR="009247C8">
        <w:rPr>
          <w:b/>
        </w:rPr>
        <w:t>,</w:t>
      </w:r>
      <w:r w:rsidRPr="00495628">
        <w:rPr>
          <w:b/>
        </w:rPr>
        <w:t xml:space="preserve"> when have rates been approved for new plant </w:t>
      </w:r>
      <w:r>
        <w:rPr>
          <w:b/>
        </w:rPr>
        <w:t>for Avista</w:t>
      </w:r>
      <w:r w:rsidRPr="00495628">
        <w:rPr>
          <w:b/>
        </w:rPr>
        <w:t>?</w:t>
      </w:r>
    </w:p>
    <w:p w14:paraId="7E2E9F84" w14:textId="7484A0D6" w:rsidR="00CF7E1A" w:rsidRDefault="00A506B2" w:rsidP="00CF7E1A">
      <w:pPr>
        <w:tabs>
          <w:tab w:val="left" w:pos="-1440"/>
        </w:tabs>
        <w:spacing w:line="480" w:lineRule="auto"/>
        <w:ind w:left="720" w:hanging="720"/>
      </w:pPr>
      <w:r>
        <w:rPr>
          <w:b/>
        </w:rPr>
        <w:t>A.</w:t>
      </w:r>
      <w:r>
        <w:tab/>
        <w:t>Most recently, in 2012 Avista brought a fully-executed power purchase agreement with buy-out options to the Commission for approval in Docket UE-120436.</w:t>
      </w:r>
      <w:r w:rsidDel="00C33438">
        <w:t xml:space="preserve"> </w:t>
      </w:r>
      <w:r w:rsidR="00CF7E1A">
        <w:t>All costs and benefits were known and measurable when this new generating resource was allowed into rates.</w:t>
      </w:r>
      <w:r w:rsidR="00CF7E1A">
        <w:rPr>
          <w:rStyle w:val="FootnoteReference"/>
        </w:rPr>
        <w:footnoteReference w:id="15"/>
      </w:r>
    </w:p>
    <w:p w14:paraId="204C7185" w14:textId="77777777" w:rsidR="00A506B2" w:rsidRDefault="00A506B2" w:rsidP="00A506B2">
      <w:pPr>
        <w:tabs>
          <w:tab w:val="left" w:pos="-1440"/>
        </w:tabs>
        <w:spacing w:line="480" w:lineRule="auto"/>
        <w:ind w:left="720" w:hanging="720"/>
      </w:pPr>
    </w:p>
    <w:p w14:paraId="5BAC9568" w14:textId="77777777" w:rsidR="009B2620" w:rsidRPr="009D74B9" w:rsidRDefault="009B2620" w:rsidP="003C175E">
      <w:pPr>
        <w:spacing w:line="480" w:lineRule="auto"/>
        <w:ind w:left="720" w:hanging="720"/>
        <w:rPr>
          <w:b/>
        </w:rPr>
      </w:pPr>
      <w:r w:rsidRPr="009D74B9">
        <w:rPr>
          <w:b/>
        </w:rPr>
        <w:t>Q.</w:t>
      </w:r>
      <w:r w:rsidRPr="009D74B9">
        <w:rPr>
          <w:b/>
        </w:rPr>
        <w:tab/>
        <w:t>What do you recommend regarding Avista’s reques</w:t>
      </w:r>
      <w:r w:rsidR="003C175E" w:rsidRPr="009D74B9">
        <w:rPr>
          <w:b/>
        </w:rPr>
        <w:t>t for AMI cost recovery</w:t>
      </w:r>
      <w:r w:rsidRPr="009D74B9">
        <w:rPr>
          <w:b/>
        </w:rPr>
        <w:t>?</w:t>
      </w:r>
    </w:p>
    <w:p w14:paraId="7C624E3B" w14:textId="0323580E" w:rsidR="009D74B9" w:rsidRDefault="009B2620" w:rsidP="003C175E">
      <w:pPr>
        <w:spacing w:line="480" w:lineRule="auto"/>
        <w:ind w:left="720" w:hanging="720"/>
      </w:pPr>
      <w:r>
        <w:t>A.</w:t>
      </w:r>
      <w:r>
        <w:tab/>
        <w:t xml:space="preserve">I recommend that </w:t>
      </w:r>
      <w:r w:rsidR="00092FE2">
        <w:t xml:space="preserve">the Commission reject </w:t>
      </w:r>
      <w:r w:rsidR="003C175E">
        <w:t>pro</w:t>
      </w:r>
      <w:r w:rsidR="003F4589">
        <w:t xml:space="preserve"> </w:t>
      </w:r>
      <w:r w:rsidR="003C175E">
        <w:t xml:space="preserve">forma adjustment 4.02 </w:t>
      </w:r>
      <w:r>
        <w:t>for AMI</w:t>
      </w:r>
      <w:r w:rsidR="00092FE2">
        <w:t xml:space="preserve"> for the </w:t>
      </w:r>
      <w:r w:rsidR="003E4E3C">
        <w:t xml:space="preserve">reasons stated above, this request </w:t>
      </w:r>
      <w:r w:rsidR="003C175E">
        <w:t>is not ripe for decision-making by the Commission.</w:t>
      </w:r>
      <w:r w:rsidR="003C175E" w:rsidDel="00C33438">
        <w:t xml:space="preserve"> </w:t>
      </w:r>
    </w:p>
    <w:p w14:paraId="572ACADE" w14:textId="77777777" w:rsidR="009D74B9" w:rsidRDefault="009D74B9" w:rsidP="003C175E">
      <w:pPr>
        <w:spacing w:line="480" w:lineRule="auto"/>
        <w:ind w:left="720" w:hanging="720"/>
      </w:pPr>
    </w:p>
    <w:p w14:paraId="4687A2B6" w14:textId="709874AA" w:rsidR="009D74B9" w:rsidRPr="009D74B9" w:rsidRDefault="009D74B9" w:rsidP="003C175E">
      <w:pPr>
        <w:spacing w:line="480" w:lineRule="auto"/>
        <w:ind w:left="720" w:hanging="720"/>
        <w:rPr>
          <w:b/>
        </w:rPr>
      </w:pPr>
      <w:r w:rsidRPr="009D74B9">
        <w:rPr>
          <w:b/>
        </w:rPr>
        <w:t>Q.</w:t>
      </w:r>
      <w:r w:rsidRPr="009D74B9">
        <w:rPr>
          <w:b/>
        </w:rPr>
        <w:tab/>
        <w:t>Looking ahead, if Avista chooses to implement AMI in Washington</w:t>
      </w:r>
      <w:r>
        <w:rPr>
          <w:b/>
        </w:rPr>
        <w:t>,</w:t>
      </w:r>
      <w:r w:rsidRPr="009D74B9">
        <w:rPr>
          <w:b/>
        </w:rPr>
        <w:t xml:space="preserve"> what might they expect to demonstrate to </w:t>
      </w:r>
      <w:r>
        <w:rPr>
          <w:b/>
        </w:rPr>
        <w:t xml:space="preserve">be allowed to </w:t>
      </w:r>
      <w:r w:rsidRPr="009D74B9">
        <w:rPr>
          <w:b/>
        </w:rPr>
        <w:t>recover the associated costs?</w:t>
      </w:r>
    </w:p>
    <w:p w14:paraId="4F515ED6" w14:textId="542553F3" w:rsidR="003C175E" w:rsidRDefault="009D74B9" w:rsidP="003C175E">
      <w:pPr>
        <w:spacing w:line="480" w:lineRule="auto"/>
        <w:ind w:left="720" w:hanging="720"/>
      </w:pPr>
      <w:r>
        <w:t>A.</w:t>
      </w:r>
      <w:r>
        <w:tab/>
      </w:r>
      <w:r w:rsidR="009B2620">
        <w:t>To recover costs from AMI expenditures</w:t>
      </w:r>
      <w:r>
        <w:t xml:space="preserve">, the </w:t>
      </w:r>
      <w:r w:rsidR="00CB09A7">
        <w:t xml:space="preserve">Company </w:t>
      </w:r>
      <w:r>
        <w:t xml:space="preserve">needs to demonstrate known and measurable costs and benefits </w:t>
      </w:r>
      <w:r w:rsidR="00447C0A">
        <w:t>that</w:t>
      </w:r>
      <w:r>
        <w:t xml:space="preserve"> </w:t>
      </w:r>
      <w:r w:rsidR="00447C0A">
        <w:t xml:space="preserve">can </w:t>
      </w:r>
      <w:r>
        <w:t>be verified as cost-effective after deployment</w:t>
      </w:r>
      <w:r w:rsidR="00447C0A">
        <w:t xml:space="preserve">. </w:t>
      </w:r>
      <w:r w:rsidDel="00C33438">
        <w:t xml:space="preserve"> </w:t>
      </w:r>
      <w:r>
        <w:t>I</w:t>
      </w:r>
      <w:r w:rsidR="00AE6103">
        <w:t>n addition, I</w:t>
      </w:r>
      <w:r>
        <w:t xml:space="preserve"> would also expect the </w:t>
      </w:r>
      <w:r w:rsidR="00CB09A7">
        <w:t xml:space="preserve">Company </w:t>
      </w:r>
      <w:r>
        <w:t>to provide evidence consistent with Commission policy as described further in the next section of my testimony.</w:t>
      </w:r>
    </w:p>
    <w:p w14:paraId="05472DC4" w14:textId="474D7236" w:rsidR="00AE6103" w:rsidRDefault="00AE6103" w:rsidP="00CB09A7">
      <w:pPr>
        <w:spacing w:line="480" w:lineRule="auto"/>
      </w:pPr>
    </w:p>
    <w:p w14:paraId="3222E027" w14:textId="5A868924" w:rsidR="003C175E" w:rsidRPr="00AE6103" w:rsidRDefault="00AE6103" w:rsidP="00AE6103">
      <w:pPr>
        <w:tabs>
          <w:tab w:val="left" w:pos="-1440"/>
        </w:tabs>
        <w:spacing w:line="480" w:lineRule="auto"/>
        <w:ind w:left="720" w:hanging="720"/>
        <w:jc w:val="center"/>
        <w:rPr>
          <w:b/>
        </w:rPr>
      </w:pPr>
      <w:r w:rsidRPr="00AE6103">
        <w:rPr>
          <w:b/>
        </w:rPr>
        <w:t>IV</w:t>
      </w:r>
      <w:r w:rsidR="00885A1D">
        <w:rPr>
          <w:b/>
        </w:rPr>
        <w:t>.</w:t>
      </w:r>
      <w:r w:rsidR="00C33438">
        <w:rPr>
          <w:b/>
        </w:rPr>
        <w:t xml:space="preserve"> </w:t>
      </w:r>
      <w:r w:rsidR="00885A1D">
        <w:rPr>
          <w:b/>
        </w:rPr>
        <w:t>COMMISSION POLICY STATEMENT REGARDING AMI COST RECOVERY</w:t>
      </w:r>
    </w:p>
    <w:p w14:paraId="59874397" w14:textId="77777777" w:rsidR="00AE6103" w:rsidRDefault="00AE6103" w:rsidP="00A506B2">
      <w:pPr>
        <w:tabs>
          <w:tab w:val="left" w:pos="-1440"/>
        </w:tabs>
        <w:spacing w:line="480" w:lineRule="auto"/>
        <w:ind w:left="720" w:hanging="720"/>
      </w:pPr>
    </w:p>
    <w:p w14:paraId="45521E82" w14:textId="77777777" w:rsidR="006571AD" w:rsidRPr="00885120" w:rsidRDefault="006571AD" w:rsidP="006571AD">
      <w:pPr>
        <w:spacing w:line="480" w:lineRule="auto"/>
        <w:ind w:left="720" w:hanging="720"/>
        <w:rPr>
          <w:b/>
        </w:rPr>
      </w:pPr>
      <w:r w:rsidRPr="00885120">
        <w:rPr>
          <w:b/>
        </w:rPr>
        <w:t>Q.</w:t>
      </w:r>
      <w:r w:rsidRPr="00885120">
        <w:rPr>
          <w:b/>
        </w:rPr>
        <w:tab/>
        <w:t>What prior policy statements has the Commission made regarding smart meters?</w:t>
      </w:r>
    </w:p>
    <w:p w14:paraId="7A693106" w14:textId="3715B838" w:rsidR="006571AD" w:rsidRDefault="006571AD" w:rsidP="006571AD">
      <w:pPr>
        <w:spacing w:line="480" w:lineRule="auto"/>
        <w:ind w:left="720" w:hanging="720"/>
      </w:pPr>
      <w:r>
        <w:t>A.</w:t>
      </w:r>
      <w:r>
        <w:tab/>
      </w:r>
      <w:r w:rsidRPr="00885120">
        <w:t>In 2007 the UTC Commission issued an Interpretive and Policy Statement</w:t>
      </w:r>
      <w:r>
        <w:t xml:space="preserve"> </w:t>
      </w:r>
      <w:r w:rsidRPr="00885120">
        <w:t>in Docket UE-060649 (2007 Policy Statement)</w:t>
      </w:r>
      <w:r>
        <w:t>.</w:t>
      </w:r>
      <w:r>
        <w:rPr>
          <w:rStyle w:val="FootnoteReference"/>
        </w:rPr>
        <w:footnoteReference w:id="16"/>
      </w:r>
      <w:r w:rsidRPr="00885120">
        <w:t xml:space="preserve"> </w:t>
      </w:r>
      <w:r>
        <w:t>In the 2007 Policy Statement, the Commission addressed the “broad range of factors” it would consider when “examining advanced metering and rate design proposals.”</w:t>
      </w:r>
      <w:r>
        <w:rPr>
          <w:rStyle w:val="FootnoteReference"/>
        </w:rPr>
        <w:footnoteReference w:id="17"/>
      </w:r>
      <w:r w:rsidDel="00C33438">
        <w:t xml:space="preserve"> </w:t>
      </w:r>
    </w:p>
    <w:p w14:paraId="308A9E2E" w14:textId="2C677D31" w:rsidR="006571AD" w:rsidRPr="00885120" w:rsidRDefault="006571AD" w:rsidP="003E4E3C">
      <w:pPr>
        <w:spacing w:line="480" w:lineRule="auto"/>
        <w:ind w:left="720"/>
      </w:pPr>
      <w:r>
        <w:t>While t</w:t>
      </w:r>
      <w:r w:rsidRPr="00885120">
        <w:t>he Commiss</w:t>
      </w:r>
      <w:r>
        <w:t>ion did not identify</w:t>
      </w:r>
      <w:r w:rsidRPr="00885120">
        <w:t xml:space="preserve"> any specific </w:t>
      </w:r>
      <w:r>
        <w:t xml:space="preserve">mandatory </w:t>
      </w:r>
      <w:r w:rsidRPr="00885120">
        <w:t>method to evaluate smart meter investments</w:t>
      </w:r>
      <w:r>
        <w:t>,</w:t>
      </w:r>
      <w:r w:rsidRPr="00885120">
        <w:t xml:space="preserve"> </w:t>
      </w:r>
      <w:r>
        <w:t>it recognized</w:t>
      </w:r>
      <w:r w:rsidRPr="00885120">
        <w:t xml:space="preserve"> that</w:t>
      </w:r>
      <w:r>
        <w:t>:</w:t>
      </w:r>
    </w:p>
    <w:p w14:paraId="50E30CDF" w14:textId="6323F1CE" w:rsidR="006571AD" w:rsidRDefault="006571AD" w:rsidP="006571AD">
      <w:pPr>
        <w:ind w:left="1440"/>
      </w:pPr>
      <w:r w:rsidRPr="00885120">
        <w:t>The factors most pertinent to any case, and the manner in which such factors are appropriately evaluated, will depend on the specific details of proposals and may change over time with changing circums</w:t>
      </w:r>
      <w:r w:rsidR="00C709CF">
        <w:t>tances, loads and technologies.</w:t>
      </w:r>
      <w:r>
        <w:rPr>
          <w:rStyle w:val="FootnoteReference"/>
        </w:rPr>
        <w:footnoteReference w:id="18"/>
      </w:r>
    </w:p>
    <w:p w14:paraId="3171AFC3" w14:textId="77777777" w:rsidR="006571AD" w:rsidRDefault="006571AD" w:rsidP="006571AD">
      <w:pPr>
        <w:spacing w:line="480" w:lineRule="auto"/>
        <w:ind w:left="720" w:hanging="720"/>
      </w:pPr>
    </w:p>
    <w:p w14:paraId="0C7D8469" w14:textId="1FD9DD47" w:rsidR="006571AD" w:rsidRPr="006571AD" w:rsidRDefault="006571AD" w:rsidP="006571AD">
      <w:pPr>
        <w:spacing w:line="480" w:lineRule="auto"/>
        <w:ind w:left="720" w:hanging="720"/>
        <w:rPr>
          <w:b/>
        </w:rPr>
      </w:pPr>
      <w:r w:rsidRPr="006571AD">
        <w:rPr>
          <w:b/>
        </w:rPr>
        <w:t>Q.</w:t>
      </w:r>
      <w:r w:rsidRPr="006571AD">
        <w:rPr>
          <w:b/>
        </w:rPr>
        <w:tab/>
        <w:t>What specific factors were mentioned in the 2007 Policy Statement?</w:t>
      </w:r>
    </w:p>
    <w:p w14:paraId="6CAB7DE7" w14:textId="3ECC326C" w:rsidR="00A92E91" w:rsidRDefault="006571AD" w:rsidP="00A92E91">
      <w:pPr>
        <w:spacing w:line="288" w:lineRule="auto"/>
        <w:ind w:left="720" w:hanging="720"/>
        <w:rPr>
          <w:sz w:val="25"/>
          <w:szCs w:val="25"/>
        </w:rPr>
      </w:pPr>
      <w:r>
        <w:t>A.</w:t>
      </w:r>
      <w:r>
        <w:tab/>
      </w:r>
      <w:r w:rsidR="00A92E91">
        <w:t>“</w:t>
      </w:r>
      <w:r w:rsidR="00A92E91">
        <w:rPr>
          <w:sz w:val="25"/>
          <w:szCs w:val="25"/>
        </w:rPr>
        <w:t xml:space="preserve">Examples of relevant factors the Commission may consider include, but are not limited to: </w:t>
      </w:r>
    </w:p>
    <w:p w14:paraId="3A420A28" w14:textId="77777777" w:rsidR="00A92E91" w:rsidRDefault="00A92E91" w:rsidP="00A92E91">
      <w:pPr>
        <w:numPr>
          <w:ilvl w:val="0"/>
          <w:numId w:val="5"/>
        </w:numPr>
        <w:autoSpaceDE w:val="0"/>
        <w:autoSpaceDN w:val="0"/>
        <w:adjustRightInd w:val="0"/>
        <w:spacing w:line="264" w:lineRule="auto"/>
        <w:rPr>
          <w:sz w:val="25"/>
          <w:szCs w:val="25"/>
        </w:rPr>
      </w:pPr>
      <w:r>
        <w:rPr>
          <w:sz w:val="25"/>
          <w:szCs w:val="25"/>
        </w:rPr>
        <w:t>Meter and installation costs.</w:t>
      </w:r>
    </w:p>
    <w:p w14:paraId="128C6338" w14:textId="77777777" w:rsidR="00A92E91" w:rsidRDefault="00A92E91" w:rsidP="00A92E91">
      <w:pPr>
        <w:numPr>
          <w:ilvl w:val="0"/>
          <w:numId w:val="5"/>
        </w:numPr>
        <w:autoSpaceDE w:val="0"/>
        <w:autoSpaceDN w:val="0"/>
        <w:adjustRightInd w:val="0"/>
        <w:spacing w:line="264" w:lineRule="auto"/>
        <w:rPr>
          <w:sz w:val="25"/>
          <w:szCs w:val="25"/>
        </w:rPr>
      </w:pPr>
      <w:r>
        <w:rPr>
          <w:sz w:val="25"/>
          <w:szCs w:val="25"/>
        </w:rPr>
        <w:t>Administration costs including data storage, billing, and other associated functions to enable time-of-use pricing.</w:t>
      </w:r>
    </w:p>
    <w:p w14:paraId="2EC72826" w14:textId="77777777" w:rsidR="00A92E91" w:rsidRDefault="00A92E91" w:rsidP="00324685">
      <w:pPr>
        <w:numPr>
          <w:ilvl w:val="0"/>
          <w:numId w:val="5"/>
        </w:numPr>
        <w:autoSpaceDE w:val="0"/>
        <w:autoSpaceDN w:val="0"/>
        <w:adjustRightInd w:val="0"/>
        <w:spacing w:line="264" w:lineRule="auto"/>
        <w:rPr>
          <w:sz w:val="25"/>
          <w:szCs w:val="25"/>
        </w:rPr>
      </w:pPr>
      <w:r>
        <w:rPr>
          <w:sz w:val="25"/>
          <w:szCs w:val="25"/>
        </w:rPr>
        <w:t>Communication and marketing costs.</w:t>
      </w:r>
    </w:p>
    <w:p w14:paraId="295BF440" w14:textId="77777777" w:rsidR="00A92E91" w:rsidRDefault="00A92E91" w:rsidP="003F4589">
      <w:pPr>
        <w:numPr>
          <w:ilvl w:val="0"/>
          <w:numId w:val="5"/>
        </w:numPr>
        <w:autoSpaceDE w:val="0"/>
        <w:autoSpaceDN w:val="0"/>
        <w:adjustRightInd w:val="0"/>
        <w:spacing w:line="264" w:lineRule="auto"/>
        <w:rPr>
          <w:sz w:val="25"/>
          <w:szCs w:val="25"/>
        </w:rPr>
      </w:pPr>
      <w:r>
        <w:rPr>
          <w:sz w:val="25"/>
          <w:szCs w:val="25"/>
        </w:rPr>
        <w:t>Administrative savings associated with meter reading or other utility functions.</w:t>
      </w:r>
    </w:p>
    <w:p w14:paraId="47B608CD" w14:textId="77777777" w:rsidR="00A92E91" w:rsidRDefault="00A92E91" w:rsidP="003F4589">
      <w:pPr>
        <w:numPr>
          <w:ilvl w:val="0"/>
          <w:numId w:val="5"/>
        </w:numPr>
        <w:spacing w:line="264" w:lineRule="auto"/>
        <w:rPr>
          <w:sz w:val="25"/>
          <w:szCs w:val="25"/>
        </w:rPr>
      </w:pPr>
      <w:r>
        <w:rPr>
          <w:sz w:val="25"/>
          <w:szCs w:val="25"/>
        </w:rPr>
        <w:t xml:space="preserve">System capacity and energy benefits: Value of operational changes in utilization of generation, transmission and distribution resources as a result of direct utility load-control, or reasonably expected customer actions to conserve or shift the timing of energy usage. </w:t>
      </w:r>
    </w:p>
    <w:p w14:paraId="2D7C7A3D" w14:textId="05E0C2E4" w:rsidR="00A92E91" w:rsidRDefault="00A92E91" w:rsidP="00324685">
      <w:pPr>
        <w:numPr>
          <w:ilvl w:val="0"/>
          <w:numId w:val="5"/>
        </w:numPr>
        <w:autoSpaceDE w:val="0"/>
        <w:autoSpaceDN w:val="0"/>
        <w:adjustRightInd w:val="0"/>
        <w:spacing w:line="264" w:lineRule="auto"/>
        <w:rPr>
          <w:sz w:val="25"/>
          <w:szCs w:val="25"/>
        </w:rPr>
      </w:pPr>
      <w:r>
        <w:rPr>
          <w:sz w:val="25"/>
          <w:szCs w:val="25"/>
        </w:rPr>
        <w:t>Equity in the distribution of any bill savings or costs among the customer classes, including the costs and benefits incurred or received by customers changing energy use patterns in response to time-of-use rate programs.</w:t>
      </w:r>
    </w:p>
    <w:p w14:paraId="1B6A40DE" w14:textId="77777777" w:rsidR="00A92E91" w:rsidRDefault="00A92E91" w:rsidP="003F4589">
      <w:pPr>
        <w:numPr>
          <w:ilvl w:val="0"/>
          <w:numId w:val="5"/>
        </w:numPr>
        <w:spacing w:line="264" w:lineRule="auto"/>
        <w:rPr>
          <w:sz w:val="25"/>
          <w:szCs w:val="25"/>
        </w:rPr>
      </w:pPr>
      <w:r>
        <w:rPr>
          <w:sz w:val="25"/>
          <w:szCs w:val="25"/>
        </w:rPr>
        <w:t xml:space="preserve">Economic benefits that may be associated with the integration of new end-use loads such as recharging batteries in electrically powered vehicles. </w:t>
      </w:r>
    </w:p>
    <w:p w14:paraId="56473BCB" w14:textId="77777777" w:rsidR="00A92E91" w:rsidRDefault="00A92E91" w:rsidP="003F4589">
      <w:pPr>
        <w:numPr>
          <w:ilvl w:val="0"/>
          <w:numId w:val="5"/>
        </w:numPr>
        <w:spacing w:line="264" w:lineRule="auto"/>
        <w:rPr>
          <w:sz w:val="25"/>
          <w:szCs w:val="25"/>
        </w:rPr>
      </w:pPr>
      <w:r>
        <w:rPr>
          <w:sz w:val="25"/>
          <w:szCs w:val="25"/>
        </w:rPr>
        <w:t>Economic benefits that may be associated with deferring investments in new delivery or generation capacity.</w:t>
      </w:r>
    </w:p>
    <w:p w14:paraId="05CDCEF7" w14:textId="77777777" w:rsidR="00A92E91" w:rsidRDefault="00A92E91" w:rsidP="003F4589">
      <w:pPr>
        <w:numPr>
          <w:ilvl w:val="0"/>
          <w:numId w:val="5"/>
        </w:numPr>
        <w:spacing w:line="264" w:lineRule="auto"/>
        <w:rPr>
          <w:sz w:val="25"/>
          <w:szCs w:val="25"/>
        </w:rPr>
      </w:pPr>
      <w:r>
        <w:rPr>
          <w:sz w:val="25"/>
          <w:szCs w:val="25"/>
        </w:rPr>
        <w:t>Economic benefits that may be associated with additional information gathered through time-of-use metering systems (e.g., load research data).</w:t>
      </w:r>
    </w:p>
    <w:p w14:paraId="438982A4" w14:textId="77777777" w:rsidR="00A92E91" w:rsidRDefault="00A92E91" w:rsidP="003F4589">
      <w:pPr>
        <w:numPr>
          <w:ilvl w:val="0"/>
          <w:numId w:val="5"/>
        </w:numPr>
        <w:rPr>
          <w:sz w:val="25"/>
          <w:szCs w:val="25"/>
        </w:rPr>
      </w:pPr>
      <w:r>
        <w:rPr>
          <w:sz w:val="25"/>
          <w:szCs w:val="25"/>
        </w:rPr>
        <w:t>Environmental effects, positive or negative, of utility direct load-control programs, or customer load-shifting and conservation in response to time-of-use programs.</w:t>
      </w:r>
    </w:p>
    <w:p w14:paraId="0D65AE2A" w14:textId="11EDFB71" w:rsidR="00A92E91" w:rsidRDefault="00A92E91" w:rsidP="003F4589">
      <w:pPr>
        <w:numPr>
          <w:ilvl w:val="0"/>
          <w:numId w:val="5"/>
        </w:numPr>
        <w:rPr>
          <w:sz w:val="25"/>
          <w:szCs w:val="25"/>
        </w:rPr>
      </w:pPr>
      <w:r>
        <w:rPr>
          <w:sz w:val="25"/>
          <w:szCs w:val="25"/>
        </w:rPr>
        <w:t>Effects, if any, from advanced metering capability on existing consumer protection policies and programs relying on direct utility contact with customers.</w:t>
      </w:r>
      <w:r w:rsidDel="00C33438">
        <w:rPr>
          <w:sz w:val="25"/>
          <w:szCs w:val="25"/>
        </w:rPr>
        <w:t xml:space="preserve"> </w:t>
      </w:r>
    </w:p>
    <w:p w14:paraId="10D739E8" w14:textId="67CB551D" w:rsidR="00A92E91" w:rsidRDefault="00A92E91" w:rsidP="003F4589">
      <w:pPr>
        <w:numPr>
          <w:ilvl w:val="0"/>
          <w:numId w:val="5"/>
        </w:numPr>
        <w:rPr>
          <w:sz w:val="25"/>
          <w:szCs w:val="25"/>
        </w:rPr>
      </w:pPr>
      <w:r>
        <w:rPr>
          <w:sz w:val="25"/>
          <w:szCs w:val="25"/>
        </w:rPr>
        <w:t>Protection of customer information and privacy.”</w:t>
      </w:r>
      <w:r>
        <w:rPr>
          <w:rStyle w:val="FootnoteReference"/>
          <w:sz w:val="25"/>
          <w:szCs w:val="25"/>
        </w:rPr>
        <w:footnoteReference w:id="19"/>
      </w:r>
    </w:p>
    <w:p w14:paraId="4278657A" w14:textId="4086C520" w:rsidR="006571AD" w:rsidRDefault="006571AD" w:rsidP="006571AD">
      <w:pPr>
        <w:spacing w:line="480" w:lineRule="auto"/>
        <w:ind w:left="720" w:hanging="720"/>
      </w:pPr>
    </w:p>
    <w:p w14:paraId="56C01ADC" w14:textId="77777777" w:rsidR="00A676D1" w:rsidRPr="00A676D1" w:rsidRDefault="00A676D1" w:rsidP="00A676D1">
      <w:pPr>
        <w:spacing w:line="480" w:lineRule="auto"/>
        <w:ind w:left="720" w:hanging="720"/>
        <w:rPr>
          <w:b/>
        </w:rPr>
      </w:pPr>
      <w:r w:rsidRPr="00A676D1">
        <w:rPr>
          <w:b/>
        </w:rPr>
        <w:t>Q.</w:t>
      </w:r>
      <w:r w:rsidRPr="00A676D1">
        <w:rPr>
          <w:b/>
        </w:rPr>
        <w:tab/>
        <w:t xml:space="preserve">If this list were developed today, would this list likely expand to include other factors? </w:t>
      </w:r>
    </w:p>
    <w:p w14:paraId="521837FD" w14:textId="56B93581" w:rsidR="00A92E91" w:rsidRDefault="00A676D1" w:rsidP="00A676D1">
      <w:pPr>
        <w:spacing w:line="480" w:lineRule="auto"/>
        <w:ind w:left="720" w:hanging="720"/>
      </w:pPr>
      <w:r>
        <w:t>A.</w:t>
      </w:r>
      <w:r>
        <w:tab/>
        <w:t>Yes.</w:t>
      </w:r>
      <w:r w:rsidR="00C33438">
        <w:t xml:space="preserve"> </w:t>
      </w:r>
      <w:r>
        <w:t>The list would likely include cyber-security issues and other factors that depend on the specific smart technology being considered or evaluated</w:t>
      </w:r>
      <w:r w:rsidR="009247C8">
        <w:t>. The 2007 Policy Statement directs utilities to prepare for changing circumstances, loads, and technologies.</w:t>
      </w:r>
      <w:r w:rsidR="009247C8" w:rsidDel="00C33438">
        <w:t xml:space="preserve"> </w:t>
      </w:r>
      <w:r w:rsidR="009247C8">
        <w:t>There are many</w:t>
      </w:r>
      <w:r w:rsidR="00614C57">
        <w:t xml:space="preserve"> new opportunities and challenges </w:t>
      </w:r>
      <w:r w:rsidR="009247C8">
        <w:t>associated with</w:t>
      </w:r>
      <w:r w:rsidR="00614C57">
        <w:t xml:space="preserve"> emerging smart grid technologies and applications</w:t>
      </w:r>
      <w:r w:rsidR="009247C8">
        <w:t>.</w:t>
      </w:r>
      <w:r w:rsidR="009247C8" w:rsidDel="00C33438">
        <w:t xml:space="preserve"> </w:t>
      </w:r>
      <w:r w:rsidR="009247C8">
        <w:t>For instance, in evaluating the potential benefits of</w:t>
      </w:r>
      <w:r>
        <w:t xml:space="preserve"> energy storage batteries and synchrophasers</w:t>
      </w:r>
      <w:r w:rsidR="009247C8">
        <w:t xml:space="preserve"> a utility</w:t>
      </w:r>
      <w:r>
        <w:t xml:space="preserve"> </w:t>
      </w:r>
      <w:r w:rsidR="009247C8">
        <w:t>would need to consider</w:t>
      </w:r>
      <w:r w:rsidR="00614C57">
        <w:t xml:space="preserve"> the benefits o</w:t>
      </w:r>
      <w:r w:rsidR="003D079D">
        <w:t>f</w:t>
      </w:r>
      <w:r w:rsidR="00614C57">
        <w:t xml:space="preserve"> </w:t>
      </w:r>
      <w:r>
        <w:t xml:space="preserve">grid voltage regulation and grid stability </w:t>
      </w:r>
      <w:r w:rsidR="00614C57">
        <w:t>respectively</w:t>
      </w:r>
      <w:r>
        <w:t>.</w:t>
      </w:r>
      <w:r w:rsidDel="00C33438">
        <w:t xml:space="preserve">  </w:t>
      </w:r>
    </w:p>
    <w:p w14:paraId="69BC5763" w14:textId="77777777" w:rsidR="006571AD" w:rsidRDefault="006571AD" w:rsidP="006571AD">
      <w:pPr>
        <w:spacing w:line="480" w:lineRule="auto"/>
        <w:ind w:left="720" w:hanging="720"/>
      </w:pPr>
    </w:p>
    <w:p w14:paraId="7170A321" w14:textId="77777777" w:rsidR="006571AD" w:rsidRPr="00B54250" w:rsidRDefault="006571AD" w:rsidP="006571AD">
      <w:pPr>
        <w:spacing w:line="480" w:lineRule="auto"/>
        <w:ind w:left="720" w:hanging="720"/>
        <w:rPr>
          <w:b/>
        </w:rPr>
      </w:pPr>
      <w:r w:rsidRPr="00B54250">
        <w:rPr>
          <w:b/>
        </w:rPr>
        <w:t xml:space="preserve">Q. </w:t>
      </w:r>
      <w:r w:rsidRPr="00B54250">
        <w:rPr>
          <w:b/>
        </w:rPr>
        <w:tab/>
        <w:t xml:space="preserve">Did the Commission’s 2007 Policy Statement determine that electric utilities under its jurisdiction should install smart meters? </w:t>
      </w:r>
    </w:p>
    <w:p w14:paraId="6380D905" w14:textId="28E9AF52" w:rsidR="006571AD" w:rsidRDefault="006571AD" w:rsidP="006571AD">
      <w:pPr>
        <w:tabs>
          <w:tab w:val="left" w:pos="-1440"/>
        </w:tabs>
        <w:spacing w:line="480" w:lineRule="auto"/>
        <w:ind w:left="720" w:hanging="720"/>
      </w:pPr>
      <w:r w:rsidRPr="00B54250">
        <w:rPr>
          <w:b/>
        </w:rPr>
        <w:t xml:space="preserve">A. </w:t>
      </w:r>
      <w:r>
        <w:rPr>
          <w:b/>
        </w:rPr>
        <w:tab/>
      </w:r>
      <w:r w:rsidRPr="000A0223">
        <w:t xml:space="preserve">No, it did not. </w:t>
      </w:r>
      <w:r>
        <w:t>Rather,</w:t>
      </w:r>
      <w:r w:rsidRPr="00885120">
        <w:t xml:space="preserve"> the Commission found that </w:t>
      </w:r>
      <w:r w:rsidR="00A676D1">
        <w:t xml:space="preserve">in 2007 </w:t>
      </w:r>
      <w:r w:rsidRPr="00885120">
        <w:t xml:space="preserve">the current state of technology and costs </w:t>
      </w:r>
      <w:r>
        <w:t xml:space="preserve">when examined along with the </w:t>
      </w:r>
      <w:r w:rsidRPr="00885120">
        <w:t xml:space="preserve">demonstrated benefits did not </w:t>
      </w:r>
      <w:r w:rsidR="00A676D1">
        <w:t>motivate the Commission to generally</w:t>
      </w:r>
      <w:r>
        <w:t xml:space="preserve"> require installation of time-based</w:t>
      </w:r>
      <w:r w:rsidRPr="00885120">
        <w:t xml:space="preserve"> meters a</w:t>
      </w:r>
      <w:r>
        <w:t xml:space="preserve">nd communications devices </w:t>
      </w:r>
      <w:r w:rsidR="00A676D1">
        <w:t>so that customers co</w:t>
      </w:r>
      <w:r>
        <w:t>uld participate in time-based pricing rate schedules.</w:t>
      </w:r>
      <w:r>
        <w:rPr>
          <w:rStyle w:val="FootnoteReference"/>
        </w:rPr>
        <w:footnoteReference w:id="20"/>
      </w:r>
      <w:r w:rsidRPr="00885120" w:rsidDel="00C33438">
        <w:t xml:space="preserve"> </w:t>
      </w:r>
      <w:r>
        <w:t xml:space="preserve">However, it did not close the door to investments in AMI, and </w:t>
      </w:r>
      <w:r w:rsidRPr="00885120">
        <w:t xml:space="preserve">concluded </w:t>
      </w:r>
      <w:r w:rsidR="003D079D">
        <w:t xml:space="preserve">that the Commission </w:t>
      </w:r>
      <w:r w:rsidRPr="00885120">
        <w:t>“will continue to evaluate smart metering and time-of-use rates on a case-by-case basis</w:t>
      </w:r>
      <w:r>
        <w:t xml:space="preserve"> </w:t>
      </w:r>
      <w:r w:rsidRPr="00885120">
        <w:t>...</w:t>
      </w:r>
      <w:r>
        <w:t>.</w:t>
      </w:r>
      <w:r w:rsidRPr="00885120">
        <w:t>”</w:t>
      </w:r>
      <w:r>
        <w:rPr>
          <w:rStyle w:val="FootnoteReference"/>
        </w:rPr>
        <w:footnoteReference w:id="21"/>
      </w:r>
      <w:r w:rsidRPr="00885120" w:rsidDel="00C33438">
        <w:t xml:space="preserve">  </w:t>
      </w:r>
      <w:r w:rsidR="00C33438">
        <w:t xml:space="preserve"> </w:t>
      </w:r>
    </w:p>
    <w:p w14:paraId="460578C9" w14:textId="77777777" w:rsidR="00AE6103" w:rsidRDefault="00AE6103" w:rsidP="00A506B2">
      <w:pPr>
        <w:tabs>
          <w:tab w:val="left" w:pos="-1440"/>
        </w:tabs>
        <w:spacing w:line="480" w:lineRule="auto"/>
        <w:ind w:left="720" w:hanging="720"/>
      </w:pPr>
    </w:p>
    <w:p w14:paraId="2FABC978" w14:textId="2F05B931" w:rsidR="00A506B2" w:rsidRPr="00614C57" w:rsidRDefault="00614C57" w:rsidP="00A506B2">
      <w:pPr>
        <w:tabs>
          <w:tab w:val="left" w:pos="-1440"/>
        </w:tabs>
        <w:spacing w:line="480" w:lineRule="auto"/>
        <w:ind w:left="720" w:hanging="720"/>
        <w:rPr>
          <w:b/>
        </w:rPr>
      </w:pPr>
      <w:r w:rsidRPr="00614C57">
        <w:rPr>
          <w:b/>
        </w:rPr>
        <w:t>Q.</w:t>
      </w:r>
      <w:r w:rsidRPr="00614C57">
        <w:rPr>
          <w:b/>
        </w:rPr>
        <w:tab/>
        <w:t xml:space="preserve">Should this list of factors or an amended list of factors dissuade Avista from consideration of </w:t>
      </w:r>
      <w:r>
        <w:rPr>
          <w:b/>
        </w:rPr>
        <w:t>AMI or other smart technologies?</w:t>
      </w:r>
    </w:p>
    <w:p w14:paraId="2C1FE0BA" w14:textId="37128438" w:rsidR="00614C57" w:rsidRDefault="00614C57" w:rsidP="00A506B2">
      <w:pPr>
        <w:tabs>
          <w:tab w:val="left" w:pos="-1440"/>
        </w:tabs>
        <w:spacing w:line="480" w:lineRule="auto"/>
        <w:ind w:left="720" w:hanging="720"/>
      </w:pPr>
      <w:r>
        <w:t>A.</w:t>
      </w:r>
      <w:r>
        <w:tab/>
        <w:t>No.</w:t>
      </w:r>
      <w:r w:rsidR="00C33438">
        <w:t xml:space="preserve"> </w:t>
      </w:r>
      <w:r>
        <w:t>In fact, this list of factors provide</w:t>
      </w:r>
      <w:r w:rsidR="002D5C8B">
        <w:t>s</w:t>
      </w:r>
      <w:r>
        <w:t xml:space="preserve"> </w:t>
      </w:r>
      <w:r w:rsidR="00447C0A">
        <w:t xml:space="preserve">useful </w:t>
      </w:r>
      <w:r>
        <w:t xml:space="preserve">guidance to  Avista </w:t>
      </w:r>
      <w:r w:rsidR="00447C0A">
        <w:t xml:space="preserve">as it </w:t>
      </w:r>
      <w:r>
        <w:t>examines the costs and benefits of smart grid technologies that are potentially useful and cost-effective to implement in some or all of Avista’s Washington service territory.</w:t>
      </w:r>
    </w:p>
    <w:p w14:paraId="6BD7F431" w14:textId="77777777" w:rsidR="00A676D1" w:rsidRDefault="00A676D1" w:rsidP="00A506B2">
      <w:pPr>
        <w:tabs>
          <w:tab w:val="left" w:pos="-1440"/>
        </w:tabs>
        <w:spacing w:line="480" w:lineRule="auto"/>
        <w:ind w:left="720" w:hanging="720"/>
      </w:pPr>
    </w:p>
    <w:p w14:paraId="338BA25C" w14:textId="1C8300B9" w:rsidR="00C868BD" w:rsidRDefault="00C868BD" w:rsidP="00C868BD">
      <w:pPr>
        <w:tabs>
          <w:tab w:val="left" w:pos="-1440"/>
        </w:tabs>
        <w:spacing w:line="480" w:lineRule="auto"/>
        <w:ind w:left="720" w:hanging="720"/>
        <w:jc w:val="center"/>
        <w:rPr>
          <w:b/>
        </w:rPr>
      </w:pPr>
      <w:r w:rsidRPr="003D079D">
        <w:rPr>
          <w:b/>
        </w:rPr>
        <w:t>V</w:t>
      </w:r>
      <w:r w:rsidR="00B85E11">
        <w:rPr>
          <w:b/>
        </w:rPr>
        <w:t>.</w:t>
      </w:r>
      <w:r w:rsidRPr="003D079D" w:rsidDel="00C33438">
        <w:rPr>
          <w:b/>
        </w:rPr>
        <w:t xml:space="preserve"> </w:t>
      </w:r>
      <w:r w:rsidR="00247C12">
        <w:rPr>
          <w:b/>
        </w:rPr>
        <w:tab/>
      </w:r>
      <w:r w:rsidR="00885A1D">
        <w:rPr>
          <w:b/>
        </w:rPr>
        <w:t>RECOMMENDATIONS</w:t>
      </w:r>
    </w:p>
    <w:p w14:paraId="6BC341CE" w14:textId="77777777" w:rsidR="00C868BD" w:rsidRPr="003D079D" w:rsidRDefault="00C868BD" w:rsidP="00C868BD">
      <w:pPr>
        <w:tabs>
          <w:tab w:val="left" w:pos="-1440"/>
        </w:tabs>
        <w:spacing w:line="480" w:lineRule="auto"/>
        <w:ind w:left="720" w:hanging="720"/>
        <w:jc w:val="center"/>
        <w:rPr>
          <w:b/>
        </w:rPr>
      </w:pPr>
    </w:p>
    <w:p w14:paraId="3E7563B7" w14:textId="61ABDA52" w:rsidR="00C868BD" w:rsidRDefault="00C868BD" w:rsidP="00C868BD">
      <w:pPr>
        <w:spacing w:line="480" w:lineRule="auto"/>
        <w:ind w:left="720" w:hanging="720"/>
        <w:rPr>
          <w:b/>
        </w:rPr>
      </w:pPr>
      <w:r>
        <w:rPr>
          <w:b/>
        </w:rPr>
        <w:t>Q.</w:t>
      </w:r>
      <w:r>
        <w:rPr>
          <w:b/>
        </w:rPr>
        <w:tab/>
        <w:t xml:space="preserve">What does staff recommend regarding Avista’s inclusion of cost recovery in </w:t>
      </w:r>
      <w:r w:rsidR="003F4589">
        <w:rPr>
          <w:b/>
        </w:rPr>
        <w:t>pro forma</w:t>
      </w:r>
      <w:r>
        <w:rPr>
          <w:b/>
        </w:rPr>
        <w:t xml:space="preserve"> adjustment 4.02 regarding AMI in this docket?</w:t>
      </w:r>
      <w:r w:rsidDel="00C33438">
        <w:rPr>
          <w:b/>
        </w:rPr>
        <w:t xml:space="preserve"> </w:t>
      </w:r>
    </w:p>
    <w:p w14:paraId="091F4F87" w14:textId="0DE75CBA" w:rsidR="00FD5BCD" w:rsidRDefault="00C868BD" w:rsidP="00C868BD">
      <w:pPr>
        <w:spacing w:line="480" w:lineRule="auto"/>
        <w:ind w:left="720" w:hanging="720"/>
      </w:pPr>
      <w:r>
        <w:t>A.</w:t>
      </w:r>
      <w:r>
        <w:tab/>
        <w:t xml:space="preserve">Because AMI technology has yet to be purchased or installed and costs and benefits are not known, Staff recommends exclusion of </w:t>
      </w:r>
      <w:r w:rsidR="003F4589">
        <w:t>pro forma</w:t>
      </w:r>
      <w:r>
        <w:t xml:space="preserve"> adjustment 4.02</w:t>
      </w:r>
      <w:r w:rsidR="003E4E3C">
        <w:t xml:space="preserve"> as AMI is not yet shown to be used and useful</w:t>
      </w:r>
      <w:r>
        <w:t>.</w:t>
      </w:r>
      <w:r w:rsidDel="00C33438">
        <w:t xml:space="preserve"> </w:t>
      </w:r>
      <w:r>
        <w:t>This is in support of Mr. Hancock’s Staff testimony.</w:t>
      </w:r>
    </w:p>
    <w:p w14:paraId="395514F6" w14:textId="77777777" w:rsidR="00C868BD" w:rsidRDefault="00C868BD" w:rsidP="00FD5BCD">
      <w:pPr>
        <w:spacing w:line="480" w:lineRule="auto"/>
        <w:ind w:left="720" w:hanging="720"/>
      </w:pPr>
    </w:p>
    <w:p w14:paraId="113A9143" w14:textId="66CF2B6E" w:rsidR="00FD5BCD" w:rsidRDefault="00FD5BCD" w:rsidP="00FD5BCD">
      <w:pPr>
        <w:spacing w:line="480" w:lineRule="auto"/>
        <w:ind w:left="720" w:hanging="720"/>
        <w:rPr>
          <w:b/>
        </w:rPr>
      </w:pPr>
      <w:r>
        <w:rPr>
          <w:b/>
        </w:rPr>
        <w:t>Q.</w:t>
      </w:r>
      <w:r>
        <w:rPr>
          <w:b/>
        </w:rPr>
        <w:tab/>
      </w:r>
      <w:r w:rsidR="00372B1D">
        <w:rPr>
          <w:b/>
        </w:rPr>
        <w:t>What does staff recommend regarding Avista’s f</w:t>
      </w:r>
      <w:r w:rsidR="003D70FF">
        <w:rPr>
          <w:b/>
        </w:rPr>
        <w:t>uture smart grid planning</w:t>
      </w:r>
      <w:r w:rsidR="005C02C5">
        <w:rPr>
          <w:b/>
        </w:rPr>
        <w:t>,</w:t>
      </w:r>
      <w:r w:rsidR="003D70FF">
        <w:rPr>
          <w:b/>
        </w:rPr>
        <w:t xml:space="preserve"> implementation</w:t>
      </w:r>
      <w:r w:rsidR="005C02C5">
        <w:rPr>
          <w:b/>
        </w:rPr>
        <w:t>, and prudency evaluation</w:t>
      </w:r>
      <w:r>
        <w:rPr>
          <w:b/>
        </w:rPr>
        <w:t>?</w:t>
      </w:r>
      <w:r w:rsidDel="00C33438">
        <w:rPr>
          <w:b/>
        </w:rPr>
        <w:t xml:space="preserve"> </w:t>
      </w:r>
    </w:p>
    <w:p w14:paraId="2488D488" w14:textId="78AB16A9" w:rsidR="000D7F4B" w:rsidRDefault="005C02C5" w:rsidP="000D7F4B">
      <w:pPr>
        <w:spacing w:line="480" w:lineRule="auto"/>
        <w:ind w:left="720" w:hanging="720"/>
      </w:pPr>
      <w:r>
        <w:t>A.</w:t>
      </w:r>
      <w:r>
        <w:tab/>
      </w:r>
      <w:r w:rsidR="00A4303D">
        <w:t xml:space="preserve">Staff recommends </w:t>
      </w:r>
      <w:r>
        <w:t xml:space="preserve">that the </w:t>
      </w:r>
      <w:r w:rsidR="00447C0A">
        <w:t>C</w:t>
      </w:r>
      <w:r>
        <w:t>ommission initiate</w:t>
      </w:r>
      <w:r w:rsidR="00A4303D">
        <w:t xml:space="preserve"> a</w:t>
      </w:r>
      <w:r w:rsidR="00A4303D" w:rsidDel="00C33438">
        <w:t xml:space="preserve"> </w:t>
      </w:r>
      <w:r w:rsidR="00323B9F">
        <w:t xml:space="preserve">workshop to review </w:t>
      </w:r>
      <w:r w:rsidR="00447C0A">
        <w:t xml:space="preserve">the </w:t>
      </w:r>
      <w:r w:rsidR="000D7F4B">
        <w:t xml:space="preserve">smart grid related elements </w:t>
      </w:r>
      <w:r w:rsidR="00447C0A">
        <w:t xml:space="preserve">identified </w:t>
      </w:r>
      <w:r w:rsidR="000D7F4B">
        <w:t xml:space="preserve">in </w:t>
      </w:r>
      <w:r w:rsidR="00323B9F">
        <w:t xml:space="preserve">its prior </w:t>
      </w:r>
      <w:r w:rsidR="000D7F4B">
        <w:t>2007 P</w:t>
      </w:r>
      <w:r w:rsidR="00323B9F">
        <w:t xml:space="preserve">olicy </w:t>
      </w:r>
      <w:r w:rsidR="000D7F4B">
        <w:t>S</w:t>
      </w:r>
      <w:r w:rsidR="00323B9F">
        <w:t xml:space="preserve">tatement </w:t>
      </w:r>
      <w:r w:rsidR="000D7F4B">
        <w:t>in light of today’s technologies and societal concerns</w:t>
      </w:r>
      <w:r w:rsidR="000D7F4B" w:rsidRPr="00FD5BCD">
        <w:t>.</w:t>
      </w:r>
      <w:r w:rsidR="000D7F4B" w:rsidRPr="000D7F4B">
        <w:t xml:space="preserve"> This recommendation is </w:t>
      </w:r>
      <w:r w:rsidR="000D7F4B">
        <w:t xml:space="preserve">intended </w:t>
      </w:r>
      <w:r w:rsidR="000D7F4B" w:rsidRPr="000D7F4B">
        <w:t>to support the ongoing exploration and implementation of cost-effective smart grid technologies and programs.</w:t>
      </w:r>
    </w:p>
    <w:p w14:paraId="1849BCFC" w14:textId="0F171B61" w:rsidR="005C02C5" w:rsidRDefault="000D7F4B" w:rsidP="00A4303D">
      <w:pPr>
        <w:spacing w:line="480" w:lineRule="auto"/>
        <w:ind w:left="720" w:hanging="720"/>
      </w:pPr>
      <w:r>
        <w:t xml:space="preserve"> </w:t>
      </w:r>
      <w:r>
        <w:tab/>
      </w:r>
      <w:r>
        <w:tab/>
      </w:r>
      <w:r w:rsidR="005C02C5">
        <w:t xml:space="preserve">Topics which may be useful to consider in such a </w:t>
      </w:r>
      <w:r w:rsidR="00323B9F">
        <w:t>workshop</w:t>
      </w:r>
      <w:r w:rsidR="00323B9F" w:rsidDel="00C33438">
        <w:t xml:space="preserve"> </w:t>
      </w:r>
      <w:r w:rsidR="005C02C5">
        <w:t>could include:</w:t>
      </w:r>
      <w:r w:rsidR="005C02C5" w:rsidDel="00C33438">
        <w:t xml:space="preserve"> </w:t>
      </w:r>
    </w:p>
    <w:p w14:paraId="26AAA8CE" w14:textId="6CF725F6" w:rsidR="005C02C5" w:rsidRDefault="005C02C5" w:rsidP="00324685">
      <w:pPr>
        <w:pStyle w:val="ListParagraph"/>
        <w:numPr>
          <w:ilvl w:val="0"/>
          <w:numId w:val="8"/>
        </w:numPr>
        <w:tabs>
          <w:tab w:val="clear" w:pos="1080"/>
          <w:tab w:val="num" w:pos="1440"/>
        </w:tabs>
        <w:spacing w:line="480" w:lineRule="auto"/>
        <w:ind w:left="1440" w:hanging="720"/>
      </w:pPr>
      <w:r>
        <w:t>The potential to extend or modify annual smart grid technology report requirements under WAC 480-100-505</w:t>
      </w:r>
      <w:r w:rsidR="003F31CD">
        <w:t>,</w:t>
      </w:r>
      <w:r>
        <w:t xml:space="preserve"> which is set to expire in 2016</w:t>
      </w:r>
      <w:r w:rsidR="003F31CD">
        <w:t>; and</w:t>
      </w:r>
      <w:r w:rsidR="00323B9F">
        <w:t xml:space="preserve"> </w:t>
      </w:r>
    </w:p>
    <w:p w14:paraId="72A90FC0" w14:textId="48C7B04B" w:rsidR="005C02C5" w:rsidRDefault="005C02C5" w:rsidP="00324685">
      <w:pPr>
        <w:pStyle w:val="ListParagraph"/>
        <w:numPr>
          <w:ilvl w:val="0"/>
          <w:numId w:val="8"/>
        </w:numPr>
        <w:tabs>
          <w:tab w:val="clear" w:pos="1080"/>
          <w:tab w:val="num" w:pos="1440"/>
        </w:tabs>
        <w:spacing w:line="480" w:lineRule="auto"/>
        <w:ind w:left="1440" w:hanging="720"/>
      </w:pPr>
      <w:r>
        <w:t>Requirements for utilities to issue RFPs for a smart grid potential assessment that serves the same function as the conservation potential assessment described in WAC 480-109-100(2),</w:t>
      </w:r>
      <w:r w:rsidR="00323B9F">
        <w:t xml:space="preserve"> </w:t>
      </w:r>
    </w:p>
    <w:p w14:paraId="47A7CD07" w14:textId="7C7E67B7" w:rsidR="00FD5BCD" w:rsidRDefault="00FD5BCD" w:rsidP="00FD5BCD">
      <w:pPr>
        <w:spacing w:line="480" w:lineRule="auto"/>
        <w:ind w:left="720" w:hanging="720"/>
      </w:pPr>
    </w:p>
    <w:p w14:paraId="0F13A3A8" w14:textId="241159CB" w:rsidR="00B814E2" w:rsidRDefault="00B814E2" w:rsidP="00B814E2">
      <w:pPr>
        <w:spacing w:line="480" w:lineRule="auto"/>
        <w:ind w:left="720" w:hanging="720"/>
        <w:rPr>
          <w:b/>
        </w:rPr>
      </w:pPr>
      <w:r>
        <w:rPr>
          <w:b/>
        </w:rPr>
        <w:t>Q.</w:t>
      </w:r>
      <w:r>
        <w:rPr>
          <w:b/>
        </w:rPr>
        <w:tab/>
        <w:t>Does this conclude your testimony?</w:t>
      </w:r>
      <w:r w:rsidDel="00C33438">
        <w:rPr>
          <w:b/>
        </w:rPr>
        <w:t xml:space="preserve"> </w:t>
      </w:r>
    </w:p>
    <w:p w14:paraId="7F7A2DE8" w14:textId="77777777" w:rsidR="00B814E2" w:rsidRPr="00B814E2" w:rsidRDefault="00B814E2" w:rsidP="00B814E2">
      <w:pPr>
        <w:spacing w:line="480" w:lineRule="auto"/>
        <w:ind w:left="720" w:hanging="720"/>
      </w:pPr>
      <w:r>
        <w:t>A.</w:t>
      </w:r>
      <w:r>
        <w:tab/>
        <w:t xml:space="preserve">Yes. </w:t>
      </w:r>
    </w:p>
    <w:sectPr w:rsidR="00B814E2" w:rsidRPr="00B814E2" w:rsidSect="00B767EA">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D53F7" w14:textId="77777777" w:rsidR="006E617E" w:rsidRDefault="006E617E" w:rsidP="0015026F">
      <w:r>
        <w:separator/>
      </w:r>
    </w:p>
  </w:endnote>
  <w:endnote w:type="continuationSeparator" w:id="0">
    <w:p w14:paraId="182FB1A2" w14:textId="77777777" w:rsidR="006E617E" w:rsidRDefault="006E617E" w:rsidP="0015026F">
      <w:r>
        <w:continuationSeparator/>
      </w:r>
    </w:p>
  </w:endnote>
  <w:endnote w:type="continuationNotice" w:id="1">
    <w:p w14:paraId="39837381" w14:textId="77777777" w:rsidR="006E617E" w:rsidRDefault="006E6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F1045" w14:textId="77777777" w:rsidR="006E617E" w:rsidRPr="0015026F" w:rsidRDefault="006E617E" w:rsidP="0015026F">
    <w:pPr>
      <w:pStyle w:val="Footer"/>
      <w:tabs>
        <w:tab w:val="clear" w:pos="9360"/>
        <w:tab w:val="right" w:pos="8910"/>
      </w:tabs>
      <w:rPr>
        <w:sz w:val="20"/>
        <w:szCs w:val="20"/>
      </w:rPr>
    </w:pPr>
  </w:p>
  <w:p w14:paraId="5FB01C2D" w14:textId="231760B6" w:rsidR="006E617E" w:rsidRPr="0015026F" w:rsidRDefault="006E617E"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DAVID NIGHTINGALE </w:t>
    </w:r>
    <w:r>
      <w:rPr>
        <w:sz w:val="20"/>
        <w:szCs w:val="20"/>
      </w:rPr>
      <w:tab/>
    </w:r>
    <w:r>
      <w:rPr>
        <w:sz w:val="20"/>
        <w:szCs w:val="20"/>
      </w:rPr>
      <w:tab/>
      <w:t xml:space="preserve">Exhibit No. </w:t>
    </w:r>
    <w:r w:rsidR="00A343ED">
      <w:rPr>
        <w:sz w:val="20"/>
        <w:szCs w:val="20"/>
      </w:rPr>
      <w:t>___ (</w:t>
    </w:r>
    <w:r>
      <w:rPr>
        <w:sz w:val="20"/>
        <w:szCs w:val="20"/>
      </w:rPr>
      <w:t>DN</w:t>
    </w:r>
    <w:r w:rsidRPr="0015026F">
      <w:rPr>
        <w:sz w:val="20"/>
        <w:szCs w:val="20"/>
      </w:rPr>
      <w:t>-</w:t>
    </w:r>
    <w:r>
      <w:rPr>
        <w:sz w:val="20"/>
        <w:szCs w:val="20"/>
      </w:rPr>
      <w:t>1</w:t>
    </w:r>
    <w:r w:rsidRPr="0015026F">
      <w:rPr>
        <w:sz w:val="20"/>
        <w:szCs w:val="20"/>
      </w:rPr>
      <w:t>T</w:t>
    </w:r>
    <w:r w:rsidR="00A343ED">
      <w:rPr>
        <w:sz w:val="20"/>
        <w:szCs w:val="20"/>
      </w:rPr>
      <w:t>)</w:t>
    </w:r>
  </w:p>
  <w:p w14:paraId="0235E6E2" w14:textId="77777777" w:rsidR="006E617E" w:rsidRPr="0015026F" w:rsidRDefault="006E617E" w:rsidP="0015026F">
    <w:pPr>
      <w:pStyle w:val="Footer"/>
      <w:tabs>
        <w:tab w:val="clear" w:pos="9360"/>
        <w:tab w:val="right" w:pos="8910"/>
      </w:tabs>
      <w:rPr>
        <w:sz w:val="20"/>
        <w:szCs w:val="20"/>
      </w:rPr>
    </w:pPr>
    <w:r>
      <w:rPr>
        <w:sz w:val="20"/>
        <w:szCs w:val="20"/>
      </w:rPr>
      <w:t>Dockets UE-150204/UG-150205</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9564E6">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C89F2" w14:textId="77777777" w:rsidR="006E617E" w:rsidRPr="0015026F" w:rsidRDefault="006E617E" w:rsidP="0015026F">
    <w:pPr>
      <w:pStyle w:val="Footer"/>
      <w:tabs>
        <w:tab w:val="clear" w:pos="9360"/>
        <w:tab w:val="right" w:pos="8910"/>
      </w:tabs>
      <w:rPr>
        <w:sz w:val="20"/>
        <w:szCs w:val="20"/>
      </w:rPr>
    </w:pPr>
  </w:p>
  <w:p w14:paraId="4D14B56C" w14:textId="3EF19A83" w:rsidR="006E617E" w:rsidRPr="0015026F" w:rsidRDefault="006E617E" w:rsidP="0015026F">
    <w:pPr>
      <w:pStyle w:val="Footer"/>
      <w:tabs>
        <w:tab w:val="clear" w:pos="9360"/>
        <w:tab w:val="right" w:pos="8910"/>
      </w:tabs>
      <w:rPr>
        <w:sz w:val="20"/>
        <w:szCs w:val="20"/>
      </w:rPr>
    </w:pPr>
    <w:r w:rsidRPr="0015026F">
      <w:rPr>
        <w:sz w:val="20"/>
        <w:szCs w:val="20"/>
      </w:rPr>
      <w:t xml:space="preserve">TESTIMONY OF </w:t>
    </w:r>
    <w:r>
      <w:rPr>
        <w:sz w:val="20"/>
        <w:szCs w:val="20"/>
      </w:rPr>
      <w:t xml:space="preserve">DAVID NIGHTINGALE </w:t>
    </w:r>
    <w:r>
      <w:rPr>
        <w:sz w:val="20"/>
        <w:szCs w:val="20"/>
      </w:rPr>
      <w:tab/>
    </w:r>
    <w:r>
      <w:rPr>
        <w:sz w:val="20"/>
        <w:szCs w:val="20"/>
      </w:rPr>
      <w:tab/>
      <w:t xml:space="preserve">Exhibit No. </w:t>
    </w:r>
    <w:r w:rsidR="00A343ED">
      <w:rPr>
        <w:sz w:val="20"/>
        <w:szCs w:val="20"/>
      </w:rPr>
      <w:t>___ (</w:t>
    </w:r>
    <w:r>
      <w:rPr>
        <w:sz w:val="20"/>
        <w:szCs w:val="20"/>
      </w:rPr>
      <w:t>DN</w:t>
    </w:r>
    <w:r w:rsidRPr="0015026F">
      <w:rPr>
        <w:sz w:val="20"/>
        <w:szCs w:val="20"/>
      </w:rPr>
      <w:t>-</w:t>
    </w:r>
    <w:r>
      <w:rPr>
        <w:sz w:val="20"/>
        <w:szCs w:val="20"/>
      </w:rPr>
      <w:t>1</w:t>
    </w:r>
    <w:r w:rsidRPr="0015026F">
      <w:rPr>
        <w:sz w:val="20"/>
        <w:szCs w:val="20"/>
      </w:rPr>
      <w:t>T</w:t>
    </w:r>
    <w:r w:rsidR="00A343ED">
      <w:rPr>
        <w:sz w:val="20"/>
        <w:szCs w:val="20"/>
      </w:rPr>
      <w:t>)</w:t>
    </w:r>
  </w:p>
  <w:p w14:paraId="3632392F" w14:textId="7A4FC140" w:rsidR="006E617E" w:rsidRPr="00A343ED" w:rsidRDefault="006E617E" w:rsidP="00A343ED">
    <w:pPr>
      <w:pStyle w:val="Footer"/>
      <w:tabs>
        <w:tab w:val="clear" w:pos="9360"/>
        <w:tab w:val="right" w:pos="8910"/>
      </w:tabs>
      <w:rPr>
        <w:sz w:val="20"/>
        <w:szCs w:val="20"/>
      </w:rPr>
    </w:pPr>
    <w:r>
      <w:rPr>
        <w:sz w:val="20"/>
        <w:szCs w:val="20"/>
      </w:rPr>
      <w:t>Docket UE-150204/UG-150205</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9564E6">
      <w:rPr>
        <w:noProof/>
        <w:sz w:val="20"/>
        <w:szCs w:val="20"/>
      </w:rPr>
      <w:t>16</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7B486" w14:textId="77777777" w:rsidR="006E617E" w:rsidRDefault="006E617E" w:rsidP="0015026F">
      <w:r>
        <w:separator/>
      </w:r>
    </w:p>
  </w:footnote>
  <w:footnote w:type="continuationSeparator" w:id="0">
    <w:p w14:paraId="33A0C733" w14:textId="77777777" w:rsidR="006E617E" w:rsidRDefault="006E617E" w:rsidP="0015026F">
      <w:r>
        <w:continuationSeparator/>
      </w:r>
    </w:p>
  </w:footnote>
  <w:footnote w:type="continuationNotice" w:id="1">
    <w:p w14:paraId="31EF06BE" w14:textId="77777777" w:rsidR="006E617E" w:rsidRDefault="006E617E"/>
  </w:footnote>
  <w:footnote w:id="2">
    <w:p w14:paraId="01441585" w14:textId="6855BA73" w:rsidR="006E617E" w:rsidRPr="005D2E52" w:rsidRDefault="006E617E">
      <w:pPr>
        <w:pStyle w:val="FootnoteText"/>
        <w:rPr>
          <w:lang w:val="en-US"/>
        </w:rPr>
      </w:pPr>
      <w:r>
        <w:rPr>
          <w:rStyle w:val="FootnoteReference"/>
        </w:rPr>
        <w:footnoteRef/>
      </w:r>
      <w:r>
        <w:t xml:space="preserve"> </w:t>
      </w:r>
      <w:r w:rsidRPr="00703D63">
        <w:rPr>
          <w:lang w:val="en-US"/>
        </w:rPr>
        <w:t>Avista’s proposal in this case excludes the Pullman service territory, where AMI was previously installed as a pilot project</w:t>
      </w:r>
      <w:r w:rsidR="008C5638">
        <w:rPr>
          <w:lang w:val="en-US"/>
        </w:rPr>
        <w:t>.</w:t>
      </w:r>
    </w:p>
  </w:footnote>
  <w:footnote w:id="3">
    <w:p w14:paraId="418A6579" w14:textId="28D0A542" w:rsidR="006E617E" w:rsidRPr="00A343ED" w:rsidRDefault="006E617E">
      <w:pPr>
        <w:pStyle w:val="FootnoteText"/>
      </w:pPr>
      <w:r>
        <w:rPr>
          <w:rStyle w:val="FootnoteReference"/>
        </w:rPr>
        <w:footnoteRef/>
      </w:r>
      <w:r>
        <w:t xml:space="preserve"> </w:t>
      </w:r>
      <w:r w:rsidRPr="005A11FA">
        <w:rPr>
          <w:i/>
        </w:rPr>
        <w:t>People's Org. Fo</w:t>
      </w:r>
      <w:r>
        <w:rPr>
          <w:i/>
        </w:rPr>
        <w:t>r Washington Energy Res.</w:t>
      </w:r>
      <w:r w:rsidRPr="005A11FA">
        <w:rPr>
          <w:i/>
        </w:rPr>
        <w:t xml:space="preserve"> v. State of Wash. Utilities &amp; Transp. Comm'n</w:t>
      </w:r>
      <w:r>
        <w:t>, 101 Wn. 2d 425, 430, 679 P.2d 922, 925 (1984)</w:t>
      </w:r>
      <w:r w:rsidRPr="005A11FA">
        <w:t xml:space="preserve"> </w:t>
      </w:r>
      <w:r>
        <w:t>(Emphasis added)</w:t>
      </w:r>
      <w:r w:rsidRPr="00867897">
        <w:t>.</w:t>
      </w:r>
    </w:p>
  </w:footnote>
  <w:footnote w:id="4">
    <w:p w14:paraId="7D7EB857" w14:textId="3B9D078B" w:rsidR="006E617E" w:rsidRDefault="006E617E" w:rsidP="00B24F1B">
      <w:pPr>
        <w:pStyle w:val="FootnoteText"/>
      </w:pPr>
      <w:r>
        <w:rPr>
          <w:rStyle w:val="FootnoteReference"/>
        </w:rPr>
        <w:footnoteRef/>
      </w:r>
      <w:r>
        <w:t xml:space="preserve"> </w:t>
      </w:r>
      <w:r w:rsidR="008C5638" w:rsidRPr="008C5638">
        <w:rPr>
          <w:i/>
          <w:lang w:val="en-US"/>
        </w:rPr>
        <w:t>Wash. Utils. &amp; Transp. Comm’n v. Pacific Power &amp; Light Co</w:t>
      </w:r>
      <w:r w:rsidR="008C5638" w:rsidRPr="008C5638">
        <w:rPr>
          <w:lang w:val="en-US"/>
        </w:rPr>
        <w:t xml:space="preserve">., </w:t>
      </w:r>
      <w:r>
        <w:t>Docket UE-050684, Order 04</w:t>
      </w:r>
      <w:r w:rsidR="008C5638">
        <w:rPr>
          <w:lang w:val="en-US"/>
        </w:rPr>
        <w:t xml:space="preserve"> (Apr. 17, 2006),</w:t>
      </w:r>
      <w:r>
        <w:t xml:space="preserve"> ¶ 68.</w:t>
      </w:r>
    </w:p>
  </w:footnote>
  <w:footnote w:id="5">
    <w:p w14:paraId="0172E39C" w14:textId="5B9DAE47" w:rsidR="006E617E" w:rsidRDefault="006E617E" w:rsidP="00B24F1B">
      <w:pPr>
        <w:pStyle w:val="FootnoteText"/>
      </w:pPr>
      <w:r>
        <w:rPr>
          <w:rStyle w:val="FootnoteReference"/>
        </w:rPr>
        <w:footnoteRef/>
      </w:r>
      <w:r>
        <w:rPr>
          <w:lang w:val="en-US"/>
        </w:rPr>
        <w:t xml:space="preserve"> </w:t>
      </w:r>
      <w:r w:rsidRPr="00CD1C24">
        <w:rPr>
          <w:lang w:val="en-US"/>
        </w:rPr>
        <w:t>Docket UE-050684, Order 04 ¶ 68</w:t>
      </w:r>
      <w:r>
        <w:rPr>
          <w:lang w:val="en-US"/>
        </w:rPr>
        <w:t xml:space="preserve">. </w:t>
      </w:r>
    </w:p>
  </w:footnote>
  <w:footnote w:id="6">
    <w:p w14:paraId="2D401538" w14:textId="035D81A9" w:rsidR="006E617E" w:rsidRPr="00C07C37" w:rsidRDefault="006E617E">
      <w:pPr>
        <w:pStyle w:val="FootnoteText"/>
        <w:rPr>
          <w:lang w:val="en-US"/>
        </w:rPr>
      </w:pPr>
      <w:r>
        <w:rPr>
          <w:rStyle w:val="FootnoteReference"/>
        </w:rPr>
        <w:footnoteRef/>
      </w:r>
      <w:r>
        <w:t xml:space="preserve"> </w:t>
      </w:r>
      <w:r w:rsidRPr="00C07C37">
        <w:rPr>
          <w:i/>
          <w:lang w:val="en-US"/>
        </w:rPr>
        <w:t>Id</w:t>
      </w:r>
      <w:r>
        <w:rPr>
          <w:lang w:val="en-US"/>
        </w:rPr>
        <w:t>. footnote 89.</w:t>
      </w:r>
    </w:p>
  </w:footnote>
  <w:footnote w:id="7">
    <w:p w14:paraId="55F1CD75" w14:textId="342E528D" w:rsidR="006E617E" w:rsidRPr="0013085F" w:rsidRDefault="006E617E" w:rsidP="00B04024">
      <w:pPr>
        <w:pStyle w:val="FootnoteText"/>
        <w:rPr>
          <w:lang w:val="en-US"/>
        </w:rPr>
      </w:pPr>
      <w:r>
        <w:rPr>
          <w:rStyle w:val="FootnoteReference"/>
        </w:rPr>
        <w:footnoteRef/>
      </w:r>
      <w:r>
        <w:t xml:space="preserve"> </w:t>
      </w:r>
      <w:r w:rsidRPr="00953B03">
        <w:t>RCW 80.04.250(1)</w:t>
      </w:r>
      <w:r w:rsidR="0013085F">
        <w:rPr>
          <w:lang w:val="en-US"/>
        </w:rPr>
        <w:t>.</w:t>
      </w:r>
    </w:p>
  </w:footnote>
  <w:footnote w:id="8">
    <w:p w14:paraId="16B97F49" w14:textId="764339E5" w:rsidR="006E617E" w:rsidRPr="00860DB6" w:rsidRDefault="006E617E" w:rsidP="00A506B2">
      <w:pPr>
        <w:pStyle w:val="FootnoteText"/>
        <w:rPr>
          <w:lang w:val="en-US"/>
        </w:rPr>
      </w:pPr>
      <w:r>
        <w:rPr>
          <w:rStyle w:val="FootnoteReference"/>
        </w:rPr>
        <w:footnoteRef/>
      </w:r>
      <w:r>
        <w:t xml:space="preserve"> </w:t>
      </w:r>
      <w:r w:rsidR="008C5638" w:rsidRPr="008C5638">
        <w:rPr>
          <w:lang w:val="en-US"/>
        </w:rPr>
        <w:t xml:space="preserve">Testimony of </w:t>
      </w:r>
      <w:r w:rsidR="008C5638">
        <w:rPr>
          <w:lang w:val="en-US"/>
        </w:rPr>
        <w:t xml:space="preserve">Don F. Kopczynski, </w:t>
      </w:r>
      <w:r>
        <w:rPr>
          <w:lang w:val="en-US"/>
        </w:rPr>
        <w:t>Exh</w:t>
      </w:r>
      <w:r w:rsidR="008C5638">
        <w:rPr>
          <w:lang w:val="en-US"/>
        </w:rPr>
        <w:t>ibit</w:t>
      </w:r>
      <w:r>
        <w:rPr>
          <w:lang w:val="en-US"/>
        </w:rPr>
        <w:t xml:space="preserve"> No.</w:t>
      </w:r>
      <w:r w:rsidR="00A343ED">
        <w:rPr>
          <w:lang w:val="en-US"/>
        </w:rPr>
        <w:t>___(</w:t>
      </w:r>
      <w:r>
        <w:rPr>
          <w:lang w:val="en-US"/>
        </w:rPr>
        <w:t>DFK-5T</w:t>
      </w:r>
      <w:r w:rsidR="00A343ED">
        <w:rPr>
          <w:lang w:val="en-US"/>
        </w:rPr>
        <w:t>)</w:t>
      </w:r>
      <w:r>
        <w:rPr>
          <w:lang w:val="en-US"/>
        </w:rPr>
        <w:t xml:space="preserve"> at 22.</w:t>
      </w:r>
    </w:p>
  </w:footnote>
  <w:footnote w:id="9">
    <w:p w14:paraId="7CFDFA43" w14:textId="6DC95851" w:rsidR="006E617E" w:rsidRPr="00236D23" w:rsidRDefault="006E617E">
      <w:pPr>
        <w:pStyle w:val="FootnoteText"/>
        <w:rPr>
          <w:lang w:val="en-US"/>
        </w:rPr>
      </w:pPr>
      <w:r>
        <w:rPr>
          <w:rStyle w:val="FootnoteReference"/>
        </w:rPr>
        <w:footnoteRef/>
      </w:r>
      <w:r>
        <w:t xml:space="preserve"> </w:t>
      </w:r>
      <w:r w:rsidR="008C5638" w:rsidRPr="008C5638">
        <w:rPr>
          <w:lang w:val="en-US"/>
        </w:rPr>
        <w:t>Kopczynski, Exhibit</w:t>
      </w:r>
      <w:r w:rsidR="008C5638">
        <w:rPr>
          <w:lang w:val="en-US"/>
        </w:rPr>
        <w:t xml:space="preserve"> </w:t>
      </w:r>
      <w:r w:rsidRPr="00236D23">
        <w:t xml:space="preserve">No. </w:t>
      </w:r>
      <w:r w:rsidR="00A343ED">
        <w:rPr>
          <w:lang w:val="en-US"/>
        </w:rPr>
        <w:t>___ (</w:t>
      </w:r>
      <w:r w:rsidRPr="00236D23">
        <w:t>DFK-1T</w:t>
      </w:r>
      <w:r w:rsidR="00A343ED">
        <w:rPr>
          <w:lang w:val="en-US"/>
        </w:rPr>
        <w:t>)</w:t>
      </w:r>
      <w:r w:rsidRPr="00236D23">
        <w:t xml:space="preserve"> at 15:11-20.</w:t>
      </w:r>
    </w:p>
  </w:footnote>
  <w:footnote w:id="10">
    <w:p w14:paraId="3676D5CD" w14:textId="2A0A2DE5" w:rsidR="006E617E" w:rsidRPr="00236D23" w:rsidRDefault="006E617E">
      <w:pPr>
        <w:pStyle w:val="FootnoteText"/>
        <w:rPr>
          <w:lang w:val="en-US"/>
        </w:rPr>
      </w:pPr>
      <w:r>
        <w:rPr>
          <w:rStyle w:val="FootnoteReference"/>
        </w:rPr>
        <w:footnoteRef/>
      </w:r>
      <w:r>
        <w:t xml:space="preserve"> </w:t>
      </w:r>
      <w:r w:rsidR="008C5638" w:rsidRPr="008C5638">
        <w:rPr>
          <w:lang w:val="en-US"/>
        </w:rPr>
        <w:t xml:space="preserve">Kopczynski, Exhibit </w:t>
      </w:r>
      <w:r>
        <w:rPr>
          <w:lang w:val="en-US"/>
        </w:rPr>
        <w:t xml:space="preserve">No. </w:t>
      </w:r>
      <w:r w:rsidR="00A343ED">
        <w:rPr>
          <w:lang w:val="en-US"/>
        </w:rPr>
        <w:t>(</w:t>
      </w:r>
      <w:r w:rsidR="00A343ED" w:rsidRPr="00236D23">
        <w:t>DFK-1T</w:t>
      </w:r>
      <w:r w:rsidR="00A343ED">
        <w:rPr>
          <w:lang w:val="en-US"/>
        </w:rPr>
        <w:t>)</w:t>
      </w:r>
      <w:r w:rsidR="00A343ED" w:rsidRPr="00236D23">
        <w:t xml:space="preserve"> </w:t>
      </w:r>
      <w:r>
        <w:rPr>
          <w:lang w:val="en-US"/>
        </w:rPr>
        <w:t>at 15:11-20.</w:t>
      </w:r>
    </w:p>
  </w:footnote>
  <w:footnote w:id="11">
    <w:p w14:paraId="54CB467B" w14:textId="2F8027DC" w:rsidR="006E617E" w:rsidRPr="000915CB" w:rsidRDefault="006E617E">
      <w:pPr>
        <w:pStyle w:val="FootnoteText"/>
        <w:rPr>
          <w:lang w:val="en-US"/>
        </w:rPr>
      </w:pPr>
      <w:r>
        <w:rPr>
          <w:rStyle w:val="FootnoteReference"/>
        </w:rPr>
        <w:footnoteRef/>
      </w:r>
      <w:r>
        <w:t xml:space="preserve"> </w:t>
      </w:r>
      <w:r w:rsidR="008C5638" w:rsidRPr="008C5638">
        <w:rPr>
          <w:lang w:val="en-US"/>
        </w:rPr>
        <w:t xml:space="preserve">Kopczynski, Exhibit </w:t>
      </w:r>
      <w:r>
        <w:rPr>
          <w:lang w:val="en-US"/>
        </w:rPr>
        <w:t xml:space="preserve">No. </w:t>
      </w:r>
      <w:r w:rsidR="00A343ED">
        <w:rPr>
          <w:lang w:val="en-US"/>
        </w:rPr>
        <w:t>(</w:t>
      </w:r>
      <w:r w:rsidR="00A343ED" w:rsidRPr="00236D23">
        <w:t>DFK-1T</w:t>
      </w:r>
      <w:r w:rsidR="00A343ED">
        <w:rPr>
          <w:lang w:val="en-US"/>
        </w:rPr>
        <w:t>)</w:t>
      </w:r>
      <w:r w:rsidR="00A343ED" w:rsidRPr="00236D23">
        <w:t xml:space="preserve"> </w:t>
      </w:r>
      <w:r>
        <w:rPr>
          <w:lang w:val="en-US"/>
        </w:rPr>
        <w:t>at 19:14-22.</w:t>
      </w:r>
    </w:p>
  </w:footnote>
  <w:footnote w:id="12">
    <w:p w14:paraId="5E5AB35D" w14:textId="271301A6" w:rsidR="006E617E" w:rsidRPr="00860DB6" w:rsidRDefault="006E617E" w:rsidP="00780D78">
      <w:pPr>
        <w:pStyle w:val="FootnoteText"/>
        <w:rPr>
          <w:lang w:val="en-US"/>
        </w:rPr>
      </w:pPr>
      <w:r>
        <w:rPr>
          <w:rStyle w:val="FootnoteReference"/>
        </w:rPr>
        <w:footnoteRef/>
      </w:r>
      <w:r>
        <w:t xml:space="preserve"> </w:t>
      </w:r>
      <w:r w:rsidR="008C5638" w:rsidRPr="008C5638">
        <w:rPr>
          <w:lang w:val="en-US"/>
        </w:rPr>
        <w:t xml:space="preserve">Kopczynski, Exhibit </w:t>
      </w:r>
      <w:r>
        <w:rPr>
          <w:lang w:val="en-US"/>
        </w:rPr>
        <w:t xml:space="preserve">No. </w:t>
      </w:r>
      <w:r w:rsidR="00A343ED">
        <w:rPr>
          <w:lang w:val="en-US"/>
        </w:rPr>
        <w:t>___ (</w:t>
      </w:r>
      <w:r>
        <w:rPr>
          <w:lang w:val="en-US"/>
        </w:rPr>
        <w:t>DFK-5T</w:t>
      </w:r>
      <w:r w:rsidR="00A343ED">
        <w:rPr>
          <w:lang w:val="en-US"/>
        </w:rPr>
        <w:t>)</w:t>
      </w:r>
      <w:r w:rsidR="00C709CF">
        <w:rPr>
          <w:lang w:val="en-US"/>
        </w:rPr>
        <w:t xml:space="preserve">, page </w:t>
      </w:r>
      <w:r>
        <w:rPr>
          <w:lang w:val="en-US"/>
        </w:rPr>
        <w:t>22.</w:t>
      </w:r>
      <w:r w:rsidR="008C5638">
        <w:rPr>
          <w:lang w:val="en-US"/>
        </w:rPr>
        <w:t xml:space="preserve"> </w:t>
      </w:r>
    </w:p>
  </w:footnote>
  <w:footnote w:id="13">
    <w:p w14:paraId="57F0FAB8" w14:textId="1DB9CE4A" w:rsidR="006E617E" w:rsidRPr="00860DB6" w:rsidRDefault="006E617E" w:rsidP="00780D78">
      <w:pPr>
        <w:pStyle w:val="FootnoteText"/>
        <w:rPr>
          <w:lang w:val="en-US"/>
        </w:rPr>
      </w:pPr>
      <w:r>
        <w:rPr>
          <w:rStyle w:val="FootnoteReference"/>
        </w:rPr>
        <w:footnoteRef/>
      </w:r>
      <w:r>
        <w:t xml:space="preserve"> </w:t>
      </w:r>
      <w:r w:rsidRPr="008C5638">
        <w:rPr>
          <w:i/>
          <w:lang w:val="en-US"/>
        </w:rPr>
        <w:t>Id</w:t>
      </w:r>
      <w:r>
        <w:rPr>
          <w:lang w:val="en-US"/>
        </w:rPr>
        <w:t xml:space="preserve">. </w:t>
      </w:r>
      <w:r w:rsidR="008C5638">
        <w:rPr>
          <w:lang w:val="en-US"/>
        </w:rPr>
        <w:t>at</w:t>
      </w:r>
      <w:r w:rsidR="00C709CF">
        <w:rPr>
          <w:lang w:val="en-US"/>
        </w:rPr>
        <w:t xml:space="preserve"> </w:t>
      </w:r>
      <w:r>
        <w:rPr>
          <w:lang w:val="en-US"/>
        </w:rPr>
        <w:t xml:space="preserve">page 12, </w:t>
      </w:r>
      <w:r w:rsidR="008C5638">
        <w:rPr>
          <w:lang w:val="en-US"/>
        </w:rPr>
        <w:t>line</w:t>
      </w:r>
      <w:r w:rsidR="00C709CF">
        <w:rPr>
          <w:lang w:val="en-US"/>
        </w:rPr>
        <w:t>s 10-</w:t>
      </w:r>
      <w:r>
        <w:rPr>
          <w:lang w:val="en-US"/>
        </w:rPr>
        <w:t>ll.</w:t>
      </w:r>
    </w:p>
  </w:footnote>
  <w:footnote w:id="14">
    <w:p w14:paraId="429A8C0B" w14:textId="77777777" w:rsidR="006E617E" w:rsidRPr="00817640" w:rsidRDefault="006E617E" w:rsidP="00EC37CC">
      <w:pPr>
        <w:pStyle w:val="FootnoteText"/>
        <w:rPr>
          <w:lang w:val="en-US"/>
        </w:rPr>
      </w:pPr>
      <w:r>
        <w:rPr>
          <w:rStyle w:val="FootnoteReference"/>
        </w:rPr>
        <w:footnoteRef/>
      </w:r>
      <w:r>
        <w:t xml:space="preserve"> </w:t>
      </w:r>
      <w:r>
        <w:rPr>
          <w:lang w:val="en-US"/>
        </w:rPr>
        <w:t>Avista response to Staff Data Request 63 at 1.</w:t>
      </w:r>
    </w:p>
  </w:footnote>
  <w:footnote w:id="15">
    <w:p w14:paraId="6685DD12" w14:textId="13BB2D9D" w:rsidR="006E617E" w:rsidRPr="009A1321" w:rsidRDefault="006E617E" w:rsidP="00CF7E1A">
      <w:pPr>
        <w:pStyle w:val="FootnoteText"/>
        <w:rPr>
          <w:lang w:val="en-US"/>
        </w:rPr>
      </w:pPr>
      <w:r>
        <w:rPr>
          <w:rStyle w:val="FootnoteReference"/>
        </w:rPr>
        <w:footnoteRef/>
      </w:r>
      <w:r>
        <w:t xml:space="preserve"> </w:t>
      </w:r>
      <w:r w:rsidR="00C709CF" w:rsidRPr="00C709CF">
        <w:rPr>
          <w:i/>
          <w:lang w:val="en-US"/>
        </w:rPr>
        <w:t xml:space="preserve">Wash. Utils. &amp; Transp. Comm’n v. Avista Corp., </w:t>
      </w:r>
      <w:r>
        <w:rPr>
          <w:lang w:val="en-US"/>
        </w:rPr>
        <w:t>D</w:t>
      </w:r>
      <w:r w:rsidR="00C709CF">
        <w:rPr>
          <w:lang w:val="en-US"/>
        </w:rPr>
        <w:t>ocket UE-120436, Exhibit No.__</w:t>
      </w:r>
      <w:r>
        <w:rPr>
          <w:lang w:val="en-US"/>
        </w:rPr>
        <w:t xml:space="preserve">CT </w:t>
      </w:r>
      <w:r w:rsidR="00C709CF">
        <w:rPr>
          <w:lang w:val="en-US"/>
        </w:rPr>
        <w:t>(DN-1CT), at 5:19 through 6:</w:t>
      </w:r>
      <w:r>
        <w:rPr>
          <w:lang w:val="en-US"/>
        </w:rPr>
        <w:t>7.</w:t>
      </w:r>
    </w:p>
  </w:footnote>
  <w:footnote w:id="16">
    <w:p w14:paraId="52CF59F5" w14:textId="0A595040" w:rsidR="006E617E" w:rsidRPr="00B54250" w:rsidRDefault="006E617E" w:rsidP="006571AD">
      <w:pPr>
        <w:pStyle w:val="FootnoteText"/>
        <w:rPr>
          <w:lang w:val="en-US"/>
        </w:rPr>
      </w:pPr>
      <w:r>
        <w:rPr>
          <w:rStyle w:val="FootnoteReference"/>
        </w:rPr>
        <w:footnoteRef/>
      </w:r>
      <w:r>
        <w:t xml:space="preserve"> </w:t>
      </w:r>
      <w:r w:rsidR="00FF30BB">
        <w:rPr>
          <w:i/>
          <w:lang w:val="en-US"/>
        </w:rPr>
        <w:t>Interpretive a</w:t>
      </w:r>
      <w:r w:rsidR="00FF30BB" w:rsidRPr="00E277BC">
        <w:rPr>
          <w:i/>
          <w:lang w:val="en-US"/>
        </w:rPr>
        <w:t>nd Policy Stateme</w:t>
      </w:r>
      <w:r w:rsidR="00FF30BB">
        <w:rPr>
          <w:i/>
          <w:lang w:val="en-US"/>
        </w:rPr>
        <w:t>nt Regarding Energy Policy Act o</w:t>
      </w:r>
      <w:r w:rsidR="00FF30BB" w:rsidRPr="00E277BC">
        <w:rPr>
          <w:i/>
          <w:lang w:val="en-US"/>
        </w:rPr>
        <w:t xml:space="preserve">f 2005 Standards </w:t>
      </w:r>
      <w:r w:rsidR="00FF30BB">
        <w:rPr>
          <w:i/>
          <w:lang w:val="en-US"/>
        </w:rPr>
        <w:t>f</w:t>
      </w:r>
      <w:r w:rsidR="00FF30BB" w:rsidRPr="00E277BC">
        <w:rPr>
          <w:i/>
          <w:lang w:val="en-US"/>
        </w:rPr>
        <w:t>or Net-Metering, Fuel Sources, Fos</w:t>
      </w:r>
      <w:r w:rsidR="00FF30BB">
        <w:rPr>
          <w:i/>
          <w:lang w:val="en-US"/>
        </w:rPr>
        <w:t>sil Fuel Generation Efficiency a</w:t>
      </w:r>
      <w:r w:rsidR="00FF30BB" w:rsidRPr="00E277BC">
        <w:rPr>
          <w:i/>
          <w:lang w:val="en-US"/>
        </w:rPr>
        <w:t>nd Time-Based Metering</w:t>
      </w:r>
      <w:r>
        <w:rPr>
          <w:i/>
          <w:lang w:val="en-US"/>
        </w:rPr>
        <w:t>,</w:t>
      </w:r>
      <w:r w:rsidRPr="0086427C">
        <w:rPr>
          <w:lang w:val="en-US"/>
        </w:rPr>
        <w:t xml:space="preserve"> </w:t>
      </w:r>
      <w:r w:rsidRPr="00A42685">
        <w:rPr>
          <w:lang w:val="en-US"/>
        </w:rPr>
        <w:t>Docket UE-060649</w:t>
      </w:r>
      <w:r w:rsidR="00C709CF">
        <w:rPr>
          <w:lang w:val="en-US"/>
        </w:rPr>
        <w:t xml:space="preserve"> (August 23, 2007) (“</w:t>
      </w:r>
      <w:r>
        <w:rPr>
          <w:lang w:val="en-US"/>
        </w:rPr>
        <w:t>2007 Policy Statement</w:t>
      </w:r>
      <w:r w:rsidR="00C709CF">
        <w:rPr>
          <w:lang w:val="en-US"/>
        </w:rPr>
        <w:t>”)</w:t>
      </w:r>
      <w:r>
        <w:rPr>
          <w:lang w:val="en-US"/>
        </w:rPr>
        <w:t xml:space="preserve">. </w:t>
      </w:r>
    </w:p>
  </w:footnote>
  <w:footnote w:id="17">
    <w:p w14:paraId="77BAE22B" w14:textId="31BF9085" w:rsidR="006E617E" w:rsidRPr="00B54250" w:rsidRDefault="006E617E" w:rsidP="006571AD">
      <w:pPr>
        <w:pStyle w:val="FootnoteText"/>
        <w:rPr>
          <w:lang w:val="en-US"/>
        </w:rPr>
      </w:pPr>
      <w:r>
        <w:rPr>
          <w:rStyle w:val="FootnoteReference"/>
        </w:rPr>
        <w:footnoteRef/>
      </w:r>
      <w:r>
        <w:t xml:space="preserve"> </w:t>
      </w:r>
      <w:r w:rsidRPr="00CE1454">
        <w:rPr>
          <w:lang w:val="en-US"/>
        </w:rPr>
        <w:t>2007 Policy Statement</w:t>
      </w:r>
      <w:r w:rsidR="00C709CF">
        <w:rPr>
          <w:lang w:val="en-US"/>
        </w:rPr>
        <w:t>, at 10-11</w:t>
      </w:r>
      <w:r>
        <w:rPr>
          <w:lang w:val="en-US"/>
        </w:rPr>
        <w:t xml:space="preserve">. </w:t>
      </w:r>
    </w:p>
  </w:footnote>
  <w:footnote w:id="18">
    <w:p w14:paraId="6BF136E6" w14:textId="7BBC5BEB" w:rsidR="006E617E" w:rsidRPr="007456F4" w:rsidRDefault="006E617E" w:rsidP="006571AD">
      <w:pPr>
        <w:pStyle w:val="FootnoteText"/>
        <w:rPr>
          <w:lang w:val="en-US"/>
        </w:rPr>
      </w:pPr>
      <w:r>
        <w:rPr>
          <w:rStyle w:val="FootnoteReference"/>
        </w:rPr>
        <w:footnoteRef/>
      </w:r>
      <w:r>
        <w:t xml:space="preserve"> </w:t>
      </w:r>
      <w:r w:rsidRPr="00B54250">
        <w:rPr>
          <w:i/>
          <w:lang w:val="en-US"/>
        </w:rPr>
        <w:t>Id.</w:t>
      </w:r>
      <w:r>
        <w:rPr>
          <w:lang w:val="en-US"/>
        </w:rPr>
        <w:t xml:space="preserve"> </w:t>
      </w:r>
      <w:r w:rsidR="00C709CF">
        <w:rPr>
          <w:lang w:val="en-US"/>
        </w:rPr>
        <w:t xml:space="preserve">at 10. </w:t>
      </w:r>
    </w:p>
  </w:footnote>
  <w:footnote w:id="19">
    <w:p w14:paraId="7E8D334A" w14:textId="18BA95A7" w:rsidR="006E617E" w:rsidRPr="00A92E91" w:rsidRDefault="006E617E">
      <w:pPr>
        <w:pStyle w:val="FootnoteText"/>
        <w:rPr>
          <w:lang w:val="en-US"/>
        </w:rPr>
      </w:pPr>
      <w:r>
        <w:rPr>
          <w:rStyle w:val="FootnoteReference"/>
        </w:rPr>
        <w:footnoteRef/>
      </w:r>
      <w:r>
        <w:t xml:space="preserve"> </w:t>
      </w:r>
      <w:r w:rsidRPr="00CE1454">
        <w:rPr>
          <w:i/>
          <w:lang w:val="en-US"/>
        </w:rPr>
        <w:t>Id</w:t>
      </w:r>
      <w:r>
        <w:rPr>
          <w:lang w:val="en-US"/>
        </w:rPr>
        <w:t>. at 10-11.</w:t>
      </w:r>
    </w:p>
  </w:footnote>
  <w:footnote w:id="20">
    <w:p w14:paraId="1FD3FEC2" w14:textId="6B6449B2" w:rsidR="006E617E" w:rsidRPr="00B54250" w:rsidRDefault="006E617E" w:rsidP="006571AD">
      <w:pPr>
        <w:pStyle w:val="FootnoteText"/>
        <w:rPr>
          <w:lang w:val="en-US"/>
        </w:rPr>
      </w:pPr>
      <w:r>
        <w:rPr>
          <w:rStyle w:val="FootnoteReference"/>
        </w:rPr>
        <w:footnoteRef/>
      </w:r>
      <w:r>
        <w:t xml:space="preserve"> </w:t>
      </w:r>
      <w:r w:rsidRPr="00B54250">
        <w:rPr>
          <w:i/>
          <w:lang w:val="en-US"/>
        </w:rPr>
        <w:t>Id</w:t>
      </w:r>
      <w:r>
        <w:rPr>
          <w:lang w:val="en-US"/>
        </w:rPr>
        <w:t>. at 10: 31.</w:t>
      </w:r>
    </w:p>
  </w:footnote>
  <w:footnote w:id="21">
    <w:p w14:paraId="22E10CDB" w14:textId="016C3205" w:rsidR="006E617E" w:rsidRPr="00B54250" w:rsidRDefault="006E617E" w:rsidP="006571AD">
      <w:pPr>
        <w:pStyle w:val="FootnoteText"/>
        <w:rPr>
          <w:lang w:val="en-US"/>
        </w:rPr>
      </w:pPr>
      <w:r>
        <w:rPr>
          <w:rStyle w:val="FootnoteReference"/>
        </w:rPr>
        <w:footnoteRef/>
      </w:r>
      <w:r>
        <w:rPr>
          <w:lang w:val="en-US"/>
        </w:rPr>
        <w:t xml:space="preserve"> </w:t>
      </w:r>
      <w:r>
        <w:rPr>
          <w:i/>
          <w:lang w:val="en-US"/>
        </w:rPr>
        <w:t xml:space="preserve">Id. </w:t>
      </w:r>
      <w:r>
        <w:rPr>
          <w:lang w:val="en-US"/>
        </w:rPr>
        <w:t xml:space="preserve">at 12: 35.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C3B3A"/>
    <w:multiLevelType w:val="hybridMultilevel"/>
    <w:tmpl w:val="913EA23C"/>
    <w:lvl w:ilvl="0" w:tplc="6BCE30DE">
      <w:start w:val="1"/>
      <w:numFmt w:val="decimal"/>
      <w:lvlText w:val="%1)"/>
      <w:lvlJc w:val="left"/>
      <w:pPr>
        <w:tabs>
          <w:tab w:val="num" w:pos="1080"/>
        </w:tabs>
        <w:ind w:left="1080" w:hanging="360"/>
      </w:pPr>
      <w:rPr>
        <w:rFonts w:ascii="Times New Roman" w:hAnsi="Times New Roman" w:cs="Times New Roman" w:hint="default"/>
        <w:b w:val="0"/>
        <w:sz w:val="24"/>
        <w:szCs w:val="24"/>
        <w:vertAlign w:val="base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7152BAC"/>
    <w:multiLevelType w:val="hybridMultilevel"/>
    <w:tmpl w:val="792610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B03629"/>
    <w:multiLevelType w:val="hybridMultilevel"/>
    <w:tmpl w:val="F40E4EBC"/>
    <w:lvl w:ilvl="0" w:tplc="29866B76">
      <w:start w:val="1"/>
      <w:numFmt w:val="upperRoman"/>
      <w:lvlText w:val="%1."/>
      <w:lvlJc w:val="righ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8676D"/>
    <w:multiLevelType w:val="hybridMultilevel"/>
    <w:tmpl w:val="F4DAD5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8044AF"/>
    <w:multiLevelType w:val="hybridMultilevel"/>
    <w:tmpl w:val="03D0C2E2"/>
    <w:lvl w:ilvl="0" w:tplc="E92035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F9703C"/>
    <w:multiLevelType w:val="hybridMultilevel"/>
    <w:tmpl w:val="913EA23C"/>
    <w:lvl w:ilvl="0" w:tplc="6BCE30DE">
      <w:start w:val="1"/>
      <w:numFmt w:val="decimal"/>
      <w:lvlText w:val="%1)"/>
      <w:lvlJc w:val="left"/>
      <w:pPr>
        <w:tabs>
          <w:tab w:val="num" w:pos="1080"/>
        </w:tabs>
        <w:ind w:left="1080" w:hanging="360"/>
      </w:pPr>
      <w:rPr>
        <w:rFonts w:ascii="Times New Roman" w:hAnsi="Times New Roman" w:cs="Times New Roman" w:hint="default"/>
        <w:b w:val="0"/>
        <w:sz w:val="24"/>
        <w:szCs w:val="24"/>
        <w:vertAlign w:val="base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58781E"/>
    <w:multiLevelType w:val="hybridMultilevel"/>
    <w:tmpl w:val="0AC6CC3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9056BC"/>
    <w:multiLevelType w:val="hybridMultilevel"/>
    <w:tmpl w:val="7FBE141A"/>
    <w:lvl w:ilvl="0" w:tplc="6BCE30DE">
      <w:start w:val="1"/>
      <w:numFmt w:val="decimal"/>
      <w:lvlText w:val="%1)"/>
      <w:lvlJc w:val="left"/>
      <w:pPr>
        <w:tabs>
          <w:tab w:val="num" w:pos="1080"/>
        </w:tabs>
        <w:ind w:left="1080" w:hanging="360"/>
      </w:pPr>
      <w:rPr>
        <w:rFonts w:ascii="Times New Roman" w:hAnsi="Times New Roman" w:cs="Times New Roman"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4"/>
  </w:num>
  <w:num w:numId="5">
    <w:abstractNumId w:val="1"/>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24161"/>
    <w:rsid w:val="00065821"/>
    <w:rsid w:val="0007530C"/>
    <w:rsid w:val="00090416"/>
    <w:rsid w:val="000915CB"/>
    <w:rsid w:val="00092FE2"/>
    <w:rsid w:val="000C10BF"/>
    <w:rsid w:val="000C6B82"/>
    <w:rsid w:val="000D7F4B"/>
    <w:rsid w:val="000E3F8D"/>
    <w:rsid w:val="00103B1F"/>
    <w:rsid w:val="0010569D"/>
    <w:rsid w:val="001127EE"/>
    <w:rsid w:val="0013085F"/>
    <w:rsid w:val="00143F1E"/>
    <w:rsid w:val="0015026F"/>
    <w:rsid w:val="001566E6"/>
    <w:rsid w:val="00194A71"/>
    <w:rsid w:val="00212569"/>
    <w:rsid w:val="00234FEC"/>
    <w:rsid w:val="00236D23"/>
    <w:rsid w:val="00247C12"/>
    <w:rsid w:val="002520E7"/>
    <w:rsid w:val="00267497"/>
    <w:rsid w:val="00280B1A"/>
    <w:rsid w:val="002D0C74"/>
    <w:rsid w:val="002D5C8B"/>
    <w:rsid w:val="002E3813"/>
    <w:rsid w:val="002E473C"/>
    <w:rsid w:val="00323B9F"/>
    <w:rsid w:val="00324685"/>
    <w:rsid w:val="00366392"/>
    <w:rsid w:val="00372B1D"/>
    <w:rsid w:val="003C175E"/>
    <w:rsid w:val="003D079D"/>
    <w:rsid w:val="003D70FF"/>
    <w:rsid w:val="003E0296"/>
    <w:rsid w:val="003E4E3C"/>
    <w:rsid w:val="003F0E8A"/>
    <w:rsid w:val="003F1961"/>
    <w:rsid w:val="003F31CD"/>
    <w:rsid w:val="003F4589"/>
    <w:rsid w:val="0040577F"/>
    <w:rsid w:val="004228C5"/>
    <w:rsid w:val="00447C0A"/>
    <w:rsid w:val="004539BB"/>
    <w:rsid w:val="00453E9A"/>
    <w:rsid w:val="0046251D"/>
    <w:rsid w:val="00473422"/>
    <w:rsid w:val="00482EAF"/>
    <w:rsid w:val="004A5B1F"/>
    <w:rsid w:val="004C4D45"/>
    <w:rsid w:val="00560E28"/>
    <w:rsid w:val="0056755A"/>
    <w:rsid w:val="005804E9"/>
    <w:rsid w:val="005B40B5"/>
    <w:rsid w:val="005C02C5"/>
    <w:rsid w:val="005D2E52"/>
    <w:rsid w:val="005F372D"/>
    <w:rsid w:val="005F426A"/>
    <w:rsid w:val="00614C57"/>
    <w:rsid w:val="006571AD"/>
    <w:rsid w:val="00666E55"/>
    <w:rsid w:val="00692722"/>
    <w:rsid w:val="006A372B"/>
    <w:rsid w:val="006C024B"/>
    <w:rsid w:val="006C1FF9"/>
    <w:rsid w:val="006D68E7"/>
    <w:rsid w:val="006E617E"/>
    <w:rsid w:val="00703D63"/>
    <w:rsid w:val="0071439F"/>
    <w:rsid w:val="007278AF"/>
    <w:rsid w:val="00742366"/>
    <w:rsid w:val="007521DA"/>
    <w:rsid w:val="00780D78"/>
    <w:rsid w:val="007F5EE7"/>
    <w:rsid w:val="00817640"/>
    <w:rsid w:val="00850065"/>
    <w:rsid w:val="00866BA9"/>
    <w:rsid w:val="008838ED"/>
    <w:rsid w:val="00885A1D"/>
    <w:rsid w:val="008B24E0"/>
    <w:rsid w:val="008C3FE7"/>
    <w:rsid w:val="008C469B"/>
    <w:rsid w:val="008C5638"/>
    <w:rsid w:val="008D5187"/>
    <w:rsid w:val="008E53D8"/>
    <w:rsid w:val="009006A8"/>
    <w:rsid w:val="00913EAA"/>
    <w:rsid w:val="00914A7C"/>
    <w:rsid w:val="009203E9"/>
    <w:rsid w:val="009247C8"/>
    <w:rsid w:val="00930B6A"/>
    <w:rsid w:val="00945882"/>
    <w:rsid w:val="009564E6"/>
    <w:rsid w:val="00964BD7"/>
    <w:rsid w:val="00995BBC"/>
    <w:rsid w:val="009A34B1"/>
    <w:rsid w:val="009B0A77"/>
    <w:rsid w:val="009B2620"/>
    <w:rsid w:val="009C0AB5"/>
    <w:rsid w:val="009D000F"/>
    <w:rsid w:val="009D74B9"/>
    <w:rsid w:val="00A1133C"/>
    <w:rsid w:val="00A274F6"/>
    <w:rsid w:val="00A334CA"/>
    <w:rsid w:val="00A343ED"/>
    <w:rsid w:val="00A4303D"/>
    <w:rsid w:val="00A45AA0"/>
    <w:rsid w:val="00A506B2"/>
    <w:rsid w:val="00A676D1"/>
    <w:rsid w:val="00A92E91"/>
    <w:rsid w:val="00A96612"/>
    <w:rsid w:val="00AB106C"/>
    <w:rsid w:val="00AC45BC"/>
    <w:rsid w:val="00AE36A9"/>
    <w:rsid w:val="00AE6103"/>
    <w:rsid w:val="00B04024"/>
    <w:rsid w:val="00B24F1B"/>
    <w:rsid w:val="00B3329D"/>
    <w:rsid w:val="00B6021E"/>
    <w:rsid w:val="00B6236A"/>
    <w:rsid w:val="00B767EA"/>
    <w:rsid w:val="00B814E2"/>
    <w:rsid w:val="00B82914"/>
    <w:rsid w:val="00B85E11"/>
    <w:rsid w:val="00BA6048"/>
    <w:rsid w:val="00BF04CB"/>
    <w:rsid w:val="00BF257F"/>
    <w:rsid w:val="00BF5BBE"/>
    <w:rsid w:val="00C00D0A"/>
    <w:rsid w:val="00C0665B"/>
    <w:rsid w:val="00C07C37"/>
    <w:rsid w:val="00C33438"/>
    <w:rsid w:val="00C709CF"/>
    <w:rsid w:val="00C84F76"/>
    <w:rsid w:val="00C868BD"/>
    <w:rsid w:val="00CB09A7"/>
    <w:rsid w:val="00CB09BC"/>
    <w:rsid w:val="00CD1C24"/>
    <w:rsid w:val="00CE1454"/>
    <w:rsid w:val="00CF7E1A"/>
    <w:rsid w:val="00D23B12"/>
    <w:rsid w:val="00D31CB6"/>
    <w:rsid w:val="00D53FCA"/>
    <w:rsid w:val="00D66E94"/>
    <w:rsid w:val="00D907BE"/>
    <w:rsid w:val="00DD5695"/>
    <w:rsid w:val="00DE4AF3"/>
    <w:rsid w:val="00E16A68"/>
    <w:rsid w:val="00E32C40"/>
    <w:rsid w:val="00E50BE2"/>
    <w:rsid w:val="00E53569"/>
    <w:rsid w:val="00E56887"/>
    <w:rsid w:val="00E71189"/>
    <w:rsid w:val="00E766F2"/>
    <w:rsid w:val="00EC37CC"/>
    <w:rsid w:val="00EC3A5B"/>
    <w:rsid w:val="00EF3099"/>
    <w:rsid w:val="00EF3192"/>
    <w:rsid w:val="00EF62EF"/>
    <w:rsid w:val="00F00F2F"/>
    <w:rsid w:val="00F031C0"/>
    <w:rsid w:val="00F33AE7"/>
    <w:rsid w:val="00F72E5D"/>
    <w:rsid w:val="00FA200F"/>
    <w:rsid w:val="00FD5BCD"/>
    <w:rsid w:val="00FD74A0"/>
    <w:rsid w:val="00FE2A88"/>
    <w:rsid w:val="00FE7708"/>
    <w:rsid w:val="00FF2477"/>
    <w:rsid w:val="00FF30BB"/>
    <w:rsid w:val="00FF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14:docId w14:val="4D7A3809"/>
  <w15:docId w15:val="{F4CA5AA0-0E58-4AD8-90AC-8C9405F5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99"/>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rsid w:val="00A506B2"/>
    <w:rPr>
      <w:rFonts w:eastAsia="Calibri"/>
      <w:sz w:val="20"/>
      <w:szCs w:val="20"/>
      <w:lang w:val="x-none" w:eastAsia="x-none"/>
    </w:rPr>
  </w:style>
  <w:style w:type="character" w:customStyle="1" w:styleId="FootnoteTextChar">
    <w:name w:val="Footnote Text Char"/>
    <w:basedOn w:val="DefaultParagraphFont"/>
    <w:link w:val="FootnoteText"/>
    <w:uiPriority w:val="99"/>
    <w:rsid w:val="00A506B2"/>
    <w:rPr>
      <w:rFonts w:eastAsia="Calibri"/>
      <w:sz w:val="20"/>
      <w:szCs w:val="20"/>
      <w:lang w:val="x-none" w:eastAsia="x-none"/>
    </w:rPr>
  </w:style>
  <w:style w:type="character" w:styleId="FootnoteReference">
    <w:name w:val="footnote reference"/>
    <w:uiPriority w:val="99"/>
    <w:rsid w:val="00A506B2"/>
    <w:rPr>
      <w:rFonts w:cs="Times New Roman"/>
      <w:vertAlign w:val="superscript"/>
    </w:rPr>
  </w:style>
  <w:style w:type="character" w:styleId="CommentReference">
    <w:name w:val="annotation reference"/>
    <w:uiPriority w:val="99"/>
    <w:semiHidden/>
    <w:rsid w:val="00A506B2"/>
    <w:rPr>
      <w:rFonts w:cs="Times New Roman"/>
      <w:sz w:val="16"/>
      <w:szCs w:val="16"/>
    </w:rPr>
  </w:style>
  <w:style w:type="paragraph" w:styleId="CommentText">
    <w:name w:val="annotation text"/>
    <w:basedOn w:val="Normal"/>
    <w:link w:val="CommentTextChar"/>
    <w:uiPriority w:val="99"/>
    <w:semiHidden/>
    <w:rsid w:val="00A506B2"/>
    <w:pPr>
      <w:spacing w:after="200"/>
    </w:pPr>
    <w:rPr>
      <w:rFonts w:ascii="Calibri" w:eastAsia="Calibri" w:hAnsi="Calibri"/>
      <w:sz w:val="20"/>
      <w:szCs w:val="20"/>
      <w:lang w:val="x-none" w:eastAsia="x-none"/>
    </w:rPr>
  </w:style>
  <w:style w:type="character" w:customStyle="1" w:styleId="CommentTextChar">
    <w:name w:val="Comment Text Char"/>
    <w:basedOn w:val="DefaultParagraphFont"/>
    <w:link w:val="CommentText"/>
    <w:uiPriority w:val="99"/>
    <w:semiHidden/>
    <w:rsid w:val="00A506B2"/>
    <w:rPr>
      <w:rFonts w:ascii="Calibri" w:eastAsia="Calibri" w:hAnsi="Calibri"/>
      <w:sz w:val="20"/>
      <w:szCs w:val="20"/>
      <w:lang w:val="x-none" w:eastAsia="x-none"/>
    </w:rPr>
  </w:style>
  <w:style w:type="paragraph" w:styleId="BalloonText">
    <w:name w:val="Balloon Text"/>
    <w:basedOn w:val="Normal"/>
    <w:link w:val="BalloonTextChar"/>
    <w:uiPriority w:val="99"/>
    <w:semiHidden/>
    <w:unhideWhenUsed/>
    <w:rsid w:val="00A50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6B2"/>
    <w:rPr>
      <w:rFonts w:ascii="Segoe UI" w:hAnsi="Segoe UI" w:cs="Segoe UI"/>
      <w:sz w:val="18"/>
      <w:szCs w:val="18"/>
    </w:rPr>
  </w:style>
  <w:style w:type="paragraph" w:styleId="BodyText">
    <w:name w:val="Body Text"/>
    <w:basedOn w:val="Normal"/>
    <w:link w:val="BodyTextChar"/>
    <w:uiPriority w:val="99"/>
    <w:rsid w:val="000C10BF"/>
    <w:pPr>
      <w:spacing w:after="220" w:line="180" w:lineRule="atLeast"/>
      <w:ind w:left="835"/>
      <w:jc w:val="both"/>
    </w:pPr>
    <w:rPr>
      <w:rFonts w:ascii="Arial" w:eastAsia="Calibri" w:hAnsi="Arial"/>
      <w:spacing w:val="-5"/>
      <w:szCs w:val="20"/>
      <w:lang w:val="x-none" w:eastAsia="x-none"/>
    </w:rPr>
  </w:style>
  <w:style w:type="character" w:customStyle="1" w:styleId="BodyTextChar">
    <w:name w:val="Body Text Char"/>
    <w:basedOn w:val="DefaultParagraphFont"/>
    <w:link w:val="BodyText"/>
    <w:uiPriority w:val="99"/>
    <w:rsid w:val="000C10BF"/>
    <w:rPr>
      <w:rFonts w:ascii="Arial" w:eastAsia="Calibri" w:hAnsi="Arial"/>
      <w:spacing w:val="-5"/>
      <w:szCs w:val="20"/>
      <w:lang w:val="x-none" w:eastAsia="x-none"/>
    </w:rPr>
  </w:style>
  <w:style w:type="paragraph" w:styleId="CommentSubject">
    <w:name w:val="annotation subject"/>
    <w:basedOn w:val="CommentText"/>
    <w:next w:val="CommentText"/>
    <w:link w:val="CommentSubjectChar"/>
    <w:uiPriority w:val="99"/>
    <w:semiHidden/>
    <w:unhideWhenUsed/>
    <w:rsid w:val="00DE4AF3"/>
    <w:pPr>
      <w:spacing w:after="0"/>
    </w:pPr>
    <w:rPr>
      <w:rFonts w:ascii="Times New Roman" w:eastAsiaTheme="minorHAnsi" w:hAnsi="Times New Roman"/>
      <w:b/>
      <w:bCs/>
      <w:lang w:val="en-US" w:eastAsia="en-US"/>
    </w:rPr>
  </w:style>
  <w:style w:type="character" w:customStyle="1" w:styleId="CommentSubjectChar">
    <w:name w:val="Comment Subject Char"/>
    <w:basedOn w:val="CommentTextChar"/>
    <w:link w:val="CommentSubject"/>
    <w:uiPriority w:val="99"/>
    <w:semiHidden/>
    <w:rsid w:val="00DE4AF3"/>
    <w:rPr>
      <w:rFonts w:ascii="Calibri" w:eastAsia="Calibri" w:hAnsi="Calibri"/>
      <w:b/>
      <w:bCs/>
      <w:sz w:val="20"/>
      <w:szCs w:val="20"/>
      <w:lang w:val="x-none" w:eastAsia="x-none"/>
    </w:rPr>
  </w:style>
  <w:style w:type="paragraph" w:styleId="Revision">
    <w:name w:val="Revision"/>
    <w:hidden/>
    <w:uiPriority w:val="99"/>
    <w:semiHidden/>
    <w:rsid w:val="00FE2A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6803">
      <w:bodyDiv w:val="1"/>
      <w:marLeft w:val="0"/>
      <w:marRight w:val="0"/>
      <w:marTop w:val="0"/>
      <w:marBottom w:val="0"/>
      <w:divBdr>
        <w:top w:val="none" w:sz="0" w:space="0" w:color="auto"/>
        <w:left w:val="none" w:sz="0" w:space="0" w:color="auto"/>
        <w:bottom w:val="none" w:sz="0" w:space="0" w:color="auto"/>
        <w:right w:val="none" w:sz="0" w:space="0" w:color="auto"/>
      </w:divBdr>
    </w:div>
    <w:div w:id="452290691">
      <w:bodyDiv w:val="1"/>
      <w:marLeft w:val="0"/>
      <w:marRight w:val="0"/>
      <w:marTop w:val="0"/>
      <w:marBottom w:val="0"/>
      <w:divBdr>
        <w:top w:val="none" w:sz="0" w:space="0" w:color="auto"/>
        <w:left w:val="none" w:sz="0" w:space="0" w:color="auto"/>
        <w:bottom w:val="none" w:sz="0" w:space="0" w:color="auto"/>
        <w:right w:val="none" w:sz="0" w:space="0" w:color="auto"/>
      </w:divBdr>
    </w:div>
    <w:div w:id="155242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2015-07-27T22:46:50+00:00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E0C32-2831-442B-83B0-BC1061B82708}"/>
</file>

<file path=customXml/itemProps2.xml><?xml version="1.0" encoding="utf-8"?>
<ds:datastoreItem xmlns:ds="http://schemas.openxmlformats.org/officeDocument/2006/customXml" ds:itemID="{414B1EC4-0B0F-4B6A-9345-7F876FD1F152}"/>
</file>

<file path=customXml/itemProps3.xml><?xml version="1.0" encoding="utf-8"?>
<ds:datastoreItem xmlns:ds="http://schemas.openxmlformats.org/officeDocument/2006/customXml" ds:itemID="{6D128EC3-A66F-4CD9-8870-C86A756ABDC5}"/>
</file>

<file path=customXml/itemProps4.xml><?xml version="1.0" encoding="utf-8"?>
<ds:datastoreItem xmlns:ds="http://schemas.openxmlformats.org/officeDocument/2006/customXml" ds:itemID="{7C031464-931E-4371-85B0-1A102C5F234A}"/>
</file>

<file path=customXml/itemProps5.xml><?xml version="1.0" encoding="utf-8"?>
<ds:datastoreItem xmlns:ds="http://schemas.openxmlformats.org/officeDocument/2006/customXml" ds:itemID="{E4270E38-3FE8-4581-8B75-B8D4559D1AFF}"/>
</file>

<file path=docProps/app.xml><?xml version="1.0" encoding="utf-8"?>
<Properties xmlns="http://schemas.openxmlformats.org/officeDocument/2006/extended-properties" xmlns:vt="http://schemas.openxmlformats.org/officeDocument/2006/docPropsVTypes">
  <Template>Normal.dotm</Template>
  <TotalTime>1417</TotalTime>
  <Pages>18</Pages>
  <Words>3444</Words>
  <Characters>19634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Nightingale, David (UTC)</dc:creator>
  <cp:keywords/>
  <dc:description/>
  <cp:lastModifiedBy>Gross, Krista (UTC)</cp:lastModifiedBy>
  <cp:revision>54</cp:revision>
  <cp:lastPrinted>2015-07-21T07:13:00Z</cp:lastPrinted>
  <dcterms:created xsi:type="dcterms:W3CDTF">2015-07-20T21:55:00Z</dcterms:created>
  <dcterms:modified xsi:type="dcterms:W3CDTF">2015-07-24T23:50:00Z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