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5BE2A" w14:textId="0B37B6F4" w:rsidR="009A1B55" w:rsidRPr="00B814E2" w:rsidRDefault="009A1B55" w:rsidP="009A1B55">
      <w:pPr>
        <w:ind w:left="5400"/>
        <w:rPr>
          <w:b/>
        </w:rPr>
      </w:pPr>
      <w:r w:rsidRPr="00B814E2">
        <w:rPr>
          <w:b/>
        </w:rPr>
        <w:t xml:space="preserve">Exhibit No. </w:t>
      </w:r>
      <w:r w:rsidR="00E53DA0">
        <w:rPr>
          <w:b/>
        </w:rPr>
        <w:t>___ (</w:t>
      </w:r>
      <w:r>
        <w:rPr>
          <w:b/>
        </w:rPr>
        <w:t>BTC</w:t>
      </w:r>
      <w:r w:rsidRPr="00B814E2">
        <w:rPr>
          <w:b/>
        </w:rPr>
        <w:t>-</w:t>
      </w:r>
      <w:r>
        <w:rPr>
          <w:b/>
        </w:rPr>
        <w:t>1</w:t>
      </w:r>
      <w:r w:rsidR="00C91E10">
        <w:rPr>
          <w:b/>
        </w:rPr>
        <w:t>T</w:t>
      </w:r>
      <w:r w:rsidR="00E53DA0">
        <w:rPr>
          <w:b/>
        </w:rPr>
        <w:t>)</w:t>
      </w:r>
    </w:p>
    <w:p w14:paraId="0395BE2B" w14:textId="77777777" w:rsidR="009A1B55" w:rsidRPr="00B814E2" w:rsidRDefault="009A1B55" w:rsidP="009A1B55">
      <w:pPr>
        <w:ind w:left="5400"/>
        <w:rPr>
          <w:b/>
        </w:rPr>
      </w:pPr>
      <w:r>
        <w:rPr>
          <w:b/>
        </w:rPr>
        <w:t>Dockets UE-150204/UG-150205</w:t>
      </w:r>
    </w:p>
    <w:p w14:paraId="0395BE2C" w14:textId="77777777" w:rsidR="009A1B55" w:rsidRPr="00B814E2" w:rsidRDefault="009A1B55" w:rsidP="009A1B55">
      <w:pPr>
        <w:ind w:left="5400"/>
        <w:rPr>
          <w:b/>
        </w:rPr>
      </w:pPr>
      <w:r>
        <w:rPr>
          <w:b/>
        </w:rPr>
        <w:t>Witness:  Bradley Cebulko</w:t>
      </w:r>
      <w:r w:rsidRPr="00B814E2">
        <w:rPr>
          <w:b/>
        </w:rPr>
        <w:t xml:space="preserve"> </w:t>
      </w:r>
    </w:p>
    <w:p w14:paraId="0395BE2D" w14:textId="77777777" w:rsidR="009A1B55" w:rsidRPr="00B814E2" w:rsidRDefault="009A1B55" w:rsidP="009A1B55">
      <w:pPr>
        <w:rPr>
          <w:b/>
        </w:rPr>
      </w:pPr>
    </w:p>
    <w:p w14:paraId="0395BE2E" w14:textId="77777777" w:rsidR="009A1B55" w:rsidRPr="00B814E2" w:rsidRDefault="009A1B55" w:rsidP="009A1B55">
      <w:pPr>
        <w:rPr>
          <w:b/>
        </w:rPr>
      </w:pPr>
    </w:p>
    <w:p w14:paraId="19E702A8" w14:textId="77777777" w:rsidR="00E53DA0" w:rsidRDefault="009A1B55" w:rsidP="009A1B55">
      <w:pPr>
        <w:ind w:left="-360" w:right="-252"/>
        <w:jc w:val="center"/>
        <w:rPr>
          <w:b/>
        </w:rPr>
      </w:pPr>
      <w:r w:rsidRPr="00B814E2">
        <w:rPr>
          <w:b/>
        </w:rPr>
        <w:t xml:space="preserve">BEFORE THE WASHINGTON </w:t>
      </w:r>
    </w:p>
    <w:p w14:paraId="0395BE2F" w14:textId="4E5DB255" w:rsidR="009A1B55" w:rsidRPr="00B814E2" w:rsidRDefault="009A1B55" w:rsidP="009A1B55">
      <w:pPr>
        <w:ind w:left="-360" w:right="-252"/>
        <w:jc w:val="center"/>
        <w:rPr>
          <w:b/>
        </w:rPr>
      </w:pPr>
      <w:r w:rsidRPr="00B814E2">
        <w:rPr>
          <w:b/>
        </w:rPr>
        <w:t>UTILITIES AND TRANSPORTATION COMMISSION</w:t>
      </w:r>
    </w:p>
    <w:p w14:paraId="0395BE30" w14:textId="77777777" w:rsidR="009A1B55" w:rsidRPr="00B814E2" w:rsidRDefault="009A1B55" w:rsidP="009A1B55">
      <w:pPr>
        <w:rPr>
          <w:b/>
        </w:rPr>
      </w:pPr>
    </w:p>
    <w:p w14:paraId="0395BE31" w14:textId="77777777" w:rsidR="009A1B55" w:rsidRDefault="009A1B55" w:rsidP="009A1B55">
      <w:pPr>
        <w:tabs>
          <w:tab w:val="center" w:pos="4680"/>
        </w:tabs>
        <w:ind w:right="-252" w:hanging="360"/>
        <w:rPr>
          <w:b/>
          <w:bCs/>
        </w:rPr>
      </w:pPr>
    </w:p>
    <w:p w14:paraId="0395BE32" w14:textId="77777777" w:rsidR="009A1B55" w:rsidRPr="00622D28" w:rsidRDefault="009A1B55" w:rsidP="009A1B55">
      <w:pPr>
        <w:tabs>
          <w:tab w:val="center" w:pos="4680"/>
        </w:tabs>
        <w:jc w:val="center"/>
        <w:rPr>
          <w:b/>
        </w:rPr>
      </w:pPr>
    </w:p>
    <w:tbl>
      <w:tblPr>
        <w:tblW w:w="9180" w:type="dxa"/>
        <w:tblLayout w:type="fixed"/>
        <w:tblCellMar>
          <w:left w:w="124" w:type="dxa"/>
          <w:right w:w="124" w:type="dxa"/>
        </w:tblCellMar>
        <w:tblLook w:val="0000" w:firstRow="0" w:lastRow="0" w:firstColumn="0" w:lastColumn="0" w:noHBand="0" w:noVBand="0"/>
      </w:tblPr>
      <w:tblGrid>
        <w:gridCol w:w="4590"/>
        <w:gridCol w:w="4590"/>
      </w:tblGrid>
      <w:tr w:rsidR="009A1B55" w:rsidRPr="00622D28" w14:paraId="0395BE42" w14:textId="77777777" w:rsidTr="0093090A">
        <w:tc>
          <w:tcPr>
            <w:tcW w:w="4590" w:type="dxa"/>
            <w:tcBorders>
              <w:top w:val="single" w:sz="6" w:space="0" w:color="FFFFFF"/>
              <w:left w:val="single" w:sz="6" w:space="0" w:color="FFFFFF"/>
              <w:bottom w:val="single" w:sz="7" w:space="0" w:color="000000"/>
              <w:right w:val="single" w:sz="6" w:space="0" w:color="FFFFFF"/>
            </w:tcBorders>
          </w:tcPr>
          <w:p w14:paraId="0395BE33" w14:textId="77777777" w:rsidR="009A1B55" w:rsidRPr="00617709" w:rsidRDefault="009A1B55" w:rsidP="0093090A">
            <w:pPr>
              <w:spacing w:line="264" w:lineRule="auto"/>
              <w:rPr>
                <w:b/>
              </w:rPr>
            </w:pPr>
            <w:r w:rsidRPr="00617709">
              <w:rPr>
                <w:b/>
              </w:rPr>
              <w:t>WASHINGTON UTILITIES AND TRANSPORTATION COMMISSION,</w:t>
            </w:r>
          </w:p>
          <w:p w14:paraId="0395BE34" w14:textId="77777777" w:rsidR="009A1B55" w:rsidRPr="00617709" w:rsidRDefault="009A1B55" w:rsidP="0093090A">
            <w:pPr>
              <w:spacing w:line="264" w:lineRule="auto"/>
              <w:rPr>
                <w:b/>
              </w:rPr>
            </w:pPr>
          </w:p>
          <w:p w14:paraId="0395BE35" w14:textId="77777777" w:rsidR="009A1B55" w:rsidRPr="00617709" w:rsidRDefault="009A1B55" w:rsidP="0093090A">
            <w:pPr>
              <w:tabs>
                <w:tab w:val="left" w:pos="1800"/>
              </w:tabs>
              <w:spacing w:line="264" w:lineRule="auto"/>
              <w:rPr>
                <w:b/>
              </w:rPr>
            </w:pPr>
            <w:r w:rsidRPr="00617709">
              <w:rPr>
                <w:b/>
              </w:rPr>
              <w:tab/>
              <w:t>Complainant,</w:t>
            </w:r>
          </w:p>
          <w:p w14:paraId="0395BE36" w14:textId="77777777" w:rsidR="009A1B55" w:rsidRPr="00617709" w:rsidRDefault="009A1B55" w:rsidP="0093090A">
            <w:pPr>
              <w:spacing w:line="264" w:lineRule="auto"/>
              <w:rPr>
                <w:b/>
              </w:rPr>
            </w:pPr>
          </w:p>
          <w:p w14:paraId="0395BE37" w14:textId="77777777" w:rsidR="009A1B55" w:rsidRPr="00617709" w:rsidRDefault="009A1B55" w:rsidP="0093090A">
            <w:pPr>
              <w:spacing w:line="264" w:lineRule="auto"/>
              <w:rPr>
                <w:b/>
              </w:rPr>
            </w:pPr>
            <w:r w:rsidRPr="00617709">
              <w:rPr>
                <w:b/>
              </w:rPr>
              <w:t>V.</w:t>
            </w:r>
          </w:p>
          <w:p w14:paraId="0395BE38" w14:textId="77777777" w:rsidR="009A1B55" w:rsidRPr="00617709" w:rsidRDefault="009A1B55" w:rsidP="0093090A">
            <w:pPr>
              <w:spacing w:line="264" w:lineRule="auto"/>
              <w:jc w:val="center"/>
              <w:rPr>
                <w:b/>
              </w:rPr>
            </w:pPr>
          </w:p>
          <w:p w14:paraId="0395BE39" w14:textId="3A2D3E26" w:rsidR="009A1B55" w:rsidRPr="00617709" w:rsidRDefault="009A1B55" w:rsidP="0093090A">
            <w:pPr>
              <w:spacing w:line="264" w:lineRule="auto"/>
              <w:rPr>
                <w:b/>
              </w:rPr>
            </w:pPr>
            <w:r w:rsidRPr="00617709">
              <w:rPr>
                <w:b/>
              </w:rPr>
              <w:t>AVISTA CORPORATION</w:t>
            </w:r>
            <w:r w:rsidR="00E53DA0">
              <w:rPr>
                <w:b/>
              </w:rPr>
              <w:t xml:space="preserve"> dba AVISTA UTILITIES</w:t>
            </w:r>
            <w:bookmarkStart w:id="0" w:name="_GoBack"/>
            <w:bookmarkEnd w:id="0"/>
            <w:r w:rsidRPr="00617709">
              <w:rPr>
                <w:b/>
              </w:rPr>
              <w:t xml:space="preserve">, </w:t>
            </w:r>
          </w:p>
          <w:p w14:paraId="0395BE3A" w14:textId="77777777" w:rsidR="009A1B55" w:rsidRPr="00617709" w:rsidRDefault="009A1B55" w:rsidP="0093090A">
            <w:pPr>
              <w:spacing w:line="264" w:lineRule="auto"/>
              <w:jc w:val="center"/>
              <w:rPr>
                <w:b/>
              </w:rPr>
            </w:pPr>
          </w:p>
          <w:p w14:paraId="0395BE3B" w14:textId="77777777" w:rsidR="009A1B55" w:rsidRPr="00617709" w:rsidRDefault="009A1B55" w:rsidP="0093090A">
            <w:pPr>
              <w:tabs>
                <w:tab w:val="left" w:pos="1800"/>
              </w:tabs>
              <w:spacing w:line="264" w:lineRule="auto"/>
              <w:rPr>
                <w:b/>
              </w:rPr>
            </w:pPr>
            <w:r w:rsidRPr="00617709">
              <w:rPr>
                <w:b/>
              </w:rPr>
              <w:tab/>
              <w:t>Respondent.</w:t>
            </w:r>
          </w:p>
          <w:p w14:paraId="0395BE3C" w14:textId="77777777" w:rsidR="009A1B55" w:rsidRPr="00617709" w:rsidRDefault="009A1B55" w:rsidP="0093090A">
            <w:pPr>
              <w:tabs>
                <w:tab w:val="center" w:pos="4680"/>
              </w:tabs>
              <w:jc w:val="center"/>
              <w:rPr>
                <w:b/>
                <w:bCs/>
              </w:rPr>
            </w:pPr>
          </w:p>
        </w:tc>
        <w:tc>
          <w:tcPr>
            <w:tcW w:w="4590" w:type="dxa"/>
            <w:tcBorders>
              <w:top w:val="single" w:sz="6" w:space="0" w:color="FFFFFF"/>
              <w:left w:val="single" w:sz="7" w:space="0" w:color="000000"/>
              <w:bottom w:val="single" w:sz="6" w:space="0" w:color="FFFFFF"/>
              <w:right w:val="single" w:sz="6" w:space="0" w:color="FFFFFF"/>
            </w:tcBorders>
          </w:tcPr>
          <w:p w14:paraId="0395BE3D" w14:textId="77777777" w:rsidR="009A1B55" w:rsidRPr="004F7B3B" w:rsidRDefault="009A1B55" w:rsidP="0093090A">
            <w:pPr>
              <w:spacing w:line="264" w:lineRule="auto"/>
              <w:ind w:left="450"/>
              <w:rPr>
                <w:b/>
              </w:rPr>
            </w:pPr>
            <w:r w:rsidRPr="004F7B3B">
              <w:rPr>
                <w:b/>
              </w:rPr>
              <w:t>DOCKETS UE-1</w:t>
            </w:r>
            <w:r>
              <w:rPr>
                <w:b/>
              </w:rPr>
              <w:t>50204</w:t>
            </w:r>
            <w:r w:rsidRPr="004F7B3B">
              <w:rPr>
                <w:b/>
              </w:rPr>
              <w:t xml:space="preserve"> and </w:t>
            </w:r>
          </w:p>
          <w:p w14:paraId="0395BE3E" w14:textId="77777777" w:rsidR="009A1B55" w:rsidRDefault="009A1B55" w:rsidP="0093090A">
            <w:pPr>
              <w:spacing w:line="264" w:lineRule="auto"/>
              <w:ind w:left="450"/>
              <w:rPr>
                <w:b/>
              </w:rPr>
            </w:pPr>
            <w:r>
              <w:rPr>
                <w:b/>
              </w:rPr>
              <w:t>UG-150205</w:t>
            </w:r>
            <w:r w:rsidRPr="004F7B3B">
              <w:rPr>
                <w:b/>
              </w:rPr>
              <w:t xml:space="preserve"> </w:t>
            </w:r>
          </w:p>
          <w:p w14:paraId="0395BE3F" w14:textId="77777777" w:rsidR="009A1B55" w:rsidRPr="004F7B3B" w:rsidRDefault="009A1B55" w:rsidP="0093090A">
            <w:pPr>
              <w:spacing w:line="264" w:lineRule="auto"/>
              <w:ind w:left="450"/>
              <w:rPr>
                <w:b/>
              </w:rPr>
            </w:pPr>
            <w:r w:rsidRPr="004F7B3B">
              <w:rPr>
                <w:b/>
                <w:i/>
              </w:rPr>
              <w:t>(Consolidated)</w:t>
            </w:r>
          </w:p>
          <w:p w14:paraId="0395BE40" w14:textId="77777777" w:rsidR="009A1B55" w:rsidRPr="00622D28" w:rsidRDefault="009A1B55" w:rsidP="0093090A">
            <w:pPr>
              <w:tabs>
                <w:tab w:val="center" w:pos="4680"/>
              </w:tabs>
              <w:rPr>
                <w:b/>
              </w:rPr>
            </w:pPr>
          </w:p>
          <w:p w14:paraId="0395BE41" w14:textId="77777777" w:rsidR="009A1B55" w:rsidRPr="00622D28" w:rsidRDefault="009A1B55" w:rsidP="0093090A">
            <w:pPr>
              <w:tabs>
                <w:tab w:val="center" w:pos="4680"/>
              </w:tabs>
              <w:jc w:val="center"/>
              <w:rPr>
                <w:b/>
              </w:rPr>
            </w:pPr>
          </w:p>
        </w:tc>
      </w:tr>
    </w:tbl>
    <w:p w14:paraId="0395BE43" w14:textId="77777777" w:rsidR="009A1B55" w:rsidRPr="00622D28" w:rsidRDefault="009A1B55" w:rsidP="009A1B55">
      <w:pPr>
        <w:tabs>
          <w:tab w:val="center" w:pos="4680"/>
        </w:tabs>
        <w:jc w:val="center"/>
        <w:rPr>
          <w:b/>
          <w:bCs/>
        </w:rPr>
      </w:pPr>
    </w:p>
    <w:p w14:paraId="0395BE44" w14:textId="77777777" w:rsidR="009A1B55" w:rsidRDefault="009A1B55" w:rsidP="009A1B55">
      <w:pPr>
        <w:rPr>
          <w:b/>
          <w:bCs/>
        </w:rPr>
      </w:pPr>
    </w:p>
    <w:p w14:paraId="0395BE45" w14:textId="77777777" w:rsidR="009A1B55" w:rsidRDefault="009A1B55" w:rsidP="009A1B55">
      <w:pPr>
        <w:rPr>
          <w:b/>
          <w:bCs/>
        </w:rPr>
      </w:pPr>
    </w:p>
    <w:p w14:paraId="0395BE46" w14:textId="77777777" w:rsidR="009A1B55" w:rsidRDefault="009A1B55" w:rsidP="009A1B55">
      <w:pPr>
        <w:tabs>
          <w:tab w:val="center" w:pos="4680"/>
        </w:tabs>
        <w:jc w:val="center"/>
        <w:rPr>
          <w:b/>
          <w:bCs/>
        </w:rPr>
      </w:pPr>
      <w:r>
        <w:rPr>
          <w:b/>
          <w:bCs/>
        </w:rPr>
        <w:t>TESTIMONY OF</w:t>
      </w:r>
    </w:p>
    <w:p w14:paraId="0395BE47" w14:textId="77777777" w:rsidR="009A1B55" w:rsidRDefault="009A1B55" w:rsidP="009A1B55">
      <w:pPr>
        <w:jc w:val="center"/>
        <w:rPr>
          <w:b/>
          <w:bCs/>
        </w:rPr>
      </w:pPr>
    </w:p>
    <w:p w14:paraId="0395BE48" w14:textId="77777777" w:rsidR="009A1B55" w:rsidRDefault="009A1B55" w:rsidP="009A1B55">
      <w:pPr>
        <w:tabs>
          <w:tab w:val="center" w:pos="4680"/>
        </w:tabs>
        <w:jc w:val="center"/>
        <w:rPr>
          <w:b/>
          <w:bCs/>
        </w:rPr>
      </w:pPr>
      <w:r>
        <w:rPr>
          <w:b/>
          <w:bCs/>
        </w:rPr>
        <w:t>BRADLEY T. CEBULKO</w:t>
      </w:r>
    </w:p>
    <w:p w14:paraId="0395BE49" w14:textId="77777777" w:rsidR="009A1B55" w:rsidRDefault="009A1B55" w:rsidP="009A1B55">
      <w:pPr>
        <w:tabs>
          <w:tab w:val="center" w:pos="4680"/>
        </w:tabs>
        <w:jc w:val="center"/>
        <w:rPr>
          <w:b/>
          <w:bCs/>
        </w:rPr>
      </w:pPr>
    </w:p>
    <w:p w14:paraId="0395BE4A" w14:textId="77777777" w:rsidR="009A1B55" w:rsidRDefault="009A1B55" w:rsidP="009A1B55">
      <w:pPr>
        <w:tabs>
          <w:tab w:val="center" w:pos="4680"/>
        </w:tabs>
        <w:jc w:val="center"/>
        <w:rPr>
          <w:b/>
          <w:bCs/>
        </w:rPr>
      </w:pPr>
      <w:r>
        <w:rPr>
          <w:b/>
          <w:bCs/>
        </w:rPr>
        <w:t>STAFF OF</w:t>
      </w:r>
    </w:p>
    <w:p w14:paraId="0395BE4B" w14:textId="77777777" w:rsidR="009A1B55" w:rsidRDefault="009A1B55" w:rsidP="009A1B55">
      <w:pPr>
        <w:tabs>
          <w:tab w:val="center" w:pos="4680"/>
        </w:tabs>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14:paraId="0395BE4C" w14:textId="77777777" w:rsidR="009A1B55" w:rsidRDefault="009A1B55" w:rsidP="009A1B55">
      <w:pPr>
        <w:tabs>
          <w:tab w:val="center" w:pos="4680"/>
        </w:tabs>
        <w:jc w:val="center"/>
        <w:rPr>
          <w:b/>
          <w:bCs/>
        </w:rPr>
      </w:pPr>
      <w:r>
        <w:rPr>
          <w:b/>
          <w:bCs/>
        </w:rPr>
        <w:t>TRANSPORTATION COMMISSION</w:t>
      </w:r>
    </w:p>
    <w:p w14:paraId="0395BE4D" w14:textId="77777777" w:rsidR="009A1B55" w:rsidRDefault="009A1B55" w:rsidP="009A1B55">
      <w:pPr>
        <w:jc w:val="center"/>
        <w:rPr>
          <w:b/>
          <w:bCs/>
        </w:rPr>
      </w:pPr>
    </w:p>
    <w:p w14:paraId="0395BE4E" w14:textId="77777777" w:rsidR="009A1B55" w:rsidRDefault="009A1B55" w:rsidP="009A1B55">
      <w:pPr>
        <w:rPr>
          <w:b/>
          <w:bCs/>
        </w:rPr>
      </w:pPr>
    </w:p>
    <w:p w14:paraId="0395BE4F" w14:textId="77777777" w:rsidR="009A1B55" w:rsidRDefault="009A1B55" w:rsidP="009A1B55">
      <w:pPr>
        <w:rPr>
          <w:b/>
          <w:bCs/>
        </w:rPr>
      </w:pPr>
    </w:p>
    <w:p w14:paraId="0395BE50" w14:textId="18A8241C" w:rsidR="009A1B55" w:rsidRPr="00B814E2" w:rsidRDefault="00DD409A" w:rsidP="009A1B55">
      <w:pPr>
        <w:jc w:val="center"/>
        <w:rPr>
          <w:b/>
          <w:bCs/>
          <w:i/>
        </w:rPr>
      </w:pPr>
      <w:r>
        <w:rPr>
          <w:b/>
          <w:bCs/>
          <w:i/>
        </w:rPr>
        <w:t xml:space="preserve">Electric Service </w:t>
      </w:r>
      <w:r w:rsidR="009A1B55">
        <w:rPr>
          <w:b/>
          <w:bCs/>
          <w:i/>
        </w:rPr>
        <w:t>Reliability</w:t>
      </w:r>
    </w:p>
    <w:p w14:paraId="0395BE51" w14:textId="77777777" w:rsidR="009A1B55" w:rsidRDefault="009A1B55" w:rsidP="009A1B55">
      <w:pPr>
        <w:rPr>
          <w:b/>
          <w:bCs/>
        </w:rPr>
      </w:pPr>
    </w:p>
    <w:p w14:paraId="0395BE52" w14:textId="77777777" w:rsidR="009A1B55" w:rsidRDefault="009A1B55" w:rsidP="009A1B55">
      <w:pPr>
        <w:rPr>
          <w:b/>
          <w:bCs/>
        </w:rPr>
      </w:pPr>
    </w:p>
    <w:p w14:paraId="0395BE53" w14:textId="77777777" w:rsidR="009A1B55" w:rsidRDefault="009A1B55" w:rsidP="009A1B55">
      <w:pPr>
        <w:jc w:val="center"/>
        <w:rPr>
          <w:b/>
          <w:bCs/>
        </w:rPr>
      </w:pPr>
      <w:r>
        <w:rPr>
          <w:b/>
          <w:bCs/>
        </w:rPr>
        <w:t>July 27, 2015</w:t>
      </w:r>
    </w:p>
    <w:p w14:paraId="0395BE54" w14:textId="77777777" w:rsidR="009A1B55" w:rsidRDefault="009A1B55" w:rsidP="009A1B55"/>
    <w:p w14:paraId="0395BE55" w14:textId="77777777" w:rsidR="009A1B55" w:rsidRDefault="009A1B55" w:rsidP="009A1B55"/>
    <w:p w14:paraId="0395BE56" w14:textId="77777777" w:rsidR="009A1B55" w:rsidRDefault="009A1B55" w:rsidP="009A1B55">
      <w:pPr>
        <w:sectPr w:rsidR="009A1B55" w:rsidSect="00B814E2">
          <w:pgSz w:w="12240" w:h="15840"/>
          <w:pgMar w:top="1440" w:right="1440" w:bottom="1440" w:left="1872" w:header="720" w:footer="720" w:gutter="0"/>
          <w:cols w:space="720"/>
          <w:docGrid w:linePitch="360"/>
        </w:sectPr>
      </w:pPr>
    </w:p>
    <w:p w14:paraId="0395BE57" w14:textId="3D0838F1" w:rsidR="009A1B55" w:rsidRPr="00DB19DA" w:rsidRDefault="00C91E10" w:rsidP="00C91E10">
      <w:pPr>
        <w:jc w:val="center"/>
        <w:rPr>
          <w:b/>
        </w:rPr>
      </w:pPr>
      <w:r w:rsidRPr="00DB19DA">
        <w:rPr>
          <w:b/>
        </w:rPr>
        <w:lastRenderedPageBreak/>
        <w:t>TABLE OF CONTENTS</w:t>
      </w:r>
    </w:p>
    <w:p w14:paraId="0395BE58" w14:textId="77777777" w:rsidR="009A1B55" w:rsidRDefault="009A1B55" w:rsidP="009A1B55"/>
    <w:p w14:paraId="0395BE59" w14:textId="77777777" w:rsidR="009A1B55" w:rsidRDefault="009A1B55" w:rsidP="009A1B55"/>
    <w:p w14:paraId="0395BE5A" w14:textId="2DC29A9F" w:rsidR="009A1B55" w:rsidRDefault="00C91E10" w:rsidP="00C91E10">
      <w:pPr>
        <w:tabs>
          <w:tab w:val="left" w:pos="720"/>
          <w:tab w:val="left" w:pos="1440"/>
          <w:tab w:val="left" w:pos="2160"/>
          <w:tab w:val="right" w:leader="dot" w:pos="9187"/>
        </w:tabs>
      </w:pPr>
      <w:r>
        <w:t>I.</w:t>
      </w:r>
      <w:r>
        <w:tab/>
        <w:t xml:space="preserve">INTRODUCTION </w:t>
      </w:r>
      <w:r>
        <w:tab/>
        <w:t>1</w:t>
      </w:r>
    </w:p>
    <w:p w14:paraId="0395BE5B" w14:textId="77777777" w:rsidR="009A1B55" w:rsidRDefault="009A1B55" w:rsidP="009A1B55"/>
    <w:p w14:paraId="0395BE5C" w14:textId="5AECAEFC" w:rsidR="009A1B55" w:rsidRDefault="00C91E10" w:rsidP="00C91E10">
      <w:pPr>
        <w:tabs>
          <w:tab w:val="left" w:pos="720"/>
          <w:tab w:val="left" w:pos="1440"/>
          <w:tab w:val="left" w:pos="2160"/>
          <w:tab w:val="right" w:leader="dot" w:pos="9187"/>
        </w:tabs>
      </w:pPr>
      <w:r>
        <w:t>II.</w:t>
      </w:r>
      <w:r>
        <w:tab/>
        <w:t xml:space="preserve">TESTIMONY </w:t>
      </w:r>
      <w:r>
        <w:tab/>
        <w:t>2</w:t>
      </w:r>
    </w:p>
    <w:p w14:paraId="342DAB6C" w14:textId="24BDDA7D" w:rsidR="00DB19DA" w:rsidRDefault="00DB19DA" w:rsidP="00C91E10">
      <w:pPr>
        <w:tabs>
          <w:tab w:val="left" w:pos="720"/>
          <w:tab w:val="left" w:pos="1440"/>
          <w:tab w:val="left" w:pos="2160"/>
          <w:tab w:val="right" w:leader="dot" w:pos="9187"/>
        </w:tabs>
      </w:pPr>
    </w:p>
    <w:p w14:paraId="6865CEDD" w14:textId="77777777" w:rsidR="00DB19DA" w:rsidRDefault="00DB19DA" w:rsidP="00C91E10">
      <w:pPr>
        <w:tabs>
          <w:tab w:val="left" w:pos="720"/>
          <w:tab w:val="left" w:pos="1440"/>
          <w:tab w:val="left" w:pos="2160"/>
          <w:tab w:val="right" w:leader="dot" w:pos="9187"/>
        </w:tabs>
      </w:pPr>
    </w:p>
    <w:p w14:paraId="16E346B6" w14:textId="77777777" w:rsidR="00DB19DA" w:rsidRDefault="00DB19DA" w:rsidP="00C91E10">
      <w:pPr>
        <w:tabs>
          <w:tab w:val="left" w:pos="720"/>
          <w:tab w:val="left" w:pos="1440"/>
          <w:tab w:val="left" w:pos="2160"/>
          <w:tab w:val="right" w:leader="dot" w:pos="9187"/>
        </w:tabs>
      </w:pPr>
    </w:p>
    <w:p w14:paraId="0395BE5D" w14:textId="77777777" w:rsidR="009A1B55" w:rsidRPr="001E4483" w:rsidRDefault="009A1B55" w:rsidP="009A1B55"/>
    <w:p w14:paraId="0395BE78" w14:textId="5B4B8826" w:rsidR="009A1B55" w:rsidRPr="001E4483" w:rsidRDefault="009A1B55" w:rsidP="009A1B55">
      <w:pPr>
        <w:tabs>
          <w:tab w:val="center" w:pos="4464"/>
        </w:tabs>
        <w:sectPr w:rsidR="009A1B55" w:rsidRPr="001E4483" w:rsidSect="0015026F">
          <w:footerReference w:type="default" r:id="rId10"/>
          <w:pgSz w:w="12240" w:h="15840"/>
          <w:pgMar w:top="1440" w:right="1440" w:bottom="1440" w:left="1872" w:header="720" w:footer="720" w:gutter="0"/>
          <w:pgNumType w:fmt="lowerRoman" w:start="1"/>
          <w:cols w:space="720"/>
          <w:docGrid w:linePitch="360"/>
        </w:sectPr>
      </w:pPr>
    </w:p>
    <w:p w14:paraId="0395BE79" w14:textId="77777777" w:rsidR="009A1B55" w:rsidRPr="009F2F9B" w:rsidRDefault="009A1B55" w:rsidP="009A1B55">
      <w:pPr>
        <w:pStyle w:val="Heading1"/>
      </w:pPr>
      <w:bookmarkStart w:id="1" w:name="_Toc424288806"/>
      <w:r w:rsidRPr="009F2F9B">
        <w:t>I.</w:t>
      </w:r>
      <w:r w:rsidRPr="009F2F9B">
        <w:tab/>
        <w:t>INTRODUCTION</w:t>
      </w:r>
      <w:bookmarkEnd w:id="1"/>
    </w:p>
    <w:p w14:paraId="0395BE7A" w14:textId="77777777" w:rsidR="009A1B55" w:rsidRDefault="009A1B55" w:rsidP="009A1B55">
      <w:pPr>
        <w:spacing w:line="480" w:lineRule="auto"/>
        <w:rPr>
          <w:b/>
        </w:rPr>
      </w:pPr>
    </w:p>
    <w:p w14:paraId="0395BE7B" w14:textId="77777777" w:rsidR="009A1B55" w:rsidRPr="009F2F9B" w:rsidRDefault="009A1B55" w:rsidP="009A1B55">
      <w:pPr>
        <w:pStyle w:val="Heading2"/>
      </w:pPr>
      <w:bookmarkStart w:id="2" w:name="_Toc424288807"/>
      <w:r w:rsidRPr="009F2F9B">
        <w:t>Q.</w:t>
      </w:r>
      <w:r w:rsidRPr="009F2F9B">
        <w:tab/>
        <w:t>Please state your name and business address.</w:t>
      </w:r>
      <w:bookmarkEnd w:id="2"/>
      <w:r w:rsidRPr="009F2F9B">
        <w:t xml:space="preserve">  </w:t>
      </w:r>
    </w:p>
    <w:p w14:paraId="0395BE7C" w14:textId="77777777" w:rsidR="009A1B55" w:rsidRDefault="009A1B55" w:rsidP="009A1B55">
      <w:pPr>
        <w:spacing w:line="480" w:lineRule="auto"/>
        <w:ind w:left="720" w:hanging="720"/>
      </w:pPr>
      <w:r>
        <w:t>A.</w:t>
      </w:r>
      <w:r>
        <w:tab/>
        <w:t xml:space="preserve">My name is Bradley Thomas Cebulko.  My business address is 1300 S. Evergreen Park Drive S.W., P.O. Box 47250, Olympia, WA  98504.  </w:t>
      </w:r>
    </w:p>
    <w:p w14:paraId="0395BE7D" w14:textId="77777777" w:rsidR="009A1B55" w:rsidRDefault="009A1B55" w:rsidP="009A1B55">
      <w:pPr>
        <w:spacing w:line="480" w:lineRule="auto"/>
        <w:ind w:left="720" w:hanging="720"/>
      </w:pPr>
    </w:p>
    <w:p w14:paraId="0395BE7E" w14:textId="77777777" w:rsidR="009A1B55" w:rsidRDefault="009A1B55" w:rsidP="009A1B55">
      <w:pPr>
        <w:pStyle w:val="Heading2"/>
      </w:pPr>
      <w:bookmarkStart w:id="3" w:name="_Toc424288808"/>
      <w:r>
        <w:t>Q.</w:t>
      </w:r>
      <w:r>
        <w:tab/>
        <w:t>By whom are you employed and in what capacity?</w:t>
      </w:r>
      <w:bookmarkEnd w:id="3"/>
      <w:r>
        <w:t xml:space="preserve">  </w:t>
      </w:r>
    </w:p>
    <w:p w14:paraId="0395BE7F" w14:textId="77777777" w:rsidR="009A1B55" w:rsidRDefault="009A1B55" w:rsidP="009A1B55">
      <w:pPr>
        <w:spacing w:line="480" w:lineRule="auto"/>
        <w:ind w:left="720" w:hanging="720"/>
      </w:pPr>
      <w:r>
        <w:t>A.</w:t>
      </w:r>
      <w:r>
        <w:tab/>
        <w:t xml:space="preserve">I am employed by the Washington Utilities and Transportation Commission (Commission) as a Regulatory Analyst in the Conservation and Energy Planning section of the Regulatory Services Division.  </w:t>
      </w:r>
    </w:p>
    <w:p w14:paraId="0395BE80" w14:textId="77777777" w:rsidR="009A1B55" w:rsidRDefault="009A1B55" w:rsidP="009A1B55">
      <w:pPr>
        <w:spacing w:line="480" w:lineRule="auto"/>
        <w:ind w:left="720" w:hanging="720"/>
      </w:pPr>
    </w:p>
    <w:p w14:paraId="0395BE81" w14:textId="77777777" w:rsidR="009A1B55" w:rsidRDefault="009A1B55" w:rsidP="009A1B55">
      <w:pPr>
        <w:pStyle w:val="Heading2"/>
      </w:pPr>
      <w:bookmarkStart w:id="4" w:name="_Toc424288809"/>
      <w:r>
        <w:t>Q.</w:t>
      </w:r>
      <w:r>
        <w:tab/>
        <w:t>How long have you been employed by the Commission?</w:t>
      </w:r>
      <w:bookmarkEnd w:id="4"/>
      <w:r>
        <w:t xml:space="preserve">   </w:t>
      </w:r>
    </w:p>
    <w:p w14:paraId="0395BE82" w14:textId="77777777" w:rsidR="009A1B55" w:rsidRDefault="009A1B55" w:rsidP="009A1B55">
      <w:pPr>
        <w:spacing w:line="480" w:lineRule="auto"/>
        <w:ind w:left="720" w:hanging="720"/>
      </w:pPr>
      <w:r>
        <w:t>A.</w:t>
      </w:r>
      <w:r>
        <w:tab/>
        <w:t>I have been working for the Commission since September 2013.</w:t>
      </w:r>
    </w:p>
    <w:p w14:paraId="0395BE83" w14:textId="77777777" w:rsidR="009A1B55" w:rsidRDefault="009A1B55" w:rsidP="009A1B55">
      <w:pPr>
        <w:spacing w:line="480" w:lineRule="auto"/>
        <w:ind w:left="720" w:hanging="720"/>
      </w:pPr>
    </w:p>
    <w:p w14:paraId="0395BE84" w14:textId="77777777" w:rsidR="009A1B55" w:rsidRDefault="009A1B55" w:rsidP="009A1B55">
      <w:pPr>
        <w:pStyle w:val="Heading2"/>
      </w:pPr>
      <w:bookmarkStart w:id="5" w:name="_Toc424288810"/>
      <w:r>
        <w:t xml:space="preserve">Q. </w:t>
      </w:r>
      <w:r>
        <w:tab/>
        <w:t>Would you please state your educational and professional background?</w:t>
      </w:r>
      <w:bookmarkEnd w:id="5"/>
      <w:r>
        <w:t xml:space="preserve">  </w:t>
      </w:r>
    </w:p>
    <w:p w14:paraId="0395BE85" w14:textId="77777777" w:rsidR="009A1B55" w:rsidRDefault="009A1B55" w:rsidP="009A1B55">
      <w:pPr>
        <w:spacing w:line="480" w:lineRule="auto"/>
        <w:ind w:left="720" w:hanging="720"/>
      </w:pPr>
      <w:r>
        <w:t>A.</w:t>
      </w:r>
      <w:r>
        <w:tab/>
        <w:t xml:space="preserve">I have a Master’s degree in Public Administration from the Daniel J. Evans School of Public Policy and Governance at the University of Washington, and a B.A. degree in political science from Colorado State University. </w:t>
      </w:r>
      <w:r w:rsidRPr="00152FDC">
        <w:t xml:space="preserve"> </w:t>
      </w:r>
      <w:r>
        <w:t>I attended the National Association of Regulatory Utility Commissioners’ Annual Regulatory Studies Program in August 2014, EUCI’s cost of service and rate design training in March 2015, New Mexico State University’s rate case basics workshop in May 2015,</w:t>
      </w:r>
      <w:r w:rsidRPr="00B55AB7">
        <w:t xml:space="preserve"> </w:t>
      </w:r>
      <w:r>
        <w:t xml:space="preserve">as well as other sector-specific workshops, trainings, and conferences.  </w:t>
      </w:r>
    </w:p>
    <w:p w14:paraId="0395BE86" w14:textId="77777777" w:rsidR="009A1B55" w:rsidRDefault="009A1B55" w:rsidP="009A1B55">
      <w:pPr>
        <w:spacing w:line="480" w:lineRule="auto"/>
        <w:ind w:left="720" w:hanging="720"/>
      </w:pPr>
    </w:p>
    <w:p w14:paraId="0395BE87" w14:textId="77777777" w:rsidR="009A1B55" w:rsidRDefault="009A1B55" w:rsidP="009A1B55">
      <w:pPr>
        <w:pStyle w:val="Heading2"/>
      </w:pPr>
      <w:bookmarkStart w:id="6" w:name="_Toc424288811"/>
      <w:r>
        <w:t>Q.</w:t>
      </w:r>
      <w:r>
        <w:tab/>
        <w:t>Have you previously submitted testimony to this commission?</w:t>
      </w:r>
      <w:bookmarkEnd w:id="6"/>
      <w:r>
        <w:t xml:space="preserve">   </w:t>
      </w:r>
    </w:p>
    <w:p w14:paraId="0395BE88" w14:textId="77777777" w:rsidR="009A1B55" w:rsidRDefault="009A1B55" w:rsidP="009A1B55">
      <w:pPr>
        <w:spacing w:line="480" w:lineRule="auto"/>
        <w:ind w:left="720" w:hanging="720"/>
      </w:pPr>
      <w:r>
        <w:t>A.</w:t>
      </w:r>
      <w:r>
        <w:tab/>
        <w:t>I previously filed testimony in Avista’s 2014 general rate case</w:t>
      </w:r>
      <w:r>
        <w:rPr>
          <w:rStyle w:val="FootnoteReference"/>
        </w:rPr>
        <w:footnoteReference w:id="1"/>
      </w:r>
      <w:r>
        <w:t xml:space="preserve"> on service quality and reliability.</w:t>
      </w:r>
    </w:p>
    <w:p w14:paraId="0395BE89" w14:textId="77777777" w:rsidR="009A1B55" w:rsidRDefault="009A1B55" w:rsidP="009A1B55">
      <w:pPr>
        <w:spacing w:line="480" w:lineRule="auto"/>
        <w:ind w:left="720" w:hanging="720"/>
      </w:pPr>
    </w:p>
    <w:p w14:paraId="0395BE8B" w14:textId="77777777" w:rsidR="009A1B55" w:rsidRDefault="009A1B55" w:rsidP="00C91E10">
      <w:pPr>
        <w:pStyle w:val="Heading1"/>
      </w:pPr>
      <w:bookmarkStart w:id="7" w:name="_Toc424288812"/>
      <w:r>
        <w:t>II.</w:t>
      </w:r>
      <w:r>
        <w:tab/>
        <w:t>TESTIMONY</w:t>
      </w:r>
      <w:bookmarkEnd w:id="7"/>
    </w:p>
    <w:p w14:paraId="6FB05BD3" w14:textId="77777777" w:rsidR="00C91E10" w:rsidRDefault="00C91E10" w:rsidP="009A1B55">
      <w:pPr>
        <w:pStyle w:val="Heading2"/>
      </w:pPr>
      <w:bookmarkStart w:id="8" w:name="_Toc424288813"/>
    </w:p>
    <w:p w14:paraId="0395BE8C" w14:textId="77777777" w:rsidR="009A1B55" w:rsidRDefault="009A1B55" w:rsidP="009A1B55">
      <w:pPr>
        <w:pStyle w:val="Heading2"/>
      </w:pPr>
      <w:r>
        <w:t>Q.</w:t>
      </w:r>
      <w:r>
        <w:tab/>
        <w:t>What is the purpose of your testimony?</w:t>
      </w:r>
      <w:bookmarkEnd w:id="8"/>
    </w:p>
    <w:p w14:paraId="0395BE8D" w14:textId="502CED9C" w:rsidR="009A1B55" w:rsidRDefault="009A1B55" w:rsidP="009A1B55">
      <w:pPr>
        <w:spacing w:line="480" w:lineRule="auto"/>
        <w:ind w:left="720" w:hanging="720"/>
      </w:pPr>
      <w:r>
        <w:t>A.</w:t>
      </w:r>
      <w:r>
        <w:tab/>
      </w:r>
      <w:r w:rsidR="00031127">
        <w:t>The purpose of m</w:t>
      </w:r>
      <w:r>
        <w:t xml:space="preserve">y testimony is to discuss the need for additional </w:t>
      </w:r>
      <w:r w:rsidR="00D40501">
        <w:t xml:space="preserve">electric </w:t>
      </w:r>
      <w:r>
        <w:t>reliability analysis</w:t>
      </w:r>
      <w:r w:rsidR="00031127">
        <w:t xml:space="preserve"> for determining adequate reliability,</w:t>
      </w:r>
      <w:r>
        <w:t xml:space="preserve"> including an econometric reliability metric benchmarking study.</w:t>
      </w:r>
      <w:r w:rsidR="00D27398">
        <w:t xml:space="preserve"> </w:t>
      </w:r>
    </w:p>
    <w:p w14:paraId="0395BE8E" w14:textId="77777777" w:rsidR="00DF1281" w:rsidRDefault="00DF1281" w:rsidP="009A1B55">
      <w:pPr>
        <w:spacing w:line="480" w:lineRule="auto"/>
        <w:ind w:left="720" w:hanging="720"/>
      </w:pPr>
    </w:p>
    <w:p w14:paraId="0395BE8F" w14:textId="77777777" w:rsidR="00DF1281" w:rsidRDefault="00DF1281" w:rsidP="00DF1281">
      <w:pPr>
        <w:pStyle w:val="Heading2"/>
      </w:pPr>
      <w:r>
        <w:t>Q.</w:t>
      </w:r>
      <w:r>
        <w:tab/>
        <w:t>Please summarize your testimony.</w:t>
      </w:r>
    </w:p>
    <w:p w14:paraId="0395BE90" w14:textId="1200E7F2" w:rsidR="00DF1281" w:rsidRDefault="00DF1281" w:rsidP="00DF1281">
      <w:pPr>
        <w:spacing w:line="480" w:lineRule="auto"/>
        <w:ind w:left="720" w:hanging="720"/>
      </w:pPr>
      <w:r>
        <w:t>A.</w:t>
      </w:r>
      <w:r>
        <w:tab/>
      </w:r>
      <w:r w:rsidR="00EB48DA" w:rsidRPr="00E12BC3">
        <w:t xml:space="preserve">Staff does not yet have the proper tools to determine if Avista’s </w:t>
      </w:r>
      <w:r w:rsidR="00DE2197">
        <w:t xml:space="preserve">electric </w:t>
      </w:r>
      <w:r w:rsidR="00CA7470" w:rsidRPr="00E12BC3">
        <w:t>reliability metrics demonstrate adequate</w:t>
      </w:r>
      <w:r w:rsidR="00DE2197">
        <w:t xml:space="preserve"> electric</w:t>
      </w:r>
      <w:r w:rsidR="00CA7470" w:rsidRPr="00E12BC3">
        <w:t xml:space="preserve"> reliability. </w:t>
      </w:r>
      <w:r w:rsidR="008E2518">
        <w:t xml:space="preserve"> The two most prominent </w:t>
      </w:r>
      <w:r w:rsidR="005D29C3">
        <w:t xml:space="preserve">electric reliability </w:t>
      </w:r>
      <w:r w:rsidR="008E2518">
        <w:t>metrics reported by the Company,</w:t>
      </w:r>
      <w:r w:rsidR="00CA7470">
        <w:t xml:space="preserve"> System Average Interruption Duration Index (SAIDI) and System Average Interruption Frequency Index (SAIFI)</w:t>
      </w:r>
      <w:r w:rsidR="005D29C3">
        <w:t xml:space="preserve">, </w:t>
      </w:r>
      <w:r w:rsidR="00CA7470">
        <w:t>do not</w:t>
      </w:r>
      <w:r w:rsidR="008E2518">
        <w:t xml:space="preserve"> yet have meaningful benchmarks, which is necessary to determine adequate reliability.  </w:t>
      </w:r>
      <w:r w:rsidR="00CA7470">
        <w:t>To aid staff’s determination of reliability, Staff is developing an econometric model that aims to take into account company-specific service territory attributes to determine appropriate, utility-specific benchmarks.</w:t>
      </w:r>
      <w:r w:rsidR="00AD43C0">
        <w:rPr>
          <w:rStyle w:val="FootnoteReference"/>
        </w:rPr>
        <w:footnoteReference w:id="2"/>
      </w:r>
      <w:r w:rsidR="00CA7470">
        <w:t xml:space="preserve">  </w:t>
      </w:r>
    </w:p>
    <w:p w14:paraId="1B461316" w14:textId="77777777" w:rsidR="00113566" w:rsidRDefault="00113566" w:rsidP="0060224E">
      <w:pPr>
        <w:pStyle w:val="Heading2"/>
      </w:pPr>
    </w:p>
    <w:p w14:paraId="0395BE94" w14:textId="6674EE48" w:rsidR="0060224E" w:rsidRPr="00D11560" w:rsidRDefault="00C91E10" w:rsidP="00C91E10">
      <w:pPr>
        <w:pStyle w:val="Heading2"/>
        <w:keepNext/>
      </w:pPr>
      <w:r>
        <w:t>Q.</w:t>
      </w:r>
      <w:r w:rsidR="0060224E" w:rsidRPr="00D11560">
        <w:t xml:space="preserve"> </w:t>
      </w:r>
      <w:r w:rsidR="0060224E" w:rsidRPr="00D11560">
        <w:tab/>
      </w:r>
      <w:r w:rsidR="003A7F40">
        <w:t>What informatio</w:t>
      </w:r>
      <w:r w:rsidR="00AA3CA8">
        <w:t xml:space="preserve">n does the Company provide </w:t>
      </w:r>
      <w:r w:rsidR="003A7F40">
        <w:t>to</w:t>
      </w:r>
      <w:r w:rsidR="0060224E">
        <w:t xml:space="preserve"> assess electric reliability</w:t>
      </w:r>
      <w:r w:rsidR="0060224E" w:rsidRPr="00D11560">
        <w:t>?</w:t>
      </w:r>
    </w:p>
    <w:p w14:paraId="0395BE95" w14:textId="0E4B6ED0" w:rsidR="00266D0D" w:rsidRDefault="00C91E10" w:rsidP="00266D0D">
      <w:pPr>
        <w:spacing w:line="480" w:lineRule="auto"/>
        <w:ind w:left="720" w:hanging="720"/>
      </w:pPr>
      <w:r>
        <w:t>A.</w:t>
      </w:r>
      <w:r w:rsidR="0060224E">
        <w:t xml:space="preserve"> </w:t>
      </w:r>
      <w:r w:rsidR="0060224E">
        <w:tab/>
      </w:r>
      <w:r w:rsidR="00E21BAA">
        <w:t xml:space="preserve">Commission staff’s primary means </w:t>
      </w:r>
      <w:r w:rsidR="00AA3CA8">
        <w:t xml:space="preserve">for </w:t>
      </w:r>
      <w:r w:rsidR="00E21BAA">
        <w:t>assessing</w:t>
      </w:r>
      <w:r w:rsidR="00DE2197">
        <w:t xml:space="preserve"> electric</w:t>
      </w:r>
      <w:r w:rsidR="009A1B55">
        <w:t xml:space="preserve"> reliability</w:t>
      </w:r>
      <w:r w:rsidR="00E21BAA">
        <w:t xml:space="preserve"> is the Company’s</w:t>
      </w:r>
      <w:r w:rsidR="0060224E">
        <w:t xml:space="preserve"> annual </w:t>
      </w:r>
      <w:r w:rsidR="009A1B55">
        <w:t>electric service reliability report.</w:t>
      </w:r>
      <w:r w:rsidR="0060224E">
        <w:rPr>
          <w:rStyle w:val="FootnoteReference"/>
        </w:rPr>
        <w:footnoteReference w:id="3"/>
      </w:r>
      <w:r w:rsidR="00E21BAA">
        <w:t xml:space="preserve">  The annual report describes the Company’s reliability monitoring and metrics</w:t>
      </w:r>
      <w:r w:rsidR="00AA3CA8">
        <w:t xml:space="preserve"> as a system and by regional office</w:t>
      </w:r>
      <w:r w:rsidR="00E21BAA">
        <w:t xml:space="preserve">.  </w:t>
      </w:r>
      <w:r w:rsidR="0060224E">
        <w:t xml:space="preserve">Consistent with WAC 480-100-393(3)(b), </w:t>
      </w:r>
      <w:r w:rsidR="00E21BAA">
        <w:t xml:space="preserve">Avista </w:t>
      </w:r>
      <w:r w:rsidR="0060224E">
        <w:t xml:space="preserve">established </w:t>
      </w:r>
      <w:r w:rsidR="009B39D7">
        <w:t xml:space="preserve">a 2005 </w:t>
      </w:r>
      <w:r w:rsidR="0060224E">
        <w:t>baseline</w:t>
      </w:r>
      <w:r w:rsidR="007D2722">
        <w:rPr>
          <w:rStyle w:val="FootnoteReference"/>
        </w:rPr>
        <w:footnoteReference w:id="4"/>
      </w:r>
      <w:r w:rsidR="009B39D7">
        <w:t xml:space="preserve"> for its</w:t>
      </w:r>
      <w:r w:rsidR="0060224E">
        <w:t xml:space="preserve"> reliability statistics</w:t>
      </w:r>
      <w:r w:rsidR="009B39D7">
        <w:t>,</w:t>
      </w:r>
      <w:r w:rsidR="00E21BAA">
        <w:t xml:space="preserve"> and a reliability target of an average over a time period plus two standard deviations.</w:t>
      </w:r>
      <w:r w:rsidR="007944AA">
        <w:rPr>
          <w:rStyle w:val="FootnoteReference"/>
        </w:rPr>
        <w:footnoteReference w:id="5"/>
      </w:r>
      <w:r w:rsidR="007D2722">
        <w:t xml:space="preserve">  </w:t>
      </w:r>
      <w:r w:rsidR="001228F9">
        <w:t>The report includes</w:t>
      </w:r>
      <w:r w:rsidR="00E21BAA">
        <w:t xml:space="preserve"> </w:t>
      </w:r>
      <w:r w:rsidR="003F6397">
        <w:t>a variety of</w:t>
      </w:r>
      <w:r w:rsidR="00E21BAA">
        <w:t xml:space="preserve"> industry</w:t>
      </w:r>
      <w:r w:rsidR="00E021BF">
        <w:t>-</w:t>
      </w:r>
      <w:r w:rsidR="00E21BAA">
        <w:t>recognized metrics,</w:t>
      </w:r>
      <w:r w:rsidR="009B39D7">
        <w:t xml:space="preserve"> including </w:t>
      </w:r>
      <w:r w:rsidR="005D29C3">
        <w:t>SAIDI and SAIFI</w:t>
      </w:r>
      <w:r w:rsidR="009B39D7">
        <w:t xml:space="preserve">. </w:t>
      </w:r>
      <w:r w:rsidR="00266D0D">
        <w:t>These</w:t>
      </w:r>
      <w:r w:rsidR="006655EE">
        <w:t xml:space="preserve"> metrics are two</w:t>
      </w:r>
      <w:r w:rsidR="00E21BAA">
        <w:t xml:space="preserve"> </w:t>
      </w:r>
      <w:r w:rsidR="00232860">
        <w:t xml:space="preserve">key </w:t>
      </w:r>
      <w:r w:rsidR="00266D0D">
        <w:t xml:space="preserve">indicators of the company’s </w:t>
      </w:r>
      <w:r w:rsidR="00E21BAA">
        <w:t xml:space="preserve">overall </w:t>
      </w:r>
      <w:r w:rsidR="00266D0D">
        <w:t xml:space="preserve">operations management. SAIDI is the total duration of interruptions for the average customer during a year.  It is calculated by dividing the total number of minutes of customer interruption by the total number of customers.  SAIFI is the number of interruptions that an average customer experiences during a year.  It is calculated by dividing the total number of customer interruptions by the total number of customers served.  </w:t>
      </w:r>
    </w:p>
    <w:p w14:paraId="3B6208C5" w14:textId="77777777" w:rsidR="00E21BAA" w:rsidRDefault="00E21BAA" w:rsidP="00C91E10">
      <w:pPr>
        <w:spacing w:line="480" w:lineRule="auto"/>
      </w:pPr>
    </w:p>
    <w:p w14:paraId="1C730CEC" w14:textId="20D3E787" w:rsidR="00E21BAA" w:rsidRPr="00D11560" w:rsidRDefault="00C91E10" w:rsidP="00E21BAA">
      <w:pPr>
        <w:pStyle w:val="Heading2"/>
      </w:pPr>
      <w:r>
        <w:t>Q.</w:t>
      </w:r>
      <w:r w:rsidR="00E21BAA" w:rsidRPr="00D11560">
        <w:t xml:space="preserve"> </w:t>
      </w:r>
      <w:r w:rsidR="00E21BAA" w:rsidRPr="00D11560">
        <w:tab/>
      </w:r>
      <w:r w:rsidR="00E21BAA">
        <w:t>What does the 2015 Annual Report say about the Company’s service reliability</w:t>
      </w:r>
      <w:r w:rsidR="00E21BAA" w:rsidRPr="00D11560">
        <w:t>?</w:t>
      </w:r>
    </w:p>
    <w:p w14:paraId="04AABC1C" w14:textId="07B5653B" w:rsidR="0070631E" w:rsidRDefault="00C91E10" w:rsidP="003F6397">
      <w:pPr>
        <w:spacing w:line="480" w:lineRule="auto"/>
        <w:ind w:left="720" w:hanging="720"/>
      </w:pPr>
      <w:r>
        <w:t>A.</w:t>
      </w:r>
      <w:r w:rsidR="00E21BAA">
        <w:t xml:space="preserve"> </w:t>
      </w:r>
      <w:r w:rsidR="00E21BAA">
        <w:tab/>
      </w:r>
      <w:r w:rsidR="009B39D7">
        <w:t xml:space="preserve">The 2015 </w:t>
      </w:r>
      <w:r w:rsidR="003A7F40">
        <w:t xml:space="preserve">annual </w:t>
      </w:r>
      <w:r w:rsidR="009B39D7">
        <w:t xml:space="preserve">report </w:t>
      </w:r>
      <w:r w:rsidR="003A7F40">
        <w:t>states</w:t>
      </w:r>
      <w:r w:rsidR="009B39D7">
        <w:t xml:space="preserve"> that the </w:t>
      </w:r>
      <w:r w:rsidR="003A7F40">
        <w:t xml:space="preserve">company’s </w:t>
      </w:r>
      <w:r w:rsidR="009B39D7">
        <w:t>SAIDI and SAIFI score</w:t>
      </w:r>
      <w:r w:rsidR="003A7F40">
        <w:t xml:space="preserve">s showed an upward </w:t>
      </w:r>
      <w:r w:rsidR="004D3F7C">
        <w:t>trend line</w:t>
      </w:r>
      <w:r w:rsidR="003A7F40">
        <w:t xml:space="preserve"> </w:t>
      </w:r>
      <w:r w:rsidR="00DC0528">
        <w:t>from 2005 until 201</w:t>
      </w:r>
      <w:r w:rsidR="004D3F7C">
        <w:t>2</w:t>
      </w:r>
      <w:r w:rsidR="00DC0528">
        <w:t xml:space="preserve">.  </w:t>
      </w:r>
      <w:r w:rsidR="004D3F7C">
        <w:t xml:space="preserve">With the inclusion of 2014 data, the SAIFI trend line is slightly downward, and SAIDI trend line continues to trend slightly upward.  However, </w:t>
      </w:r>
      <w:r w:rsidR="00974E25">
        <w:t>2014</w:t>
      </w:r>
      <w:r w:rsidR="004D3F7C">
        <w:t xml:space="preserve"> SAIDI and SAIFI scores are</w:t>
      </w:r>
      <w:r w:rsidR="00974E25">
        <w:t xml:space="preserve"> still</w:t>
      </w:r>
      <w:r w:rsidR="00277571">
        <w:t xml:space="preserve"> higher</w:t>
      </w:r>
      <w:r w:rsidR="009B39D7">
        <w:t xml:space="preserve"> than the 2005 baseline.</w:t>
      </w:r>
      <w:r w:rsidR="009B39D7">
        <w:rPr>
          <w:rStyle w:val="FootnoteReference"/>
        </w:rPr>
        <w:footnoteReference w:id="6"/>
      </w:r>
      <w:r w:rsidR="00BD22D0">
        <w:t xml:space="preserve"> </w:t>
      </w:r>
      <w:r w:rsidR="001B0D92">
        <w:t xml:space="preserve"> </w:t>
      </w:r>
      <w:r w:rsidR="00BD22D0">
        <w:t>Higher SAIDI and SAIFI scores correspond to diminished reliability.</w:t>
      </w:r>
    </w:p>
    <w:p w14:paraId="24FF212A" w14:textId="657ABA5C" w:rsidR="0070631E" w:rsidRDefault="0070631E" w:rsidP="0070631E">
      <w:pPr>
        <w:pStyle w:val="Caption"/>
        <w:keepNext/>
      </w:pPr>
      <w:r>
        <w:t xml:space="preserve">Figure </w:t>
      </w:r>
      <w:r w:rsidR="00E53DA0">
        <w:fldChar w:fldCharType="begin"/>
      </w:r>
      <w:r w:rsidR="00E53DA0">
        <w:instrText xml:space="preserve"> SEQ Figure \* ARABIC </w:instrText>
      </w:r>
      <w:r w:rsidR="00E53DA0">
        <w:fldChar w:fldCharType="separate"/>
      </w:r>
      <w:r w:rsidR="00D40501">
        <w:rPr>
          <w:noProof/>
        </w:rPr>
        <w:t>1</w:t>
      </w:r>
      <w:r w:rsidR="00E53DA0">
        <w:rPr>
          <w:noProof/>
        </w:rPr>
        <w:fldChar w:fldCharType="end"/>
      </w:r>
      <w:r>
        <w:t xml:space="preserve"> Source:</w:t>
      </w:r>
      <w:r w:rsidR="00C71365">
        <w:t xml:space="preserve"> </w:t>
      </w:r>
      <w:r w:rsidRPr="00151AF3">
        <w:t>Avista 2014 Electric Service Reliability Report</w:t>
      </w:r>
      <w:r>
        <w:t>,</w:t>
      </w:r>
      <w:r w:rsidRPr="00151AF3">
        <w:t xml:space="preserve"> Docket UE-150695</w:t>
      </w:r>
    </w:p>
    <w:p w14:paraId="18CD0B8F" w14:textId="0B02C776" w:rsidR="003F6397" w:rsidRDefault="002F2171" w:rsidP="003F6397">
      <w:pPr>
        <w:spacing w:line="480" w:lineRule="auto"/>
        <w:ind w:left="720" w:hanging="720"/>
      </w:pPr>
      <w:r>
        <w:rPr>
          <w:noProof/>
        </w:rPr>
        <w:drawing>
          <wp:inline distT="0" distB="0" distL="0" distR="0" wp14:anchorId="60E6B155" wp14:editId="6CC63C5F">
            <wp:extent cx="5215466" cy="2851573"/>
            <wp:effectExtent l="0" t="0" r="4445"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813B91" w14:textId="1876A34A" w:rsidR="00914A90" w:rsidRDefault="00914A90" w:rsidP="00E21BAA">
      <w:pPr>
        <w:spacing w:line="480" w:lineRule="auto"/>
        <w:ind w:left="720" w:hanging="720"/>
      </w:pPr>
    </w:p>
    <w:p w14:paraId="02684EC6" w14:textId="4D130894" w:rsidR="00914A90" w:rsidRPr="00D11560" w:rsidRDefault="00C91E10" w:rsidP="00A33929">
      <w:pPr>
        <w:pStyle w:val="Heading2"/>
      </w:pPr>
      <w:r>
        <w:t>Q.</w:t>
      </w:r>
      <w:r w:rsidR="00914A90" w:rsidRPr="00D11560">
        <w:t xml:space="preserve"> </w:t>
      </w:r>
      <w:r w:rsidR="00914A90" w:rsidRPr="00D11560">
        <w:tab/>
      </w:r>
      <w:r w:rsidR="00240ACA">
        <w:t>Does</w:t>
      </w:r>
      <w:r w:rsidR="00A33929">
        <w:t xml:space="preserve"> the Company</w:t>
      </w:r>
      <w:r w:rsidR="00914A90">
        <w:t xml:space="preserve"> </w:t>
      </w:r>
      <w:r w:rsidR="006A680E">
        <w:t>have any other reliability measurements</w:t>
      </w:r>
      <w:r w:rsidR="00914A90" w:rsidRPr="00D11560">
        <w:t>?</w:t>
      </w:r>
    </w:p>
    <w:p w14:paraId="76A2B328" w14:textId="64CF7728" w:rsidR="00914A90" w:rsidRDefault="00C91E10" w:rsidP="00914A90">
      <w:pPr>
        <w:spacing w:line="480" w:lineRule="auto"/>
        <w:ind w:left="720" w:hanging="720"/>
      </w:pPr>
      <w:r>
        <w:t>A.</w:t>
      </w:r>
      <w:r w:rsidR="00B0270A">
        <w:t xml:space="preserve"> </w:t>
      </w:r>
      <w:r w:rsidR="00B0270A">
        <w:tab/>
        <w:t xml:space="preserve">The Company also conducts </w:t>
      </w:r>
      <w:r w:rsidR="00983DFF">
        <w:t xml:space="preserve">a </w:t>
      </w:r>
      <w:r w:rsidR="00B0270A">
        <w:t>survey</w:t>
      </w:r>
      <w:r w:rsidR="00983DFF">
        <w:t>,</w:t>
      </w:r>
      <w:r w:rsidR="00983DFF" w:rsidRPr="00983DFF">
        <w:t xml:space="preserve"> </w:t>
      </w:r>
      <w:r w:rsidR="00983DFF">
        <w:t xml:space="preserve">the </w:t>
      </w:r>
      <w:r w:rsidR="00A911BF">
        <w:t>Voice of the Customer</w:t>
      </w:r>
      <w:r w:rsidR="00983DFF">
        <w:t xml:space="preserve">, </w:t>
      </w:r>
      <w:r w:rsidR="00B0270A">
        <w:t>and collects information</w:t>
      </w:r>
      <w:r w:rsidR="00983DFF">
        <w:t xml:space="preserve"> from the J.D. Power Electric Utility Survey</w:t>
      </w:r>
      <w:r w:rsidR="00B0270A">
        <w:t xml:space="preserve"> that can be interpreted to reflect customer perceptions of reliability</w:t>
      </w:r>
      <w:r w:rsidR="00914A90">
        <w:t xml:space="preserve">.  The Voice of the Customer is the Company’s contracted quarterly survey that measures customer satisfaction with Avista’s customer contact points, such as the call center and operations staff.  The J.D. Power’s Customer Satisfaction Index measures customer satisfaction with power quality and reliability, as well as field and customer services, and identifies utility practices that contribute </w:t>
      </w:r>
      <w:r w:rsidR="003B1C91">
        <w:t xml:space="preserve">to </w:t>
      </w:r>
      <w:r w:rsidR="00914A90">
        <w:t>a customer’s satisfaction.</w:t>
      </w:r>
      <w:r w:rsidR="00914A90">
        <w:rPr>
          <w:rStyle w:val="FootnoteReference"/>
        </w:rPr>
        <w:footnoteReference w:id="7"/>
      </w:r>
      <w:r w:rsidR="00914A90">
        <w:t xml:space="preserve">  </w:t>
      </w:r>
    </w:p>
    <w:p w14:paraId="0395BE97" w14:textId="33FAA8B8" w:rsidR="00277571" w:rsidRDefault="00277571" w:rsidP="00914A90">
      <w:pPr>
        <w:spacing w:line="480" w:lineRule="auto"/>
        <w:ind w:left="720" w:hanging="720"/>
      </w:pPr>
    </w:p>
    <w:p w14:paraId="0395BE98" w14:textId="226DC340" w:rsidR="00277571" w:rsidRPr="00D11560" w:rsidRDefault="00C91E10" w:rsidP="00914A90">
      <w:pPr>
        <w:pStyle w:val="Heading2"/>
      </w:pPr>
      <w:r>
        <w:t>Q.</w:t>
      </w:r>
      <w:r w:rsidR="00277571" w:rsidRPr="00D11560">
        <w:t xml:space="preserve"> </w:t>
      </w:r>
      <w:r w:rsidR="00277571" w:rsidRPr="00D11560">
        <w:tab/>
      </w:r>
      <w:r w:rsidR="00B95FAB">
        <w:t>Can staff use these tools</w:t>
      </w:r>
      <w:r w:rsidR="00914A90">
        <w:t xml:space="preserve"> to determine if the Company’s service is reliable or unreliable</w:t>
      </w:r>
      <w:r w:rsidR="00277571" w:rsidRPr="00D11560">
        <w:t>?</w:t>
      </w:r>
    </w:p>
    <w:p w14:paraId="5A694DD0" w14:textId="2D392C05" w:rsidR="00615E73" w:rsidRDefault="00C91E10" w:rsidP="00615E73">
      <w:pPr>
        <w:spacing w:line="480" w:lineRule="auto"/>
        <w:ind w:left="720" w:hanging="720"/>
      </w:pPr>
      <w:r>
        <w:t>A.</w:t>
      </w:r>
      <w:r w:rsidR="00277571">
        <w:t xml:space="preserve"> </w:t>
      </w:r>
      <w:r w:rsidR="00277571">
        <w:tab/>
      </w:r>
      <w:r w:rsidR="00914A90">
        <w:t>No.</w:t>
      </w:r>
      <w:r w:rsidR="00277571">
        <w:t xml:space="preserve"> </w:t>
      </w:r>
      <w:r w:rsidR="00615E73">
        <w:t>The Voice of the Customer survey is an important tool for the Company, but it is a Company contracted questionnaire to customers who have had direct contact with the Company, whether through the call center or field technicians. It is not a randomized survey that asks questions specifically about the dura</w:t>
      </w:r>
      <w:r w:rsidR="00840D87">
        <w:t>tion and frequency of outages.</w:t>
      </w:r>
      <w:r w:rsidR="00C01280">
        <w:t xml:space="preserve"> Some customers may experience better reliability than others (less frequent outages for shorter durations) and might not be as well represented in the survey.  </w:t>
      </w:r>
      <w:r w:rsidR="00B0270A">
        <w:t xml:space="preserve">Like the Voice of the Customer survey, the J.D. Power survey only captures customer perception of reliability.  </w:t>
      </w:r>
    </w:p>
    <w:p w14:paraId="0395BE99" w14:textId="56F52437" w:rsidR="00277571" w:rsidRDefault="00277571" w:rsidP="00615E73">
      <w:pPr>
        <w:spacing w:line="480" w:lineRule="auto"/>
        <w:ind w:left="720" w:firstLine="720"/>
      </w:pPr>
      <w:r>
        <w:t>The 2015 Ann</w:t>
      </w:r>
      <w:r w:rsidR="005D5D16">
        <w:t>ual Report states that the 2014 SAIDI and SAIFI scores</w:t>
      </w:r>
      <w:r>
        <w:t xml:space="preserve"> may be higher than 2005 due to under reporting that may have occurred during the transition to the Company’s Outage Management Tool </w:t>
      </w:r>
      <w:r w:rsidR="00266D0D">
        <w:t xml:space="preserve">(OMT) </w:t>
      </w:r>
      <w:r>
        <w:t>in 2005.</w:t>
      </w:r>
      <w:r>
        <w:rPr>
          <w:rStyle w:val="FootnoteReference"/>
        </w:rPr>
        <w:footnoteReference w:id="8"/>
      </w:r>
      <w:r>
        <w:t xml:space="preserve">  </w:t>
      </w:r>
      <w:r w:rsidR="00266D0D">
        <w:t>On the other hand, the Company also reports that the gradual increase in scores from 2007 until 2012 were not attributable to the transition to the new OMT.</w:t>
      </w:r>
      <w:r w:rsidR="00F73BF4">
        <w:rPr>
          <w:rStyle w:val="FootnoteReference"/>
        </w:rPr>
        <w:footnoteReference w:id="9"/>
      </w:r>
      <w:r w:rsidR="00266D0D">
        <w:t xml:space="preserve">  Unfortunately, the Company did not provide additional explanation or analysis as to w</w:t>
      </w:r>
      <w:r w:rsidR="007053BA">
        <w:t xml:space="preserve">hat is causing the scores to </w:t>
      </w:r>
      <w:r w:rsidR="00266D0D">
        <w:t xml:space="preserve">rise.  </w:t>
      </w:r>
      <w:r w:rsidR="00914A90">
        <w:t>Staff</w:t>
      </w:r>
      <w:r w:rsidR="00266D0D">
        <w:t xml:space="preserve"> is not comfortable using only this information to determine </w:t>
      </w:r>
      <w:r w:rsidR="00F73BF4">
        <w:t>whether Avista’s service is sufficiently reliable.</w:t>
      </w:r>
      <w:r w:rsidR="00615E73">
        <w:t xml:space="preserve"> </w:t>
      </w:r>
    </w:p>
    <w:p w14:paraId="0395BE9D" w14:textId="77777777" w:rsidR="00D945AB" w:rsidRDefault="00D945AB" w:rsidP="009C2C97">
      <w:pPr>
        <w:spacing w:line="480" w:lineRule="auto"/>
      </w:pPr>
    </w:p>
    <w:p w14:paraId="0395BE9E" w14:textId="4A4753CB" w:rsidR="00D945AB" w:rsidRPr="00D11560" w:rsidRDefault="00C91E10" w:rsidP="00C91E10">
      <w:pPr>
        <w:pStyle w:val="Heading2"/>
        <w:keepNext/>
      </w:pPr>
      <w:r>
        <w:t>Q.</w:t>
      </w:r>
      <w:r w:rsidR="00D945AB" w:rsidRPr="00D11560">
        <w:t xml:space="preserve"> </w:t>
      </w:r>
      <w:r w:rsidR="00D945AB" w:rsidRPr="00D11560">
        <w:tab/>
      </w:r>
      <w:r w:rsidR="00266D0D">
        <w:t xml:space="preserve">Why are the identified tools </w:t>
      </w:r>
      <w:r w:rsidR="00AD229F">
        <w:t>in</w:t>
      </w:r>
      <w:r w:rsidR="00BD468A">
        <w:t xml:space="preserve">sufficient </w:t>
      </w:r>
      <w:r w:rsidR="00266D0D">
        <w:t>for determining reliability</w:t>
      </w:r>
      <w:r w:rsidR="00D945AB" w:rsidRPr="00D11560">
        <w:t>?</w:t>
      </w:r>
    </w:p>
    <w:p w14:paraId="0395BE9F" w14:textId="114D99A6" w:rsidR="009D1BFD" w:rsidRDefault="00C91E10" w:rsidP="00523C3B">
      <w:pPr>
        <w:spacing w:line="480" w:lineRule="auto"/>
        <w:ind w:left="720" w:hanging="720"/>
      </w:pPr>
      <w:r>
        <w:t>A.</w:t>
      </w:r>
      <w:r w:rsidR="00D945AB">
        <w:t xml:space="preserve"> </w:t>
      </w:r>
      <w:r w:rsidR="00D945AB">
        <w:tab/>
      </w:r>
      <w:r w:rsidR="00266D0D">
        <w:t>To use SAIDI and SAIF</w:t>
      </w:r>
      <w:r w:rsidR="00031127">
        <w:t>I to evaluate reliability the measurements need</w:t>
      </w:r>
      <w:r w:rsidR="00266D0D">
        <w:t xml:space="preserve"> to </w:t>
      </w:r>
      <w:r w:rsidR="00031127">
        <w:t xml:space="preserve">have </w:t>
      </w:r>
      <w:r w:rsidR="00266D0D">
        <w:t xml:space="preserve">meaningful </w:t>
      </w:r>
      <w:r w:rsidR="00523C3B">
        <w:t>company</w:t>
      </w:r>
      <w:r w:rsidR="00F73BF4">
        <w:t>-</w:t>
      </w:r>
      <w:r w:rsidR="00523C3B">
        <w:t>specific benchmarks</w:t>
      </w:r>
      <w:r w:rsidR="00D81FBA">
        <w:t xml:space="preserve">. </w:t>
      </w:r>
      <w:r w:rsidR="00DF1281">
        <w:t>WAC 480-100-393(3)(b)</w:t>
      </w:r>
      <w:r w:rsidR="007E6A02">
        <w:t xml:space="preserve"> </w:t>
      </w:r>
      <w:r w:rsidR="00D81FBA">
        <w:t>required the electric utilities</w:t>
      </w:r>
      <w:r w:rsidR="007E6A02">
        <w:t xml:space="preserve"> to set a baseline </w:t>
      </w:r>
      <w:r w:rsidR="00000D22">
        <w:t xml:space="preserve">for its reliability measurements </w:t>
      </w:r>
      <w:r w:rsidR="007E6A02">
        <w:t xml:space="preserve">in its annual electric reliability reports, and </w:t>
      </w:r>
      <w:r w:rsidR="00D81FBA">
        <w:t>Avista</w:t>
      </w:r>
      <w:r w:rsidR="007E6A02">
        <w:t xml:space="preserve"> chose 2005</w:t>
      </w:r>
      <w:r w:rsidR="00DF1281">
        <w:t>.</w:t>
      </w:r>
      <w:r w:rsidR="00D81FBA" w:rsidRPr="00D81FBA">
        <w:t xml:space="preserve"> </w:t>
      </w:r>
      <w:r w:rsidR="00D81FBA">
        <w:t xml:space="preserve"> Puget Sound Energy and Pacif</w:t>
      </w:r>
      <w:r w:rsidR="00523C3B">
        <w:t xml:space="preserve">ic Power each chose 2003 as its </w:t>
      </w:r>
      <w:r w:rsidR="00D81FBA">
        <w:t>baseline.</w:t>
      </w:r>
      <w:r w:rsidR="00D81FBA">
        <w:rPr>
          <w:rStyle w:val="FootnoteReference"/>
        </w:rPr>
        <w:footnoteReference w:id="10"/>
      </w:r>
      <w:r w:rsidR="00D81FBA" w:rsidRPr="00933AF7">
        <w:rPr>
          <w:vertAlign w:val="superscript"/>
        </w:rPr>
        <w:t>,</w:t>
      </w:r>
      <w:r w:rsidR="00D81FBA">
        <w:rPr>
          <w:rStyle w:val="FootnoteReference"/>
        </w:rPr>
        <w:footnoteReference w:id="11"/>
      </w:r>
      <w:r w:rsidR="00D81FBA">
        <w:t xml:space="preserve"> </w:t>
      </w:r>
      <w:r w:rsidR="00DF1281">
        <w:t xml:space="preserve"> There is nothing inherently significant about the year </w:t>
      </w:r>
      <w:r w:rsidR="00D81FBA">
        <w:t xml:space="preserve">2003 or </w:t>
      </w:r>
      <w:r w:rsidR="00DF1281">
        <w:t>2005</w:t>
      </w:r>
      <w:r w:rsidR="009A4786">
        <w:t xml:space="preserve"> as a benchmark to</w:t>
      </w:r>
      <w:r w:rsidR="00933AF7">
        <w:t xml:space="preserve"> judge adequate reliability.  R</w:t>
      </w:r>
      <w:r w:rsidR="007E6A02">
        <w:t>ather</w:t>
      </w:r>
      <w:r w:rsidR="00933AF7">
        <w:t>,</w:t>
      </w:r>
      <w:r w:rsidR="007E6A02">
        <w:t xml:space="preserve"> the </w:t>
      </w:r>
      <w:r w:rsidR="00BA57BF">
        <w:t xml:space="preserve">companies were allowed to </w:t>
      </w:r>
      <w:r w:rsidR="00D81FBA">
        <w:t>choose</w:t>
      </w:r>
      <w:r w:rsidR="00DF1281">
        <w:t xml:space="preserve"> a basel</w:t>
      </w:r>
      <w:r w:rsidR="00D81FBA">
        <w:t xml:space="preserve">ine so as to provide a </w:t>
      </w:r>
      <w:r w:rsidR="001A1DAD">
        <w:t>beginning</w:t>
      </w:r>
      <w:r w:rsidR="00933AF7">
        <w:t xml:space="preserve"> </w:t>
      </w:r>
      <w:r w:rsidR="00D81FBA">
        <w:t>year for</w:t>
      </w:r>
      <w:r w:rsidR="001A1DAD">
        <w:t xml:space="preserve"> t</w:t>
      </w:r>
      <w:r w:rsidR="00031127">
        <w:t>rend</w:t>
      </w:r>
      <w:r w:rsidR="00933AF7">
        <w:t xml:space="preserve"> </w:t>
      </w:r>
      <w:r w:rsidR="00D81FBA">
        <w:t>analysis</w:t>
      </w:r>
      <w:r w:rsidR="001A1DAD">
        <w:t>.</w:t>
      </w:r>
      <w:r w:rsidR="00523C3B">
        <w:t xml:space="preserve">  </w:t>
      </w:r>
    </w:p>
    <w:p w14:paraId="0395BEA0" w14:textId="59071460" w:rsidR="00DF1281" w:rsidRDefault="00FF7199" w:rsidP="00D56C43">
      <w:pPr>
        <w:spacing w:line="480" w:lineRule="auto"/>
        <w:ind w:left="720" w:firstLine="720"/>
      </w:pPr>
      <w:r>
        <w:t>Although t</w:t>
      </w:r>
      <w:r w:rsidR="00031127">
        <w:t>rends are important for</w:t>
      </w:r>
      <w:r w:rsidR="007D122F">
        <w:t xml:space="preserve"> </w:t>
      </w:r>
      <w:r>
        <w:t xml:space="preserve">identifying </w:t>
      </w:r>
      <w:r w:rsidR="00143EC9">
        <w:t>a changing level of reliability, and</w:t>
      </w:r>
      <w:r>
        <w:t xml:space="preserve"> </w:t>
      </w:r>
      <w:r w:rsidR="007D122F">
        <w:t xml:space="preserve">it is </w:t>
      </w:r>
      <w:r>
        <w:t xml:space="preserve">certainly </w:t>
      </w:r>
      <w:r w:rsidR="007D122F">
        <w:t>important for the Company to be responsive to its customer opinion</w:t>
      </w:r>
      <w:r w:rsidR="00D56C43">
        <w:t xml:space="preserve">, neither </w:t>
      </w:r>
      <w:r w:rsidR="00C01280">
        <w:t>the ann</w:t>
      </w:r>
      <w:r w:rsidR="00060ECE">
        <w:t>ual electric reliability report nor the customer surveys</w:t>
      </w:r>
      <w:r w:rsidR="00D56C43">
        <w:t xml:space="preserve"> </w:t>
      </w:r>
      <w:r w:rsidR="00C01280">
        <w:t>answer</w:t>
      </w:r>
      <w:r w:rsidR="00D56C43">
        <w:t xml:space="preserve"> the question, ‘Is Avista currently providing adequate </w:t>
      </w:r>
      <w:r w:rsidR="007D122F">
        <w:t xml:space="preserve">electric service reliability?’ It </w:t>
      </w:r>
      <w:r w:rsidR="00D945AB">
        <w:t xml:space="preserve">is possible </w:t>
      </w:r>
      <w:r w:rsidR="007D122F">
        <w:t xml:space="preserve">for the service to be </w:t>
      </w:r>
      <w:r w:rsidR="00D945AB">
        <w:t>consistently</w:t>
      </w:r>
      <w:r w:rsidR="00312BDF">
        <w:t>, year-after-year,</w:t>
      </w:r>
      <w:r w:rsidR="007D122F">
        <w:t xml:space="preserve"> reliable</w:t>
      </w:r>
      <w:r w:rsidR="00D945AB">
        <w:t xml:space="preserve"> beyond what is necessary</w:t>
      </w:r>
      <w:r w:rsidR="007D122F">
        <w:t>,</w:t>
      </w:r>
      <w:r w:rsidR="00D945AB">
        <w:t xml:space="preserve"> and </w:t>
      </w:r>
      <w:r w:rsidR="002F069F">
        <w:t xml:space="preserve">for </w:t>
      </w:r>
      <w:r w:rsidR="00D945AB">
        <w:t xml:space="preserve">customers </w:t>
      </w:r>
      <w:r w:rsidR="002F069F">
        <w:t xml:space="preserve">to be satisfied </w:t>
      </w:r>
      <w:r w:rsidR="00D945AB">
        <w:t xml:space="preserve">with that aspect of service, but paying too much. It is also possible that the company is consistently providing </w:t>
      </w:r>
      <w:r w:rsidR="007F44D6">
        <w:t>in</w:t>
      </w:r>
      <w:r w:rsidR="00D945AB">
        <w:t xml:space="preserve">adequate reliability but the customers are </w:t>
      </w:r>
      <w:r w:rsidR="007F44D6">
        <w:t xml:space="preserve">conditioned to accept the current quality of service or are simply </w:t>
      </w:r>
      <w:r w:rsidR="00D945AB">
        <w:t>not aware service should, or could, be improved.</w:t>
      </w:r>
      <w:r w:rsidR="00742190" w:rsidRPr="00742190">
        <w:t xml:space="preserve"> </w:t>
      </w:r>
    </w:p>
    <w:p w14:paraId="0395BEA1" w14:textId="77777777" w:rsidR="00742190" w:rsidRDefault="00742190" w:rsidP="00C91E10">
      <w:pPr>
        <w:spacing w:line="480" w:lineRule="auto"/>
      </w:pPr>
    </w:p>
    <w:p w14:paraId="0395BEA2" w14:textId="597328B3" w:rsidR="00742190" w:rsidRPr="00D11560" w:rsidRDefault="00742190" w:rsidP="00C91E10">
      <w:pPr>
        <w:pStyle w:val="Heading2"/>
        <w:keepNext/>
      </w:pPr>
      <w:r w:rsidRPr="00D11560">
        <w:t>Q</w:t>
      </w:r>
      <w:r w:rsidR="00C91E10">
        <w:t>.</w:t>
      </w:r>
      <w:r w:rsidRPr="00D11560">
        <w:t xml:space="preserve"> </w:t>
      </w:r>
      <w:r w:rsidRPr="00D11560">
        <w:tab/>
      </w:r>
      <w:r w:rsidR="00D56C43">
        <w:t xml:space="preserve">Is </w:t>
      </w:r>
      <w:r w:rsidRPr="00D11560">
        <w:t>Avist</w:t>
      </w:r>
      <w:r>
        <w:t>a currently providing adequate</w:t>
      </w:r>
      <w:r w:rsidRPr="00D11560">
        <w:t xml:space="preserve"> </w:t>
      </w:r>
      <w:r>
        <w:t>electric service reliability</w:t>
      </w:r>
      <w:r w:rsidRPr="00D11560">
        <w:t>?</w:t>
      </w:r>
    </w:p>
    <w:p w14:paraId="0395BEA3" w14:textId="07C6FC31" w:rsidR="00742190" w:rsidRDefault="00C91E10" w:rsidP="00742190">
      <w:pPr>
        <w:spacing w:line="480" w:lineRule="auto"/>
        <w:ind w:left="720" w:hanging="720"/>
      </w:pPr>
      <w:r>
        <w:t>A.</w:t>
      </w:r>
      <w:r w:rsidR="00742190">
        <w:t xml:space="preserve"> </w:t>
      </w:r>
      <w:r w:rsidR="00742190">
        <w:tab/>
      </w:r>
      <w:r w:rsidR="006645B2">
        <w:t xml:space="preserve">Staff does not know. </w:t>
      </w:r>
      <w:r w:rsidR="00742190">
        <w:t xml:space="preserve">Staff has not seen </w:t>
      </w:r>
      <w:r w:rsidR="00D047F8">
        <w:t xml:space="preserve">a </w:t>
      </w:r>
      <w:r w:rsidR="009009D2">
        <w:t>definitive</w:t>
      </w:r>
      <w:r w:rsidR="00742190">
        <w:t xml:space="preserve"> evaluation</w:t>
      </w:r>
      <w:r w:rsidR="00D047F8">
        <w:t xml:space="preserve"> as to whether</w:t>
      </w:r>
      <w:r w:rsidR="00742190">
        <w:t xml:space="preserve"> the Company’s SAIDI and SAIFI scores</w:t>
      </w:r>
      <w:r w:rsidR="00EE4838">
        <w:t xml:space="preserve"> </w:t>
      </w:r>
      <w:r w:rsidR="00FF3A2D">
        <w:t>demonstrate reliable service</w:t>
      </w:r>
      <w:r w:rsidR="00940F1B">
        <w:t>. Importantly, Staff has not</w:t>
      </w:r>
      <w:r w:rsidR="00742190">
        <w:t xml:space="preserve"> seen definitive evidence that the company’s service is unreliable.</w:t>
      </w:r>
      <w:r w:rsidR="00277571">
        <w:t xml:space="preserve">  </w:t>
      </w:r>
      <w:r w:rsidR="00C01280">
        <w:t>Simply tracking SAIDI and SAIFI performance relative to the Company’s 2005 baseline does not provide suf</w:t>
      </w:r>
      <w:r w:rsidR="00407067">
        <w:t xml:space="preserve">ficient evidence </w:t>
      </w:r>
      <w:r w:rsidR="00C01280">
        <w:t xml:space="preserve">of adequate reliability.  </w:t>
      </w:r>
      <w:r w:rsidR="009F3F2F">
        <w:t xml:space="preserve">Rather, </w:t>
      </w:r>
      <w:r w:rsidR="00CA00B3">
        <w:t>that baseline</w:t>
      </w:r>
      <w:r w:rsidR="009F3F2F">
        <w:t xml:space="preserve"> </w:t>
      </w:r>
      <w:r w:rsidR="00CA00B3">
        <w:t>was</w:t>
      </w:r>
      <w:r w:rsidR="00785634">
        <w:t xml:space="preserve"> chosen by Avista so that it could evaluate </w:t>
      </w:r>
      <w:r w:rsidR="00785634" w:rsidRPr="003F6397">
        <w:t>changes</w:t>
      </w:r>
      <w:r w:rsidR="00785634">
        <w:t xml:space="preserve"> in service reliability, not because reliability was </w:t>
      </w:r>
      <w:r w:rsidR="00840D87">
        <w:t>determined to be sufficiently reliable in</w:t>
      </w:r>
      <w:r w:rsidR="00785634">
        <w:t xml:space="preserve"> 2005. In fact, Staff still does not know if Avista’s SAIDI and SAIFI scores for 2005</w:t>
      </w:r>
      <w:r w:rsidR="00840D87">
        <w:t xml:space="preserve"> demonstrate</w:t>
      </w:r>
      <w:r w:rsidR="00CA00B3">
        <w:t>d</w:t>
      </w:r>
      <w:r w:rsidR="00840D87">
        <w:t xml:space="preserve"> sufficient reliability, or not.</w:t>
      </w:r>
      <w:r w:rsidR="00785634">
        <w:t xml:space="preserve"> </w:t>
      </w:r>
    </w:p>
    <w:p w14:paraId="796A4C46" w14:textId="7FC5A738" w:rsidR="00840D87" w:rsidRDefault="006E140D" w:rsidP="00D56C43">
      <w:pPr>
        <w:spacing w:line="480" w:lineRule="auto"/>
        <w:ind w:left="720" w:firstLine="720"/>
      </w:pPr>
      <w:r>
        <w:t xml:space="preserve">One way of assessing whether Avista’s service is sufficiently reliable is to compare the Company’s performance to other utilities. </w:t>
      </w:r>
      <w:r w:rsidR="00762E58">
        <w:t xml:space="preserve"> </w:t>
      </w:r>
      <w:r w:rsidR="00EE4838">
        <w:t xml:space="preserve">Unfortunately, peer utility comparison </w:t>
      </w:r>
      <w:r w:rsidR="00D70C63">
        <w:t>suffers from a critical flaw; it does not control for the fact that e</w:t>
      </w:r>
      <w:r w:rsidR="00EE4838">
        <w:t xml:space="preserve">ach utility’s service territory </w:t>
      </w:r>
      <w:r w:rsidR="0046208E">
        <w:t xml:space="preserve">has a </w:t>
      </w:r>
      <w:r w:rsidR="00EE4838">
        <w:t xml:space="preserve">unique combination of attributes that affect its reliability (e.g., miles of distribution line, percentage of lines underground, vegetation coverage, population density, etc.).  Avista is a midsized utility with a very large, rural service territory, located in </w:t>
      </w:r>
      <w:r w:rsidR="007053BA">
        <w:t xml:space="preserve">the </w:t>
      </w:r>
      <w:r w:rsidR="00EE4838">
        <w:t xml:space="preserve">interior of the Pacific Northwest.  </w:t>
      </w:r>
    </w:p>
    <w:p w14:paraId="0395BEA4" w14:textId="5593E587" w:rsidR="00742190" w:rsidRDefault="007053BA" w:rsidP="00D56C43">
      <w:pPr>
        <w:spacing w:line="480" w:lineRule="auto"/>
        <w:ind w:left="720" w:firstLine="720"/>
      </w:pPr>
      <w:r w:rsidRPr="00321521">
        <w:t>Even i</w:t>
      </w:r>
      <w:r w:rsidR="00210B97" w:rsidRPr="00321521">
        <w:t xml:space="preserve">f we use a </w:t>
      </w:r>
      <w:r w:rsidR="00523C3B" w:rsidRPr="00321521">
        <w:t>peer-</w:t>
      </w:r>
      <w:r w:rsidR="00210B97" w:rsidRPr="00321521">
        <w:t>comparison for</w:t>
      </w:r>
      <w:r w:rsidR="00523C3B" w:rsidRPr="00321521">
        <w:t xml:space="preserve"> Avista </w:t>
      </w:r>
      <w:r w:rsidR="00210B97" w:rsidRPr="00321521">
        <w:t>as a benchmark</w:t>
      </w:r>
      <w:r w:rsidR="00EE4838" w:rsidRPr="00321521">
        <w:t>, there is a risk of an unintended incentive to either under- or over-invest in its distribution plant to achieve an inadequately benchmarked reliability score.</w:t>
      </w:r>
      <w:r w:rsidR="00210B97" w:rsidRPr="00321521">
        <w:t xml:space="preserve">  That risk is also present if the</w:t>
      </w:r>
      <w:r w:rsidR="000537EC" w:rsidRPr="00321521">
        <w:t xml:space="preserve"> Company’s reliability benchmarks are set using a specific – or even an average – year</w:t>
      </w:r>
      <w:r w:rsidR="0046208E">
        <w:t>’</w:t>
      </w:r>
      <w:r w:rsidR="00AF0115" w:rsidRPr="00321521">
        <w:t>s</w:t>
      </w:r>
      <w:r w:rsidR="000537EC" w:rsidRPr="00321521">
        <w:t xml:space="preserve"> score.</w:t>
      </w:r>
      <w:r w:rsidR="00840D87">
        <w:t xml:space="preserve">  </w:t>
      </w:r>
      <w:r w:rsidR="00CA00B3">
        <w:t xml:space="preserve">Due to this concern, </w:t>
      </w:r>
      <w:r w:rsidR="00184AC5">
        <w:t xml:space="preserve">Staff cannot conclude that reliability is acceptable until the reliability metrics have meaningful company-specific benchmarks. </w:t>
      </w:r>
    </w:p>
    <w:p w14:paraId="0395BEA5" w14:textId="77777777" w:rsidR="00EE4838" w:rsidRDefault="00EE4838" w:rsidP="00C91E10">
      <w:pPr>
        <w:spacing w:line="480" w:lineRule="auto"/>
      </w:pPr>
    </w:p>
    <w:p w14:paraId="0395BEA6" w14:textId="1F7343E5" w:rsidR="00EE4838" w:rsidRPr="00D11560" w:rsidRDefault="00C91E10" w:rsidP="00EE4838">
      <w:pPr>
        <w:pStyle w:val="Heading2"/>
      </w:pPr>
      <w:r>
        <w:t>Q.</w:t>
      </w:r>
      <w:r w:rsidR="00EE4838" w:rsidRPr="00D11560">
        <w:t xml:space="preserve"> </w:t>
      </w:r>
      <w:r w:rsidR="00EE4838" w:rsidRPr="00D11560">
        <w:tab/>
      </w:r>
      <w:r w:rsidR="00EE4838">
        <w:t xml:space="preserve">What evaluation </w:t>
      </w:r>
      <w:r w:rsidR="00962047">
        <w:t xml:space="preserve">tool </w:t>
      </w:r>
      <w:r w:rsidR="007053BA">
        <w:t xml:space="preserve">would allow </w:t>
      </w:r>
      <w:r w:rsidR="0087565C">
        <w:t>staff</w:t>
      </w:r>
      <w:r w:rsidR="00EE4838">
        <w:t xml:space="preserve"> to determine if the company’s SAIDI and SAIFI score</w:t>
      </w:r>
      <w:r w:rsidR="00867446">
        <w:t>s</w:t>
      </w:r>
      <w:r w:rsidR="00EE4838">
        <w:t xml:space="preserve"> demonstrate adequate reliability</w:t>
      </w:r>
      <w:r w:rsidR="00EE4838" w:rsidRPr="00D11560">
        <w:t>?</w:t>
      </w:r>
    </w:p>
    <w:p w14:paraId="0395BEA7" w14:textId="33436D66" w:rsidR="00EE4838" w:rsidRDefault="00C91E10" w:rsidP="00EE4838">
      <w:pPr>
        <w:spacing w:line="480" w:lineRule="auto"/>
        <w:ind w:left="720" w:hanging="720"/>
      </w:pPr>
      <w:r>
        <w:t>A.</w:t>
      </w:r>
      <w:r w:rsidR="00962047">
        <w:t xml:space="preserve"> </w:t>
      </w:r>
      <w:r w:rsidR="00962047">
        <w:tab/>
        <w:t xml:space="preserve">Staff is </w:t>
      </w:r>
      <w:r w:rsidR="00084CFC">
        <w:t xml:space="preserve">currently </w:t>
      </w:r>
      <w:r w:rsidR="00962047">
        <w:t>developing</w:t>
      </w:r>
      <w:r w:rsidR="00EE4838">
        <w:t xml:space="preserve"> an econometric model that </w:t>
      </w:r>
      <w:r w:rsidR="00084CFC">
        <w:t>aims to</w:t>
      </w:r>
      <w:r w:rsidR="00EE4838">
        <w:t xml:space="preserve"> take into account company-specific </w:t>
      </w:r>
      <w:r w:rsidR="00084CFC">
        <w:t xml:space="preserve">service territory </w:t>
      </w:r>
      <w:r w:rsidR="00EE4838">
        <w:t>attributes to determine appropriate, utility-specific benchmark</w:t>
      </w:r>
      <w:r w:rsidR="00084CFC">
        <w:t>s</w:t>
      </w:r>
      <w:r w:rsidR="00EE4838">
        <w:t>.  The model will use data on as many relevant variables as necessary</w:t>
      </w:r>
      <w:r w:rsidR="0046208E">
        <w:t xml:space="preserve"> and available</w:t>
      </w:r>
      <w:r w:rsidR="00EE4838">
        <w:t>, collected from regulated utilities across the country, to quantify the relationship of service territory characteristics to reliability performance.  For example, the model will quantify the relationship and relative impact</w:t>
      </w:r>
      <w:r w:rsidR="00EE4838" w:rsidRPr="0056679E">
        <w:t xml:space="preserve"> </w:t>
      </w:r>
      <w:r w:rsidR="00EE4838">
        <w:t xml:space="preserve">of the percentage of distribution lines underground on SAIDI and SAIFI scores.  It will also quantify the significance of population density upon the scores, amongst other variables.  Once the model has quantified the relative impact of each of the identified variables, we can </w:t>
      </w:r>
      <w:r w:rsidR="0046208E">
        <w:t xml:space="preserve">enter in </w:t>
      </w:r>
      <w:r w:rsidR="00084CFC">
        <w:t>each c</w:t>
      </w:r>
      <w:r w:rsidR="00EE4838">
        <w:t xml:space="preserve">ompany’s specific service territory characteristics to the model to create a proper benchmark that is specific to </w:t>
      </w:r>
      <w:r w:rsidR="00084CFC">
        <w:t>that company.</w:t>
      </w:r>
      <w:r w:rsidR="00EE4838">
        <w:t xml:space="preserve">  </w:t>
      </w:r>
    </w:p>
    <w:p w14:paraId="6CAC3553" w14:textId="4D757200" w:rsidR="00CB61A4" w:rsidRDefault="0046208E" w:rsidP="00143EC9">
      <w:pPr>
        <w:spacing w:line="480" w:lineRule="auto"/>
        <w:ind w:left="720" w:firstLine="720"/>
      </w:pPr>
      <w:r>
        <w:t>Staff will need to</w:t>
      </w:r>
      <w:r w:rsidR="007053BA">
        <w:t xml:space="preserve"> </w:t>
      </w:r>
      <w:r w:rsidR="00EE4838">
        <w:t xml:space="preserve">identify as many relevant variables that affect reliability as possible, and collect that data from as many regulated utilities as possible.  Obviously, this is a laborious task and participation from the regulated utilities in identifying key data sources and developing the model will be critical. </w:t>
      </w:r>
    </w:p>
    <w:p w14:paraId="04B25E1D" w14:textId="77777777" w:rsidR="000D2F27" w:rsidRDefault="000D2F27" w:rsidP="00143EC9">
      <w:pPr>
        <w:spacing w:line="480" w:lineRule="auto"/>
        <w:ind w:left="720" w:firstLine="720"/>
      </w:pPr>
    </w:p>
    <w:p w14:paraId="44EA373F" w14:textId="30AA6AD4" w:rsidR="000D2F27" w:rsidRPr="00D11560" w:rsidRDefault="00C91E10" w:rsidP="000D2F27">
      <w:pPr>
        <w:pStyle w:val="Heading2"/>
      </w:pPr>
      <w:r>
        <w:t>Q.</w:t>
      </w:r>
      <w:r w:rsidR="000D2F27" w:rsidRPr="00D11560">
        <w:t xml:space="preserve"> </w:t>
      </w:r>
      <w:r w:rsidR="000D2F27" w:rsidRPr="00D11560">
        <w:tab/>
      </w:r>
      <w:r w:rsidR="000D2F27">
        <w:t>Does this conclude your testimony</w:t>
      </w:r>
      <w:r w:rsidR="000D2F27" w:rsidRPr="00D11560">
        <w:t>?</w:t>
      </w:r>
    </w:p>
    <w:p w14:paraId="2F154EAF" w14:textId="77240BE8" w:rsidR="000D2F27" w:rsidRDefault="00C91E10" w:rsidP="000D2F27">
      <w:pPr>
        <w:spacing w:line="480" w:lineRule="auto"/>
      </w:pPr>
      <w:r>
        <w:t>A.</w:t>
      </w:r>
      <w:r w:rsidR="000D2F27">
        <w:t xml:space="preserve"> </w:t>
      </w:r>
      <w:r w:rsidR="000D2F27">
        <w:tab/>
        <w:t xml:space="preserve">Yes. </w:t>
      </w:r>
    </w:p>
    <w:sectPr w:rsidR="000D2F27" w:rsidSect="0015026F">
      <w:footerReference w:type="default" r:id="rId12"/>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5BEAC" w14:textId="77777777" w:rsidR="009A1B55" w:rsidRDefault="009A1B55" w:rsidP="009A1B55">
      <w:r>
        <w:separator/>
      </w:r>
    </w:p>
  </w:endnote>
  <w:endnote w:type="continuationSeparator" w:id="0">
    <w:p w14:paraId="0395BEAD" w14:textId="77777777" w:rsidR="009A1B55" w:rsidRDefault="009A1B55" w:rsidP="009A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5BEAE" w14:textId="77777777" w:rsidR="009A1B55" w:rsidRPr="0015026F" w:rsidRDefault="009A1B55" w:rsidP="0015026F">
    <w:pPr>
      <w:pStyle w:val="Footer"/>
      <w:tabs>
        <w:tab w:val="clear" w:pos="9360"/>
        <w:tab w:val="right" w:pos="8910"/>
      </w:tabs>
      <w:rPr>
        <w:sz w:val="20"/>
        <w:szCs w:val="20"/>
      </w:rPr>
    </w:pPr>
  </w:p>
  <w:p w14:paraId="0395BEAF" w14:textId="2FEB6C01" w:rsidR="009A1B55" w:rsidRPr="0015026F" w:rsidRDefault="009A1B55" w:rsidP="0015026F">
    <w:pPr>
      <w:pStyle w:val="Footer"/>
      <w:tabs>
        <w:tab w:val="clear" w:pos="9360"/>
        <w:tab w:val="right" w:pos="8910"/>
      </w:tabs>
      <w:rPr>
        <w:sz w:val="20"/>
        <w:szCs w:val="20"/>
      </w:rPr>
    </w:pPr>
    <w:r>
      <w:rPr>
        <w:sz w:val="20"/>
        <w:szCs w:val="20"/>
      </w:rPr>
      <w:t xml:space="preserve">TESTIMONY OF BRADLEY T. CEBULKO </w:t>
    </w:r>
    <w:r>
      <w:rPr>
        <w:sz w:val="20"/>
        <w:szCs w:val="20"/>
      </w:rPr>
      <w:tab/>
    </w:r>
    <w:r>
      <w:rPr>
        <w:sz w:val="20"/>
        <w:szCs w:val="20"/>
      </w:rPr>
      <w:tab/>
      <w:t>Exhibit No.</w:t>
    </w:r>
    <w:r w:rsidR="00C91E10">
      <w:rPr>
        <w:sz w:val="20"/>
        <w:szCs w:val="20"/>
      </w:rPr>
      <w:t xml:space="preserve"> </w:t>
    </w:r>
    <w:r>
      <w:rPr>
        <w:sz w:val="20"/>
        <w:szCs w:val="20"/>
      </w:rPr>
      <w:t>BTC-1</w:t>
    </w:r>
    <w:r w:rsidRPr="0015026F">
      <w:rPr>
        <w:sz w:val="20"/>
        <w:szCs w:val="20"/>
      </w:rPr>
      <w:t>T</w:t>
    </w:r>
  </w:p>
  <w:p w14:paraId="0395BEB0" w14:textId="3B175E84" w:rsidR="009A1B55" w:rsidRPr="0015026F" w:rsidRDefault="009A1B55" w:rsidP="0015026F">
    <w:pPr>
      <w:pStyle w:val="Footer"/>
      <w:tabs>
        <w:tab w:val="clear" w:pos="9360"/>
        <w:tab w:val="right" w:pos="8910"/>
      </w:tabs>
      <w:rPr>
        <w:sz w:val="20"/>
        <w:szCs w:val="20"/>
      </w:rPr>
    </w:pPr>
    <w:r w:rsidRPr="0015026F">
      <w:rPr>
        <w:sz w:val="20"/>
        <w:szCs w:val="20"/>
      </w:rPr>
      <w:t>Docket</w:t>
    </w:r>
    <w:r>
      <w:rPr>
        <w:sz w:val="20"/>
        <w:szCs w:val="20"/>
      </w:rPr>
      <w:t>s UE-1</w:t>
    </w:r>
    <w:r w:rsidR="00C91E10">
      <w:rPr>
        <w:sz w:val="20"/>
        <w:szCs w:val="20"/>
      </w:rPr>
      <w:t>50204</w:t>
    </w:r>
    <w:r>
      <w:rPr>
        <w:sz w:val="20"/>
        <w:szCs w:val="20"/>
      </w:rPr>
      <w:t>/UG-1</w:t>
    </w:r>
    <w:r w:rsidR="00C91E10">
      <w:rPr>
        <w:sz w:val="20"/>
        <w:szCs w:val="20"/>
      </w:rPr>
      <w:t>50205</w:t>
    </w:r>
    <w:r w:rsidRPr="0015026F">
      <w:rPr>
        <w:sz w:val="20"/>
        <w:szCs w:val="20"/>
      </w:rPr>
      <w:t xml:space="preserve"> </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E53DA0">
      <w:rPr>
        <w:noProof/>
        <w:sz w:val="20"/>
        <w:szCs w:val="20"/>
      </w:rPr>
      <w:t>i</w:t>
    </w:r>
    <w:r w:rsidRPr="0015026F">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5BEB1" w14:textId="77777777" w:rsidR="003957BE" w:rsidRPr="0015026F" w:rsidRDefault="00E53DA0" w:rsidP="0015026F">
    <w:pPr>
      <w:pStyle w:val="Footer"/>
      <w:tabs>
        <w:tab w:val="clear" w:pos="9360"/>
        <w:tab w:val="right" w:pos="8910"/>
      </w:tabs>
      <w:rPr>
        <w:sz w:val="20"/>
        <w:szCs w:val="20"/>
      </w:rPr>
    </w:pPr>
  </w:p>
  <w:p w14:paraId="0395BEB2" w14:textId="1E5CF121" w:rsidR="003957BE" w:rsidRPr="0015026F" w:rsidRDefault="0018694D" w:rsidP="0015026F">
    <w:pPr>
      <w:pStyle w:val="Footer"/>
      <w:tabs>
        <w:tab w:val="clear" w:pos="9360"/>
        <w:tab w:val="right" w:pos="8910"/>
      </w:tabs>
      <w:rPr>
        <w:sz w:val="20"/>
        <w:szCs w:val="20"/>
      </w:rPr>
    </w:pPr>
    <w:r>
      <w:rPr>
        <w:sz w:val="20"/>
        <w:szCs w:val="20"/>
      </w:rPr>
      <w:t>TESTIMONY OF BRADL</w:t>
    </w:r>
    <w:r w:rsidR="00C91E10">
      <w:rPr>
        <w:sz w:val="20"/>
        <w:szCs w:val="20"/>
      </w:rPr>
      <w:t xml:space="preserve">EY T. CEBULKO </w:t>
    </w:r>
    <w:r w:rsidR="00C91E10">
      <w:rPr>
        <w:sz w:val="20"/>
        <w:szCs w:val="20"/>
      </w:rPr>
      <w:tab/>
    </w:r>
    <w:r w:rsidR="00C91E10">
      <w:rPr>
        <w:sz w:val="20"/>
        <w:szCs w:val="20"/>
      </w:rPr>
      <w:tab/>
      <w:t xml:space="preserve">Exhibit No. </w:t>
    </w:r>
    <w:r>
      <w:rPr>
        <w:sz w:val="20"/>
        <w:szCs w:val="20"/>
      </w:rPr>
      <w:t>BTC-1</w:t>
    </w:r>
    <w:r w:rsidRPr="0015026F">
      <w:rPr>
        <w:sz w:val="20"/>
        <w:szCs w:val="20"/>
      </w:rPr>
      <w:t>T</w:t>
    </w:r>
  </w:p>
  <w:p w14:paraId="0395BEB3" w14:textId="77777777" w:rsidR="003957BE" w:rsidRPr="0015026F" w:rsidRDefault="0018694D" w:rsidP="0015026F">
    <w:pPr>
      <w:pStyle w:val="Footer"/>
      <w:tabs>
        <w:tab w:val="clear" w:pos="9360"/>
        <w:tab w:val="right" w:pos="8910"/>
      </w:tabs>
      <w:rPr>
        <w:sz w:val="20"/>
        <w:szCs w:val="20"/>
      </w:rPr>
    </w:pPr>
    <w:r w:rsidRPr="0015026F">
      <w:rPr>
        <w:sz w:val="20"/>
        <w:szCs w:val="20"/>
      </w:rPr>
      <w:t xml:space="preserve">Docket </w:t>
    </w:r>
    <w:r>
      <w:rPr>
        <w:sz w:val="20"/>
        <w:szCs w:val="20"/>
      </w:rPr>
      <w:t>UE-150204/UG-150205</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E53DA0">
      <w:rPr>
        <w:noProof/>
        <w:sz w:val="20"/>
        <w:szCs w:val="20"/>
      </w:rPr>
      <w:t>8</w:t>
    </w:r>
    <w:r w:rsidRPr="0015026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5BEAA" w14:textId="77777777" w:rsidR="009A1B55" w:rsidRDefault="009A1B55" w:rsidP="009A1B55">
      <w:r>
        <w:separator/>
      </w:r>
    </w:p>
  </w:footnote>
  <w:footnote w:type="continuationSeparator" w:id="0">
    <w:p w14:paraId="0395BEAB" w14:textId="77777777" w:rsidR="009A1B55" w:rsidRDefault="009A1B55" w:rsidP="009A1B55">
      <w:r>
        <w:continuationSeparator/>
      </w:r>
    </w:p>
  </w:footnote>
  <w:footnote w:id="1">
    <w:p w14:paraId="0395BEB4" w14:textId="3A843489" w:rsidR="009A1B55" w:rsidRDefault="009A1B55" w:rsidP="009A1B55">
      <w:pPr>
        <w:pStyle w:val="FootnoteText"/>
      </w:pPr>
      <w:r>
        <w:rPr>
          <w:rStyle w:val="FootnoteReference"/>
        </w:rPr>
        <w:footnoteRef/>
      </w:r>
      <w:r>
        <w:t xml:space="preserve"> </w:t>
      </w:r>
      <w:r w:rsidR="00565BBD">
        <w:t xml:space="preserve">Dockets </w:t>
      </w:r>
      <w:r>
        <w:t>UE-140188 and UG-140189.</w:t>
      </w:r>
    </w:p>
  </w:footnote>
  <w:footnote w:id="2">
    <w:p w14:paraId="508A7CC3" w14:textId="74FB6170" w:rsidR="00AD43C0" w:rsidRDefault="00AD43C0">
      <w:pPr>
        <w:pStyle w:val="FootnoteText"/>
      </w:pPr>
      <w:r>
        <w:rPr>
          <w:rStyle w:val="FootnoteReference"/>
        </w:rPr>
        <w:footnoteRef/>
      </w:r>
      <w:r>
        <w:t xml:space="preserve"> Staff is not requesti</w:t>
      </w:r>
      <w:r w:rsidR="00321521">
        <w:t xml:space="preserve">ng </w:t>
      </w:r>
      <w:r w:rsidR="00D047F8">
        <w:t xml:space="preserve">that </w:t>
      </w:r>
      <w:r w:rsidR="00321521">
        <w:t>the Commission</w:t>
      </w:r>
      <w:r>
        <w:t xml:space="preserve"> establish benchmark</w:t>
      </w:r>
      <w:r w:rsidR="00321521">
        <w:t>s for Avista in this rate case.</w:t>
      </w:r>
    </w:p>
  </w:footnote>
  <w:footnote w:id="3">
    <w:p w14:paraId="0395BEB5" w14:textId="77777777" w:rsidR="0060224E" w:rsidRDefault="0060224E">
      <w:pPr>
        <w:pStyle w:val="FootnoteText"/>
      </w:pPr>
      <w:r>
        <w:rPr>
          <w:rStyle w:val="FootnoteReference"/>
        </w:rPr>
        <w:footnoteRef/>
      </w:r>
      <w:r>
        <w:t xml:space="preserve"> As required by WAC 480-100-398.</w:t>
      </w:r>
    </w:p>
  </w:footnote>
  <w:footnote w:id="4">
    <w:p w14:paraId="17C3C953" w14:textId="67D443F5" w:rsidR="007D2722" w:rsidRDefault="007D2722">
      <w:pPr>
        <w:pStyle w:val="FootnoteText"/>
      </w:pPr>
      <w:r>
        <w:rPr>
          <w:rStyle w:val="FootnoteReference"/>
        </w:rPr>
        <w:footnoteRef/>
      </w:r>
      <w:r>
        <w:t xml:space="preserve"> A baseline is a starting p</w:t>
      </w:r>
      <w:r w:rsidR="008B1952">
        <w:t>oint to be used for comparisons</w:t>
      </w:r>
      <w:r w:rsidR="006F2F9A">
        <w:t>, and a benchmark is an established standard</w:t>
      </w:r>
      <w:r>
        <w:t>.</w:t>
      </w:r>
    </w:p>
  </w:footnote>
  <w:footnote w:id="5">
    <w:p w14:paraId="0F719004" w14:textId="25890C3C" w:rsidR="007944AA" w:rsidRDefault="007944AA">
      <w:pPr>
        <w:pStyle w:val="FootnoteText"/>
      </w:pPr>
      <w:r>
        <w:rPr>
          <w:rStyle w:val="FootnoteReference"/>
        </w:rPr>
        <w:footnoteRef/>
      </w:r>
      <w:r>
        <w:t xml:space="preserve"> </w:t>
      </w:r>
      <w:r w:rsidRPr="009B39D7">
        <w:rPr>
          <w:i/>
        </w:rPr>
        <w:t>Avista 2014 Electric Service Reliability Report</w:t>
      </w:r>
      <w:r>
        <w:t>, Docket UE-150695 at 2</w:t>
      </w:r>
      <w:r w:rsidR="00C91E10">
        <w:t>.</w:t>
      </w:r>
    </w:p>
  </w:footnote>
  <w:footnote w:id="6">
    <w:p w14:paraId="0395BEB6" w14:textId="1BC837D5" w:rsidR="009B39D7" w:rsidRDefault="009B39D7">
      <w:pPr>
        <w:pStyle w:val="FootnoteText"/>
      </w:pPr>
      <w:r>
        <w:rPr>
          <w:rStyle w:val="FootnoteReference"/>
        </w:rPr>
        <w:footnoteRef/>
      </w:r>
      <w:r>
        <w:t xml:space="preserve"> </w:t>
      </w:r>
      <w:r w:rsidR="00C91E10">
        <w:rPr>
          <w:i/>
        </w:rPr>
        <w:t>I</w:t>
      </w:r>
      <w:r w:rsidR="007944AA">
        <w:rPr>
          <w:i/>
        </w:rPr>
        <w:t xml:space="preserve">d. </w:t>
      </w:r>
      <w:r>
        <w:t>at 1.</w:t>
      </w:r>
    </w:p>
  </w:footnote>
  <w:footnote w:id="7">
    <w:p w14:paraId="5ABFEC55" w14:textId="34F1D8A3" w:rsidR="00914A90" w:rsidRDefault="00914A90" w:rsidP="00914A90">
      <w:pPr>
        <w:pStyle w:val="FootnoteText"/>
      </w:pPr>
      <w:r>
        <w:rPr>
          <w:rStyle w:val="FootnoteReference"/>
        </w:rPr>
        <w:footnoteRef/>
      </w:r>
      <w:r>
        <w:t xml:space="preserve"> </w:t>
      </w:r>
      <w:r w:rsidRPr="00D81FBA">
        <w:rPr>
          <w:i/>
        </w:rPr>
        <w:t>Reply Comments of Avista Corporation Related to the Proposed Service Quality Measures Program</w:t>
      </w:r>
      <w:r>
        <w:t xml:space="preserve">, Dockets UE-140188 </w:t>
      </w:r>
      <w:r w:rsidR="00C91E10">
        <w:t>and</w:t>
      </w:r>
      <w:r>
        <w:t xml:space="preserve"> UG-140189, June 17, 2015, at 5-6.</w:t>
      </w:r>
    </w:p>
  </w:footnote>
  <w:footnote w:id="8">
    <w:p w14:paraId="0395BEB7" w14:textId="48844C7C" w:rsidR="00277571" w:rsidRDefault="00277571">
      <w:pPr>
        <w:pStyle w:val="FootnoteText"/>
      </w:pPr>
      <w:r>
        <w:rPr>
          <w:rStyle w:val="FootnoteReference"/>
        </w:rPr>
        <w:footnoteRef/>
      </w:r>
      <w:r>
        <w:t xml:space="preserve"> </w:t>
      </w:r>
      <w:r w:rsidR="00B74086">
        <w:rPr>
          <w:i/>
        </w:rPr>
        <w:t xml:space="preserve">2015 Annual Report </w:t>
      </w:r>
      <w:r w:rsidR="00B74086">
        <w:t>a</w:t>
      </w:r>
      <w:r>
        <w:t xml:space="preserve">t 1. </w:t>
      </w:r>
    </w:p>
  </w:footnote>
  <w:footnote w:id="9">
    <w:p w14:paraId="6C988D34" w14:textId="37437873" w:rsidR="00F73BF4" w:rsidRDefault="00F73BF4">
      <w:pPr>
        <w:pStyle w:val="FootnoteText"/>
      </w:pPr>
      <w:r>
        <w:rPr>
          <w:rStyle w:val="FootnoteReference"/>
        </w:rPr>
        <w:footnoteRef/>
      </w:r>
      <w:r>
        <w:t xml:space="preserve"> </w:t>
      </w:r>
      <w:r w:rsidR="003F6397" w:rsidRPr="009B39D7">
        <w:rPr>
          <w:i/>
        </w:rPr>
        <w:t>Avista 2014 Electric Service Reliability Report</w:t>
      </w:r>
      <w:r w:rsidR="003F6397">
        <w:t>, Docket UE-150695 at 1.</w:t>
      </w:r>
    </w:p>
  </w:footnote>
  <w:footnote w:id="10">
    <w:p w14:paraId="0395BEB9" w14:textId="57F57BAE" w:rsidR="00D81FBA" w:rsidRDefault="00D81FBA" w:rsidP="00D81FBA">
      <w:pPr>
        <w:pStyle w:val="FootnoteText"/>
      </w:pPr>
      <w:r>
        <w:rPr>
          <w:rStyle w:val="FootnoteReference"/>
        </w:rPr>
        <w:footnoteRef/>
      </w:r>
      <w:r>
        <w:t xml:space="preserve"> </w:t>
      </w:r>
      <w:r w:rsidRPr="007E6A02">
        <w:rPr>
          <w:i/>
        </w:rPr>
        <w:t>Puget Sound Energy 2014 SQI and Electric Service Reliability Report</w:t>
      </w:r>
      <w:r>
        <w:t>, March 27, 2015, Docket</w:t>
      </w:r>
      <w:r w:rsidR="00565BBD">
        <w:t>s</w:t>
      </w:r>
      <w:r>
        <w:t xml:space="preserve"> UE-072300 </w:t>
      </w:r>
      <w:r w:rsidR="00C91E10">
        <w:t>and</w:t>
      </w:r>
      <w:r>
        <w:t xml:space="preserve"> UG-072301, at 47.</w:t>
      </w:r>
    </w:p>
  </w:footnote>
  <w:footnote w:id="11">
    <w:p w14:paraId="0395BEBA" w14:textId="0945BDEA" w:rsidR="00D81FBA" w:rsidRDefault="00D81FBA" w:rsidP="00D81FBA">
      <w:pPr>
        <w:pStyle w:val="FootnoteText"/>
      </w:pPr>
      <w:r>
        <w:rPr>
          <w:rStyle w:val="FootnoteReference"/>
        </w:rPr>
        <w:footnoteRef/>
      </w:r>
      <w:r>
        <w:t xml:space="preserve"> </w:t>
      </w:r>
      <w:r w:rsidRPr="00933AF7">
        <w:rPr>
          <w:i/>
        </w:rPr>
        <w:t>Pacific Power Washington Service Quality Review Annual Report</w:t>
      </w:r>
      <w:r>
        <w:t>, January 1 – December 31, 2014, UE-150717, at 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55"/>
    <w:rsid w:val="000001BD"/>
    <w:rsid w:val="00000D22"/>
    <w:rsid w:val="00031127"/>
    <w:rsid w:val="000537EC"/>
    <w:rsid w:val="00060ECE"/>
    <w:rsid w:val="00084CFC"/>
    <w:rsid w:val="000D2F27"/>
    <w:rsid w:val="000D4632"/>
    <w:rsid w:val="00113566"/>
    <w:rsid w:val="00117157"/>
    <w:rsid w:val="001228F9"/>
    <w:rsid w:val="00143EC9"/>
    <w:rsid w:val="00172BE7"/>
    <w:rsid w:val="00184AC5"/>
    <w:rsid w:val="0018694D"/>
    <w:rsid w:val="001A11C8"/>
    <w:rsid w:val="001A1DAD"/>
    <w:rsid w:val="001B0D92"/>
    <w:rsid w:val="00210B97"/>
    <w:rsid w:val="00232860"/>
    <w:rsid w:val="00240ACA"/>
    <w:rsid w:val="00266D0D"/>
    <w:rsid w:val="00277571"/>
    <w:rsid w:val="002F069F"/>
    <w:rsid w:val="002F2171"/>
    <w:rsid w:val="00312BDF"/>
    <w:rsid w:val="00321521"/>
    <w:rsid w:val="00360C14"/>
    <w:rsid w:val="003A7F40"/>
    <w:rsid w:val="003B1C91"/>
    <w:rsid w:val="003F6397"/>
    <w:rsid w:val="00407067"/>
    <w:rsid w:val="00430E3D"/>
    <w:rsid w:val="0046208E"/>
    <w:rsid w:val="004D3F7C"/>
    <w:rsid w:val="00523C3B"/>
    <w:rsid w:val="00542593"/>
    <w:rsid w:val="00565BBD"/>
    <w:rsid w:val="0058347E"/>
    <w:rsid w:val="00596AEC"/>
    <w:rsid w:val="005D29C3"/>
    <w:rsid w:val="005D5D16"/>
    <w:rsid w:val="0060224E"/>
    <w:rsid w:val="00604DBE"/>
    <w:rsid w:val="00615E73"/>
    <w:rsid w:val="006645B2"/>
    <w:rsid w:val="006655EE"/>
    <w:rsid w:val="0068297B"/>
    <w:rsid w:val="006A680E"/>
    <w:rsid w:val="006E140D"/>
    <w:rsid w:val="006F2F9A"/>
    <w:rsid w:val="00700B89"/>
    <w:rsid w:val="007053BA"/>
    <w:rsid w:val="0070631E"/>
    <w:rsid w:val="00712490"/>
    <w:rsid w:val="00742190"/>
    <w:rsid w:val="00762E58"/>
    <w:rsid w:val="00770641"/>
    <w:rsid w:val="00785634"/>
    <w:rsid w:val="007944AA"/>
    <w:rsid w:val="007D122F"/>
    <w:rsid w:val="007D2722"/>
    <w:rsid w:val="007E6A02"/>
    <w:rsid w:val="007F44D6"/>
    <w:rsid w:val="00840D87"/>
    <w:rsid w:val="008564AB"/>
    <w:rsid w:val="00867446"/>
    <w:rsid w:val="0087565C"/>
    <w:rsid w:val="008B1952"/>
    <w:rsid w:val="008D40E4"/>
    <w:rsid w:val="008E2518"/>
    <w:rsid w:val="009009D2"/>
    <w:rsid w:val="00914A90"/>
    <w:rsid w:val="00917EF8"/>
    <w:rsid w:val="00933AF7"/>
    <w:rsid w:val="00940F1B"/>
    <w:rsid w:val="00962047"/>
    <w:rsid w:val="00974E25"/>
    <w:rsid w:val="00983DFF"/>
    <w:rsid w:val="009A1B55"/>
    <w:rsid w:val="009A4786"/>
    <w:rsid w:val="009B39D7"/>
    <w:rsid w:val="009C2C97"/>
    <w:rsid w:val="009C7CE6"/>
    <w:rsid w:val="009D1BFD"/>
    <w:rsid w:val="009E5043"/>
    <w:rsid w:val="009F3F2F"/>
    <w:rsid w:val="00A01963"/>
    <w:rsid w:val="00A136B3"/>
    <w:rsid w:val="00A25A18"/>
    <w:rsid w:val="00A33929"/>
    <w:rsid w:val="00A911BF"/>
    <w:rsid w:val="00AA3CA8"/>
    <w:rsid w:val="00AD229F"/>
    <w:rsid w:val="00AD43C0"/>
    <w:rsid w:val="00AE00BC"/>
    <w:rsid w:val="00AF0115"/>
    <w:rsid w:val="00AF7C8E"/>
    <w:rsid w:val="00B00B99"/>
    <w:rsid w:val="00B0270A"/>
    <w:rsid w:val="00B1314F"/>
    <w:rsid w:val="00B62ED7"/>
    <w:rsid w:val="00B74086"/>
    <w:rsid w:val="00B95FAB"/>
    <w:rsid w:val="00BA57BF"/>
    <w:rsid w:val="00BD22D0"/>
    <w:rsid w:val="00BD468A"/>
    <w:rsid w:val="00C01280"/>
    <w:rsid w:val="00C230D6"/>
    <w:rsid w:val="00C374C1"/>
    <w:rsid w:val="00C4039A"/>
    <w:rsid w:val="00C4459F"/>
    <w:rsid w:val="00C71365"/>
    <w:rsid w:val="00C8770B"/>
    <w:rsid w:val="00C91E10"/>
    <w:rsid w:val="00CA00B3"/>
    <w:rsid w:val="00CA7470"/>
    <w:rsid w:val="00CB61A4"/>
    <w:rsid w:val="00CD0832"/>
    <w:rsid w:val="00D047F8"/>
    <w:rsid w:val="00D27398"/>
    <w:rsid w:val="00D40501"/>
    <w:rsid w:val="00D56C43"/>
    <w:rsid w:val="00D70C63"/>
    <w:rsid w:val="00D81FBA"/>
    <w:rsid w:val="00D945AB"/>
    <w:rsid w:val="00DB19DA"/>
    <w:rsid w:val="00DC0528"/>
    <w:rsid w:val="00DD409A"/>
    <w:rsid w:val="00DD5904"/>
    <w:rsid w:val="00DE2197"/>
    <w:rsid w:val="00DF1281"/>
    <w:rsid w:val="00E021BF"/>
    <w:rsid w:val="00E12BC3"/>
    <w:rsid w:val="00E14819"/>
    <w:rsid w:val="00E21BAA"/>
    <w:rsid w:val="00E53DA0"/>
    <w:rsid w:val="00E67FD3"/>
    <w:rsid w:val="00E9429F"/>
    <w:rsid w:val="00EB48DA"/>
    <w:rsid w:val="00EE4838"/>
    <w:rsid w:val="00EF6F80"/>
    <w:rsid w:val="00F73BF4"/>
    <w:rsid w:val="00FB1566"/>
    <w:rsid w:val="00FF3A2D"/>
    <w:rsid w:val="00FF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395BE2A"/>
  <w15:chartTrackingRefBased/>
  <w15:docId w15:val="{B23D788A-F43F-49D5-AF10-BD57DEAB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B55"/>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9A1B55"/>
    <w:pPr>
      <w:spacing w:line="480" w:lineRule="auto"/>
      <w:jc w:val="center"/>
      <w:outlineLvl w:val="0"/>
    </w:pPr>
    <w:rPr>
      <w:b/>
    </w:rPr>
  </w:style>
  <w:style w:type="paragraph" w:styleId="Heading2">
    <w:name w:val="heading 2"/>
    <w:basedOn w:val="Normal"/>
    <w:next w:val="Normal"/>
    <w:link w:val="Heading2Char"/>
    <w:uiPriority w:val="9"/>
    <w:unhideWhenUsed/>
    <w:qFormat/>
    <w:rsid w:val="009A1B55"/>
    <w:pPr>
      <w:spacing w:line="480" w:lineRule="auto"/>
      <w:ind w:left="720" w:hanging="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B55"/>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9A1B55"/>
    <w:rPr>
      <w:rFonts w:ascii="Times New Roman" w:hAnsi="Times New Roman" w:cs="Times New Roman"/>
      <w:b/>
      <w:sz w:val="24"/>
      <w:szCs w:val="24"/>
    </w:rPr>
  </w:style>
  <w:style w:type="paragraph" w:styleId="Footer">
    <w:name w:val="footer"/>
    <w:basedOn w:val="Normal"/>
    <w:link w:val="FooterChar"/>
    <w:uiPriority w:val="99"/>
    <w:unhideWhenUsed/>
    <w:rsid w:val="009A1B55"/>
    <w:pPr>
      <w:tabs>
        <w:tab w:val="center" w:pos="4680"/>
        <w:tab w:val="right" w:pos="9360"/>
      </w:tabs>
    </w:pPr>
  </w:style>
  <w:style w:type="character" w:customStyle="1" w:styleId="FooterChar">
    <w:name w:val="Footer Char"/>
    <w:basedOn w:val="DefaultParagraphFont"/>
    <w:link w:val="Footer"/>
    <w:uiPriority w:val="99"/>
    <w:rsid w:val="009A1B55"/>
    <w:rPr>
      <w:rFonts w:ascii="Times New Roman" w:hAnsi="Times New Roman" w:cs="Times New Roman"/>
      <w:sz w:val="24"/>
      <w:szCs w:val="24"/>
    </w:rPr>
  </w:style>
  <w:style w:type="paragraph" w:styleId="FootnoteText">
    <w:name w:val="footnote text"/>
    <w:basedOn w:val="Normal"/>
    <w:link w:val="FootnoteTextChar"/>
    <w:uiPriority w:val="99"/>
    <w:unhideWhenUsed/>
    <w:rsid w:val="009A1B55"/>
    <w:rPr>
      <w:sz w:val="20"/>
      <w:szCs w:val="20"/>
    </w:rPr>
  </w:style>
  <w:style w:type="character" w:customStyle="1" w:styleId="FootnoteTextChar">
    <w:name w:val="Footnote Text Char"/>
    <w:basedOn w:val="DefaultParagraphFont"/>
    <w:link w:val="FootnoteText"/>
    <w:uiPriority w:val="99"/>
    <w:rsid w:val="009A1B55"/>
    <w:rPr>
      <w:rFonts w:ascii="Times New Roman" w:hAnsi="Times New Roman" w:cs="Times New Roman"/>
      <w:sz w:val="20"/>
      <w:szCs w:val="20"/>
    </w:rPr>
  </w:style>
  <w:style w:type="character" w:styleId="FootnoteReference">
    <w:name w:val="footnote reference"/>
    <w:basedOn w:val="DefaultParagraphFont"/>
    <w:uiPriority w:val="99"/>
    <w:unhideWhenUsed/>
    <w:rsid w:val="009A1B55"/>
    <w:rPr>
      <w:vertAlign w:val="superscript"/>
    </w:rPr>
  </w:style>
  <w:style w:type="paragraph" w:styleId="BalloonText">
    <w:name w:val="Balloon Text"/>
    <w:basedOn w:val="Normal"/>
    <w:link w:val="BalloonTextChar"/>
    <w:uiPriority w:val="99"/>
    <w:semiHidden/>
    <w:unhideWhenUsed/>
    <w:rsid w:val="009A1B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B55"/>
    <w:rPr>
      <w:rFonts w:ascii="Segoe UI" w:hAnsi="Segoe UI" w:cs="Segoe UI"/>
      <w:sz w:val="18"/>
      <w:szCs w:val="18"/>
    </w:rPr>
  </w:style>
  <w:style w:type="character" w:styleId="LineNumber">
    <w:name w:val="line number"/>
    <w:basedOn w:val="DefaultParagraphFont"/>
    <w:uiPriority w:val="99"/>
    <w:semiHidden/>
    <w:unhideWhenUsed/>
    <w:rsid w:val="009A1B55"/>
  </w:style>
  <w:style w:type="character" w:styleId="CommentReference">
    <w:name w:val="annotation reference"/>
    <w:basedOn w:val="DefaultParagraphFont"/>
    <w:uiPriority w:val="99"/>
    <w:semiHidden/>
    <w:unhideWhenUsed/>
    <w:rsid w:val="00BD22D0"/>
    <w:rPr>
      <w:sz w:val="16"/>
      <w:szCs w:val="16"/>
    </w:rPr>
  </w:style>
  <w:style w:type="paragraph" w:styleId="CommentText">
    <w:name w:val="annotation text"/>
    <w:basedOn w:val="Normal"/>
    <w:link w:val="CommentTextChar"/>
    <w:uiPriority w:val="99"/>
    <w:semiHidden/>
    <w:unhideWhenUsed/>
    <w:rsid w:val="00BD22D0"/>
    <w:rPr>
      <w:sz w:val="20"/>
      <w:szCs w:val="20"/>
    </w:rPr>
  </w:style>
  <w:style w:type="character" w:customStyle="1" w:styleId="CommentTextChar">
    <w:name w:val="Comment Text Char"/>
    <w:basedOn w:val="DefaultParagraphFont"/>
    <w:link w:val="CommentText"/>
    <w:uiPriority w:val="99"/>
    <w:semiHidden/>
    <w:rsid w:val="00BD22D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22D0"/>
    <w:rPr>
      <w:b/>
      <w:bCs/>
    </w:rPr>
  </w:style>
  <w:style w:type="character" w:customStyle="1" w:styleId="CommentSubjectChar">
    <w:name w:val="Comment Subject Char"/>
    <w:basedOn w:val="CommentTextChar"/>
    <w:link w:val="CommentSubject"/>
    <w:uiPriority w:val="99"/>
    <w:semiHidden/>
    <w:rsid w:val="00BD22D0"/>
    <w:rPr>
      <w:rFonts w:ascii="Times New Roman" w:hAnsi="Times New Roman" w:cs="Times New Roman"/>
      <w:b/>
      <w:bCs/>
      <w:sz w:val="20"/>
      <w:szCs w:val="20"/>
    </w:rPr>
  </w:style>
  <w:style w:type="paragraph" w:styleId="Caption">
    <w:name w:val="caption"/>
    <w:basedOn w:val="Normal"/>
    <w:next w:val="Normal"/>
    <w:uiPriority w:val="35"/>
    <w:semiHidden/>
    <w:unhideWhenUsed/>
    <w:qFormat/>
    <w:rsid w:val="0070631E"/>
    <w:pPr>
      <w:spacing w:after="200"/>
    </w:pPr>
    <w:rPr>
      <w:i/>
      <w:iCs/>
      <w:color w:val="44546A" w:themeColor="text2"/>
      <w:sz w:val="18"/>
      <w:szCs w:val="18"/>
    </w:rPr>
  </w:style>
  <w:style w:type="paragraph" w:styleId="Header">
    <w:name w:val="header"/>
    <w:basedOn w:val="Normal"/>
    <w:link w:val="HeaderChar"/>
    <w:uiPriority w:val="99"/>
    <w:unhideWhenUsed/>
    <w:rsid w:val="00700B89"/>
    <w:pPr>
      <w:tabs>
        <w:tab w:val="center" w:pos="4680"/>
        <w:tab w:val="right" w:pos="9360"/>
      </w:tabs>
    </w:pPr>
  </w:style>
  <w:style w:type="character" w:customStyle="1" w:styleId="HeaderChar">
    <w:name w:val="Header Char"/>
    <w:basedOn w:val="DefaultParagraphFont"/>
    <w:link w:val="Header"/>
    <w:uiPriority w:val="99"/>
    <w:rsid w:val="00700B8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Avista Reliability Metric Trends Since 2005</a:t>
            </a:r>
          </a:p>
        </c:rich>
      </c:tx>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lineChart>
        <c:grouping val="standard"/>
        <c:varyColors val="0"/>
        <c:ser>
          <c:idx val="0"/>
          <c:order val="0"/>
          <c:tx>
            <c:strRef>
              <c:f>Sheet1!$B$1</c:f>
              <c:strCache>
                <c:ptCount val="1"/>
                <c:pt idx="0">
                  <c:v>SAIDI</c:v>
                </c:pt>
              </c:strCache>
            </c:strRef>
          </c:tx>
          <c:spPr>
            <a:ln w="22225" cap="rnd">
              <a:solidFill>
                <a:schemeClr val="accent1"/>
              </a:solidFill>
              <a:round/>
            </a:ln>
            <a:effectLst/>
          </c:spPr>
          <c:marker>
            <c:symbol val="circle"/>
            <c:size val="6"/>
            <c:spPr>
              <a:solidFill>
                <a:schemeClr val="lt1"/>
              </a:solidFill>
              <a:ln w="15875">
                <a:solidFill>
                  <a:schemeClr val="accent1"/>
                </a:solidFill>
                <a:round/>
              </a:ln>
              <a:effectLst/>
            </c:spPr>
          </c:marker>
          <c:cat>
            <c:numRef>
              <c:f>Sheet1!$A$2:$A$11</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Sheet1!$B$2:$B$11</c:f>
              <c:numCache>
                <c:formatCode>General</c:formatCode>
                <c:ptCount val="10"/>
                <c:pt idx="0">
                  <c:v>108</c:v>
                </c:pt>
                <c:pt idx="1">
                  <c:v>143</c:v>
                </c:pt>
                <c:pt idx="2">
                  <c:v>132</c:v>
                </c:pt>
                <c:pt idx="3">
                  <c:v>159</c:v>
                </c:pt>
                <c:pt idx="4">
                  <c:v>193</c:v>
                </c:pt>
                <c:pt idx="5">
                  <c:v>146</c:v>
                </c:pt>
                <c:pt idx="6">
                  <c:v>118</c:v>
                </c:pt>
                <c:pt idx="7">
                  <c:v>138</c:v>
                </c:pt>
                <c:pt idx="8">
                  <c:v>138</c:v>
                </c:pt>
                <c:pt idx="9">
                  <c:v>139</c:v>
                </c:pt>
              </c:numCache>
            </c:numRef>
          </c:val>
          <c:smooth val="0"/>
        </c:ser>
        <c:dLbls>
          <c:showLegendKey val="0"/>
          <c:showVal val="0"/>
          <c:showCatName val="0"/>
          <c:showSerName val="0"/>
          <c:showPercent val="0"/>
          <c:showBubbleSize val="0"/>
        </c:dLbls>
        <c:marker val="1"/>
        <c:smooth val="0"/>
        <c:axId val="275520888"/>
        <c:axId val="274925752"/>
      </c:lineChart>
      <c:lineChart>
        <c:grouping val="standard"/>
        <c:varyColors val="0"/>
        <c:ser>
          <c:idx val="1"/>
          <c:order val="1"/>
          <c:tx>
            <c:strRef>
              <c:f>Sheet1!$C$1</c:f>
              <c:strCache>
                <c:ptCount val="1"/>
                <c:pt idx="0">
                  <c:v>SAIFI</c:v>
                </c:pt>
              </c:strCache>
            </c:strRef>
          </c:tx>
          <c:spPr>
            <a:ln w="22225" cap="rnd">
              <a:solidFill>
                <a:schemeClr val="accent2"/>
              </a:solidFill>
              <a:round/>
            </a:ln>
            <a:effectLst/>
          </c:spPr>
          <c:marker>
            <c:symbol val="circle"/>
            <c:size val="6"/>
            <c:spPr>
              <a:solidFill>
                <a:schemeClr val="lt1"/>
              </a:solidFill>
              <a:ln w="15875">
                <a:solidFill>
                  <a:schemeClr val="accent2"/>
                </a:solidFill>
                <a:round/>
              </a:ln>
              <a:effectLst/>
            </c:spPr>
          </c:marker>
          <c:cat>
            <c:numRef>
              <c:f>Sheet1!$A$2:$A$11</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Sheet1!$C$2:$C$11</c:f>
              <c:numCache>
                <c:formatCode>General</c:formatCode>
                <c:ptCount val="10"/>
                <c:pt idx="0">
                  <c:v>0.97</c:v>
                </c:pt>
                <c:pt idx="1">
                  <c:v>1.29</c:v>
                </c:pt>
                <c:pt idx="2">
                  <c:v>1.1399999999999999</c:v>
                </c:pt>
                <c:pt idx="3">
                  <c:v>1.4</c:v>
                </c:pt>
                <c:pt idx="4">
                  <c:v>1.52</c:v>
                </c:pt>
                <c:pt idx="5">
                  <c:v>1.23</c:v>
                </c:pt>
                <c:pt idx="6">
                  <c:v>1.08</c:v>
                </c:pt>
                <c:pt idx="7">
                  <c:v>1.1399999999999999</c:v>
                </c:pt>
                <c:pt idx="8">
                  <c:v>1.05</c:v>
                </c:pt>
                <c:pt idx="9">
                  <c:v>1.1100000000000001</c:v>
                </c:pt>
              </c:numCache>
            </c:numRef>
          </c:val>
          <c:smooth val="0"/>
        </c:ser>
        <c:dLbls>
          <c:showLegendKey val="0"/>
          <c:showVal val="0"/>
          <c:showCatName val="0"/>
          <c:showSerName val="0"/>
          <c:showPercent val="0"/>
          <c:showBubbleSize val="0"/>
        </c:dLbls>
        <c:marker val="1"/>
        <c:smooth val="0"/>
        <c:axId val="274942904"/>
        <c:axId val="274934328"/>
      </c:lineChart>
      <c:catAx>
        <c:axId val="275520888"/>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Year</a:t>
                </a:r>
              </a:p>
            </c:rich>
          </c:tx>
          <c:layout/>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274925752"/>
        <c:crosses val="autoZero"/>
        <c:auto val="1"/>
        <c:lblAlgn val="ctr"/>
        <c:lblOffset val="100"/>
        <c:noMultiLvlLbl val="0"/>
      </c:catAx>
      <c:valAx>
        <c:axId val="274925752"/>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Minutes per customer</a:t>
                </a:r>
              </a:p>
              <a:p>
                <a:pPr>
                  <a:defRPr/>
                </a:pPr>
                <a:endParaRPr lang="en-US"/>
              </a:p>
            </c:rich>
          </c:tx>
          <c:layout>
            <c:manualLayout>
              <c:xMode val="edge"/>
              <c:yMode val="edge"/>
              <c:x val="4.3832947765737248E-2"/>
              <c:y val="0.34338530066815143"/>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1">
                    <a:lumMod val="75000"/>
                  </a:schemeClr>
                </a:solidFill>
                <a:latin typeface="+mn-lt"/>
                <a:ea typeface="+mn-ea"/>
                <a:cs typeface="+mn-cs"/>
              </a:defRPr>
            </a:pPr>
            <a:endParaRPr lang="en-US"/>
          </a:p>
        </c:txPr>
        <c:crossAx val="275520888"/>
        <c:crosses val="autoZero"/>
        <c:crossBetween val="between"/>
      </c:valAx>
      <c:valAx>
        <c:axId val="274934328"/>
        <c:scaling>
          <c:orientation val="minMax"/>
        </c:scaling>
        <c:delete val="0"/>
        <c:axPos val="r"/>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Interruptions per customer</a:t>
                </a:r>
              </a:p>
            </c:rich>
          </c:tx>
          <c:layout>
            <c:manualLayout>
              <c:xMode val="edge"/>
              <c:yMode val="edge"/>
              <c:x val="0.94592709273084441"/>
              <c:y val="0.25875278396436524"/>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2">
                    <a:lumMod val="75000"/>
                  </a:schemeClr>
                </a:solidFill>
                <a:latin typeface="+mn-lt"/>
                <a:ea typeface="+mn-ea"/>
                <a:cs typeface="+mn-cs"/>
              </a:defRPr>
            </a:pPr>
            <a:endParaRPr lang="en-US"/>
          </a:p>
        </c:txPr>
        <c:crossAx val="274942904"/>
        <c:crosses val="max"/>
        <c:crossBetween val="between"/>
      </c:valAx>
      <c:catAx>
        <c:axId val="274942904"/>
        <c:scaling>
          <c:orientation val="minMax"/>
        </c:scaling>
        <c:delete val="1"/>
        <c:axPos val="b"/>
        <c:numFmt formatCode="General" sourceLinked="1"/>
        <c:majorTickMark val="out"/>
        <c:minorTickMark val="none"/>
        <c:tickLblPos val="nextTo"/>
        <c:crossAx val="274934328"/>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2015-07-27T22:46:50+00:00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8BD7F-6128-4F92-830F-9AC4424806CA}"/>
</file>

<file path=customXml/itemProps2.xml><?xml version="1.0" encoding="utf-8"?>
<ds:datastoreItem xmlns:ds="http://schemas.openxmlformats.org/officeDocument/2006/customXml" ds:itemID="{4D30A4E7-81D1-4B3A-A2AE-3F1AC48A55A3}"/>
</file>

<file path=customXml/itemProps3.xml><?xml version="1.0" encoding="utf-8"?>
<ds:datastoreItem xmlns:ds="http://schemas.openxmlformats.org/officeDocument/2006/customXml" ds:itemID="{A58EFC5B-BCC3-47CD-8EFB-2CF67FDCB4A0}"/>
</file>

<file path=customXml/itemProps4.xml><?xml version="1.0" encoding="utf-8"?>
<ds:datastoreItem xmlns:ds="http://schemas.openxmlformats.org/officeDocument/2006/customXml" ds:itemID="{F99CC2F7-C8B9-4415-AE6B-DC81D2783B62}"/>
</file>

<file path=customXml/itemProps5.xml><?xml version="1.0" encoding="utf-8"?>
<ds:datastoreItem xmlns:ds="http://schemas.openxmlformats.org/officeDocument/2006/customXml" ds:itemID="{E5B98BBE-F3E9-4EA8-828B-1C08313B581A}"/>
</file>

<file path=docProps/app.xml><?xml version="1.0" encoding="utf-8"?>
<Properties xmlns="http://schemas.openxmlformats.org/officeDocument/2006/extended-properties" xmlns:vt="http://schemas.openxmlformats.org/officeDocument/2006/docPropsVTypes">
  <Template>Normal.dotm</Template>
  <TotalTime>732</TotalTime>
  <Pages>10</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Cebulko, Bradley (UTC)</dc:creator>
  <cp:keywords/>
  <dc:description/>
  <cp:lastModifiedBy>Gross, Krista (UTC)</cp:lastModifiedBy>
  <cp:revision>104</cp:revision>
  <cp:lastPrinted>2015-07-23T16:03:00Z</cp:lastPrinted>
  <dcterms:created xsi:type="dcterms:W3CDTF">2015-07-15T15:57:00Z</dcterms:created>
  <dcterms:modified xsi:type="dcterms:W3CDTF">2015-07-23T21:10:00Z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