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798050B1" w:rsidR="004026AD" w:rsidRPr="00F720F8" w:rsidRDefault="004026AD" w:rsidP="004026AD">
      <w:pPr>
        <w:tabs>
          <w:tab w:val="center" w:pos="4680"/>
        </w:tabs>
        <w:ind w:right="-252" w:hanging="360"/>
        <w:jc w:val="both"/>
        <w:rPr>
          <w:rFonts w:eastAsia="Times New Roman"/>
          <w:b/>
          <w:bCs/>
        </w:rPr>
      </w:pPr>
      <w:bookmarkStart w:id="0" w:name="_GoBack"/>
      <w:bookmarkEnd w:id="0"/>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Exhibit No. ___</w:t>
      </w:r>
      <w:r w:rsidR="005F4293" w:rsidRPr="00F720F8">
        <w:rPr>
          <w:rFonts w:eastAsia="Times New Roman"/>
          <w:b/>
          <w:bCs/>
        </w:rPr>
        <w:t xml:space="preserve"> (</w:t>
      </w:r>
      <w:r w:rsidR="002752E0">
        <w:rPr>
          <w:rFonts w:eastAsia="Times New Roman"/>
          <w:b/>
          <w:bCs/>
        </w:rPr>
        <w:t>CSH</w:t>
      </w:r>
      <w:r w:rsidR="005F4293" w:rsidRPr="00F720F8">
        <w:rPr>
          <w:rFonts w:eastAsia="Times New Roman"/>
          <w:b/>
          <w:bCs/>
        </w:rPr>
        <w:t>-1</w:t>
      </w:r>
      <w:r w:rsidR="00B13018" w:rsidRPr="00F720F8">
        <w:rPr>
          <w:rFonts w:eastAsia="Times New Roman"/>
          <w:b/>
          <w:bCs/>
        </w:rPr>
        <w:t>T</w:t>
      </w:r>
      <w:r w:rsidR="005F4293" w:rsidRPr="00F720F8">
        <w:rPr>
          <w:rFonts w:eastAsia="Times New Roman"/>
          <w:b/>
          <w:bCs/>
        </w:rPr>
        <w:t>)</w:t>
      </w:r>
      <w:r w:rsidRPr="00F720F8">
        <w:rPr>
          <w:rFonts w:eastAsia="Times New Roman"/>
          <w:b/>
          <w:bCs/>
        </w:rPr>
        <w:t xml:space="preserve"> </w:t>
      </w:r>
    </w:p>
    <w:p w14:paraId="0B0AA706" w14:textId="4AA49946" w:rsidR="004026AD" w:rsidRPr="00F720F8" w:rsidRDefault="004026AD" w:rsidP="006355F2">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Docket</w:t>
      </w:r>
      <w:r w:rsidR="00BD533D" w:rsidRPr="00F720F8">
        <w:rPr>
          <w:rFonts w:eastAsia="Times New Roman"/>
          <w:b/>
          <w:bCs/>
        </w:rPr>
        <w:t>s</w:t>
      </w:r>
      <w:r w:rsidRPr="00F720F8">
        <w:rPr>
          <w:rFonts w:eastAsia="Times New Roman"/>
          <w:b/>
          <w:bCs/>
        </w:rPr>
        <w:t xml:space="preserve"> UE-1</w:t>
      </w:r>
      <w:r w:rsidR="001B5C88" w:rsidRPr="00F720F8">
        <w:rPr>
          <w:rFonts w:eastAsia="Times New Roman"/>
          <w:b/>
          <w:bCs/>
        </w:rPr>
        <w:t>50204</w:t>
      </w:r>
      <w:r w:rsidR="006355F2">
        <w:rPr>
          <w:rFonts w:eastAsia="Times New Roman"/>
          <w:b/>
          <w:bCs/>
        </w:rPr>
        <w:t>/</w:t>
      </w:r>
      <w:r w:rsidR="006355F2" w:rsidRPr="006355F2">
        <w:rPr>
          <w:rFonts w:eastAsia="Times New Roman"/>
          <w:b/>
          <w:bCs/>
        </w:rPr>
        <w:t>UG-150205</w:t>
      </w:r>
    </w:p>
    <w:p w14:paraId="0B0AA707" w14:textId="2798FFC0"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 xml:space="preserve">Witness: </w:t>
      </w:r>
      <w:r w:rsidR="002752E0">
        <w:rPr>
          <w:rFonts w:eastAsia="Times New Roman"/>
          <w:b/>
          <w:bCs/>
        </w:rPr>
        <w:t>Christopher S. Hancock</w:t>
      </w:r>
    </w:p>
    <w:p w14:paraId="0B0AA708" w14:textId="77777777"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4B26C46E" w14:textId="77777777" w:rsidR="001A7B47" w:rsidRDefault="00FA0296" w:rsidP="006355F2">
      <w:pPr>
        <w:tabs>
          <w:tab w:val="center" w:pos="4680"/>
        </w:tabs>
        <w:ind w:right="-432" w:hanging="720"/>
        <w:jc w:val="center"/>
        <w:rPr>
          <w:b/>
        </w:rPr>
      </w:pPr>
      <w:r w:rsidRPr="00F720F8">
        <w:rPr>
          <w:b/>
        </w:rPr>
        <w:t xml:space="preserve">BEFORE THE WASHINGTON </w:t>
      </w:r>
    </w:p>
    <w:p w14:paraId="2C1AAA0F" w14:textId="294A9138" w:rsidR="00FA0296" w:rsidRPr="00F720F8" w:rsidRDefault="00FA0296" w:rsidP="006355F2">
      <w:pPr>
        <w:tabs>
          <w:tab w:val="center" w:pos="4680"/>
        </w:tabs>
        <w:ind w:right="-432" w:hanging="720"/>
        <w:jc w:val="center"/>
        <w:rPr>
          <w:b/>
        </w:rPr>
      </w:pPr>
      <w:r w:rsidRPr="00F720F8">
        <w:rPr>
          <w:b/>
        </w:rPr>
        <w:t>STATE UTILITIES AND TRANSPORTATION COMMISSION</w:t>
      </w: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7405A748" w14:textId="77777777" w:rsidR="006355F2" w:rsidRPr="006355F2" w:rsidRDefault="006355F2" w:rsidP="006355F2">
            <w:pPr>
              <w:pStyle w:val="Header"/>
              <w:tabs>
                <w:tab w:val="left" w:pos="681"/>
                <w:tab w:val="left" w:pos="1401"/>
              </w:tabs>
              <w:rPr>
                <w:b/>
              </w:rPr>
            </w:pPr>
            <w:r w:rsidRPr="006355F2">
              <w:rPr>
                <w:b/>
              </w:rPr>
              <w:t>WASHINGTON UTILITIES AND TRANSPORTATION COMMISSION,</w:t>
            </w:r>
          </w:p>
          <w:p w14:paraId="17EF7750" w14:textId="77777777" w:rsidR="006355F2" w:rsidRPr="006355F2" w:rsidRDefault="006355F2" w:rsidP="006355F2">
            <w:pPr>
              <w:pStyle w:val="Header"/>
              <w:tabs>
                <w:tab w:val="left" w:pos="681"/>
                <w:tab w:val="left" w:pos="1401"/>
              </w:tabs>
              <w:rPr>
                <w:b/>
              </w:rPr>
            </w:pPr>
          </w:p>
          <w:p w14:paraId="58C0EFBC" w14:textId="50985C8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Complainant,</w:t>
            </w:r>
          </w:p>
          <w:p w14:paraId="7CB9D78F" w14:textId="77777777" w:rsidR="006355F2" w:rsidRPr="006355F2" w:rsidRDefault="006355F2" w:rsidP="006355F2">
            <w:pPr>
              <w:pStyle w:val="Header"/>
              <w:tabs>
                <w:tab w:val="left" w:pos="681"/>
                <w:tab w:val="left" w:pos="1401"/>
              </w:tabs>
              <w:rPr>
                <w:b/>
              </w:rPr>
            </w:pPr>
          </w:p>
          <w:p w14:paraId="008F881B" w14:textId="77777777" w:rsidR="006355F2" w:rsidRPr="006355F2" w:rsidRDefault="006355F2" w:rsidP="006355F2">
            <w:pPr>
              <w:pStyle w:val="Header"/>
              <w:tabs>
                <w:tab w:val="left" w:pos="681"/>
                <w:tab w:val="left" w:pos="1401"/>
              </w:tabs>
              <w:rPr>
                <w:b/>
              </w:rPr>
            </w:pPr>
            <w:r w:rsidRPr="006355F2">
              <w:rPr>
                <w:b/>
              </w:rPr>
              <w:t>v.</w:t>
            </w:r>
          </w:p>
          <w:p w14:paraId="1D6530BA" w14:textId="77777777" w:rsidR="006355F2" w:rsidRPr="006355F2" w:rsidRDefault="006355F2" w:rsidP="006355F2">
            <w:pPr>
              <w:pStyle w:val="Header"/>
              <w:tabs>
                <w:tab w:val="left" w:pos="681"/>
                <w:tab w:val="left" w:pos="1401"/>
              </w:tabs>
              <w:rPr>
                <w:b/>
              </w:rPr>
            </w:pPr>
          </w:p>
          <w:p w14:paraId="4E0B1CE6" w14:textId="7BE32AA7" w:rsidR="006355F2" w:rsidRPr="006355F2" w:rsidRDefault="006355F2" w:rsidP="006355F2">
            <w:pPr>
              <w:pStyle w:val="Header"/>
              <w:tabs>
                <w:tab w:val="left" w:pos="681"/>
                <w:tab w:val="left" w:pos="1401"/>
              </w:tabs>
              <w:rPr>
                <w:b/>
              </w:rPr>
            </w:pPr>
            <w:r w:rsidRPr="006355F2">
              <w:rPr>
                <w:b/>
              </w:rPr>
              <w:t>AVISTA CORPORATION dba</w:t>
            </w:r>
          </w:p>
          <w:p w14:paraId="1B6073EB" w14:textId="77777777" w:rsidR="006355F2" w:rsidRPr="006355F2" w:rsidRDefault="006355F2" w:rsidP="006355F2">
            <w:pPr>
              <w:pStyle w:val="Header"/>
              <w:tabs>
                <w:tab w:val="left" w:pos="681"/>
                <w:tab w:val="left" w:pos="1401"/>
              </w:tabs>
              <w:rPr>
                <w:b/>
              </w:rPr>
            </w:pPr>
            <w:r w:rsidRPr="006355F2">
              <w:rPr>
                <w:b/>
              </w:rPr>
              <w:t>AVISTA UTILITIES,</w:t>
            </w:r>
          </w:p>
          <w:p w14:paraId="5E4BBDC2" w14:textId="77777777" w:rsidR="006355F2" w:rsidRPr="006355F2" w:rsidRDefault="006355F2" w:rsidP="006355F2">
            <w:pPr>
              <w:pStyle w:val="Header"/>
              <w:tabs>
                <w:tab w:val="left" w:pos="681"/>
                <w:tab w:val="left" w:pos="1401"/>
              </w:tabs>
              <w:rPr>
                <w:b/>
              </w:rPr>
            </w:pPr>
          </w:p>
          <w:p w14:paraId="1ABBAEF2" w14:textId="1296E0F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Respondent.</w:t>
            </w:r>
          </w:p>
          <w:p w14:paraId="04A83310" w14:textId="39E68132" w:rsidR="00FA0296" w:rsidRPr="00F720F8" w:rsidRDefault="00FA0296" w:rsidP="001B5C88">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2CB1E258" w14:textId="77777777" w:rsidR="001A7B47" w:rsidRDefault="001B5C88" w:rsidP="006355F2">
            <w:pPr>
              <w:ind w:left="734" w:hanging="14"/>
              <w:rPr>
                <w:b/>
                <w:i/>
              </w:rPr>
            </w:pPr>
            <w:r w:rsidRPr="00F720F8">
              <w:rPr>
                <w:b/>
              </w:rPr>
              <w:t>DOCKET</w:t>
            </w:r>
            <w:r w:rsidR="002752E0">
              <w:rPr>
                <w:b/>
              </w:rPr>
              <w:t>S</w:t>
            </w:r>
            <w:r w:rsidRPr="00F720F8">
              <w:rPr>
                <w:b/>
              </w:rPr>
              <w:t xml:space="preserve"> UE-150204</w:t>
            </w:r>
            <w:r w:rsidR="002752E0">
              <w:rPr>
                <w:b/>
              </w:rPr>
              <w:t xml:space="preserve"> and UG-150205</w:t>
            </w:r>
            <w:r w:rsidR="006355F2">
              <w:rPr>
                <w:b/>
                <w:i/>
              </w:rPr>
              <w:t xml:space="preserve"> </w:t>
            </w:r>
          </w:p>
          <w:p w14:paraId="43BBA8C1" w14:textId="3F450B02" w:rsidR="002752E0" w:rsidRPr="002752E0" w:rsidRDefault="002752E0" w:rsidP="006355F2">
            <w:pPr>
              <w:ind w:left="734" w:hanging="14"/>
              <w:rPr>
                <w:b/>
                <w:i/>
              </w:rPr>
            </w:pPr>
            <w:r w:rsidRPr="002752E0">
              <w:rPr>
                <w:b/>
                <w:i/>
              </w:rPr>
              <w:t>(Consolidated)</w:t>
            </w:r>
          </w:p>
        </w:tc>
      </w:tr>
    </w:tbl>
    <w:p w14:paraId="0B0AA722" w14:textId="77777777" w:rsidR="004026AD" w:rsidRDefault="004026AD" w:rsidP="004026AD">
      <w:pPr>
        <w:rPr>
          <w:rFonts w:eastAsia="Times New Roman"/>
          <w:b/>
          <w:bCs/>
        </w:rPr>
      </w:pPr>
    </w:p>
    <w:p w14:paraId="608401A0" w14:textId="77777777" w:rsidR="006355F2" w:rsidRPr="00F720F8" w:rsidRDefault="006355F2"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77777777" w:rsidR="004026AD" w:rsidRPr="00F720F8" w:rsidRDefault="004026AD" w:rsidP="004026AD">
      <w:pPr>
        <w:jc w:val="center"/>
        <w:rPr>
          <w:rFonts w:eastAsia="Times New Roman"/>
          <w:b/>
          <w:bCs/>
        </w:rPr>
      </w:pPr>
      <w:r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59EF2AD2" w:rsidR="004026AD" w:rsidRPr="00F720F8" w:rsidRDefault="002752E0" w:rsidP="004026AD">
      <w:pPr>
        <w:jc w:val="center"/>
        <w:rPr>
          <w:rFonts w:eastAsia="Times New Roman"/>
          <w:b/>
          <w:bCs/>
        </w:rPr>
      </w:pPr>
      <w:r>
        <w:rPr>
          <w:rFonts w:eastAsia="Times New Roman"/>
          <w:b/>
          <w:bCs/>
        </w:rPr>
        <w:t>Christopher S. Hancock</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Default="004026AD" w:rsidP="004026AD">
      <w:pPr>
        <w:jc w:val="center"/>
        <w:rPr>
          <w:rFonts w:eastAsia="Times New Roman"/>
          <w:b/>
          <w:bCs/>
        </w:rPr>
      </w:pPr>
    </w:p>
    <w:p w14:paraId="41421E6E" w14:textId="77777777" w:rsidR="001A7B47" w:rsidRPr="00F720F8" w:rsidRDefault="001A7B47"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04BDC779" w14:textId="77777777" w:rsidR="002752E0" w:rsidRDefault="002752E0" w:rsidP="004026AD">
      <w:pPr>
        <w:jc w:val="center"/>
        <w:rPr>
          <w:rFonts w:eastAsia="Times New Roman"/>
          <w:b/>
          <w:bCs/>
          <w:i/>
        </w:rPr>
      </w:pPr>
      <w:r w:rsidRPr="002752E0">
        <w:rPr>
          <w:rFonts w:eastAsia="Times New Roman"/>
          <w:b/>
          <w:bCs/>
          <w:i/>
        </w:rPr>
        <w:t>Pro Forma Policy, Pro Forma Rate Base Adjustments, and Pro Forma Revenue</w:t>
      </w:r>
    </w:p>
    <w:p w14:paraId="55542595" w14:textId="77777777" w:rsidR="002752E0" w:rsidRDefault="002752E0" w:rsidP="004026AD">
      <w:pPr>
        <w:jc w:val="center"/>
        <w:rPr>
          <w:rFonts w:eastAsia="Times New Roman"/>
          <w:b/>
          <w:bCs/>
          <w:i/>
        </w:rPr>
      </w:pPr>
    </w:p>
    <w:p w14:paraId="0B0AA730" w14:textId="79DAAF5D" w:rsidR="004026AD" w:rsidRPr="00F720F8" w:rsidRDefault="004026AD" w:rsidP="004026AD">
      <w:pPr>
        <w:jc w:val="center"/>
        <w:rPr>
          <w:rFonts w:eastAsia="Times New Roman"/>
          <w:b/>
          <w:bCs/>
        </w:rPr>
      </w:pPr>
    </w:p>
    <w:p w14:paraId="0B0AA731" w14:textId="5E25454B" w:rsidR="004026AD" w:rsidRPr="00F720F8" w:rsidRDefault="001B5C88" w:rsidP="004026AD">
      <w:pPr>
        <w:jc w:val="center"/>
        <w:rPr>
          <w:rFonts w:eastAsia="Times New Roman"/>
          <w:b/>
          <w:bCs/>
        </w:rPr>
      </w:pPr>
      <w:r w:rsidRPr="002752E0">
        <w:rPr>
          <w:rFonts w:eastAsia="Times New Roman"/>
          <w:b/>
          <w:bCs/>
        </w:rPr>
        <w:t xml:space="preserve">July </w:t>
      </w:r>
      <w:r w:rsidR="002752E0" w:rsidRPr="002752E0">
        <w:rPr>
          <w:rFonts w:eastAsia="Times New Roman"/>
          <w:b/>
          <w:bCs/>
        </w:rPr>
        <w:t>27</w:t>
      </w:r>
      <w:r w:rsidRPr="002752E0">
        <w:rPr>
          <w:rFonts w:eastAsia="Times New Roman"/>
          <w:b/>
          <w:bCs/>
        </w:rPr>
        <w:t>, 2015</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77777777" w:rsidR="004026AD" w:rsidRPr="00F720F8" w:rsidRDefault="004026AD" w:rsidP="004026AD">
      <w:pPr>
        <w:jc w:val="center"/>
        <w:rPr>
          <w:rFonts w:eastAsia="Times New Roman"/>
          <w:b/>
          <w:bCs/>
        </w:rPr>
      </w:pP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3401842D" w14:textId="03890F59" w:rsidR="007F3100" w:rsidRPr="001A7B47" w:rsidRDefault="001A7B47" w:rsidP="001A7B47">
      <w:pPr>
        <w:spacing w:after="240"/>
        <w:jc w:val="center"/>
        <w:rPr>
          <w:rFonts w:eastAsia="Times New Roman"/>
          <w:b/>
        </w:rPr>
      </w:pPr>
      <w:r>
        <w:rPr>
          <w:rFonts w:eastAsia="Times New Roman"/>
          <w:b/>
        </w:rPr>
        <w:lastRenderedPageBreak/>
        <w:t>TABLE OF CONTENTS</w:t>
      </w:r>
    </w:p>
    <w:p w14:paraId="33830513" w14:textId="47CD7D28" w:rsidR="000E7FDE" w:rsidRDefault="00BA2B83">
      <w:pPr>
        <w:pStyle w:val="TOC1"/>
        <w:rPr>
          <w:rFonts w:asciiTheme="minorHAnsi" w:hAnsiTheme="minorHAnsi" w:cstheme="minorBidi"/>
          <w:b w:val="0"/>
          <w:caps w:val="0"/>
          <w:sz w:val="22"/>
          <w:szCs w:val="22"/>
          <w:lang w:eastAsia="en-US"/>
        </w:rPr>
      </w:pPr>
      <w:r w:rsidRPr="00F720F8">
        <w:rPr>
          <w:bCs/>
        </w:rPr>
        <w:fldChar w:fldCharType="begin"/>
      </w:r>
      <w:r w:rsidRPr="00F720F8">
        <w:rPr>
          <w:bCs/>
        </w:rPr>
        <w:instrText xml:space="preserve"> TOC \o "1-3" \u </w:instrText>
      </w:r>
      <w:r w:rsidRPr="00F720F8">
        <w:rPr>
          <w:bCs/>
        </w:rPr>
        <w:fldChar w:fldCharType="separate"/>
      </w:r>
      <w:r w:rsidR="000E7FDE" w:rsidRPr="00046A76">
        <w:t>I.</w:t>
      </w:r>
      <w:r w:rsidR="000E7FDE">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000E7FDE" w:rsidRPr="00046A76">
        <w:t>Introduction</w:t>
      </w:r>
      <w:r w:rsidR="000E7FDE">
        <w:tab/>
      </w:r>
      <w:r w:rsidR="000E7FDE">
        <w:fldChar w:fldCharType="begin"/>
      </w:r>
      <w:r w:rsidR="000E7FDE">
        <w:instrText xml:space="preserve"> PAGEREF _Toc425419750 \h </w:instrText>
      </w:r>
      <w:r w:rsidR="000E7FDE">
        <w:fldChar w:fldCharType="separate"/>
      </w:r>
      <w:r w:rsidR="00DB17BA">
        <w:t>1</w:t>
      </w:r>
      <w:r w:rsidR="000E7FDE">
        <w:fldChar w:fldCharType="end"/>
      </w:r>
    </w:p>
    <w:p w14:paraId="446674FB" w14:textId="31474B30" w:rsidR="000E7FDE" w:rsidRDefault="000E7FDE">
      <w:pPr>
        <w:pStyle w:val="TOC1"/>
        <w:rPr>
          <w:rFonts w:asciiTheme="minorHAnsi" w:hAnsiTheme="minorHAnsi" w:cstheme="minorBidi"/>
          <w:b w:val="0"/>
          <w:caps w:val="0"/>
          <w:sz w:val="22"/>
          <w:szCs w:val="22"/>
          <w:lang w:eastAsia="en-US"/>
        </w:rPr>
      </w:pPr>
      <w:r w:rsidRPr="00046A76">
        <w:t>II.</w:t>
      </w:r>
      <w:r>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Pr="00046A76">
        <w:t>Scope of Testimony</w:t>
      </w:r>
      <w:r>
        <w:tab/>
      </w:r>
      <w:r>
        <w:fldChar w:fldCharType="begin"/>
      </w:r>
      <w:r>
        <w:instrText xml:space="preserve"> PAGEREF _Toc425419751 \h </w:instrText>
      </w:r>
      <w:r>
        <w:fldChar w:fldCharType="separate"/>
      </w:r>
      <w:r w:rsidR="00DB17BA">
        <w:t>2</w:t>
      </w:r>
      <w:r>
        <w:fldChar w:fldCharType="end"/>
      </w:r>
    </w:p>
    <w:p w14:paraId="29A29B2D" w14:textId="171C3A3F" w:rsidR="000E7FDE" w:rsidRDefault="000E7FDE">
      <w:pPr>
        <w:pStyle w:val="TOC1"/>
        <w:rPr>
          <w:rFonts w:asciiTheme="minorHAnsi" w:hAnsiTheme="minorHAnsi" w:cstheme="minorBidi"/>
          <w:b w:val="0"/>
          <w:caps w:val="0"/>
          <w:sz w:val="22"/>
          <w:szCs w:val="22"/>
          <w:lang w:eastAsia="en-US"/>
        </w:rPr>
      </w:pPr>
      <w:r w:rsidRPr="00046A76">
        <w:t>III.</w:t>
      </w:r>
      <w:r>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Pr="00046A76">
        <w:t>Summary of Revenue Requirements</w:t>
      </w:r>
      <w:r>
        <w:tab/>
      </w:r>
      <w:r>
        <w:fldChar w:fldCharType="begin"/>
      </w:r>
      <w:r>
        <w:instrText xml:space="preserve"> PAGEREF _Toc425419752 \h </w:instrText>
      </w:r>
      <w:r>
        <w:fldChar w:fldCharType="separate"/>
      </w:r>
      <w:r w:rsidR="00DB17BA">
        <w:t>4</w:t>
      </w:r>
      <w:r>
        <w:fldChar w:fldCharType="end"/>
      </w:r>
    </w:p>
    <w:p w14:paraId="5E27C697" w14:textId="77777777" w:rsidR="000E7FDE" w:rsidRDefault="000E7FDE">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Staff’s Calculations</w:t>
      </w:r>
      <w:r>
        <w:rPr>
          <w:noProof/>
        </w:rPr>
        <w:tab/>
      </w:r>
      <w:r>
        <w:rPr>
          <w:noProof/>
        </w:rPr>
        <w:fldChar w:fldCharType="begin"/>
      </w:r>
      <w:r>
        <w:rPr>
          <w:noProof/>
        </w:rPr>
        <w:instrText xml:space="preserve"> PAGEREF _Toc425419753 \h </w:instrText>
      </w:r>
      <w:r>
        <w:rPr>
          <w:noProof/>
        </w:rPr>
      </w:r>
      <w:r>
        <w:rPr>
          <w:noProof/>
        </w:rPr>
        <w:fldChar w:fldCharType="separate"/>
      </w:r>
      <w:r w:rsidR="00DB17BA">
        <w:rPr>
          <w:noProof/>
        </w:rPr>
        <w:t>4</w:t>
      </w:r>
      <w:r>
        <w:rPr>
          <w:noProof/>
        </w:rPr>
        <w:fldChar w:fldCharType="end"/>
      </w:r>
    </w:p>
    <w:p w14:paraId="36FA865E" w14:textId="77777777" w:rsidR="000E7FDE" w:rsidRDefault="000E7FDE">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Avista’s Calculations</w:t>
      </w:r>
      <w:r>
        <w:rPr>
          <w:noProof/>
        </w:rPr>
        <w:tab/>
      </w:r>
      <w:r>
        <w:rPr>
          <w:noProof/>
        </w:rPr>
        <w:fldChar w:fldCharType="begin"/>
      </w:r>
      <w:r>
        <w:rPr>
          <w:noProof/>
        </w:rPr>
        <w:instrText xml:space="preserve"> PAGEREF _Toc425419754 \h </w:instrText>
      </w:r>
      <w:r>
        <w:rPr>
          <w:noProof/>
        </w:rPr>
      </w:r>
      <w:r>
        <w:rPr>
          <w:noProof/>
        </w:rPr>
        <w:fldChar w:fldCharType="separate"/>
      </w:r>
      <w:r w:rsidR="00DB17BA">
        <w:rPr>
          <w:noProof/>
        </w:rPr>
        <w:t>5</w:t>
      </w:r>
      <w:r>
        <w:rPr>
          <w:noProof/>
        </w:rPr>
        <w:fldChar w:fldCharType="end"/>
      </w:r>
    </w:p>
    <w:p w14:paraId="4401931F" w14:textId="77777777" w:rsidR="000E7FDE" w:rsidRDefault="000E7FDE">
      <w:pPr>
        <w:pStyle w:val="TOC2"/>
        <w:rPr>
          <w:rFonts w:asciiTheme="minorHAnsi" w:hAnsiTheme="minorHAnsi" w:cstheme="minorBidi"/>
          <w:noProof/>
          <w:sz w:val="22"/>
          <w:szCs w:val="22"/>
          <w:lang w:eastAsia="en-US"/>
        </w:rPr>
      </w:pPr>
      <w:r>
        <w:rPr>
          <w:noProof/>
        </w:rPr>
        <w:t>C.</w:t>
      </w:r>
      <w:r>
        <w:rPr>
          <w:rFonts w:asciiTheme="minorHAnsi" w:hAnsiTheme="minorHAnsi" w:cstheme="minorBidi"/>
          <w:noProof/>
          <w:sz w:val="22"/>
          <w:szCs w:val="22"/>
          <w:lang w:eastAsia="en-US"/>
        </w:rPr>
        <w:tab/>
      </w:r>
      <w:r>
        <w:rPr>
          <w:noProof/>
        </w:rPr>
        <w:t>Comparison Between Staff and Avista’s Calculations of Revenue Requirements</w:t>
      </w:r>
      <w:r>
        <w:rPr>
          <w:noProof/>
        </w:rPr>
        <w:tab/>
      </w:r>
      <w:r>
        <w:rPr>
          <w:noProof/>
        </w:rPr>
        <w:fldChar w:fldCharType="begin"/>
      </w:r>
      <w:r>
        <w:rPr>
          <w:noProof/>
        </w:rPr>
        <w:instrText xml:space="preserve"> PAGEREF _Toc425419755 \h </w:instrText>
      </w:r>
      <w:r>
        <w:rPr>
          <w:noProof/>
        </w:rPr>
      </w:r>
      <w:r>
        <w:rPr>
          <w:noProof/>
        </w:rPr>
        <w:fldChar w:fldCharType="separate"/>
      </w:r>
      <w:r w:rsidR="00DB17BA">
        <w:rPr>
          <w:noProof/>
        </w:rPr>
        <w:t>7</w:t>
      </w:r>
      <w:r>
        <w:rPr>
          <w:noProof/>
        </w:rPr>
        <w:fldChar w:fldCharType="end"/>
      </w:r>
    </w:p>
    <w:p w14:paraId="0B75F756" w14:textId="30F33324" w:rsidR="000E7FDE" w:rsidRDefault="000E7FDE">
      <w:pPr>
        <w:pStyle w:val="TOC1"/>
        <w:rPr>
          <w:rFonts w:asciiTheme="minorHAnsi" w:hAnsiTheme="minorHAnsi" w:cstheme="minorBidi"/>
          <w:b w:val="0"/>
          <w:caps w:val="0"/>
          <w:sz w:val="22"/>
          <w:szCs w:val="22"/>
          <w:lang w:eastAsia="en-US"/>
        </w:rPr>
      </w:pPr>
      <w:r w:rsidRPr="00046A76">
        <w:t>IV.</w:t>
      </w:r>
      <w:r>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Pr="00046A76">
        <w:t>Pro Forma Policy</w:t>
      </w:r>
      <w:r>
        <w:tab/>
      </w:r>
      <w:r>
        <w:fldChar w:fldCharType="begin"/>
      </w:r>
      <w:r>
        <w:instrText xml:space="preserve"> PAGEREF _Toc425419756 \h </w:instrText>
      </w:r>
      <w:r>
        <w:fldChar w:fldCharType="separate"/>
      </w:r>
      <w:r w:rsidR="00DB17BA">
        <w:t>9</w:t>
      </w:r>
      <w:r>
        <w:fldChar w:fldCharType="end"/>
      </w:r>
    </w:p>
    <w:p w14:paraId="479E675F" w14:textId="77777777" w:rsidR="000E7FDE" w:rsidRDefault="000E7FDE">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Criteria for Pro Forma Adjustments</w:t>
      </w:r>
      <w:r>
        <w:rPr>
          <w:noProof/>
        </w:rPr>
        <w:tab/>
      </w:r>
      <w:r>
        <w:rPr>
          <w:noProof/>
        </w:rPr>
        <w:fldChar w:fldCharType="begin"/>
      </w:r>
      <w:r>
        <w:rPr>
          <w:noProof/>
        </w:rPr>
        <w:instrText xml:space="preserve"> PAGEREF _Toc425419757 \h </w:instrText>
      </w:r>
      <w:r>
        <w:rPr>
          <w:noProof/>
        </w:rPr>
      </w:r>
      <w:r>
        <w:rPr>
          <w:noProof/>
        </w:rPr>
        <w:fldChar w:fldCharType="separate"/>
      </w:r>
      <w:r w:rsidR="00DB17BA">
        <w:rPr>
          <w:noProof/>
        </w:rPr>
        <w:t>9</w:t>
      </w:r>
      <w:r>
        <w:rPr>
          <w:noProof/>
        </w:rPr>
        <w:fldChar w:fldCharType="end"/>
      </w:r>
    </w:p>
    <w:p w14:paraId="22F08C24" w14:textId="77777777" w:rsidR="000E7FDE" w:rsidRDefault="000E7FDE">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Defining a Major Plant Addition</w:t>
      </w:r>
      <w:r>
        <w:rPr>
          <w:noProof/>
        </w:rPr>
        <w:tab/>
      </w:r>
      <w:r>
        <w:rPr>
          <w:noProof/>
        </w:rPr>
        <w:fldChar w:fldCharType="begin"/>
      </w:r>
      <w:r>
        <w:rPr>
          <w:noProof/>
        </w:rPr>
        <w:instrText xml:space="preserve"> PAGEREF _Toc425419758 \h </w:instrText>
      </w:r>
      <w:r>
        <w:rPr>
          <w:noProof/>
        </w:rPr>
      </w:r>
      <w:r>
        <w:rPr>
          <w:noProof/>
        </w:rPr>
        <w:fldChar w:fldCharType="separate"/>
      </w:r>
      <w:r w:rsidR="00DB17BA">
        <w:rPr>
          <w:noProof/>
        </w:rPr>
        <w:t>11</w:t>
      </w:r>
      <w:r>
        <w:rPr>
          <w:noProof/>
        </w:rPr>
        <w:fldChar w:fldCharType="end"/>
      </w:r>
    </w:p>
    <w:p w14:paraId="013D18C0" w14:textId="77777777" w:rsidR="000E7FDE" w:rsidRDefault="000E7FDE">
      <w:pPr>
        <w:pStyle w:val="TOC2"/>
        <w:rPr>
          <w:rFonts w:asciiTheme="minorHAnsi" w:hAnsiTheme="minorHAnsi" w:cstheme="minorBidi"/>
          <w:noProof/>
          <w:sz w:val="22"/>
          <w:szCs w:val="22"/>
          <w:lang w:eastAsia="en-US"/>
        </w:rPr>
      </w:pPr>
      <w:r>
        <w:rPr>
          <w:noProof/>
        </w:rPr>
        <w:t>C.</w:t>
      </w:r>
      <w:r>
        <w:rPr>
          <w:rFonts w:asciiTheme="minorHAnsi" w:hAnsiTheme="minorHAnsi" w:cstheme="minorBidi"/>
          <w:noProof/>
          <w:sz w:val="22"/>
          <w:szCs w:val="22"/>
          <w:lang w:eastAsia="en-US"/>
        </w:rPr>
        <w:tab/>
      </w:r>
      <w:r>
        <w:rPr>
          <w:noProof/>
        </w:rPr>
        <w:t>Rate Base Accounting Methodologies</w:t>
      </w:r>
      <w:r>
        <w:rPr>
          <w:noProof/>
        </w:rPr>
        <w:tab/>
      </w:r>
      <w:r>
        <w:rPr>
          <w:noProof/>
        </w:rPr>
        <w:fldChar w:fldCharType="begin"/>
      </w:r>
      <w:r>
        <w:rPr>
          <w:noProof/>
        </w:rPr>
        <w:instrText xml:space="preserve"> PAGEREF _Toc425419759 \h </w:instrText>
      </w:r>
      <w:r>
        <w:rPr>
          <w:noProof/>
        </w:rPr>
      </w:r>
      <w:r>
        <w:rPr>
          <w:noProof/>
        </w:rPr>
        <w:fldChar w:fldCharType="separate"/>
      </w:r>
      <w:r w:rsidR="00DB17BA">
        <w:rPr>
          <w:noProof/>
        </w:rPr>
        <w:t>14</w:t>
      </w:r>
      <w:r>
        <w:rPr>
          <w:noProof/>
        </w:rPr>
        <w:fldChar w:fldCharType="end"/>
      </w:r>
    </w:p>
    <w:p w14:paraId="1FEB1ECC" w14:textId="7CFDC504" w:rsidR="000E7FDE" w:rsidRDefault="000E7FDE">
      <w:pPr>
        <w:pStyle w:val="TOC1"/>
        <w:rPr>
          <w:rFonts w:asciiTheme="minorHAnsi" w:hAnsiTheme="minorHAnsi" w:cstheme="minorBidi"/>
          <w:b w:val="0"/>
          <w:caps w:val="0"/>
          <w:sz w:val="22"/>
          <w:szCs w:val="22"/>
          <w:lang w:eastAsia="en-US"/>
        </w:rPr>
      </w:pPr>
      <w:r w:rsidRPr="00046A76">
        <w:t>V.</w:t>
      </w:r>
      <w:r>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Pr="00046A76">
        <w:t>Capital Additions in the Final Three Months of 2014</w:t>
      </w:r>
      <w:r>
        <w:tab/>
      </w:r>
      <w:r>
        <w:fldChar w:fldCharType="begin"/>
      </w:r>
      <w:r>
        <w:instrText xml:space="preserve"> PAGEREF _Toc425419760 \h </w:instrText>
      </w:r>
      <w:r>
        <w:fldChar w:fldCharType="separate"/>
      </w:r>
      <w:r w:rsidR="00DB17BA">
        <w:t>16</w:t>
      </w:r>
      <w:r>
        <w:fldChar w:fldCharType="end"/>
      </w:r>
    </w:p>
    <w:p w14:paraId="1A092F8F" w14:textId="77777777" w:rsidR="000E7FDE" w:rsidRDefault="000E7FDE">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Electric Adjustment 3.11</w:t>
      </w:r>
      <w:r>
        <w:rPr>
          <w:noProof/>
        </w:rPr>
        <w:tab/>
      </w:r>
      <w:r>
        <w:rPr>
          <w:noProof/>
        </w:rPr>
        <w:fldChar w:fldCharType="begin"/>
      </w:r>
      <w:r>
        <w:rPr>
          <w:noProof/>
        </w:rPr>
        <w:instrText xml:space="preserve"> PAGEREF _Toc425419761 \h </w:instrText>
      </w:r>
      <w:r>
        <w:rPr>
          <w:noProof/>
        </w:rPr>
      </w:r>
      <w:r>
        <w:rPr>
          <w:noProof/>
        </w:rPr>
        <w:fldChar w:fldCharType="separate"/>
      </w:r>
      <w:r w:rsidR="00DB17BA">
        <w:rPr>
          <w:noProof/>
        </w:rPr>
        <w:t>16</w:t>
      </w:r>
      <w:r>
        <w:rPr>
          <w:noProof/>
        </w:rPr>
        <w:fldChar w:fldCharType="end"/>
      </w:r>
    </w:p>
    <w:p w14:paraId="6D724FCF" w14:textId="77777777" w:rsidR="000E7FDE" w:rsidRDefault="000E7FDE">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Natural Gas Adjustment 3.07</w:t>
      </w:r>
      <w:r>
        <w:rPr>
          <w:noProof/>
        </w:rPr>
        <w:tab/>
      </w:r>
      <w:r>
        <w:rPr>
          <w:noProof/>
        </w:rPr>
        <w:fldChar w:fldCharType="begin"/>
      </w:r>
      <w:r>
        <w:rPr>
          <w:noProof/>
        </w:rPr>
        <w:instrText xml:space="preserve"> PAGEREF _Toc425419762 \h </w:instrText>
      </w:r>
      <w:r>
        <w:rPr>
          <w:noProof/>
        </w:rPr>
      </w:r>
      <w:r>
        <w:rPr>
          <w:noProof/>
        </w:rPr>
        <w:fldChar w:fldCharType="separate"/>
      </w:r>
      <w:r w:rsidR="00DB17BA">
        <w:rPr>
          <w:noProof/>
        </w:rPr>
        <w:t>18</w:t>
      </w:r>
      <w:r>
        <w:rPr>
          <w:noProof/>
        </w:rPr>
        <w:fldChar w:fldCharType="end"/>
      </w:r>
    </w:p>
    <w:p w14:paraId="556CAC00" w14:textId="2E7C1B99" w:rsidR="000E7FDE" w:rsidRDefault="000E7FDE">
      <w:pPr>
        <w:pStyle w:val="TOC1"/>
        <w:rPr>
          <w:rFonts w:asciiTheme="minorHAnsi" w:hAnsiTheme="minorHAnsi" w:cstheme="minorBidi"/>
          <w:b w:val="0"/>
          <w:caps w:val="0"/>
          <w:sz w:val="22"/>
          <w:szCs w:val="22"/>
          <w:lang w:eastAsia="en-US"/>
        </w:rPr>
      </w:pPr>
      <w:r w:rsidRPr="00046A76">
        <w:t>VI.</w:t>
      </w:r>
      <w:r w:rsidR="00390FB8">
        <w:t xml:space="preserve">  </w:t>
      </w:r>
      <w:r>
        <w:rPr>
          <w:rFonts w:asciiTheme="minorHAnsi" w:hAnsiTheme="minorHAnsi" w:cstheme="minorBidi"/>
          <w:b w:val="0"/>
          <w:caps w:val="0"/>
          <w:sz w:val="22"/>
          <w:szCs w:val="22"/>
          <w:lang w:eastAsia="en-US"/>
        </w:rPr>
        <w:tab/>
      </w:r>
      <w:r w:rsidRPr="00046A76">
        <w:t>2015 Capital Additions</w:t>
      </w:r>
      <w:r>
        <w:tab/>
      </w:r>
      <w:r>
        <w:fldChar w:fldCharType="begin"/>
      </w:r>
      <w:r>
        <w:instrText xml:space="preserve"> PAGEREF _Toc425419763 \h </w:instrText>
      </w:r>
      <w:r>
        <w:fldChar w:fldCharType="separate"/>
      </w:r>
      <w:r w:rsidR="00DB17BA">
        <w:t>20</w:t>
      </w:r>
      <w:r>
        <w:fldChar w:fldCharType="end"/>
      </w:r>
    </w:p>
    <w:p w14:paraId="450F5E88" w14:textId="77777777" w:rsidR="000E7FDE" w:rsidRDefault="000E7FDE">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Electric Adjustment 4.01</w:t>
      </w:r>
      <w:r>
        <w:rPr>
          <w:noProof/>
        </w:rPr>
        <w:tab/>
      </w:r>
      <w:r>
        <w:rPr>
          <w:noProof/>
        </w:rPr>
        <w:fldChar w:fldCharType="begin"/>
      </w:r>
      <w:r>
        <w:rPr>
          <w:noProof/>
        </w:rPr>
        <w:instrText xml:space="preserve"> PAGEREF _Toc425419764 \h </w:instrText>
      </w:r>
      <w:r>
        <w:rPr>
          <w:noProof/>
        </w:rPr>
      </w:r>
      <w:r>
        <w:rPr>
          <w:noProof/>
        </w:rPr>
        <w:fldChar w:fldCharType="separate"/>
      </w:r>
      <w:r w:rsidR="00DB17BA">
        <w:rPr>
          <w:noProof/>
        </w:rPr>
        <w:t>24</w:t>
      </w:r>
      <w:r>
        <w:rPr>
          <w:noProof/>
        </w:rPr>
        <w:fldChar w:fldCharType="end"/>
      </w:r>
    </w:p>
    <w:p w14:paraId="79AA5BC6" w14:textId="77777777" w:rsidR="000E7FDE" w:rsidRDefault="000E7FDE">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Natural Gas Adjustment 4.01</w:t>
      </w:r>
      <w:r>
        <w:rPr>
          <w:noProof/>
        </w:rPr>
        <w:tab/>
      </w:r>
      <w:r>
        <w:rPr>
          <w:noProof/>
        </w:rPr>
        <w:fldChar w:fldCharType="begin"/>
      </w:r>
      <w:r>
        <w:rPr>
          <w:noProof/>
        </w:rPr>
        <w:instrText xml:space="preserve"> PAGEREF _Toc425419765 \h </w:instrText>
      </w:r>
      <w:r>
        <w:rPr>
          <w:noProof/>
        </w:rPr>
      </w:r>
      <w:r>
        <w:rPr>
          <w:noProof/>
        </w:rPr>
        <w:fldChar w:fldCharType="separate"/>
      </w:r>
      <w:r w:rsidR="00DB17BA">
        <w:rPr>
          <w:noProof/>
        </w:rPr>
        <w:t>25</w:t>
      </w:r>
      <w:r>
        <w:rPr>
          <w:noProof/>
        </w:rPr>
        <w:fldChar w:fldCharType="end"/>
      </w:r>
    </w:p>
    <w:p w14:paraId="178FA901" w14:textId="0E072BE9" w:rsidR="000E7FDE" w:rsidRDefault="000E7FDE">
      <w:pPr>
        <w:pStyle w:val="TOC1"/>
        <w:rPr>
          <w:rFonts w:asciiTheme="minorHAnsi" w:hAnsiTheme="minorHAnsi" w:cstheme="minorBidi"/>
          <w:b w:val="0"/>
          <w:caps w:val="0"/>
          <w:sz w:val="22"/>
          <w:szCs w:val="22"/>
          <w:lang w:eastAsia="en-US"/>
        </w:rPr>
      </w:pPr>
      <w:r w:rsidRPr="00046A76">
        <w:t>VII.</w:t>
      </w:r>
      <w:r w:rsidR="00390FB8">
        <w:rPr>
          <w:rFonts w:asciiTheme="minorHAnsi" w:hAnsiTheme="minorHAnsi" w:cstheme="minorBidi"/>
          <w:b w:val="0"/>
          <w:caps w:val="0"/>
          <w:sz w:val="22"/>
          <w:szCs w:val="22"/>
          <w:lang w:eastAsia="en-US"/>
        </w:rPr>
        <w:t xml:space="preserve">  </w:t>
      </w:r>
      <w:r w:rsidRPr="00046A76">
        <w:t>2016 Capital Additions</w:t>
      </w:r>
      <w:r>
        <w:tab/>
      </w:r>
      <w:r>
        <w:fldChar w:fldCharType="begin"/>
      </w:r>
      <w:r>
        <w:instrText xml:space="preserve"> PAGEREF _Toc425419766 \h </w:instrText>
      </w:r>
      <w:r>
        <w:fldChar w:fldCharType="separate"/>
      </w:r>
      <w:r w:rsidR="00DB17BA">
        <w:t>25</w:t>
      </w:r>
      <w:r>
        <w:fldChar w:fldCharType="end"/>
      </w:r>
    </w:p>
    <w:p w14:paraId="7D533864" w14:textId="442C4117" w:rsidR="000E7FDE" w:rsidRDefault="000E7FDE">
      <w:pPr>
        <w:pStyle w:val="TOC1"/>
        <w:rPr>
          <w:rFonts w:asciiTheme="minorHAnsi" w:hAnsiTheme="minorHAnsi" w:cstheme="minorBidi"/>
          <w:b w:val="0"/>
          <w:caps w:val="0"/>
          <w:sz w:val="22"/>
          <w:szCs w:val="22"/>
          <w:lang w:eastAsia="en-US"/>
        </w:rPr>
      </w:pPr>
      <w:r w:rsidRPr="00046A76">
        <w:t>VIII.</w:t>
      </w:r>
      <w:r>
        <w:rPr>
          <w:rFonts w:asciiTheme="minorHAnsi" w:hAnsiTheme="minorHAnsi" w:cstheme="minorBidi"/>
          <w:b w:val="0"/>
          <w:caps w:val="0"/>
          <w:sz w:val="22"/>
          <w:szCs w:val="22"/>
          <w:lang w:eastAsia="en-US"/>
        </w:rPr>
        <w:tab/>
      </w:r>
      <w:r w:rsidR="00390FB8">
        <w:rPr>
          <w:rFonts w:asciiTheme="minorHAnsi" w:hAnsiTheme="minorHAnsi" w:cstheme="minorBidi"/>
          <w:b w:val="0"/>
          <w:caps w:val="0"/>
          <w:sz w:val="22"/>
          <w:szCs w:val="22"/>
          <w:lang w:eastAsia="en-US"/>
        </w:rPr>
        <w:t xml:space="preserve">  </w:t>
      </w:r>
      <w:r w:rsidRPr="00046A76">
        <w:t>Other Rate Base Additions</w:t>
      </w:r>
      <w:r>
        <w:tab/>
      </w:r>
      <w:r>
        <w:fldChar w:fldCharType="begin"/>
      </w:r>
      <w:r>
        <w:instrText xml:space="preserve"> PAGEREF _Toc425419767 \h </w:instrText>
      </w:r>
      <w:r>
        <w:fldChar w:fldCharType="separate"/>
      </w:r>
      <w:r w:rsidR="00DB17BA">
        <w:t>26</w:t>
      </w:r>
      <w:r>
        <w:fldChar w:fldCharType="end"/>
      </w:r>
    </w:p>
    <w:p w14:paraId="7CA75AE5" w14:textId="77777777" w:rsidR="000E7FDE" w:rsidRDefault="000E7FDE">
      <w:pPr>
        <w:pStyle w:val="TOC2"/>
        <w:rPr>
          <w:rFonts w:asciiTheme="minorHAnsi" w:hAnsiTheme="minorHAnsi" w:cstheme="minorBidi"/>
          <w:noProof/>
          <w:sz w:val="22"/>
          <w:szCs w:val="22"/>
          <w:lang w:eastAsia="en-US"/>
        </w:rPr>
      </w:pPr>
      <w:r>
        <w:rPr>
          <w:noProof/>
        </w:rPr>
        <w:t>A.</w:t>
      </w:r>
      <w:r>
        <w:rPr>
          <w:rFonts w:asciiTheme="minorHAnsi" w:hAnsiTheme="minorHAnsi" w:cstheme="minorBidi"/>
          <w:noProof/>
          <w:sz w:val="22"/>
          <w:szCs w:val="22"/>
          <w:lang w:eastAsia="en-US"/>
        </w:rPr>
        <w:tab/>
      </w:r>
      <w:r>
        <w:rPr>
          <w:noProof/>
        </w:rPr>
        <w:t>Electric Adjustment 4.03 – Meter Retirement</w:t>
      </w:r>
      <w:r>
        <w:rPr>
          <w:noProof/>
        </w:rPr>
        <w:tab/>
      </w:r>
      <w:r>
        <w:rPr>
          <w:noProof/>
        </w:rPr>
        <w:fldChar w:fldCharType="begin"/>
      </w:r>
      <w:r>
        <w:rPr>
          <w:noProof/>
        </w:rPr>
        <w:instrText xml:space="preserve"> PAGEREF _Toc425419768 \h </w:instrText>
      </w:r>
      <w:r>
        <w:rPr>
          <w:noProof/>
        </w:rPr>
      </w:r>
      <w:r>
        <w:rPr>
          <w:noProof/>
        </w:rPr>
        <w:fldChar w:fldCharType="separate"/>
      </w:r>
      <w:r w:rsidR="00DB17BA">
        <w:rPr>
          <w:noProof/>
        </w:rPr>
        <w:t>26</w:t>
      </w:r>
      <w:r>
        <w:rPr>
          <w:noProof/>
        </w:rPr>
        <w:fldChar w:fldCharType="end"/>
      </w:r>
    </w:p>
    <w:p w14:paraId="3B570C16" w14:textId="77777777" w:rsidR="000E7FDE" w:rsidRDefault="000E7FDE">
      <w:pPr>
        <w:pStyle w:val="TOC2"/>
        <w:rPr>
          <w:rFonts w:asciiTheme="minorHAnsi" w:hAnsiTheme="minorHAnsi" w:cstheme="minorBidi"/>
          <w:noProof/>
          <w:sz w:val="22"/>
          <w:szCs w:val="22"/>
          <w:lang w:eastAsia="en-US"/>
        </w:rPr>
      </w:pPr>
      <w:r>
        <w:rPr>
          <w:noProof/>
        </w:rPr>
        <w:t>B.</w:t>
      </w:r>
      <w:r>
        <w:rPr>
          <w:rFonts w:asciiTheme="minorHAnsi" w:hAnsiTheme="minorHAnsi" w:cstheme="minorBidi"/>
          <w:noProof/>
          <w:sz w:val="22"/>
          <w:szCs w:val="22"/>
          <w:lang w:eastAsia="en-US"/>
        </w:rPr>
        <w:tab/>
      </w:r>
      <w:r>
        <w:rPr>
          <w:noProof/>
        </w:rPr>
        <w:t>Natural Gas Adjustment 4.03 – Project Compass Deferral (Regulatory Amortization)</w:t>
      </w:r>
      <w:r>
        <w:rPr>
          <w:noProof/>
        </w:rPr>
        <w:tab/>
      </w:r>
      <w:r>
        <w:rPr>
          <w:noProof/>
        </w:rPr>
        <w:fldChar w:fldCharType="begin"/>
      </w:r>
      <w:r>
        <w:rPr>
          <w:noProof/>
        </w:rPr>
        <w:instrText xml:space="preserve"> PAGEREF _Toc425419769 \h </w:instrText>
      </w:r>
      <w:r>
        <w:rPr>
          <w:noProof/>
        </w:rPr>
      </w:r>
      <w:r>
        <w:rPr>
          <w:noProof/>
        </w:rPr>
        <w:fldChar w:fldCharType="separate"/>
      </w:r>
      <w:r w:rsidR="00DB17BA">
        <w:rPr>
          <w:noProof/>
        </w:rPr>
        <w:t>27</w:t>
      </w:r>
      <w:r>
        <w:rPr>
          <w:noProof/>
        </w:rPr>
        <w:fldChar w:fldCharType="end"/>
      </w:r>
    </w:p>
    <w:p w14:paraId="15777C70" w14:textId="77777777" w:rsidR="000E7FDE" w:rsidRDefault="000E7FDE">
      <w:pPr>
        <w:pStyle w:val="TOC2"/>
        <w:rPr>
          <w:rFonts w:asciiTheme="minorHAnsi" w:hAnsiTheme="minorHAnsi" w:cstheme="minorBidi"/>
          <w:noProof/>
          <w:sz w:val="22"/>
          <w:szCs w:val="22"/>
          <w:lang w:eastAsia="en-US"/>
        </w:rPr>
      </w:pPr>
      <w:r>
        <w:rPr>
          <w:noProof/>
        </w:rPr>
        <w:t>C.</w:t>
      </w:r>
      <w:r>
        <w:rPr>
          <w:rFonts w:asciiTheme="minorHAnsi" w:hAnsiTheme="minorHAnsi" w:cstheme="minorBidi"/>
          <w:noProof/>
          <w:sz w:val="22"/>
          <w:szCs w:val="22"/>
          <w:lang w:eastAsia="en-US"/>
        </w:rPr>
        <w:tab/>
      </w:r>
      <w:r>
        <w:rPr>
          <w:noProof/>
        </w:rPr>
        <w:t>Electric and Natural Gas Adjustments 4.04 – O&amp;M Offsets</w:t>
      </w:r>
      <w:r>
        <w:rPr>
          <w:noProof/>
        </w:rPr>
        <w:tab/>
      </w:r>
      <w:r>
        <w:rPr>
          <w:noProof/>
        </w:rPr>
        <w:fldChar w:fldCharType="begin"/>
      </w:r>
      <w:r>
        <w:rPr>
          <w:noProof/>
        </w:rPr>
        <w:instrText xml:space="preserve"> PAGEREF _Toc425419770 \h </w:instrText>
      </w:r>
      <w:r>
        <w:rPr>
          <w:noProof/>
        </w:rPr>
      </w:r>
      <w:r>
        <w:rPr>
          <w:noProof/>
        </w:rPr>
        <w:fldChar w:fldCharType="separate"/>
      </w:r>
      <w:r w:rsidR="00DB17BA">
        <w:rPr>
          <w:noProof/>
        </w:rPr>
        <w:t>28</w:t>
      </w:r>
      <w:r>
        <w:rPr>
          <w:noProof/>
        </w:rPr>
        <w:fldChar w:fldCharType="end"/>
      </w:r>
    </w:p>
    <w:p w14:paraId="23EDA35D" w14:textId="3E24401A" w:rsidR="000E7FDE" w:rsidRDefault="000E7FDE">
      <w:pPr>
        <w:pStyle w:val="TOC1"/>
        <w:rPr>
          <w:rFonts w:asciiTheme="minorHAnsi" w:hAnsiTheme="minorHAnsi" w:cstheme="minorBidi"/>
          <w:b w:val="0"/>
          <w:caps w:val="0"/>
          <w:sz w:val="22"/>
          <w:szCs w:val="22"/>
          <w:lang w:eastAsia="en-US"/>
        </w:rPr>
      </w:pPr>
      <w:r w:rsidRPr="00046A76">
        <w:rPr>
          <w:b w:val="0"/>
        </w:rPr>
        <w:t>IX.</w:t>
      </w:r>
      <w:r w:rsidR="00390FB8">
        <w:rPr>
          <w:rFonts w:asciiTheme="minorHAnsi" w:hAnsiTheme="minorHAnsi" w:cstheme="minorBidi"/>
          <w:b w:val="0"/>
          <w:caps w:val="0"/>
          <w:sz w:val="22"/>
          <w:szCs w:val="22"/>
          <w:lang w:eastAsia="en-US"/>
        </w:rPr>
        <w:t xml:space="preserve">  </w:t>
      </w:r>
      <w:r w:rsidRPr="00046A76">
        <w:rPr>
          <w:b w:val="0"/>
        </w:rPr>
        <w:t>Reconcile Pro Forma to Attrition</w:t>
      </w:r>
      <w:r>
        <w:tab/>
      </w:r>
      <w:r>
        <w:fldChar w:fldCharType="begin"/>
      </w:r>
      <w:r>
        <w:instrText xml:space="preserve"> PAGEREF _Toc425419771 \h </w:instrText>
      </w:r>
      <w:r>
        <w:fldChar w:fldCharType="separate"/>
      </w:r>
      <w:r w:rsidR="00DB17BA">
        <w:t>32</w:t>
      </w:r>
      <w:r>
        <w:fldChar w:fldCharType="end"/>
      </w:r>
    </w:p>
    <w:p w14:paraId="54874C1A" w14:textId="73208C5E" w:rsidR="00BD533D" w:rsidRPr="00F720F8" w:rsidRDefault="00BA2B83" w:rsidP="004011D5">
      <w:pPr>
        <w:pStyle w:val="TOC1"/>
      </w:pPr>
      <w:r w:rsidRPr="00F720F8">
        <w:fldChar w:fldCharType="end"/>
      </w:r>
    </w:p>
    <w:p w14:paraId="4AD4EE4C" w14:textId="5079C0F4" w:rsidR="003B1A28" w:rsidRPr="00F720F8" w:rsidRDefault="003B1A28" w:rsidP="003B1A28">
      <w:pPr>
        <w:spacing w:line="480" w:lineRule="auto"/>
        <w:jc w:val="center"/>
        <w:rPr>
          <w:b/>
          <w:bCs/>
          <w:noProof/>
        </w:rPr>
      </w:pPr>
      <w:r w:rsidRPr="00F720F8">
        <w:rPr>
          <w:b/>
          <w:bCs/>
          <w:noProof/>
        </w:rPr>
        <w:t>LIST OF EXHIBITS</w:t>
      </w:r>
    </w:p>
    <w:p w14:paraId="38C3BAD0" w14:textId="2483D7B0" w:rsidR="003C502C" w:rsidRPr="00D03D35" w:rsidRDefault="003C502C" w:rsidP="00C1573E">
      <w:pPr>
        <w:ind w:left="720"/>
        <w:rPr>
          <w:bCs/>
          <w:noProof/>
        </w:rPr>
      </w:pPr>
      <w:r w:rsidRPr="00D03D35">
        <w:rPr>
          <w:bCs/>
          <w:noProof/>
        </w:rPr>
        <w:t>Exhibit No. ___(</w:t>
      </w:r>
      <w:r w:rsidR="00B13EB9">
        <w:rPr>
          <w:bCs/>
          <w:noProof/>
        </w:rPr>
        <w:t>CSH</w:t>
      </w:r>
      <w:r w:rsidRPr="00D03D35">
        <w:rPr>
          <w:bCs/>
          <w:noProof/>
        </w:rPr>
        <w:t>-</w:t>
      </w:r>
      <w:r w:rsidR="003F788B" w:rsidRPr="00D03D35">
        <w:rPr>
          <w:bCs/>
          <w:noProof/>
        </w:rPr>
        <w:t>2</w:t>
      </w:r>
      <w:r w:rsidR="00C1573E" w:rsidRPr="00D03D35">
        <w:rPr>
          <w:bCs/>
          <w:noProof/>
        </w:rPr>
        <w:t>)</w:t>
      </w:r>
      <w:r w:rsidR="00B13EB9">
        <w:rPr>
          <w:bCs/>
          <w:noProof/>
        </w:rPr>
        <w:t>,</w:t>
      </w:r>
      <w:r w:rsidR="003F788B" w:rsidRPr="00D03D35">
        <w:rPr>
          <w:bCs/>
          <w:noProof/>
        </w:rPr>
        <w:t xml:space="preserve"> </w:t>
      </w:r>
      <w:r w:rsidR="00D03D35" w:rsidRPr="00D03D35">
        <w:rPr>
          <w:bCs/>
          <w:noProof/>
        </w:rPr>
        <w:t xml:space="preserve">Electric </w:t>
      </w:r>
      <w:r w:rsidR="00C4080F">
        <w:rPr>
          <w:bCs/>
          <w:noProof/>
        </w:rPr>
        <w:t>Pro Forma Analysis</w:t>
      </w:r>
    </w:p>
    <w:p w14:paraId="42692C25" w14:textId="43626C06" w:rsidR="000A2B6E" w:rsidRDefault="003F788B" w:rsidP="00FA0296">
      <w:pPr>
        <w:ind w:left="720"/>
        <w:rPr>
          <w:bCs/>
          <w:noProof/>
        </w:rPr>
      </w:pPr>
      <w:r w:rsidRPr="00D03D35">
        <w:rPr>
          <w:bCs/>
          <w:noProof/>
        </w:rPr>
        <w:t>Exhibit No. ___(</w:t>
      </w:r>
      <w:r w:rsidR="00B13EB9">
        <w:rPr>
          <w:bCs/>
          <w:noProof/>
        </w:rPr>
        <w:t>CSH</w:t>
      </w:r>
      <w:r w:rsidRPr="00D03D35">
        <w:rPr>
          <w:bCs/>
          <w:noProof/>
        </w:rPr>
        <w:t>-3)</w:t>
      </w:r>
      <w:r w:rsidR="00B13EB9">
        <w:rPr>
          <w:bCs/>
          <w:noProof/>
        </w:rPr>
        <w:t>,</w:t>
      </w:r>
      <w:r w:rsidRPr="00D03D35">
        <w:rPr>
          <w:bCs/>
          <w:noProof/>
        </w:rPr>
        <w:t xml:space="preserve"> </w:t>
      </w:r>
      <w:r w:rsidR="00C4080F">
        <w:rPr>
          <w:bCs/>
          <w:noProof/>
        </w:rPr>
        <w:t>Natural Gas Pro Forma Analysis</w:t>
      </w:r>
    </w:p>
    <w:p w14:paraId="4CAC658B" w14:textId="7A10CBBE" w:rsidR="0011555D" w:rsidRDefault="00D03D35" w:rsidP="00FA0296">
      <w:pPr>
        <w:ind w:left="720"/>
        <w:rPr>
          <w:bCs/>
          <w:noProof/>
        </w:rPr>
      </w:pPr>
      <w:r>
        <w:rPr>
          <w:bCs/>
          <w:noProof/>
        </w:rPr>
        <w:t>Exhibit No. ___(</w:t>
      </w:r>
      <w:r w:rsidR="00C4080F">
        <w:rPr>
          <w:bCs/>
          <w:noProof/>
        </w:rPr>
        <w:t>CSH</w:t>
      </w:r>
      <w:r>
        <w:rPr>
          <w:bCs/>
          <w:noProof/>
        </w:rPr>
        <w:t>-4)</w:t>
      </w:r>
      <w:r w:rsidR="00C4080F">
        <w:rPr>
          <w:bCs/>
          <w:noProof/>
        </w:rPr>
        <w:t>,</w:t>
      </w:r>
      <w:r w:rsidR="00645E15">
        <w:rPr>
          <w:bCs/>
          <w:noProof/>
        </w:rPr>
        <w:t xml:space="preserve"> </w:t>
      </w:r>
      <w:r w:rsidR="00C4080F">
        <w:rPr>
          <w:bCs/>
          <w:noProof/>
        </w:rPr>
        <w:t>Avista Revised Electric Pro Forma Cross Check Study</w:t>
      </w:r>
    </w:p>
    <w:p w14:paraId="6ACC3EF3" w14:textId="66118169" w:rsidR="00645E15" w:rsidRDefault="00C4080F" w:rsidP="00C4080F">
      <w:pPr>
        <w:ind w:left="720"/>
        <w:rPr>
          <w:bCs/>
          <w:noProof/>
        </w:rPr>
      </w:pPr>
      <w:r w:rsidRPr="00C4080F">
        <w:rPr>
          <w:bCs/>
          <w:noProof/>
        </w:rPr>
        <w:t>Exhibit No. ___(CSH-</w:t>
      </w:r>
      <w:r>
        <w:rPr>
          <w:bCs/>
          <w:noProof/>
        </w:rPr>
        <w:t>5</w:t>
      </w:r>
      <w:r w:rsidRPr="00C4080F">
        <w:rPr>
          <w:bCs/>
          <w:noProof/>
        </w:rPr>
        <w:t xml:space="preserve">), </w:t>
      </w:r>
      <w:r>
        <w:rPr>
          <w:bCs/>
          <w:noProof/>
        </w:rPr>
        <w:t>Avista Revised Natural Gas Pro Forma Cross Check Study</w:t>
      </w:r>
    </w:p>
    <w:p w14:paraId="0523F1DA" w14:textId="218D5CE0" w:rsidR="00522602" w:rsidRDefault="00522602" w:rsidP="00522602">
      <w:pPr>
        <w:ind w:left="720"/>
        <w:rPr>
          <w:bCs/>
          <w:noProof/>
        </w:rPr>
      </w:pPr>
      <w:r>
        <w:rPr>
          <w:bCs/>
          <w:noProof/>
        </w:rPr>
        <w:t xml:space="preserve">Exhibit No. ___(CSH-6), Major Electric ER </w:t>
      </w:r>
      <w:r w:rsidR="000E7FDE">
        <w:rPr>
          <w:bCs/>
          <w:noProof/>
        </w:rPr>
        <w:t xml:space="preserve">Transfers </w:t>
      </w:r>
      <w:r>
        <w:rPr>
          <w:bCs/>
          <w:noProof/>
        </w:rPr>
        <w:t>as of June 30, 2015</w:t>
      </w:r>
    </w:p>
    <w:p w14:paraId="1E433EBC" w14:textId="2EE022E6" w:rsidR="00522602" w:rsidRDefault="00522602" w:rsidP="00522602">
      <w:pPr>
        <w:ind w:left="720"/>
        <w:rPr>
          <w:bCs/>
          <w:noProof/>
        </w:rPr>
      </w:pPr>
      <w:r w:rsidRPr="00C4080F">
        <w:rPr>
          <w:bCs/>
          <w:noProof/>
        </w:rPr>
        <w:t>Exhibit No. ___(CSH-</w:t>
      </w:r>
      <w:r>
        <w:rPr>
          <w:bCs/>
          <w:noProof/>
        </w:rPr>
        <w:t>7</w:t>
      </w:r>
      <w:r w:rsidRPr="00C4080F">
        <w:rPr>
          <w:bCs/>
          <w:noProof/>
        </w:rPr>
        <w:t xml:space="preserve">), </w:t>
      </w:r>
      <w:r>
        <w:rPr>
          <w:bCs/>
          <w:noProof/>
        </w:rPr>
        <w:t xml:space="preserve">Major Natural Gas ER </w:t>
      </w:r>
      <w:r w:rsidR="000E7FDE">
        <w:rPr>
          <w:bCs/>
          <w:noProof/>
        </w:rPr>
        <w:t xml:space="preserve">Transfers </w:t>
      </w:r>
      <w:r>
        <w:rPr>
          <w:bCs/>
          <w:noProof/>
        </w:rPr>
        <w:t>as of June 30, 2015</w:t>
      </w:r>
    </w:p>
    <w:p w14:paraId="4BAB439E" w14:textId="47DA729E" w:rsidR="000A2B6E" w:rsidRPr="00F720F8" w:rsidRDefault="00522602" w:rsidP="00A97CB8">
      <w:pPr>
        <w:ind w:firstLine="720"/>
      </w:pPr>
      <w:r>
        <w:rPr>
          <w:bCs/>
          <w:noProof/>
        </w:rPr>
        <w:t>Exhibit No. ___(CSH-8), Wood Pole Events Over Time</w:t>
      </w:r>
    </w:p>
    <w:p w14:paraId="35C933CA" w14:textId="3CEFDD3A" w:rsidR="003B1A28" w:rsidRPr="006355F2" w:rsidRDefault="006355F2" w:rsidP="006355F2">
      <w:pPr>
        <w:tabs>
          <w:tab w:val="left" w:pos="2174"/>
        </w:tabs>
        <w:sectPr w:rsidR="003B1A28" w:rsidRPr="006355F2" w:rsidSect="00BD533D">
          <w:pgSz w:w="12240" w:h="15840" w:code="1"/>
          <w:pgMar w:top="1440" w:right="1440" w:bottom="1440" w:left="1440" w:header="720" w:footer="720" w:gutter="0"/>
          <w:pgNumType w:fmt="lowerRoman" w:start="1"/>
          <w:cols w:space="720"/>
          <w:docGrid w:linePitch="360"/>
        </w:sectPr>
      </w:pPr>
      <w:r>
        <w:tab/>
      </w:r>
    </w:p>
    <w:p w14:paraId="0B0AA73E" w14:textId="505F31F4" w:rsidR="004026AD" w:rsidRPr="002752E0" w:rsidRDefault="00455AAB" w:rsidP="008F38DE">
      <w:pPr>
        <w:pStyle w:val="Heading1"/>
        <w:rPr>
          <w:caps/>
        </w:rPr>
      </w:pPr>
      <w:bookmarkStart w:id="1" w:name="_Toc424808464"/>
      <w:bookmarkStart w:id="2" w:name="_Toc424808485"/>
      <w:bookmarkStart w:id="3" w:name="_Toc425419750"/>
      <w:r w:rsidRPr="002752E0">
        <w:rPr>
          <w:caps/>
        </w:rPr>
        <w:t>Introduction</w:t>
      </w:r>
      <w:bookmarkEnd w:id="1"/>
      <w:bookmarkEnd w:id="2"/>
      <w:bookmarkEnd w:id="3"/>
    </w:p>
    <w:p w14:paraId="0B79B8CF" w14:textId="77777777" w:rsidR="003E7CD6" w:rsidRDefault="003E7CD6" w:rsidP="003E7CD6">
      <w:pPr>
        <w:pStyle w:val="NoSpacing"/>
      </w:pPr>
      <w:bookmarkStart w:id="4" w:name="_Toc391989915"/>
      <w:bookmarkStart w:id="5" w:name="_Toc391990017"/>
      <w:bookmarkStart w:id="6" w:name="_Toc393023104"/>
      <w:bookmarkStart w:id="7" w:name="_Toc393023310"/>
    </w:p>
    <w:p w14:paraId="0B0AA73F" w14:textId="77777777" w:rsidR="004026AD" w:rsidRPr="00F720F8" w:rsidRDefault="004026AD" w:rsidP="008F38DE">
      <w:pPr>
        <w:pStyle w:val="Heading8"/>
      </w:pPr>
      <w:r w:rsidRPr="00F720F8">
        <w:t>Q.</w:t>
      </w:r>
      <w:r w:rsidRPr="00F720F8">
        <w:tab/>
        <w:t>Please state your name and business address.</w:t>
      </w:r>
      <w:bookmarkEnd w:id="4"/>
      <w:bookmarkEnd w:id="5"/>
      <w:bookmarkEnd w:id="6"/>
      <w:bookmarkEnd w:id="7"/>
      <w:r w:rsidRPr="00F720F8">
        <w:t xml:space="preserve">  </w:t>
      </w:r>
    </w:p>
    <w:p w14:paraId="0B0AA740" w14:textId="4D2DC553" w:rsidR="004026AD" w:rsidRPr="00F720F8" w:rsidRDefault="004026AD" w:rsidP="00713027">
      <w:pPr>
        <w:pStyle w:val="NoSpacing"/>
      </w:pPr>
      <w:r w:rsidRPr="00F720F8">
        <w:t>A.</w:t>
      </w:r>
      <w:r w:rsidRPr="00F720F8">
        <w:tab/>
      </w:r>
      <w:r w:rsidR="00AC132D" w:rsidRPr="00AC132D">
        <w:t>My name is Christopher Scott Hancock.  My business address is The Richard Hemstad Building, 1300 S. Evergreen Park Drive S.W., Olympia, WA 98504</w:t>
      </w:r>
      <w:r w:rsidR="00AC132D">
        <w:t>.</w:t>
      </w:r>
      <w:r w:rsidRPr="00F720F8">
        <w:t xml:space="preserve"> </w:t>
      </w:r>
    </w:p>
    <w:p w14:paraId="791F60E7" w14:textId="77777777" w:rsidR="00CD0188" w:rsidRPr="00F720F8" w:rsidRDefault="00CD0188" w:rsidP="00713027">
      <w:pPr>
        <w:pStyle w:val="NoSpacing"/>
      </w:pPr>
    </w:p>
    <w:p w14:paraId="0B0AA741" w14:textId="77777777" w:rsidR="004026AD" w:rsidRPr="00F720F8" w:rsidRDefault="004026AD" w:rsidP="008F38DE">
      <w:pPr>
        <w:pStyle w:val="Heading8"/>
      </w:pPr>
      <w:bookmarkStart w:id="8" w:name="_Toc391989916"/>
      <w:bookmarkStart w:id="9" w:name="_Toc391990018"/>
      <w:bookmarkStart w:id="10" w:name="_Toc393023105"/>
      <w:bookmarkStart w:id="11" w:name="_Toc393023311"/>
      <w:r w:rsidRPr="00F720F8">
        <w:t>Q.</w:t>
      </w:r>
      <w:r w:rsidRPr="00F720F8">
        <w:tab/>
        <w:t>By whom are you employed and in what capacity?</w:t>
      </w:r>
      <w:bookmarkEnd w:id="8"/>
      <w:bookmarkEnd w:id="9"/>
      <w:bookmarkEnd w:id="10"/>
      <w:bookmarkEnd w:id="11"/>
      <w:r w:rsidRPr="00F720F8">
        <w:t xml:space="preserve">  </w:t>
      </w:r>
    </w:p>
    <w:p w14:paraId="0B0AA742" w14:textId="3E660FE0" w:rsidR="004026AD" w:rsidRPr="00F720F8" w:rsidRDefault="004026AD" w:rsidP="00713027">
      <w:pPr>
        <w:pStyle w:val="NoSpacing"/>
      </w:pPr>
      <w:r w:rsidRPr="00F720F8">
        <w:t>A.</w:t>
      </w:r>
      <w:r w:rsidRPr="00F720F8">
        <w:tab/>
        <w:t xml:space="preserve"> </w:t>
      </w:r>
      <w:r w:rsidR="00AC132D" w:rsidRPr="00AC132D">
        <w:t xml:space="preserve">I am employed by the Washington Utilities and Transportation Commission (Commission) as a Regulatory Analyst in the Energy Regulation Section of the Regulatory Services Division.  </w:t>
      </w:r>
    </w:p>
    <w:p w14:paraId="52540BB8" w14:textId="77777777" w:rsidR="00CD0188" w:rsidRPr="00F720F8" w:rsidRDefault="00CD0188" w:rsidP="00713027">
      <w:pPr>
        <w:pStyle w:val="NoSpacing"/>
      </w:pPr>
    </w:p>
    <w:p w14:paraId="0B0AA743" w14:textId="77777777" w:rsidR="004026AD" w:rsidRPr="00F720F8" w:rsidRDefault="004026AD" w:rsidP="008F38DE">
      <w:pPr>
        <w:pStyle w:val="Heading8"/>
      </w:pPr>
      <w:r w:rsidRPr="00F720F8">
        <w:t>Q.</w:t>
      </w:r>
      <w:r w:rsidRPr="00F720F8">
        <w:tab/>
        <w:t>How long have you been employed by the Commission?</w:t>
      </w:r>
    </w:p>
    <w:p w14:paraId="0B0AA744" w14:textId="4AD478B9" w:rsidR="004026AD" w:rsidRPr="00F720F8" w:rsidRDefault="004026AD" w:rsidP="00713027">
      <w:pPr>
        <w:pStyle w:val="NoSpacing"/>
      </w:pPr>
      <w:r w:rsidRPr="00F720F8">
        <w:t>A.</w:t>
      </w:r>
      <w:r w:rsidRPr="00F720F8">
        <w:tab/>
      </w:r>
      <w:r w:rsidR="00AC132D" w:rsidRPr="00AC132D">
        <w:t>I have been employed by the Commission since January 2015.</w:t>
      </w:r>
    </w:p>
    <w:p w14:paraId="462CE0CF" w14:textId="77777777" w:rsidR="00CD0188" w:rsidRPr="00F720F8" w:rsidRDefault="00CD0188" w:rsidP="00713027">
      <w:pPr>
        <w:pStyle w:val="NoSpacing"/>
      </w:pPr>
    </w:p>
    <w:p w14:paraId="0B0AA745" w14:textId="77777777" w:rsidR="004026AD" w:rsidRPr="00F720F8" w:rsidRDefault="004026AD" w:rsidP="008F38DE">
      <w:pPr>
        <w:pStyle w:val="Heading8"/>
      </w:pPr>
      <w:bookmarkStart w:id="12" w:name="_Toc391989917"/>
      <w:bookmarkStart w:id="13" w:name="_Toc391990019"/>
      <w:bookmarkStart w:id="14" w:name="_Toc393023106"/>
      <w:bookmarkStart w:id="15" w:name="_Toc393023312"/>
      <w:r w:rsidRPr="00F720F8">
        <w:t>Q.</w:t>
      </w:r>
      <w:r w:rsidRPr="00F720F8">
        <w:tab/>
        <w:t>Would you please state your educational and professional background?</w:t>
      </w:r>
      <w:bookmarkEnd w:id="12"/>
      <w:bookmarkEnd w:id="13"/>
      <w:bookmarkEnd w:id="14"/>
      <w:bookmarkEnd w:id="15"/>
    </w:p>
    <w:p w14:paraId="0B0AA746" w14:textId="407EB066" w:rsidR="00E91591" w:rsidRDefault="004026AD" w:rsidP="00AC132D">
      <w:pPr>
        <w:pStyle w:val="NoSpacing"/>
      </w:pPr>
      <w:r w:rsidRPr="00F720F8">
        <w:t>A.</w:t>
      </w:r>
      <w:r w:rsidRPr="00F720F8">
        <w:tab/>
      </w:r>
      <w:r w:rsidR="00AC132D" w:rsidRPr="00AC132D">
        <w:t xml:space="preserve">I graduated from New Mexico State University in 2013 with a Bachelor of Business Administration </w:t>
      </w:r>
      <w:r w:rsidR="00594E2F">
        <w:t xml:space="preserve">degree </w:t>
      </w:r>
      <w:r w:rsidR="00AC132D" w:rsidRPr="00AC132D">
        <w:t>in Economics.  In 2014, I graduated from New Mexico State University with a Master of Arts degree in Economics, specializing in Public Utility Policy &amp; Regulation.  Prior to my employment with the Commission, I interned at Southern California Edison’s regulatory affairs department, and served six years in the United States Air Force before being honorably discharged.</w:t>
      </w:r>
    </w:p>
    <w:p w14:paraId="7903146D" w14:textId="77777777" w:rsidR="00C31468" w:rsidRDefault="00C31468" w:rsidP="00AC132D">
      <w:pPr>
        <w:pStyle w:val="NoSpacing"/>
      </w:pPr>
    </w:p>
    <w:p w14:paraId="1164267C" w14:textId="56E485C8" w:rsidR="00C31468" w:rsidRDefault="00C31468" w:rsidP="00163F79">
      <w:pPr>
        <w:pStyle w:val="Heading8"/>
        <w:keepNext/>
      </w:pPr>
      <w:r>
        <w:t>Q.</w:t>
      </w:r>
      <w:r>
        <w:tab/>
        <w:t>Have you previously testified before the Commission?</w:t>
      </w:r>
    </w:p>
    <w:p w14:paraId="0C9F509E" w14:textId="3516CD90" w:rsidR="00C31468" w:rsidRPr="00C31468" w:rsidRDefault="00C31468" w:rsidP="00C31468">
      <w:pPr>
        <w:pStyle w:val="NoSpacing"/>
      </w:pPr>
      <w:r w:rsidRPr="00C31468">
        <w:t>A.</w:t>
      </w:r>
      <w:r w:rsidRPr="00C31468">
        <w:tab/>
        <w:t>No.</w:t>
      </w:r>
    </w:p>
    <w:p w14:paraId="18131F65" w14:textId="77777777" w:rsidR="00434D77" w:rsidRPr="00F720F8" w:rsidRDefault="00434D77" w:rsidP="00713027">
      <w:pPr>
        <w:pStyle w:val="NoSpacing"/>
      </w:pPr>
    </w:p>
    <w:p w14:paraId="05887D49" w14:textId="52E409DD" w:rsidR="00A31693" w:rsidRPr="002752E0" w:rsidRDefault="00A31693" w:rsidP="008F38DE">
      <w:pPr>
        <w:pStyle w:val="Heading1"/>
        <w:rPr>
          <w:caps/>
        </w:rPr>
      </w:pPr>
      <w:bookmarkStart w:id="16" w:name="_Toc424808465"/>
      <w:bookmarkStart w:id="17" w:name="_Toc424808486"/>
      <w:bookmarkStart w:id="18" w:name="_Toc425419751"/>
      <w:r w:rsidRPr="002752E0">
        <w:rPr>
          <w:caps/>
        </w:rPr>
        <w:t>Scope of Testimony</w:t>
      </w:r>
      <w:bookmarkEnd w:id="16"/>
      <w:bookmarkEnd w:id="17"/>
      <w:bookmarkEnd w:id="18"/>
    </w:p>
    <w:p w14:paraId="5D9DC695" w14:textId="77777777" w:rsidR="003D686A" w:rsidRPr="00F720F8" w:rsidRDefault="003D686A" w:rsidP="00713027">
      <w:pPr>
        <w:pStyle w:val="NoSpacing"/>
      </w:pPr>
    </w:p>
    <w:p w14:paraId="5D88E85B" w14:textId="6EC2AAF2" w:rsidR="00D227E2" w:rsidRPr="00F720F8" w:rsidRDefault="00D227E2" w:rsidP="008F38DE">
      <w:pPr>
        <w:pStyle w:val="Heading8"/>
      </w:pPr>
      <w:r w:rsidRPr="00F720F8">
        <w:t>Q.</w:t>
      </w:r>
      <w:r w:rsidRPr="00F720F8">
        <w:tab/>
      </w:r>
      <w:r w:rsidR="00670A21" w:rsidRPr="00670A21">
        <w:t>Please explain the purpose of your testimony.</w:t>
      </w:r>
    </w:p>
    <w:p w14:paraId="16D9E88D" w14:textId="354442F3" w:rsidR="0098500F" w:rsidRDefault="00D227E2" w:rsidP="000A0159">
      <w:pPr>
        <w:pStyle w:val="NoSpacing"/>
      </w:pPr>
      <w:r w:rsidRPr="00F720F8">
        <w:t>A.</w:t>
      </w:r>
      <w:r w:rsidRPr="00F720F8">
        <w:tab/>
      </w:r>
      <w:r w:rsidR="00670A21">
        <w:t>T</w:t>
      </w:r>
      <w:r w:rsidR="00670A21" w:rsidRPr="00670A21">
        <w:t xml:space="preserve">he primary purpose of my testimony is to provide an overview of Staff’s </w:t>
      </w:r>
      <w:r w:rsidR="00670A21" w:rsidRPr="00670A21">
        <w:rPr>
          <w:i/>
        </w:rPr>
        <w:t>pro forma</w:t>
      </w:r>
      <w:r w:rsidR="00670A21" w:rsidRPr="00670A21">
        <w:t xml:space="preserve"> revenue requirement case in response to the Company’s </w:t>
      </w:r>
      <w:r w:rsidR="00C62FEA" w:rsidRPr="00C62FEA">
        <w:t>Pro Forma Cross Check studies</w:t>
      </w:r>
      <w:r w:rsidR="00C62FEA">
        <w:rPr>
          <w:i/>
        </w:rPr>
        <w:t xml:space="preserve"> </w:t>
      </w:r>
      <w:r w:rsidR="00670A21" w:rsidRPr="00670A21">
        <w:t>sponsored by Company witnesses Ms. Schuh and Ms. Smith.  I present Staff’s recommendations</w:t>
      </w:r>
      <w:r w:rsidR="006355F2">
        <w:t xml:space="preserve"> on the: </w:t>
      </w:r>
      <w:r w:rsidR="00670A21" w:rsidRPr="00670A21">
        <w:t xml:space="preserve">(1) definition of a “major” rate base adjustment; and (2) revenue requirement using a modified historical test year </w:t>
      </w:r>
      <w:r w:rsidR="00670A21" w:rsidRPr="00670A21">
        <w:rPr>
          <w:i/>
        </w:rPr>
        <w:t>pro forma</w:t>
      </w:r>
      <w:r w:rsidR="00670A21" w:rsidRPr="00670A21">
        <w:t xml:space="preserve"> approach. </w:t>
      </w:r>
    </w:p>
    <w:p w14:paraId="669B6F0B" w14:textId="3956BA1D" w:rsidR="0098500F" w:rsidRPr="00670A21" w:rsidRDefault="0098500F" w:rsidP="00670A21">
      <w:pPr>
        <w:pStyle w:val="NoSpacing"/>
      </w:pPr>
      <w:r>
        <w:tab/>
      </w:r>
      <w:r>
        <w:tab/>
        <w:t xml:space="preserve">Staff’s </w:t>
      </w:r>
      <w:r>
        <w:rPr>
          <w:i/>
        </w:rPr>
        <w:t>pro forma</w:t>
      </w:r>
      <w:r>
        <w:t xml:space="preserve"> revenue requirement analysis is intended to stand alone as an independent analysis </w:t>
      </w:r>
      <w:r w:rsidR="00EC194C">
        <w:t xml:space="preserve">to </w:t>
      </w:r>
      <w:r>
        <w:t>determin</w:t>
      </w:r>
      <w:r w:rsidR="00EC194C">
        <w:t xml:space="preserve">e </w:t>
      </w:r>
      <w:r>
        <w:t xml:space="preserve">the revenues </w:t>
      </w:r>
      <w:r w:rsidR="00EC194C">
        <w:t xml:space="preserve">sufficient </w:t>
      </w:r>
      <w:r>
        <w:t xml:space="preserve">for the Company to </w:t>
      </w:r>
      <w:r w:rsidR="00A97CB8">
        <w:t xml:space="preserve">have an opportunity to </w:t>
      </w:r>
      <w:r>
        <w:t>achieve its settled rate of return.</w:t>
      </w:r>
    </w:p>
    <w:p w14:paraId="2FEA1248" w14:textId="1B017671" w:rsidR="00434D77" w:rsidRPr="00F720F8" w:rsidRDefault="00434D77" w:rsidP="00670A21">
      <w:pPr>
        <w:pStyle w:val="NoSpacing"/>
      </w:pPr>
    </w:p>
    <w:p w14:paraId="6F7D4501" w14:textId="202444F3" w:rsidR="00670A21" w:rsidRPr="00670A21" w:rsidRDefault="00EE534F" w:rsidP="00670A21">
      <w:pPr>
        <w:pStyle w:val="Heading8"/>
        <w:ind w:left="0" w:firstLine="0"/>
      </w:pPr>
      <w:r>
        <w:t>Q.</w:t>
      </w:r>
      <w:r w:rsidR="00670A21">
        <w:tab/>
      </w:r>
      <w:r w:rsidR="00670A21" w:rsidRPr="00670A21">
        <w:t>Have you prepared any exhibits in support of your testimony?</w:t>
      </w:r>
    </w:p>
    <w:p w14:paraId="31B24BFE" w14:textId="5B81FFFC" w:rsidR="00A71E0B" w:rsidRDefault="00EE534F" w:rsidP="003102A4">
      <w:pPr>
        <w:pStyle w:val="NoSpacing"/>
      </w:pPr>
      <w:r>
        <w:t>A.</w:t>
      </w:r>
      <w:r>
        <w:tab/>
        <w:t xml:space="preserve"> </w:t>
      </w:r>
      <w:r w:rsidR="00670A21" w:rsidRPr="00670A21">
        <w:t xml:space="preserve">Yes.  I prepared Exhibit No.___ (CSH-2) and Exhibit No.___ (CSH-3).  These exhibits present my analysis of </w:t>
      </w:r>
      <w:r w:rsidR="00670A21" w:rsidRPr="00670A21">
        <w:rPr>
          <w:i/>
        </w:rPr>
        <w:t>pro forma</w:t>
      </w:r>
      <w:r w:rsidR="00670A21" w:rsidRPr="00670A21">
        <w:t xml:space="preserve"> revenue requirements, for electric and natural gas operations, respectively.  I present these exhibits using the same model and format that Avista uses in its direct case.  M</w:t>
      </w:r>
      <w:r w:rsidR="00DB17BA">
        <w:t xml:space="preserve">y Exhibit Nos.___ (CSH-2) and </w:t>
      </w:r>
      <w:r w:rsidR="00670A21" w:rsidRPr="00670A21">
        <w:t>(CSH-3) correspond to Avista Exhibit Nos.___</w:t>
      </w:r>
      <w:r w:rsidR="00DB17BA">
        <w:t xml:space="preserve"> </w:t>
      </w:r>
      <w:r w:rsidR="00670A21" w:rsidRPr="00670A21">
        <w:t>(JSS-2) and ___</w:t>
      </w:r>
      <w:r w:rsidR="00DB17BA">
        <w:t xml:space="preserve"> </w:t>
      </w:r>
      <w:r w:rsidR="00670A21" w:rsidRPr="00670A21">
        <w:t>(JSS-3), respectively.</w:t>
      </w:r>
    </w:p>
    <w:p w14:paraId="33FEED68" w14:textId="31AB1301" w:rsidR="00A71E0B" w:rsidRDefault="00A71E0B" w:rsidP="003102A4">
      <w:pPr>
        <w:pStyle w:val="NoSpacing"/>
      </w:pPr>
      <w:r>
        <w:tab/>
      </w:r>
      <w:r>
        <w:tab/>
        <w:t>Second, I sponsor Exhibit No.___ (CSH-4</w:t>
      </w:r>
      <w:r w:rsidRPr="00670A21">
        <w:t>) and Exhibit No.___ (CSH-</w:t>
      </w:r>
      <w:r>
        <w:t>5</w:t>
      </w:r>
      <w:r w:rsidRPr="00670A21">
        <w:t>)</w:t>
      </w:r>
      <w:r>
        <w:t xml:space="preserve"> related to an important update Avista made to its Pro Forma Cross Check studies in Staff Data Request </w:t>
      </w:r>
      <w:r w:rsidR="00846E64">
        <w:t xml:space="preserve">No. </w:t>
      </w:r>
      <w:r w:rsidR="00D72C69">
        <w:t xml:space="preserve"> </w:t>
      </w:r>
      <w:r>
        <w:t xml:space="preserve">131.  </w:t>
      </w:r>
      <w:r w:rsidRPr="00670A21">
        <w:t xml:space="preserve">These exhibits present </w:t>
      </w:r>
      <w:r>
        <w:t xml:space="preserve">the Company’s updated </w:t>
      </w:r>
      <w:r w:rsidRPr="00670A21">
        <w:rPr>
          <w:i/>
        </w:rPr>
        <w:t>pro forma</w:t>
      </w:r>
      <w:r w:rsidRPr="00670A21">
        <w:t xml:space="preserve"> revenue requirement</w:t>
      </w:r>
      <w:r>
        <w:t xml:space="preserve"> studies</w:t>
      </w:r>
      <w:r w:rsidRPr="00670A21">
        <w:t>, for electric and natural gas operations, respectively.</w:t>
      </w:r>
    </w:p>
    <w:p w14:paraId="25FDAD13" w14:textId="438EE78E" w:rsidR="00A71E0B" w:rsidRDefault="00A71E0B" w:rsidP="003102A4">
      <w:pPr>
        <w:pStyle w:val="NoSpacing"/>
      </w:pPr>
      <w:r>
        <w:tab/>
      </w:r>
      <w:r>
        <w:tab/>
        <w:t>Third, I sponsor Exhibit No.___ (CSH-6</w:t>
      </w:r>
      <w:r w:rsidRPr="00670A21">
        <w:t>) and Exhibit No.___ (CSH-</w:t>
      </w:r>
      <w:r>
        <w:t>7</w:t>
      </w:r>
      <w:r w:rsidRPr="00670A21">
        <w:t>)</w:t>
      </w:r>
      <w:r>
        <w:t xml:space="preserve">.  These exhibits show the actual transfer to plant balances as of June 30, 2015 in electric and natural gas operations, respectively, for a total of fourteen major projects.  These exhibits are based on the Company’s response to Staff Data Request </w:t>
      </w:r>
      <w:r w:rsidR="00D72C69">
        <w:t xml:space="preserve">No. </w:t>
      </w:r>
      <w:r>
        <w:t>143 on July 10, 2015.</w:t>
      </w:r>
    </w:p>
    <w:p w14:paraId="3AB11ABF" w14:textId="3451D084" w:rsidR="00A71E0B" w:rsidRDefault="00A71E0B" w:rsidP="003102A4">
      <w:pPr>
        <w:pStyle w:val="NoSpacing"/>
      </w:pPr>
      <w:r>
        <w:tab/>
      </w:r>
      <w:r>
        <w:tab/>
        <w:t>Finally, I sponsor Exhibit No.___ (CSH-8</w:t>
      </w:r>
      <w:r w:rsidRPr="00670A21">
        <w:t>)</w:t>
      </w:r>
      <w:r>
        <w:t xml:space="preserve">.  This exhibit </w:t>
      </w:r>
      <w:r w:rsidR="00623621">
        <w:t>shows the trend of so-called “bad wood pole events” over time.</w:t>
      </w:r>
    </w:p>
    <w:p w14:paraId="3CF618D0" w14:textId="6FC3A8D8" w:rsidR="00AA4D60" w:rsidRDefault="00AA4D60" w:rsidP="003102A4">
      <w:pPr>
        <w:pStyle w:val="NoSpacing"/>
      </w:pPr>
    </w:p>
    <w:p w14:paraId="5301310D" w14:textId="781ACD17" w:rsidR="00AA4D60" w:rsidRDefault="00AA4D60" w:rsidP="00C72A95">
      <w:pPr>
        <w:pStyle w:val="Heading8"/>
      </w:pPr>
      <w:r>
        <w:t>Q.</w:t>
      </w:r>
      <w:r>
        <w:tab/>
        <w:t xml:space="preserve">Which other members of Staff have testimony on </w:t>
      </w:r>
      <w:r w:rsidRPr="00C72A95">
        <w:rPr>
          <w:i/>
        </w:rPr>
        <w:t>pro forma</w:t>
      </w:r>
      <w:r>
        <w:t xml:space="preserve"> adjustments?</w:t>
      </w:r>
    </w:p>
    <w:p w14:paraId="4FCC9FC9" w14:textId="7F4D04E2" w:rsidR="00AA4D60" w:rsidRDefault="00AA4D60" w:rsidP="003102A4">
      <w:pPr>
        <w:pStyle w:val="NoSpacing"/>
      </w:pPr>
      <w:r>
        <w:t>A.</w:t>
      </w:r>
      <w:r>
        <w:tab/>
        <w:t xml:space="preserve">Mr. Jason L. Ball </w:t>
      </w:r>
      <w:r w:rsidR="00C72A95">
        <w:t xml:space="preserve">presents </w:t>
      </w:r>
      <w:r>
        <w:t xml:space="preserve">Staff’s recommendations regarding </w:t>
      </w:r>
      <w:r>
        <w:rPr>
          <w:i/>
        </w:rPr>
        <w:t>pro forma</w:t>
      </w:r>
      <w:r>
        <w:t xml:space="preserve"> restating and expense adjustments.  Mr. David C. Gomez </w:t>
      </w:r>
      <w:r w:rsidR="00C72A95">
        <w:t>presents</w:t>
      </w:r>
      <w:r>
        <w:t xml:space="preserve"> Staff’s analysis of the prudence of certain plant additions.</w:t>
      </w:r>
    </w:p>
    <w:p w14:paraId="34A02994" w14:textId="02700390" w:rsidR="00EE534F" w:rsidRPr="00F720F8" w:rsidRDefault="00EE534F" w:rsidP="00713027">
      <w:pPr>
        <w:pStyle w:val="NoSpacing"/>
      </w:pPr>
    </w:p>
    <w:p w14:paraId="4E67E900" w14:textId="77777777" w:rsidR="00B53112" w:rsidRPr="00F720F8" w:rsidRDefault="00B53112" w:rsidP="008F38DE">
      <w:pPr>
        <w:pStyle w:val="Heading8"/>
      </w:pPr>
      <w:r w:rsidRPr="00F720F8">
        <w:t>Q.</w:t>
      </w:r>
      <w:r w:rsidRPr="00F720F8">
        <w:tab/>
        <w:t>How is the remainder of your testimony organized?</w:t>
      </w:r>
    </w:p>
    <w:p w14:paraId="4ED57415" w14:textId="2217E063" w:rsidR="001659CC" w:rsidRPr="00F720F8" w:rsidRDefault="00B53112" w:rsidP="00B53112">
      <w:pPr>
        <w:pStyle w:val="NoSpacing"/>
        <w:rPr>
          <w:i/>
        </w:rPr>
      </w:pPr>
      <w:r w:rsidRPr="00F720F8">
        <w:t>A.</w:t>
      </w:r>
      <w:bookmarkStart w:id="19" w:name="_Toc404149983"/>
      <w:bookmarkEnd w:id="19"/>
      <w:r w:rsidR="00BE161D">
        <w:tab/>
        <w:t xml:space="preserve">In </w:t>
      </w:r>
      <w:r w:rsidR="00657549">
        <w:t>S</w:t>
      </w:r>
      <w:r w:rsidR="00BE161D">
        <w:t xml:space="preserve">ection III, I discuss Staff’s </w:t>
      </w:r>
      <w:r w:rsidR="00657549">
        <w:t xml:space="preserve">calculations of the Company’s revenue requirements, using a modified historical test year with limited </w:t>
      </w:r>
      <w:r w:rsidR="00657549" w:rsidRPr="00657549">
        <w:rPr>
          <w:i/>
        </w:rPr>
        <w:t>pro forma</w:t>
      </w:r>
      <w:r w:rsidR="00657549">
        <w:t xml:space="preserve"> adjustments</w:t>
      </w:r>
      <w:r w:rsidR="000621E7">
        <w:t>.  I also take the opportunity to briefly compare Staff’s revenue requirement findings with those of the Company</w:t>
      </w:r>
      <w:r w:rsidR="00BE161D">
        <w:t xml:space="preserve">.  In </w:t>
      </w:r>
      <w:r w:rsidR="00657549">
        <w:t>S</w:t>
      </w:r>
      <w:r w:rsidR="00BE161D">
        <w:t xml:space="preserve">ection IV, I discuss </w:t>
      </w:r>
      <w:r w:rsidR="00657549">
        <w:t xml:space="preserve">Commission policy on </w:t>
      </w:r>
      <w:r w:rsidR="00657549" w:rsidRPr="00657549">
        <w:rPr>
          <w:i/>
        </w:rPr>
        <w:t>pro forma</w:t>
      </w:r>
      <w:r w:rsidR="00657549">
        <w:t xml:space="preserve"> adjustments</w:t>
      </w:r>
      <w:r w:rsidR="00F5016D">
        <w:t>, particularly the criteria these adjustments must meet to be accepted by the Commission during a general rate case</w:t>
      </w:r>
      <w:r w:rsidR="00BE161D">
        <w:t xml:space="preserve">.  In </w:t>
      </w:r>
      <w:r w:rsidR="00F5016D">
        <w:t>S</w:t>
      </w:r>
      <w:r w:rsidR="00BE161D">
        <w:t xml:space="preserve">ection V, I discuss </w:t>
      </w:r>
      <w:r w:rsidR="00F5016D">
        <w:t>capital additions made by the Company in the final three months of calendar year 2014</w:t>
      </w:r>
      <w:r w:rsidR="00BE161D">
        <w:t xml:space="preserve">.  </w:t>
      </w:r>
      <w:r w:rsidR="00F5016D">
        <w:t>In Section VI, I discuss capital additions made by the Company in 201</w:t>
      </w:r>
      <w:r w:rsidR="00132503">
        <w:t>5</w:t>
      </w:r>
      <w:r w:rsidR="00F5016D">
        <w:t xml:space="preserve">.  In Section VII, I discuss capital additions proposed by the Company for calendar year 2016.  In Section VIII, I discuss other pro forma rate base adjustments.  </w:t>
      </w:r>
      <w:r w:rsidR="00BE161D">
        <w:t>Finally,</w:t>
      </w:r>
      <w:r w:rsidR="003122ED">
        <w:t xml:space="preserve"> in </w:t>
      </w:r>
      <w:r w:rsidR="00781521">
        <w:t>S</w:t>
      </w:r>
      <w:r w:rsidR="003122ED">
        <w:t>ection I</w:t>
      </w:r>
      <w:r w:rsidR="00F5016D">
        <w:t>X</w:t>
      </w:r>
      <w:r w:rsidR="003122ED">
        <w:t>,</w:t>
      </w:r>
      <w:r w:rsidR="00BE161D">
        <w:t xml:space="preserve"> </w:t>
      </w:r>
      <w:r w:rsidR="003122ED">
        <w:t xml:space="preserve">I discuss </w:t>
      </w:r>
      <w:r w:rsidR="00F5016D">
        <w:t>Staff’</w:t>
      </w:r>
      <w:r w:rsidR="00781521">
        <w:t xml:space="preserve">s treatment of the Company’s reconciliation adjustments filed in their original </w:t>
      </w:r>
      <w:r w:rsidR="00781521" w:rsidRPr="00781521">
        <w:rPr>
          <w:i/>
        </w:rPr>
        <w:t>pro forma</w:t>
      </w:r>
      <w:r w:rsidR="00781521">
        <w:t xml:space="preserve"> model</w:t>
      </w:r>
      <w:r w:rsidR="003122ED">
        <w:t>.</w:t>
      </w:r>
    </w:p>
    <w:p w14:paraId="176E1355" w14:textId="36FB5F14" w:rsidR="00434D77" w:rsidRPr="00F720F8" w:rsidRDefault="00434D77" w:rsidP="00B53112">
      <w:pPr>
        <w:pStyle w:val="NoSpacing"/>
      </w:pPr>
    </w:p>
    <w:p w14:paraId="47CDA337" w14:textId="61640945" w:rsidR="00434D77" w:rsidRDefault="002752E0" w:rsidP="000E5C5C">
      <w:pPr>
        <w:pStyle w:val="Heading1"/>
        <w:rPr>
          <w:caps/>
        </w:rPr>
      </w:pPr>
      <w:bookmarkStart w:id="20" w:name="_Toc425419752"/>
      <w:r w:rsidRPr="002752E0">
        <w:rPr>
          <w:caps/>
        </w:rPr>
        <w:t>Summary of Revenue Requirements</w:t>
      </w:r>
      <w:bookmarkEnd w:id="20"/>
      <w:r w:rsidRPr="002752E0">
        <w:rPr>
          <w:caps/>
        </w:rPr>
        <w:t xml:space="preserve"> </w:t>
      </w:r>
    </w:p>
    <w:p w14:paraId="5DDD9235" w14:textId="77777777" w:rsidR="001812D7" w:rsidRDefault="001812D7" w:rsidP="001812D7">
      <w:pPr>
        <w:pStyle w:val="NoSpacing"/>
      </w:pPr>
    </w:p>
    <w:p w14:paraId="22C6BF84" w14:textId="6FF44BD9" w:rsidR="001812D7" w:rsidRPr="001812D7" w:rsidRDefault="001812D7" w:rsidP="00163F79">
      <w:pPr>
        <w:pStyle w:val="Heading2"/>
        <w:ind w:left="1440" w:hanging="720"/>
      </w:pPr>
      <w:bookmarkStart w:id="21" w:name="_Toc425419753"/>
      <w:r>
        <w:t>Staff’s Calculations</w:t>
      </w:r>
      <w:bookmarkEnd w:id="21"/>
    </w:p>
    <w:p w14:paraId="229021B0" w14:textId="77777777" w:rsidR="000E5C5C" w:rsidRPr="00F720F8" w:rsidRDefault="000E5C5C" w:rsidP="000E5C5C">
      <w:pPr>
        <w:pStyle w:val="NoSpacing"/>
      </w:pPr>
    </w:p>
    <w:p w14:paraId="5A14D249" w14:textId="5D3609D3" w:rsidR="000E5C5C" w:rsidRPr="00F720F8" w:rsidRDefault="000E5C5C" w:rsidP="00CA40A7">
      <w:pPr>
        <w:pStyle w:val="Heading8"/>
      </w:pPr>
      <w:r w:rsidRPr="00F720F8">
        <w:t>Q.</w:t>
      </w:r>
      <w:r w:rsidRPr="00F720F8">
        <w:tab/>
        <w:t xml:space="preserve">What is </w:t>
      </w:r>
      <w:r w:rsidR="000621E7">
        <w:t>Staff’s calculation for Avista’s revenue requirement for electric service?</w:t>
      </w:r>
    </w:p>
    <w:p w14:paraId="31ABB259" w14:textId="55B4B3E9" w:rsidR="000621E7" w:rsidRPr="000621E7" w:rsidRDefault="000E5C5C" w:rsidP="000621E7">
      <w:pPr>
        <w:pStyle w:val="NoSpacing"/>
      </w:pPr>
      <w:r w:rsidRPr="00F720F8">
        <w:t>A.</w:t>
      </w:r>
      <w:r w:rsidRPr="00F720F8">
        <w:tab/>
      </w:r>
      <w:r w:rsidR="000621E7" w:rsidRPr="000621E7">
        <w:t xml:space="preserve">Staff’s analysis demonstrates that, using a modified historical test period approach with </w:t>
      </w:r>
      <w:r w:rsidR="000621E7" w:rsidRPr="000D64B8">
        <w:t xml:space="preserve">limited </w:t>
      </w:r>
      <w:r w:rsidR="000621E7" w:rsidRPr="000D64B8">
        <w:rPr>
          <w:i/>
        </w:rPr>
        <w:t xml:space="preserve">pro </w:t>
      </w:r>
      <w:r w:rsidR="000621E7" w:rsidRPr="00660445">
        <w:rPr>
          <w:i/>
        </w:rPr>
        <w:t>forma</w:t>
      </w:r>
      <w:r w:rsidR="000621E7" w:rsidRPr="00660445">
        <w:t xml:space="preserve"> adjustments, Avista has a total electric revenue requirement of $</w:t>
      </w:r>
      <w:r w:rsidR="00E479A5">
        <w:t>479,047</w:t>
      </w:r>
      <w:r w:rsidR="00CF5BE2" w:rsidRPr="00D97267">
        <w:t>,000</w:t>
      </w:r>
      <w:r w:rsidR="000621E7" w:rsidRPr="00660445">
        <w:t>.  As shown</w:t>
      </w:r>
      <w:r w:rsidR="000621E7" w:rsidRPr="000D64B8">
        <w:t xml:space="preserve"> in Exhibit No.__ (CSH-2), page </w:t>
      </w:r>
      <w:r w:rsidR="00026244">
        <w:t>2</w:t>
      </w:r>
      <w:r w:rsidR="000621E7" w:rsidRPr="000D64B8">
        <w:t xml:space="preserve">, line </w:t>
      </w:r>
      <w:r w:rsidR="00FA2ADC">
        <w:t>7</w:t>
      </w:r>
      <w:r w:rsidR="000621E7" w:rsidRPr="000D64B8">
        <w:t xml:space="preserve">, this is a </w:t>
      </w:r>
      <w:r w:rsidR="000621E7" w:rsidRPr="000D64B8">
        <w:rPr>
          <w:u w:val="single"/>
        </w:rPr>
        <w:t>decrease</w:t>
      </w:r>
      <w:r w:rsidR="000621E7" w:rsidRPr="000D64B8">
        <w:t xml:space="preserve"> of </w:t>
      </w:r>
      <w:r w:rsidR="000621E7" w:rsidRPr="00D97267">
        <w:rPr>
          <w:u w:val="single"/>
        </w:rPr>
        <w:t>$</w:t>
      </w:r>
      <w:r w:rsidR="000D64B8" w:rsidRPr="00D97267">
        <w:rPr>
          <w:u w:val="single"/>
        </w:rPr>
        <w:t>2</w:t>
      </w:r>
      <w:r w:rsidR="006E03C1">
        <w:rPr>
          <w:u w:val="single"/>
        </w:rPr>
        <w:t>0</w:t>
      </w:r>
      <w:r w:rsidR="000621E7" w:rsidRPr="00D97267">
        <w:rPr>
          <w:u w:val="single"/>
        </w:rPr>
        <w:t>,</w:t>
      </w:r>
      <w:r w:rsidR="006E03C1">
        <w:rPr>
          <w:u w:val="single"/>
        </w:rPr>
        <w:t>935</w:t>
      </w:r>
      <w:r w:rsidR="000621E7" w:rsidRPr="00D97267">
        <w:rPr>
          <w:u w:val="single"/>
        </w:rPr>
        <w:t>,</w:t>
      </w:r>
      <w:r w:rsidR="000D64B8" w:rsidRPr="00D97267">
        <w:rPr>
          <w:u w:val="single"/>
        </w:rPr>
        <w:t>000</w:t>
      </w:r>
      <w:r w:rsidR="000621E7" w:rsidRPr="000621E7">
        <w:t xml:space="preserve">, or </w:t>
      </w:r>
      <w:r w:rsidR="000D64B8">
        <w:t>4</w:t>
      </w:r>
      <w:r w:rsidR="000621E7" w:rsidRPr="000621E7">
        <w:t>.</w:t>
      </w:r>
      <w:r w:rsidR="000D64B8">
        <w:t>2</w:t>
      </w:r>
      <w:r w:rsidR="000621E7" w:rsidRPr="000621E7">
        <w:t xml:space="preserve"> percent, relative to 2015 base rate revenues. </w:t>
      </w:r>
    </w:p>
    <w:p w14:paraId="16A39D53" w14:textId="27EB1B5A" w:rsidR="000621E7" w:rsidRDefault="000621E7" w:rsidP="000621E7">
      <w:pPr>
        <w:pStyle w:val="NoSpacing"/>
        <w:ind w:left="0" w:firstLine="0"/>
      </w:pPr>
    </w:p>
    <w:p w14:paraId="6F165642" w14:textId="77777777" w:rsidR="000621E7" w:rsidRDefault="000621E7" w:rsidP="000621E7">
      <w:pPr>
        <w:pStyle w:val="Heading8"/>
      </w:pPr>
      <w:r>
        <w:t>Q.</w:t>
      </w:r>
      <w:r>
        <w:tab/>
        <w:t>What is Staff’s calculation for Avista’s revenue requirement for natural gas service?</w:t>
      </w:r>
    </w:p>
    <w:p w14:paraId="6C744C0E" w14:textId="46FAEB37" w:rsidR="000621E7" w:rsidRDefault="000621E7" w:rsidP="000621E7">
      <w:pPr>
        <w:pStyle w:val="NoSpacing"/>
      </w:pPr>
      <w:r>
        <w:t>A.</w:t>
      </w:r>
      <w:r>
        <w:tab/>
      </w:r>
      <w:r w:rsidRPr="000621E7">
        <w:t xml:space="preserve">Staff’s analysis also demonstrates that, using a modified historical test period approach with limited </w:t>
      </w:r>
      <w:r w:rsidRPr="000621E7">
        <w:rPr>
          <w:i/>
        </w:rPr>
        <w:t>pro forma</w:t>
      </w:r>
      <w:r w:rsidRPr="000621E7">
        <w:t xml:space="preserve"> adjustments, Avista has a total natural gas revenue </w:t>
      </w:r>
      <w:r w:rsidRPr="00FA2ADC">
        <w:t xml:space="preserve">requirement </w:t>
      </w:r>
      <w:r w:rsidRPr="00D97267">
        <w:t>of $</w:t>
      </w:r>
      <w:r w:rsidR="00CF5BE2" w:rsidRPr="00D97267">
        <w:t>17</w:t>
      </w:r>
      <w:r w:rsidR="00D97267" w:rsidRPr="00D97267">
        <w:t>4,</w:t>
      </w:r>
      <w:r w:rsidR="006005C0">
        <w:t>51</w:t>
      </w:r>
      <w:r w:rsidR="00D97267" w:rsidRPr="00D97267">
        <w:t>9</w:t>
      </w:r>
      <w:r w:rsidR="00CF5BE2" w:rsidRPr="00D97267">
        <w:t>,000</w:t>
      </w:r>
      <w:r w:rsidRPr="00D97267">
        <w:t>.  As shown</w:t>
      </w:r>
      <w:r w:rsidRPr="00FA2ADC">
        <w:t xml:space="preserve"> in Exhibit No.__</w:t>
      </w:r>
      <w:r w:rsidRPr="000621E7">
        <w:t xml:space="preserve"> (CSH-3), page </w:t>
      </w:r>
      <w:r w:rsidR="00026244">
        <w:t>2</w:t>
      </w:r>
      <w:r w:rsidR="00FA2ADC" w:rsidRPr="000621E7">
        <w:t xml:space="preserve">, </w:t>
      </w:r>
      <w:r w:rsidRPr="000621E7">
        <w:t xml:space="preserve">line </w:t>
      </w:r>
      <w:r w:rsidR="00FA2ADC">
        <w:t>7</w:t>
      </w:r>
      <w:r w:rsidR="00FA2ADC" w:rsidRPr="000621E7">
        <w:t xml:space="preserve">, </w:t>
      </w:r>
      <w:r w:rsidRPr="000621E7">
        <w:t xml:space="preserve">this is an </w:t>
      </w:r>
      <w:r w:rsidRPr="00FA2ADC">
        <w:rPr>
          <w:u w:val="single"/>
        </w:rPr>
        <w:t>increase</w:t>
      </w:r>
      <w:r w:rsidRPr="000621E7">
        <w:t xml:space="preserve"> of </w:t>
      </w:r>
      <w:r w:rsidRPr="00D97267">
        <w:rPr>
          <w:u w:val="single"/>
        </w:rPr>
        <w:t>$</w:t>
      </w:r>
      <w:r w:rsidR="00FA2ADC" w:rsidRPr="00D97267">
        <w:rPr>
          <w:u w:val="single"/>
        </w:rPr>
        <w:t>3</w:t>
      </w:r>
      <w:r w:rsidRPr="00D97267">
        <w:rPr>
          <w:u w:val="single"/>
        </w:rPr>
        <w:t>,</w:t>
      </w:r>
      <w:r w:rsidR="00FA2ADC" w:rsidRPr="00D97267">
        <w:rPr>
          <w:u w:val="single"/>
        </w:rPr>
        <w:t>6</w:t>
      </w:r>
      <w:r w:rsidR="006E03C1">
        <w:rPr>
          <w:u w:val="single"/>
        </w:rPr>
        <w:t>0</w:t>
      </w:r>
      <w:r w:rsidR="00FA2ADC" w:rsidRPr="00D97267">
        <w:rPr>
          <w:u w:val="single"/>
        </w:rPr>
        <w:t>5</w:t>
      </w:r>
      <w:r w:rsidRPr="00D97267">
        <w:rPr>
          <w:u w:val="single"/>
        </w:rPr>
        <w:t>,</w:t>
      </w:r>
      <w:r w:rsidR="00FA2ADC" w:rsidRPr="00D97267">
        <w:rPr>
          <w:u w:val="single"/>
        </w:rPr>
        <w:t>000</w:t>
      </w:r>
      <w:r w:rsidRPr="000621E7">
        <w:t xml:space="preserve">, or </w:t>
      </w:r>
      <w:r w:rsidR="00FA2ADC">
        <w:t>2</w:t>
      </w:r>
      <w:r w:rsidRPr="000621E7">
        <w:t>.</w:t>
      </w:r>
      <w:r w:rsidR="00FA2ADC">
        <w:t>1</w:t>
      </w:r>
      <w:r w:rsidRPr="000621E7">
        <w:t xml:space="preserve"> percent, relative to 2015 base rate revenues.</w:t>
      </w:r>
    </w:p>
    <w:p w14:paraId="2165B5E8" w14:textId="77777777" w:rsidR="00155E8D" w:rsidRDefault="00155E8D" w:rsidP="000621E7">
      <w:pPr>
        <w:pStyle w:val="NoSpacing"/>
      </w:pPr>
    </w:p>
    <w:p w14:paraId="6FC07510" w14:textId="70059C7F" w:rsidR="00155E8D" w:rsidRDefault="00155E8D" w:rsidP="00163F79">
      <w:pPr>
        <w:pStyle w:val="Heading2"/>
        <w:ind w:left="1440" w:hanging="720"/>
      </w:pPr>
      <w:bookmarkStart w:id="22" w:name="_Toc425419754"/>
      <w:r>
        <w:t>Avista’s Calculations</w:t>
      </w:r>
      <w:bookmarkEnd w:id="22"/>
    </w:p>
    <w:p w14:paraId="46D18C71" w14:textId="77777777" w:rsidR="00155E8D" w:rsidRDefault="00155E8D" w:rsidP="000621E7">
      <w:pPr>
        <w:pStyle w:val="NoSpacing"/>
      </w:pPr>
    </w:p>
    <w:p w14:paraId="6413412A" w14:textId="29C79ADF" w:rsidR="00155E8D" w:rsidRDefault="00155E8D" w:rsidP="00155E8D">
      <w:pPr>
        <w:pStyle w:val="Heading8"/>
      </w:pPr>
      <w:r>
        <w:t>Q.</w:t>
      </w:r>
      <w:r>
        <w:tab/>
        <w:t xml:space="preserve">What revenue requirements did Avista arrive at in their </w:t>
      </w:r>
      <w:r w:rsidRPr="004F616C">
        <w:rPr>
          <w:u w:val="single"/>
        </w:rPr>
        <w:t>original</w:t>
      </w:r>
      <w:r>
        <w:t xml:space="preserve"> </w:t>
      </w:r>
      <w:r w:rsidRPr="00E45A75">
        <w:rPr>
          <w:i/>
        </w:rPr>
        <w:t>pro forma</w:t>
      </w:r>
      <w:r>
        <w:t xml:space="preserve"> analysis?</w:t>
      </w:r>
    </w:p>
    <w:p w14:paraId="752D7B40" w14:textId="698D36C6" w:rsidR="00155E8D" w:rsidRDefault="00155E8D" w:rsidP="000621E7">
      <w:pPr>
        <w:pStyle w:val="NoSpacing"/>
      </w:pPr>
      <w:r>
        <w:t>A.</w:t>
      </w:r>
      <w:r>
        <w:tab/>
        <w:t>Avista calculated a $33,229,000 revenue requirement increase based on its electric Pro Forma Cross Check Study.  For its natural gas operations, Avista calculated a revenue requirement increase of $12,021,000, based on its natural gas Pro Forma Cross Check Study.</w:t>
      </w:r>
    </w:p>
    <w:p w14:paraId="2B2CAAAE" w14:textId="77777777" w:rsidR="00155E8D" w:rsidRDefault="00155E8D" w:rsidP="000621E7">
      <w:pPr>
        <w:pStyle w:val="NoSpacing"/>
      </w:pPr>
    </w:p>
    <w:p w14:paraId="184A582C" w14:textId="24296F42" w:rsidR="00155E8D" w:rsidRDefault="00155E8D" w:rsidP="00B13EB9">
      <w:pPr>
        <w:pStyle w:val="Heading8"/>
      </w:pPr>
      <w:r>
        <w:t>Q.</w:t>
      </w:r>
      <w:r>
        <w:tab/>
      </w:r>
      <w:r w:rsidR="00B13EB9">
        <w:t>Has the Company updated</w:t>
      </w:r>
      <w:r w:rsidR="00C70C3D">
        <w:t xml:space="preserve"> its</w:t>
      </w:r>
      <w:r w:rsidR="00B13EB9">
        <w:t xml:space="preserve"> </w:t>
      </w:r>
      <w:r w:rsidR="00B13EB9" w:rsidRPr="00026244">
        <w:rPr>
          <w:i/>
        </w:rPr>
        <w:t>pro forma</w:t>
      </w:r>
      <w:r w:rsidR="00B13EB9">
        <w:t xml:space="preserve"> analys</w:t>
      </w:r>
      <w:r w:rsidR="00C70C3D">
        <w:t>is</w:t>
      </w:r>
      <w:r w:rsidR="00B13EB9">
        <w:t>?</w:t>
      </w:r>
    </w:p>
    <w:p w14:paraId="51BC006E" w14:textId="20CDBA02" w:rsidR="004F7C0A" w:rsidRDefault="00B13EB9" w:rsidP="00BC0BC5">
      <w:pPr>
        <w:pStyle w:val="NoSpacing"/>
      </w:pPr>
      <w:r>
        <w:t>A.</w:t>
      </w:r>
      <w:r>
        <w:tab/>
        <w:t xml:space="preserve">Yes.  As noted by Staff witness Mr. McGuire, </w:t>
      </w:r>
      <w:r w:rsidRPr="00B13EB9">
        <w:t>the Company’s direct case contained significant errors which caused a dramatic overstatement of the rate year revenue requirement, especially for electric service.</w:t>
      </w:r>
      <w:r w:rsidR="00737F10">
        <w:rPr>
          <w:rStyle w:val="FootnoteReference"/>
        </w:rPr>
        <w:footnoteReference w:id="2"/>
      </w:r>
      <w:r w:rsidR="008E0C42">
        <w:t xml:space="preserve">  </w:t>
      </w:r>
    </w:p>
    <w:p w14:paraId="3D04FC33" w14:textId="60971C4B" w:rsidR="00B13EB9" w:rsidRDefault="00B13EB9" w:rsidP="004F7C0A">
      <w:pPr>
        <w:pStyle w:val="NoSpacing"/>
        <w:ind w:firstLine="720"/>
      </w:pPr>
      <w:r w:rsidRPr="00B13EB9">
        <w:t xml:space="preserve">After the Company corrected its errors and the Parties incorporated the terms of the proposed settlement into the model, the Company’s electric revenue requirement </w:t>
      </w:r>
      <w:r w:rsidR="00564839">
        <w:t>was reduced</w:t>
      </w:r>
      <w:r w:rsidR="00564839" w:rsidRPr="00B13EB9">
        <w:t xml:space="preserve"> </w:t>
      </w:r>
      <w:r w:rsidRPr="00B13EB9">
        <w:t xml:space="preserve">from $33.2 million to </w:t>
      </w:r>
      <w:r w:rsidRPr="00D93EC1">
        <w:t>$10.</w:t>
      </w:r>
      <w:r w:rsidR="00D93EC1" w:rsidRPr="00D93EC1">
        <w:t>9</w:t>
      </w:r>
      <w:r w:rsidRPr="00D93EC1">
        <w:t xml:space="preserve"> million</w:t>
      </w:r>
      <w:r w:rsidR="00564839">
        <w:t>; Avista’</w:t>
      </w:r>
      <w:r w:rsidRPr="00B13EB9">
        <w:t xml:space="preserve">s natural gas revenue requirement went from $12.0 </w:t>
      </w:r>
      <w:r w:rsidRPr="00D93EC1">
        <w:t>million to $9.7 million</w:t>
      </w:r>
      <w:r w:rsidRPr="00B13EB9">
        <w:t xml:space="preserve">. </w:t>
      </w:r>
      <w:r w:rsidR="008E0C42">
        <w:t xml:space="preserve"> </w:t>
      </w:r>
      <w:r w:rsidRPr="00B13EB9">
        <w:t xml:space="preserve">Therefore, the </w:t>
      </w:r>
      <w:r>
        <w:t xml:space="preserve">Pro Forma Cross Check </w:t>
      </w:r>
      <w:r w:rsidRPr="00B13EB9">
        <w:t>studies provided in Avista’s direct case are obsolete</w:t>
      </w:r>
      <w:r w:rsidR="00941B30">
        <w:t xml:space="preserve"> and should not be relied upon to make rates</w:t>
      </w:r>
      <w:r w:rsidRPr="00B13EB9">
        <w:t xml:space="preserve">. The Commission should consider only the updated, corrected </w:t>
      </w:r>
      <w:r>
        <w:t>Pro Forma Cross Check</w:t>
      </w:r>
      <w:r w:rsidRPr="00B13EB9">
        <w:t xml:space="preserve"> studies</w:t>
      </w:r>
      <w:r w:rsidR="00941B30">
        <w:t>,</w:t>
      </w:r>
      <w:r w:rsidRPr="00B13EB9">
        <w:t xml:space="preserve"> as they represent what Avista should have provided in its direct case.</w:t>
      </w:r>
      <w:r w:rsidR="008E0C42">
        <w:t xml:space="preserve"> </w:t>
      </w:r>
      <w:r w:rsidRPr="00B13EB9">
        <w:t xml:space="preserve"> Avista provided th</w:t>
      </w:r>
      <w:r w:rsidR="00564839">
        <w:t>e</w:t>
      </w:r>
      <w:r w:rsidRPr="00B13EB9">
        <w:t xml:space="preserve">se updated studies in response to Staff Data Request </w:t>
      </w:r>
      <w:r w:rsidR="00941B30">
        <w:t xml:space="preserve">No. </w:t>
      </w:r>
      <w:r w:rsidRPr="00B13EB9">
        <w:t>13</w:t>
      </w:r>
      <w:r>
        <w:t>1</w:t>
      </w:r>
      <w:r w:rsidRPr="00B13EB9">
        <w:t xml:space="preserve">, which I have </w:t>
      </w:r>
      <w:r w:rsidR="002B1A28">
        <w:t>attached</w:t>
      </w:r>
      <w:r w:rsidR="002B1A28" w:rsidRPr="00B13EB9">
        <w:t xml:space="preserve"> </w:t>
      </w:r>
      <w:r w:rsidRPr="00B13EB9">
        <w:t xml:space="preserve">as Exhibit Nos. </w:t>
      </w:r>
      <w:r w:rsidR="00BE3D7A">
        <w:t>___ (</w:t>
      </w:r>
      <w:r w:rsidRPr="00B13EB9">
        <w:t>C</w:t>
      </w:r>
      <w:r>
        <w:t>SH</w:t>
      </w:r>
      <w:r w:rsidRPr="00B13EB9">
        <w:t>-4</w:t>
      </w:r>
      <w:r w:rsidR="00BE3D7A">
        <w:t>)</w:t>
      </w:r>
      <w:r w:rsidRPr="00B13EB9">
        <w:t xml:space="preserve"> and </w:t>
      </w:r>
      <w:r w:rsidR="00BE3D7A">
        <w:t>(</w:t>
      </w:r>
      <w:r w:rsidRPr="00B13EB9">
        <w:t>C</w:t>
      </w:r>
      <w:r>
        <w:t>SH</w:t>
      </w:r>
      <w:r w:rsidRPr="00B13EB9">
        <w:t>-5</w:t>
      </w:r>
      <w:r w:rsidR="00BE3D7A">
        <w:t>)</w:t>
      </w:r>
      <w:r w:rsidRPr="00B13EB9">
        <w:t>.</w:t>
      </w:r>
      <w:r w:rsidR="00022FC6">
        <w:t xml:space="preserve">  A table displaying the </w:t>
      </w:r>
      <w:r w:rsidR="00941B30">
        <w:t>Company’s proposed</w:t>
      </w:r>
      <w:r w:rsidR="00022FC6">
        <w:t xml:space="preserve"> revenue requirement increases </w:t>
      </w:r>
      <w:r w:rsidR="00941B30">
        <w:t xml:space="preserve">and the results of Staff’s review and analysis </w:t>
      </w:r>
      <w:r w:rsidR="00022FC6">
        <w:t>is shown below.</w:t>
      </w:r>
    </w:p>
    <w:p w14:paraId="6C3AE037" w14:textId="77777777" w:rsidR="00022FC6" w:rsidRDefault="00022FC6" w:rsidP="004F7C0A">
      <w:pPr>
        <w:pStyle w:val="NoSpacing"/>
        <w:ind w:firstLine="720"/>
      </w:pPr>
    </w:p>
    <w:tbl>
      <w:tblPr>
        <w:tblW w:w="7400" w:type="dxa"/>
        <w:jc w:val="center"/>
        <w:tblLook w:val="04A0" w:firstRow="1" w:lastRow="0" w:firstColumn="1" w:lastColumn="0" w:noHBand="0" w:noVBand="1"/>
      </w:tblPr>
      <w:tblGrid>
        <w:gridCol w:w="1476"/>
        <w:gridCol w:w="2217"/>
        <w:gridCol w:w="2470"/>
        <w:gridCol w:w="1797"/>
      </w:tblGrid>
      <w:tr w:rsidR="00874A47" w:rsidRPr="00874A47" w14:paraId="00431819" w14:textId="77777777" w:rsidTr="00874A47">
        <w:trPr>
          <w:trHeight w:val="315"/>
          <w:jc w:val="center"/>
        </w:trPr>
        <w:tc>
          <w:tcPr>
            <w:tcW w:w="7400" w:type="dxa"/>
            <w:gridSpan w:val="4"/>
            <w:tcBorders>
              <w:top w:val="nil"/>
              <w:left w:val="nil"/>
              <w:bottom w:val="nil"/>
              <w:right w:val="nil"/>
            </w:tcBorders>
            <w:shd w:val="clear" w:color="auto" w:fill="auto"/>
            <w:vAlign w:val="bottom"/>
            <w:hideMark/>
          </w:tcPr>
          <w:p w14:paraId="23A4B1BB" w14:textId="001C3169" w:rsidR="00874A47" w:rsidRPr="00874A47" w:rsidRDefault="00874A47" w:rsidP="00874A47">
            <w:pPr>
              <w:jc w:val="center"/>
              <w:rPr>
                <w:rFonts w:eastAsia="Times New Roman"/>
                <w:b/>
                <w:bCs/>
                <w:i/>
                <w:iCs/>
                <w:color w:val="000000"/>
              </w:rPr>
            </w:pPr>
            <w:r w:rsidRPr="00874A47">
              <w:rPr>
                <w:rFonts w:eastAsia="Times New Roman"/>
                <w:b/>
                <w:bCs/>
                <w:i/>
                <w:iCs/>
                <w:color w:val="000000"/>
              </w:rPr>
              <w:t xml:space="preserve">Table 1: </w:t>
            </w:r>
            <w:r w:rsidR="00EB3227">
              <w:rPr>
                <w:rFonts w:eastAsia="Times New Roman"/>
                <w:b/>
                <w:bCs/>
                <w:i/>
                <w:iCs/>
                <w:color w:val="000000"/>
              </w:rPr>
              <w:t xml:space="preserve">Proposed </w:t>
            </w:r>
            <w:r w:rsidRPr="00874A47">
              <w:rPr>
                <w:rFonts w:eastAsia="Times New Roman"/>
                <w:b/>
                <w:bCs/>
                <w:i/>
                <w:iCs/>
                <w:color w:val="000000"/>
              </w:rPr>
              <w:t>Revenue Requirement Increases</w:t>
            </w:r>
          </w:p>
        </w:tc>
      </w:tr>
      <w:tr w:rsidR="00874A47" w:rsidRPr="00874A47" w14:paraId="4B911937" w14:textId="77777777" w:rsidTr="00874A47">
        <w:trPr>
          <w:cantSplit/>
          <w:jc w:val="center"/>
        </w:trPr>
        <w:tc>
          <w:tcPr>
            <w:tcW w:w="1323" w:type="dxa"/>
            <w:tcBorders>
              <w:top w:val="nil"/>
              <w:left w:val="nil"/>
              <w:bottom w:val="nil"/>
              <w:right w:val="nil"/>
            </w:tcBorders>
            <w:shd w:val="clear" w:color="auto" w:fill="auto"/>
            <w:noWrap/>
            <w:vAlign w:val="bottom"/>
            <w:hideMark/>
          </w:tcPr>
          <w:p w14:paraId="29001D4C" w14:textId="77777777" w:rsidR="00874A47" w:rsidRPr="00874A47" w:rsidRDefault="00874A47" w:rsidP="00874A47">
            <w:pPr>
              <w:jc w:val="center"/>
              <w:rPr>
                <w:rFonts w:eastAsia="Times New Roman"/>
                <w:b/>
                <w:bCs/>
                <w:i/>
                <w:iC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0B884" w14:textId="77777777" w:rsidR="00874A47" w:rsidRPr="00874A47" w:rsidRDefault="00874A47" w:rsidP="00874A47">
            <w:pPr>
              <w:rPr>
                <w:rFonts w:eastAsia="Times New Roman"/>
                <w:b/>
                <w:bCs/>
                <w:color w:val="000000"/>
              </w:rPr>
            </w:pPr>
            <w:r w:rsidRPr="00874A47">
              <w:rPr>
                <w:rFonts w:eastAsia="Times New Roman"/>
                <w:b/>
                <w:bCs/>
                <w:color w:val="000000"/>
              </w:rPr>
              <w:t>Initial Avista Study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6361E3" w14:textId="77777777" w:rsidR="00874A47" w:rsidRPr="00E45A75" w:rsidRDefault="00874A47" w:rsidP="00874A47">
            <w:pPr>
              <w:rPr>
                <w:rFonts w:eastAsia="Times New Roman"/>
                <w:b/>
                <w:bCs/>
                <w:color w:val="000000"/>
              </w:rPr>
            </w:pPr>
            <w:r w:rsidRPr="00E45A75">
              <w:rPr>
                <w:rFonts w:eastAsia="Times New Roman"/>
                <w:b/>
                <w:bCs/>
                <w:color w:val="000000"/>
              </w:rPr>
              <w:t>Updated Avista Study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AF3BAC" w14:textId="77777777" w:rsidR="00874A47" w:rsidRPr="00E45A75" w:rsidRDefault="00874A47" w:rsidP="00874A47">
            <w:pPr>
              <w:rPr>
                <w:rFonts w:eastAsia="Times New Roman"/>
                <w:b/>
                <w:bCs/>
                <w:color w:val="000000"/>
              </w:rPr>
            </w:pPr>
            <w:r w:rsidRPr="00E45A75">
              <w:rPr>
                <w:rFonts w:eastAsia="Times New Roman"/>
                <w:b/>
                <w:bCs/>
                <w:color w:val="000000"/>
              </w:rPr>
              <w:t>Staff's Analysis</w:t>
            </w:r>
          </w:p>
        </w:tc>
      </w:tr>
      <w:tr w:rsidR="00874A47" w:rsidRPr="00874A47" w14:paraId="2C0C987F" w14:textId="77777777" w:rsidTr="00874A47">
        <w:trPr>
          <w:trHeight w:val="315"/>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23C2" w14:textId="77777777" w:rsidR="00874A47" w:rsidRPr="00874A47" w:rsidRDefault="00874A47" w:rsidP="00874A47">
            <w:pPr>
              <w:rPr>
                <w:rFonts w:eastAsia="Times New Roman"/>
                <w:b/>
                <w:bCs/>
                <w:color w:val="000000"/>
              </w:rPr>
            </w:pPr>
            <w:r w:rsidRPr="00874A47">
              <w:rPr>
                <w:rFonts w:eastAsia="Times New Roman"/>
                <w:b/>
                <w:bCs/>
                <w:color w:val="000000"/>
              </w:rPr>
              <w:t>Electric</w:t>
            </w:r>
          </w:p>
        </w:tc>
        <w:tc>
          <w:tcPr>
            <w:tcW w:w="2083" w:type="dxa"/>
            <w:tcBorders>
              <w:top w:val="nil"/>
              <w:left w:val="nil"/>
              <w:bottom w:val="single" w:sz="4" w:space="0" w:color="auto"/>
              <w:right w:val="single" w:sz="4" w:space="0" w:color="auto"/>
            </w:tcBorders>
            <w:shd w:val="clear" w:color="auto" w:fill="auto"/>
            <w:noWrap/>
            <w:vAlign w:val="bottom"/>
            <w:hideMark/>
          </w:tcPr>
          <w:p w14:paraId="2D45759C" w14:textId="77777777" w:rsidR="00874A47" w:rsidRPr="00874A47" w:rsidRDefault="00874A47" w:rsidP="00874A47">
            <w:pPr>
              <w:jc w:val="center"/>
              <w:rPr>
                <w:rFonts w:eastAsia="Times New Roman"/>
                <w:color w:val="000000"/>
              </w:rPr>
            </w:pPr>
            <w:r w:rsidRPr="00874A47">
              <w:rPr>
                <w:rFonts w:eastAsia="Times New Roman"/>
                <w:color w:val="000000"/>
              </w:rPr>
              <w:t xml:space="preserve">$33,229,000 </w:t>
            </w:r>
          </w:p>
        </w:tc>
        <w:tc>
          <w:tcPr>
            <w:tcW w:w="2342" w:type="dxa"/>
            <w:tcBorders>
              <w:top w:val="nil"/>
              <w:left w:val="nil"/>
              <w:bottom w:val="single" w:sz="4" w:space="0" w:color="auto"/>
              <w:right w:val="single" w:sz="4" w:space="0" w:color="auto"/>
            </w:tcBorders>
            <w:shd w:val="clear" w:color="auto" w:fill="auto"/>
            <w:noWrap/>
            <w:vAlign w:val="bottom"/>
            <w:hideMark/>
          </w:tcPr>
          <w:p w14:paraId="5CBDBAFC" w14:textId="77777777" w:rsidR="00874A47" w:rsidRPr="00E45A75" w:rsidRDefault="00874A47" w:rsidP="00874A47">
            <w:pPr>
              <w:jc w:val="center"/>
              <w:rPr>
                <w:rFonts w:eastAsia="Times New Roman"/>
                <w:color w:val="000000"/>
              </w:rPr>
            </w:pPr>
            <w:r w:rsidRPr="00E45A75">
              <w:rPr>
                <w:rFonts w:eastAsia="Times New Roman"/>
                <w:color w:val="000000"/>
              </w:rPr>
              <w:t xml:space="preserve">$10,922,000 </w:t>
            </w:r>
          </w:p>
        </w:tc>
        <w:tc>
          <w:tcPr>
            <w:tcW w:w="1652" w:type="dxa"/>
            <w:tcBorders>
              <w:top w:val="nil"/>
              <w:left w:val="nil"/>
              <w:bottom w:val="single" w:sz="4" w:space="0" w:color="auto"/>
              <w:right w:val="single" w:sz="4" w:space="0" w:color="auto"/>
            </w:tcBorders>
            <w:shd w:val="clear" w:color="auto" w:fill="auto"/>
            <w:noWrap/>
            <w:vAlign w:val="bottom"/>
            <w:hideMark/>
          </w:tcPr>
          <w:p w14:paraId="75BB432A" w14:textId="26431884" w:rsidR="00874A47" w:rsidRPr="00E45A75" w:rsidRDefault="00874A47" w:rsidP="00E45A75">
            <w:pPr>
              <w:jc w:val="center"/>
              <w:rPr>
                <w:rFonts w:eastAsia="Times New Roman"/>
                <w:color w:val="000000"/>
              </w:rPr>
            </w:pPr>
            <w:r w:rsidRPr="00E45A75">
              <w:rPr>
                <w:rFonts w:eastAsia="Times New Roman"/>
                <w:color w:val="FF0000"/>
              </w:rPr>
              <w:t>($2</w:t>
            </w:r>
            <w:r w:rsidR="00BC70A4">
              <w:rPr>
                <w:rFonts w:eastAsia="Times New Roman"/>
                <w:color w:val="FF0000"/>
              </w:rPr>
              <w:t>0</w:t>
            </w:r>
            <w:r w:rsidRPr="00E45A75">
              <w:rPr>
                <w:rFonts w:eastAsia="Times New Roman"/>
                <w:color w:val="FF0000"/>
              </w:rPr>
              <w:t>,</w:t>
            </w:r>
            <w:r w:rsidR="00BC70A4">
              <w:rPr>
                <w:rFonts w:eastAsia="Times New Roman"/>
                <w:color w:val="FF0000"/>
              </w:rPr>
              <w:t>9</w:t>
            </w:r>
            <w:r w:rsidR="00E45A75" w:rsidRPr="00E45A75">
              <w:rPr>
                <w:rFonts w:eastAsia="Times New Roman"/>
                <w:color w:val="FF0000"/>
              </w:rPr>
              <w:t>3</w:t>
            </w:r>
            <w:r w:rsidR="00BC70A4">
              <w:rPr>
                <w:rFonts w:eastAsia="Times New Roman"/>
                <w:color w:val="FF0000"/>
              </w:rPr>
              <w:t>5</w:t>
            </w:r>
            <w:r w:rsidRPr="00E45A75">
              <w:rPr>
                <w:rFonts w:eastAsia="Times New Roman"/>
                <w:color w:val="FF0000"/>
              </w:rPr>
              <w:t>,000)</w:t>
            </w:r>
          </w:p>
        </w:tc>
      </w:tr>
      <w:tr w:rsidR="00874A47" w:rsidRPr="00874A47" w14:paraId="1B41A415" w14:textId="77777777" w:rsidTr="00874A4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30BE3" w14:textId="77777777" w:rsidR="00874A47" w:rsidRPr="00874A47" w:rsidRDefault="00874A47" w:rsidP="00874A47">
            <w:pPr>
              <w:rPr>
                <w:rFonts w:eastAsia="Times New Roman"/>
                <w:b/>
                <w:bCs/>
                <w:color w:val="000000"/>
              </w:rPr>
            </w:pPr>
            <w:r w:rsidRPr="00874A47">
              <w:rPr>
                <w:rFonts w:eastAsia="Times New Roman"/>
                <w:b/>
                <w:bCs/>
                <w:color w:val="000000"/>
              </w:rPr>
              <w:t>Natural Gas</w:t>
            </w:r>
          </w:p>
        </w:tc>
        <w:tc>
          <w:tcPr>
            <w:tcW w:w="2083" w:type="dxa"/>
            <w:tcBorders>
              <w:top w:val="nil"/>
              <w:left w:val="nil"/>
              <w:bottom w:val="single" w:sz="4" w:space="0" w:color="auto"/>
              <w:right w:val="single" w:sz="4" w:space="0" w:color="auto"/>
            </w:tcBorders>
            <w:shd w:val="clear" w:color="auto" w:fill="auto"/>
            <w:noWrap/>
            <w:vAlign w:val="bottom"/>
            <w:hideMark/>
          </w:tcPr>
          <w:p w14:paraId="792BF5CD" w14:textId="77777777" w:rsidR="00874A47" w:rsidRPr="00874A47" w:rsidRDefault="00874A47" w:rsidP="00874A47">
            <w:pPr>
              <w:jc w:val="center"/>
              <w:rPr>
                <w:rFonts w:eastAsia="Times New Roman"/>
                <w:color w:val="000000"/>
              </w:rPr>
            </w:pPr>
            <w:r w:rsidRPr="00874A47">
              <w:rPr>
                <w:rFonts w:eastAsia="Times New Roman"/>
                <w:color w:val="000000"/>
              </w:rPr>
              <w:t xml:space="preserve">$12,021,000 </w:t>
            </w:r>
          </w:p>
        </w:tc>
        <w:tc>
          <w:tcPr>
            <w:tcW w:w="2342" w:type="dxa"/>
            <w:tcBorders>
              <w:top w:val="nil"/>
              <w:left w:val="nil"/>
              <w:bottom w:val="single" w:sz="4" w:space="0" w:color="auto"/>
              <w:right w:val="single" w:sz="4" w:space="0" w:color="auto"/>
            </w:tcBorders>
            <w:shd w:val="clear" w:color="auto" w:fill="auto"/>
            <w:noWrap/>
            <w:vAlign w:val="bottom"/>
            <w:hideMark/>
          </w:tcPr>
          <w:p w14:paraId="2681C0DF" w14:textId="77777777" w:rsidR="00874A47" w:rsidRPr="00E45A75" w:rsidRDefault="00874A47" w:rsidP="00874A47">
            <w:pPr>
              <w:jc w:val="center"/>
              <w:rPr>
                <w:rFonts w:eastAsia="Times New Roman"/>
                <w:color w:val="000000"/>
              </w:rPr>
            </w:pPr>
            <w:r w:rsidRPr="00E45A75">
              <w:rPr>
                <w:rFonts w:eastAsia="Times New Roman"/>
                <w:color w:val="000000"/>
              </w:rPr>
              <w:t xml:space="preserve">$9,713,000 </w:t>
            </w:r>
          </w:p>
        </w:tc>
        <w:tc>
          <w:tcPr>
            <w:tcW w:w="1652" w:type="dxa"/>
            <w:tcBorders>
              <w:top w:val="nil"/>
              <w:left w:val="nil"/>
              <w:bottom w:val="single" w:sz="4" w:space="0" w:color="auto"/>
              <w:right w:val="single" w:sz="4" w:space="0" w:color="auto"/>
            </w:tcBorders>
            <w:shd w:val="clear" w:color="auto" w:fill="auto"/>
            <w:noWrap/>
            <w:vAlign w:val="bottom"/>
            <w:hideMark/>
          </w:tcPr>
          <w:p w14:paraId="5AD0E72E" w14:textId="23CA7A62" w:rsidR="00874A47" w:rsidRPr="00E45A75" w:rsidRDefault="00874A47" w:rsidP="00E45A75">
            <w:pPr>
              <w:jc w:val="center"/>
              <w:rPr>
                <w:rFonts w:eastAsia="Times New Roman"/>
                <w:color w:val="000000"/>
              </w:rPr>
            </w:pPr>
            <w:r w:rsidRPr="00E45A75">
              <w:rPr>
                <w:rFonts w:eastAsia="Times New Roman"/>
                <w:color w:val="000000"/>
              </w:rPr>
              <w:t>$3,6</w:t>
            </w:r>
            <w:r w:rsidR="00BC70A4">
              <w:rPr>
                <w:rFonts w:eastAsia="Times New Roman"/>
                <w:color w:val="000000"/>
              </w:rPr>
              <w:t>0</w:t>
            </w:r>
            <w:r w:rsidRPr="00E45A75">
              <w:rPr>
                <w:rFonts w:eastAsia="Times New Roman"/>
                <w:color w:val="000000"/>
              </w:rPr>
              <w:t xml:space="preserve">5,000 </w:t>
            </w:r>
          </w:p>
        </w:tc>
      </w:tr>
    </w:tbl>
    <w:p w14:paraId="5D3FDC4E" w14:textId="07760B6F" w:rsidR="008E0C42" w:rsidRDefault="008E0C42" w:rsidP="00EB3227">
      <w:pPr>
        <w:pStyle w:val="NoSpacing"/>
      </w:pPr>
    </w:p>
    <w:p w14:paraId="2EE7A372" w14:textId="1FC7B248" w:rsidR="008E0C42" w:rsidRDefault="008E0C42" w:rsidP="008E0C42">
      <w:pPr>
        <w:pStyle w:val="Heading8"/>
      </w:pPr>
      <w:r>
        <w:t>Q.</w:t>
      </w:r>
      <w:r>
        <w:tab/>
      </w:r>
      <w:r w:rsidRPr="008E0C42">
        <w:t xml:space="preserve">Please summarize the key differences between the Company’s direct case and its response to Staff Data Request </w:t>
      </w:r>
      <w:r w:rsidR="00941B30">
        <w:t xml:space="preserve">No. </w:t>
      </w:r>
      <w:r w:rsidRPr="008E0C42">
        <w:t>131.</w:t>
      </w:r>
    </w:p>
    <w:p w14:paraId="1C876446" w14:textId="692B60D6" w:rsidR="00A14B50" w:rsidRDefault="008E0C42" w:rsidP="008E0C42">
      <w:pPr>
        <w:pStyle w:val="NoSpacing"/>
      </w:pPr>
      <w:r w:rsidRPr="008E0C42">
        <w:t>A.</w:t>
      </w:r>
      <w:r w:rsidRPr="008E0C42">
        <w:tab/>
        <w:t>Th</w:t>
      </w:r>
      <w:r w:rsidR="00D97267">
        <w:t>e</w:t>
      </w:r>
      <w:r w:rsidRPr="008E0C42">
        <w:t xml:space="preserve"> </w:t>
      </w:r>
      <w:r w:rsidR="00A14B50">
        <w:t>primary differences are</w:t>
      </w:r>
      <w:r w:rsidR="00A14B50" w:rsidRPr="008E0C42">
        <w:t xml:space="preserve"> </w:t>
      </w:r>
      <w:r w:rsidRPr="008E0C42">
        <w:t xml:space="preserve">explained in the Company’s response to Staff Data Request </w:t>
      </w:r>
      <w:r w:rsidR="00941B30">
        <w:t xml:space="preserve">No. </w:t>
      </w:r>
      <w:r w:rsidRPr="008E0C42">
        <w:t xml:space="preserve">131, in Attachment A: </w:t>
      </w:r>
    </w:p>
    <w:p w14:paraId="1E5D2AC8" w14:textId="63BCC5D1" w:rsidR="008E0C42" w:rsidRPr="008E0C42" w:rsidRDefault="008E0C42" w:rsidP="00A14B50">
      <w:pPr>
        <w:pStyle w:val="NoSpacing"/>
        <w:spacing w:after="240" w:line="240" w:lineRule="auto"/>
        <w:ind w:left="1440" w:firstLine="0"/>
      </w:pPr>
      <w:r w:rsidRPr="008E0C42">
        <w:t>…the Company revised its Pro Forma Electric and Natural Gas Studies to include known corrections or updates, to reflect the Multiparty Settlement agreement filed on May 1, 2015, and to reflect actual December 2014 depreciation and net plant impacts per actual 12.2014 results, as well as the impact of revising the Company’s Production/Transmission (P/T) ratio at 12.2014 on power supply costs and generation/transmission depreciation expenses and net plant.</w:t>
      </w:r>
    </w:p>
    <w:p w14:paraId="018AEF4B" w14:textId="71487D77" w:rsidR="008E0C42" w:rsidRDefault="008E0C42" w:rsidP="008E0C42">
      <w:pPr>
        <w:pStyle w:val="NoSpacing"/>
      </w:pPr>
      <w:r w:rsidRPr="008E0C42">
        <w:tab/>
        <w:t>Staff received this response on May 15, 2015.</w:t>
      </w:r>
    </w:p>
    <w:p w14:paraId="658FDBAC" w14:textId="78533879" w:rsidR="00A25276" w:rsidRDefault="00A25276" w:rsidP="008E0C42">
      <w:pPr>
        <w:pStyle w:val="NoSpacing"/>
      </w:pPr>
    </w:p>
    <w:p w14:paraId="16DEB1AF" w14:textId="0BB86845" w:rsidR="00A25276" w:rsidRDefault="00A25276" w:rsidP="00163F79">
      <w:pPr>
        <w:pStyle w:val="Heading8"/>
        <w:keepNext/>
      </w:pPr>
      <w:r>
        <w:t>Q.</w:t>
      </w:r>
      <w:r>
        <w:tab/>
        <w:t>What is the purpose of Avista’s Pro Forma Cross Check studies?</w:t>
      </w:r>
    </w:p>
    <w:p w14:paraId="4BF35A58" w14:textId="2DFB8C57" w:rsidR="00946388" w:rsidRPr="00946388" w:rsidRDefault="00A25276" w:rsidP="00BC0BC5">
      <w:pPr>
        <w:spacing w:line="480" w:lineRule="auto"/>
        <w:ind w:left="720" w:hanging="720"/>
        <w:rPr>
          <w:rFonts w:eastAsia="Calibri"/>
        </w:rPr>
      </w:pPr>
      <w:r>
        <w:t>A.</w:t>
      </w:r>
      <w:r>
        <w:tab/>
      </w:r>
      <w:r w:rsidR="00946388" w:rsidRPr="00946388">
        <w:rPr>
          <w:rFonts w:eastAsia="Calibri"/>
        </w:rPr>
        <w:t xml:space="preserve">Company witness Ms. Smith describes the purpose of Avista’s </w:t>
      </w:r>
      <w:r w:rsidR="00946388">
        <w:rPr>
          <w:rFonts w:eastAsia="Calibri"/>
        </w:rPr>
        <w:t>Pro Forma Cross Check studies</w:t>
      </w:r>
      <w:r w:rsidR="00946388" w:rsidRPr="00946388">
        <w:rPr>
          <w:rFonts w:eastAsia="Calibri"/>
        </w:rPr>
        <w:t xml:space="preserve"> as “a separate </w:t>
      </w:r>
      <w:r w:rsidR="00946388" w:rsidRPr="00946388">
        <w:rPr>
          <w:rFonts w:eastAsia="Calibri"/>
          <w:u w:val="single"/>
        </w:rPr>
        <w:t>independent</w:t>
      </w:r>
      <w:r w:rsidR="00946388" w:rsidRPr="00946388">
        <w:rPr>
          <w:rFonts w:eastAsia="Calibri"/>
        </w:rPr>
        <w:t xml:space="preserve"> analysis of Avista’s need for a revenue increase in 2016</w:t>
      </w:r>
      <w:r w:rsidR="00C62FEA">
        <w:rPr>
          <w:rFonts w:eastAsia="Calibri"/>
        </w:rPr>
        <w:t xml:space="preserve"> </w:t>
      </w:r>
      <w:r w:rsidR="00946388">
        <w:rPr>
          <w:rFonts w:eastAsia="Calibri"/>
        </w:rPr>
        <w:t>[emphasis added].</w:t>
      </w:r>
      <w:r w:rsidR="00946388" w:rsidRPr="00946388">
        <w:rPr>
          <w:rFonts w:eastAsia="Calibri"/>
        </w:rPr>
        <w:t>”</w:t>
      </w:r>
      <w:r w:rsidR="00946388" w:rsidRPr="00946388">
        <w:rPr>
          <w:rFonts w:eastAsia="Calibri"/>
          <w:vertAlign w:val="superscript"/>
        </w:rPr>
        <w:footnoteReference w:id="3"/>
      </w:r>
      <w:r w:rsidR="00946388" w:rsidRPr="00946388">
        <w:rPr>
          <w:rFonts w:eastAsia="Calibri"/>
        </w:rPr>
        <w:t xml:space="preserve">  Thus, this analysis is theoretically capable of standing on its own.</w:t>
      </w:r>
    </w:p>
    <w:p w14:paraId="1B6EFBA3" w14:textId="58F9C81E" w:rsidR="00A25276" w:rsidRPr="008E0C42" w:rsidRDefault="00946388" w:rsidP="00946388">
      <w:pPr>
        <w:pStyle w:val="NoSpacing"/>
      </w:pPr>
      <w:r w:rsidRPr="00946388">
        <w:rPr>
          <w:rFonts w:eastAsia="Calibri"/>
        </w:rPr>
        <w:tab/>
      </w:r>
      <w:r w:rsidRPr="00946388">
        <w:rPr>
          <w:rFonts w:eastAsia="Calibri"/>
        </w:rPr>
        <w:tab/>
        <w:t xml:space="preserve">However, the Company does not rely on a </w:t>
      </w:r>
      <w:r w:rsidRPr="00946388">
        <w:rPr>
          <w:rFonts w:eastAsia="Calibri"/>
          <w:i/>
        </w:rPr>
        <w:t>pro forma</w:t>
      </w:r>
      <w:r w:rsidRPr="00946388">
        <w:rPr>
          <w:rFonts w:eastAsia="Calibri"/>
        </w:rPr>
        <w:t xml:space="preserve"> analysis in its direct case</w:t>
      </w:r>
      <w:r w:rsidR="00316523">
        <w:rPr>
          <w:rFonts w:eastAsia="Calibri"/>
        </w:rPr>
        <w:t>, and does not aim to set rates using such an approach</w:t>
      </w:r>
      <w:r w:rsidRPr="00946388">
        <w:rPr>
          <w:rFonts w:eastAsia="Calibri"/>
        </w:rPr>
        <w:t>.  Avista instead bases its claims for a revenue increase on its attrition study</w:t>
      </w:r>
      <w:r w:rsidR="007511EB">
        <w:rPr>
          <w:rFonts w:eastAsia="Calibri"/>
        </w:rPr>
        <w:t xml:space="preserve"> alone</w:t>
      </w:r>
      <w:r w:rsidRPr="00946388">
        <w:rPr>
          <w:rFonts w:eastAsia="Calibri"/>
        </w:rPr>
        <w:t xml:space="preserve">.  The Company’s </w:t>
      </w:r>
      <w:r w:rsidRPr="00946388">
        <w:rPr>
          <w:rFonts w:eastAsia="Calibri"/>
          <w:i/>
        </w:rPr>
        <w:t>pro forma</w:t>
      </w:r>
      <w:r w:rsidRPr="00946388">
        <w:rPr>
          <w:rFonts w:eastAsia="Calibri"/>
        </w:rPr>
        <w:t xml:space="preserve"> case</w:t>
      </w:r>
      <w:r>
        <w:rPr>
          <w:rFonts w:eastAsia="Calibri"/>
        </w:rPr>
        <w:t xml:space="preserve"> </w:t>
      </w:r>
      <w:r w:rsidRPr="00946388">
        <w:rPr>
          <w:rFonts w:eastAsia="Calibri"/>
        </w:rPr>
        <w:t xml:space="preserve">is </w:t>
      </w:r>
      <w:r w:rsidR="00444307">
        <w:rPr>
          <w:rFonts w:eastAsia="Calibri"/>
        </w:rPr>
        <w:t xml:space="preserve">only </w:t>
      </w:r>
      <w:r w:rsidRPr="00946388">
        <w:rPr>
          <w:rFonts w:eastAsia="Calibri"/>
        </w:rPr>
        <w:t>intended to support the “reasonableness of the electric and natural gas Attrition Study results</w:t>
      </w:r>
      <w:r w:rsidR="00952059">
        <w:rPr>
          <w:rFonts w:eastAsia="Calibri"/>
        </w:rPr>
        <w:t>.</w:t>
      </w:r>
      <w:r w:rsidRPr="00946388">
        <w:rPr>
          <w:rFonts w:eastAsia="Calibri"/>
        </w:rPr>
        <w:t>”</w:t>
      </w:r>
      <w:r w:rsidRPr="00946388">
        <w:rPr>
          <w:rFonts w:eastAsia="Calibri"/>
          <w:vertAlign w:val="superscript"/>
        </w:rPr>
        <w:footnoteReference w:id="4"/>
      </w:r>
      <w:r w:rsidR="00952059">
        <w:rPr>
          <w:rFonts w:eastAsia="Calibri"/>
        </w:rPr>
        <w:t xml:space="preserve"> </w:t>
      </w:r>
    </w:p>
    <w:p w14:paraId="3BB8650E" w14:textId="77777777" w:rsidR="00155E8D" w:rsidRDefault="00155E8D" w:rsidP="000621E7">
      <w:pPr>
        <w:pStyle w:val="NoSpacing"/>
      </w:pPr>
    </w:p>
    <w:p w14:paraId="5C9137FF" w14:textId="085D9A9B" w:rsidR="00155E8D" w:rsidRDefault="00155E8D" w:rsidP="00BE3D7A">
      <w:pPr>
        <w:pStyle w:val="Heading2"/>
        <w:spacing w:line="240" w:lineRule="auto"/>
        <w:ind w:left="1440" w:hanging="720"/>
      </w:pPr>
      <w:bookmarkStart w:id="23" w:name="_Toc425419755"/>
      <w:r>
        <w:t xml:space="preserve">Comparison </w:t>
      </w:r>
      <w:r w:rsidR="00C53AE9">
        <w:t>B</w:t>
      </w:r>
      <w:r>
        <w:t>etween Staff and A</w:t>
      </w:r>
      <w:r w:rsidR="001E3243">
        <w:t xml:space="preserve">vista’s Calculations of Revenue </w:t>
      </w:r>
      <w:r>
        <w:t>Requirements</w:t>
      </w:r>
      <w:bookmarkEnd w:id="23"/>
    </w:p>
    <w:p w14:paraId="6D7CD398" w14:textId="77777777" w:rsidR="00155E8D" w:rsidRDefault="00155E8D" w:rsidP="000621E7">
      <w:pPr>
        <w:pStyle w:val="NoSpacing"/>
      </w:pPr>
    </w:p>
    <w:p w14:paraId="615CB5F1" w14:textId="273FA065" w:rsidR="00155E8D" w:rsidRDefault="00155E8D" w:rsidP="00155E8D">
      <w:pPr>
        <w:pStyle w:val="Heading8"/>
      </w:pPr>
      <w:r>
        <w:t>Q.</w:t>
      </w:r>
      <w:r>
        <w:tab/>
      </w:r>
      <w:r w:rsidR="00100F1C">
        <w:t xml:space="preserve">Please briefly discuss some of the more sizeable contributing factors to the large difference between Avista’s initial </w:t>
      </w:r>
      <w:r w:rsidR="0050349F">
        <w:t>Pro Forma Cross Check</w:t>
      </w:r>
      <w:r w:rsidR="00100F1C">
        <w:t xml:space="preserve"> study results, and the </w:t>
      </w:r>
      <w:r w:rsidR="00100F1C" w:rsidRPr="00706B4E">
        <w:rPr>
          <w:i/>
        </w:rPr>
        <w:t>pro forma</w:t>
      </w:r>
      <w:r w:rsidR="00100F1C">
        <w:t xml:space="preserve"> revenue requirement analysis </w:t>
      </w:r>
      <w:r w:rsidR="0063121E">
        <w:t>performed</w:t>
      </w:r>
      <w:r w:rsidR="00100F1C">
        <w:t xml:space="preserve"> by Staff.</w:t>
      </w:r>
    </w:p>
    <w:p w14:paraId="4D0DEC19" w14:textId="17B0A5B9" w:rsidR="00706B4E" w:rsidRDefault="00155E8D" w:rsidP="000621E7">
      <w:pPr>
        <w:pStyle w:val="NoSpacing"/>
      </w:pPr>
      <w:r>
        <w:t>A.</w:t>
      </w:r>
      <w:r>
        <w:tab/>
      </w:r>
      <w:r w:rsidR="00100F1C">
        <w:t xml:space="preserve">The table below illustrates the components of the major differences in the revenue requirement figures arrived at by Avista in their initial models, </w:t>
      </w:r>
      <w:r w:rsidR="00813D9C">
        <w:t xml:space="preserve">and the results of Staff’s review and analysis of the listed issues, including the financial impact of the Company’s power cost correction. </w:t>
      </w:r>
      <w:r w:rsidR="00C8049E">
        <w:t xml:space="preserve">  </w:t>
      </w:r>
    </w:p>
    <w:p w14:paraId="5C4AAF8F" w14:textId="77777777" w:rsidR="00706B4E" w:rsidRDefault="00706B4E" w:rsidP="000621E7">
      <w:pPr>
        <w:pStyle w:val="NoSpacing"/>
      </w:pPr>
    </w:p>
    <w:tbl>
      <w:tblPr>
        <w:tblW w:w="8220" w:type="dxa"/>
        <w:jc w:val="center"/>
        <w:tblLook w:val="04A0" w:firstRow="1" w:lastRow="0" w:firstColumn="1" w:lastColumn="0" w:noHBand="0" w:noVBand="1"/>
      </w:tblPr>
      <w:tblGrid>
        <w:gridCol w:w="456"/>
        <w:gridCol w:w="5183"/>
        <w:gridCol w:w="1576"/>
        <w:gridCol w:w="1416"/>
      </w:tblGrid>
      <w:tr w:rsidR="0077167F" w:rsidRPr="00706B4E" w14:paraId="5E1B15B9" w14:textId="77777777" w:rsidTr="0077167F">
        <w:trPr>
          <w:trHeight w:val="315"/>
          <w:jc w:val="center"/>
        </w:trPr>
        <w:tc>
          <w:tcPr>
            <w:tcW w:w="8220" w:type="dxa"/>
            <w:gridSpan w:val="4"/>
            <w:tcBorders>
              <w:top w:val="nil"/>
              <w:left w:val="nil"/>
              <w:bottom w:val="nil"/>
              <w:right w:val="nil"/>
            </w:tcBorders>
            <w:shd w:val="clear" w:color="auto" w:fill="auto"/>
            <w:vAlign w:val="bottom"/>
            <w:hideMark/>
          </w:tcPr>
          <w:p w14:paraId="18B475E2" w14:textId="4EA2C5FE" w:rsidR="0077167F" w:rsidRPr="00706B4E" w:rsidRDefault="0077167F" w:rsidP="007511EB">
            <w:pPr>
              <w:keepNext/>
              <w:keepLines/>
              <w:jc w:val="center"/>
              <w:rPr>
                <w:rFonts w:eastAsia="Times New Roman"/>
                <w:b/>
                <w:bCs/>
                <w:i/>
                <w:iCs/>
                <w:color w:val="000000"/>
              </w:rPr>
            </w:pPr>
            <w:r w:rsidRPr="00706B4E">
              <w:rPr>
                <w:rFonts w:eastAsia="Times New Roman"/>
                <w:b/>
                <w:bCs/>
                <w:i/>
                <w:iCs/>
                <w:color w:val="000000"/>
              </w:rPr>
              <w:t>Table 2</w:t>
            </w:r>
            <w:r w:rsidR="007511EB">
              <w:rPr>
                <w:rFonts w:eastAsia="Times New Roman"/>
                <w:b/>
                <w:bCs/>
                <w:i/>
                <w:iCs/>
                <w:color w:val="000000"/>
              </w:rPr>
              <w:t xml:space="preserve"> -</w:t>
            </w:r>
            <w:r w:rsidRPr="00706B4E">
              <w:rPr>
                <w:rFonts w:eastAsia="Times New Roman"/>
                <w:b/>
                <w:bCs/>
                <w:i/>
                <w:iCs/>
                <w:color w:val="000000"/>
              </w:rPr>
              <w:t xml:space="preserve"> Components of Major Differences in Rev</w:t>
            </w:r>
            <w:r w:rsidR="0050349F">
              <w:rPr>
                <w:rFonts w:eastAsia="Times New Roman"/>
                <w:b/>
                <w:bCs/>
                <w:i/>
                <w:iCs/>
                <w:color w:val="000000"/>
              </w:rPr>
              <w:t>enue</w:t>
            </w:r>
            <w:r w:rsidRPr="00706B4E">
              <w:rPr>
                <w:rFonts w:eastAsia="Times New Roman"/>
                <w:b/>
                <w:bCs/>
                <w:i/>
                <w:iCs/>
                <w:color w:val="000000"/>
              </w:rPr>
              <w:t xml:space="preserve"> Req</w:t>
            </w:r>
            <w:r w:rsidR="0050349F">
              <w:rPr>
                <w:rFonts w:eastAsia="Times New Roman"/>
                <w:b/>
                <w:bCs/>
                <w:i/>
                <w:iCs/>
                <w:color w:val="000000"/>
              </w:rPr>
              <w:t>uire</w:t>
            </w:r>
            <w:r w:rsidRPr="00706B4E">
              <w:rPr>
                <w:rFonts w:eastAsia="Times New Roman"/>
                <w:b/>
                <w:bCs/>
                <w:i/>
                <w:iCs/>
                <w:color w:val="000000"/>
              </w:rPr>
              <w:t>m</w:t>
            </w:r>
            <w:r w:rsidR="0050349F">
              <w:rPr>
                <w:rFonts w:eastAsia="Times New Roman"/>
                <w:b/>
                <w:bCs/>
                <w:i/>
                <w:iCs/>
                <w:color w:val="000000"/>
              </w:rPr>
              <w:t>en</w:t>
            </w:r>
            <w:r w:rsidRPr="00706B4E">
              <w:rPr>
                <w:rFonts w:eastAsia="Times New Roman"/>
                <w:b/>
                <w:bCs/>
                <w:i/>
                <w:iCs/>
                <w:color w:val="000000"/>
              </w:rPr>
              <w:t>t Figures</w:t>
            </w:r>
          </w:p>
        </w:tc>
      </w:tr>
      <w:tr w:rsidR="0077167F" w:rsidRPr="00706B4E" w14:paraId="736FD217" w14:textId="77777777" w:rsidTr="004853CC">
        <w:trPr>
          <w:trHeight w:val="315"/>
          <w:jc w:val="center"/>
        </w:trPr>
        <w:tc>
          <w:tcPr>
            <w:tcW w:w="290" w:type="dxa"/>
            <w:tcBorders>
              <w:top w:val="nil"/>
              <w:left w:val="nil"/>
              <w:bottom w:val="nil"/>
              <w:right w:val="nil"/>
            </w:tcBorders>
            <w:shd w:val="clear" w:color="auto" w:fill="auto"/>
            <w:noWrap/>
            <w:vAlign w:val="bottom"/>
            <w:hideMark/>
          </w:tcPr>
          <w:p w14:paraId="501D4401" w14:textId="77777777" w:rsidR="0077167F" w:rsidRPr="00706B4E" w:rsidRDefault="0077167F" w:rsidP="00107771">
            <w:pPr>
              <w:keepNext/>
              <w:keepLines/>
              <w:jc w:val="center"/>
              <w:rPr>
                <w:rFonts w:eastAsia="Times New Roman"/>
                <w:b/>
                <w:bCs/>
                <w:i/>
                <w:iCs/>
                <w:color w:val="000000"/>
              </w:rPr>
            </w:pPr>
          </w:p>
        </w:tc>
        <w:tc>
          <w:tcPr>
            <w:tcW w:w="5183" w:type="dxa"/>
            <w:tcBorders>
              <w:top w:val="nil"/>
              <w:left w:val="nil"/>
              <w:bottom w:val="nil"/>
              <w:right w:val="nil"/>
            </w:tcBorders>
            <w:shd w:val="clear" w:color="auto" w:fill="auto"/>
            <w:noWrap/>
            <w:vAlign w:val="bottom"/>
            <w:hideMark/>
          </w:tcPr>
          <w:p w14:paraId="0DC6C67D" w14:textId="77777777" w:rsidR="0077167F" w:rsidRPr="00706B4E" w:rsidRDefault="0077167F" w:rsidP="00107771">
            <w:pPr>
              <w:keepNext/>
              <w:keepLines/>
              <w:rPr>
                <w:rFonts w:eastAsia="Times New Roman"/>
                <w:sz w:val="20"/>
                <w:szCs w:val="20"/>
              </w:rPr>
            </w:pP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6102"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Electric</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BCB5B05"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Natural Gas</w:t>
            </w:r>
          </w:p>
        </w:tc>
      </w:tr>
      <w:tr w:rsidR="0077167F" w:rsidRPr="00706B4E" w14:paraId="6DF94FFF" w14:textId="77777777" w:rsidTr="0077167F">
        <w:trPr>
          <w:trHeight w:val="315"/>
          <w:jc w:val="center"/>
        </w:trPr>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B9F30"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1</w:t>
            </w:r>
          </w:p>
        </w:tc>
        <w:tc>
          <w:tcPr>
            <w:tcW w:w="5183" w:type="dxa"/>
            <w:tcBorders>
              <w:top w:val="single" w:sz="4" w:space="0" w:color="auto"/>
              <w:left w:val="nil"/>
              <w:bottom w:val="single" w:sz="4" w:space="0" w:color="auto"/>
              <w:right w:val="nil"/>
            </w:tcBorders>
            <w:shd w:val="clear" w:color="auto" w:fill="auto"/>
            <w:noWrap/>
            <w:vAlign w:val="bottom"/>
            <w:hideMark/>
          </w:tcPr>
          <w:p w14:paraId="3B76BE64"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Initial Avista revenue requirement</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5572E6E2" w14:textId="77777777" w:rsidR="0077167F" w:rsidRPr="00706B4E" w:rsidRDefault="0077167F" w:rsidP="00107771">
            <w:pPr>
              <w:keepNext/>
              <w:keepLines/>
              <w:jc w:val="right"/>
              <w:rPr>
                <w:rFonts w:eastAsia="Times New Roman"/>
                <w:color w:val="000000"/>
              </w:rPr>
            </w:pPr>
            <w:r w:rsidRPr="00706B4E">
              <w:rPr>
                <w:rFonts w:eastAsia="Times New Roman"/>
                <w:color w:val="000000"/>
              </w:rPr>
              <w:t>$33,229,000</w:t>
            </w:r>
          </w:p>
        </w:tc>
        <w:tc>
          <w:tcPr>
            <w:tcW w:w="1384" w:type="dxa"/>
            <w:tcBorders>
              <w:top w:val="nil"/>
              <w:left w:val="nil"/>
              <w:bottom w:val="single" w:sz="4" w:space="0" w:color="auto"/>
              <w:right w:val="single" w:sz="4" w:space="0" w:color="auto"/>
            </w:tcBorders>
            <w:shd w:val="clear" w:color="auto" w:fill="auto"/>
            <w:noWrap/>
            <w:vAlign w:val="bottom"/>
            <w:hideMark/>
          </w:tcPr>
          <w:p w14:paraId="34103CCD" w14:textId="77777777" w:rsidR="0077167F" w:rsidRPr="00706B4E" w:rsidRDefault="0077167F" w:rsidP="00107771">
            <w:pPr>
              <w:keepNext/>
              <w:keepLines/>
              <w:jc w:val="right"/>
              <w:rPr>
                <w:rFonts w:eastAsia="Times New Roman"/>
                <w:color w:val="000000"/>
              </w:rPr>
            </w:pPr>
            <w:r w:rsidRPr="00706B4E">
              <w:rPr>
                <w:rFonts w:eastAsia="Times New Roman"/>
                <w:color w:val="000000"/>
              </w:rPr>
              <w:t>$12,021,000</w:t>
            </w:r>
          </w:p>
        </w:tc>
      </w:tr>
      <w:tr w:rsidR="0077167F" w:rsidRPr="00706B4E" w14:paraId="37E129E2"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107EED70"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2</w:t>
            </w:r>
          </w:p>
        </w:tc>
        <w:tc>
          <w:tcPr>
            <w:tcW w:w="5183" w:type="dxa"/>
            <w:tcBorders>
              <w:top w:val="nil"/>
              <w:left w:val="nil"/>
              <w:bottom w:val="single" w:sz="4" w:space="0" w:color="auto"/>
              <w:right w:val="nil"/>
            </w:tcBorders>
            <w:shd w:val="clear" w:color="auto" w:fill="auto"/>
            <w:noWrap/>
            <w:vAlign w:val="bottom"/>
            <w:hideMark/>
          </w:tcPr>
          <w:p w14:paraId="7067A8A4" w14:textId="347E35B7" w:rsidR="0077167F" w:rsidRPr="009E0074" w:rsidRDefault="008A2F6B" w:rsidP="008A2F6B">
            <w:pPr>
              <w:keepNext/>
              <w:keepLines/>
              <w:rPr>
                <w:rFonts w:eastAsia="Times New Roman"/>
                <w:bCs/>
                <w:i/>
                <w:iCs/>
                <w:color w:val="000000"/>
              </w:rPr>
            </w:pPr>
            <w:r>
              <w:rPr>
                <w:rFonts w:eastAsia="Times New Roman"/>
                <w:bCs/>
                <w:i/>
                <w:iCs/>
                <w:color w:val="000000"/>
              </w:rPr>
              <w:t>AURORA p</w:t>
            </w:r>
            <w:r w:rsidR="0077167F" w:rsidRPr="009E0074">
              <w:rPr>
                <w:rFonts w:eastAsia="Times New Roman"/>
                <w:bCs/>
                <w:i/>
                <w:iCs/>
                <w:color w:val="000000"/>
              </w:rPr>
              <w:t>ower cost error</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53BD9C4E" w14:textId="77777777" w:rsidR="0077167F" w:rsidRPr="00706B4E" w:rsidRDefault="0077167F" w:rsidP="00107771">
            <w:pPr>
              <w:keepNext/>
              <w:keepLines/>
              <w:jc w:val="right"/>
              <w:rPr>
                <w:rFonts w:eastAsia="Times New Roman"/>
                <w:color w:val="000000"/>
              </w:rPr>
            </w:pPr>
            <w:r w:rsidRPr="00706B4E">
              <w:rPr>
                <w:rFonts w:eastAsia="Times New Roman"/>
                <w:color w:val="FF0000"/>
              </w:rPr>
              <w:t>(17,196,774)</w:t>
            </w:r>
          </w:p>
        </w:tc>
        <w:tc>
          <w:tcPr>
            <w:tcW w:w="1384" w:type="dxa"/>
            <w:tcBorders>
              <w:top w:val="nil"/>
              <w:left w:val="nil"/>
              <w:bottom w:val="single" w:sz="4" w:space="0" w:color="auto"/>
              <w:right w:val="single" w:sz="4" w:space="0" w:color="auto"/>
            </w:tcBorders>
            <w:shd w:val="clear" w:color="auto" w:fill="auto"/>
            <w:noWrap/>
            <w:vAlign w:val="bottom"/>
            <w:hideMark/>
          </w:tcPr>
          <w:p w14:paraId="2C223893" w14:textId="77777777" w:rsidR="0077167F" w:rsidRPr="00706B4E" w:rsidRDefault="0077167F" w:rsidP="00107771">
            <w:pPr>
              <w:keepNext/>
              <w:keepLines/>
              <w:jc w:val="right"/>
              <w:rPr>
                <w:rFonts w:eastAsia="Times New Roman"/>
                <w:color w:val="000000"/>
              </w:rPr>
            </w:pPr>
            <w:r w:rsidRPr="00706B4E">
              <w:rPr>
                <w:rFonts w:eastAsia="Times New Roman"/>
                <w:color w:val="000000"/>
              </w:rPr>
              <w:t xml:space="preserve">0 </w:t>
            </w:r>
          </w:p>
        </w:tc>
      </w:tr>
      <w:tr w:rsidR="0077167F" w:rsidRPr="00706B4E" w14:paraId="2B27E796"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4108BB5"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3</w:t>
            </w:r>
          </w:p>
        </w:tc>
        <w:tc>
          <w:tcPr>
            <w:tcW w:w="5183" w:type="dxa"/>
            <w:tcBorders>
              <w:top w:val="nil"/>
              <w:left w:val="nil"/>
              <w:bottom w:val="single" w:sz="4" w:space="0" w:color="auto"/>
              <w:right w:val="single" w:sz="4" w:space="0" w:color="auto"/>
            </w:tcBorders>
            <w:shd w:val="clear" w:color="auto" w:fill="auto"/>
            <w:noWrap/>
            <w:vAlign w:val="bottom"/>
            <w:hideMark/>
          </w:tcPr>
          <w:p w14:paraId="19CC78F8" w14:textId="77777777" w:rsidR="0077167F" w:rsidRPr="009E0074" w:rsidRDefault="0077167F" w:rsidP="00107771">
            <w:pPr>
              <w:keepNext/>
              <w:keepLines/>
              <w:rPr>
                <w:rFonts w:eastAsia="Times New Roman"/>
                <w:bCs/>
                <w:i/>
                <w:iCs/>
                <w:color w:val="000000"/>
              </w:rPr>
            </w:pPr>
            <w:r w:rsidRPr="009E0074">
              <w:rPr>
                <w:rFonts w:eastAsia="Times New Roman"/>
                <w:bCs/>
                <w:i/>
                <w:iCs/>
                <w:color w:val="000000"/>
              </w:rPr>
              <w:t>Elimination of pro forma/attrition reconciliation</w:t>
            </w:r>
          </w:p>
        </w:tc>
        <w:tc>
          <w:tcPr>
            <w:tcW w:w="1363" w:type="dxa"/>
            <w:tcBorders>
              <w:top w:val="nil"/>
              <w:left w:val="nil"/>
              <w:bottom w:val="single" w:sz="4" w:space="0" w:color="auto"/>
              <w:right w:val="single" w:sz="4" w:space="0" w:color="auto"/>
            </w:tcBorders>
            <w:shd w:val="clear" w:color="auto" w:fill="auto"/>
            <w:noWrap/>
            <w:vAlign w:val="bottom"/>
            <w:hideMark/>
          </w:tcPr>
          <w:p w14:paraId="5449903E" w14:textId="77777777" w:rsidR="0077167F" w:rsidRPr="00706B4E" w:rsidRDefault="0077167F" w:rsidP="00107771">
            <w:pPr>
              <w:keepNext/>
              <w:keepLines/>
              <w:jc w:val="right"/>
              <w:rPr>
                <w:rFonts w:eastAsia="Times New Roman"/>
                <w:color w:val="000000"/>
              </w:rPr>
            </w:pPr>
            <w:r w:rsidRPr="00706B4E">
              <w:rPr>
                <w:rFonts w:eastAsia="Times New Roman"/>
                <w:color w:val="FF0000"/>
              </w:rPr>
              <w:t>(258,065)</w:t>
            </w:r>
          </w:p>
        </w:tc>
        <w:tc>
          <w:tcPr>
            <w:tcW w:w="1384" w:type="dxa"/>
            <w:tcBorders>
              <w:top w:val="nil"/>
              <w:left w:val="nil"/>
              <w:bottom w:val="single" w:sz="4" w:space="0" w:color="auto"/>
              <w:right w:val="single" w:sz="4" w:space="0" w:color="auto"/>
            </w:tcBorders>
            <w:shd w:val="clear" w:color="auto" w:fill="auto"/>
            <w:noWrap/>
            <w:vAlign w:val="bottom"/>
            <w:hideMark/>
          </w:tcPr>
          <w:p w14:paraId="252F85AC" w14:textId="77777777" w:rsidR="0077167F" w:rsidRPr="00706B4E" w:rsidRDefault="0077167F" w:rsidP="00107771">
            <w:pPr>
              <w:keepNext/>
              <w:keepLines/>
              <w:jc w:val="right"/>
              <w:rPr>
                <w:rFonts w:eastAsia="Times New Roman"/>
                <w:color w:val="000000"/>
              </w:rPr>
            </w:pPr>
            <w:r w:rsidRPr="00706B4E">
              <w:rPr>
                <w:rFonts w:eastAsia="Times New Roman"/>
                <w:color w:val="FF0000"/>
              </w:rPr>
              <w:t>(1,409,677)</w:t>
            </w:r>
          </w:p>
        </w:tc>
      </w:tr>
      <w:tr w:rsidR="0077167F" w:rsidRPr="00706B4E" w14:paraId="7C0B5901"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34EC1FA3"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4</w:t>
            </w:r>
          </w:p>
        </w:tc>
        <w:tc>
          <w:tcPr>
            <w:tcW w:w="5183" w:type="dxa"/>
            <w:tcBorders>
              <w:top w:val="nil"/>
              <w:left w:val="nil"/>
              <w:bottom w:val="single" w:sz="4" w:space="0" w:color="auto"/>
              <w:right w:val="single" w:sz="4" w:space="0" w:color="auto"/>
            </w:tcBorders>
            <w:shd w:val="clear" w:color="auto" w:fill="auto"/>
            <w:noWrap/>
            <w:vAlign w:val="bottom"/>
            <w:hideMark/>
          </w:tcPr>
          <w:p w14:paraId="61868841" w14:textId="77777777" w:rsidR="0077167F" w:rsidRPr="009E0074" w:rsidRDefault="0077167F" w:rsidP="00107771">
            <w:pPr>
              <w:keepNext/>
              <w:keepLines/>
              <w:rPr>
                <w:rFonts w:eastAsia="Times New Roman"/>
                <w:bCs/>
                <w:i/>
                <w:iCs/>
                <w:color w:val="000000"/>
              </w:rPr>
            </w:pPr>
            <w:r w:rsidRPr="009E0074">
              <w:rPr>
                <w:rFonts w:eastAsia="Times New Roman"/>
                <w:bCs/>
                <w:i/>
                <w:iCs/>
                <w:color w:val="000000"/>
              </w:rPr>
              <w:t>Meter retirements</w:t>
            </w:r>
          </w:p>
        </w:tc>
        <w:tc>
          <w:tcPr>
            <w:tcW w:w="1363" w:type="dxa"/>
            <w:tcBorders>
              <w:top w:val="nil"/>
              <w:left w:val="nil"/>
              <w:bottom w:val="single" w:sz="4" w:space="0" w:color="auto"/>
              <w:right w:val="single" w:sz="4" w:space="0" w:color="auto"/>
            </w:tcBorders>
            <w:shd w:val="clear" w:color="auto" w:fill="auto"/>
            <w:noWrap/>
            <w:vAlign w:val="bottom"/>
            <w:hideMark/>
          </w:tcPr>
          <w:p w14:paraId="01260FDE" w14:textId="77777777" w:rsidR="0077167F" w:rsidRPr="00706B4E" w:rsidRDefault="0077167F" w:rsidP="00107771">
            <w:pPr>
              <w:keepNext/>
              <w:keepLines/>
              <w:jc w:val="right"/>
              <w:rPr>
                <w:rFonts w:eastAsia="Times New Roman"/>
                <w:color w:val="000000"/>
              </w:rPr>
            </w:pPr>
            <w:r w:rsidRPr="00706B4E">
              <w:rPr>
                <w:rFonts w:eastAsia="Times New Roman"/>
                <w:color w:val="FF0000"/>
              </w:rPr>
              <w:t>(6,862,903)</w:t>
            </w:r>
          </w:p>
        </w:tc>
        <w:tc>
          <w:tcPr>
            <w:tcW w:w="1384" w:type="dxa"/>
            <w:tcBorders>
              <w:top w:val="nil"/>
              <w:left w:val="nil"/>
              <w:bottom w:val="single" w:sz="4" w:space="0" w:color="auto"/>
              <w:right w:val="single" w:sz="4" w:space="0" w:color="auto"/>
            </w:tcBorders>
            <w:shd w:val="clear" w:color="auto" w:fill="auto"/>
            <w:noWrap/>
            <w:vAlign w:val="bottom"/>
            <w:hideMark/>
          </w:tcPr>
          <w:p w14:paraId="2C3B5A7E" w14:textId="77777777" w:rsidR="0077167F" w:rsidRPr="00706B4E" w:rsidRDefault="0077167F" w:rsidP="00107771">
            <w:pPr>
              <w:keepNext/>
              <w:keepLines/>
              <w:jc w:val="right"/>
              <w:rPr>
                <w:rFonts w:eastAsia="Times New Roman"/>
                <w:color w:val="000000"/>
              </w:rPr>
            </w:pPr>
            <w:r w:rsidRPr="00706B4E">
              <w:rPr>
                <w:rFonts w:eastAsia="Times New Roman"/>
                <w:color w:val="000000"/>
              </w:rPr>
              <w:t xml:space="preserve">0 </w:t>
            </w:r>
          </w:p>
        </w:tc>
      </w:tr>
      <w:tr w:rsidR="0077167F" w:rsidRPr="00706B4E" w14:paraId="6EAF7799"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A6280C6"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5</w:t>
            </w:r>
          </w:p>
        </w:tc>
        <w:tc>
          <w:tcPr>
            <w:tcW w:w="5183" w:type="dxa"/>
            <w:tcBorders>
              <w:top w:val="nil"/>
              <w:left w:val="nil"/>
              <w:bottom w:val="single" w:sz="4" w:space="0" w:color="auto"/>
              <w:right w:val="single" w:sz="4" w:space="0" w:color="auto"/>
            </w:tcBorders>
            <w:shd w:val="clear" w:color="auto" w:fill="auto"/>
            <w:noWrap/>
            <w:vAlign w:val="bottom"/>
            <w:hideMark/>
          </w:tcPr>
          <w:p w14:paraId="0FF3027A" w14:textId="77777777" w:rsidR="0077167F" w:rsidRPr="009E0074" w:rsidRDefault="0077167F" w:rsidP="00107771">
            <w:pPr>
              <w:keepNext/>
              <w:keepLines/>
              <w:rPr>
                <w:rFonts w:eastAsia="Times New Roman"/>
                <w:bCs/>
                <w:i/>
                <w:iCs/>
                <w:color w:val="000000"/>
              </w:rPr>
            </w:pPr>
            <w:r w:rsidRPr="009E0074">
              <w:rPr>
                <w:rFonts w:eastAsia="Times New Roman"/>
                <w:bCs/>
                <w:i/>
                <w:iCs/>
                <w:color w:val="000000"/>
              </w:rPr>
              <w:t>2016 capital additions</w:t>
            </w:r>
          </w:p>
        </w:tc>
        <w:tc>
          <w:tcPr>
            <w:tcW w:w="1363" w:type="dxa"/>
            <w:tcBorders>
              <w:top w:val="nil"/>
              <w:left w:val="nil"/>
              <w:bottom w:val="single" w:sz="4" w:space="0" w:color="auto"/>
              <w:right w:val="single" w:sz="4" w:space="0" w:color="auto"/>
            </w:tcBorders>
            <w:shd w:val="clear" w:color="auto" w:fill="auto"/>
            <w:noWrap/>
            <w:vAlign w:val="bottom"/>
            <w:hideMark/>
          </w:tcPr>
          <w:p w14:paraId="78B2ADED" w14:textId="77777777" w:rsidR="0077167F" w:rsidRPr="00706B4E" w:rsidRDefault="0077167F" w:rsidP="00107771">
            <w:pPr>
              <w:keepNext/>
              <w:keepLines/>
              <w:jc w:val="right"/>
              <w:rPr>
                <w:rFonts w:eastAsia="Times New Roman"/>
                <w:color w:val="000000"/>
              </w:rPr>
            </w:pPr>
            <w:r w:rsidRPr="00706B4E">
              <w:rPr>
                <w:rFonts w:eastAsia="Times New Roman"/>
                <w:color w:val="FF0000"/>
              </w:rPr>
              <w:t>(3,969,355)</w:t>
            </w:r>
          </w:p>
        </w:tc>
        <w:tc>
          <w:tcPr>
            <w:tcW w:w="1384" w:type="dxa"/>
            <w:tcBorders>
              <w:top w:val="nil"/>
              <w:left w:val="nil"/>
              <w:bottom w:val="single" w:sz="4" w:space="0" w:color="auto"/>
              <w:right w:val="single" w:sz="4" w:space="0" w:color="auto"/>
            </w:tcBorders>
            <w:shd w:val="clear" w:color="auto" w:fill="auto"/>
            <w:noWrap/>
            <w:vAlign w:val="bottom"/>
            <w:hideMark/>
          </w:tcPr>
          <w:p w14:paraId="79C7525B" w14:textId="77777777" w:rsidR="0077167F" w:rsidRPr="00706B4E" w:rsidRDefault="0077167F" w:rsidP="00107771">
            <w:pPr>
              <w:keepNext/>
              <w:keepLines/>
              <w:jc w:val="right"/>
              <w:rPr>
                <w:rFonts w:eastAsia="Times New Roman"/>
                <w:color w:val="000000"/>
              </w:rPr>
            </w:pPr>
            <w:r w:rsidRPr="00706B4E">
              <w:rPr>
                <w:rFonts w:eastAsia="Times New Roman"/>
                <w:color w:val="FF0000"/>
              </w:rPr>
              <w:t>(1,551,613)</w:t>
            </w:r>
          </w:p>
        </w:tc>
      </w:tr>
      <w:tr w:rsidR="0077167F" w:rsidRPr="00706B4E" w14:paraId="019888C6"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C8C233D"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6</w:t>
            </w:r>
          </w:p>
        </w:tc>
        <w:tc>
          <w:tcPr>
            <w:tcW w:w="5183" w:type="dxa"/>
            <w:tcBorders>
              <w:top w:val="nil"/>
              <w:left w:val="nil"/>
              <w:bottom w:val="single" w:sz="4" w:space="0" w:color="auto"/>
              <w:right w:val="single" w:sz="4" w:space="0" w:color="auto"/>
            </w:tcBorders>
            <w:shd w:val="clear" w:color="auto" w:fill="auto"/>
            <w:noWrap/>
            <w:vAlign w:val="bottom"/>
            <w:hideMark/>
          </w:tcPr>
          <w:p w14:paraId="0730C257" w14:textId="77777777" w:rsidR="0077167F" w:rsidRPr="009E0074" w:rsidRDefault="0077167F" w:rsidP="00107771">
            <w:pPr>
              <w:keepNext/>
              <w:keepLines/>
              <w:rPr>
                <w:rFonts w:eastAsia="Times New Roman"/>
                <w:bCs/>
                <w:i/>
                <w:iCs/>
                <w:color w:val="000000"/>
              </w:rPr>
            </w:pPr>
            <w:r w:rsidRPr="009E0074">
              <w:rPr>
                <w:rFonts w:eastAsia="Times New Roman"/>
                <w:bCs/>
                <w:i/>
                <w:iCs/>
                <w:color w:val="000000"/>
              </w:rPr>
              <w:t>2015 capital additions</w:t>
            </w:r>
          </w:p>
        </w:tc>
        <w:tc>
          <w:tcPr>
            <w:tcW w:w="1363" w:type="dxa"/>
            <w:tcBorders>
              <w:top w:val="nil"/>
              <w:left w:val="nil"/>
              <w:bottom w:val="single" w:sz="4" w:space="0" w:color="auto"/>
              <w:right w:val="single" w:sz="4" w:space="0" w:color="auto"/>
            </w:tcBorders>
            <w:shd w:val="clear" w:color="auto" w:fill="auto"/>
            <w:noWrap/>
            <w:vAlign w:val="bottom"/>
            <w:hideMark/>
          </w:tcPr>
          <w:p w14:paraId="749C3BA6" w14:textId="77777777" w:rsidR="0077167F" w:rsidRPr="00706B4E" w:rsidRDefault="0077167F" w:rsidP="00107771">
            <w:pPr>
              <w:keepNext/>
              <w:keepLines/>
              <w:jc w:val="right"/>
              <w:rPr>
                <w:rFonts w:eastAsia="Times New Roman"/>
                <w:color w:val="000000"/>
              </w:rPr>
            </w:pPr>
            <w:r w:rsidRPr="00706B4E">
              <w:rPr>
                <w:rFonts w:eastAsia="Times New Roman"/>
                <w:color w:val="FF0000"/>
              </w:rPr>
              <w:t>(15,096,774)</w:t>
            </w:r>
          </w:p>
        </w:tc>
        <w:tc>
          <w:tcPr>
            <w:tcW w:w="1384" w:type="dxa"/>
            <w:tcBorders>
              <w:top w:val="nil"/>
              <w:left w:val="nil"/>
              <w:bottom w:val="single" w:sz="4" w:space="0" w:color="auto"/>
              <w:right w:val="single" w:sz="4" w:space="0" w:color="auto"/>
            </w:tcBorders>
            <w:shd w:val="clear" w:color="auto" w:fill="auto"/>
            <w:noWrap/>
            <w:vAlign w:val="bottom"/>
            <w:hideMark/>
          </w:tcPr>
          <w:p w14:paraId="28A94A6A" w14:textId="77777777" w:rsidR="0077167F" w:rsidRPr="00706B4E" w:rsidRDefault="0077167F" w:rsidP="00107771">
            <w:pPr>
              <w:keepNext/>
              <w:keepLines/>
              <w:jc w:val="right"/>
              <w:rPr>
                <w:rFonts w:eastAsia="Times New Roman"/>
                <w:color w:val="000000"/>
              </w:rPr>
            </w:pPr>
            <w:r w:rsidRPr="00706B4E">
              <w:rPr>
                <w:rFonts w:eastAsia="Times New Roman"/>
                <w:color w:val="FF0000"/>
              </w:rPr>
              <w:t>(2,561,290)</w:t>
            </w:r>
          </w:p>
        </w:tc>
      </w:tr>
      <w:tr w:rsidR="0077167F" w:rsidRPr="00706B4E" w14:paraId="1A77ED9E"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53C3B340"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7</w:t>
            </w:r>
          </w:p>
        </w:tc>
        <w:tc>
          <w:tcPr>
            <w:tcW w:w="5183" w:type="dxa"/>
            <w:tcBorders>
              <w:top w:val="nil"/>
              <w:left w:val="nil"/>
              <w:bottom w:val="single" w:sz="4" w:space="0" w:color="auto"/>
              <w:right w:val="nil"/>
            </w:tcBorders>
            <w:shd w:val="clear" w:color="auto" w:fill="auto"/>
            <w:noWrap/>
            <w:vAlign w:val="bottom"/>
            <w:hideMark/>
          </w:tcPr>
          <w:p w14:paraId="15C0753F" w14:textId="267F5968" w:rsidR="0077167F" w:rsidRPr="009E0074" w:rsidRDefault="0077167F" w:rsidP="0050349F">
            <w:pPr>
              <w:keepNext/>
              <w:keepLines/>
              <w:rPr>
                <w:rFonts w:eastAsia="Times New Roman"/>
                <w:bCs/>
                <w:i/>
                <w:iCs/>
                <w:color w:val="000000"/>
              </w:rPr>
            </w:pPr>
            <w:r w:rsidRPr="009E0074">
              <w:rPr>
                <w:rFonts w:eastAsia="Times New Roman"/>
                <w:bCs/>
                <w:i/>
                <w:iCs/>
                <w:color w:val="000000"/>
              </w:rPr>
              <w:t xml:space="preserve">2014, last three months, actual </w:t>
            </w:r>
            <w:r w:rsidR="0050349F">
              <w:rPr>
                <w:rFonts w:eastAsia="Times New Roman"/>
                <w:bCs/>
                <w:i/>
                <w:iCs/>
                <w:color w:val="000000"/>
              </w:rPr>
              <w:t>capital additions</w:t>
            </w:r>
          </w:p>
        </w:tc>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35EAC69" w14:textId="77777777" w:rsidR="0077167F" w:rsidRPr="00706B4E" w:rsidRDefault="0077167F" w:rsidP="00107771">
            <w:pPr>
              <w:keepNext/>
              <w:keepLines/>
              <w:jc w:val="right"/>
              <w:rPr>
                <w:rFonts w:eastAsia="Times New Roman"/>
                <w:color w:val="000000"/>
              </w:rPr>
            </w:pPr>
            <w:r w:rsidRPr="00706B4E">
              <w:rPr>
                <w:rFonts w:eastAsia="Times New Roman"/>
                <w:color w:val="FF0000"/>
              </w:rPr>
              <w:t>(6,404,839)</w:t>
            </w:r>
          </w:p>
        </w:tc>
        <w:tc>
          <w:tcPr>
            <w:tcW w:w="1384" w:type="dxa"/>
            <w:tcBorders>
              <w:top w:val="nil"/>
              <w:left w:val="nil"/>
              <w:bottom w:val="single" w:sz="4" w:space="0" w:color="auto"/>
              <w:right w:val="single" w:sz="4" w:space="0" w:color="auto"/>
            </w:tcBorders>
            <w:shd w:val="clear" w:color="auto" w:fill="auto"/>
            <w:noWrap/>
            <w:vAlign w:val="bottom"/>
            <w:hideMark/>
          </w:tcPr>
          <w:p w14:paraId="3208E64D" w14:textId="77777777" w:rsidR="0077167F" w:rsidRPr="00706B4E" w:rsidRDefault="0077167F" w:rsidP="00107771">
            <w:pPr>
              <w:keepNext/>
              <w:keepLines/>
              <w:jc w:val="right"/>
              <w:rPr>
                <w:rFonts w:eastAsia="Times New Roman"/>
                <w:color w:val="000000"/>
              </w:rPr>
            </w:pPr>
            <w:r w:rsidRPr="00706B4E">
              <w:rPr>
                <w:rFonts w:eastAsia="Times New Roman"/>
                <w:color w:val="FF0000"/>
              </w:rPr>
              <w:t>(906,452)</w:t>
            </w:r>
          </w:p>
        </w:tc>
      </w:tr>
      <w:tr w:rsidR="0077167F" w:rsidRPr="00706B4E" w14:paraId="48FCEFCE"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05E3917B"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8</w:t>
            </w:r>
          </w:p>
        </w:tc>
        <w:tc>
          <w:tcPr>
            <w:tcW w:w="5183" w:type="dxa"/>
            <w:tcBorders>
              <w:top w:val="nil"/>
              <w:left w:val="nil"/>
              <w:bottom w:val="single" w:sz="4" w:space="0" w:color="auto"/>
              <w:right w:val="single" w:sz="4" w:space="0" w:color="auto"/>
            </w:tcBorders>
            <w:shd w:val="clear" w:color="auto" w:fill="auto"/>
            <w:noWrap/>
            <w:vAlign w:val="bottom"/>
            <w:hideMark/>
          </w:tcPr>
          <w:p w14:paraId="0650CF50" w14:textId="77777777" w:rsidR="0077167F" w:rsidRPr="009E0074" w:rsidRDefault="0077167F" w:rsidP="00107771">
            <w:pPr>
              <w:keepNext/>
              <w:keepLines/>
              <w:rPr>
                <w:rFonts w:eastAsia="Times New Roman"/>
                <w:bCs/>
                <w:i/>
                <w:iCs/>
                <w:color w:val="000000"/>
              </w:rPr>
            </w:pPr>
            <w:r w:rsidRPr="009E0074">
              <w:rPr>
                <w:rFonts w:eastAsia="Times New Roman"/>
                <w:bCs/>
                <w:i/>
                <w:iCs/>
                <w:color w:val="000000"/>
              </w:rPr>
              <w:t>Colstrip/CS2 O&amp;M and Major Gen. Maint.</w:t>
            </w:r>
          </w:p>
        </w:tc>
        <w:tc>
          <w:tcPr>
            <w:tcW w:w="1363" w:type="dxa"/>
            <w:tcBorders>
              <w:top w:val="nil"/>
              <w:left w:val="nil"/>
              <w:bottom w:val="single" w:sz="4" w:space="0" w:color="auto"/>
              <w:right w:val="single" w:sz="4" w:space="0" w:color="auto"/>
            </w:tcBorders>
            <w:shd w:val="clear" w:color="auto" w:fill="auto"/>
            <w:noWrap/>
            <w:vAlign w:val="bottom"/>
            <w:hideMark/>
          </w:tcPr>
          <w:p w14:paraId="652DE94E" w14:textId="77777777" w:rsidR="0077167F" w:rsidRPr="00706B4E" w:rsidRDefault="0077167F" w:rsidP="00107771">
            <w:pPr>
              <w:keepNext/>
              <w:keepLines/>
              <w:jc w:val="right"/>
              <w:rPr>
                <w:rFonts w:eastAsia="Times New Roman"/>
                <w:color w:val="000000"/>
              </w:rPr>
            </w:pPr>
            <w:r w:rsidRPr="00706B4E">
              <w:rPr>
                <w:rFonts w:eastAsia="Times New Roman"/>
                <w:color w:val="FF0000"/>
              </w:rPr>
              <w:t>(2,241,935)</w:t>
            </w:r>
          </w:p>
        </w:tc>
        <w:tc>
          <w:tcPr>
            <w:tcW w:w="1384" w:type="dxa"/>
            <w:tcBorders>
              <w:top w:val="nil"/>
              <w:left w:val="nil"/>
              <w:bottom w:val="single" w:sz="4" w:space="0" w:color="auto"/>
              <w:right w:val="single" w:sz="4" w:space="0" w:color="auto"/>
            </w:tcBorders>
            <w:shd w:val="clear" w:color="auto" w:fill="auto"/>
            <w:noWrap/>
            <w:vAlign w:val="bottom"/>
            <w:hideMark/>
          </w:tcPr>
          <w:p w14:paraId="2D5C4CD9" w14:textId="77777777" w:rsidR="0077167F" w:rsidRPr="00706B4E" w:rsidRDefault="0077167F" w:rsidP="00107771">
            <w:pPr>
              <w:keepNext/>
              <w:keepLines/>
              <w:jc w:val="right"/>
              <w:rPr>
                <w:rFonts w:eastAsia="Times New Roman"/>
                <w:color w:val="000000"/>
              </w:rPr>
            </w:pPr>
            <w:r w:rsidRPr="00706B4E">
              <w:rPr>
                <w:rFonts w:eastAsia="Times New Roman"/>
                <w:color w:val="000000"/>
              </w:rPr>
              <w:t xml:space="preserve">0 </w:t>
            </w:r>
          </w:p>
        </w:tc>
      </w:tr>
      <w:tr w:rsidR="0077167F" w:rsidRPr="00706B4E" w14:paraId="42A270CE"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2A889CE9"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9</w:t>
            </w:r>
          </w:p>
        </w:tc>
        <w:tc>
          <w:tcPr>
            <w:tcW w:w="5183" w:type="dxa"/>
            <w:tcBorders>
              <w:top w:val="nil"/>
              <w:left w:val="nil"/>
              <w:bottom w:val="single" w:sz="4" w:space="0" w:color="auto"/>
              <w:right w:val="single" w:sz="4" w:space="0" w:color="auto"/>
            </w:tcBorders>
            <w:shd w:val="clear" w:color="auto" w:fill="auto"/>
            <w:noWrap/>
            <w:vAlign w:val="bottom"/>
            <w:hideMark/>
          </w:tcPr>
          <w:p w14:paraId="55F85FC6" w14:textId="47848108" w:rsidR="0077167F" w:rsidRPr="009E0074" w:rsidRDefault="0077167F" w:rsidP="00AA232B">
            <w:pPr>
              <w:keepNext/>
              <w:keepLines/>
              <w:jc w:val="right"/>
              <w:rPr>
                <w:rFonts w:eastAsia="Times New Roman"/>
                <w:b/>
                <w:bCs/>
                <w:color w:val="000000"/>
              </w:rPr>
            </w:pPr>
            <w:r w:rsidRPr="009E0074">
              <w:rPr>
                <w:rFonts w:eastAsia="Times New Roman"/>
                <w:b/>
                <w:bCs/>
                <w:color w:val="000000"/>
              </w:rPr>
              <w:t>Net change:</w:t>
            </w:r>
          </w:p>
        </w:tc>
        <w:tc>
          <w:tcPr>
            <w:tcW w:w="1363" w:type="dxa"/>
            <w:tcBorders>
              <w:top w:val="nil"/>
              <w:left w:val="nil"/>
              <w:bottom w:val="single" w:sz="4" w:space="0" w:color="auto"/>
              <w:right w:val="single" w:sz="4" w:space="0" w:color="auto"/>
            </w:tcBorders>
            <w:shd w:val="clear" w:color="auto" w:fill="auto"/>
            <w:noWrap/>
            <w:vAlign w:val="bottom"/>
            <w:hideMark/>
          </w:tcPr>
          <w:p w14:paraId="347F138F" w14:textId="77777777" w:rsidR="0077167F" w:rsidRPr="00706B4E" w:rsidRDefault="0077167F" w:rsidP="00107771">
            <w:pPr>
              <w:keepNext/>
              <w:keepLines/>
              <w:jc w:val="right"/>
              <w:rPr>
                <w:rFonts w:eastAsia="Times New Roman"/>
                <w:color w:val="000000"/>
              </w:rPr>
            </w:pPr>
            <w:r w:rsidRPr="00706B4E">
              <w:rPr>
                <w:rFonts w:eastAsia="Times New Roman"/>
                <w:color w:val="FF0000"/>
              </w:rPr>
              <w:t>(52,030,645)</w:t>
            </w:r>
          </w:p>
        </w:tc>
        <w:tc>
          <w:tcPr>
            <w:tcW w:w="1384" w:type="dxa"/>
            <w:tcBorders>
              <w:top w:val="nil"/>
              <w:left w:val="nil"/>
              <w:bottom w:val="single" w:sz="4" w:space="0" w:color="auto"/>
              <w:right w:val="single" w:sz="4" w:space="0" w:color="auto"/>
            </w:tcBorders>
            <w:shd w:val="clear" w:color="auto" w:fill="auto"/>
            <w:noWrap/>
            <w:vAlign w:val="bottom"/>
            <w:hideMark/>
          </w:tcPr>
          <w:p w14:paraId="0A1E2C9E" w14:textId="77777777" w:rsidR="0077167F" w:rsidRPr="00706B4E" w:rsidRDefault="0077167F" w:rsidP="00107771">
            <w:pPr>
              <w:keepNext/>
              <w:keepLines/>
              <w:jc w:val="right"/>
              <w:rPr>
                <w:rFonts w:eastAsia="Times New Roman"/>
                <w:color w:val="000000"/>
              </w:rPr>
            </w:pPr>
            <w:r w:rsidRPr="00706B4E">
              <w:rPr>
                <w:rFonts w:eastAsia="Times New Roman"/>
                <w:color w:val="FF0000"/>
              </w:rPr>
              <w:t>(6,429,032)</w:t>
            </w:r>
          </w:p>
        </w:tc>
      </w:tr>
      <w:tr w:rsidR="0077167F" w:rsidRPr="00706B4E" w14:paraId="72A85F88" w14:textId="77777777" w:rsidTr="0077167F">
        <w:trPr>
          <w:trHeight w:val="315"/>
          <w:jc w:val="center"/>
        </w:trPr>
        <w:tc>
          <w:tcPr>
            <w:tcW w:w="290" w:type="dxa"/>
            <w:tcBorders>
              <w:top w:val="nil"/>
              <w:left w:val="single" w:sz="4" w:space="0" w:color="auto"/>
              <w:bottom w:val="single" w:sz="4" w:space="0" w:color="auto"/>
              <w:right w:val="single" w:sz="4" w:space="0" w:color="auto"/>
            </w:tcBorders>
            <w:shd w:val="clear" w:color="auto" w:fill="auto"/>
            <w:noWrap/>
            <w:vAlign w:val="bottom"/>
            <w:hideMark/>
          </w:tcPr>
          <w:p w14:paraId="6CCE6CA5" w14:textId="77777777" w:rsidR="0077167F" w:rsidRPr="00706B4E" w:rsidRDefault="0077167F" w:rsidP="00107771">
            <w:pPr>
              <w:keepNext/>
              <w:keepLines/>
              <w:jc w:val="center"/>
              <w:rPr>
                <w:rFonts w:eastAsia="Times New Roman"/>
                <w:b/>
                <w:bCs/>
                <w:color w:val="000000"/>
              </w:rPr>
            </w:pPr>
            <w:r w:rsidRPr="00706B4E">
              <w:rPr>
                <w:rFonts w:eastAsia="Times New Roman"/>
                <w:b/>
                <w:bCs/>
                <w:color w:val="000000"/>
              </w:rPr>
              <w:t>10</w:t>
            </w:r>
          </w:p>
        </w:tc>
        <w:tc>
          <w:tcPr>
            <w:tcW w:w="5183" w:type="dxa"/>
            <w:tcBorders>
              <w:top w:val="nil"/>
              <w:left w:val="nil"/>
              <w:bottom w:val="single" w:sz="4" w:space="0" w:color="auto"/>
              <w:right w:val="single" w:sz="4" w:space="0" w:color="auto"/>
            </w:tcBorders>
            <w:shd w:val="clear" w:color="auto" w:fill="auto"/>
            <w:noWrap/>
            <w:vAlign w:val="bottom"/>
            <w:hideMark/>
          </w:tcPr>
          <w:p w14:paraId="462ADFAA" w14:textId="77777777" w:rsidR="0077167F" w:rsidRPr="00706B4E" w:rsidRDefault="0077167F" w:rsidP="00107771">
            <w:pPr>
              <w:keepNext/>
              <w:keepLines/>
              <w:jc w:val="right"/>
              <w:rPr>
                <w:rFonts w:eastAsia="Times New Roman"/>
                <w:b/>
                <w:bCs/>
                <w:color w:val="000000"/>
              </w:rPr>
            </w:pPr>
            <w:r w:rsidRPr="00706B4E">
              <w:rPr>
                <w:rFonts w:eastAsia="Times New Roman"/>
                <w:b/>
                <w:bCs/>
                <w:color w:val="000000"/>
              </w:rPr>
              <w:t>Revenue requirement, after these effects</w:t>
            </w:r>
          </w:p>
        </w:tc>
        <w:tc>
          <w:tcPr>
            <w:tcW w:w="1363" w:type="dxa"/>
            <w:tcBorders>
              <w:top w:val="nil"/>
              <w:left w:val="nil"/>
              <w:bottom w:val="single" w:sz="4" w:space="0" w:color="auto"/>
              <w:right w:val="single" w:sz="4" w:space="0" w:color="auto"/>
            </w:tcBorders>
            <w:shd w:val="clear" w:color="auto" w:fill="auto"/>
            <w:noWrap/>
            <w:vAlign w:val="bottom"/>
            <w:hideMark/>
          </w:tcPr>
          <w:p w14:paraId="75D361FC" w14:textId="77777777" w:rsidR="0077167F" w:rsidRPr="00706B4E" w:rsidRDefault="0077167F" w:rsidP="00107771">
            <w:pPr>
              <w:keepNext/>
              <w:keepLines/>
              <w:jc w:val="right"/>
              <w:rPr>
                <w:rFonts w:eastAsia="Times New Roman"/>
                <w:b/>
                <w:bCs/>
                <w:color w:val="000000"/>
              </w:rPr>
            </w:pPr>
            <w:r w:rsidRPr="00706B4E">
              <w:rPr>
                <w:rFonts w:eastAsia="Times New Roman"/>
                <w:b/>
                <w:bCs/>
                <w:color w:val="FF0000"/>
              </w:rPr>
              <w:t>(</w:t>
            </w:r>
            <w:r>
              <w:rPr>
                <w:rFonts w:eastAsia="Times New Roman"/>
                <w:b/>
                <w:bCs/>
                <w:color w:val="FF0000"/>
              </w:rPr>
              <w:t>$</w:t>
            </w:r>
            <w:r w:rsidRPr="00706B4E">
              <w:rPr>
                <w:rFonts w:eastAsia="Times New Roman"/>
                <w:b/>
                <w:bCs/>
                <w:color w:val="FF0000"/>
              </w:rPr>
              <w:t>18,801,645)</w:t>
            </w:r>
          </w:p>
        </w:tc>
        <w:tc>
          <w:tcPr>
            <w:tcW w:w="1384" w:type="dxa"/>
            <w:tcBorders>
              <w:top w:val="nil"/>
              <w:left w:val="nil"/>
              <w:bottom w:val="single" w:sz="4" w:space="0" w:color="auto"/>
              <w:right w:val="single" w:sz="4" w:space="0" w:color="auto"/>
            </w:tcBorders>
            <w:shd w:val="clear" w:color="auto" w:fill="auto"/>
            <w:noWrap/>
            <w:vAlign w:val="bottom"/>
            <w:hideMark/>
          </w:tcPr>
          <w:p w14:paraId="4962E999" w14:textId="77777777" w:rsidR="0077167F" w:rsidRPr="00706B4E" w:rsidRDefault="0077167F" w:rsidP="00107771">
            <w:pPr>
              <w:keepNext/>
              <w:keepLines/>
              <w:jc w:val="right"/>
              <w:rPr>
                <w:rFonts w:eastAsia="Times New Roman"/>
                <w:b/>
                <w:bCs/>
                <w:color w:val="000000"/>
              </w:rPr>
            </w:pPr>
            <w:r>
              <w:rPr>
                <w:rFonts w:eastAsia="Times New Roman"/>
                <w:b/>
                <w:bCs/>
                <w:color w:val="000000"/>
              </w:rPr>
              <w:t>$</w:t>
            </w:r>
            <w:r w:rsidRPr="00706B4E">
              <w:rPr>
                <w:rFonts w:eastAsia="Times New Roman"/>
                <w:b/>
                <w:bCs/>
                <w:color w:val="000000"/>
              </w:rPr>
              <w:t xml:space="preserve">5,591,968 </w:t>
            </w:r>
          </w:p>
        </w:tc>
      </w:tr>
    </w:tbl>
    <w:p w14:paraId="28F14520" w14:textId="5EDC5D60" w:rsidR="0077167F" w:rsidRDefault="0077167F" w:rsidP="000621E7">
      <w:pPr>
        <w:pStyle w:val="NoSpacing"/>
      </w:pPr>
    </w:p>
    <w:p w14:paraId="3789ABDD" w14:textId="1CCD02A1" w:rsidR="00D93EC1" w:rsidRDefault="0050349F" w:rsidP="00BC0BC5">
      <w:pPr>
        <w:pStyle w:val="NoSpacing"/>
        <w:ind w:firstLine="720"/>
      </w:pPr>
      <w:r>
        <w:t>Line 1 of the table states the revenue requirements claimed by the Company in their initial Pro Forma Cross Check study</w:t>
      </w:r>
      <w:r w:rsidR="00C8049E">
        <w:t>.</w:t>
      </w:r>
      <w:r w:rsidR="00AE5B57">
        <w:rPr>
          <w:rStyle w:val="FootnoteReference"/>
        </w:rPr>
        <w:footnoteReference w:id="5"/>
      </w:r>
      <w:r w:rsidR="00AE5B57">
        <w:t xml:space="preserve">  </w:t>
      </w:r>
      <w:r w:rsidR="00706B4E">
        <w:t xml:space="preserve">Line 2 shows the effect of the AURORA power cost model coding error, acknowledged by the Company in their response to Staff Data Request </w:t>
      </w:r>
      <w:r w:rsidR="002971CC">
        <w:t xml:space="preserve">No. </w:t>
      </w:r>
      <w:r w:rsidR="00706B4E">
        <w:t>131</w:t>
      </w:r>
      <w:r w:rsidR="00AA5CE6">
        <w:t xml:space="preserve">, and discussed further in </w:t>
      </w:r>
      <w:r w:rsidR="00316523">
        <w:t>the Multiparty Settlement Stipulation</w:t>
      </w:r>
      <w:r w:rsidR="00706B4E">
        <w:t>.</w:t>
      </w:r>
      <w:r w:rsidR="00316523">
        <w:rPr>
          <w:rStyle w:val="FootnoteReference"/>
        </w:rPr>
        <w:footnoteReference w:id="6"/>
      </w:r>
      <w:r w:rsidR="00706B4E">
        <w:t xml:space="preserve">  Line 3 shows the effect of eliminating the reconciliation mechanism discussed in Section IX of this testimony.  Line 4 shows the effect of Staff’s analysis </w:t>
      </w:r>
      <w:r w:rsidR="00277DD8">
        <w:t>of the electromechanical meter retirements proposed by the Company</w:t>
      </w:r>
      <w:r w:rsidR="00AA5CE6">
        <w:t>, discussed further in Section VIII, subsection A of this testimony</w:t>
      </w:r>
      <w:r w:rsidR="00706B4E">
        <w:t xml:space="preserve">.  Line 5 shows the effect of Staff’s disallowance of </w:t>
      </w:r>
      <w:r w:rsidR="00D93EC1">
        <w:t xml:space="preserve">projected </w:t>
      </w:r>
      <w:r w:rsidR="00706B4E">
        <w:t xml:space="preserve">2016 capital project additions to rate base, relative to the Company’s proposed treatment.  Line 6 shows the effect of Staff’s audit of 2015 major capital additions.  </w:t>
      </w:r>
      <w:r w:rsidR="00277DD8">
        <w:t xml:space="preserve">Line 7 shows the effect on revenue requirements between what the Company projected to be transferred to plant in the final three months of 2014 versus what was actually </w:t>
      </w:r>
      <w:r w:rsidR="00AA5CE6">
        <w:t>placed in service</w:t>
      </w:r>
      <w:r w:rsidR="00AE5B57">
        <w:t xml:space="preserve">, and acknowledged by the Company in its response to Staff Data Request </w:t>
      </w:r>
      <w:r w:rsidR="00813D9C">
        <w:t xml:space="preserve">No. </w:t>
      </w:r>
      <w:r w:rsidR="00AE5B57">
        <w:t>131</w:t>
      </w:r>
      <w:r w:rsidR="00277DD8">
        <w:t xml:space="preserve">.  Line 8 shows the effect of Mr. Ball’s analysis </w:t>
      </w:r>
      <w:r w:rsidR="00D93EC1">
        <w:t xml:space="preserve">of </w:t>
      </w:r>
      <w:r w:rsidR="00277DD8">
        <w:t xml:space="preserve">major maintenance expenses planned for 2016.  Line 9 shows the sum of Lines 2 through 8.  Line 10 shows the effect that Lines 2 through </w:t>
      </w:r>
      <w:r w:rsidR="00D93EC1">
        <w:t xml:space="preserve">8 </w:t>
      </w:r>
      <w:r w:rsidR="00277DD8">
        <w:t xml:space="preserve">would have on the Company’s initial revenue requirement claims, if these were the </w:t>
      </w:r>
      <w:r w:rsidR="00277DD8" w:rsidRPr="00D93EC1">
        <w:rPr>
          <w:u w:val="single"/>
        </w:rPr>
        <w:t>only</w:t>
      </w:r>
      <w:r w:rsidR="00277DD8">
        <w:t xml:space="preserve"> changes between Staff’s </w:t>
      </w:r>
      <w:r w:rsidR="00277DD8" w:rsidRPr="00277DD8">
        <w:rPr>
          <w:i/>
        </w:rPr>
        <w:t>pro forma</w:t>
      </w:r>
      <w:r w:rsidR="00277DD8">
        <w:t xml:space="preserve"> analysis and the Company’s initial Pro Forma Cross Check studies.</w:t>
      </w:r>
    </w:p>
    <w:p w14:paraId="0F843C77" w14:textId="45647DCA" w:rsidR="00D93EC1" w:rsidRDefault="00656AEE" w:rsidP="00706B4E">
      <w:pPr>
        <w:pStyle w:val="NoSpacing"/>
        <w:ind w:firstLine="720"/>
      </w:pPr>
      <w:r>
        <w:t>A</w:t>
      </w:r>
      <w:r w:rsidR="00D93EC1">
        <w:t>gain</w:t>
      </w:r>
      <w:r>
        <w:t xml:space="preserve">, </w:t>
      </w:r>
      <w:r w:rsidR="00D93EC1">
        <w:t xml:space="preserve">the Company’s initial Pro Forma Cross Check studies are obsolete, and </w:t>
      </w:r>
      <w:r>
        <w:t xml:space="preserve">its </w:t>
      </w:r>
      <w:r w:rsidR="00D93EC1">
        <w:t>response to Staff Data Request</w:t>
      </w:r>
      <w:r w:rsidR="00813D9C">
        <w:t xml:space="preserve"> No.</w:t>
      </w:r>
      <w:r w:rsidR="00D93EC1">
        <w:t xml:space="preserve"> 131 more accurately represents the case </w:t>
      </w:r>
      <w:r>
        <w:t xml:space="preserve">Staff would have expected from </w:t>
      </w:r>
      <w:r w:rsidR="00D93EC1">
        <w:t xml:space="preserve">Avista.  </w:t>
      </w:r>
      <w:r w:rsidR="00A826CB">
        <w:t xml:space="preserve">Some </w:t>
      </w:r>
      <w:r w:rsidR="00D93EC1">
        <w:t xml:space="preserve">of the effects shown in the table above are present in the Company’s updated Pro Forma Cross Check studies included in Staff Data Request </w:t>
      </w:r>
      <w:r w:rsidR="00813D9C">
        <w:t xml:space="preserve">No. </w:t>
      </w:r>
      <w:r w:rsidR="00D93EC1">
        <w:t>131.</w:t>
      </w:r>
    </w:p>
    <w:p w14:paraId="5FB6F1F7" w14:textId="77777777" w:rsidR="00706B4E" w:rsidRDefault="00706B4E" w:rsidP="000621E7">
      <w:pPr>
        <w:pStyle w:val="NoSpacing"/>
      </w:pPr>
    </w:p>
    <w:p w14:paraId="5C9AA160" w14:textId="05BA6C3A" w:rsidR="00283D4B" w:rsidRPr="002752E0" w:rsidRDefault="002752E0" w:rsidP="00283D4B">
      <w:pPr>
        <w:pStyle w:val="Heading1"/>
        <w:rPr>
          <w:caps/>
        </w:rPr>
      </w:pPr>
      <w:bookmarkStart w:id="24" w:name="_Toc425419756"/>
      <w:r w:rsidRPr="002752E0">
        <w:rPr>
          <w:caps/>
        </w:rPr>
        <w:t>Pro Forma Policy</w:t>
      </w:r>
      <w:bookmarkEnd w:id="24"/>
    </w:p>
    <w:p w14:paraId="13E6F15A" w14:textId="7D58830C" w:rsidR="00283D4B" w:rsidRPr="00F720F8" w:rsidRDefault="00FB6B13" w:rsidP="001E3243">
      <w:pPr>
        <w:pStyle w:val="Heading2"/>
        <w:numPr>
          <w:ilvl w:val="0"/>
          <w:numId w:val="40"/>
        </w:numPr>
      </w:pPr>
      <w:bookmarkStart w:id="25" w:name="_Toc425419757"/>
      <w:r>
        <w:t>Criteria for Pro Forma Adjustments</w:t>
      </w:r>
      <w:bookmarkEnd w:id="25"/>
    </w:p>
    <w:p w14:paraId="601348C9" w14:textId="77777777" w:rsidR="00585107" w:rsidRPr="00F720F8" w:rsidRDefault="00585107" w:rsidP="00283D4B">
      <w:pPr>
        <w:spacing w:line="480" w:lineRule="auto"/>
        <w:rPr>
          <w:b/>
        </w:rPr>
      </w:pPr>
    </w:p>
    <w:p w14:paraId="44B24145" w14:textId="2604E4A3" w:rsidR="00283D4B" w:rsidRPr="00F720F8" w:rsidRDefault="00BB38C9" w:rsidP="00283D4B">
      <w:pPr>
        <w:pStyle w:val="Heading8"/>
      </w:pPr>
      <w:r w:rsidRPr="00F720F8">
        <w:t>Q.</w:t>
      </w:r>
      <w:r w:rsidRPr="00F720F8">
        <w:tab/>
      </w:r>
      <w:r w:rsidR="00FB6B13" w:rsidRPr="00FB6B13">
        <w:t xml:space="preserve">What criteria have historically been applied to </w:t>
      </w:r>
      <w:r w:rsidR="00FB6B13" w:rsidRPr="00FB6B13">
        <w:rPr>
          <w:i/>
        </w:rPr>
        <w:t xml:space="preserve">pro forma </w:t>
      </w:r>
      <w:r w:rsidR="003C60E3">
        <w:t>adjustments</w:t>
      </w:r>
      <w:r w:rsidR="00FB6B13" w:rsidRPr="00FB6B13">
        <w:t>?</w:t>
      </w:r>
    </w:p>
    <w:p w14:paraId="5B7597BB" w14:textId="59D940CD" w:rsidR="00FB6B13" w:rsidRPr="00FB6B13" w:rsidRDefault="00283D4B" w:rsidP="00BC0BC5">
      <w:pPr>
        <w:pStyle w:val="NoSpacing"/>
      </w:pPr>
      <w:r w:rsidRPr="00F720F8">
        <w:t>A.</w:t>
      </w:r>
      <w:r w:rsidRPr="00F720F8">
        <w:tab/>
      </w:r>
      <w:r w:rsidR="003C60E3">
        <w:t xml:space="preserve">The Commission historically applies four major standards for </w:t>
      </w:r>
      <w:r w:rsidR="003C60E3" w:rsidRPr="003C60E3">
        <w:rPr>
          <w:i/>
        </w:rPr>
        <w:t xml:space="preserve">pro forma </w:t>
      </w:r>
      <w:r w:rsidR="003C60E3">
        <w:t>adjustments</w:t>
      </w:r>
      <w:r w:rsidR="00FB6B13" w:rsidRPr="00FB6B13">
        <w:t>.  These criteria ask the following qu</w:t>
      </w:r>
      <w:r w:rsidR="00BC0BC5">
        <w:t xml:space="preserve">estions of a given adjustment: </w:t>
      </w:r>
    </w:p>
    <w:p w14:paraId="494ACE41" w14:textId="108C2F39" w:rsidR="00FB6B13" w:rsidRPr="00FB6B13" w:rsidRDefault="002D2889" w:rsidP="00FB6B13">
      <w:pPr>
        <w:pStyle w:val="NoSpacing"/>
        <w:numPr>
          <w:ilvl w:val="0"/>
          <w:numId w:val="41"/>
        </w:numPr>
      </w:pPr>
      <w:r>
        <w:t xml:space="preserve">If the </w:t>
      </w:r>
      <w:r w:rsidRPr="00F4077E">
        <w:rPr>
          <w:i/>
        </w:rPr>
        <w:t>pro forma</w:t>
      </w:r>
      <w:r>
        <w:t xml:space="preserve"> adjustment is to add new plant, is it</w:t>
      </w:r>
      <w:r w:rsidR="00FB6B13" w:rsidRPr="00FB6B13">
        <w:t xml:space="preserve"> “major?”</w:t>
      </w:r>
      <w:r w:rsidRPr="00FB6B13" w:rsidDel="002D2889">
        <w:rPr>
          <w:vertAlign w:val="superscript"/>
        </w:rPr>
        <w:t xml:space="preserve"> </w:t>
      </w:r>
    </w:p>
    <w:p w14:paraId="55D76DFA" w14:textId="16984753" w:rsidR="00FB6B13" w:rsidRPr="00FB6B13" w:rsidRDefault="00FB6B13" w:rsidP="00FB6B13">
      <w:pPr>
        <w:pStyle w:val="NoSpacing"/>
        <w:numPr>
          <w:ilvl w:val="0"/>
          <w:numId w:val="41"/>
        </w:numPr>
      </w:pPr>
      <w:r w:rsidRPr="00FB6B13">
        <w:t>Are the costs associated with the adjustment known and measurable?</w:t>
      </w:r>
    </w:p>
    <w:p w14:paraId="39410630" w14:textId="7069E8C3" w:rsidR="00FB6B13" w:rsidRDefault="00B96DE6" w:rsidP="00FB6B13">
      <w:pPr>
        <w:pStyle w:val="NoSpacing"/>
        <w:numPr>
          <w:ilvl w:val="0"/>
          <w:numId w:val="41"/>
        </w:numPr>
      </w:pPr>
      <w:r>
        <w:t xml:space="preserve">If the </w:t>
      </w:r>
      <w:r w:rsidRPr="00B96DE6">
        <w:rPr>
          <w:i/>
        </w:rPr>
        <w:t>pro forma</w:t>
      </w:r>
      <w:r>
        <w:t xml:space="preserve"> adjustment is to add new plant, has it been shown that the new plant will be used and useful to serve Washington customers</w:t>
      </w:r>
      <w:r w:rsidR="00FB6B13" w:rsidRPr="00FB6B13">
        <w:t>?</w:t>
      </w:r>
      <w:r w:rsidR="009F4AA1" w:rsidRPr="009F4AA1">
        <w:rPr>
          <w:vertAlign w:val="superscript"/>
        </w:rPr>
        <w:t xml:space="preserve"> </w:t>
      </w:r>
      <w:r w:rsidR="009F4AA1" w:rsidRPr="00FB6B13">
        <w:rPr>
          <w:vertAlign w:val="superscript"/>
        </w:rPr>
        <w:footnoteReference w:id="7"/>
      </w:r>
    </w:p>
    <w:p w14:paraId="0E97304A" w14:textId="537561CA" w:rsidR="00FB6B13" w:rsidRPr="00FB6B13" w:rsidRDefault="009F4AA1" w:rsidP="00BC0BC5">
      <w:pPr>
        <w:pStyle w:val="NoSpacing"/>
        <w:numPr>
          <w:ilvl w:val="0"/>
          <w:numId w:val="41"/>
        </w:numPr>
      </w:pPr>
      <w:r>
        <w:t>Have the costs related to the adjustment been prudently incurred?</w:t>
      </w:r>
    </w:p>
    <w:p w14:paraId="3CFDCF42" w14:textId="79118B6A" w:rsidR="00CF69E5" w:rsidRDefault="003C60E3" w:rsidP="00BC0BC5">
      <w:pPr>
        <w:pStyle w:val="NoSpacing"/>
        <w:ind w:firstLine="360"/>
      </w:pPr>
      <w:r>
        <w:t xml:space="preserve">To </w:t>
      </w:r>
      <w:r w:rsidR="00FB6B13" w:rsidRPr="00FB6B13">
        <w:t>date there has been no clearly defined, consistently applied standard that takes into account the size of the utility in question.</w:t>
      </w:r>
      <w:r w:rsidR="00FB6B13" w:rsidRPr="00FB6B13">
        <w:rPr>
          <w:vertAlign w:val="superscript"/>
        </w:rPr>
        <w:footnoteReference w:id="8"/>
      </w:r>
      <w:r w:rsidR="00FB6B13" w:rsidRPr="00FB6B13">
        <w:t xml:space="preserve">  Avista’s filing in this case does not take into consideration whether the component projects of their </w:t>
      </w:r>
      <w:r w:rsidR="00FB6B13" w:rsidRPr="00FB6B13">
        <w:rPr>
          <w:i/>
        </w:rPr>
        <w:t>pro forma</w:t>
      </w:r>
      <w:r w:rsidR="00FB6B13" w:rsidRPr="00FB6B13">
        <w:t xml:space="preserve"> capital additions are major in any sense, and instead seeks to “pro form” all capital additions expected to be made in 2014, 2015, and 2016.  Staff </w:t>
      </w:r>
      <w:r w:rsidR="00611A27">
        <w:t>presents</w:t>
      </w:r>
      <w:r w:rsidR="00FB6B13" w:rsidRPr="00FB6B13">
        <w:t>, in subsection</w:t>
      </w:r>
      <w:r w:rsidR="006C46D2">
        <w:t xml:space="preserve"> B</w:t>
      </w:r>
      <w:r w:rsidR="00FB6B13" w:rsidRPr="00FB6B13">
        <w:t xml:space="preserve">, a reasonable level of “major” for </w:t>
      </w:r>
      <w:r w:rsidR="00FB6B13" w:rsidRPr="00FB6B13">
        <w:rPr>
          <w:i/>
        </w:rPr>
        <w:t>pro forma</w:t>
      </w:r>
      <w:r w:rsidR="00FB6B13" w:rsidRPr="00FB6B13">
        <w:t xml:space="preserve"> plant additions.</w:t>
      </w:r>
    </w:p>
    <w:p w14:paraId="10EDE8B2" w14:textId="0127BB9E" w:rsidR="00075863" w:rsidRDefault="00075863" w:rsidP="002D2889">
      <w:pPr>
        <w:pStyle w:val="NoSpacing"/>
      </w:pPr>
    </w:p>
    <w:p w14:paraId="03FC4D22" w14:textId="0C9B77A5" w:rsidR="002D2889" w:rsidRDefault="002D2889" w:rsidP="002D2889">
      <w:pPr>
        <w:pStyle w:val="Heading8"/>
      </w:pPr>
      <w:r>
        <w:t>Q.</w:t>
      </w:r>
      <w:r>
        <w:tab/>
        <w:t xml:space="preserve">Why </w:t>
      </w:r>
      <w:r w:rsidR="00DD0799">
        <w:t xml:space="preserve">must </w:t>
      </w:r>
      <w:r>
        <w:t>a pro forma rate base addition be major?</w:t>
      </w:r>
    </w:p>
    <w:p w14:paraId="00F22B9D" w14:textId="0A62039C" w:rsidR="002D2889" w:rsidRDefault="002D2889" w:rsidP="002D2889">
      <w:pPr>
        <w:pStyle w:val="NoSpacing"/>
      </w:pPr>
      <w:r>
        <w:t>A.</w:t>
      </w:r>
      <w:r>
        <w:tab/>
        <w:t>The Commission stated in the recent Pacific Power &amp; Light rate case that proposed plant additions need to meet “a reasonable definition of ‘major.’”</w:t>
      </w:r>
      <w:r w:rsidR="006C46D2" w:rsidRPr="006C46D2">
        <w:rPr>
          <w:rStyle w:val="FootnoteReference"/>
        </w:rPr>
        <w:t xml:space="preserve"> </w:t>
      </w:r>
      <w:r w:rsidR="006C46D2">
        <w:rPr>
          <w:rStyle w:val="FootnoteReference"/>
        </w:rPr>
        <w:footnoteReference w:id="9"/>
      </w:r>
    </w:p>
    <w:p w14:paraId="2A4D2CB9" w14:textId="77777777" w:rsidR="002D2889" w:rsidRDefault="002D2889" w:rsidP="002D2889">
      <w:pPr>
        <w:pStyle w:val="NoSpacing"/>
      </w:pPr>
    </w:p>
    <w:p w14:paraId="3C122CE2" w14:textId="238F47FC" w:rsidR="00075863" w:rsidRDefault="00075863" w:rsidP="00075863">
      <w:pPr>
        <w:pStyle w:val="Heading8"/>
      </w:pPr>
      <w:r>
        <w:t>Q.</w:t>
      </w:r>
      <w:r>
        <w:tab/>
        <w:t>What does it mean for an adjustment to be known and measurable?</w:t>
      </w:r>
    </w:p>
    <w:p w14:paraId="1E58DE70" w14:textId="029086DC" w:rsidR="00075863" w:rsidRDefault="00075863" w:rsidP="00FB5263">
      <w:pPr>
        <w:pStyle w:val="NoSpacing"/>
      </w:pPr>
      <w:r w:rsidRPr="00075863">
        <w:t>A.</w:t>
      </w:r>
      <w:r w:rsidRPr="00075863">
        <w:tab/>
        <w:t>WAC 480-07-510(3)(iii) requires that adjustments must “give effect for the test period to all known and measurable changes that are not offset by other factors.”</w:t>
      </w:r>
      <w:r w:rsidR="00D553E1">
        <w:t xml:space="preserve">  </w:t>
      </w:r>
      <w:r>
        <w:t>Furthermore, t</w:t>
      </w:r>
      <w:r w:rsidRPr="00075863">
        <w:t>he Commission has stated</w:t>
      </w:r>
      <w:r>
        <w:rPr>
          <w:rStyle w:val="FootnoteReference"/>
        </w:rPr>
        <w:footnoteReference w:id="10"/>
      </w:r>
      <w:r w:rsidRPr="00075863">
        <w:t>:</w:t>
      </w:r>
    </w:p>
    <w:p w14:paraId="3D58A759" w14:textId="1F6A7BA9" w:rsidR="00075863" w:rsidRPr="00075863" w:rsidRDefault="00075863" w:rsidP="00DD0799">
      <w:pPr>
        <w:pStyle w:val="NoSpacing"/>
        <w:spacing w:after="240" w:line="240" w:lineRule="auto"/>
        <w:ind w:firstLine="720"/>
      </w:pPr>
      <w:r w:rsidRPr="00075863">
        <w:t xml:space="preserve">The known and measurable concept requires that an event that causes a change in revenue, expense or rate base must be </w:t>
      </w:r>
      <w:r w:rsidRPr="00075863">
        <w:rPr>
          <w:i/>
        </w:rPr>
        <w:t>known</w:t>
      </w:r>
      <w:r w:rsidRPr="00075863">
        <w:t xml:space="preserve"> to have occurred during or after the historical 12 months of actual results of operations.  It must also be demonstrated (</w:t>
      </w:r>
      <w:r w:rsidRPr="00075863">
        <w:rPr>
          <w:i/>
        </w:rPr>
        <w:t>i.e</w:t>
      </w:r>
      <w:r w:rsidRPr="00075863">
        <w:t xml:space="preserve">., </w:t>
      </w:r>
      <w:r w:rsidRPr="00075863">
        <w:rPr>
          <w:i/>
        </w:rPr>
        <w:t>known)</w:t>
      </w:r>
      <w:r w:rsidRPr="00075863">
        <w:t xml:space="preserve"> that the effect of the event will be in place during the 12-month period when rates will likely be in effect.</w:t>
      </w:r>
      <w:r w:rsidRPr="00075863">
        <w:rPr>
          <w:vertAlign w:val="superscript"/>
        </w:rPr>
        <w:footnoteReference w:id="11"/>
      </w:r>
      <w:r w:rsidRPr="00075863">
        <w:t xml:space="preserve">  The actual amount of the change must be </w:t>
      </w:r>
      <w:r w:rsidRPr="00075863">
        <w:rPr>
          <w:i/>
        </w:rPr>
        <w:t>measurable.</w:t>
      </w:r>
      <w:r w:rsidRPr="00075863">
        <w:t xml:space="preserve">  This means the amount cannot be an estimate, a projection, the product of a budget forecast, or some similar exercise of judgment—even informed judgment—concerning future revenue, expense or rate base.  Costs that are documented by actual expenditure, invoice, contract, or other specific obligation usually meet this test.  Costs that are the product of forecasts, projections, or budgets generally will not qualify.</w:t>
      </w:r>
    </w:p>
    <w:p w14:paraId="5CD1B9D0" w14:textId="2FCA3C52" w:rsidR="00A12D85" w:rsidRPr="00A12D85" w:rsidRDefault="00A12D85" w:rsidP="00A12D85">
      <w:pPr>
        <w:pStyle w:val="NoSpacing"/>
      </w:pPr>
    </w:p>
    <w:p w14:paraId="3866122B" w14:textId="02B67149" w:rsidR="00B96DE6" w:rsidRDefault="00B96DE6" w:rsidP="00DD0799">
      <w:pPr>
        <w:pStyle w:val="Heading8"/>
      </w:pPr>
      <w:r>
        <w:t>Q.</w:t>
      </w:r>
      <w:r>
        <w:tab/>
        <w:t>What does it mean for a new plant addition to be used and useful to Washington ratepayers?</w:t>
      </w:r>
    </w:p>
    <w:p w14:paraId="24D7B7E4" w14:textId="6DEE4671" w:rsidR="00B96DE6" w:rsidRPr="00B96DE6" w:rsidRDefault="00B96DE6" w:rsidP="00F94AF9">
      <w:pPr>
        <w:pStyle w:val="NoSpacing"/>
      </w:pPr>
      <w:r w:rsidRPr="00B96DE6">
        <w:t>A.</w:t>
      </w:r>
      <w:r w:rsidRPr="00B96DE6">
        <w:tab/>
      </w:r>
      <w:r w:rsidR="002851CB">
        <w:t xml:space="preserve">Section 80.04.250 of the Revised Code of Washington is a statutory requirement </w:t>
      </w:r>
      <w:r w:rsidR="002851CB" w:rsidRPr="002851CB">
        <w:t>that property must be “used and useful for service in this state.”</w:t>
      </w:r>
      <w:r w:rsidR="00903BAC">
        <w:t xml:space="preserve">  </w:t>
      </w:r>
      <w:r w:rsidR="002851CB">
        <w:t>Furthermore, t</w:t>
      </w:r>
      <w:r w:rsidRPr="00B96DE6">
        <w:t>he Commission has stated</w:t>
      </w:r>
      <w:r>
        <w:rPr>
          <w:rStyle w:val="FootnoteReference"/>
        </w:rPr>
        <w:footnoteReference w:id="12"/>
      </w:r>
      <w:r w:rsidRPr="00B96DE6">
        <w:t>:</w:t>
      </w:r>
    </w:p>
    <w:p w14:paraId="6645E779" w14:textId="32CF012B" w:rsidR="00B96DE6" w:rsidRPr="00B96DE6" w:rsidRDefault="00B96DE6" w:rsidP="0015418D">
      <w:pPr>
        <w:pStyle w:val="NoSpacing"/>
        <w:spacing w:line="240" w:lineRule="auto"/>
        <w:ind w:left="1440" w:firstLine="0"/>
      </w:pPr>
      <w:r w:rsidRPr="00B96DE6">
        <w:t>With very limited exceptions the plant must be in service by no later than the end of the rate proceeding if it is to be allowed in rate base.  Typically, this means the plant will be in service before the suspension date, which generally marks the beginning of the “rate year.”</w:t>
      </w:r>
    </w:p>
    <w:p w14:paraId="2BD17721" w14:textId="77777777" w:rsidR="00B96DE6" w:rsidRPr="00B96DE6" w:rsidRDefault="00B96DE6" w:rsidP="00B96DE6">
      <w:pPr>
        <w:pStyle w:val="NoSpacing"/>
      </w:pPr>
    </w:p>
    <w:p w14:paraId="03E460EC" w14:textId="77777777" w:rsidR="00CF69E5" w:rsidRDefault="00CF69E5" w:rsidP="00F508F7">
      <w:pPr>
        <w:pStyle w:val="Heading2"/>
        <w:numPr>
          <w:ilvl w:val="0"/>
          <w:numId w:val="40"/>
        </w:numPr>
        <w:ind w:left="1440" w:hanging="720"/>
      </w:pPr>
      <w:bookmarkStart w:id="26" w:name="_Toc425419758"/>
      <w:r>
        <w:t>Defining a Major Plant Addition</w:t>
      </w:r>
      <w:bookmarkEnd w:id="26"/>
    </w:p>
    <w:p w14:paraId="3E6A5080" w14:textId="77777777" w:rsidR="00CF69E5" w:rsidRDefault="00CF69E5" w:rsidP="003C60E3">
      <w:pPr>
        <w:pStyle w:val="NoSpacing"/>
        <w:ind w:firstLine="360"/>
      </w:pPr>
    </w:p>
    <w:p w14:paraId="7279FFA1" w14:textId="7E05D8B6" w:rsidR="00CF69E5" w:rsidRDefault="00CF69E5" w:rsidP="00CF69E5">
      <w:pPr>
        <w:pStyle w:val="Heading8"/>
      </w:pPr>
      <w:r>
        <w:t>Q.</w:t>
      </w:r>
      <w:r>
        <w:tab/>
        <w:t>What guidance does Staff rely on in developing its definition of a major rate base addition?</w:t>
      </w:r>
    </w:p>
    <w:p w14:paraId="6C83FFBC" w14:textId="68812BA9" w:rsidR="00D45A86" w:rsidRDefault="00CF69E5" w:rsidP="00CF69E5">
      <w:pPr>
        <w:pStyle w:val="NoSpacing"/>
      </w:pPr>
      <w:r w:rsidRPr="00CF69E5">
        <w:t>A.</w:t>
      </w:r>
      <w:r w:rsidRPr="00CF69E5">
        <w:tab/>
        <w:t xml:space="preserve">Staff relies heavily on the Commission’s guidance in Order 08 in Pacific Power &amp; Light Company’s most recent rate case filing Docket UE-140762.  The Commission noted that “there is no directly applicable legal standard for what is a ‘major’ project </w:t>
      </w:r>
      <w:r w:rsidRPr="00CF69E5">
        <w:rPr>
          <w:i/>
        </w:rPr>
        <w:t>except in WAC 480-140-040</w:t>
      </w:r>
      <w:r w:rsidRPr="00CF69E5">
        <w:t>…”</w:t>
      </w:r>
      <w:r w:rsidRPr="00CF69E5">
        <w:rPr>
          <w:vertAlign w:val="superscript"/>
        </w:rPr>
        <w:footnoteReference w:id="13"/>
      </w:r>
      <w:r w:rsidRPr="00CF69E5">
        <w:t xml:space="preserve"> (emphasis added); Staff’s position is anchored </w:t>
      </w:r>
      <w:r w:rsidR="00782135">
        <w:t>in this WAC</w:t>
      </w:r>
      <w:r w:rsidRPr="00CF69E5">
        <w:t>.</w:t>
      </w:r>
    </w:p>
    <w:p w14:paraId="0ABAF80D" w14:textId="77777777" w:rsidR="00CF69E5" w:rsidRDefault="00CF69E5" w:rsidP="00CF69E5">
      <w:pPr>
        <w:pStyle w:val="NoSpacing"/>
      </w:pPr>
    </w:p>
    <w:p w14:paraId="2C317ADD" w14:textId="3679CB74" w:rsidR="00CF69E5" w:rsidRDefault="00CF69E5" w:rsidP="00CF69E5">
      <w:pPr>
        <w:pStyle w:val="Heading8"/>
      </w:pPr>
      <w:r>
        <w:t>Q.</w:t>
      </w:r>
      <w:r>
        <w:tab/>
      </w:r>
      <w:r w:rsidRPr="00CF69E5">
        <w:t>Please describe how WAC 480-140-040 guides Staff’s definition of a major rate base addition.</w:t>
      </w:r>
    </w:p>
    <w:p w14:paraId="4559BCDF" w14:textId="77777777" w:rsidR="00CF69E5" w:rsidRPr="00CF69E5" w:rsidRDefault="00CF69E5" w:rsidP="00CF69E5">
      <w:pPr>
        <w:pStyle w:val="NoSpacing"/>
        <w:rPr>
          <w:b/>
        </w:rPr>
      </w:pPr>
      <w:r>
        <w:t>A.</w:t>
      </w:r>
      <w:r>
        <w:tab/>
      </w:r>
      <w:r w:rsidRPr="00CF69E5">
        <w:t>The relevant portion of WAC 480-140-040, Commission general—Budgets, reads as follows:</w:t>
      </w:r>
      <w:r w:rsidRPr="00CF69E5">
        <w:tab/>
      </w:r>
    </w:p>
    <w:p w14:paraId="1EAF8431" w14:textId="0D5D0D84" w:rsidR="00CF69E5" w:rsidRPr="00CF69E5" w:rsidRDefault="00CF69E5" w:rsidP="00CF69E5">
      <w:pPr>
        <w:pStyle w:val="NoSpacing"/>
        <w:spacing w:line="240" w:lineRule="auto"/>
        <w:ind w:left="1440" w:firstLine="0"/>
      </w:pP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This determination for companies providing combined industry services will be done on an industry-specific basis. </w:t>
      </w:r>
    </w:p>
    <w:p w14:paraId="4E6F02B9" w14:textId="77777777" w:rsidR="00CF69E5" w:rsidRPr="00CF69E5" w:rsidRDefault="00CF69E5" w:rsidP="00CF69E5">
      <w:pPr>
        <w:pStyle w:val="NoSpacing"/>
      </w:pPr>
    </w:p>
    <w:p w14:paraId="07126D98" w14:textId="79AF8420" w:rsidR="00CF69E5" w:rsidRPr="00CF69E5" w:rsidRDefault="00CF69E5" w:rsidP="00BC0BC5">
      <w:pPr>
        <w:pStyle w:val="NoSpacing"/>
      </w:pPr>
      <w:r w:rsidRPr="00CF69E5">
        <w:tab/>
      </w:r>
      <w:r w:rsidRPr="00CF69E5">
        <w:tab/>
        <w:t>This Commission rule makes defining major additions a relatively simple calculation. The appropriate cut-off amount is found by multiplying the Company’s 2014 Washington-allocated net utility plant in service for each industry (gas and electric) from the Company’s Commission Basis Report by 0.5 percent.</w:t>
      </w:r>
    </w:p>
    <w:p w14:paraId="79F5635A" w14:textId="77765D84" w:rsidR="00CF69E5" w:rsidRDefault="00CF69E5" w:rsidP="00CF69E5">
      <w:pPr>
        <w:pStyle w:val="NoSpacing"/>
      </w:pPr>
      <w:r w:rsidRPr="00CF69E5">
        <w:tab/>
      </w:r>
      <w:r w:rsidRPr="00CF69E5">
        <w:tab/>
        <w:t xml:space="preserve">Staff arrives at the following figures for Avista using this method: $6,365,785 for Washington-allocated electric additions, and $1,251,285 for Washington-allocated gas additions.  </w:t>
      </w:r>
      <w:r w:rsidR="00DD0F81">
        <w:t xml:space="preserve">Informed by the guidance provided by </w:t>
      </w:r>
      <w:r w:rsidR="00DD0F81" w:rsidRPr="00CF69E5">
        <w:t>WAC 480-140-040</w:t>
      </w:r>
      <w:r w:rsidR="00DD0F81">
        <w:t xml:space="preserve">, </w:t>
      </w:r>
      <w:r w:rsidRPr="00CF69E5">
        <w:t>Staff</w:t>
      </w:r>
      <w:r w:rsidR="00DD0F81">
        <w:t>’s</w:t>
      </w:r>
      <w:r w:rsidRPr="00CF69E5">
        <w:t xml:space="preserve"> </w:t>
      </w:r>
      <w:r w:rsidR="00DD0F81">
        <w:t>analysis treats</w:t>
      </w:r>
      <w:r w:rsidRPr="00CF69E5">
        <w:t xml:space="preserve"> </w:t>
      </w:r>
      <w:r w:rsidR="00DD0F81">
        <w:t xml:space="preserve">the Company’s </w:t>
      </w:r>
      <w:r w:rsidRPr="00CF69E5">
        <w:t xml:space="preserve">proposed </w:t>
      </w:r>
      <w:r w:rsidRPr="00CF69E5">
        <w:rPr>
          <w:i/>
        </w:rPr>
        <w:t>pro forma</w:t>
      </w:r>
      <w:r w:rsidRPr="00CF69E5">
        <w:t xml:space="preserve"> plant adjustments in excess of these amounts </w:t>
      </w:r>
      <w:r w:rsidR="00DD0F81">
        <w:t xml:space="preserve">as </w:t>
      </w:r>
      <w:r w:rsidRPr="00CF69E5">
        <w:t>major.</w:t>
      </w:r>
    </w:p>
    <w:p w14:paraId="21595F67" w14:textId="77777777" w:rsidR="00CF69E5" w:rsidRDefault="00CF69E5" w:rsidP="00CF69E5">
      <w:pPr>
        <w:pStyle w:val="NoSpacing"/>
      </w:pPr>
    </w:p>
    <w:p w14:paraId="054B9D39" w14:textId="2F2CFF68" w:rsidR="00CF69E5" w:rsidRDefault="00CF69E5" w:rsidP="00CF69E5">
      <w:pPr>
        <w:pStyle w:val="NoSpacing"/>
      </w:pPr>
      <w:r>
        <w:t>Q.</w:t>
      </w:r>
      <w:r>
        <w:tab/>
      </w:r>
      <w:r w:rsidRPr="00CF69E5">
        <w:rPr>
          <w:b/>
        </w:rPr>
        <w:t>Why is this a useful definition of a major rate base addition?</w:t>
      </w:r>
    </w:p>
    <w:p w14:paraId="2C621D35" w14:textId="777A25EB" w:rsidR="00CF69E5" w:rsidRDefault="00CF69E5" w:rsidP="00CF69E5">
      <w:pPr>
        <w:pStyle w:val="NoSpacing"/>
      </w:pPr>
      <w:r>
        <w:t>A.</w:t>
      </w:r>
      <w:r>
        <w:tab/>
      </w:r>
      <w:r w:rsidR="00B50F09" w:rsidRPr="00B50F09">
        <w:t>This definition of a major rate base addition</w:t>
      </w:r>
      <w:r w:rsidR="00B50F09" w:rsidRPr="00B50F09" w:rsidDel="00480304">
        <w:t xml:space="preserve"> </w:t>
      </w:r>
      <w:r w:rsidR="00B50F09" w:rsidRPr="00B50F09">
        <w:t>has the benefit of considering both whether a project is major in an overall sense (greater than “three million dollars on a total project basis”) and whether it is major relative to the size of the company’s operations in Washington (“greater than five-tenths of one percent of the company's latest year-end Washington-allocated net utility plant in service”).</w:t>
      </w:r>
      <w:r w:rsidR="00DD0F81" w:rsidRPr="00DD0F81">
        <w:rPr>
          <w:vertAlign w:val="superscript"/>
        </w:rPr>
        <w:t xml:space="preserve"> </w:t>
      </w:r>
      <w:r w:rsidR="00DD0F81" w:rsidRPr="00CF69E5">
        <w:rPr>
          <w:vertAlign w:val="superscript"/>
        </w:rPr>
        <w:footnoteReference w:id="14"/>
      </w:r>
      <w:r w:rsidR="00DD0F81">
        <w:t xml:space="preserve"> </w:t>
      </w:r>
    </w:p>
    <w:p w14:paraId="0A8370EE" w14:textId="77777777" w:rsidR="00B50F09" w:rsidRDefault="00B50F09" w:rsidP="00CF69E5">
      <w:pPr>
        <w:pStyle w:val="NoSpacing"/>
      </w:pPr>
    </w:p>
    <w:p w14:paraId="39A8D7C7" w14:textId="2899E287" w:rsidR="00B50F09" w:rsidRDefault="00B50F09" w:rsidP="00B50F09">
      <w:pPr>
        <w:pStyle w:val="Heading8"/>
      </w:pPr>
      <w:r>
        <w:t>Q.</w:t>
      </w:r>
      <w:r>
        <w:tab/>
      </w:r>
      <w:r w:rsidRPr="00B50F09">
        <w:t>What should constitute a “project” with regard to a major rate base adjustment?</w:t>
      </w:r>
    </w:p>
    <w:p w14:paraId="2D9AD995" w14:textId="21006AEC" w:rsidR="00B50F09" w:rsidRDefault="00B50F09" w:rsidP="00B50F09">
      <w:pPr>
        <w:pStyle w:val="NoSpacing"/>
      </w:pPr>
      <w:r>
        <w:t>A.</w:t>
      </w:r>
      <w:r>
        <w:tab/>
      </w:r>
      <w:r w:rsidRPr="00B50F09">
        <w:t>To be considered a major rate base addition, a “project” must be a discrete unit of utility plant-in-service.</w:t>
      </w:r>
      <w:r w:rsidR="00D4273E">
        <w:t xml:space="preserve"> </w:t>
      </w:r>
      <w:r w:rsidRPr="00B50F09">
        <w:t xml:space="preserve"> Avista’s E</w:t>
      </w:r>
      <w:r w:rsidR="00976427">
        <w:t>xpenditure</w:t>
      </w:r>
      <w:r w:rsidRPr="00B50F09">
        <w:t xml:space="preserve"> Requests (“ERs”) appropriately demark this threshold.  Each Business Case presented by Avista’s management to the Capital Budget Planning Committee is composed of at least one ER.  Occasionally, a Business Case presented to the Company’s Capital Budget Planning Committee will include multiple ERs.</w:t>
      </w:r>
      <w:r w:rsidRPr="00B50F09">
        <w:rPr>
          <w:vertAlign w:val="superscript"/>
        </w:rPr>
        <w:footnoteReference w:id="15"/>
      </w:r>
      <w:r w:rsidRPr="00B50F09">
        <w:t xml:space="preserve">  However, the project encapsulated by each ER is capable of being “used and useful”</w:t>
      </w:r>
      <w:r w:rsidR="00976427" w:rsidRPr="00976427">
        <w:rPr>
          <w:vertAlign w:val="superscript"/>
        </w:rPr>
        <w:t xml:space="preserve"> </w:t>
      </w:r>
      <w:r w:rsidRPr="00B50F09">
        <w:t>independent of the operation of other ERs within the same business case.</w:t>
      </w:r>
      <w:r w:rsidR="001434F0" w:rsidRPr="001434F0">
        <w:rPr>
          <w:vertAlign w:val="superscript"/>
        </w:rPr>
        <w:t xml:space="preserve"> </w:t>
      </w:r>
      <w:r w:rsidR="001434F0" w:rsidRPr="00B50F09">
        <w:rPr>
          <w:vertAlign w:val="superscript"/>
        </w:rPr>
        <w:footnoteReference w:id="16"/>
      </w:r>
      <w:r w:rsidRPr="00B50F09">
        <w:t xml:space="preserve">  </w:t>
      </w:r>
      <w:r w:rsidR="001434F0">
        <w:t xml:space="preserve">This is a similar concept to a </w:t>
      </w:r>
      <w:r w:rsidR="001434F0" w:rsidRPr="001434F0">
        <w:t>“retirement unit”, which is defined in Title 18 of the Code of Federal Regulations, Part 201.34, as “those items of gas plant which, when retired, with or without replacement, are accounted for by crediting the book cost thereof to the gas plant account in which included.”</w:t>
      </w:r>
      <w:r w:rsidR="001434F0">
        <w:t xml:space="preserve"> </w:t>
      </w:r>
      <w:r w:rsidR="001434F0" w:rsidRPr="001434F0">
        <w:t xml:space="preserve"> </w:t>
      </w:r>
      <w:r w:rsidRPr="00B50F09">
        <w:t>Therefore, each ER should be considered an independent project.</w:t>
      </w:r>
    </w:p>
    <w:p w14:paraId="32BBE40E" w14:textId="1B2FC6AB" w:rsidR="00855C1F" w:rsidRDefault="00855C1F" w:rsidP="00B50F09">
      <w:pPr>
        <w:pStyle w:val="NoSpacing"/>
      </w:pPr>
    </w:p>
    <w:p w14:paraId="43C94383" w14:textId="7C42E8E6" w:rsidR="00855C1F" w:rsidRDefault="00855C1F" w:rsidP="00A3554A">
      <w:pPr>
        <w:pStyle w:val="Heading2"/>
        <w:numPr>
          <w:ilvl w:val="0"/>
          <w:numId w:val="40"/>
        </w:numPr>
        <w:ind w:left="1440" w:hanging="720"/>
      </w:pPr>
      <w:bookmarkStart w:id="27" w:name="_Toc425419759"/>
      <w:r>
        <w:t>Rate Base Accounting Methodologies</w:t>
      </w:r>
      <w:bookmarkEnd w:id="27"/>
    </w:p>
    <w:p w14:paraId="1DFFE00C" w14:textId="77777777" w:rsidR="00855C1F" w:rsidRDefault="00855C1F" w:rsidP="00B50F09">
      <w:pPr>
        <w:pStyle w:val="NoSpacing"/>
      </w:pPr>
    </w:p>
    <w:p w14:paraId="78AF82E8" w14:textId="61CC71AC" w:rsidR="00855C1F" w:rsidRDefault="00855C1F" w:rsidP="00107771">
      <w:pPr>
        <w:pStyle w:val="Heading8"/>
      </w:pPr>
      <w:r>
        <w:t>Q.</w:t>
      </w:r>
      <w:r>
        <w:tab/>
        <w:t>Has the Commission stated a preferred rate base accounting methodology?</w:t>
      </w:r>
    </w:p>
    <w:p w14:paraId="29D9B21B" w14:textId="023B8E85" w:rsidR="00855C1F" w:rsidRDefault="00855C1F" w:rsidP="00B50F09">
      <w:pPr>
        <w:pStyle w:val="NoSpacing"/>
      </w:pPr>
      <w:r>
        <w:t>A.</w:t>
      </w:r>
      <w:r>
        <w:tab/>
        <w:t>Yes.  The Commission has asserted its preference for the average-of-monthly-averages (AMA) methodology.  This methodology best maintains the matching principle.</w:t>
      </w:r>
    </w:p>
    <w:p w14:paraId="5C7EA98E" w14:textId="77777777" w:rsidR="00855C1F" w:rsidRDefault="00855C1F" w:rsidP="00B50F09">
      <w:pPr>
        <w:pStyle w:val="NoSpacing"/>
      </w:pPr>
    </w:p>
    <w:p w14:paraId="41DA7EB3" w14:textId="3373292D" w:rsidR="00855C1F" w:rsidRDefault="00855C1F" w:rsidP="00107771">
      <w:pPr>
        <w:pStyle w:val="Heading8"/>
      </w:pPr>
      <w:r>
        <w:t>Q.</w:t>
      </w:r>
      <w:r>
        <w:tab/>
        <w:t>What is the matching principle?</w:t>
      </w:r>
    </w:p>
    <w:p w14:paraId="4E483E71" w14:textId="7636E604" w:rsidR="009B3F37" w:rsidRDefault="00855C1F" w:rsidP="00BC0BC5">
      <w:pPr>
        <w:pStyle w:val="NoSpacing"/>
      </w:pPr>
      <w:r>
        <w:t>A.</w:t>
      </w:r>
      <w:r>
        <w:tab/>
      </w:r>
      <w:r w:rsidR="003C2810" w:rsidRPr="003C2810">
        <w:t>The matching principle is an important accounting standard where expenses are recognized in the same period that the revenues occur.</w:t>
      </w:r>
    </w:p>
    <w:p w14:paraId="70FD8821" w14:textId="32CF7233" w:rsidR="009B3F37" w:rsidRDefault="009B3F37" w:rsidP="00B50F09">
      <w:pPr>
        <w:pStyle w:val="NoSpacing"/>
      </w:pPr>
      <w:r>
        <w:tab/>
      </w:r>
      <w:r>
        <w:tab/>
        <w:t>The average-of-monthly-averages rate base accounting method best maintains the matching principle, because the accompanying revenue items</w:t>
      </w:r>
      <w:r w:rsidR="003C2810">
        <w:t xml:space="preserve"> in the test year</w:t>
      </w:r>
      <w:r>
        <w:t xml:space="preserve"> are also reported as averages throughout the test year.</w:t>
      </w:r>
      <w:r w:rsidR="003C2810">
        <w:t xml:space="preserve">  Thus, they are “matched.”</w:t>
      </w:r>
    </w:p>
    <w:p w14:paraId="7C0325D9" w14:textId="77777777" w:rsidR="00855C1F" w:rsidRDefault="00855C1F" w:rsidP="00B50F09">
      <w:pPr>
        <w:pStyle w:val="NoSpacing"/>
      </w:pPr>
    </w:p>
    <w:p w14:paraId="76BAC1EC" w14:textId="313303BD" w:rsidR="00855C1F" w:rsidRDefault="00855C1F" w:rsidP="003E425E">
      <w:pPr>
        <w:pStyle w:val="Heading8"/>
      </w:pPr>
      <w:r>
        <w:t>Q.</w:t>
      </w:r>
      <w:r>
        <w:tab/>
        <w:t xml:space="preserve">Is there another methodology that is </w:t>
      </w:r>
      <w:r w:rsidR="009B3F37">
        <w:t>occasionally used in a modified historical test year approach</w:t>
      </w:r>
      <w:r>
        <w:t>?</w:t>
      </w:r>
    </w:p>
    <w:p w14:paraId="2446CE8E" w14:textId="2C5EB2B3" w:rsidR="00855C1F" w:rsidRDefault="00855C1F" w:rsidP="00B50F09">
      <w:pPr>
        <w:pStyle w:val="NoSpacing"/>
      </w:pPr>
      <w:r>
        <w:t>A.</w:t>
      </w:r>
      <w:r>
        <w:tab/>
        <w:t xml:space="preserve">Yes.  The end-of-period </w:t>
      </w:r>
      <w:r w:rsidR="009B3F37">
        <w:t xml:space="preserve">(EOP) </w:t>
      </w:r>
      <w:r w:rsidR="003C2810">
        <w:t xml:space="preserve">rate base </w:t>
      </w:r>
      <w:r>
        <w:t xml:space="preserve">accounting method </w:t>
      </w:r>
      <w:r w:rsidR="009B3F37">
        <w:t>is occasionally used in the State of Washington, in limited circumstances.</w:t>
      </w:r>
    </w:p>
    <w:p w14:paraId="24862785" w14:textId="77777777" w:rsidR="00855C1F" w:rsidRDefault="00855C1F" w:rsidP="00B50F09">
      <w:pPr>
        <w:pStyle w:val="NoSpacing"/>
      </w:pPr>
    </w:p>
    <w:p w14:paraId="5196EEFC" w14:textId="624B2C16" w:rsidR="009B3F37" w:rsidRDefault="009B3F37" w:rsidP="009B3F37">
      <w:pPr>
        <w:pStyle w:val="Heading8"/>
      </w:pPr>
      <w:r>
        <w:t>Q.</w:t>
      </w:r>
      <w:r>
        <w:tab/>
        <w:t>Has the Commission stated under what conditions year-end rate base</w:t>
      </w:r>
      <w:r w:rsidR="003C2810">
        <w:t xml:space="preserve"> accounting</w:t>
      </w:r>
      <w:r>
        <w:t xml:space="preserve"> is an appropriate tool?</w:t>
      </w:r>
    </w:p>
    <w:p w14:paraId="265B27EB" w14:textId="47C24C3A" w:rsidR="009B3F37" w:rsidRPr="00654FE7" w:rsidRDefault="009B3F37" w:rsidP="009B3F37">
      <w:pPr>
        <w:pStyle w:val="NoSpacing"/>
      </w:pPr>
      <w:r>
        <w:t>A.</w:t>
      </w:r>
      <w:r>
        <w:tab/>
        <w:t xml:space="preserve">Yes.  </w:t>
      </w:r>
      <w:r w:rsidR="00DD0F81">
        <w:t xml:space="preserve">The Commission’s </w:t>
      </w:r>
      <w:r w:rsidRPr="00654FE7">
        <w:t>Order 08 in Dockets UE-140762, et al. references</w:t>
      </w:r>
      <w:r w:rsidR="00D00DF7">
        <w:t xml:space="preserve"> </w:t>
      </w:r>
      <w:r w:rsidRPr="00654FE7">
        <w:t xml:space="preserve">a 1981 case, </w:t>
      </w:r>
      <w:r w:rsidRPr="00654FE7">
        <w:rPr>
          <w:i/>
        </w:rPr>
        <w:t>WUTC v. Washington Natural Gas</w:t>
      </w:r>
      <w:r w:rsidRPr="00654FE7">
        <w:t>, in which the Commission drew the following conclusion:</w:t>
      </w:r>
    </w:p>
    <w:p w14:paraId="1DE132A6" w14:textId="77777777" w:rsidR="009B3F37" w:rsidRPr="00654FE7" w:rsidRDefault="009B3F37" w:rsidP="009B3F37">
      <w:pPr>
        <w:spacing w:line="264" w:lineRule="auto"/>
        <w:ind w:left="1440" w:right="720"/>
      </w:pPr>
      <w:r w:rsidRPr="00654FE7">
        <w:t>(2) Year-end rate base is an appropriate regulatory tool under one or more of the following conditions:</w:t>
      </w:r>
    </w:p>
    <w:p w14:paraId="6360CC17" w14:textId="77777777" w:rsidR="009B3F37" w:rsidRPr="00654FE7" w:rsidRDefault="009B3F37" w:rsidP="009B3F37">
      <w:pPr>
        <w:spacing w:line="264" w:lineRule="auto"/>
        <w:ind w:left="720" w:right="720"/>
      </w:pPr>
    </w:p>
    <w:p w14:paraId="13827AA1" w14:textId="77777777" w:rsidR="009B3F37" w:rsidRPr="00654FE7" w:rsidRDefault="009B3F37" w:rsidP="009B3F37">
      <w:pPr>
        <w:spacing w:line="264" w:lineRule="auto"/>
        <w:ind w:left="720" w:right="720"/>
      </w:pPr>
      <w:r w:rsidRPr="00654FE7">
        <w:tab/>
      </w:r>
      <w:r w:rsidRPr="00654FE7">
        <w:tab/>
        <w:t>(a) Abnormal growth in plant</w:t>
      </w:r>
    </w:p>
    <w:p w14:paraId="0FA73806" w14:textId="77777777" w:rsidR="009B3F37" w:rsidRPr="00654FE7" w:rsidRDefault="009B3F37" w:rsidP="009B3F37">
      <w:pPr>
        <w:spacing w:line="264" w:lineRule="auto"/>
        <w:ind w:left="720" w:right="720"/>
      </w:pPr>
      <w:r w:rsidRPr="00654FE7">
        <w:tab/>
      </w:r>
      <w:r w:rsidRPr="00654FE7">
        <w:tab/>
        <w:t>(b) Inflation and/or attrition</w:t>
      </w:r>
    </w:p>
    <w:p w14:paraId="1D1D073D" w14:textId="77777777" w:rsidR="009B3F37" w:rsidRPr="00654FE7" w:rsidRDefault="009B3F37" w:rsidP="009B3F37">
      <w:pPr>
        <w:spacing w:line="264" w:lineRule="auto"/>
        <w:ind w:left="720" w:right="720"/>
      </w:pPr>
      <w:r w:rsidRPr="00654FE7">
        <w:tab/>
      </w:r>
      <w:r w:rsidRPr="00654FE7">
        <w:tab/>
        <w:t>(c) As a means to mitigate regulatory lag</w:t>
      </w:r>
    </w:p>
    <w:p w14:paraId="7DAB6674" w14:textId="6840D299" w:rsidR="009B3F37" w:rsidRPr="00654FE7" w:rsidRDefault="009B3F37" w:rsidP="009B3F37">
      <w:pPr>
        <w:spacing w:line="264" w:lineRule="auto"/>
        <w:ind w:left="2160" w:right="720"/>
      </w:pPr>
      <w:r w:rsidRPr="00654FE7">
        <w:t>(d) Failure of utility to earn its authorized rate of return over an historical period.</w:t>
      </w:r>
      <w:r w:rsidR="00D00DF7" w:rsidRPr="00D00DF7">
        <w:rPr>
          <w:rStyle w:val="FootnoteReference"/>
          <w:i/>
        </w:rPr>
        <w:t xml:space="preserve"> </w:t>
      </w:r>
      <w:r w:rsidR="00D00DF7" w:rsidRPr="00654FE7">
        <w:rPr>
          <w:rStyle w:val="FootnoteReference"/>
          <w:i/>
        </w:rPr>
        <w:footnoteReference w:id="17"/>
      </w:r>
    </w:p>
    <w:p w14:paraId="5AA2070E" w14:textId="35F2E91E" w:rsidR="009B3F37" w:rsidRDefault="009B3F37" w:rsidP="00B50F09">
      <w:pPr>
        <w:pStyle w:val="NoSpacing"/>
      </w:pPr>
    </w:p>
    <w:p w14:paraId="3A8C38FF" w14:textId="2C7B0480" w:rsidR="00855C1F" w:rsidRDefault="00855C1F" w:rsidP="003E425E">
      <w:pPr>
        <w:pStyle w:val="Heading8"/>
      </w:pPr>
      <w:r>
        <w:t>Q.</w:t>
      </w:r>
      <w:r>
        <w:tab/>
        <w:t>What is attrition?</w:t>
      </w:r>
    </w:p>
    <w:p w14:paraId="43103260" w14:textId="21B9ED69" w:rsidR="00855C1F" w:rsidRDefault="00855C1F" w:rsidP="00B50F09">
      <w:pPr>
        <w:pStyle w:val="NoSpacing"/>
      </w:pPr>
      <w:r>
        <w:t>A.</w:t>
      </w:r>
      <w:r>
        <w:tab/>
      </w:r>
      <w:r w:rsidR="009B3F37">
        <w:t xml:space="preserve">Staff witness </w:t>
      </w:r>
      <w:r>
        <w:t xml:space="preserve">Mr. McGuire </w:t>
      </w:r>
      <w:r w:rsidR="009B3F37">
        <w:t>defines attrition in his testimony as “the erosion of a company’s rate of return over time because the historical test period relationships in revenues, expenses and rate base does not hold during a future rate year.”</w:t>
      </w:r>
      <w:r w:rsidR="001B3D80">
        <w:rPr>
          <w:rStyle w:val="FootnoteReference"/>
        </w:rPr>
        <w:footnoteReference w:id="18"/>
      </w:r>
      <w:r w:rsidR="00BE3D7A">
        <w:t xml:space="preserve">  Mr. </w:t>
      </w:r>
      <w:r w:rsidR="009B3F37">
        <w:t>McGuire discusses the phenomenon of attrition in great detail</w:t>
      </w:r>
      <w:r w:rsidR="003C2810">
        <w:t xml:space="preserve"> in his testimony</w:t>
      </w:r>
      <w:r w:rsidR="009B3F37">
        <w:t>.</w:t>
      </w:r>
    </w:p>
    <w:p w14:paraId="171F8E8A" w14:textId="77777777" w:rsidR="00855C1F" w:rsidRDefault="00855C1F" w:rsidP="00B50F09">
      <w:pPr>
        <w:pStyle w:val="NoSpacing"/>
      </w:pPr>
    </w:p>
    <w:p w14:paraId="282A8380" w14:textId="068EE475" w:rsidR="00855C1F" w:rsidRDefault="00855C1F" w:rsidP="003E425E">
      <w:pPr>
        <w:pStyle w:val="Heading8"/>
      </w:pPr>
      <w:r>
        <w:t>Q.</w:t>
      </w:r>
      <w:r>
        <w:tab/>
        <w:t>What rate base accounting methodology does Staff use in its pro forma revenue requirements analysis?</w:t>
      </w:r>
    </w:p>
    <w:p w14:paraId="090E2E76" w14:textId="33290D58" w:rsidR="00CC7D90" w:rsidRDefault="00855C1F" w:rsidP="00B50F09">
      <w:pPr>
        <w:pStyle w:val="NoSpacing"/>
      </w:pPr>
      <w:r>
        <w:t>A.</w:t>
      </w:r>
      <w:r>
        <w:tab/>
        <w:t>Staff uses the EOP method</w:t>
      </w:r>
      <w:r w:rsidR="00814F49">
        <w:t xml:space="preserve"> in its </w:t>
      </w:r>
      <w:r w:rsidR="00814F49" w:rsidRPr="00814F49">
        <w:rPr>
          <w:i/>
        </w:rPr>
        <w:t>pro forma</w:t>
      </w:r>
      <w:r w:rsidR="00814F49">
        <w:t xml:space="preserve"> revenue requirement analysis</w:t>
      </w:r>
      <w:r>
        <w:t>.</w:t>
      </w:r>
    </w:p>
    <w:p w14:paraId="346EE616" w14:textId="7C70832C" w:rsidR="00855C1F" w:rsidRDefault="00855C1F" w:rsidP="00B50F09">
      <w:pPr>
        <w:pStyle w:val="NoSpacing"/>
      </w:pPr>
    </w:p>
    <w:p w14:paraId="6D2430BA" w14:textId="5BAA237C" w:rsidR="00855C1F" w:rsidRDefault="00855C1F" w:rsidP="00855C1F">
      <w:pPr>
        <w:pStyle w:val="Heading8"/>
      </w:pPr>
      <w:r>
        <w:t>Q.</w:t>
      </w:r>
      <w:r>
        <w:tab/>
      </w:r>
      <w:r w:rsidRPr="00855C1F">
        <w:t xml:space="preserve">What is the reason for adopting end-of-period (EOP) balances rather than average-of-monthly-averages </w:t>
      </w:r>
      <w:r w:rsidR="003C2810">
        <w:t xml:space="preserve">(AMA) </w:t>
      </w:r>
      <w:r w:rsidRPr="00855C1F">
        <w:t>balances?</w:t>
      </w:r>
    </w:p>
    <w:p w14:paraId="75836058" w14:textId="4327B2F4" w:rsidR="00BB38C9" w:rsidRDefault="00855C1F" w:rsidP="00A3554A">
      <w:pPr>
        <w:pStyle w:val="NoSpacing"/>
      </w:pPr>
      <w:r>
        <w:t>A.</w:t>
      </w:r>
      <w:r>
        <w:tab/>
      </w:r>
      <w:r w:rsidRPr="00855C1F">
        <w:t xml:space="preserve">Staff’s goal is to reflect rate base balances that are likely to exist during the rate year.  Historically, the Commission has preferred AMA rate base calculation, </w:t>
      </w:r>
      <w:r w:rsidR="005141AE">
        <w:t>adhering to the</w:t>
      </w:r>
      <w:r w:rsidRPr="00855C1F">
        <w:t xml:space="preserve"> matching principle.  However, </w:t>
      </w:r>
      <w:r w:rsidR="00654FE7">
        <w:t xml:space="preserve">as </w:t>
      </w:r>
      <w:r w:rsidR="009B3F37">
        <w:t xml:space="preserve">noted </w:t>
      </w:r>
      <w:r w:rsidR="00654FE7">
        <w:t xml:space="preserve">above, </w:t>
      </w:r>
      <w:r w:rsidRPr="00855C1F">
        <w:t>using an EOP approach has been identified as a tool for addressing regulatory lag and</w:t>
      </w:r>
      <w:r w:rsidR="00CC7D90">
        <w:t>, more importantly,</w:t>
      </w:r>
      <w:r w:rsidRPr="00855C1F">
        <w:t xml:space="preserve"> attrition</w:t>
      </w:r>
      <w:r w:rsidR="003E425E">
        <w:t xml:space="preserve">.  </w:t>
      </w:r>
      <w:r w:rsidRPr="00855C1F">
        <w:t>Mr. McGuire identifies</w:t>
      </w:r>
      <w:r w:rsidR="00865435">
        <w:t xml:space="preserve"> the impact of</w:t>
      </w:r>
      <w:r w:rsidRPr="00855C1F">
        <w:t xml:space="preserve"> </w:t>
      </w:r>
      <w:r w:rsidR="003C2810">
        <w:t xml:space="preserve">attrition </w:t>
      </w:r>
      <w:r w:rsidRPr="00855C1F">
        <w:t>in Avista’s natural gas operations</w:t>
      </w:r>
      <w:r w:rsidR="003E425E">
        <w:t xml:space="preserve"> at current rates</w:t>
      </w:r>
      <w:r w:rsidR="005141AE">
        <w:t xml:space="preserve">.  Further, Mr. McGuire </w:t>
      </w:r>
      <w:r w:rsidR="00865435">
        <w:t xml:space="preserve">concludes that attrition may have an impact on the Company’s electric </w:t>
      </w:r>
      <w:r w:rsidR="003E425E">
        <w:t>if the Commission adopts</w:t>
      </w:r>
      <w:r w:rsidR="00107771">
        <w:t xml:space="preserve"> rates based on</w:t>
      </w:r>
      <w:r w:rsidR="003E425E">
        <w:t xml:space="preserve"> Staff’s </w:t>
      </w:r>
      <w:r w:rsidR="003E425E" w:rsidRPr="003E425E">
        <w:rPr>
          <w:i/>
        </w:rPr>
        <w:t>pro forma</w:t>
      </w:r>
      <w:r w:rsidR="003E425E">
        <w:t xml:space="preserve"> revenue requirement</w:t>
      </w:r>
      <w:r w:rsidRPr="00855C1F">
        <w:t xml:space="preserve">.  Exhausting </w:t>
      </w:r>
      <w:r w:rsidR="00D3092D">
        <w:t xml:space="preserve">a </w:t>
      </w:r>
      <w:r w:rsidRPr="00855C1F">
        <w:t>long-accepted tool</w:t>
      </w:r>
      <w:r w:rsidR="00D3092D">
        <w:t>, such as EOP,</w:t>
      </w:r>
      <w:r w:rsidRPr="00855C1F">
        <w:t xml:space="preserve"> is appropriate prior to entertaining an even more extraordinary tool</w:t>
      </w:r>
      <w:r w:rsidR="00750B19">
        <w:t>,</w:t>
      </w:r>
      <w:r w:rsidRPr="00855C1F">
        <w:t xml:space="preserve"> such as an attrition allowance.</w:t>
      </w:r>
    </w:p>
    <w:p w14:paraId="4516AE46" w14:textId="77777777" w:rsidR="00D00DF7" w:rsidRPr="00F720F8" w:rsidRDefault="00D00DF7" w:rsidP="00320EDE">
      <w:pPr>
        <w:pStyle w:val="NoSpacing"/>
      </w:pPr>
    </w:p>
    <w:p w14:paraId="4C837BD2" w14:textId="77777777" w:rsidR="008E0C42" w:rsidRDefault="002752E0" w:rsidP="008F38DE">
      <w:pPr>
        <w:pStyle w:val="Heading1"/>
        <w:rPr>
          <w:caps/>
        </w:rPr>
      </w:pPr>
      <w:bookmarkStart w:id="28" w:name="_Toc425419760"/>
      <w:r w:rsidRPr="002752E0">
        <w:rPr>
          <w:caps/>
        </w:rPr>
        <w:t>Capital Additions in the Final Three Months of 2014</w:t>
      </w:r>
      <w:bookmarkEnd w:id="28"/>
    </w:p>
    <w:p w14:paraId="611D16DD" w14:textId="77777777" w:rsidR="009A2EC2" w:rsidRPr="00F720F8" w:rsidRDefault="009A2EC2" w:rsidP="004A27B2">
      <w:pPr>
        <w:pStyle w:val="NoSpacing"/>
      </w:pPr>
    </w:p>
    <w:p w14:paraId="350EB969" w14:textId="2155292F" w:rsidR="005D09AB" w:rsidRPr="00F720F8" w:rsidRDefault="008E0C42" w:rsidP="00A3554A">
      <w:pPr>
        <w:pStyle w:val="Heading2"/>
        <w:numPr>
          <w:ilvl w:val="0"/>
          <w:numId w:val="37"/>
        </w:numPr>
        <w:ind w:left="1440" w:hanging="720"/>
      </w:pPr>
      <w:bookmarkStart w:id="29" w:name="_Toc424808480"/>
      <w:bookmarkStart w:id="30" w:name="_Toc424808501"/>
      <w:bookmarkStart w:id="31" w:name="_Toc425419761"/>
      <w:r>
        <w:t xml:space="preserve">Electric </w:t>
      </w:r>
      <w:r w:rsidR="00E305A4" w:rsidRPr="00F720F8">
        <w:t>Adjustment 3.</w:t>
      </w:r>
      <w:r>
        <w:t>11</w:t>
      </w:r>
      <w:bookmarkEnd w:id="29"/>
      <w:bookmarkEnd w:id="30"/>
      <w:bookmarkEnd w:id="31"/>
    </w:p>
    <w:p w14:paraId="74AF10C0" w14:textId="77777777" w:rsidR="00E305A4" w:rsidRPr="00F720F8" w:rsidRDefault="00E305A4" w:rsidP="001868DA">
      <w:pPr>
        <w:pStyle w:val="NoSpacing"/>
      </w:pPr>
    </w:p>
    <w:p w14:paraId="10EBC42B" w14:textId="0E17DB67" w:rsidR="005D09AB" w:rsidRPr="00F720F8" w:rsidRDefault="005D09AB" w:rsidP="005D09AB">
      <w:pPr>
        <w:pStyle w:val="Heading8"/>
      </w:pPr>
      <w:r w:rsidRPr="00F720F8">
        <w:t>Q.</w:t>
      </w:r>
      <w:r w:rsidRPr="00F720F8">
        <w:tab/>
      </w:r>
      <w:r w:rsidR="000140A9">
        <w:t>Please describe the purpose of this adjustment.</w:t>
      </w:r>
    </w:p>
    <w:p w14:paraId="4D840399" w14:textId="56D285C4" w:rsidR="00394EF6" w:rsidRDefault="005D09AB" w:rsidP="005D09AB">
      <w:pPr>
        <w:pStyle w:val="NoSpacing"/>
      </w:pPr>
      <w:r w:rsidRPr="00F720F8">
        <w:t>A.</w:t>
      </w:r>
      <w:r w:rsidRPr="00F720F8">
        <w:tab/>
      </w:r>
      <w:r w:rsidR="000140A9">
        <w:t>This adjustment “pro forms” actual</w:t>
      </w:r>
      <w:r w:rsidR="00610FA8">
        <w:t xml:space="preserve"> electric</w:t>
      </w:r>
      <w:r w:rsidR="000140A9">
        <w:t xml:space="preserve"> transfers to plant in the final three months of calendar year 2014</w:t>
      </w:r>
      <w:r w:rsidR="008D7FDA">
        <w:t>.</w:t>
      </w:r>
    </w:p>
    <w:p w14:paraId="6C0D4E49" w14:textId="77777777" w:rsidR="000140A9" w:rsidRDefault="000140A9" w:rsidP="005D09AB">
      <w:pPr>
        <w:pStyle w:val="NoSpacing"/>
      </w:pPr>
    </w:p>
    <w:p w14:paraId="1B496C2D" w14:textId="0F34332D" w:rsidR="000140A9" w:rsidRDefault="000140A9" w:rsidP="001868DA">
      <w:pPr>
        <w:pStyle w:val="Heading8"/>
      </w:pPr>
      <w:r>
        <w:t>Q.</w:t>
      </w:r>
      <w:r>
        <w:tab/>
        <w:t xml:space="preserve">Did the Company have </w:t>
      </w:r>
      <w:r w:rsidR="00865435">
        <w:t xml:space="preserve">a </w:t>
      </w:r>
      <w:r w:rsidR="00EA5826">
        <w:t>similar</w:t>
      </w:r>
      <w:r>
        <w:t xml:space="preserve"> adjustment in their initial</w:t>
      </w:r>
      <w:r w:rsidR="001868DA">
        <w:t xml:space="preserve"> and updated Pro Forma Cross Check studies</w:t>
      </w:r>
      <w:r>
        <w:t>?</w:t>
      </w:r>
    </w:p>
    <w:p w14:paraId="41E3618D" w14:textId="5CBFAE0A" w:rsidR="007C2953" w:rsidRDefault="000140A9" w:rsidP="00356B17">
      <w:pPr>
        <w:pStyle w:val="NoSpacing"/>
      </w:pPr>
      <w:r>
        <w:t>A.</w:t>
      </w:r>
      <w:r>
        <w:tab/>
        <w:t>Yes</w:t>
      </w:r>
      <w:r w:rsidR="00D4273E">
        <w:t>; this analogous adjustment was also referred to as electric Adjustment 3.11 in its Pro Forma Cross Check study</w:t>
      </w:r>
      <w:r>
        <w:t xml:space="preserve">.  However, the Company did not have </w:t>
      </w:r>
      <w:r w:rsidR="001868DA">
        <w:t xml:space="preserve">actual figures available at the time </w:t>
      </w:r>
      <w:r w:rsidR="00373839">
        <w:t xml:space="preserve">of the initial </w:t>
      </w:r>
      <w:r w:rsidR="001868DA">
        <w:t>filing</w:t>
      </w:r>
      <w:r w:rsidR="00373839">
        <w:t>; in</w:t>
      </w:r>
      <w:r w:rsidR="00610FA8">
        <w:t>stead</w:t>
      </w:r>
      <w:r w:rsidR="001868DA">
        <w:t xml:space="preserve">, the Company used projected figures.  </w:t>
      </w:r>
      <w:r w:rsidR="007F6D90">
        <w:t>T</w:t>
      </w:r>
      <w:r w:rsidR="001868DA">
        <w:t>he Company</w:t>
      </w:r>
      <w:r w:rsidR="00EA5826">
        <w:t xml:space="preserve"> later</w:t>
      </w:r>
      <w:r w:rsidR="001868DA">
        <w:t xml:space="preserve"> </w:t>
      </w:r>
      <w:r w:rsidR="00CD670B">
        <w:t>updated these numbers through</w:t>
      </w:r>
      <w:r w:rsidR="001868DA">
        <w:t xml:space="preserve"> </w:t>
      </w:r>
      <w:r w:rsidR="00EA5826">
        <w:t>electric A</w:t>
      </w:r>
      <w:r w:rsidR="00CD670B">
        <w:t>djustment 3.12U</w:t>
      </w:r>
      <w:r w:rsidR="001868DA">
        <w:t xml:space="preserve"> in its response to Staff Data Request </w:t>
      </w:r>
      <w:r w:rsidR="00865435">
        <w:t xml:space="preserve">No. </w:t>
      </w:r>
      <w:r w:rsidR="001868DA">
        <w:t>131.</w:t>
      </w:r>
      <w:r w:rsidR="00CD670B">
        <w:t xml:space="preserve">  </w:t>
      </w:r>
    </w:p>
    <w:p w14:paraId="22A3A310" w14:textId="5D80BCEC" w:rsidR="000140A9" w:rsidRDefault="007F6D90" w:rsidP="005D09AB">
      <w:pPr>
        <w:pStyle w:val="NoSpacing"/>
      </w:pPr>
      <w:r>
        <w:tab/>
      </w:r>
      <w:r>
        <w:tab/>
      </w:r>
      <w:r w:rsidR="00EA5826">
        <w:t xml:space="preserve">For easier comparison to the Company’s original filing, Staff presents Adjustment 3.11 as the </w:t>
      </w:r>
      <w:r w:rsidR="00EA5826" w:rsidRPr="007C2953">
        <w:rPr>
          <w:u w:val="single"/>
        </w:rPr>
        <w:t>actual</w:t>
      </w:r>
      <w:r w:rsidR="00EA5826">
        <w:t xml:space="preserve"> </w:t>
      </w:r>
      <w:r w:rsidR="00CA618A">
        <w:t xml:space="preserve">electric </w:t>
      </w:r>
      <w:r w:rsidR="00EA5826">
        <w:t>capital additions made in the final three months of 2014.</w:t>
      </w:r>
    </w:p>
    <w:p w14:paraId="0CD6BFB5" w14:textId="2B68CA08" w:rsidR="003469C6" w:rsidRDefault="003469C6" w:rsidP="005D09AB">
      <w:pPr>
        <w:pStyle w:val="NoSpacing"/>
      </w:pPr>
    </w:p>
    <w:p w14:paraId="047F86F3" w14:textId="342E1840" w:rsidR="003469C6" w:rsidRDefault="003469C6" w:rsidP="003469C6">
      <w:pPr>
        <w:pStyle w:val="Heading8"/>
      </w:pPr>
      <w:r>
        <w:t>Q.</w:t>
      </w:r>
      <w:r>
        <w:tab/>
        <w:t xml:space="preserve">How does Staff incorporate these actual capital addition figures in its </w:t>
      </w:r>
      <w:r>
        <w:rPr>
          <w:i/>
        </w:rPr>
        <w:t xml:space="preserve">pro forma </w:t>
      </w:r>
      <w:r>
        <w:t>revenue requirements analysis?</w:t>
      </w:r>
    </w:p>
    <w:p w14:paraId="3B9E7AEF" w14:textId="15D52DC8" w:rsidR="00416A6E" w:rsidRDefault="003469C6" w:rsidP="005D09AB">
      <w:pPr>
        <w:pStyle w:val="NoSpacing"/>
      </w:pPr>
      <w:r>
        <w:t>A.</w:t>
      </w:r>
      <w:r>
        <w:tab/>
        <w:t xml:space="preserve">Staff </w:t>
      </w:r>
      <w:r w:rsidR="00416A6E" w:rsidRPr="00416A6E">
        <w:t>“</w:t>
      </w:r>
      <w:r w:rsidRPr="00416A6E">
        <w:t>pro form</w:t>
      </w:r>
      <w:r w:rsidR="00416A6E" w:rsidRPr="00416A6E">
        <w:t>s”</w:t>
      </w:r>
      <w:r>
        <w:t xml:space="preserve"> capital additions between the end of the test year and December 31, 2014 on a </w:t>
      </w:r>
      <w:r w:rsidRPr="003469C6">
        <w:rPr>
          <w:i/>
        </w:rPr>
        <w:t>prima facie</w:t>
      </w:r>
      <w:r>
        <w:t xml:space="preserve"> basis, regardless of size.  These capital additions were </w:t>
      </w:r>
      <w:r w:rsidR="00865435">
        <w:t xml:space="preserve">demonstrated to be </w:t>
      </w:r>
      <w:r>
        <w:t xml:space="preserve">used and useful to Washington ratepayers prior to the Company’s filing of this case, and were known and </w:t>
      </w:r>
      <w:r w:rsidR="008F3D16">
        <w:t xml:space="preserve">measurable </w:t>
      </w:r>
      <w:r>
        <w:t>shortly afterward.</w:t>
      </w:r>
      <w:r w:rsidR="00466228">
        <w:rPr>
          <w:rStyle w:val="FootnoteReference"/>
        </w:rPr>
        <w:footnoteReference w:id="19"/>
      </w:r>
    </w:p>
    <w:p w14:paraId="4DE834C3" w14:textId="77777777" w:rsidR="00416A6E" w:rsidRDefault="00416A6E" w:rsidP="005D09AB">
      <w:pPr>
        <w:pStyle w:val="NoSpacing"/>
      </w:pPr>
    </w:p>
    <w:p w14:paraId="566D24EA" w14:textId="28327856" w:rsidR="003469C6" w:rsidRDefault="00416A6E" w:rsidP="00416A6E">
      <w:pPr>
        <w:pStyle w:val="Heading8"/>
      </w:pPr>
      <w:r>
        <w:t>Q.</w:t>
      </w:r>
      <w:r>
        <w:tab/>
        <w:t>How does this compare to the Company’s initial Pro Forma Cross Check Study?</w:t>
      </w:r>
    </w:p>
    <w:p w14:paraId="554FA1F0" w14:textId="2803298F" w:rsidR="00416A6E" w:rsidRDefault="00416A6E" w:rsidP="005D09AB">
      <w:pPr>
        <w:pStyle w:val="NoSpacing"/>
      </w:pPr>
      <w:r>
        <w:t>A.</w:t>
      </w:r>
      <w:r>
        <w:tab/>
        <w:t xml:space="preserve">The Company </w:t>
      </w:r>
      <w:r w:rsidR="00610FA8">
        <w:t xml:space="preserve">dramatically </w:t>
      </w:r>
      <w:r>
        <w:t xml:space="preserve">overestimated the size of the capital additions that would be transferred into service the final three months of 2014.  </w:t>
      </w:r>
      <w:r w:rsidR="00617941">
        <w:t>T</w:t>
      </w:r>
      <w:r>
        <w:t xml:space="preserve">he Company </w:t>
      </w:r>
      <w:r w:rsidR="00865435">
        <w:t xml:space="preserve">then </w:t>
      </w:r>
      <w:r>
        <w:t>projected that the net effect of capital projects transferred to plant during this period would increase rate base by over $35.0 million.  In fact, rate base shr</w:t>
      </w:r>
      <w:r w:rsidR="002635D7">
        <w:t>a</w:t>
      </w:r>
      <w:r>
        <w:t>nk by over $4.3 million during this three month period.</w:t>
      </w:r>
      <w:r w:rsidR="005A2D46">
        <w:t xml:space="preserve"> </w:t>
      </w:r>
      <w:r w:rsidR="000274D0">
        <w:t xml:space="preserve"> </w:t>
      </w:r>
      <w:r w:rsidR="005A2D46">
        <w:t xml:space="preserve">My adjustment reflects this reduction in rate base. </w:t>
      </w:r>
    </w:p>
    <w:p w14:paraId="4987D5DF" w14:textId="77777777" w:rsidR="00416A6E" w:rsidRDefault="00416A6E" w:rsidP="005D09AB">
      <w:pPr>
        <w:pStyle w:val="NoSpacing"/>
      </w:pPr>
    </w:p>
    <w:p w14:paraId="25D97093" w14:textId="77777777" w:rsidR="00416A6E" w:rsidRDefault="00416A6E" w:rsidP="00617941">
      <w:pPr>
        <w:pStyle w:val="Heading8"/>
      </w:pPr>
      <w:r>
        <w:t>Q.</w:t>
      </w:r>
      <w:r>
        <w:tab/>
        <w:t>What is the effect on net operating income due to this adjustment?</w:t>
      </w:r>
    </w:p>
    <w:p w14:paraId="72B11157" w14:textId="165BF097" w:rsidR="00416A6E" w:rsidRDefault="00416A6E" w:rsidP="005D09AB">
      <w:pPr>
        <w:pStyle w:val="NoSpacing"/>
      </w:pPr>
      <w:r>
        <w:t>A.</w:t>
      </w:r>
      <w:r>
        <w:tab/>
      </w:r>
      <w:r w:rsidR="00617941">
        <w:t>This adjustment reduces net operating income by $1,438,000</w:t>
      </w:r>
      <w:r w:rsidR="002635D7">
        <w:t xml:space="preserve"> relative to the test year</w:t>
      </w:r>
      <w:r w:rsidR="00617941">
        <w:t>.</w:t>
      </w:r>
    </w:p>
    <w:p w14:paraId="1C3A8ABC" w14:textId="4DB20227" w:rsidR="00BB429E" w:rsidRDefault="00BB429E" w:rsidP="005D09AB">
      <w:pPr>
        <w:pStyle w:val="NoSpacing"/>
      </w:pPr>
    </w:p>
    <w:p w14:paraId="01C3C039" w14:textId="6C8E8A14" w:rsidR="00BB429E" w:rsidRDefault="00BB429E" w:rsidP="00A3554A">
      <w:pPr>
        <w:pStyle w:val="Heading2"/>
        <w:numPr>
          <w:ilvl w:val="0"/>
          <w:numId w:val="37"/>
        </w:numPr>
        <w:ind w:left="1440" w:hanging="720"/>
      </w:pPr>
      <w:bookmarkStart w:id="32" w:name="_Toc425419762"/>
      <w:r>
        <w:t>Natural Gas Adjustment 3.07</w:t>
      </w:r>
      <w:bookmarkEnd w:id="32"/>
    </w:p>
    <w:p w14:paraId="14FDED8A" w14:textId="77777777" w:rsidR="00BB429E" w:rsidRDefault="00BB429E" w:rsidP="00BB429E">
      <w:pPr>
        <w:pStyle w:val="NoSpacing"/>
      </w:pPr>
    </w:p>
    <w:p w14:paraId="358C4D49" w14:textId="4815BA4E" w:rsidR="00BB429E" w:rsidRDefault="00BB429E" w:rsidP="00BB429E">
      <w:pPr>
        <w:pStyle w:val="Heading8"/>
      </w:pPr>
      <w:r>
        <w:t>Q.</w:t>
      </w:r>
      <w:r>
        <w:tab/>
      </w:r>
      <w:r w:rsidR="00610FA8">
        <w:t>What is the purpose of this adjustment?</w:t>
      </w:r>
    </w:p>
    <w:p w14:paraId="34C499CC" w14:textId="5B84F7DF" w:rsidR="00BB429E" w:rsidRDefault="00BB429E" w:rsidP="00BB429E">
      <w:pPr>
        <w:pStyle w:val="NoSpacing"/>
      </w:pPr>
      <w:r>
        <w:t>A.</w:t>
      </w:r>
      <w:r>
        <w:tab/>
      </w:r>
      <w:r w:rsidR="00610FA8" w:rsidRPr="00610FA8">
        <w:t xml:space="preserve">This adjustment “pro forms” actual </w:t>
      </w:r>
      <w:r w:rsidR="00610FA8">
        <w:t>natural gas</w:t>
      </w:r>
      <w:r w:rsidR="00610FA8" w:rsidRPr="00610FA8">
        <w:t xml:space="preserve"> transfers to plant in the final three months of calendar year 2014.</w:t>
      </w:r>
    </w:p>
    <w:p w14:paraId="43275529" w14:textId="4314DC7A" w:rsidR="00A82409" w:rsidRDefault="00A82409" w:rsidP="00BB429E">
      <w:pPr>
        <w:pStyle w:val="NoSpacing"/>
      </w:pPr>
    </w:p>
    <w:p w14:paraId="62EDC3A1" w14:textId="16CB84C1" w:rsidR="00A82409" w:rsidRDefault="00A82409" w:rsidP="00A82409">
      <w:pPr>
        <w:pStyle w:val="Heading8"/>
      </w:pPr>
      <w:r>
        <w:t>Q.</w:t>
      </w:r>
      <w:r>
        <w:tab/>
        <w:t xml:space="preserve">Did the Company have a </w:t>
      </w:r>
      <w:r w:rsidR="00CA618A">
        <w:t>similar</w:t>
      </w:r>
      <w:r>
        <w:t xml:space="preserve"> adjustment in their initial and updated Pro Forma Cross Check studies?</w:t>
      </w:r>
    </w:p>
    <w:p w14:paraId="5A8042AC" w14:textId="7B21744D" w:rsidR="00CA618A" w:rsidRDefault="00A82409" w:rsidP="00356B17">
      <w:pPr>
        <w:pStyle w:val="NoSpacing"/>
      </w:pPr>
      <w:r>
        <w:t>A.</w:t>
      </w:r>
      <w:r>
        <w:tab/>
        <w:t>Yes</w:t>
      </w:r>
      <w:r w:rsidR="00D4273E">
        <w:t xml:space="preserve">; this </w:t>
      </w:r>
      <w:r w:rsidR="00CA618A">
        <w:t xml:space="preserve">similar </w:t>
      </w:r>
      <w:r w:rsidR="00D4273E">
        <w:t>adjustment was also referred to as natural gas Adjustment 3.07 in its Pro Forma Cross Check study</w:t>
      </w:r>
      <w:r>
        <w:t xml:space="preserve">.  However, similar to Electric Adjustment 3.11, the Company did not have actual figures available to it at the time it made its </w:t>
      </w:r>
      <w:r w:rsidR="00CA618A">
        <w:t>initial</w:t>
      </w:r>
      <w:r>
        <w:t xml:space="preserve"> filing.  Instead, the Company used projected figures.  </w:t>
      </w:r>
      <w:r w:rsidR="00CA618A">
        <w:t xml:space="preserve">The Company later updated these numbers through natural gas Adjustment 3.07U in its response to Staff Data Request </w:t>
      </w:r>
      <w:r w:rsidR="005A2D46">
        <w:t xml:space="preserve">No. </w:t>
      </w:r>
      <w:r w:rsidR="00CA618A">
        <w:t>131.</w:t>
      </w:r>
      <w:r w:rsidR="00356B17">
        <w:t xml:space="preserve">  </w:t>
      </w:r>
    </w:p>
    <w:p w14:paraId="5676D6DF" w14:textId="2A90266D" w:rsidR="00A82409" w:rsidRDefault="00CA618A" w:rsidP="00A82409">
      <w:pPr>
        <w:pStyle w:val="NoSpacing"/>
      </w:pPr>
      <w:r>
        <w:tab/>
      </w:r>
      <w:r>
        <w:tab/>
        <w:t xml:space="preserve">For easier comparison to the Company’s original filing, Staff presents Adjustment 3.07 as the </w:t>
      </w:r>
      <w:r w:rsidRPr="007C2953">
        <w:rPr>
          <w:u w:val="single"/>
        </w:rPr>
        <w:t>actual</w:t>
      </w:r>
      <w:r>
        <w:t xml:space="preserve"> natural gas capital additions made in the final three months of 2014.</w:t>
      </w:r>
    </w:p>
    <w:p w14:paraId="281E0B9E" w14:textId="77777777" w:rsidR="00A82409" w:rsidRDefault="00A82409" w:rsidP="00A82409">
      <w:pPr>
        <w:pStyle w:val="NoSpacing"/>
      </w:pPr>
    </w:p>
    <w:p w14:paraId="23B087BD" w14:textId="77777777" w:rsidR="00A82409" w:rsidRDefault="00A82409" w:rsidP="00A82409">
      <w:pPr>
        <w:pStyle w:val="Heading8"/>
      </w:pPr>
      <w:r>
        <w:t>Q.</w:t>
      </w:r>
      <w:r>
        <w:tab/>
        <w:t xml:space="preserve">How does Staff incorporate these actual capital addition figures in its </w:t>
      </w:r>
      <w:r>
        <w:rPr>
          <w:i/>
        </w:rPr>
        <w:t xml:space="preserve">pro forma </w:t>
      </w:r>
      <w:r>
        <w:t>revenue requirements analysis?</w:t>
      </w:r>
    </w:p>
    <w:p w14:paraId="4654213F" w14:textId="79A62AE1" w:rsidR="00A82409" w:rsidRDefault="00A82409" w:rsidP="00A82409">
      <w:pPr>
        <w:pStyle w:val="NoSpacing"/>
      </w:pPr>
      <w:r>
        <w:t>A.</w:t>
      </w:r>
      <w:r>
        <w:tab/>
        <w:t xml:space="preserve">Staff </w:t>
      </w:r>
      <w:r w:rsidRPr="00416A6E">
        <w:t>“pro forms”</w:t>
      </w:r>
      <w:r>
        <w:t xml:space="preserve"> capital additions between the end of the test year and December 31, 2014 on a </w:t>
      </w:r>
      <w:r w:rsidRPr="003469C6">
        <w:rPr>
          <w:i/>
        </w:rPr>
        <w:t>prima facie</w:t>
      </w:r>
      <w:r>
        <w:t xml:space="preserve"> basis, regardless of size.  These capital additions were used and useful to Washington ratepayers prior to the Company’s filing of this case, and were known and measurabl</w:t>
      </w:r>
      <w:r w:rsidR="008F3D16">
        <w:t>e</w:t>
      </w:r>
      <w:r>
        <w:t xml:space="preserve"> shortly afterward.</w:t>
      </w:r>
    </w:p>
    <w:p w14:paraId="248C4195" w14:textId="77777777" w:rsidR="00A82409" w:rsidRDefault="00A82409" w:rsidP="00A82409">
      <w:pPr>
        <w:pStyle w:val="NoSpacing"/>
      </w:pPr>
    </w:p>
    <w:p w14:paraId="33BCC6D9" w14:textId="77777777" w:rsidR="00A82409" w:rsidRDefault="00A82409" w:rsidP="00A82409">
      <w:pPr>
        <w:pStyle w:val="Heading8"/>
      </w:pPr>
      <w:r>
        <w:t>Q.</w:t>
      </w:r>
      <w:r>
        <w:tab/>
        <w:t>How does this compare to the Company’s initial Pro Forma Cross Check Study?</w:t>
      </w:r>
    </w:p>
    <w:p w14:paraId="6C2544E0" w14:textId="0DA0A3E0" w:rsidR="00A82409" w:rsidRDefault="00A82409" w:rsidP="00A82409">
      <w:pPr>
        <w:pStyle w:val="NoSpacing"/>
      </w:pPr>
      <w:r>
        <w:t>A.</w:t>
      </w:r>
      <w:r>
        <w:tab/>
        <w:t xml:space="preserve">The Company </w:t>
      </w:r>
      <w:r w:rsidR="008F3D16">
        <w:t>slightly underestimated</w:t>
      </w:r>
      <w:r>
        <w:t xml:space="preserve"> the size of the capital additions that would be transferred into service the final three months of 2014.  The Company projected that the net effect of capital projects transferred to plant during this period would increase rate base by over </w:t>
      </w:r>
      <w:r w:rsidR="00613A48">
        <w:t>$</w:t>
      </w:r>
      <w:r w:rsidR="008F3D16">
        <w:t>3.0</w:t>
      </w:r>
      <w:r>
        <w:t xml:space="preserve"> million.  In fact, rate base </w:t>
      </w:r>
      <w:r w:rsidR="008F3D16">
        <w:t>increased by $3.4</w:t>
      </w:r>
      <w:r>
        <w:t xml:space="preserve"> million during this three month period.</w:t>
      </w:r>
    </w:p>
    <w:p w14:paraId="6CD0419B" w14:textId="77777777" w:rsidR="00A82409" w:rsidRDefault="00A82409" w:rsidP="00A82409">
      <w:pPr>
        <w:pStyle w:val="NoSpacing"/>
      </w:pPr>
    </w:p>
    <w:p w14:paraId="0C71B772" w14:textId="77777777" w:rsidR="00A82409" w:rsidRDefault="00A82409" w:rsidP="00A82409">
      <w:pPr>
        <w:pStyle w:val="Heading8"/>
      </w:pPr>
      <w:r>
        <w:t>Q.</w:t>
      </w:r>
      <w:r>
        <w:tab/>
        <w:t>What is the effect on net operating income due to this adjustment?</w:t>
      </w:r>
    </w:p>
    <w:p w14:paraId="019745B1" w14:textId="6D1E6765" w:rsidR="00A82409" w:rsidRDefault="00A82409" w:rsidP="00A82409">
      <w:pPr>
        <w:pStyle w:val="NoSpacing"/>
      </w:pPr>
      <w:r>
        <w:t>A.</w:t>
      </w:r>
      <w:r>
        <w:tab/>
        <w:t>This adjustment reduces net operating income by $</w:t>
      </w:r>
      <w:r w:rsidR="00613A48">
        <w:t>359</w:t>
      </w:r>
      <w:r>
        <w:t>,000 relative to the test year.</w:t>
      </w:r>
    </w:p>
    <w:p w14:paraId="5ECF54AE" w14:textId="77777777" w:rsidR="005D09AB" w:rsidRPr="00F720F8" w:rsidRDefault="005D09AB" w:rsidP="005D09AB">
      <w:pPr>
        <w:spacing w:line="480" w:lineRule="auto"/>
        <w:ind w:left="720" w:hanging="720"/>
      </w:pPr>
    </w:p>
    <w:p w14:paraId="113FB7C0" w14:textId="105880F5" w:rsidR="002878E9" w:rsidRDefault="0017417F" w:rsidP="00A3554A">
      <w:pPr>
        <w:pStyle w:val="Heading1"/>
        <w:keepNext/>
        <w:rPr>
          <w:caps/>
        </w:rPr>
      </w:pPr>
      <w:bookmarkStart w:id="33" w:name="_Toc425419763"/>
      <w:r w:rsidRPr="0017417F">
        <w:rPr>
          <w:caps/>
        </w:rPr>
        <w:t>2015 Capital Additions</w:t>
      </w:r>
      <w:bookmarkEnd w:id="33"/>
    </w:p>
    <w:p w14:paraId="1D097EF7" w14:textId="1886F77F" w:rsidR="008E0C42" w:rsidRPr="008E0C42" w:rsidRDefault="008E0C42" w:rsidP="00A3554A">
      <w:pPr>
        <w:pStyle w:val="NoSpacing"/>
        <w:keepNext/>
        <w:jc w:val="center"/>
        <w:rPr>
          <w:b/>
        </w:rPr>
      </w:pPr>
      <w:r w:rsidRPr="008E0C42">
        <w:rPr>
          <w:b/>
        </w:rPr>
        <w:t>Electric and Natural Gas Adjustments 4.01</w:t>
      </w:r>
    </w:p>
    <w:p w14:paraId="20AD660A" w14:textId="4A781437" w:rsidR="00CA40A7" w:rsidRDefault="00CA40A7" w:rsidP="00A3554A">
      <w:pPr>
        <w:pStyle w:val="NoSpacing"/>
        <w:keepNext/>
      </w:pPr>
    </w:p>
    <w:p w14:paraId="6933EFFA" w14:textId="10ECAB4A" w:rsidR="00107771" w:rsidRDefault="00107771" w:rsidP="00D4273E">
      <w:pPr>
        <w:pStyle w:val="Heading8"/>
      </w:pPr>
      <w:r>
        <w:t>Q.</w:t>
      </w:r>
      <w:r>
        <w:tab/>
        <w:t>Previously</w:t>
      </w:r>
      <w:r w:rsidR="00E025FB">
        <w:t xml:space="preserve">, </w:t>
      </w:r>
      <w:r>
        <w:t>you defined the standard for major capital addition</w:t>
      </w:r>
      <w:r w:rsidR="00D4273E">
        <w:t>s</w:t>
      </w:r>
      <w:r>
        <w:t>.  Which projects in 2015 meet this standard?</w:t>
      </w:r>
    </w:p>
    <w:p w14:paraId="16D3FD0D" w14:textId="3367916A" w:rsidR="00107771" w:rsidRPr="00107771" w:rsidRDefault="00107771" w:rsidP="00107771">
      <w:pPr>
        <w:pStyle w:val="NoSpacing"/>
        <w:rPr>
          <w:u w:val="single"/>
        </w:rPr>
      </w:pPr>
      <w:r>
        <w:t>A.</w:t>
      </w:r>
      <w:r>
        <w:tab/>
      </w:r>
      <w:r w:rsidRPr="00107771">
        <w:t xml:space="preserve">Avista has nine electric ERs, and seven natural gas ERs, that qualify as major by this approach.  Two of these ERs apply to both industries.  These ERs are listed in the table below, and are discussed in the testimony of Staff witness Mr. Gomez.  </w:t>
      </w:r>
      <w:r w:rsidRPr="00D4273E">
        <w:t>Note that the values below represent the Washington-allocated share</w:t>
      </w:r>
      <w:r w:rsidR="005A2D46">
        <w:t xml:space="preserve"> for each ER </w:t>
      </w:r>
      <w:r w:rsidRPr="00D4273E">
        <w:rPr>
          <w:i/>
        </w:rPr>
        <w:t>as proposed by the Company</w:t>
      </w:r>
      <w:r w:rsidRPr="00D4273E">
        <w:t xml:space="preserve"> – not the figures Staff is supporting as 2015 transfers to plant.</w:t>
      </w:r>
    </w:p>
    <w:p w14:paraId="5D9FA168" w14:textId="77777777" w:rsidR="00107771" w:rsidRPr="00107771" w:rsidRDefault="00107771" w:rsidP="00107771">
      <w:pPr>
        <w:pStyle w:val="NoSpacing"/>
      </w:pPr>
    </w:p>
    <w:p w14:paraId="4FFFE9C6" w14:textId="68E33671" w:rsidR="00107771" w:rsidRPr="00107771" w:rsidRDefault="00107771" w:rsidP="00BB43F8">
      <w:pPr>
        <w:pStyle w:val="NoSpacing"/>
        <w:keepNext/>
        <w:keepLines/>
        <w:jc w:val="center"/>
        <w:rPr>
          <w:b/>
        </w:rPr>
      </w:pPr>
      <w:r w:rsidRPr="00107771">
        <w:rPr>
          <w:b/>
        </w:rPr>
        <w:t xml:space="preserve">Table </w:t>
      </w:r>
      <w:r>
        <w:rPr>
          <w:b/>
        </w:rPr>
        <w:t>3</w:t>
      </w:r>
      <w:r w:rsidRPr="00107771">
        <w:rPr>
          <w:b/>
        </w:rPr>
        <w:t xml:space="preserve"> – Major 2015</w:t>
      </w:r>
      <w:r>
        <w:rPr>
          <w:b/>
        </w:rPr>
        <w:t xml:space="preserve"> </w:t>
      </w:r>
      <w:r w:rsidRPr="00107771">
        <w:rPr>
          <w:b/>
          <w:i/>
        </w:rPr>
        <w:t>Pro Forma</w:t>
      </w:r>
      <w:r w:rsidRPr="00107771">
        <w:rPr>
          <w:b/>
        </w:rPr>
        <w:t xml:space="preserve"> Transfers to Plant, as Proposed by Avista</w:t>
      </w:r>
    </w:p>
    <w:tbl>
      <w:tblPr>
        <w:tblW w:w="9820" w:type="dxa"/>
        <w:tblLook w:val="04A0" w:firstRow="1" w:lastRow="0" w:firstColumn="1" w:lastColumn="0" w:noHBand="0" w:noVBand="1"/>
      </w:tblPr>
      <w:tblGrid>
        <w:gridCol w:w="656"/>
        <w:gridCol w:w="6200"/>
        <w:gridCol w:w="1701"/>
        <w:gridCol w:w="1591"/>
      </w:tblGrid>
      <w:tr w:rsidR="00DA6E91" w:rsidRPr="00DA6E91" w14:paraId="56C98D55" w14:textId="77777777" w:rsidTr="00DA6E91">
        <w:trPr>
          <w:trHeight w:val="315"/>
        </w:trPr>
        <w:tc>
          <w:tcPr>
            <w:tcW w:w="520" w:type="dxa"/>
            <w:tcBorders>
              <w:top w:val="nil"/>
              <w:left w:val="nil"/>
              <w:bottom w:val="single" w:sz="8" w:space="0" w:color="auto"/>
              <w:right w:val="single" w:sz="8" w:space="0" w:color="auto"/>
            </w:tcBorders>
            <w:shd w:val="clear" w:color="000000" w:fill="000000"/>
            <w:vAlign w:val="center"/>
            <w:hideMark/>
          </w:tcPr>
          <w:p w14:paraId="41E1320C" w14:textId="77777777" w:rsidR="00DA6E91" w:rsidRPr="00DA6E91" w:rsidRDefault="00DA6E91" w:rsidP="00BB43F8">
            <w:pPr>
              <w:keepNext/>
              <w:keepLines/>
              <w:jc w:val="center"/>
              <w:rPr>
                <w:rFonts w:eastAsia="Times New Roman"/>
                <w:b/>
                <w:bCs/>
                <w:color w:val="FFFFFF"/>
                <w:sz w:val="22"/>
                <w:szCs w:val="22"/>
              </w:rPr>
            </w:pPr>
            <w:r w:rsidRPr="00DA6E91">
              <w:rPr>
                <w:rFonts w:eastAsia="Times New Roman"/>
                <w:b/>
                <w:bCs/>
                <w:color w:val="FFFFFF"/>
                <w:sz w:val="22"/>
                <w:szCs w:val="22"/>
              </w:rPr>
              <w:t>ER</w:t>
            </w:r>
          </w:p>
        </w:tc>
        <w:tc>
          <w:tcPr>
            <w:tcW w:w="6200" w:type="dxa"/>
            <w:tcBorders>
              <w:top w:val="nil"/>
              <w:left w:val="nil"/>
              <w:bottom w:val="single" w:sz="8" w:space="0" w:color="auto"/>
              <w:right w:val="single" w:sz="8" w:space="0" w:color="auto"/>
            </w:tcBorders>
            <w:shd w:val="clear" w:color="000000" w:fill="000000"/>
            <w:vAlign w:val="center"/>
            <w:hideMark/>
          </w:tcPr>
          <w:p w14:paraId="7749C1BC" w14:textId="77777777" w:rsidR="00DA6E91" w:rsidRPr="00DA6E91" w:rsidRDefault="00DA6E91" w:rsidP="00BB43F8">
            <w:pPr>
              <w:keepNext/>
              <w:keepLines/>
              <w:jc w:val="center"/>
              <w:rPr>
                <w:rFonts w:eastAsia="Times New Roman"/>
                <w:b/>
                <w:bCs/>
                <w:color w:val="FFFFFF"/>
                <w:sz w:val="22"/>
                <w:szCs w:val="22"/>
              </w:rPr>
            </w:pPr>
            <w:r w:rsidRPr="00DA6E91">
              <w:rPr>
                <w:rFonts w:eastAsia="Times New Roman"/>
                <w:b/>
                <w:bCs/>
                <w:color w:val="FFFFFF"/>
                <w:sz w:val="22"/>
                <w:szCs w:val="22"/>
              </w:rPr>
              <w:t>ER Title</w:t>
            </w:r>
          </w:p>
        </w:tc>
        <w:tc>
          <w:tcPr>
            <w:tcW w:w="0" w:type="auto"/>
            <w:tcBorders>
              <w:top w:val="nil"/>
              <w:left w:val="nil"/>
              <w:bottom w:val="nil"/>
              <w:right w:val="single" w:sz="8" w:space="0" w:color="auto"/>
            </w:tcBorders>
            <w:shd w:val="clear" w:color="000000" w:fill="000000"/>
            <w:vAlign w:val="center"/>
            <w:hideMark/>
          </w:tcPr>
          <w:p w14:paraId="639A3F28" w14:textId="77777777" w:rsidR="00DA6E91" w:rsidRPr="00DA6E91" w:rsidRDefault="00DA6E91" w:rsidP="00BB43F8">
            <w:pPr>
              <w:keepNext/>
              <w:keepLines/>
              <w:jc w:val="center"/>
              <w:rPr>
                <w:rFonts w:eastAsia="Times New Roman"/>
                <w:b/>
                <w:bCs/>
                <w:color w:val="FFFFFF"/>
                <w:sz w:val="22"/>
                <w:szCs w:val="22"/>
              </w:rPr>
            </w:pPr>
            <w:r w:rsidRPr="00DA6E91">
              <w:rPr>
                <w:rFonts w:eastAsia="Times New Roman"/>
                <w:b/>
                <w:bCs/>
                <w:color w:val="FFFFFF"/>
                <w:sz w:val="22"/>
                <w:szCs w:val="22"/>
              </w:rPr>
              <w:t>WA elec. share</w:t>
            </w:r>
          </w:p>
        </w:tc>
        <w:tc>
          <w:tcPr>
            <w:tcW w:w="0" w:type="auto"/>
            <w:tcBorders>
              <w:top w:val="nil"/>
              <w:left w:val="nil"/>
              <w:bottom w:val="nil"/>
              <w:right w:val="single" w:sz="8" w:space="0" w:color="auto"/>
            </w:tcBorders>
            <w:shd w:val="clear" w:color="000000" w:fill="000000"/>
            <w:vAlign w:val="center"/>
            <w:hideMark/>
          </w:tcPr>
          <w:p w14:paraId="2F75D718" w14:textId="77777777" w:rsidR="00DA6E91" w:rsidRPr="00DA6E91" w:rsidRDefault="00DA6E91" w:rsidP="00BB43F8">
            <w:pPr>
              <w:keepNext/>
              <w:keepLines/>
              <w:jc w:val="center"/>
              <w:rPr>
                <w:rFonts w:eastAsia="Times New Roman"/>
                <w:b/>
                <w:bCs/>
                <w:color w:val="FFFFFF"/>
                <w:sz w:val="22"/>
                <w:szCs w:val="22"/>
              </w:rPr>
            </w:pPr>
            <w:r w:rsidRPr="00DA6E91">
              <w:rPr>
                <w:rFonts w:eastAsia="Times New Roman"/>
                <w:b/>
                <w:bCs/>
                <w:color w:val="FFFFFF"/>
                <w:sz w:val="22"/>
                <w:szCs w:val="22"/>
              </w:rPr>
              <w:t>WA gas share</w:t>
            </w:r>
          </w:p>
        </w:tc>
      </w:tr>
      <w:tr w:rsidR="00DA6E91" w:rsidRPr="00DA6E91" w14:paraId="66E83DAC"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0D3FD903"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5138</w:t>
            </w:r>
          </w:p>
        </w:tc>
        <w:tc>
          <w:tcPr>
            <w:tcW w:w="6200" w:type="dxa"/>
            <w:tcBorders>
              <w:top w:val="nil"/>
              <w:left w:val="nil"/>
              <w:bottom w:val="single" w:sz="8" w:space="0" w:color="auto"/>
              <w:right w:val="single" w:sz="8" w:space="0" w:color="auto"/>
            </w:tcBorders>
            <w:shd w:val="clear" w:color="auto" w:fill="auto"/>
            <w:noWrap/>
            <w:vAlign w:val="center"/>
            <w:hideMark/>
          </w:tcPr>
          <w:p w14:paraId="6575077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CSS Replacement (Proj. Compass)</w:t>
            </w:r>
          </w:p>
        </w:tc>
        <w:tc>
          <w:tcPr>
            <w:tcW w:w="0" w:type="auto"/>
            <w:tcBorders>
              <w:top w:val="nil"/>
              <w:left w:val="nil"/>
              <w:bottom w:val="single" w:sz="8" w:space="0" w:color="auto"/>
              <w:right w:val="single" w:sz="8" w:space="0" w:color="auto"/>
            </w:tcBorders>
            <w:shd w:val="clear" w:color="auto" w:fill="auto"/>
            <w:noWrap/>
            <w:vAlign w:val="center"/>
            <w:hideMark/>
          </w:tcPr>
          <w:p w14:paraId="55ACC6C9"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45,886,848 </w:t>
            </w:r>
          </w:p>
        </w:tc>
        <w:tc>
          <w:tcPr>
            <w:tcW w:w="0" w:type="auto"/>
            <w:tcBorders>
              <w:top w:val="nil"/>
              <w:left w:val="nil"/>
              <w:bottom w:val="single" w:sz="8" w:space="0" w:color="auto"/>
              <w:right w:val="single" w:sz="8" w:space="0" w:color="auto"/>
            </w:tcBorders>
            <w:shd w:val="clear" w:color="auto" w:fill="auto"/>
            <w:noWrap/>
            <w:vAlign w:val="center"/>
            <w:hideMark/>
          </w:tcPr>
          <w:p w14:paraId="6052E356"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13,608,584 </w:t>
            </w:r>
          </w:p>
        </w:tc>
      </w:tr>
      <w:tr w:rsidR="00DA6E91" w:rsidRPr="00DA6E91" w14:paraId="0544563C"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7692CABE"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5005</w:t>
            </w:r>
          </w:p>
        </w:tc>
        <w:tc>
          <w:tcPr>
            <w:tcW w:w="6200" w:type="dxa"/>
            <w:tcBorders>
              <w:top w:val="nil"/>
              <w:left w:val="nil"/>
              <w:bottom w:val="single" w:sz="8" w:space="0" w:color="auto"/>
              <w:right w:val="single" w:sz="8" w:space="0" w:color="auto"/>
            </w:tcBorders>
            <w:shd w:val="clear" w:color="auto" w:fill="auto"/>
            <w:noWrap/>
            <w:vAlign w:val="center"/>
            <w:hideMark/>
          </w:tcPr>
          <w:p w14:paraId="7878E45D"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Information Technology Refresh Program</w:t>
            </w:r>
          </w:p>
        </w:tc>
        <w:tc>
          <w:tcPr>
            <w:tcW w:w="0" w:type="auto"/>
            <w:tcBorders>
              <w:top w:val="nil"/>
              <w:left w:val="nil"/>
              <w:bottom w:val="single" w:sz="8" w:space="0" w:color="auto"/>
              <w:right w:val="single" w:sz="8" w:space="0" w:color="auto"/>
            </w:tcBorders>
            <w:shd w:val="clear" w:color="auto" w:fill="auto"/>
            <w:noWrap/>
            <w:vAlign w:val="center"/>
            <w:hideMark/>
          </w:tcPr>
          <w:p w14:paraId="50DDC20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8,971,438 </w:t>
            </w:r>
          </w:p>
        </w:tc>
        <w:tc>
          <w:tcPr>
            <w:tcW w:w="0" w:type="auto"/>
            <w:tcBorders>
              <w:top w:val="nil"/>
              <w:left w:val="nil"/>
              <w:bottom w:val="single" w:sz="8" w:space="0" w:color="auto"/>
              <w:right w:val="single" w:sz="8" w:space="0" w:color="auto"/>
            </w:tcBorders>
            <w:shd w:val="clear" w:color="auto" w:fill="auto"/>
            <w:noWrap/>
            <w:vAlign w:val="center"/>
            <w:hideMark/>
          </w:tcPr>
          <w:p w14:paraId="6669D604"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2,660,644 </w:t>
            </w:r>
          </w:p>
        </w:tc>
      </w:tr>
      <w:tr w:rsidR="00DA6E91" w:rsidRPr="00DA6E91" w14:paraId="4A9C642F"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29ACFC29"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4140</w:t>
            </w:r>
          </w:p>
        </w:tc>
        <w:tc>
          <w:tcPr>
            <w:tcW w:w="6200" w:type="dxa"/>
            <w:tcBorders>
              <w:top w:val="nil"/>
              <w:left w:val="nil"/>
              <w:bottom w:val="single" w:sz="8" w:space="0" w:color="auto"/>
              <w:right w:val="single" w:sz="8" w:space="0" w:color="auto"/>
            </w:tcBorders>
            <w:shd w:val="clear" w:color="auto" w:fill="auto"/>
            <w:noWrap/>
            <w:vAlign w:val="center"/>
            <w:hideMark/>
          </w:tcPr>
          <w:p w14:paraId="6C528BDB"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Nine Mile Redevelopment</w:t>
            </w:r>
          </w:p>
        </w:tc>
        <w:tc>
          <w:tcPr>
            <w:tcW w:w="0" w:type="auto"/>
            <w:tcBorders>
              <w:top w:val="nil"/>
              <w:left w:val="nil"/>
              <w:bottom w:val="single" w:sz="8" w:space="0" w:color="auto"/>
              <w:right w:val="single" w:sz="8" w:space="0" w:color="auto"/>
            </w:tcBorders>
            <w:shd w:val="clear" w:color="auto" w:fill="auto"/>
            <w:noWrap/>
            <w:vAlign w:val="center"/>
            <w:hideMark/>
          </w:tcPr>
          <w:p w14:paraId="35CC3E08"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34,733,867 </w:t>
            </w:r>
          </w:p>
        </w:tc>
        <w:tc>
          <w:tcPr>
            <w:tcW w:w="0" w:type="auto"/>
            <w:tcBorders>
              <w:top w:val="nil"/>
              <w:left w:val="nil"/>
              <w:bottom w:val="single" w:sz="8" w:space="0" w:color="auto"/>
              <w:right w:val="single" w:sz="8" w:space="0" w:color="auto"/>
            </w:tcBorders>
            <w:shd w:val="clear" w:color="auto" w:fill="auto"/>
            <w:noWrap/>
            <w:vAlign w:val="center"/>
            <w:hideMark/>
          </w:tcPr>
          <w:p w14:paraId="77747AE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7771AFB5"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6CBC3E9B"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3008</w:t>
            </w:r>
          </w:p>
        </w:tc>
        <w:tc>
          <w:tcPr>
            <w:tcW w:w="6200" w:type="dxa"/>
            <w:tcBorders>
              <w:top w:val="nil"/>
              <w:left w:val="nil"/>
              <w:bottom w:val="single" w:sz="8" w:space="0" w:color="auto"/>
              <w:right w:val="single" w:sz="8" w:space="0" w:color="auto"/>
            </w:tcBorders>
            <w:shd w:val="clear" w:color="auto" w:fill="auto"/>
            <w:noWrap/>
            <w:vAlign w:val="center"/>
            <w:hideMark/>
          </w:tcPr>
          <w:p w14:paraId="0CBAB0DB"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Aldyl -A Pipe Replacement</w:t>
            </w:r>
          </w:p>
        </w:tc>
        <w:tc>
          <w:tcPr>
            <w:tcW w:w="0" w:type="auto"/>
            <w:tcBorders>
              <w:top w:val="nil"/>
              <w:left w:val="nil"/>
              <w:bottom w:val="single" w:sz="8" w:space="0" w:color="auto"/>
              <w:right w:val="single" w:sz="8" w:space="0" w:color="auto"/>
            </w:tcBorders>
            <w:shd w:val="clear" w:color="auto" w:fill="auto"/>
            <w:noWrap/>
            <w:vAlign w:val="center"/>
            <w:hideMark/>
          </w:tcPr>
          <w:p w14:paraId="711F6E70"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5DDCB752"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8,072,366 </w:t>
            </w:r>
          </w:p>
        </w:tc>
      </w:tr>
      <w:tr w:rsidR="00DA6E91" w:rsidRPr="00DA6E91" w14:paraId="16244322"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5F6EBAAC"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4152</w:t>
            </w:r>
          </w:p>
        </w:tc>
        <w:tc>
          <w:tcPr>
            <w:tcW w:w="6200" w:type="dxa"/>
            <w:tcBorders>
              <w:top w:val="nil"/>
              <w:left w:val="nil"/>
              <w:bottom w:val="single" w:sz="8" w:space="0" w:color="auto"/>
              <w:right w:val="single" w:sz="8" w:space="0" w:color="auto"/>
            </w:tcBorders>
            <w:shd w:val="clear" w:color="auto" w:fill="auto"/>
            <w:noWrap/>
            <w:vAlign w:val="center"/>
            <w:hideMark/>
          </w:tcPr>
          <w:p w14:paraId="35FC4582"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Little Falls Powerhouse Redevelopment</w:t>
            </w:r>
          </w:p>
        </w:tc>
        <w:tc>
          <w:tcPr>
            <w:tcW w:w="0" w:type="auto"/>
            <w:tcBorders>
              <w:top w:val="nil"/>
              <w:left w:val="nil"/>
              <w:bottom w:val="single" w:sz="8" w:space="0" w:color="auto"/>
              <w:right w:val="single" w:sz="8" w:space="0" w:color="auto"/>
            </w:tcBorders>
            <w:shd w:val="clear" w:color="auto" w:fill="auto"/>
            <w:noWrap/>
            <w:vAlign w:val="center"/>
            <w:hideMark/>
          </w:tcPr>
          <w:p w14:paraId="2A034AB8"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9,677,811 </w:t>
            </w:r>
          </w:p>
        </w:tc>
        <w:tc>
          <w:tcPr>
            <w:tcW w:w="0" w:type="auto"/>
            <w:tcBorders>
              <w:top w:val="nil"/>
              <w:left w:val="nil"/>
              <w:bottom w:val="single" w:sz="8" w:space="0" w:color="auto"/>
              <w:right w:val="single" w:sz="8" w:space="0" w:color="auto"/>
            </w:tcBorders>
            <w:shd w:val="clear" w:color="auto" w:fill="auto"/>
            <w:noWrap/>
            <w:vAlign w:val="center"/>
            <w:hideMark/>
          </w:tcPr>
          <w:p w14:paraId="5B563B0D"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14DD3EDF"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083027ED"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6103</w:t>
            </w:r>
          </w:p>
        </w:tc>
        <w:tc>
          <w:tcPr>
            <w:tcW w:w="6200" w:type="dxa"/>
            <w:tcBorders>
              <w:top w:val="nil"/>
              <w:left w:val="nil"/>
              <w:bottom w:val="single" w:sz="8" w:space="0" w:color="auto"/>
              <w:right w:val="single" w:sz="8" w:space="0" w:color="auto"/>
            </w:tcBorders>
            <w:shd w:val="clear" w:color="auto" w:fill="auto"/>
            <w:noWrap/>
            <w:vAlign w:val="center"/>
            <w:hideMark/>
          </w:tcPr>
          <w:p w14:paraId="3A7867E5"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Clark Fork Implement PME Agreement</w:t>
            </w:r>
          </w:p>
        </w:tc>
        <w:tc>
          <w:tcPr>
            <w:tcW w:w="0" w:type="auto"/>
            <w:tcBorders>
              <w:top w:val="nil"/>
              <w:left w:val="nil"/>
              <w:bottom w:val="single" w:sz="8" w:space="0" w:color="auto"/>
              <w:right w:val="single" w:sz="8" w:space="0" w:color="auto"/>
            </w:tcBorders>
            <w:shd w:val="clear" w:color="auto" w:fill="auto"/>
            <w:noWrap/>
            <w:vAlign w:val="center"/>
            <w:hideMark/>
          </w:tcPr>
          <w:p w14:paraId="383689E5"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9,398,989 </w:t>
            </w:r>
          </w:p>
        </w:tc>
        <w:tc>
          <w:tcPr>
            <w:tcW w:w="0" w:type="auto"/>
            <w:tcBorders>
              <w:top w:val="nil"/>
              <w:left w:val="nil"/>
              <w:bottom w:val="single" w:sz="8" w:space="0" w:color="auto"/>
              <w:right w:val="single" w:sz="8" w:space="0" w:color="auto"/>
            </w:tcBorders>
            <w:shd w:val="clear" w:color="auto" w:fill="auto"/>
            <w:noWrap/>
            <w:vAlign w:val="center"/>
            <w:hideMark/>
          </w:tcPr>
          <w:p w14:paraId="1F54D788"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1ACB8686"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06C1A8E9"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4161</w:t>
            </w:r>
          </w:p>
        </w:tc>
        <w:tc>
          <w:tcPr>
            <w:tcW w:w="6200" w:type="dxa"/>
            <w:tcBorders>
              <w:top w:val="nil"/>
              <w:left w:val="nil"/>
              <w:bottom w:val="single" w:sz="8" w:space="0" w:color="auto"/>
              <w:right w:val="single" w:sz="8" w:space="0" w:color="auto"/>
            </w:tcBorders>
            <w:shd w:val="clear" w:color="auto" w:fill="auto"/>
            <w:noWrap/>
            <w:vAlign w:val="center"/>
            <w:hideMark/>
          </w:tcPr>
          <w:p w14:paraId="4E79B974"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CG HED U#1 Refurbishment</w:t>
            </w:r>
          </w:p>
        </w:tc>
        <w:tc>
          <w:tcPr>
            <w:tcW w:w="0" w:type="auto"/>
            <w:tcBorders>
              <w:top w:val="nil"/>
              <w:left w:val="nil"/>
              <w:bottom w:val="single" w:sz="8" w:space="0" w:color="auto"/>
              <w:right w:val="single" w:sz="8" w:space="0" w:color="auto"/>
            </w:tcBorders>
            <w:shd w:val="clear" w:color="auto" w:fill="auto"/>
            <w:noWrap/>
            <w:vAlign w:val="center"/>
            <w:hideMark/>
          </w:tcPr>
          <w:p w14:paraId="2ECC6392"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7,715,178 </w:t>
            </w:r>
          </w:p>
        </w:tc>
        <w:tc>
          <w:tcPr>
            <w:tcW w:w="0" w:type="auto"/>
            <w:tcBorders>
              <w:top w:val="nil"/>
              <w:left w:val="nil"/>
              <w:bottom w:val="single" w:sz="8" w:space="0" w:color="auto"/>
              <w:right w:val="single" w:sz="8" w:space="0" w:color="auto"/>
            </w:tcBorders>
            <w:shd w:val="clear" w:color="auto" w:fill="auto"/>
            <w:noWrap/>
            <w:vAlign w:val="center"/>
            <w:hideMark/>
          </w:tcPr>
          <w:p w14:paraId="72149601"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095EAC80"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0CF4745C"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4162</w:t>
            </w:r>
          </w:p>
        </w:tc>
        <w:tc>
          <w:tcPr>
            <w:tcW w:w="6200" w:type="dxa"/>
            <w:tcBorders>
              <w:top w:val="nil"/>
              <w:left w:val="nil"/>
              <w:bottom w:val="single" w:sz="8" w:space="0" w:color="auto"/>
              <w:right w:val="single" w:sz="8" w:space="0" w:color="auto"/>
            </w:tcBorders>
            <w:shd w:val="clear" w:color="auto" w:fill="auto"/>
            <w:noWrap/>
            <w:vAlign w:val="center"/>
            <w:hideMark/>
          </w:tcPr>
          <w:p w14:paraId="1920B14F"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PF S Channel Gate Replacement</w:t>
            </w:r>
          </w:p>
        </w:tc>
        <w:tc>
          <w:tcPr>
            <w:tcW w:w="0" w:type="auto"/>
            <w:tcBorders>
              <w:top w:val="nil"/>
              <w:left w:val="nil"/>
              <w:bottom w:val="single" w:sz="8" w:space="0" w:color="auto"/>
              <w:right w:val="single" w:sz="8" w:space="0" w:color="auto"/>
            </w:tcBorders>
            <w:shd w:val="clear" w:color="auto" w:fill="auto"/>
            <w:noWrap/>
            <w:vAlign w:val="center"/>
            <w:hideMark/>
          </w:tcPr>
          <w:p w14:paraId="163EECE8"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7,449,884 </w:t>
            </w:r>
          </w:p>
        </w:tc>
        <w:tc>
          <w:tcPr>
            <w:tcW w:w="0" w:type="auto"/>
            <w:tcBorders>
              <w:top w:val="nil"/>
              <w:left w:val="nil"/>
              <w:bottom w:val="single" w:sz="8" w:space="0" w:color="auto"/>
              <w:right w:val="single" w:sz="8" w:space="0" w:color="auto"/>
            </w:tcBorders>
            <w:shd w:val="clear" w:color="auto" w:fill="auto"/>
            <w:noWrap/>
            <w:vAlign w:val="center"/>
            <w:hideMark/>
          </w:tcPr>
          <w:p w14:paraId="07134585"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64C09ACC"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100C7249"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2060</w:t>
            </w:r>
          </w:p>
        </w:tc>
        <w:tc>
          <w:tcPr>
            <w:tcW w:w="6200" w:type="dxa"/>
            <w:tcBorders>
              <w:top w:val="nil"/>
              <w:left w:val="nil"/>
              <w:bottom w:val="single" w:sz="8" w:space="0" w:color="auto"/>
              <w:right w:val="single" w:sz="8" w:space="0" w:color="auto"/>
            </w:tcBorders>
            <w:shd w:val="clear" w:color="auto" w:fill="auto"/>
            <w:noWrap/>
            <w:vAlign w:val="center"/>
            <w:hideMark/>
          </w:tcPr>
          <w:p w14:paraId="48890E72"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Wood Pole Mgmt</w:t>
            </w:r>
          </w:p>
        </w:tc>
        <w:tc>
          <w:tcPr>
            <w:tcW w:w="0" w:type="auto"/>
            <w:tcBorders>
              <w:top w:val="nil"/>
              <w:left w:val="nil"/>
              <w:bottom w:val="single" w:sz="8" w:space="0" w:color="auto"/>
              <w:right w:val="single" w:sz="8" w:space="0" w:color="auto"/>
            </w:tcBorders>
            <w:shd w:val="clear" w:color="auto" w:fill="auto"/>
            <w:noWrap/>
            <w:vAlign w:val="center"/>
            <w:hideMark/>
          </w:tcPr>
          <w:p w14:paraId="4CFC0088"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7,219,301 </w:t>
            </w:r>
          </w:p>
        </w:tc>
        <w:tc>
          <w:tcPr>
            <w:tcW w:w="0" w:type="auto"/>
            <w:tcBorders>
              <w:top w:val="nil"/>
              <w:left w:val="nil"/>
              <w:bottom w:val="single" w:sz="8" w:space="0" w:color="auto"/>
              <w:right w:val="single" w:sz="8" w:space="0" w:color="auto"/>
            </w:tcBorders>
            <w:shd w:val="clear" w:color="auto" w:fill="auto"/>
            <w:noWrap/>
            <w:vAlign w:val="center"/>
            <w:hideMark/>
          </w:tcPr>
          <w:p w14:paraId="7AAD486E"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0E21CB53"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4BFF613F"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2470</w:t>
            </w:r>
          </w:p>
        </w:tc>
        <w:tc>
          <w:tcPr>
            <w:tcW w:w="6200" w:type="dxa"/>
            <w:tcBorders>
              <w:top w:val="nil"/>
              <w:left w:val="nil"/>
              <w:bottom w:val="single" w:sz="8" w:space="0" w:color="auto"/>
              <w:right w:val="single" w:sz="8" w:space="0" w:color="auto"/>
            </w:tcBorders>
            <w:shd w:val="clear" w:color="auto" w:fill="auto"/>
            <w:noWrap/>
            <w:vAlign w:val="center"/>
            <w:hideMark/>
          </w:tcPr>
          <w:p w14:paraId="1F427F43"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Dist Grid Modernization</w:t>
            </w:r>
          </w:p>
        </w:tc>
        <w:tc>
          <w:tcPr>
            <w:tcW w:w="0" w:type="auto"/>
            <w:tcBorders>
              <w:top w:val="nil"/>
              <w:left w:val="nil"/>
              <w:bottom w:val="single" w:sz="8" w:space="0" w:color="auto"/>
              <w:right w:val="single" w:sz="8" w:space="0" w:color="auto"/>
            </w:tcBorders>
            <w:shd w:val="clear" w:color="auto" w:fill="auto"/>
            <w:noWrap/>
            <w:vAlign w:val="center"/>
            <w:hideMark/>
          </w:tcPr>
          <w:p w14:paraId="5518EADB"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7,122,008 </w:t>
            </w:r>
          </w:p>
        </w:tc>
        <w:tc>
          <w:tcPr>
            <w:tcW w:w="0" w:type="auto"/>
            <w:tcBorders>
              <w:top w:val="nil"/>
              <w:left w:val="nil"/>
              <w:bottom w:val="single" w:sz="8" w:space="0" w:color="auto"/>
              <w:right w:val="single" w:sz="8" w:space="0" w:color="auto"/>
            </w:tcBorders>
            <w:shd w:val="clear" w:color="auto" w:fill="auto"/>
            <w:noWrap/>
            <w:vAlign w:val="center"/>
            <w:hideMark/>
          </w:tcPr>
          <w:p w14:paraId="37F6B245"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r>
      <w:tr w:rsidR="00DA6E91" w:rsidRPr="00DA6E91" w14:paraId="2E0FA13F"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4181E2DA"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7101</w:t>
            </w:r>
          </w:p>
        </w:tc>
        <w:tc>
          <w:tcPr>
            <w:tcW w:w="6200" w:type="dxa"/>
            <w:tcBorders>
              <w:top w:val="nil"/>
              <w:left w:val="nil"/>
              <w:bottom w:val="single" w:sz="8" w:space="0" w:color="auto"/>
              <w:right w:val="single" w:sz="8" w:space="0" w:color="auto"/>
            </w:tcBorders>
            <w:shd w:val="clear" w:color="auto" w:fill="auto"/>
            <w:noWrap/>
            <w:vAlign w:val="center"/>
            <w:hideMark/>
          </w:tcPr>
          <w:p w14:paraId="2EE8ABC6"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COF HVAC Improvmt</w:t>
            </w:r>
          </w:p>
        </w:tc>
        <w:tc>
          <w:tcPr>
            <w:tcW w:w="0" w:type="auto"/>
            <w:tcBorders>
              <w:top w:val="nil"/>
              <w:left w:val="nil"/>
              <w:bottom w:val="single" w:sz="8" w:space="0" w:color="auto"/>
              <w:right w:val="single" w:sz="8" w:space="0" w:color="auto"/>
            </w:tcBorders>
            <w:shd w:val="clear" w:color="auto" w:fill="auto"/>
            <w:noWrap/>
            <w:vAlign w:val="center"/>
            <w:hideMark/>
          </w:tcPr>
          <w:p w14:paraId="2F1297F5"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775C615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1,323,537 </w:t>
            </w:r>
          </w:p>
        </w:tc>
      </w:tr>
      <w:tr w:rsidR="00DA6E91" w:rsidRPr="00DA6E91" w14:paraId="5099A974"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28A9C8ED"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3005</w:t>
            </w:r>
          </w:p>
        </w:tc>
        <w:tc>
          <w:tcPr>
            <w:tcW w:w="6200" w:type="dxa"/>
            <w:tcBorders>
              <w:top w:val="nil"/>
              <w:left w:val="nil"/>
              <w:bottom w:val="single" w:sz="8" w:space="0" w:color="auto"/>
              <w:right w:val="single" w:sz="8" w:space="0" w:color="auto"/>
            </w:tcBorders>
            <w:shd w:val="clear" w:color="auto" w:fill="auto"/>
            <w:noWrap/>
            <w:vAlign w:val="center"/>
            <w:hideMark/>
          </w:tcPr>
          <w:p w14:paraId="148DFA2D"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Gas Distribution Non-Revenue Blanket</w:t>
            </w:r>
          </w:p>
        </w:tc>
        <w:tc>
          <w:tcPr>
            <w:tcW w:w="0" w:type="auto"/>
            <w:tcBorders>
              <w:top w:val="nil"/>
              <w:left w:val="nil"/>
              <w:bottom w:val="single" w:sz="8" w:space="0" w:color="auto"/>
              <w:right w:val="single" w:sz="8" w:space="0" w:color="auto"/>
            </w:tcBorders>
            <w:shd w:val="clear" w:color="auto" w:fill="auto"/>
            <w:noWrap/>
            <w:vAlign w:val="center"/>
            <w:hideMark/>
          </w:tcPr>
          <w:p w14:paraId="25C34E2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509A757A"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2,174,400 </w:t>
            </w:r>
          </w:p>
        </w:tc>
      </w:tr>
      <w:tr w:rsidR="00DA6E91" w:rsidRPr="00DA6E91" w14:paraId="5FD6122D"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3206A2B4"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3306</w:t>
            </w:r>
          </w:p>
        </w:tc>
        <w:tc>
          <w:tcPr>
            <w:tcW w:w="6200" w:type="dxa"/>
            <w:tcBorders>
              <w:top w:val="nil"/>
              <w:left w:val="nil"/>
              <w:bottom w:val="single" w:sz="8" w:space="0" w:color="auto"/>
              <w:right w:val="single" w:sz="8" w:space="0" w:color="auto"/>
            </w:tcBorders>
            <w:shd w:val="clear" w:color="auto" w:fill="auto"/>
            <w:noWrap/>
            <w:vAlign w:val="center"/>
            <w:hideMark/>
          </w:tcPr>
          <w:p w14:paraId="439CABE2"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Goldendale HP</w:t>
            </w:r>
          </w:p>
        </w:tc>
        <w:tc>
          <w:tcPr>
            <w:tcW w:w="0" w:type="auto"/>
            <w:tcBorders>
              <w:top w:val="nil"/>
              <w:left w:val="nil"/>
              <w:bottom w:val="single" w:sz="8" w:space="0" w:color="auto"/>
              <w:right w:val="single" w:sz="8" w:space="0" w:color="auto"/>
            </w:tcBorders>
            <w:shd w:val="clear" w:color="auto" w:fill="auto"/>
            <w:noWrap/>
            <w:vAlign w:val="center"/>
            <w:hideMark/>
          </w:tcPr>
          <w:p w14:paraId="6C7AC46E"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3CCEAD2B"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3,504,911 </w:t>
            </w:r>
          </w:p>
        </w:tc>
      </w:tr>
      <w:tr w:rsidR="00DA6E91" w:rsidRPr="00DA6E91" w14:paraId="161E9927" w14:textId="77777777" w:rsidTr="00DA6E91">
        <w:trPr>
          <w:trHeight w:val="315"/>
        </w:trPr>
        <w:tc>
          <w:tcPr>
            <w:tcW w:w="520" w:type="dxa"/>
            <w:tcBorders>
              <w:top w:val="nil"/>
              <w:left w:val="nil"/>
              <w:bottom w:val="single" w:sz="8" w:space="0" w:color="auto"/>
              <w:right w:val="single" w:sz="8" w:space="0" w:color="auto"/>
            </w:tcBorders>
            <w:shd w:val="clear" w:color="auto" w:fill="auto"/>
            <w:noWrap/>
            <w:vAlign w:val="center"/>
            <w:hideMark/>
          </w:tcPr>
          <w:p w14:paraId="32843418" w14:textId="77777777" w:rsidR="00DA6E91" w:rsidRPr="00DA6E91" w:rsidRDefault="00DA6E91" w:rsidP="00BB43F8">
            <w:pPr>
              <w:keepNext/>
              <w:keepLines/>
              <w:jc w:val="center"/>
              <w:rPr>
                <w:rFonts w:eastAsia="Times New Roman"/>
                <w:color w:val="000000"/>
                <w:sz w:val="22"/>
                <w:szCs w:val="22"/>
              </w:rPr>
            </w:pPr>
            <w:r w:rsidRPr="00DA6E91">
              <w:rPr>
                <w:rFonts w:eastAsia="Times New Roman"/>
                <w:color w:val="000000"/>
                <w:sz w:val="22"/>
                <w:szCs w:val="22"/>
              </w:rPr>
              <w:t>3007</w:t>
            </w:r>
          </w:p>
        </w:tc>
        <w:tc>
          <w:tcPr>
            <w:tcW w:w="6200" w:type="dxa"/>
            <w:tcBorders>
              <w:top w:val="nil"/>
              <w:left w:val="nil"/>
              <w:bottom w:val="single" w:sz="8" w:space="0" w:color="auto"/>
              <w:right w:val="single" w:sz="8" w:space="0" w:color="auto"/>
            </w:tcBorders>
            <w:shd w:val="clear" w:color="auto" w:fill="auto"/>
            <w:noWrap/>
            <w:vAlign w:val="center"/>
            <w:hideMark/>
          </w:tcPr>
          <w:p w14:paraId="14CF5E34"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Isolated Steel Replacement</w:t>
            </w:r>
          </w:p>
        </w:tc>
        <w:tc>
          <w:tcPr>
            <w:tcW w:w="0" w:type="auto"/>
            <w:tcBorders>
              <w:top w:val="nil"/>
              <w:left w:val="nil"/>
              <w:bottom w:val="single" w:sz="8" w:space="0" w:color="auto"/>
              <w:right w:val="single" w:sz="8" w:space="0" w:color="auto"/>
            </w:tcBorders>
            <w:shd w:val="clear" w:color="auto" w:fill="auto"/>
            <w:noWrap/>
            <w:vAlign w:val="center"/>
            <w:hideMark/>
          </w:tcPr>
          <w:p w14:paraId="725DB06D"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F464701" w14:textId="77777777" w:rsidR="00DA6E91" w:rsidRPr="00DA6E91" w:rsidRDefault="00DA6E91" w:rsidP="00BB43F8">
            <w:pPr>
              <w:keepNext/>
              <w:keepLines/>
              <w:rPr>
                <w:rFonts w:eastAsia="Times New Roman"/>
                <w:color w:val="000000"/>
                <w:sz w:val="22"/>
                <w:szCs w:val="22"/>
              </w:rPr>
            </w:pPr>
            <w:r w:rsidRPr="00DA6E91">
              <w:rPr>
                <w:rFonts w:eastAsia="Times New Roman"/>
                <w:color w:val="000000"/>
                <w:sz w:val="22"/>
                <w:szCs w:val="22"/>
              </w:rPr>
              <w:t xml:space="preserve"> $      2,625,450 </w:t>
            </w:r>
          </w:p>
        </w:tc>
      </w:tr>
      <w:tr w:rsidR="00DA6E91" w:rsidRPr="00DA6E91" w14:paraId="5B99AEA4" w14:textId="77777777" w:rsidTr="00DA6E91">
        <w:trPr>
          <w:trHeight w:val="315"/>
        </w:trPr>
        <w:tc>
          <w:tcPr>
            <w:tcW w:w="520" w:type="dxa"/>
            <w:tcBorders>
              <w:top w:val="nil"/>
              <w:left w:val="nil"/>
              <w:bottom w:val="nil"/>
              <w:right w:val="nil"/>
            </w:tcBorders>
            <w:shd w:val="clear" w:color="auto" w:fill="auto"/>
            <w:noWrap/>
            <w:vAlign w:val="bottom"/>
            <w:hideMark/>
          </w:tcPr>
          <w:p w14:paraId="2EE631F4" w14:textId="77777777" w:rsidR="00DA6E91" w:rsidRPr="00DA6E91" w:rsidRDefault="00DA6E91" w:rsidP="00BB43F8">
            <w:pPr>
              <w:keepNext/>
              <w:keepLines/>
              <w:rPr>
                <w:rFonts w:eastAsia="Times New Roman"/>
                <w:color w:val="000000"/>
                <w:sz w:val="22"/>
                <w:szCs w:val="22"/>
              </w:rPr>
            </w:pPr>
          </w:p>
        </w:tc>
        <w:tc>
          <w:tcPr>
            <w:tcW w:w="6200" w:type="dxa"/>
            <w:tcBorders>
              <w:top w:val="nil"/>
              <w:left w:val="single" w:sz="8" w:space="0" w:color="auto"/>
              <w:bottom w:val="single" w:sz="8" w:space="0" w:color="auto"/>
              <w:right w:val="single" w:sz="8" w:space="0" w:color="auto"/>
            </w:tcBorders>
            <w:shd w:val="clear" w:color="000000" w:fill="D9D9D9"/>
            <w:vAlign w:val="center"/>
            <w:hideMark/>
          </w:tcPr>
          <w:p w14:paraId="50172DBD" w14:textId="65D11D8F" w:rsidR="00DA6E91" w:rsidRPr="00DA6E91" w:rsidRDefault="00DA6E91" w:rsidP="00BB43F8">
            <w:pPr>
              <w:keepNext/>
              <w:keepLines/>
              <w:jc w:val="center"/>
              <w:rPr>
                <w:rFonts w:eastAsia="Times New Roman"/>
                <w:b/>
                <w:bCs/>
                <w:color w:val="000000"/>
                <w:sz w:val="22"/>
                <w:szCs w:val="22"/>
              </w:rPr>
            </w:pPr>
            <w:r w:rsidRPr="00DA6E91">
              <w:rPr>
                <w:rFonts w:eastAsia="Times New Roman"/>
                <w:b/>
                <w:bCs/>
                <w:color w:val="000000"/>
                <w:sz w:val="22"/>
                <w:szCs w:val="22"/>
              </w:rPr>
              <w:t>C</w:t>
            </w:r>
            <w:r>
              <w:rPr>
                <w:rFonts w:eastAsia="Times New Roman"/>
                <w:b/>
                <w:bCs/>
                <w:color w:val="000000"/>
                <w:sz w:val="22"/>
                <w:szCs w:val="22"/>
              </w:rPr>
              <w:t>ompany Total; Listed ER</w:t>
            </w:r>
            <w:r w:rsidRPr="00DA6E91">
              <w:rPr>
                <w:rFonts w:eastAsia="Times New Roman"/>
                <w:b/>
                <w:bCs/>
                <w:color w:val="000000"/>
                <w:sz w:val="22"/>
                <w:szCs w:val="22"/>
              </w:rPr>
              <w:t>s</w:t>
            </w:r>
          </w:p>
        </w:tc>
        <w:tc>
          <w:tcPr>
            <w:tcW w:w="0" w:type="auto"/>
            <w:tcBorders>
              <w:top w:val="nil"/>
              <w:left w:val="nil"/>
              <w:bottom w:val="single" w:sz="8" w:space="0" w:color="auto"/>
              <w:right w:val="single" w:sz="8" w:space="0" w:color="auto"/>
            </w:tcBorders>
            <w:shd w:val="clear" w:color="auto" w:fill="auto"/>
            <w:noWrap/>
            <w:vAlign w:val="center"/>
            <w:hideMark/>
          </w:tcPr>
          <w:p w14:paraId="24428C2B" w14:textId="77777777" w:rsidR="00DA6E91" w:rsidRPr="00DA6E91" w:rsidRDefault="00DA6E91" w:rsidP="00BB43F8">
            <w:pPr>
              <w:keepNext/>
              <w:keepLines/>
              <w:jc w:val="right"/>
              <w:rPr>
                <w:rFonts w:eastAsia="Times New Roman"/>
                <w:b/>
                <w:bCs/>
                <w:color w:val="000000"/>
                <w:sz w:val="22"/>
                <w:szCs w:val="22"/>
              </w:rPr>
            </w:pPr>
            <w:r w:rsidRPr="00DA6E91">
              <w:rPr>
                <w:rFonts w:eastAsia="Times New Roman"/>
                <w:b/>
                <w:bCs/>
                <w:color w:val="000000"/>
                <w:sz w:val="22"/>
                <w:szCs w:val="22"/>
              </w:rPr>
              <w:t>$138,175,324</w:t>
            </w:r>
          </w:p>
        </w:tc>
        <w:tc>
          <w:tcPr>
            <w:tcW w:w="0" w:type="auto"/>
            <w:tcBorders>
              <w:top w:val="nil"/>
              <w:left w:val="nil"/>
              <w:bottom w:val="single" w:sz="8" w:space="0" w:color="auto"/>
              <w:right w:val="single" w:sz="8" w:space="0" w:color="auto"/>
            </w:tcBorders>
            <w:shd w:val="clear" w:color="auto" w:fill="auto"/>
            <w:noWrap/>
            <w:vAlign w:val="center"/>
            <w:hideMark/>
          </w:tcPr>
          <w:p w14:paraId="280825AA" w14:textId="77777777" w:rsidR="00DA6E91" w:rsidRPr="00DA6E91" w:rsidRDefault="00DA6E91" w:rsidP="00BB43F8">
            <w:pPr>
              <w:keepNext/>
              <w:keepLines/>
              <w:jc w:val="right"/>
              <w:rPr>
                <w:rFonts w:eastAsia="Times New Roman"/>
                <w:b/>
                <w:bCs/>
                <w:color w:val="000000"/>
                <w:sz w:val="22"/>
                <w:szCs w:val="22"/>
              </w:rPr>
            </w:pPr>
            <w:r w:rsidRPr="00DA6E91">
              <w:rPr>
                <w:rFonts w:eastAsia="Times New Roman"/>
                <w:b/>
                <w:bCs/>
                <w:color w:val="000000"/>
                <w:sz w:val="22"/>
                <w:szCs w:val="22"/>
              </w:rPr>
              <w:t>$33,969,892</w:t>
            </w:r>
          </w:p>
        </w:tc>
      </w:tr>
    </w:tbl>
    <w:p w14:paraId="7CC859A3" w14:textId="55A57075" w:rsidR="00107771" w:rsidRDefault="00107771" w:rsidP="008E0C42">
      <w:pPr>
        <w:pStyle w:val="NoSpacing"/>
      </w:pPr>
    </w:p>
    <w:p w14:paraId="04EF636B" w14:textId="39FFC15A" w:rsidR="00DA6E91" w:rsidRDefault="00DA6E91" w:rsidP="008E0C42">
      <w:pPr>
        <w:pStyle w:val="NoSpacing"/>
      </w:pPr>
    </w:p>
    <w:p w14:paraId="01BA010A" w14:textId="2A38782B" w:rsidR="00107771" w:rsidRDefault="00D4273E" w:rsidP="007C58A1">
      <w:pPr>
        <w:pStyle w:val="Heading8"/>
      </w:pPr>
      <w:r>
        <w:t>Q.</w:t>
      </w:r>
      <w:r>
        <w:tab/>
      </w:r>
      <w:r w:rsidRPr="00D4273E">
        <w:t xml:space="preserve">What is </w:t>
      </w:r>
      <w:r w:rsidR="00EF4F14">
        <w:t>Staff’s recommended</w:t>
      </w:r>
      <w:r w:rsidRPr="00D4273E">
        <w:t xml:space="preserve"> 2015 pro forma capital additions?</w:t>
      </w:r>
    </w:p>
    <w:p w14:paraId="27ECB292" w14:textId="1B25E5AF" w:rsidR="00D4273E" w:rsidRDefault="00D4273E" w:rsidP="008E0C42">
      <w:pPr>
        <w:pStyle w:val="NoSpacing"/>
      </w:pPr>
      <w:r>
        <w:t>A.</w:t>
      </w:r>
      <w:r>
        <w:tab/>
      </w:r>
      <w:r w:rsidRPr="00D4273E">
        <w:t xml:space="preserve">For the 14 major capital additions, Staff’s recommended amount of </w:t>
      </w:r>
      <w:r w:rsidRPr="00D4273E">
        <w:rPr>
          <w:i/>
        </w:rPr>
        <w:t>pro forma</w:t>
      </w:r>
      <w:r w:rsidRPr="00D4273E">
        <w:t xml:space="preserve"> transfers to plant is $</w:t>
      </w:r>
      <w:r w:rsidR="007C58A1">
        <w:t>56.7 million for electric service, and $16.2 million for natural gas service.</w:t>
      </w:r>
      <w:r w:rsidRPr="00D4273E">
        <w:t xml:space="preserve"> </w:t>
      </w:r>
      <w:r w:rsidR="007C58A1">
        <w:t xml:space="preserve"> These are, in total, </w:t>
      </w:r>
      <w:r w:rsidRPr="00D4273E">
        <w:t>$65.4 million less than the Company’s total of its revised amounts for the same listed ERs of $138.3 million.</w:t>
      </w:r>
      <w:r w:rsidR="007D079C">
        <w:t xml:space="preserve">  These figures are based upon the actual transfer-to-plant balances in the respective ERs, as of June 30, 2015, and modified by Mr. Gomez’s analysis.</w:t>
      </w:r>
      <w:r w:rsidR="009024F3" w:rsidRPr="009024F3">
        <w:t xml:space="preserve"> </w:t>
      </w:r>
      <w:r w:rsidR="009024F3">
        <w:t xml:space="preserve"> Mr. Gomez provides a detailed breakdown of</w:t>
      </w:r>
      <w:r w:rsidR="009024F3" w:rsidRPr="00D4273E">
        <w:t xml:space="preserve"> Washington-allocated 2015 </w:t>
      </w:r>
      <w:r w:rsidR="009024F3" w:rsidRPr="007C58A1">
        <w:rPr>
          <w:i/>
        </w:rPr>
        <w:t>pro forma</w:t>
      </w:r>
      <w:r w:rsidR="009024F3" w:rsidRPr="00D4273E">
        <w:t xml:space="preserve"> capital additions to rate base</w:t>
      </w:r>
      <w:r w:rsidR="009024F3">
        <w:t xml:space="preserve"> in </w:t>
      </w:r>
      <w:r w:rsidR="009024F3" w:rsidRPr="00D4273E">
        <w:t>Exhibit No. __ (DCG-4)</w:t>
      </w:r>
      <w:r w:rsidR="009024F3">
        <w:t>.</w:t>
      </w:r>
      <w:r w:rsidR="000B0BE1">
        <w:t xml:space="preserve">  The table below summarizes Staff’s recommendation.   </w:t>
      </w:r>
    </w:p>
    <w:p w14:paraId="0CE31661" w14:textId="77777777" w:rsidR="00356B17" w:rsidRDefault="00356B17" w:rsidP="008E0C42">
      <w:pPr>
        <w:pStyle w:val="NoSpacing"/>
      </w:pPr>
    </w:p>
    <w:p w14:paraId="738C1C49" w14:textId="3133454D" w:rsidR="007C58A1" w:rsidRPr="00F656C6" w:rsidRDefault="00F656C6" w:rsidP="00F656C6">
      <w:pPr>
        <w:pStyle w:val="NoSpacing"/>
        <w:jc w:val="center"/>
        <w:rPr>
          <w:b/>
        </w:rPr>
      </w:pPr>
      <w:r w:rsidRPr="00F656C6">
        <w:rPr>
          <w:b/>
        </w:rPr>
        <w:t>Table 4 – Major 2015 Pro Forma Transfers to Plant, as Revised by Staff</w:t>
      </w:r>
    </w:p>
    <w:tbl>
      <w:tblPr>
        <w:tblW w:w="8396" w:type="dxa"/>
        <w:jc w:val="center"/>
        <w:tblLook w:val="04A0" w:firstRow="1" w:lastRow="0" w:firstColumn="1" w:lastColumn="0" w:noHBand="0" w:noVBand="1"/>
      </w:tblPr>
      <w:tblGrid>
        <w:gridCol w:w="656"/>
        <w:gridCol w:w="4640"/>
        <w:gridCol w:w="1701"/>
        <w:gridCol w:w="1591"/>
      </w:tblGrid>
      <w:tr w:rsidR="00F656C6" w:rsidRPr="00F656C6" w14:paraId="18DEAD40" w14:textId="77777777" w:rsidTr="00F656C6">
        <w:trPr>
          <w:trHeight w:val="315"/>
          <w:jc w:val="center"/>
        </w:trPr>
        <w:tc>
          <w:tcPr>
            <w:tcW w:w="656" w:type="dxa"/>
            <w:tcBorders>
              <w:top w:val="nil"/>
              <w:left w:val="nil"/>
              <w:bottom w:val="single" w:sz="8" w:space="0" w:color="auto"/>
              <w:right w:val="single" w:sz="8" w:space="0" w:color="auto"/>
            </w:tcBorders>
            <w:shd w:val="clear" w:color="000000" w:fill="000000"/>
            <w:vAlign w:val="center"/>
            <w:hideMark/>
          </w:tcPr>
          <w:p w14:paraId="64098519" w14:textId="77777777" w:rsidR="00F656C6" w:rsidRPr="00F656C6" w:rsidRDefault="00F656C6" w:rsidP="00F656C6">
            <w:pPr>
              <w:jc w:val="center"/>
              <w:rPr>
                <w:rFonts w:eastAsia="Times New Roman"/>
                <w:b/>
                <w:bCs/>
                <w:color w:val="FFFFFF"/>
                <w:sz w:val="22"/>
                <w:szCs w:val="22"/>
              </w:rPr>
            </w:pPr>
            <w:r w:rsidRPr="00F656C6">
              <w:rPr>
                <w:rFonts w:eastAsia="Times New Roman"/>
                <w:b/>
                <w:bCs/>
                <w:color w:val="FFFFFF"/>
                <w:sz w:val="22"/>
                <w:szCs w:val="22"/>
              </w:rPr>
              <w:t>ER</w:t>
            </w:r>
          </w:p>
        </w:tc>
        <w:tc>
          <w:tcPr>
            <w:tcW w:w="4640" w:type="dxa"/>
            <w:tcBorders>
              <w:top w:val="nil"/>
              <w:left w:val="nil"/>
              <w:bottom w:val="single" w:sz="8" w:space="0" w:color="auto"/>
              <w:right w:val="single" w:sz="8" w:space="0" w:color="auto"/>
            </w:tcBorders>
            <w:shd w:val="clear" w:color="000000" w:fill="000000"/>
            <w:vAlign w:val="center"/>
            <w:hideMark/>
          </w:tcPr>
          <w:p w14:paraId="5C43F5C2" w14:textId="77777777" w:rsidR="00F656C6" w:rsidRPr="00F656C6" w:rsidRDefault="00F656C6" w:rsidP="00F656C6">
            <w:pPr>
              <w:jc w:val="center"/>
              <w:rPr>
                <w:rFonts w:eastAsia="Times New Roman"/>
                <w:b/>
                <w:bCs/>
                <w:color w:val="FFFFFF"/>
                <w:sz w:val="22"/>
                <w:szCs w:val="22"/>
              </w:rPr>
            </w:pPr>
            <w:r w:rsidRPr="00F656C6">
              <w:rPr>
                <w:rFonts w:eastAsia="Times New Roman"/>
                <w:b/>
                <w:bCs/>
                <w:color w:val="FFFFFF"/>
                <w:sz w:val="22"/>
                <w:szCs w:val="22"/>
              </w:rPr>
              <w:t>ER Title</w:t>
            </w:r>
          </w:p>
        </w:tc>
        <w:tc>
          <w:tcPr>
            <w:tcW w:w="0" w:type="auto"/>
            <w:tcBorders>
              <w:top w:val="nil"/>
              <w:left w:val="nil"/>
              <w:bottom w:val="nil"/>
              <w:right w:val="single" w:sz="8" w:space="0" w:color="auto"/>
            </w:tcBorders>
            <w:shd w:val="clear" w:color="000000" w:fill="000000"/>
            <w:vAlign w:val="center"/>
            <w:hideMark/>
          </w:tcPr>
          <w:p w14:paraId="3637FFF9" w14:textId="77777777" w:rsidR="00F656C6" w:rsidRPr="00F656C6" w:rsidRDefault="00F656C6" w:rsidP="00F656C6">
            <w:pPr>
              <w:jc w:val="center"/>
              <w:rPr>
                <w:rFonts w:eastAsia="Times New Roman"/>
                <w:b/>
                <w:bCs/>
                <w:color w:val="FFFFFF"/>
                <w:sz w:val="22"/>
                <w:szCs w:val="22"/>
              </w:rPr>
            </w:pPr>
            <w:r w:rsidRPr="00F656C6">
              <w:rPr>
                <w:rFonts w:eastAsia="Times New Roman"/>
                <w:b/>
                <w:bCs/>
                <w:color w:val="FFFFFF"/>
                <w:sz w:val="22"/>
                <w:szCs w:val="22"/>
              </w:rPr>
              <w:t>WA elec. share</w:t>
            </w:r>
          </w:p>
        </w:tc>
        <w:tc>
          <w:tcPr>
            <w:tcW w:w="0" w:type="auto"/>
            <w:tcBorders>
              <w:top w:val="nil"/>
              <w:left w:val="nil"/>
              <w:bottom w:val="nil"/>
              <w:right w:val="single" w:sz="8" w:space="0" w:color="auto"/>
            </w:tcBorders>
            <w:shd w:val="clear" w:color="000000" w:fill="000000"/>
            <w:vAlign w:val="center"/>
            <w:hideMark/>
          </w:tcPr>
          <w:p w14:paraId="1D63CDE6" w14:textId="77777777" w:rsidR="00F656C6" w:rsidRPr="00F656C6" w:rsidRDefault="00F656C6" w:rsidP="00F656C6">
            <w:pPr>
              <w:jc w:val="center"/>
              <w:rPr>
                <w:rFonts w:eastAsia="Times New Roman"/>
                <w:b/>
                <w:bCs/>
                <w:color w:val="FFFFFF"/>
                <w:sz w:val="22"/>
                <w:szCs w:val="22"/>
              </w:rPr>
            </w:pPr>
            <w:r w:rsidRPr="00F656C6">
              <w:rPr>
                <w:rFonts w:eastAsia="Times New Roman"/>
                <w:b/>
                <w:bCs/>
                <w:color w:val="FFFFFF"/>
                <w:sz w:val="22"/>
                <w:szCs w:val="22"/>
              </w:rPr>
              <w:t>WA gas share</w:t>
            </w:r>
          </w:p>
        </w:tc>
      </w:tr>
      <w:tr w:rsidR="00F656C6" w:rsidRPr="00F656C6" w14:paraId="3281D60E"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31A928AC"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5138</w:t>
            </w:r>
          </w:p>
        </w:tc>
        <w:tc>
          <w:tcPr>
            <w:tcW w:w="4640" w:type="dxa"/>
            <w:tcBorders>
              <w:top w:val="nil"/>
              <w:left w:val="nil"/>
              <w:bottom w:val="single" w:sz="8" w:space="0" w:color="auto"/>
              <w:right w:val="single" w:sz="8" w:space="0" w:color="auto"/>
            </w:tcBorders>
            <w:shd w:val="clear" w:color="auto" w:fill="auto"/>
            <w:noWrap/>
            <w:vAlign w:val="center"/>
            <w:hideMark/>
          </w:tcPr>
          <w:p w14:paraId="418A1FB5"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CSS Replacement (Proj. Compass)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EF38B2"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36,864,000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65EEB9D"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10,933,000 </w:t>
            </w:r>
          </w:p>
        </w:tc>
      </w:tr>
      <w:tr w:rsidR="00F656C6" w:rsidRPr="00F656C6" w14:paraId="6F814B0D"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39FD9FD8"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5005</w:t>
            </w:r>
          </w:p>
        </w:tc>
        <w:tc>
          <w:tcPr>
            <w:tcW w:w="4640" w:type="dxa"/>
            <w:tcBorders>
              <w:top w:val="nil"/>
              <w:left w:val="nil"/>
              <w:bottom w:val="single" w:sz="8" w:space="0" w:color="auto"/>
              <w:right w:val="single" w:sz="8" w:space="0" w:color="auto"/>
            </w:tcBorders>
            <w:shd w:val="clear" w:color="auto" w:fill="auto"/>
            <w:noWrap/>
            <w:vAlign w:val="center"/>
            <w:hideMark/>
          </w:tcPr>
          <w:p w14:paraId="51E9E341"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Technology Refresh to Sustain Business Process</w:t>
            </w:r>
          </w:p>
        </w:tc>
        <w:tc>
          <w:tcPr>
            <w:tcW w:w="0" w:type="auto"/>
            <w:tcBorders>
              <w:top w:val="nil"/>
              <w:left w:val="nil"/>
              <w:bottom w:val="single" w:sz="8" w:space="0" w:color="auto"/>
              <w:right w:val="single" w:sz="8" w:space="0" w:color="auto"/>
            </w:tcBorders>
            <w:shd w:val="clear" w:color="auto" w:fill="auto"/>
            <w:noWrap/>
            <w:vAlign w:val="center"/>
            <w:hideMark/>
          </w:tcPr>
          <w:p w14:paraId="14C020E3"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2,654,000 </w:t>
            </w:r>
          </w:p>
        </w:tc>
        <w:tc>
          <w:tcPr>
            <w:tcW w:w="0" w:type="auto"/>
            <w:tcBorders>
              <w:top w:val="nil"/>
              <w:left w:val="nil"/>
              <w:bottom w:val="single" w:sz="8" w:space="0" w:color="auto"/>
              <w:right w:val="single" w:sz="8" w:space="0" w:color="auto"/>
            </w:tcBorders>
            <w:shd w:val="clear" w:color="auto" w:fill="auto"/>
            <w:noWrap/>
            <w:vAlign w:val="center"/>
            <w:hideMark/>
          </w:tcPr>
          <w:p w14:paraId="29BA6A00"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735,000 </w:t>
            </w:r>
          </w:p>
        </w:tc>
      </w:tr>
      <w:tr w:rsidR="00F656C6" w:rsidRPr="00F656C6" w14:paraId="47CFF47C"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4E2935BF"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4140</w:t>
            </w:r>
          </w:p>
        </w:tc>
        <w:tc>
          <w:tcPr>
            <w:tcW w:w="4640" w:type="dxa"/>
            <w:tcBorders>
              <w:top w:val="nil"/>
              <w:left w:val="nil"/>
              <w:bottom w:val="single" w:sz="8" w:space="0" w:color="auto"/>
              <w:right w:val="single" w:sz="8" w:space="0" w:color="auto"/>
            </w:tcBorders>
            <w:shd w:val="clear" w:color="auto" w:fill="auto"/>
            <w:noWrap/>
            <w:vAlign w:val="center"/>
            <w:hideMark/>
          </w:tcPr>
          <w:p w14:paraId="1DFFBC53"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Nine Mile Rehab</w:t>
            </w:r>
          </w:p>
        </w:tc>
        <w:tc>
          <w:tcPr>
            <w:tcW w:w="0" w:type="auto"/>
            <w:tcBorders>
              <w:top w:val="nil"/>
              <w:left w:val="nil"/>
              <w:bottom w:val="single" w:sz="8" w:space="0" w:color="auto"/>
              <w:right w:val="single" w:sz="8" w:space="0" w:color="auto"/>
            </w:tcBorders>
            <w:shd w:val="clear" w:color="auto" w:fill="auto"/>
            <w:noWrap/>
            <w:vAlign w:val="center"/>
            <w:hideMark/>
          </w:tcPr>
          <w:p w14:paraId="76E8911E"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3,092,000 </w:t>
            </w:r>
          </w:p>
        </w:tc>
        <w:tc>
          <w:tcPr>
            <w:tcW w:w="0" w:type="auto"/>
            <w:tcBorders>
              <w:top w:val="nil"/>
              <w:left w:val="nil"/>
              <w:bottom w:val="single" w:sz="8" w:space="0" w:color="auto"/>
              <w:right w:val="single" w:sz="8" w:space="0" w:color="auto"/>
            </w:tcBorders>
            <w:shd w:val="clear" w:color="auto" w:fill="auto"/>
            <w:noWrap/>
            <w:vAlign w:val="center"/>
            <w:hideMark/>
          </w:tcPr>
          <w:p w14:paraId="53142B5A"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47B93825"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0FE31C41"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3008</w:t>
            </w:r>
          </w:p>
        </w:tc>
        <w:tc>
          <w:tcPr>
            <w:tcW w:w="4640" w:type="dxa"/>
            <w:tcBorders>
              <w:top w:val="nil"/>
              <w:left w:val="nil"/>
              <w:bottom w:val="single" w:sz="8" w:space="0" w:color="auto"/>
              <w:right w:val="single" w:sz="8" w:space="0" w:color="auto"/>
            </w:tcBorders>
            <w:shd w:val="clear" w:color="auto" w:fill="auto"/>
            <w:noWrap/>
            <w:vAlign w:val="center"/>
            <w:hideMark/>
          </w:tcPr>
          <w:p w14:paraId="16BFAFF9"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Aldyl A Replacement</w:t>
            </w:r>
          </w:p>
        </w:tc>
        <w:tc>
          <w:tcPr>
            <w:tcW w:w="0" w:type="auto"/>
            <w:tcBorders>
              <w:top w:val="nil"/>
              <w:left w:val="nil"/>
              <w:bottom w:val="single" w:sz="8" w:space="0" w:color="auto"/>
              <w:right w:val="single" w:sz="8" w:space="0" w:color="auto"/>
            </w:tcBorders>
            <w:shd w:val="clear" w:color="auto" w:fill="auto"/>
            <w:noWrap/>
            <w:vAlign w:val="center"/>
            <w:hideMark/>
          </w:tcPr>
          <w:p w14:paraId="52CEAC70"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5DBA1B61"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2,387,000 </w:t>
            </w:r>
          </w:p>
        </w:tc>
      </w:tr>
      <w:tr w:rsidR="00F656C6" w:rsidRPr="00F656C6" w14:paraId="4A892CF1"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27ABD077"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4152</w:t>
            </w:r>
          </w:p>
        </w:tc>
        <w:tc>
          <w:tcPr>
            <w:tcW w:w="4640" w:type="dxa"/>
            <w:tcBorders>
              <w:top w:val="nil"/>
              <w:left w:val="nil"/>
              <w:bottom w:val="single" w:sz="8" w:space="0" w:color="auto"/>
              <w:right w:val="single" w:sz="8" w:space="0" w:color="auto"/>
            </w:tcBorders>
            <w:shd w:val="clear" w:color="auto" w:fill="auto"/>
            <w:noWrap/>
            <w:vAlign w:val="center"/>
            <w:hideMark/>
          </w:tcPr>
          <w:p w14:paraId="056923B9"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Little Falls Plant Upgrade</w:t>
            </w:r>
          </w:p>
        </w:tc>
        <w:tc>
          <w:tcPr>
            <w:tcW w:w="0" w:type="auto"/>
            <w:tcBorders>
              <w:top w:val="nil"/>
              <w:left w:val="nil"/>
              <w:bottom w:val="single" w:sz="8" w:space="0" w:color="auto"/>
              <w:right w:val="single" w:sz="8" w:space="0" w:color="auto"/>
            </w:tcBorders>
            <w:shd w:val="clear" w:color="auto" w:fill="auto"/>
            <w:noWrap/>
            <w:vAlign w:val="center"/>
            <w:hideMark/>
          </w:tcPr>
          <w:p w14:paraId="2D8C366B"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2,354,000 </w:t>
            </w:r>
          </w:p>
        </w:tc>
        <w:tc>
          <w:tcPr>
            <w:tcW w:w="0" w:type="auto"/>
            <w:tcBorders>
              <w:top w:val="nil"/>
              <w:left w:val="nil"/>
              <w:bottom w:val="single" w:sz="8" w:space="0" w:color="auto"/>
              <w:right w:val="single" w:sz="8" w:space="0" w:color="auto"/>
            </w:tcBorders>
            <w:shd w:val="clear" w:color="auto" w:fill="auto"/>
            <w:noWrap/>
            <w:vAlign w:val="center"/>
            <w:hideMark/>
          </w:tcPr>
          <w:p w14:paraId="771061E9"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07E1D1E9"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0B8DF8CA"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6103</w:t>
            </w:r>
          </w:p>
        </w:tc>
        <w:tc>
          <w:tcPr>
            <w:tcW w:w="4640" w:type="dxa"/>
            <w:tcBorders>
              <w:top w:val="nil"/>
              <w:left w:val="nil"/>
              <w:bottom w:val="single" w:sz="8" w:space="0" w:color="auto"/>
              <w:right w:val="single" w:sz="8" w:space="0" w:color="auto"/>
            </w:tcBorders>
            <w:shd w:val="clear" w:color="auto" w:fill="auto"/>
            <w:noWrap/>
            <w:vAlign w:val="center"/>
            <w:hideMark/>
          </w:tcPr>
          <w:p w14:paraId="608E0BB0"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Clark Fork Settlement Agreement</w:t>
            </w:r>
          </w:p>
        </w:tc>
        <w:tc>
          <w:tcPr>
            <w:tcW w:w="0" w:type="auto"/>
            <w:tcBorders>
              <w:top w:val="nil"/>
              <w:left w:val="nil"/>
              <w:bottom w:val="single" w:sz="8" w:space="0" w:color="auto"/>
              <w:right w:val="single" w:sz="8" w:space="0" w:color="auto"/>
            </w:tcBorders>
            <w:shd w:val="clear" w:color="auto" w:fill="auto"/>
            <w:noWrap/>
            <w:vAlign w:val="center"/>
            <w:hideMark/>
          </w:tcPr>
          <w:p w14:paraId="44634284"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6,382,000 </w:t>
            </w:r>
          </w:p>
        </w:tc>
        <w:tc>
          <w:tcPr>
            <w:tcW w:w="0" w:type="auto"/>
            <w:tcBorders>
              <w:top w:val="nil"/>
              <w:left w:val="nil"/>
              <w:bottom w:val="single" w:sz="8" w:space="0" w:color="auto"/>
              <w:right w:val="single" w:sz="8" w:space="0" w:color="auto"/>
            </w:tcBorders>
            <w:shd w:val="clear" w:color="auto" w:fill="auto"/>
            <w:noWrap/>
            <w:vAlign w:val="center"/>
            <w:hideMark/>
          </w:tcPr>
          <w:p w14:paraId="2EFBAB27"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6355789F"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7D3E89D8"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4161</w:t>
            </w:r>
          </w:p>
        </w:tc>
        <w:tc>
          <w:tcPr>
            <w:tcW w:w="4640" w:type="dxa"/>
            <w:tcBorders>
              <w:top w:val="nil"/>
              <w:left w:val="nil"/>
              <w:bottom w:val="single" w:sz="8" w:space="0" w:color="auto"/>
              <w:right w:val="single" w:sz="8" w:space="0" w:color="auto"/>
            </w:tcBorders>
            <w:shd w:val="clear" w:color="auto" w:fill="auto"/>
            <w:noWrap/>
            <w:vAlign w:val="center"/>
            <w:hideMark/>
          </w:tcPr>
          <w:p w14:paraId="633B1821"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Cabinet Gorge Unit 1 Refurbishment</w:t>
            </w:r>
          </w:p>
        </w:tc>
        <w:tc>
          <w:tcPr>
            <w:tcW w:w="0" w:type="auto"/>
            <w:tcBorders>
              <w:top w:val="nil"/>
              <w:left w:val="nil"/>
              <w:bottom w:val="single" w:sz="8" w:space="0" w:color="auto"/>
              <w:right w:val="single" w:sz="8" w:space="0" w:color="auto"/>
            </w:tcBorders>
            <w:shd w:val="clear" w:color="auto" w:fill="auto"/>
            <w:noWrap/>
            <w:vAlign w:val="center"/>
            <w:hideMark/>
          </w:tcPr>
          <w:p w14:paraId="6D19A325"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B94B7A2"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1A4EC3A8"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6101637F"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4162</w:t>
            </w:r>
          </w:p>
        </w:tc>
        <w:tc>
          <w:tcPr>
            <w:tcW w:w="4640" w:type="dxa"/>
            <w:tcBorders>
              <w:top w:val="nil"/>
              <w:left w:val="nil"/>
              <w:bottom w:val="single" w:sz="8" w:space="0" w:color="auto"/>
              <w:right w:val="single" w:sz="8" w:space="0" w:color="auto"/>
            </w:tcBorders>
            <w:shd w:val="clear" w:color="auto" w:fill="auto"/>
            <w:noWrap/>
            <w:vAlign w:val="center"/>
            <w:hideMark/>
          </w:tcPr>
          <w:p w14:paraId="0D52E305"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Post Falls South Channel Replacement</w:t>
            </w:r>
          </w:p>
        </w:tc>
        <w:tc>
          <w:tcPr>
            <w:tcW w:w="0" w:type="auto"/>
            <w:tcBorders>
              <w:top w:val="nil"/>
              <w:left w:val="nil"/>
              <w:bottom w:val="single" w:sz="8" w:space="0" w:color="auto"/>
              <w:right w:val="single" w:sz="8" w:space="0" w:color="auto"/>
            </w:tcBorders>
            <w:shd w:val="clear" w:color="auto" w:fill="auto"/>
            <w:noWrap/>
            <w:vAlign w:val="center"/>
            <w:hideMark/>
          </w:tcPr>
          <w:p w14:paraId="3FDBEF2A"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7372E882"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3904214C"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5AB4C465"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2060</w:t>
            </w:r>
          </w:p>
        </w:tc>
        <w:tc>
          <w:tcPr>
            <w:tcW w:w="4640" w:type="dxa"/>
            <w:tcBorders>
              <w:top w:val="nil"/>
              <w:left w:val="nil"/>
              <w:bottom w:val="single" w:sz="8" w:space="0" w:color="auto"/>
              <w:right w:val="single" w:sz="8" w:space="0" w:color="auto"/>
            </w:tcBorders>
            <w:shd w:val="clear" w:color="auto" w:fill="auto"/>
            <w:noWrap/>
            <w:vAlign w:val="center"/>
            <w:hideMark/>
          </w:tcPr>
          <w:p w14:paraId="63DF31A7"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Distribution Wood Pole Management</w:t>
            </w:r>
          </w:p>
        </w:tc>
        <w:tc>
          <w:tcPr>
            <w:tcW w:w="0" w:type="auto"/>
            <w:tcBorders>
              <w:top w:val="nil"/>
              <w:left w:val="nil"/>
              <w:bottom w:val="single" w:sz="8" w:space="0" w:color="auto"/>
              <w:right w:val="single" w:sz="8" w:space="0" w:color="auto"/>
            </w:tcBorders>
            <w:shd w:val="clear" w:color="auto" w:fill="auto"/>
            <w:noWrap/>
            <w:vAlign w:val="center"/>
            <w:hideMark/>
          </w:tcPr>
          <w:p w14:paraId="0480C124"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3,749,000 </w:t>
            </w:r>
          </w:p>
        </w:tc>
        <w:tc>
          <w:tcPr>
            <w:tcW w:w="0" w:type="auto"/>
            <w:tcBorders>
              <w:top w:val="nil"/>
              <w:left w:val="nil"/>
              <w:bottom w:val="single" w:sz="8" w:space="0" w:color="auto"/>
              <w:right w:val="single" w:sz="8" w:space="0" w:color="auto"/>
            </w:tcBorders>
            <w:shd w:val="clear" w:color="auto" w:fill="auto"/>
            <w:noWrap/>
            <w:vAlign w:val="center"/>
            <w:hideMark/>
          </w:tcPr>
          <w:p w14:paraId="5A7E4404"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415DCAAF"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6E7E4443"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2470</w:t>
            </w:r>
          </w:p>
        </w:tc>
        <w:tc>
          <w:tcPr>
            <w:tcW w:w="4640" w:type="dxa"/>
            <w:tcBorders>
              <w:top w:val="nil"/>
              <w:left w:val="nil"/>
              <w:bottom w:val="single" w:sz="8" w:space="0" w:color="auto"/>
              <w:right w:val="single" w:sz="8" w:space="0" w:color="auto"/>
            </w:tcBorders>
            <w:shd w:val="clear" w:color="auto" w:fill="auto"/>
            <w:noWrap/>
            <w:vAlign w:val="center"/>
            <w:hideMark/>
          </w:tcPr>
          <w:p w14:paraId="7D0DAE81"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Distribution Grid Modernization</w:t>
            </w:r>
          </w:p>
        </w:tc>
        <w:tc>
          <w:tcPr>
            <w:tcW w:w="0" w:type="auto"/>
            <w:tcBorders>
              <w:top w:val="nil"/>
              <w:left w:val="nil"/>
              <w:bottom w:val="single" w:sz="8" w:space="0" w:color="auto"/>
              <w:right w:val="single" w:sz="8" w:space="0" w:color="auto"/>
            </w:tcBorders>
            <w:shd w:val="clear" w:color="auto" w:fill="auto"/>
            <w:noWrap/>
            <w:vAlign w:val="center"/>
            <w:hideMark/>
          </w:tcPr>
          <w:p w14:paraId="10EC87EC"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1,608,000 </w:t>
            </w:r>
          </w:p>
        </w:tc>
        <w:tc>
          <w:tcPr>
            <w:tcW w:w="0" w:type="auto"/>
            <w:tcBorders>
              <w:top w:val="nil"/>
              <w:left w:val="nil"/>
              <w:bottom w:val="single" w:sz="8" w:space="0" w:color="auto"/>
              <w:right w:val="single" w:sz="8" w:space="0" w:color="auto"/>
            </w:tcBorders>
            <w:shd w:val="clear" w:color="auto" w:fill="auto"/>
            <w:noWrap/>
            <w:vAlign w:val="center"/>
            <w:hideMark/>
          </w:tcPr>
          <w:p w14:paraId="5D27225A"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28443630"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46357C4E"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7101</w:t>
            </w:r>
          </w:p>
        </w:tc>
        <w:tc>
          <w:tcPr>
            <w:tcW w:w="4640" w:type="dxa"/>
            <w:tcBorders>
              <w:top w:val="nil"/>
              <w:left w:val="nil"/>
              <w:bottom w:val="single" w:sz="8" w:space="0" w:color="auto"/>
              <w:right w:val="single" w:sz="8" w:space="0" w:color="auto"/>
            </w:tcBorders>
            <w:shd w:val="clear" w:color="auto" w:fill="auto"/>
            <w:noWrap/>
            <w:vAlign w:val="center"/>
            <w:hideMark/>
          </w:tcPr>
          <w:p w14:paraId="0CEEA949"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HVAC Renovation Project</w:t>
            </w:r>
          </w:p>
        </w:tc>
        <w:tc>
          <w:tcPr>
            <w:tcW w:w="0" w:type="auto"/>
            <w:tcBorders>
              <w:top w:val="nil"/>
              <w:left w:val="nil"/>
              <w:bottom w:val="single" w:sz="8" w:space="0" w:color="auto"/>
              <w:right w:val="single" w:sz="8" w:space="0" w:color="auto"/>
            </w:tcBorders>
            <w:shd w:val="clear" w:color="auto" w:fill="auto"/>
            <w:noWrap/>
            <w:vAlign w:val="center"/>
            <w:hideMark/>
          </w:tcPr>
          <w:p w14:paraId="3AE10D0B"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66BE2953"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4BFB152C"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5BDF8B87"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3005</w:t>
            </w:r>
          </w:p>
        </w:tc>
        <w:tc>
          <w:tcPr>
            <w:tcW w:w="4640" w:type="dxa"/>
            <w:tcBorders>
              <w:top w:val="nil"/>
              <w:left w:val="nil"/>
              <w:bottom w:val="single" w:sz="8" w:space="0" w:color="auto"/>
              <w:right w:val="single" w:sz="8" w:space="0" w:color="auto"/>
            </w:tcBorders>
            <w:shd w:val="clear" w:color="auto" w:fill="auto"/>
            <w:noWrap/>
            <w:vAlign w:val="center"/>
            <w:hideMark/>
          </w:tcPr>
          <w:p w14:paraId="29F8ADCF"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Gas Non-Revenue Program</w:t>
            </w:r>
          </w:p>
        </w:tc>
        <w:tc>
          <w:tcPr>
            <w:tcW w:w="0" w:type="auto"/>
            <w:tcBorders>
              <w:top w:val="nil"/>
              <w:left w:val="nil"/>
              <w:bottom w:val="single" w:sz="8" w:space="0" w:color="auto"/>
              <w:right w:val="single" w:sz="8" w:space="0" w:color="auto"/>
            </w:tcBorders>
            <w:shd w:val="clear" w:color="auto" w:fill="auto"/>
            <w:noWrap/>
            <w:vAlign w:val="center"/>
            <w:hideMark/>
          </w:tcPr>
          <w:p w14:paraId="4430AA07"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19F7A17E"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1,648,000 </w:t>
            </w:r>
          </w:p>
        </w:tc>
      </w:tr>
      <w:tr w:rsidR="00F656C6" w:rsidRPr="00F656C6" w14:paraId="45470B9B"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7A680DE0"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3306</w:t>
            </w:r>
          </w:p>
        </w:tc>
        <w:tc>
          <w:tcPr>
            <w:tcW w:w="4640" w:type="dxa"/>
            <w:tcBorders>
              <w:top w:val="nil"/>
              <w:left w:val="nil"/>
              <w:bottom w:val="single" w:sz="8" w:space="0" w:color="auto"/>
              <w:right w:val="single" w:sz="8" w:space="0" w:color="auto"/>
            </w:tcBorders>
            <w:shd w:val="clear" w:color="auto" w:fill="auto"/>
            <w:noWrap/>
            <w:vAlign w:val="center"/>
            <w:hideMark/>
          </w:tcPr>
          <w:p w14:paraId="04E942DD"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Gas Goldendale HP Main Reinforcement Project</w:t>
            </w:r>
          </w:p>
        </w:tc>
        <w:tc>
          <w:tcPr>
            <w:tcW w:w="0" w:type="auto"/>
            <w:tcBorders>
              <w:top w:val="nil"/>
              <w:left w:val="nil"/>
              <w:bottom w:val="single" w:sz="8" w:space="0" w:color="auto"/>
              <w:right w:val="single" w:sz="8" w:space="0" w:color="auto"/>
            </w:tcBorders>
            <w:shd w:val="clear" w:color="auto" w:fill="auto"/>
            <w:noWrap/>
            <w:vAlign w:val="center"/>
            <w:hideMark/>
          </w:tcPr>
          <w:p w14:paraId="03B6CEC3"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1726C457"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r>
      <w:tr w:rsidR="00F656C6" w:rsidRPr="00F656C6" w14:paraId="67C31653" w14:textId="77777777" w:rsidTr="00F656C6">
        <w:trPr>
          <w:trHeight w:val="315"/>
          <w:jc w:val="center"/>
        </w:trPr>
        <w:tc>
          <w:tcPr>
            <w:tcW w:w="656" w:type="dxa"/>
            <w:tcBorders>
              <w:top w:val="nil"/>
              <w:left w:val="nil"/>
              <w:bottom w:val="single" w:sz="8" w:space="0" w:color="auto"/>
              <w:right w:val="single" w:sz="8" w:space="0" w:color="auto"/>
            </w:tcBorders>
            <w:shd w:val="clear" w:color="auto" w:fill="auto"/>
            <w:noWrap/>
            <w:vAlign w:val="center"/>
            <w:hideMark/>
          </w:tcPr>
          <w:p w14:paraId="51951685" w14:textId="77777777" w:rsidR="00F656C6" w:rsidRPr="00F656C6" w:rsidRDefault="00F656C6" w:rsidP="00F656C6">
            <w:pPr>
              <w:jc w:val="center"/>
              <w:rPr>
                <w:rFonts w:eastAsia="Times New Roman"/>
                <w:color w:val="000000"/>
                <w:sz w:val="22"/>
                <w:szCs w:val="22"/>
              </w:rPr>
            </w:pPr>
            <w:r w:rsidRPr="00F656C6">
              <w:rPr>
                <w:rFonts w:eastAsia="Times New Roman"/>
                <w:color w:val="000000"/>
                <w:sz w:val="22"/>
                <w:szCs w:val="22"/>
              </w:rPr>
              <w:t>3007</w:t>
            </w:r>
          </w:p>
        </w:tc>
        <w:tc>
          <w:tcPr>
            <w:tcW w:w="4640" w:type="dxa"/>
            <w:tcBorders>
              <w:top w:val="nil"/>
              <w:left w:val="nil"/>
              <w:bottom w:val="single" w:sz="8" w:space="0" w:color="auto"/>
              <w:right w:val="single" w:sz="8" w:space="0" w:color="auto"/>
            </w:tcBorders>
            <w:shd w:val="clear" w:color="auto" w:fill="auto"/>
            <w:noWrap/>
            <w:vAlign w:val="center"/>
            <w:hideMark/>
          </w:tcPr>
          <w:p w14:paraId="5F8DC4A8"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Gas Isolated Steel Replacement Program</w:t>
            </w:r>
          </w:p>
        </w:tc>
        <w:tc>
          <w:tcPr>
            <w:tcW w:w="0" w:type="auto"/>
            <w:tcBorders>
              <w:top w:val="nil"/>
              <w:left w:val="nil"/>
              <w:bottom w:val="single" w:sz="8" w:space="0" w:color="auto"/>
              <w:right w:val="single" w:sz="8" w:space="0" w:color="auto"/>
            </w:tcBorders>
            <w:shd w:val="clear" w:color="auto" w:fill="auto"/>
            <w:noWrap/>
            <w:vAlign w:val="center"/>
            <w:hideMark/>
          </w:tcPr>
          <w:p w14:paraId="5CBE40CA"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9C86478" w14:textId="77777777" w:rsidR="00F656C6" w:rsidRPr="00F656C6" w:rsidRDefault="00F656C6" w:rsidP="00F656C6">
            <w:pPr>
              <w:rPr>
                <w:rFonts w:eastAsia="Times New Roman"/>
                <w:color w:val="000000"/>
                <w:sz w:val="22"/>
                <w:szCs w:val="22"/>
              </w:rPr>
            </w:pPr>
            <w:r w:rsidRPr="00F656C6">
              <w:rPr>
                <w:rFonts w:eastAsia="Times New Roman"/>
                <w:color w:val="000000"/>
                <w:sz w:val="22"/>
                <w:szCs w:val="22"/>
              </w:rPr>
              <w:t xml:space="preserve"> $        464,000 </w:t>
            </w:r>
          </w:p>
        </w:tc>
      </w:tr>
      <w:tr w:rsidR="00F656C6" w:rsidRPr="00F656C6" w14:paraId="7A0C2F9F" w14:textId="77777777" w:rsidTr="00F656C6">
        <w:trPr>
          <w:trHeight w:val="315"/>
          <w:jc w:val="center"/>
        </w:trPr>
        <w:tc>
          <w:tcPr>
            <w:tcW w:w="656" w:type="dxa"/>
            <w:tcBorders>
              <w:top w:val="nil"/>
              <w:left w:val="nil"/>
              <w:bottom w:val="nil"/>
              <w:right w:val="nil"/>
            </w:tcBorders>
            <w:shd w:val="clear" w:color="auto" w:fill="auto"/>
            <w:noWrap/>
            <w:vAlign w:val="bottom"/>
            <w:hideMark/>
          </w:tcPr>
          <w:p w14:paraId="423C59F9" w14:textId="77777777" w:rsidR="00F656C6" w:rsidRPr="00F656C6" w:rsidRDefault="00F656C6" w:rsidP="00F656C6">
            <w:pPr>
              <w:rPr>
                <w:rFonts w:eastAsia="Times New Roman"/>
                <w:color w:val="000000"/>
                <w:sz w:val="22"/>
                <w:szCs w:val="22"/>
              </w:rPr>
            </w:pPr>
          </w:p>
        </w:tc>
        <w:tc>
          <w:tcPr>
            <w:tcW w:w="4640" w:type="dxa"/>
            <w:tcBorders>
              <w:top w:val="nil"/>
              <w:left w:val="single" w:sz="8" w:space="0" w:color="auto"/>
              <w:bottom w:val="single" w:sz="8" w:space="0" w:color="auto"/>
              <w:right w:val="single" w:sz="8" w:space="0" w:color="auto"/>
            </w:tcBorders>
            <w:shd w:val="clear" w:color="000000" w:fill="D9D9D9"/>
            <w:vAlign w:val="center"/>
            <w:hideMark/>
          </w:tcPr>
          <w:p w14:paraId="20548DE9" w14:textId="77777777" w:rsidR="00F656C6" w:rsidRPr="00F656C6" w:rsidRDefault="00F656C6" w:rsidP="00F656C6">
            <w:pPr>
              <w:jc w:val="center"/>
              <w:rPr>
                <w:rFonts w:eastAsia="Times New Roman"/>
                <w:b/>
                <w:bCs/>
                <w:color w:val="000000"/>
                <w:sz w:val="22"/>
                <w:szCs w:val="22"/>
              </w:rPr>
            </w:pPr>
            <w:r w:rsidRPr="00F656C6">
              <w:rPr>
                <w:rFonts w:eastAsia="Times New Roman"/>
                <w:b/>
                <w:bCs/>
                <w:color w:val="000000"/>
                <w:sz w:val="22"/>
                <w:szCs w:val="22"/>
              </w:rPr>
              <w:t>Staff Total; Listed ERs</w:t>
            </w:r>
          </w:p>
        </w:tc>
        <w:tc>
          <w:tcPr>
            <w:tcW w:w="0" w:type="auto"/>
            <w:tcBorders>
              <w:top w:val="nil"/>
              <w:left w:val="nil"/>
              <w:bottom w:val="single" w:sz="8" w:space="0" w:color="auto"/>
              <w:right w:val="single" w:sz="8" w:space="0" w:color="auto"/>
            </w:tcBorders>
            <w:shd w:val="clear" w:color="auto" w:fill="auto"/>
            <w:noWrap/>
            <w:vAlign w:val="center"/>
            <w:hideMark/>
          </w:tcPr>
          <w:p w14:paraId="66D4DF10" w14:textId="77777777" w:rsidR="00F656C6" w:rsidRPr="00F656C6" w:rsidRDefault="00F656C6" w:rsidP="00F656C6">
            <w:pPr>
              <w:jc w:val="right"/>
              <w:rPr>
                <w:rFonts w:eastAsia="Times New Roman"/>
                <w:b/>
                <w:bCs/>
                <w:color w:val="000000"/>
                <w:sz w:val="22"/>
                <w:szCs w:val="22"/>
              </w:rPr>
            </w:pPr>
            <w:r w:rsidRPr="00F656C6">
              <w:rPr>
                <w:rFonts w:eastAsia="Times New Roman"/>
                <w:b/>
                <w:bCs/>
                <w:color w:val="000000"/>
                <w:sz w:val="22"/>
                <w:szCs w:val="22"/>
              </w:rPr>
              <w:t>$56,703,000</w:t>
            </w:r>
          </w:p>
        </w:tc>
        <w:tc>
          <w:tcPr>
            <w:tcW w:w="0" w:type="auto"/>
            <w:tcBorders>
              <w:top w:val="nil"/>
              <w:left w:val="nil"/>
              <w:bottom w:val="single" w:sz="8" w:space="0" w:color="auto"/>
              <w:right w:val="single" w:sz="8" w:space="0" w:color="auto"/>
            </w:tcBorders>
            <w:shd w:val="clear" w:color="auto" w:fill="auto"/>
            <w:noWrap/>
            <w:vAlign w:val="center"/>
            <w:hideMark/>
          </w:tcPr>
          <w:p w14:paraId="0F7E443A" w14:textId="77777777" w:rsidR="00F656C6" w:rsidRPr="00F656C6" w:rsidRDefault="00F656C6" w:rsidP="00F656C6">
            <w:pPr>
              <w:jc w:val="right"/>
              <w:rPr>
                <w:rFonts w:eastAsia="Times New Roman"/>
                <w:b/>
                <w:bCs/>
                <w:color w:val="000000"/>
                <w:sz w:val="22"/>
                <w:szCs w:val="22"/>
              </w:rPr>
            </w:pPr>
            <w:r w:rsidRPr="00F656C6">
              <w:rPr>
                <w:rFonts w:eastAsia="Times New Roman"/>
                <w:b/>
                <w:bCs/>
                <w:color w:val="000000"/>
                <w:sz w:val="22"/>
                <w:szCs w:val="22"/>
              </w:rPr>
              <w:t>$16,167,000</w:t>
            </w:r>
          </w:p>
        </w:tc>
      </w:tr>
    </w:tbl>
    <w:p w14:paraId="2C7DCF15" w14:textId="77777777" w:rsidR="007C58A1" w:rsidRDefault="007C58A1" w:rsidP="008E0C42">
      <w:pPr>
        <w:pStyle w:val="NoSpacing"/>
      </w:pPr>
    </w:p>
    <w:p w14:paraId="4EAFC6F5" w14:textId="77777777" w:rsidR="00D4273E" w:rsidRDefault="00D4273E" w:rsidP="008E0C42">
      <w:pPr>
        <w:pStyle w:val="NoSpacing"/>
      </w:pPr>
    </w:p>
    <w:p w14:paraId="5F076AA5" w14:textId="2FC6B06F" w:rsidR="007D079C" w:rsidRDefault="007D079C" w:rsidP="007D079C">
      <w:pPr>
        <w:pStyle w:val="Heading8"/>
      </w:pPr>
      <w:r>
        <w:t>Q.</w:t>
      </w:r>
      <w:r>
        <w:tab/>
        <w:t>Why did Staff concern itself with the June 30, 2015 actual balances for these projects?</w:t>
      </w:r>
    </w:p>
    <w:p w14:paraId="5E81CEDC" w14:textId="74035A53" w:rsidR="00356B17" w:rsidRDefault="007D079C" w:rsidP="00356B17">
      <w:pPr>
        <w:spacing w:line="480" w:lineRule="auto"/>
        <w:ind w:left="720" w:hanging="720"/>
        <w:rPr>
          <w:rFonts w:eastAsia="Calibri"/>
        </w:rPr>
      </w:pPr>
      <w:r>
        <w:t>A.</w:t>
      </w:r>
      <w:r>
        <w:tab/>
      </w:r>
      <w:r w:rsidRPr="007D079C">
        <w:rPr>
          <w:rFonts w:eastAsia="Calibri"/>
        </w:rPr>
        <w:t xml:space="preserve">Staff adopts an “in-service cutoff date” of June 30, 2015, for major plant additions; these items </w:t>
      </w:r>
      <w:r w:rsidR="000B0BE1">
        <w:rPr>
          <w:rFonts w:eastAsia="Calibri"/>
        </w:rPr>
        <w:t>are</w:t>
      </w:r>
      <w:r w:rsidRPr="007D079C">
        <w:rPr>
          <w:rFonts w:eastAsia="Calibri"/>
        </w:rPr>
        <w:t xml:space="preserve"> used and useful for ratemaking purposes.  </w:t>
      </w:r>
      <w:r w:rsidR="00324061">
        <w:rPr>
          <w:rFonts w:eastAsia="Calibri"/>
        </w:rPr>
        <w:t>These items were audited during a Staff visit to Avista’s headquarters in Spokane on July 8, 2015.</w:t>
      </w:r>
      <w:r w:rsidR="00356B17">
        <w:rPr>
          <w:rFonts w:eastAsia="Calibri"/>
        </w:rPr>
        <w:t xml:space="preserve">  </w:t>
      </w:r>
    </w:p>
    <w:p w14:paraId="4F078BE2" w14:textId="5D259EEA" w:rsidR="007D079C" w:rsidRPr="007D079C" w:rsidRDefault="007D079C" w:rsidP="00324061">
      <w:pPr>
        <w:spacing w:line="480" w:lineRule="auto"/>
        <w:ind w:left="720" w:firstLine="720"/>
        <w:rPr>
          <w:rFonts w:eastAsia="Calibri"/>
        </w:rPr>
      </w:pPr>
      <w:r w:rsidRPr="007D079C">
        <w:rPr>
          <w:rFonts w:eastAsia="Calibri"/>
        </w:rPr>
        <w:t xml:space="preserve">Staff considers all major plant in service as of June 30, 2015, to be appropriate for consideration as a standard, </w:t>
      </w:r>
      <w:r w:rsidRPr="00324061">
        <w:rPr>
          <w:rFonts w:eastAsia="Calibri"/>
          <w:i/>
        </w:rPr>
        <w:t>pro forma</w:t>
      </w:r>
      <w:r w:rsidRPr="007D079C">
        <w:rPr>
          <w:rFonts w:eastAsia="Calibri"/>
        </w:rPr>
        <w:t xml:space="preserve"> plant adjustment. This date was chosen to incorporate known and measurable transfers to plant that have occurred since the case was filed</w:t>
      </w:r>
      <w:r w:rsidR="006769A9">
        <w:rPr>
          <w:rFonts w:eastAsia="Calibri"/>
        </w:rPr>
        <w:t>.  Further, th</w:t>
      </w:r>
      <w:r w:rsidR="005A2D46">
        <w:rPr>
          <w:rFonts w:eastAsia="Calibri"/>
        </w:rPr>
        <w:t>is</w:t>
      </w:r>
      <w:r w:rsidR="006769A9">
        <w:rPr>
          <w:rFonts w:eastAsia="Calibri"/>
        </w:rPr>
        <w:t xml:space="preserve"> date</w:t>
      </w:r>
      <w:r w:rsidRPr="007D079C">
        <w:rPr>
          <w:rFonts w:eastAsia="Calibri"/>
        </w:rPr>
        <w:t xml:space="preserve"> provide</w:t>
      </w:r>
      <w:r w:rsidR="006769A9">
        <w:rPr>
          <w:rFonts w:eastAsia="Calibri"/>
        </w:rPr>
        <w:t>d</w:t>
      </w:r>
      <w:r w:rsidRPr="007D079C">
        <w:rPr>
          <w:rFonts w:eastAsia="Calibri"/>
        </w:rPr>
        <w:t xml:space="preserve"> Staff enough time </w:t>
      </w:r>
      <w:r w:rsidR="006769A9" w:rsidRPr="007D079C">
        <w:rPr>
          <w:rFonts w:eastAsia="Calibri"/>
        </w:rPr>
        <w:t xml:space="preserve">to verify the Company’s figures </w:t>
      </w:r>
      <w:r w:rsidRPr="007D079C">
        <w:rPr>
          <w:rFonts w:eastAsia="Calibri"/>
        </w:rPr>
        <w:t xml:space="preserve">before </w:t>
      </w:r>
      <w:r w:rsidR="006769A9">
        <w:rPr>
          <w:rFonts w:eastAsia="Calibri"/>
        </w:rPr>
        <w:t>the filing of</w:t>
      </w:r>
      <w:r w:rsidR="006769A9" w:rsidRPr="007D079C">
        <w:rPr>
          <w:rFonts w:eastAsia="Calibri"/>
        </w:rPr>
        <w:t xml:space="preserve"> </w:t>
      </w:r>
      <w:r w:rsidRPr="007D079C">
        <w:rPr>
          <w:rFonts w:eastAsia="Calibri"/>
        </w:rPr>
        <w:t xml:space="preserve">testimony </w:t>
      </w:r>
      <w:r w:rsidR="006769A9">
        <w:rPr>
          <w:rFonts w:eastAsia="Calibri"/>
        </w:rPr>
        <w:t>on</w:t>
      </w:r>
      <w:r w:rsidRPr="007D079C">
        <w:rPr>
          <w:rFonts w:eastAsia="Calibri"/>
        </w:rPr>
        <w:t xml:space="preserve"> July 27, 2015.</w:t>
      </w:r>
      <w:r w:rsidRPr="007D079C">
        <w:rPr>
          <w:rFonts w:eastAsia="Calibri"/>
          <w:vertAlign w:val="superscript"/>
        </w:rPr>
        <w:footnoteReference w:id="20"/>
      </w:r>
      <w:r w:rsidRPr="007D079C">
        <w:rPr>
          <w:rFonts w:eastAsia="Calibri"/>
        </w:rPr>
        <w:t xml:space="preserve">  The table below is included to help clarify matters.  Mr. Gomez’s testimony addresses the proposed rate base additions that meet these standards.</w:t>
      </w:r>
    </w:p>
    <w:p w14:paraId="6F8E4001" w14:textId="132AF594" w:rsidR="007D079C" w:rsidRPr="007D079C" w:rsidRDefault="007D079C" w:rsidP="00356B17">
      <w:pPr>
        <w:spacing w:line="480" w:lineRule="auto"/>
        <w:rPr>
          <w:rFonts w:eastAsia="Calibri"/>
        </w:rPr>
      </w:pPr>
    </w:p>
    <w:p w14:paraId="20A68846" w14:textId="615453CC" w:rsidR="007D079C" w:rsidRDefault="00324061" w:rsidP="00324061">
      <w:pPr>
        <w:pStyle w:val="NoSpacing"/>
        <w:keepNext/>
        <w:keepLines/>
        <w:jc w:val="center"/>
        <w:rPr>
          <w:b/>
          <w:color w:val="000000"/>
        </w:rPr>
      </w:pPr>
      <w:r w:rsidRPr="00324061">
        <w:rPr>
          <w:b/>
          <w:color w:val="000000"/>
        </w:rPr>
        <w:t xml:space="preserve">Table 5 – Treatment of </w:t>
      </w:r>
      <w:r w:rsidRPr="00324061">
        <w:rPr>
          <w:b/>
          <w:i/>
          <w:color w:val="000000"/>
        </w:rPr>
        <w:t xml:space="preserve">pro forma </w:t>
      </w:r>
      <w:r w:rsidRPr="00324061">
        <w:rPr>
          <w:b/>
          <w:color w:val="000000"/>
        </w:rPr>
        <w:t>capital additions, by date</w:t>
      </w:r>
    </w:p>
    <w:tbl>
      <w:tblPr>
        <w:tblW w:w="8163" w:type="dxa"/>
        <w:tblLook w:val="04A0" w:firstRow="1" w:lastRow="0" w:firstColumn="1" w:lastColumn="0" w:noHBand="0" w:noVBand="1"/>
      </w:tblPr>
      <w:tblGrid>
        <w:gridCol w:w="869"/>
        <w:gridCol w:w="2377"/>
        <w:gridCol w:w="2289"/>
        <w:gridCol w:w="3129"/>
      </w:tblGrid>
      <w:tr w:rsidR="00324061" w:rsidRPr="00324061" w14:paraId="2DDE3AFB" w14:textId="77777777" w:rsidTr="00324061">
        <w:trPr>
          <w:cantSplit/>
          <w:trHeight w:val="330"/>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86596" w14:textId="77777777" w:rsidR="00324061" w:rsidRPr="00324061" w:rsidRDefault="00324061" w:rsidP="00324061">
            <w:pPr>
              <w:keepNext/>
              <w:keepLines/>
              <w:rPr>
                <w:rFonts w:eastAsia="Times New Roman"/>
                <w:color w:val="000000"/>
              </w:rPr>
            </w:pPr>
            <w:r w:rsidRPr="00324061">
              <w:rPr>
                <w:rFonts w:eastAsia="Times New Roman"/>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CDDF84C" w14:textId="77777777" w:rsidR="00324061" w:rsidRPr="00324061" w:rsidRDefault="00324061" w:rsidP="00324061">
            <w:pPr>
              <w:keepNext/>
              <w:keepLines/>
              <w:jc w:val="center"/>
              <w:rPr>
                <w:rFonts w:eastAsia="Times New Roman"/>
                <w:b/>
                <w:bCs/>
                <w:color w:val="000000"/>
              </w:rPr>
            </w:pPr>
            <w:r w:rsidRPr="00324061">
              <w:rPr>
                <w:rFonts w:eastAsia="Times New Roman"/>
                <w:b/>
                <w:bCs/>
                <w:color w:val="000000"/>
              </w:rPr>
              <w:t>9/30/14 thru 12/31/14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A8B360E" w14:textId="77777777" w:rsidR="00324061" w:rsidRPr="00324061" w:rsidRDefault="00324061" w:rsidP="00324061">
            <w:pPr>
              <w:keepNext/>
              <w:keepLines/>
              <w:jc w:val="center"/>
              <w:rPr>
                <w:rFonts w:eastAsia="Times New Roman"/>
                <w:b/>
                <w:bCs/>
                <w:color w:val="000000"/>
              </w:rPr>
            </w:pPr>
            <w:r w:rsidRPr="00324061">
              <w:rPr>
                <w:rFonts w:eastAsia="Times New Roman"/>
                <w:b/>
                <w:bCs/>
                <w:color w:val="000000"/>
              </w:rPr>
              <w:t>1/1/15 thru 6/30/15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9A584A4" w14:textId="77777777" w:rsidR="00324061" w:rsidRPr="00324061" w:rsidRDefault="00324061" w:rsidP="00324061">
            <w:pPr>
              <w:keepNext/>
              <w:keepLines/>
              <w:jc w:val="center"/>
              <w:rPr>
                <w:rFonts w:eastAsia="Times New Roman"/>
                <w:b/>
                <w:bCs/>
                <w:color w:val="000000"/>
              </w:rPr>
            </w:pPr>
            <w:r w:rsidRPr="00324061">
              <w:rPr>
                <w:rFonts w:eastAsia="Times New Roman"/>
                <w:b/>
                <w:bCs/>
                <w:color w:val="000000"/>
              </w:rPr>
              <w:t>After 6/30/15</w:t>
            </w:r>
          </w:p>
        </w:tc>
      </w:tr>
      <w:tr w:rsidR="00324061" w:rsidRPr="00324061" w14:paraId="7094A60E" w14:textId="77777777" w:rsidTr="00324061">
        <w:trPr>
          <w:cantSplit/>
          <w:trHeight w:val="33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418979E3" w14:textId="77777777" w:rsidR="00324061" w:rsidRPr="00324061" w:rsidRDefault="00324061" w:rsidP="00324061">
            <w:pPr>
              <w:keepNext/>
              <w:keepLines/>
              <w:jc w:val="center"/>
              <w:rPr>
                <w:rFonts w:eastAsia="Times New Roman"/>
                <w:b/>
                <w:bCs/>
                <w:color w:val="000000"/>
              </w:rPr>
            </w:pPr>
            <w:r w:rsidRPr="00324061">
              <w:rPr>
                <w:rFonts w:eastAsia="Times New Roman"/>
                <w:b/>
                <w:bCs/>
                <w:color w:val="000000"/>
              </w:rPr>
              <w:t>Major</w:t>
            </w:r>
          </w:p>
        </w:tc>
        <w:tc>
          <w:tcPr>
            <w:tcW w:w="0" w:type="auto"/>
            <w:tcBorders>
              <w:top w:val="nil"/>
              <w:left w:val="nil"/>
              <w:bottom w:val="single" w:sz="8" w:space="0" w:color="auto"/>
              <w:right w:val="single" w:sz="8" w:space="0" w:color="auto"/>
            </w:tcBorders>
            <w:shd w:val="clear" w:color="auto" w:fill="auto"/>
            <w:noWrap/>
            <w:vAlign w:val="center"/>
            <w:hideMark/>
          </w:tcPr>
          <w:p w14:paraId="5215D6F9" w14:textId="77777777" w:rsidR="00324061" w:rsidRPr="00324061" w:rsidRDefault="00324061" w:rsidP="00324061">
            <w:pPr>
              <w:keepNext/>
              <w:keepLines/>
              <w:jc w:val="center"/>
              <w:rPr>
                <w:rFonts w:eastAsia="Times New Roman"/>
                <w:color w:val="000000"/>
              </w:rPr>
            </w:pPr>
            <w:r w:rsidRPr="00324061">
              <w:rPr>
                <w:rFonts w:eastAsia="Times New Roman"/>
                <w:color w:val="000000"/>
              </w:rPr>
              <w:t xml:space="preserve">Accepted, </w:t>
            </w:r>
            <w:r w:rsidRPr="00324061">
              <w:rPr>
                <w:rFonts w:eastAsia="Times New Roman"/>
                <w:i/>
                <w:iCs/>
                <w:color w:val="000000"/>
              </w:rPr>
              <w:t>prima facie</w:t>
            </w:r>
          </w:p>
        </w:tc>
        <w:tc>
          <w:tcPr>
            <w:tcW w:w="0" w:type="auto"/>
            <w:tcBorders>
              <w:top w:val="nil"/>
              <w:left w:val="nil"/>
              <w:bottom w:val="single" w:sz="8" w:space="0" w:color="auto"/>
              <w:right w:val="single" w:sz="8" w:space="0" w:color="auto"/>
            </w:tcBorders>
            <w:shd w:val="clear" w:color="auto" w:fill="auto"/>
            <w:noWrap/>
            <w:vAlign w:val="center"/>
            <w:hideMark/>
          </w:tcPr>
          <w:p w14:paraId="2AE502AC" w14:textId="77777777" w:rsidR="00324061" w:rsidRPr="00324061" w:rsidRDefault="00324061" w:rsidP="00324061">
            <w:pPr>
              <w:keepNext/>
              <w:keepLines/>
              <w:jc w:val="center"/>
              <w:rPr>
                <w:rFonts w:eastAsia="Times New Roman"/>
                <w:color w:val="000000"/>
              </w:rPr>
            </w:pPr>
            <w:r w:rsidRPr="00324061">
              <w:rPr>
                <w:rFonts w:eastAsia="Times New Roman"/>
                <w:color w:val="000000"/>
              </w:rPr>
              <w:t>Audited</w:t>
            </w:r>
          </w:p>
        </w:tc>
        <w:tc>
          <w:tcPr>
            <w:tcW w:w="0" w:type="auto"/>
            <w:tcBorders>
              <w:top w:val="nil"/>
              <w:left w:val="nil"/>
              <w:bottom w:val="single" w:sz="8" w:space="0" w:color="auto"/>
              <w:right w:val="single" w:sz="8" w:space="0" w:color="auto"/>
            </w:tcBorders>
            <w:shd w:val="clear" w:color="auto" w:fill="auto"/>
            <w:noWrap/>
            <w:vAlign w:val="center"/>
            <w:hideMark/>
          </w:tcPr>
          <w:p w14:paraId="2EA44FC3" w14:textId="77777777" w:rsidR="00324061" w:rsidRPr="00324061" w:rsidRDefault="00324061" w:rsidP="00324061">
            <w:pPr>
              <w:keepNext/>
              <w:keepLines/>
              <w:jc w:val="center"/>
              <w:rPr>
                <w:rFonts w:eastAsia="Times New Roman"/>
                <w:color w:val="000000"/>
              </w:rPr>
            </w:pPr>
            <w:r w:rsidRPr="00324061">
              <w:rPr>
                <w:rFonts w:eastAsia="Times New Roman"/>
                <w:color w:val="000000"/>
              </w:rPr>
              <w:t>Fails known &amp; meas. standard</w:t>
            </w:r>
          </w:p>
        </w:tc>
      </w:tr>
      <w:tr w:rsidR="00324061" w:rsidRPr="00324061" w14:paraId="09F47494" w14:textId="77777777" w:rsidTr="00324061">
        <w:trPr>
          <w:cantSplit/>
          <w:trHeight w:val="330"/>
        </w:trPr>
        <w:tc>
          <w:tcPr>
            <w:tcW w:w="740" w:type="dxa"/>
            <w:tcBorders>
              <w:top w:val="nil"/>
              <w:left w:val="single" w:sz="8" w:space="0" w:color="auto"/>
              <w:bottom w:val="single" w:sz="8" w:space="0" w:color="auto"/>
              <w:right w:val="single" w:sz="8" w:space="0" w:color="auto"/>
            </w:tcBorders>
            <w:shd w:val="clear" w:color="auto" w:fill="auto"/>
            <w:noWrap/>
            <w:vAlign w:val="center"/>
            <w:hideMark/>
          </w:tcPr>
          <w:p w14:paraId="11B36C76" w14:textId="77777777" w:rsidR="00324061" w:rsidRPr="00324061" w:rsidRDefault="00324061" w:rsidP="00324061">
            <w:pPr>
              <w:keepNext/>
              <w:keepLines/>
              <w:jc w:val="center"/>
              <w:rPr>
                <w:rFonts w:eastAsia="Times New Roman"/>
                <w:b/>
                <w:bCs/>
                <w:color w:val="000000"/>
              </w:rPr>
            </w:pPr>
            <w:r w:rsidRPr="00324061">
              <w:rPr>
                <w:rFonts w:eastAsia="Times New Roman"/>
                <w:b/>
                <w:bCs/>
                <w:color w:val="000000"/>
              </w:rPr>
              <w:t>Other</w:t>
            </w:r>
          </w:p>
        </w:tc>
        <w:tc>
          <w:tcPr>
            <w:tcW w:w="0" w:type="auto"/>
            <w:tcBorders>
              <w:top w:val="nil"/>
              <w:left w:val="nil"/>
              <w:bottom w:val="single" w:sz="8" w:space="0" w:color="auto"/>
              <w:right w:val="single" w:sz="8" w:space="0" w:color="auto"/>
            </w:tcBorders>
            <w:shd w:val="clear" w:color="auto" w:fill="auto"/>
            <w:noWrap/>
            <w:vAlign w:val="center"/>
            <w:hideMark/>
          </w:tcPr>
          <w:p w14:paraId="2B54AAA2" w14:textId="77777777" w:rsidR="00324061" w:rsidRPr="00324061" w:rsidRDefault="00324061" w:rsidP="00324061">
            <w:pPr>
              <w:keepNext/>
              <w:keepLines/>
              <w:jc w:val="center"/>
              <w:rPr>
                <w:rFonts w:eastAsia="Times New Roman"/>
                <w:color w:val="000000"/>
              </w:rPr>
            </w:pPr>
            <w:r w:rsidRPr="00324061">
              <w:rPr>
                <w:rFonts w:eastAsia="Times New Roman"/>
                <w:color w:val="000000"/>
              </w:rPr>
              <w:t xml:space="preserve">Accepted, </w:t>
            </w:r>
            <w:r w:rsidRPr="00324061">
              <w:rPr>
                <w:rFonts w:eastAsia="Times New Roman"/>
                <w:i/>
                <w:iCs/>
                <w:color w:val="000000"/>
              </w:rPr>
              <w:t>prima facie</w:t>
            </w:r>
          </w:p>
        </w:tc>
        <w:tc>
          <w:tcPr>
            <w:tcW w:w="0" w:type="auto"/>
            <w:tcBorders>
              <w:top w:val="nil"/>
              <w:left w:val="nil"/>
              <w:bottom w:val="single" w:sz="8" w:space="0" w:color="auto"/>
              <w:right w:val="single" w:sz="8" w:space="0" w:color="auto"/>
            </w:tcBorders>
            <w:shd w:val="clear" w:color="auto" w:fill="auto"/>
            <w:noWrap/>
            <w:vAlign w:val="center"/>
            <w:hideMark/>
          </w:tcPr>
          <w:p w14:paraId="6A22D26E" w14:textId="77777777" w:rsidR="00324061" w:rsidRPr="00324061" w:rsidRDefault="00324061" w:rsidP="00324061">
            <w:pPr>
              <w:keepNext/>
              <w:keepLines/>
              <w:jc w:val="center"/>
              <w:rPr>
                <w:rFonts w:eastAsia="Times New Roman"/>
                <w:color w:val="000000"/>
              </w:rPr>
            </w:pPr>
            <w:r w:rsidRPr="00324061">
              <w:rPr>
                <w:rFonts w:eastAsia="Times New Roman"/>
                <w:color w:val="000000"/>
              </w:rPr>
              <w:t xml:space="preserve">Excluded, </w:t>
            </w:r>
            <w:r w:rsidRPr="00324061">
              <w:rPr>
                <w:rFonts w:eastAsia="Times New Roman"/>
                <w:i/>
                <w:iCs/>
                <w:color w:val="000000"/>
              </w:rPr>
              <w:t>de minimis</w:t>
            </w:r>
          </w:p>
        </w:tc>
        <w:tc>
          <w:tcPr>
            <w:tcW w:w="0" w:type="auto"/>
            <w:tcBorders>
              <w:top w:val="nil"/>
              <w:left w:val="nil"/>
              <w:bottom w:val="single" w:sz="8" w:space="0" w:color="auto"/>
              <w:right w:val="single" w:sz="8" w:space="0" w:color="auto"/>
            </w:tcBorders>
            <w:shd w:val="clear" w:color="auto" w:fill="auto"/>
            <w:noWrap/>
            <w:vAlign w:val="center"/>
            <w:hideMark/>
          </w:tcPr>
          <w:p w14:paraId="54EFAE09" w14:textId="77777777" w:rsidR="00324061" w:rsidRPr="00324061" w:rsidRDefault="00324061" w:rsidP="00324061">
            <w:pPr>
              <w:keepNext/>
              <w:keepLines/>
              <w:jc w:val="center"/>
              <w:rPr>
                <w:rFonts w:eastAsia="Times New Roman"/>
                <w:color w:val="000000"/>
              </w:rPr>
            </w:pPr>
            <w:r w:rsidRPr="00324061">
              <w:rPr>
                <w:rFonts w:eastAsia="Times New Roman"/>
                <w:color w:val="000000"/>
              </w:rPr>
              <w:t xml:space="preserve">Excluded, </w:t>
            </w:r>
            <w:r w:rsidRPr="00324061">
              <w:rPr>
                <w:rFonts w:eastAsia="Times New Roman"/>
                <w:i/>
                <w:iCs/>
                <w:color w:val="000000"/>
              </w:rPr>
              <w:t>de minimis</w:t>
            </w:r>
          </w:p>
        </w:tc>
      </w:tr>
    </w:tbl>
    <w:p w14:paraId="798AEA88" w14:textId="77777777" w:rsidR="00324061" w:rsidRDefault="00324061" w:rsidP="00324061">
      <w:pPr>
        <w:pStyle w:val="NoSpacing"/>
        <w:jc w:val="center"/>
        <w:rPr>
          <w:b/>
        </w:rPr>
      </w:pPr>
    </w:p>
    <w:p w14:paraId="347605A6" w14:textId="77777777" w:rsidR="00324061" w:rsidRDefault="00324061" w:rsidP="00324061">
      <w:pPr>
        <w:pStyle w:val="NoSpacing"/>
        <w:jc w:val="center"/>
        <w:rPr>
          <w:b/>
        </w:rPr>
      </w:pPr>
    </w:p>
    <w:p w14:paraId="1B050182" w14:textId="7B256E6D" w:rsidR="00324061" w:rsidRDefault="00324061" w:rsidP="00324061">
      <w:pPr>
        <w:pStyle w:val="Heading8"/>
      </w:pPr>
      <w:r>
        <w:t>Q.</w:t>
      </w:r>
      <w:r>
        <w:tab/>
        <w:t>Is the use of a June 30, 2015 “in-service cut-off date” a punitive approach?</w:t>
      </w:r>
    </w:p>
    <w:p w14:paraId="714EE7F4" w14:textId="77777777" w:rsidR="00324061" w:rsidRDefault="00324061" w:rsidP="00324061">
      <w:pPr>
        <w:pStyle w:val="NoSpacing"/>
      </w:pPr>
      <w:r w:rsidRPr="00324061">
        <w:t>A.</w:t>
      </w:r>
      <w:r w:rsidRPr="00324061">
        <w:tab/>
      </w:r>
      <w:r>
        <w:t xml:space="preserve">No.  </w:t>
      </w:r>
      <w:r w:rsidRPr="00324061">
        <w:t xml:space="preserve">In Order 08, Dockets UE-140762 et al., footnote 57, the Commission noted that “it is even exceptional for the Commission to allow </w:t>
      </w:r>
      <w:r w:rsidRPr="00324061">
        <w:rPr>
          <w:i/>
        </w:rPr>
        <w:t>pro forma</w:t>
      </w:r>
      <w:r w:rsidRPr="00324061">
        <w:t xml:space="preserve"> adjustments beyond a few months after the end of the test year.”  Here, Staff allows adjustments nine months after the end of the test year.</w:t>
      </w:r>
    </w:p>
    <w:p w14:paraId="155194AD" w14:textId="17C864B1" w:rsidR="00324061" w:rsidRDefault="00324061" w:rsidP="00324061">
      <w:pPr>
        <w:pStyle w:val="NoSpacing"/>
      </w:pPr>
    </w:p>
    <w:p w14:paraId="286BFE34" w14:textId="181C2460" w:rsidR="00324061" w:rsidRDefault="00324061" w:rsidP="00324061">
      <w:pPr>
        <w:pStyle w:val="Heading8"/>
      </w:pPr>
      <w:r>
        <w:t>Q.</w:t>
      </w:r>
      <w:r>
        <w:tab/>
      </w:r>
      <w:r w:rsidRPr="00324061">
        <w:t>Does Staff’s use of an “in-service cutoff date” constitute a bright line cutoff?</w:t>
      </w:r>
    </w:p>
    <w:p w14:paraId="0C576ACC" w14:textId="0E60CB3B" w:rsidR="00324061" w:rsidRPr="00324061" w:rsidRDefault="00324061" w:rsidP="00356B17">
      <w:pPr>
        <w:spacing w:line="480" w:lineRule="auto"/>
        <w:ind w:left="720" w:hanging="720"/>
        <w:rPr>
          <w:rFonts w:eastAsia="Calibri"/>
        </w:rPr>
      </w:pPr>
      <w:r>
        <w:t>A.</w:t>
      </w:r>
      <w:r>
        <w:tab/>
      </w:r>
      <w:r w:rsidRPr="00324061">
        <w:rPr>
          <w:rFonts w:eastAsia="Calibri"/>
        </w:rPr>
        <w:t xml:space="preserve">Principally, no.  </w:t>
      </w:r>
      <w:r>
        <w:rPr>
          <w:rFonts w:eastAsia="Calibri"/>
        </w:rPr>
        <w:t xml:space="preserve">Staff anticipates that </w:t>
      </w:r>
      <w:r w:rsidRPr="00324061">
        <w:rPr>
          <w:rFonts w:eastAsia="Calibri"/>
        </w:rPr>
        <w:t xml:space="preserve">it </w:t>
      </w:r>
      <w:r>
        <w:rPr>
          <w:rFonts w:eastAsia="Calibri"/>
        </w:rPr>
        <w:t xml:space="preserve">may be considered to </w:t>
      </w:r>
      <w:r w:rsidRPr="00324061">
        <w:rPr>
          <w:rFonts w:eastAsia="Calibri"/>
          <w:i/>
        </w:rPr>
        <w:t>effect</w:t>
      </w:r>
      <w:r>
        <w:rPr>
          <w:rFonts w:eastAsia="Calibri"/>
          <w:i/>
        </w:rPr>
        <w:t>ively</w:t>
      </w:r>
      <w:r w:rsidRPr="00324061">
        <w:rPr>
          <w:rFonts w:eastAsia="Calibri"/>
          <w:i/>
        </w:rPr>
        <w:t xml:space="preserve"> </w:t>
      </w:r>
      <w:r w:rsidRPr="00324061">
        <w:rPr>
          <w:rFonts w:eastAsia="Calibri"/>
        </w:rPr>
        <w:t>be</w:t>
      </w:r>
      <w:r w:rsidR="00C0669F">
        <w:rPr>
          <w:rFonts w:eastAsia="Calibri"/>
        </w:rPr>
        <w:t xml:space="preserve"> </w:t>
      </w:r>
      <w:r w:rsidRPr="00324061">
        <w:rPr>
          <w:rFonts w:eastAsia="Calibri"/>
        </w:rPr>
        <w:t>a bright-line cutoff date</w:t>
      </w:r>
      <w:r>
        <w:rPr>
          <w:rFonts w:eastAsia="Calibri"/>
        </w:rPr>
        <w:t>, so it is necessary to address the distinction</w:t>
      </w:r>
      <w:r w:rsidRPr="00324061">
        <w:rPr>
          <w:rFonts w:eastAsia="Calibri"/>
        </w:rPr>
        <w:t>.  Staff’s position is not based on whether a capital addition is used and useful as of June 30, 2015, as would be the case in the adoption of a bright-line cutoff date</w:t>
      </w:r>
      <w:r w:rsidR="00604A5F">
        <w:rPr>
          <w:rFonts w:eastAsia="Calibri"/>
        </w:rPr>
        <w:t xml:space="preserve">; the Commission has </w:t>
      </w:r>
      <w:r w:rsidRPr="00324061">
        <w:rPr>
          <w:rFonts w:eastAsia="Calibri"/>
        </w:rPr>
        <w:t xml:space="preserve">rejected </w:t>
      </w:r>
      <w:r w:rsidR="000E7FDE">
        <w:rPr>
          <w:rFonts w:eastAsia="Calibri"/>
        </w:rPr>
        <w:t xml:space="preserve">use of a “bright line” </w:t>
      </w:r>
      <w:r w:rsidR="00604A5F">
        <w:rPr>
          <w:rFonts w:eastAsia="Calibri"/>
        </w:rPr>
        <w:t xml:space="preserve">approach </w:t>
      </w:r>
      <w:r w:rsidRPr="00324061">
        <w:rPr>
          <w:rFonts w:eastAsia="Calibri"/>
        </w:rPr>
        <w:t xml:space="preserve">in </w:t>
      </w:r>
      <w:r w:rsidR="00604A5F">
        <w:rPr>
          <w:rFonts w:eastAsia="Calibri"/>
        </w:rPr>
        <w:t xml:space="preserve">the </w:t>
      </w:r>
      <w:r w:rsidR="00604A5F" w:rsidRPr="00324061">
        <w:rPr>
          <w:rFonts w:eastAsia="Calibri"/>
        </w:rPr>
        <w:t>last</w:t>
      </w:r>
      <w:r w:rsidRPr="00324061">
        <w:rPr>
          <w:rFonts w:eastAsia="Calibri"/>
        </w:rPr>
        <w:t xml:space="preserve"> Pacific Power &amp; Light’s general rate case.</w:t>
      </w:r>
      <w:r w:rsidRPr="00324061">
        <w:rPr>
          <w:rFonts w:eastAsia="Calibri"/>
          <w:vertAlign w:val="superscript"/>
        </w:rPr>
        <w:footnoteReference w:id="21"/>
      </w:r>
      <w:r w:rsidRPr="00324061">
        <w:rPr>
          <w:rFonts w:eastAsia="Calibri"/>
        </w:rPr>
        <w:t xml:space="preserve">  Additionally, Staff is not advocating for adoption of a bright-line cutoff date for f</w:t>
      </w:r>
      <w:r w:rsidR="00356B17">
        <w:rPr>
          <w:rFonts w:eastAsia="Calibri"/>
        </w:rPr>
        <w:t>uture rate cases.</w:t>
      </w:r>
    </w:p>
    <w:p w14:paraId="0AE49189" w14:textId="3300BD04" w:rsidR="00BB43F8" w:rsidRDefault="00324061" w:rsidP="00356B17">
      <w:pPr>
        <w:spacing w:line="480" w:lineRule="auto"/>
        <w:ind w:left="720" w:firstLine="720"/>
        <w:rPr>
          <w:rFonts w:eastAsia="Calibri"/>
        </w:rPr>
      </w:pPr>
      <w:r w:rsidRPr="00324061">
        <w:rPr>
          <w:rFonts w:eastAsia="Calibri"/>
        </w:rPr>
        <w:t xml:space="preserve">Instead, Staff’s position is founded on the known-and-measurable standard.  The Commission has stated that “a more rigorous record and increasingly concrete support for </w:t>
      </w:r>
      <w:r w:rsidRPr="00324061">
        <w:rPr>
          <w:rFonts w:eastAsia="Calibri"/>
          <w:i/>
        </w:rPr>
        <w:t>pro forma</w:t>
      </w:r>
      <w:r w:rsidRPr="00324061">
        <w:rPr>
          <w:rFonts w:eastAsia="Calibri"/>
        </w:rPr>
        <w:t xml:space="preserve"> adjustments” is required “the later in time plant additions are put in service and claimed to be used and useful.”</w:t>
      </w:r>
      <w:r w:rsidRPr="00324061">
        <w:rPr>
          <w:rFonts w:eastAsia="Calibri"/>
          <w:vertAlign w:val="superscript"/>
        </w:rPr>
        <w:t xml:space="preserve"> </w:t>
      </w:r>
      <w:r w:rsidRPr="00324061">
        <w:rPr>
          <w:rFonts w:eastAsia="Calibri"/>
          <w:vertAlign w:val="superscript"/>
        </w:rPr>
        <w:footnoteReference w:id="22"/>
      </w:r>
      <w:r w:rsidRPr="00324061">
        <w:rPr>
          <w:rFonts w:eastAsia="Calibri"/>
        </w:rPr>
        <w:t xml:space="preserve">  Staff witness Mr. Gomez documents the Company’s inability to adhere to projected transfer-to-plant amounts and dates, while facing this higher standard.</w:t>
      </w:r>
      <w:r w:rsidR="00397D00">
        <w:rPr>
          <w:rStyle w:val="FootnoteReference"/>
          <w:rFonts w:eastAsia="Calibri"/>
        </w:rPr>
        <w:footnoteReference w:id="23"/>
      </w:r>
      <w:r w:rsidRPr="00324061">
        <w:rPr>
          <w:rFonts w:eastAsia="Calibri"/>
        </w:rPr>
        <w:t xml:space="preserve">  Staff’s approach in this proceeding reflects this policy, while also presenting the degree of support sought for items placed in service after the test year.</w:t>
      </w:r>
    </w:p>
    <w:p w14:paraId="10A8CD5C" w14:textId="71D299D2" w:rsidR="00324061" w:rsidRDefault="00324061" w:rsidP="00324061">
      <w:pPr>
        <w:spacing w:line="480" w:lineRule="auto"/>
        <w:ind w:left="720" w:firstLine="720"/>
        <w:rPr>
          <w:rFonts w:eastAsia="Calibri"/>
        </w:rPr>
      </w:pPr>
      <w:r w:rsidRPr="00324061">
        <w:rPr>
          <w:rFonts w:eastAsia="Calibri"/>
        </w:rPr>
        <w:t>Furthermore, Staff</w:t>
      </w:r>
      <w:r w:rsidR="000E7FDE">
        <w:rPr>
          <w:rFonts w:eastAsia="Calibri"/>
        </w:rPr>
        <w:t>’s approach is a practical one: Staff</w:t>
      </w:r>
      <w:r w:rsidRPr="00324061">
        <w:rPr>
          <w:rFonts w:eastAsia="Calibri"/>
        </w:rPr>
        <w:t xml:space="preserve"> is constrained by the competing forces of the procedural schedule</w:t>
      </w:r>
      <w:r w:rsidR="00397D00">
        <w:rPr>
          <w:rFonts w:eastAsia="Calibri"/>
        </w:rPr>
        <w:t>s</w:t>
      </w:r>
      <w:r w:rsidRPr="00324061">
        <w:rPr>
          <w:rFonts w:eastAsia="Calibri"/>
        </w:rPr>
        <w:t xml:space="preserve"> and the duty to verify that costs are sufficiently documented and appropriate to include in rates.  Adoption of this date strikes a </w:t>
      </w:r>
      <w:r w:rsidR="00BB43F8">
        <w:rPr>
          <w:rFonts w:eastAsia="Calibri"/>
        </w:rPr>
        <w:t xml:space="preserve">practical </w:t>
      </w:r>
      <w:r w:rsidRPr="00324061">
        <w:rPr>
          <w:rFonts w:eastAsia="Calibri"/>
        </w:rPr>
        <w:t xml:space="preserve">balance between these </w:t>
      </w:r>
      <w:r w:rsidR="00397D00" w:rsidRPr="00324061">
        <w:rPr>
          <w:rFonts w:eastAsia="Calibri"/>
        </w:rPr>
        <w:t>opposing</w:t>
      </w:r>
      <w:r w:rsidRPr="00324061">
        <w:rPr>
          <w:rFonts w:eastAsia="Calibri"/>
        </w:rPr>
        <w:t xml:space="preserve"> </w:t>
      </w:r>
      <w:r w:rsidR="006919FA">
        <w:rPr>
          <w:rFonts w:eastAsia="Calibri"/>
        </w:rPr>
        <w:t>interests</w:t>
      </w:r>
      <w:r w:rsidRPr="00324061">
        <w:rPr>
          <w:rFonts w:eastAsia="Calibri"/>
        </w:rPr>
        <w:t>.</w:t>
      </w:r>
    </w:p>
    <w:p w14:paraId="28B54F45" w14:textId="2B6415C6" w:rsidR="00053CAC" w:rsidRDefault="00053CAC" w:rsidP="00053CAC">
      <w:pPr>
        <w:spacing w:line="480" w:lineRule="auto"/>
        <w:rPr>
          <w:rFonts w:eastAsia="Calibri"/>
        </w:rPr>
      </w:pPr>
    </w:p>
    <w:p w14:paraId="5D496879" w14:textId="3207B69D" w:rsidR="00053CAC" w:rsidRDefault="00053CAC" w:rsidP="00053CAC">
      <w:pPr>
        <w:pStyle w:val="Heading8"/>
        <w:rPr>
          <w:rFonts w:eastAsia="Calibri"/>
        </w:rPr>
      </w:pPr>
      <w:r>
        <w:rPr>
          <w:rFonts w:eastAsia="Calibri"/>
        </w:rPr>
        <w:t>Q.</w:t>
      </w:r>
      <w:r>
        <w:rPr>
          <w:rFonts w:eastAsia="Calibri"/>
        </w:rPr>
        <w:tab/>
        <w:t>Does Staff’s approach help address the effects of regulatory lag?</w:t>
      </w:r>
    </w:p>
    <w:p w14:paraId="074F6BDD" w14:textId="066EA2D2" w:rsidR="00053CAC" w:rsidRDefault="00053CAC" w:rsidP="00E96920">
      <w:pPr>
        <w:pStyle w:val="NoSpacing"/>
        <w:rPr>
          <w:rFonts w:eastAsia="Calibri"/>
        </w:rPr>
      </w:pPr>
      <w:r>
        <w:rPr>
          <w:rFonts w:eastAsia="Calibri"/>
        </w:rPr>
        <w:t>A.</w:t>
      </w:r>
      <w:r>
        <w:rPr>
          <w:rFonts w:eastAsia="Calibri"/>
        </w:rPr>
        <w:tab/>
      </w:r>
      <w:r w:rsidRPr="00053CAC">
        <w:rPr>
          <w:rFonts w:eastAsia="Calibri"/>
        </w:rPr>
        <w:t xml:space="preserve">Yes.  The period of time between a rate filing and when new rates are placed into effect provides a great deal of uncertainty.  </w:t>
      </w:r>
      <w:r>
        <w:rPr>
          <w:rFonts w:eastAsia="Calibri"/>
        </w:rPr>
        <w:t>“Regulatory lag” refers to the phenomenon where the changes in</w:t>
      </w:r>
      <w:r w:rsidR="001919AF">
        <w:rPr>
          <w:rFonts w:eastAsia="Calibri"/>
        </w:rPr>
        <w:t xml:space="preserve"> the relationships between</w:t>
      </w:r>
      <w:r>
        <w:rPr>
          <w:rFonts w:eastAsia="Calibri"/>
        </w:rPr>
        <w:t xml:space="preserve"> a regulated public service company’s </w:t>
      </w:r>
      <w:r w:rsidR="001919AF">
        <w:rPr>
          <w:rFonts w:eastAsia="Calibri"/>
        </w:rPr>
        <w:t xml:space="preserve">revenues, operating expenses, and rate base </w:t>
      </w:r>
      <w:r>
        <w:rPr>
          <w:rFonts w:eastAsia="Calibri"/>
        </w:rPr>
        <w:t xml:space="preserve">incurred during a rate proceeding are not fully reflected in the </w:t>
      </w:r>
      <w:r w:rsidR="00E96920">
        <w:rPr>
          <w:rFonts w:eastAsia="Calibri"/>
        </w:rPr>
        <w:t>outcome of the rate proceeding.</w:t>
      </w:r>
    </w:p>
    <w:p w14:paraId="33DB8125" w14:textId="34C5B6AA" w:rsidR="00053CAC" w:rsidRPr="00324061" w:rsidRDefault="00053CAC" w:rsidP="00F03B04">
      <w:pPr>
        <w:pStyle w:val="NoSpacing"/>
        <w:ind w:firstLine="720"/>
        <w:rPr>
          <w:rFonts w:eastAsia="Calibri"/>
        </w:rPr>
      </w:pPr>
      <w:r w:rsidRPr="00053CAC">
        <w:rPr>
          <w:rFonts w:eastAsia="Calibri"/>
        </w:rPr>
        <w:t xml:space="preserve">In this case, </w:t>
      </w:r>
      <w:r w:rsidR="00BB43F8">
        <w:rPr>
          <w:rFonts w:eastAsia="Calibri"/>
        </w:rPr>
        <w:t xml:space="preserve">the practice of </w:t>
      </w:r>
      <w:r w:rsidRPr="00053CAC">
        <w:rPr>
          <w:rFonts w:eastAsia="Calibri"/>
        </w:rPr>
        <w:t>allowing adjustments to the test year through the nine months after the test period (that is, through June 30, 2015), more accurately reflects the Company’s operations on a going forward basis.  Further, Staff’s ability to examine the largest projects in this limited time period provides assurances that the projects are used and useful in the rate year.  Updating rate base to reflect changes in the Company’s operations during the rate case works to mitigate the uncertainty in possible outcomes for the Company.</w:t>
      </w:r>
    </w:p>
    <w:p w14:paraId="5E7E3DDD" w14:textId="4ED40D6A" w:rsidR="00324061" w:rsidRPr="00324061" w:rsidRDefault="00324061" w:rsidP="00324061">
      <w:pPr>
        <w:pStyle w:val="NoSpacing"/>
      </w:pPr>
    </w:p>
    <w:p w14:paraId="46493487" w14:textId="10418DCA" w:rsidR="00CA40A7" w:rsidRDefault="002635D7" w:rsidP="00A3554A">
      <w:pPr>
        <w:pStyle w:val="Heading2"/>
        <w:numPr>
          <w:ilvl w:val="0"/>
          <w:numId w:val="34"/>
        </w:numPr>
        <w:ind w:left="1440" w:hanging="720"/>
      </w:pPr>
      <w:bookmarkStart w:id="34" w:name="_Toc424808483"/>
      <w:bookmarkStart w:id="35" w:name="_Toc424808504"/>
      <w:bookmarkStart w:id="36" w:name="_Toc425419764"/>
      <w:r>
        <w:t xml:space="preserve">Electric </w:t>
      </w:r>
      <w:r w:rsidR="00CA40A7" w:rsidRPr="00F720F8">
        <w:t xml:space="preserve">Adjustment </w:t>
      </w:r>
      <w:r>
        <w:t>4.01</w:t>
      </w:r>
      <w:bookmarkEnd w:id="34"/>
      <w:bookmarkEnd w:id="35"/>
      <w:bookmarkEnd w:id="36"/>
    </w:p>
    <w:p w14:paraId="7777551E" w14:textId="0CDB3BBC" w:rsidR="006376AE" w:rsidRDefault="006376AE" w:rsidP="007D079C">
      <w:pPr>
        <w:pStyle w:val="NoSpacing"/>
      </w:pPr>
    </w:p>
    <w:p w14:paraId="1B39A0D1" w14:textId="10A85D61" w:rsidR="006376AE" w:rsidRDefault="004B4D8D" w:rsidP="004B4D8D">
      <w:pPr>
        <w:pStyle w:val="Heading8"/>
      </w:pPr>
      <w:r>
        <w:t>Q.</w:t>
      </w:r>
      <w:r>
        <w:tab/>
        <w:t>What is the purpose of this adjustment?</w:t>
      </w:r>
    </w:p>
    <w:p w14:paraId="609A0348" w14:textId="78EB9A58" w:rsidR="004B4D8D" w:rsidRPr="006376AE" w:rsidRDefault="004B4D8D" w:rsidP="004B4D8D">
      <w:pPr>
        <w:pStyle w:val="NoSpacing"/>
      </w:pPr>
      <w:r>
        <w:t>A.</w:t>
      </w:r>
      <w:r>
        <w:tab/>
        <w:t>This adjustment “pro forms” major electric 2015 capital additions, based on the respective project balances as of June 30, 2015 and Mr. Gomez’s subsequent analysis.</w:t>
      </w:r>
    </w:p>
    <w:p w14:paraId="0170EE79" w14:textId="77777777" w:rsidR="00CA40A7" w:rsidRPr="00F720F8" w:rsidRDefault="00CA40A7" w:rsidP="00CA40A7">
      <w:pPr>
        <w:spacing w:line="480" w:lineRule="auto"/>
        <w:ind w:left="720" w:hanging="720"/>
        <w:rPr>
          <w:b/>
          <w:u w:val="single"/>
        </w:rPr>
      </w:pPr>
    </w:p>
    <w:p w14:paraId="647939BF" w14:textId="550BAE67" w:rsidR="00CA40A7" w:rsidRPr="00F720F8" w:rsidRDefault="00CA40A7" w:rsidP="00CA40A7">
      <w:pPr>
        <w:pStyle w:val="Heading8"/>
      </w:pPr>
      <w:r w:rsidRPr="00F720F8">
        <w:t>Q.</w:t>
      </w:r>
      <w:r w:rsidRPr="00F720F8">
        <w:tab/>
      </w:r>
      <w:r w:rsidR="006376AE">
        <w:t>What is the effect on net operating income due to this adjustment?</w:t>
      </w:r>
    </w:p>
    <w:p w14:paraId="19A95185" w14:textId="024EDA66" w:rsidR="00CA40A7" w:rsidRPr="00F720F8" w:rsidRDefault="00CA40A7" w:rsidP="00CA40A7">
      <w:pPr>
        <w:pStyle w:val="NoSpacing"/>
        <w:rPr>
          <w:strike/>
        </w:rPr>
      </w:pPr>
      <w:r w:rsidRPr="00F720F8">
        <w:t>A.</w:t>
      </w:r>
      <w:r w:rsidRPr="00F720F8">
        <w:tab/>
      </w:r>
      <w:r w:rsidR="006376AE">
        <w:t>This adjustment reduces electric net operating income by $6,866,000 relative to the test year.</w:t>
      </w:r>
      <w:r w:rsidR="004B4D8D">
        <w:t xml:space="preserve">  This results in a revenue requirement increase of $11,075,000.</w:t>
      </w:r>
      <w:r w:rsidR="004B4D8D" w:rsidDel="004B4D8D">
        <w:t xml:space="preserve"> </w:t>
      </w:r>
    </w:p>
    <w:p w14:paraId="0FA9274C" w14:textId="77777777" w:rsidR="00CA40A7" w:rsidRPr="00F720F8" w:rsidRDefault="00CA40A7" w:rsidP="00CA40A7">
      <w:pPr>
        <w:spacing w:line="480" w:lineRule="auto"/>
        <w:ind w:left="720" w:hanging="720"/>
        <w:rPr>
          <w:strike/>
        </w:rPr>
      </w:pPr>
    </w:p>
    <w:p w14:paraId="2CA02917" w14:textId="7AAE6481" w:rsidR="00CA40A7" w:rsidRPr="00F720F8" w:rsidRDefault="002635D7" w:rsidP="00BE3D7A">
      <w:pPr>
        <w:pStyle w:val="Heading2"/>
        <w:keepNext/>
        <w:ind w:left="1440" w:hanging="720"/>
        <w:rPr>
          <w:strike/>
        </w:rPr>
      </w:pPr>
      <w:bookmarkStart w:id="37" w:name="_Toc424808484"/>
      <w:bookmarkStart w:id="38" w:name="_Toc424808505"/>
      <w:bookmarkStart w:id="39" w:name="_Toc425419765"/>
      <w:r>
        <w:t xml:space="preserve">Natural Gas </w:t>
      </w:r>
      <w:r w:rsidR="00CA40A7" w:rsidRPr="00F720F8">
        <w:t xml:space="preserve">Adjustment </w:t>
      </w:r>
      <w:r>
        <w:t>4.01</w:t>
      </w:r>
      <w:bookmarkEnd w:id="37"/>
      <w:bookmarkEnd w:id="38"/>
      <w:bookmarkEnd w:id="39"/>
    </w:p>
    <w:p w14:paraId="17553159" w14:textId="77777777" w:rsidR="00CA40A7" w:rsidRPr="00F720F8" w:rsidRDefault="00CA40A7" w:rsidP="00BE3D7A">
      <w:pPr>
        <w:pStyle w:val="NoSpacing"/>
        <w:keepNext/>
      </w:pPr>
    </w:p>
    <w:p w14:paraId="38CCC3E0" w14:textId="636167ED" w:rsidR="006376AE" w:rsidRPr="004B4D8D" w:rsidRDefault="004B4D8D" w:rsidP="004B4D8D">
      <w:pPr>
        <w:pStyle w:val="Heading8"/>
      </w:pPr>
      <w:r w:rsidRPr="004B4D8D">
        <w:t>Q.</w:t>
      </w:r>
      <w:r w:rsidRPr="004B4D8D">
        <w:tab/>
        <w:t>What is the purpose of this adjustment?</w:t>
      </w:r>
    </w:p>
    <w:p w14:paraId="22833182" w14:textId="2B4A70BD" w:rsidR="004B4D8D" w:rsidRPr="004B4D8D" w:rsidRDefault="004B4D8D" w:rsidP="004B4D8D">
      <w:pPr>
        <w:pStyle w:val="NoSpacing"/>
      </w:pPr>
      <w:r w:rsidRPr="004B4D8D">
        <w:t>A.</w:t>
      </w:r>
      <w:r w:rsidRPr="004B4D8D">
        <w:tab/>
        <w:t xml:space="preserve">This adjustment “pro forms” major </w:t>
      </w:r>
      <w:r>
        <w:t>natural gas</w:t>
      </w:r>
      <w:r w:rsidRPr="004B4D8D">
        <w:t xml:space="preserve"> 2015 capital additions, based on the respective project balances as of June 30, 2015 and Mr. Gomez’s subsequent analysis.</w:t>
      </w:r>
    </w:p>
    <w:p w14:paraId="1E0F067F" w14:textId="77777777" w:rsidR="004B4D8D" w:rsidRPr="004B4D8D" w:rsidRDefault="004B4D8D" w:rsidP="004B4D8D">
      <w:pPr>
        <w:pStyle w:val="NoSpacing"/>
        <w:rPr>
          <w:b/>
          <w:u w:val="single"/>
        </w:rPr>
      </w:pPr>
    </w:p>
    <w:p w14:paraId="4178E771" w14:textId="77777777" w:rsidR="004B4D8D" w:rsidRPr="004B4D8D" w:rsidRDefault="004B4D8D" w:rsidP="004B4D8D">
      <w:pPr>
        <w:pStyle w:val="Heading8"/>
      </w:pPr>
      <w:r w:rsidRPr="004B4D8D">
        <w:t>Q.</w:t>
      </w:r>
      <w:r w:rsidRPr="004B4D8D">
        <w:tab/>
        <w:t>What is the effect on net operating income due to this adjustment?</w:t>
      </w:r>
    </w:p>
    <w:p w14:paraId="5653A175" w14:textId="272C2C97" w:rsidR="004B4D8D" w:rsidRDefault="004B4D8D" w:rsidP="004B4D8D">
      <w:pPr>
        <w:pStyle w:val="NoSpacing"/>
      </w:pPr>
      <w:r w:rsidRPr="004B4D8D">
        <w:t>A.</w:t>
      </w:r>
      <w:r w:rsidRPr="004B4D8D">
        <w:tab/>
        <w:t xml:space="preserve">This adjustment reduces </w:t>
      </w:r>
      <w:r>
        <w:t>natural gas</w:t>
      </w:r>
      <w:r w:rsidRPr="004B4D8D">
        <w:t xml:space="preserve"> net operating income by $</w:t>
      </w:r>
      <w:r>
        <w:t>1,917</w:t>
      </w:r>
      <w:r w:rsidRPr="004B4D8D">
        <w:t>,000 relative to the test year.</w:t>
      </w:r>
      <w:r>
        <w:t xml:space="preserve">  This results in a revenue requirement increase of $3,091,000.</w:t>
      </w:r>
    </w:p>
    <w:p w14:paraId="59308291" w14:textId="77777777" w:rsidR="00AF06E7" w:rsidRPr="004B4D8D" w:rsidRDefault="00AF06E7" w:rsidP="004B4D8D">
      <w:pPr>
        <w:pStyle w:val="NoSpacing"/>
      </w:pPr>
    </w:p>
    <w:p w14:paraId="44BCFD8B" w14:textId="77777777" w:rsidR="00D85DEF" w:rsidRDefault="0017417F" w:rsidP="0017417F">
      <w:pPr>
        <w:pStyle w:val="Heading1"/>
        <w:rPr>
          <w:caps/>
        </w:rPr>
      </w:pPr>
      <w:bookmarkStart w:id="40" w:name="_Toc425419766"/>
      <w:r w:rsidRPr="0017417F">
        <w:rPr>
          <w:caps/>
        </w:rPr>
        <w:t>2016 Capital Additions</w:t>
      </w:r>
      <w:bookmarkEnd w:id="40"/>
    </w:p>
    <w:p w14:paraId="467600E9" w14:textId="5BFE639C" w:rsidR="0017417F" w:rsidRPr="00BB6A8B" w:rsidRDefault="00D85DEF" w:rsidP="00D85DEF">
      <w:pPr>
        <w:pStyle w:val="NoSpacing"/>
        <w:jc w:val="center"/>
      </w:pPr>
      <w:r>
        <w:rPr>
          <w:b/>
        </w:rPr>
        <w:t>ELECTRIC AND NATURAL GAS ADJUSTMENTS 4.02</w:t>
      </w:r>
    </w:p>
    <w:p w14:paraId="748070DB" w14:textId="77777777" w:rsidR="0017417F" w:rsidRDefault="0017417F" w:rsidP="00587BFC">
      <w:pPr>
        <w:spacing w:line="480" w:lineRule="auto"/>
        <w:ind w:left="720"/>
      </w:pPr>
    </w:p>
    <w:p w14:paraId="2A4717CE" w14:textId="0687FA4B" w:rsidR="00BB6A8B" w:rsidRDefault="00BB6A8B" w:rsidP="008D7FDA">
      <w:pPr>
        <w:pStyle w:val="Heading8"/>
      </w:pPr>
      <w:r>
        <w:t>Q.</w:t>
      </w:r>
      <w:r>
        <w:tab/>
      </w:r>
      <w:r w:rsidR="00BB43F8">
        <w:t>What is the purpose of these adjustments?</w:t>
      </w:r>
    </w:p>
    <w:p w14:paraId="34C2E196" w14:textId="1397FB26" w:rsidR="00BB6A8B" w:rsidRDefault="00BB6A8B" w:rsidP="008D7FDA">
      <w:pPr>
        <w:pStyle w:val="NoSpacing"/>
      </w:pPr>
      <w:r>
        <w:t>A.</w:t>
      </w:r>
      <w:r>
        <w:tab/>
      </w:r>
      <w:r w:rsidR="00BB43F8">
        <w:t xml:space="preserve">These </w:t>
      </w:r>
      <w:r w:rsidR="000736A2">
        <w:t>proposed</w:t>
      </w:r>
      <w:r w:rsidR="00BB43F8">
        <w:t xml:space="preserve"> adjustments</w:t>
      </w:r>
      <w:r w:rsidR="001919AF">
        <w:t xml:space="preserve"> “pro form” speculative plant additions forecasted by the Company to occur in calendar year 2016.</w:t>
      </w:r>
    </w:p>
    <w:p w14:paraId="57384D46" w14:textId="77777777" w:rsidR="001919AF" w:rsidRDefault="001919AF" w:rsidP="008D7FDA">
      <w:pPr>
        <w:pStyle w:val="NoSpacing"/>
      </w:pPr>
    </w:p>
    <w:p w14:paraId="7FCA0409" w14:textId="41A9232F" w:rsidR="001919AF" w:rsidRDefault="001919AF" w:rsidP="001919AF">
      <w:pPr>
        <w:pStyle w:val="Heading8"/>
      </w:pPr>
      <w:r>
        <w:t>Q.</w:t>
      </w:r>
      <w:r>
        <w:tab/>
        <w:t xml:space="preserve">Do the proposed plant additions in this period meet the criteria used by the Commission in consideration of </w:t>
      </w:r>
      <w:r w:rsidRPr="001919AF">
        <w:rPr>
          <w:i/>
        </w:rPr>
        <w:t>pro forma</w:t>
      </w:r>
      <w:r>
        <w:t xml:space="preserve"> adjustments?</w:t>
      </w:r>
    </w:p>
    <w:p w14:paraId="256867DF" w14:textId="20016EDF" w:rsidR="000D5166" w:rsidRDefault="001919AF" w:rsidP="00E96920">
      <w:pPr>
        <w:pStyle w:val="NoSpacing"/>
        <w:rPr>
          <w:rFonts w:eastAsia="Calibri"/>
        </w:rPr>
      </w:pPr>
      <w:r>
        <w:t>A.</w:t>
      </w:r>
      <w:r>
        <w:tab/>
        <w:t xml:space="preserve">No.  These proposed capital additions are not known and measurable, or used and useful.  Consideration of these 2016 </w:t>
      </w:r>
      <w:r w:rsidRPr="001919AF">
        <w:rPr>
          <w:rFonts w:eastAsia="Calibri"/>
        </w:rPr>
        <w:t xml:space="preserve">adjustments </w:t>
      </w:r>
      <w:r w:rsidR="00A04458">
        <w:rPr>
          <w:rFonts w:eastAsia="Calibri"/>
        </w:rPr>
        <w:t>requires</w:t>
      </w:r>
      <w:r w:rsidR="00BE3D7A">
        <w:rPr>
          <w:rFonts w:eastAsia="Calibri"/>
        </w:rPr>
        <w:t xml:space="preserve"> a future test year approach </w:t>
      </w:r>
      <w:r w:rsidRPr="001919AF">
        <w:rPr>
          <w:rFonts w:eastAsia="Calibri"/>
        </w:rPr>
        <w:t>– one that heavily relies on the Company’s ability to forecast</w:t>
      </w:r>
      <w:r w:rsidR="00A04458">
        <w:rPr>
          <w:rFonts w:eastAsia="Calibri"/>
        </w:rPr>
        <w:t xml:space="preserve">.  </w:t>
      </w:r>
      <w:r w:rsidR="00A04458" w:rsidRPr="001919AF">
        <w:rPr>
          <w:rFonts w:eastAsia="Calibri"/>
        </w:rPr>
        <w:t>Staff witness Mr. Gomez documents the Company’s questionable ability to forecast the timing and the size of their large transfers-to-plant.</w:t>
      </w:r>
      <w:r w:rsidR="00A04458">
        <w:rPr>
          <w:rFonts w:eastAsia="Calibri"/>
        </w:rPr>
        <w:t xml:space="preserve">  Further, t</w:t>
      </w:r>
      <w:r w:rsidRPr="001919AF">
        <w:rPr>
          <w:rFonts w:eastAsia="Calibri"/>
        </w:rPr>
        <w:t xml:space="preserve">he Commission recently reaffirmed </w:t>
      </w:r>
      <w:r w:rsidR="00A04458">
        <w:rPr>
          <w:rFonts w:eastAsia="Calibri"/>
        </w:rPr>
        <w:t>that future test years are</w:t>
      </w:r>
      <w:r w:rsidRPr="001919AF">
        <w:rPr>
          <w:rFonts w:eastAsia="Calibri"/>
        </w:rPr>
        <w:t xml:space="preserve"> inconsistent with Washington ratemaking standards.</w:t>
      </w:r>
      <w:r w:rsidR="008B4E44">
        <w:rPr>
          <w:rStyle w:val="FootnoteReference"/>
          <w:rFonts w:eastAsia="Calibri"/>
        </w:rPr>
        <w:footnoteReference w:id="24"/>
      </w:r>
      <w:r w:rsidRPr="001919AF">
        <w:rPr>
          <w:rFonts w:eastAsia="Calibri"/>
        </w:rPr>
        <w:t xml:space="preserve"> </w:t>
      </w:r>
    </w:p>
    <w:p w14:paraId="687FEA8B" w14:textId="6E924D9D" w:rsidR="001919AF" w:rsidRPr="00E96920" w:rsidRDefault="0015418D" w:rsidP="00E96920">
      <w:pPr>
        <w:pStyle w:val="NoSpacing"/>
        <w:ind w:firstLine="720"/>
      </w:pPr>
      <w:r>
        <w:rPr>
          <w:rFonts w:eastAsia="Calibri"/>
        </w:rPr>
        <w:t xml:space="preserve">It is worth reiterating that the </w:t>
      </w:r>
      <w:r w:rsidR="001919AF">
        <w:rPr>
          <w:rFonts w:eastAsia="Calibri"/>
        </w:rPr>
        <w:t>Commission has stated that “w</w:t>
      </w:r>
      <w:r w:rsidR="001919AF">
        <w:t>ith very limited exceptions the plant must be in service by no later than the end of the rate proceeding if it is to be allowed in rate base.”</w:t>
      </w:r>
      <w:r w:rsidR="001919AF">
        <w:rPr>
          <w:rStyle w:val="FootnoteReference"/>
        </w:rPr>
        <w:footnoteReference w:id="25"/>
      </w:r>
      <w:r w:rsidR="001919AF">
        <w:t xml:space="preserve">  The suspension date for this rate case ha</w:t>
      </w:r>
      <w:r w:rsidR="00E96920">
        <w:t>s been set at January 11, 2016.</w:t>
      </w:r>
    </w:p>
    <w:p w14:paraId="0C50C947" w14:textId="77777777" w:rsidR="00BB6A8B" w:rsidRDefault="00BB6A8B" w:rsidP="00587BFC">
      <w:pPr>
        <w:spacing w:line="480" w:lineRule="auto"/>
        <w:ind w:left="720"/>
      </w:pPr>
    </w:p>
    <w:p w14:paraId="179D4E79" w14:textId="22FC57A8" w:rsidR="00BB6A8B" w:rsidRPr="00BB6A8B" w:rsidRDefault="00BB6A8B" w:rsidP="00BB6A8B">
      <w:pPr>
        <w:pStyle w:val="Heading1"/>
        <w:rPr>
          <w:caps/>
        </w:rPr>
      </w:pPr>
      <w:bookmarkStart w:id="41" w:name="_Toc425419767"/>
      <w:r w:rsidRPr="00BB6A8B">
        <w:rPr>
          <w:caps/>
        </w:rPr>
        <w:t>Other Rate Base Additions</w:t>
      </w:r>
      <w:bookmarkEnd w:id="41"/>
    </w:p>
    <w:p w14:paraId="7755710B" w14:textId="169FAC1B" w:rsidR="0017417F" w:rsidRDefault="00BB6A8B" w:rsidP="00A3554A">
      <w:pPr>
        <w:pStyle w:val="Heading2"/>
        <w:numPr>
          <w:ilvl w:val="0"/>
          <w:numId w:val="35"/>
        </w:numPr>
        <w:ind w:left="1440" w:hanging="720"/>
      </w:pPr>
      <w:bookmarkStart w:id="42" w:name="_Toc425419768"/>
      <w:r>
        <w:t>Electric Adjustment 4.03 – Meter Retirement</w:t>
      </w:r>
      <w:bookmarkEnd w:id="42"/>
    </w:p>
    <w:p w14:paraId="3300F5D1" w14:textId="77777777" w:rsidR="00BB6A8B" w:rsidRPr="00BB6A8B" w:rsidRDefault="00BB6A8B" w:rsidP="00BB6A8B">
      <w:pPr>
        <w:pStyle w:val="NoSpacing"/>
      </w:pPr>
    </w:p>
    <w:p w14:paraId="6132C1E1" w14:textId="0E4F27C5" w:rsidR="00BB6A8B" w:rsidRPr="00C0669F" w:rsidRDefault="00BB6A8B" w:rsidP="00C0669F">
      <w:pPr>
        <w:pStyle w:val="Heading8"/>
      </w:pPr>
      <w:r w:rsidRPr="00C0669F">
        <w:t>Q.</w:t>
      </w:r>
      <w:r w:rsidRPr="00C0669F">
        <w:tab/>
      </w:r>
      <w:r w:rsidR="00C0669F" w:rsidRPr="00C0669F">
        <w:t>What is the purpose of this adjustment</w:t>
      </w:r>
      <w:r w:rsidRPr="00C0669F">
        <w:t>?</w:t>
      </w:r>
    </w:p>
    <w:p w14:paraId="6691F340" w14:textId="1AA9B6EB" w:rsidR="00BB6A8B" w:rsidRDefault="00BB6A8B" w:rsidP="00BB6A8B">
      <w:pPr>
        <w:pStyle w:val="NoSpacing"/>
      </w:pPr>
      <w:r>
        <w:t>A.</w:t>
      </w:r>
      <w:r>
        <w:tab/>
      </w:r>
      <w:r w:rsidR="00C0669F">
        <w:t xml:space="preserve">This adjustment, as originally proposed by the Company, </w:t>
      </w:r>
      <w:r w:rsidR="00C0669F" w:rsidRPr="00A13CB3" w:rsidDel="00392EBF">
        <w:t xml:space="preserve">accompanies the implementation of a “smart grid” meter deployment program by the Company, known as “Advanced Metering Infrastructure” (AMI).  </w:t>
      </w:r>
      <w:r w:rsidR="00C0669F" w:rsidRPr="00A13CB3">
        <w:t>Avista seeks to transform the undepreciated balance of their in-service electromechanical meters, at the beginning of 2016, into a regulatory asset.  This regulatory asset would be amortized over a 10-year period.</w:t>
      </w:r>
    </w:p>
    <w:p w14:paraId="05A76205" w14:textId="77777777" w:rsidR="00EA210D" w:rsidRDefault="00EA210D" w:rsidP="00BB6A8B">
      <w:pPr>
        <w:pStyle w:val="NoSpacing"/>
      </w:pPr>
    </w:p>
    <w:p w14:paraId="5B086F27" w14:textId="07EDBE6A" w:rsidR="00EA210D" w:rsidRDefault="00EA210D" w:rsidP="00BE3D7A">
      <w:pPr>
        <w:pStyle w:val="Heading8"/>
        <w:keepNext/>
      </w:pPr>
      <w:r>
        <w:t>Q.</w:t>
      </w:r>
      <w:r>
        <w:tab/>
        <w:t>What is Staff’s recommendation on this adjustment?</w:t>
      </w:r>
    </w:p>
    <w:p w14:paraId="1A278210" w14:textId="517B1FE9" w:rsidR="007003EC" w:rsidRDefault="00EA210D" w:rsidP="00BB6A8B">
      <w:pPr>
        <w:pStyle w:val="NoSpacing"/>
        <w:rPr>
          <w:rFonts w:eastAsia="Calibri"/>
          <w:lang w:eastAsia="x-none"/>
        </w:rPr>
      </w:pPr>
      <w:r>
        <w:t>A.</w:t>
      </w:r>
      <w:r>
        <w:tab/>
      </w:r>
      <w:r w:rsidRPr="00EA210D">
        <w:rPr>
          <w:rFonts w:eastAsia="Calibri"/>
          <w:lang w:eastAsia="x-none"/>
        </w:rPr>
        <w:t>Staff recommends rejec</w:t>
      </w:r>
      <w:r w:rsidR="00E96920">
        <w:rPr>
          <w:rFonts w:eastAsia="Calibri"/>
          <w:lang w:eastAsia="x-none"/>
        </w:rPr>
        <w:t xml:space="preserve">ting this proposed adjustment. </w:t>
      </w:r>
      <w:r w:rsidRPr="00EA210D">
        <w:rPr>
          <w:rFonts w:eastAsia="Calibri"/>
          <w:lang w:eastAsia="x-none"/>
        </w:rPr>
        <w:t xml:space="preserve">This adjustment is tied directly to the Commission’s decision on Avista’s </w:t>
      </w:r>
      <w:r w:rsidR="00BE3D7A">
        <w:rPr>
          <w:rFonts w:eastAsia="Calibri"/>
          <w:lang w:eastAsia="x-none"/>
        </w:rPr>
        <w:t>AMI program.  Staff witness Mr. </w:t>
      </w:r>
      <w:r w:rsidRPr="00EA210D">
        <w:rPr>
          <w:rFonts w:eastAsia="Calibri"/>
          <w:lang w:eastAsia="x-none"/>
        </w:rPr>
        <w:t xml:space="preserve">Nightingale recommends that the Commission </w:t>
      </w:r>
      <w:r w:rsidR="009235D2">
        <w:rPr>
          <w:rFonts w:eastAsia="Calibri"/>
          <w:lang w:eastAsia="x-none"/>
        </w:rPr>
        <w:t>reject the Company’s AMI proposal</w:t>
      </w:r>
      <w:r w:rsidRPr="00EA210D">
        <w:rPr>
          <w:rFonts w:eastAsia="Calibri"/>
          <w:lang w:eastAsia="x-none"/>
        </w:rPr>
        <w:t>.  Therefore, the undepreciated value of the meters should remain in rate base.  Incidentally, this is accomplished by Staff’s dismissal of Avista’s 2016 adjustments, wherein the removal of meters from rate base is already reflected.</w:t>
      </w:r>
      <w:r w:rsidRPr="00EA210D">
        <w:rPr>
          <w:rFonts w:eastAsia="Calibri"/>
          <w:vertAlign w:val="superscript"/>
          <w:lang w:eastAsia="x-none"/>
        </w:rPr>
        <w:footnoteReference w:id="26"/>
      </w:r>
      <w:r w:rsidRPr="00EA210D">
        <w:rPr>
          <w:rFonts w:eastAsia="Calibri"/>
          <w:lang w:eastAsia="x-none"/>
        </w:rPr>
        <w:t xml:space="preserve">  By eliminating the Company’s proposed electric adjustments 4.02 (2016 Planned Capital Add) and 4.03 (Meter Retirement), Staff’s proposed treatment is accomplished.  This treatment has no effect on net operating income compared to the test year.</w:t>
      </w:r>
    </w:p>
    <w:p w14:paraId="51D8EB48" w14:textId="77777777" w:rsidR="00BB6A8B" w:rsidRDefault="00BB6A8B" w:rsidP="00BB6A8B">
      <w:pPr>
        <w:spacing w:line="480" w:lineRule="auto"/>
        <w:ind w:left="720"/>
      </w:pPr>
    </w:p>
    <w:p w14:paraId="53285BBC" w14:textId="033FC961" w:rsidR="00BB6A8B" w:rsidRDefault="00BB6A8B" w:rsidP="00A3554A">
      <w:pPr>
        <w:pStyle w:val="Heading2"/>
        <w:spacing w:line="240" w:lineRule="auto"/>
        <w:ind w:left="1440" w:hanging="720"/>
      </w:pPr>
      <w:bookmarkStart w:id="43" w:name="_Toc425419769"/>
      <w:r>
        <w:t>Natural Gas Adjustment 4.03 – Project Compass Deferral (Regulatory Amortization)</w:t>
      </w:r>
      <w:bookmarkEnd w:id="43"/>
    </w:p>
    <w:p w14:paraId="7E11FF21" w14:textId="77777777" w:rsidR="00BB6A8B" w:rsidRPr="00BB6A8B" w:rsidRDefault="00BB6A8B" w:rsidP="00BB6A8B">
      <w:pPr>
        <w:pStyle w:val="NoSpacing"/>
      </w:pPr>
    </w:p>
    <w:p w14:paraId="7A68B5D5" w14:textId="72A7E20A" w:rsidR="00BB6A8B" w:rsidRDefault="00BB6A8B" w:rsidP="00BB6A8B">
      <w:pPr>
        <w:pStyle w:val="Heading8"/>
      </w:pPr>
      <w:r>
        <w:t>Q.</w:t>
      </w:r>
      <w:r>
        <w:tab/>
      </w:r>
      <w:r w:rsidR="00D90EC2" w:rsidRPr="00D90EC2">
        <w:t>Please describe this adjustment.</w:t>
      </w:r>
    </w:p>
    <w:p w14:paraId="5249C2A5" w14:textId="77777777" w:rsidR="006066A1" w:rsidRDefault="00BB6A8B" w:rsidP="00D90EC2">
      <w:pPr>
        <w:spacing w:line="480" w:lineRule="auto"/>
        <w:ind w:left="720" w:hanging="720"/>
        <w:rPr>
          <w:rFonts w:eastAsia="Calibri"/>
          <w:lang w:eastAsia="x-none"/>
        </w:rPr>
      </w:pPr>
      <w:r>
        <w:t>A.</w:t>
      </w:r>
      <w:r>
        <w:tab/>
      </w:r>
      <w:r w:rsidR="00D90EC2">
        <w:rPr>
          <w:rFonts w:eastAsia="Calibri"/>
          <w:lang w:eastAsia="x-none"/>
        </w:rPr>
        <w:t xml:space="preserve">The Commission </w:t>
      </w:r>
      <w:r w:rsidR="00C23146">
        <w:rPr>
          <w:rFonts w:eastAsia="Calibri"/>
          <w:lang w:eastAsia="x-none"/>
        </w:rPr>
        <w:t xml:space="preserve">has </w:t>
      </w:r>
      <w:r w:rsidR="00D90EC2">
        <w:rPr>
          <w:rFonts w:eastAsia="Calibri"/>
          <w:lang w:eastAsia="x-none"/>
        </w:rPr>
        <w:t>allow</w:t>
      </w:r>
      <w:r w:rsidR="00C23146">
        <w:rPr>
          <w:rFonts w:eastAsia="Calibri"/>
          <w:lang w:eastAsia="x-none"/>
        </w:rPr>
        <w:t>ed</w:t>
      </w:r>
      <w:r w:rsidR="00D90EC2">
        <w:rPr>
          <w:rFonts w:eastAsia="Calibri"/>
          <w:lang w:eastAsia="x-none"/>
        </w:rPr>
        <w:t xml:space="preserve"> Avista to defer</w:t>
      </w:r>
      <w:r w:rsidR="00D90EC2" w:rsidRPr="00D90EC2">
        <w:rPr>
          <w:rFonts w:eastAsia="Calibri"/>
          <w:lang w:eastAsia="x-none"/>
        </w:rPr>
        <w:t>, for recovery in a future proceeding, the natural gas revenue requirement amount associated with Project Compass for the calendar year 2015.</w:t>
      </w:r>
      <w:r w:rsidR="00D90EC2" w:rsidRPr="00D90EC2">
        <w:rPr>
          <w:rFonts w:eastAsia="Calibri"/>
          <w:vertAlign w:val="superscript"/>
          <w:lang w:eastAsia="x-none"/>
        </w:rPr>
        <w:footnoteReference w:id="27"/>
      </w:r>
      <w:r w:rsidR="00D90EC2" w:rsidRPr="00D90EC2">
        <w:rPr>
          <w:rFonts w:eastAsia="Calibri"/>
          <w:lang w:eastAsia="x-none"/>
        </w:rPr>
        <w:t xml:space="preserve">  </w:t>
      </w:r>
      <w:r w:rsidR="00D90EC2">
        <w:rPr>
          <w:rFonts w:eastAsia="Calibri"/>
          <w:lang w:eastAsia="x-none"/>
        </w:rPr>
        <w:t>Specifically, the Settlement Stipulation</w:t>
      </w:r>
      <w:r w:rsidR="00C23146">
        <w:rPr>
          <w:rFonts w:eastAsia="Calibri"/>
          <w:lang w:eastAsia="x-none"/>
        </w:rPr>
        <w:t xml:space="preserve"> in Docket UG-140189</w:t>
      </w:r>
      <w:r w:rsidR="00D90EC2">
        <w:rPr>
          <w:rFonts w:eastAsia="Calibri"/>
          <w:lang w:eastAsia="x-none"/>
        </w:rPr>
        <w:t xml:space="preserve"> states that: </w:t>
      </w:r>
    </w:p>
    <w:p w14:paraId="3AC5F1BD" w14:textId="17580CBB" w:rsidR="00D90EC2" w:rsidRDefault="00D90EC2" w:rsidP="006066A1">
      <w:pPr>
        <w:spacing w:after="240"/>
        <w:ind w:left="1440"/>
        <w:rPr>
          <w:rFonts w:eastAsia="Calibri"/>
          <w:lang w:eastAsia="x-none"/>
        </w:rPr>
      </w:pPr>
      <w:r w:rsidRPr="00DB6C5C">
        <w:t xml:space="preserve">The Parties agree the natural gas revenue requirement associated with </w:t>
      </w:r>
      <w:r>
        <w:t xml:space="preserve">the </w:t>
      </w:r>
      <w:r w:rsidRPr="00DB6C5C">
        <w:t xml:space="preserve">Project Compass Customer Information System for the calendar year 2015 </w:t>
      </w:r>
      <w:r>
        <w:t>will</w:t>
      </w:r>
      <w:r w:rsidRPr="00DB6C5C">
        <w:t xml:space="preserve"> be deferred for recovery in a future proceeding, based on the actual costs of the Project</w:t>
      </w:r>
      <w:r w:rsidR="00C23146">
        <w:t xml:space="preserve"> a</w:t>
      </w:r>
      <w:r w:rsidRPr="00DB6C5C">
        <w:t>t the time the Project goes into service.</w:t>
      </w:r>
    </w:p>
    <w:p w14:paraId="39073434" w14:textId="4CA077C9" w:rsidR="00D90EC2" w:rsidRDefault="00F07C57" w:rsidP="006066A1">
      <w:pPr>
        <w:spacing w:line="480" w:lineRule="auto"/>
        <w:ind w:firstLine="720"/>
        <w:rPr>
          <w:rFonts w:eastAsia="Calibri"/>
          <w:lang w:eastAsia="x-none"/>
        </w:rPr>
      </w:pPr>
      <w:r>
        <w:rPr>
          <w:rFonts w:eastAsia="Calibri"/>
          <w:lang w:eastAsia="x-none"/>
        </w:rPr>
        <w:t>The Company’s</w:t>
      </w:r>
      <w:r w:rsidR="00D90EC2" w:rsidRPr="00D90EC2">
        <w:rPr>
          <w:rFonts w:eastAsia="Calibri"/>
          <w:lang w:eastAsia="x-none"/>
        </w:rPr>
        <w:t xml:space="preserve"> filed case uses an estimated amount.</w:t>
      </w:r>
      <w:r w:rsidR="00D90EC2" w:rsidRPr="00D90EC2">
        <w:rPr>
          <w:rFonts w:eastAsia="Calibri"/>
          <w:vertAlign w:val="superscript"/>
          <w:lang w:eastAsia="x-none"/>
        </w:rPr>
        <w:footnoteReference w:id="28"/>
      </w:r>
    </w:p>
    <w:p w14:paraId="0F93FC4A" w14:textId="77777777" w:rsidR="00C23146" w:rsidRDefault="00C23146" w:rsidP="00C23146">
      <w:pPr>
        <w:spacing w:line="480" w:lineRule="auto"/>
        <w:rPr>
          <w:rFonts w:eastAsia="Calibri"/>
          <w:lang w:eastAsia="x-none"/>
        </w:rPr>
      </w:pPr>
    </w:p>
    <w:p w14:paraId="1AAF8460" w14:textId="7B7F78C5" w:rsidR="00C23146" w:rsidRDefault="00C23146" w:rsidP="00C23146">
      <w:pPr>
        <w:pStyle w:val="Heading8"/>
        <w:rPr>
          <w:rFonts w:eastAsia="Calibri"/>
        </w:rPr>
      </w:pPr>
      <w:r>
        <w:rPr>
          <w:rFonts w:eastAsia="Calibri"/>
        </w:rPr>
        <w:t>Q.</w:t>
      </w:r>
      <w:r>
        <w:rPr>
          <w:rFonts w:eastAsia="Calibri"/>
        </w:rPr>
        <w:tab/>
        <w:t>Does Staff support this adjustment?</w:t>
      </w:r>
    </w:p>
    <w:p w14:paraId="6DC6B7A0" w14:textId="439E1034" w:rsidR="00C23146" w:rsidRPr="00D90EC2" w:rsidRDefault="00C23146" w:rsidP="00C23146">
      <w:pPr>
        <w:pStyle w:val="NoSpacing"/>
        <w:rPr>
          <w:rFonts w:eastAsia="Calibri"/>
        </w:rPr>
      </w:pPr>
      <w:r>
        <w:rPr>
          <w:rFonts w:eastAsia="Calibri"/>
        </w:rPr>
        <w:t>A.</w:t>
      </w:r>
      <w:r>
        <w:rPr>
          <w:rFonts w:eastAsia="Calibri"/>
        </w:rPr>
        <w:tab/>
      </w:r>
      <w:r w:rsidRPr="00C23146">
        <w:rPr>
          <w:rFonts w:eastAsia="Calibri"/>
          <w:lang w:eastAsia="x-none"/>
        </w:rPr>
        <w:t xml:space="preserve">Yes, with some changes.  Staff witness Mr. Gomez addresses cost overruns on Project Compass in his testimony, </w:t>
      </w:r>
      <w:r w:rsidRPr="00E96920">
        <w:rPr>
          <w:rFonts w:eastAsia="Calibri"/>
          <w:lang w:eastAsia="x-none"/>
        </w:rPr>
        <w:t>and recommends disallowance of $18.702 million of final costs of this program</w:t>
      </w:r>
      <w:r w:rsidRPr="00C23146">
        <w:rPr>
          <w:rFonts w:eastAsia="Calibri"/>
          <w:lang w:eastAsia="x-none"/>
        </w:rPr>
        <w:t>.</w:t>
      </w:r>
      <w:r w:rsidR="00673524">
        <w:rPr>
          <w:rFonts w:eastAsia="Calibri"/>
          <w:lang w:eastAsia="x-none"/>
        </w:rPr>
        <w:t xml:space="preserve">  </w:t>
      </w:r>
      <w:r w:rsidR="00E864DA">
        <w:rPr>
          <w:rFonts w:eastAsia="Calibri"/>
          <w:lang w:eastAsia="x-none"/>
        </w:rPr>
        <w:t xml:space="preserve">As discussed by </w:t>
      </w:r>
      <w:r w:rsidR="00673524">
        <w:rPr>
          <w:rFonts w:eastAsia="Calibri"/>
          <w:lang w:eastAsia="x-none"/>
        </w:rPr>
        <w:t>Mr. Gomez</w:t>
      </w:r>
      <w:r w:rsidR="00E864DA">
        <w:rPr>
          <w:rFonts w:eastAsia="Calibri"/>
          <w:lang w:eastAsia="x-none"/>
        </w:rPr>
        <w:t>, this</w:t>
      </w:r>
      <w:r w:rsidR="00673524">
        <w:rPr>
          <w:rFonts w:eastAsia="Calibri"/>
          <w:lang w:eastAsia="x-none"/>
        </w:rPr>
        <w:t xml:space="preserve"> recommendation is motivated largely by concerns over conflicts-of-interest and prudency issues related to the System Integrator contracted under this project.</w:t>
      </w:r>
      <w:r w:rsidR="00673524">
        <w:rPr>
          <w:rStyle w:val="FootnoteReference"/>
          <w:rFonts w:eastAsia="Calibri"/>
          <w:lang w:eastAsia="x-none"/>
        </w:rPr>
        <w:footnoteReference w:id="29"/>
      </w:r>
      <w:r w:rsidRPr="00C23146">
        <w:rPr>
          <w:rFonts w:eastAsia="Calibri"/>
          <w:lang w:eastAsia="x-none"/>
        </w:rPr>
        <w:t xml:space="preserve">  Adopting </w:t>
      </w:r>
      <w:r>
        <w:rPr>
          <w:rFonts w:eastAsia="Calibri"/>
          <w:lang w:eastAsia="x-none"/>
        </w:rPr>
        <w:t>Staff’s recommendation results in a reducing in net operating income in natural gas operations of $614,000</w:t>
      </w:r>
      <w:r w:rsidRPr="00C23146">
        <w:rPr>
          <w:rFonts w:eastAsia="Calibri"/>
          <w:lang w:eastAsia="x-none"/>
        </w:rPr>
        <w:t>.</w:t>
      </w:r>
      <w:r>
        <w:rPr>
          <w:rFonts w:eastAsia="Calibri"/>
          <w:lang w:eastAsia="x-none"/>
        </w:rPr>
        <w:t xml:space="preserve">  This necessitates a marginal increase in revenue requirements of $990,000.</w:t>
      </w:r>
    </w:p>
    <w:p w14:paraId="1EA861D1" w14:textId="4E8B47FC" w:rsidR="00BB6A8B" w:rsidRDefault="00BB6A8B" w:rsidP="00BB6A8B">
      <w:pPr>
        <w:spacing w:line="480" w:lineRule="auto"/>
        <w:ind w:left="720"/>
      </w:pPr>
    </w:p>
    <w:p w14:paraId="357D2592" w14:textId="798F466B" w:rsidR="00BB6A8B" w:rsidRDefault="00BB6A8B" w:rsidP="00A3554A">
      <w:pPr>
        <w:pStyle w:val="Heading2"/>
        <w:ind w:left="1440" w:hanging="720"/>
      </w:pPr>
      <w:bookmarkStart w:id="44" w:name="_Toc425419770"/>
      <w:r>
        <w:t>Electric and Natural Gas Adjustments 4.04 – O&amp;M Offsets</w:t>
      </w:r>
      <w:bookmarkEnd w:id="44"/>
    </w:p>
    <w:p w14:paraId="1B5A3C0B" w14:textId="77777777" w:rsidR="00BB6A8B" w:rsidRPr="00BB6A8B" w:rsidRDefault="00BB6A8B" w:rsidP="00BB6A8B">
      <w:pPr>
        <w:pStyle w:val="NoSpacing"/>
      </w:pPr>
    </w:p>
    <w:p w14:paraId="53FF05D3" w14:textId="02F726B2" w:rsidR="00BB6A8B" w:rsidRDefault="00BB6A8B" w:rsidP="00BB6A8B">
      <w:pPr>
        <w:pStyle w:val="Heading8"/>
      </w:pPr>
      <w:r>
        <w:t>Q.</w:t>
      </w:r>
      <w:r>
        <w:tab/>
      </w:r>
      <w:r w:rsidR="00FF1B91">
        <w:t>Please describe these adjustments.</w:t>
      </w:r>
    </w:p>
    <w:p w14:paraId="7731944D" w14:textId="5F18A720" w:rsidR="00BB6A8B" w:rsidRDefault="00BB6A8B" w:rsidP="00BB6A8B">
      <w:pPr>
        <w:pStyle w:val="NoSpacing"/>
        <w:rPr>
          <w:lang w:eastAsia="x-none"/>
        </w:rPr>
      </w:pPr>
      <w:r>
        <w:t>A.</w:t>
      </w:r>
      <w:r>
        <w:tab/>
      </w:r>
      <w:r w:rsidR="00FF1B91" w:rsidRPr="00A13CB3">
        <w:rPr>
          <w:lang w:eastAsia="x-none"/>
        </w:rPr>
        <w:t>This adjustment accounts for expenses and savings to operations and maintenance (O&amp;M) costs for capital investments</w:t>
      </w:r>
      <w:r w:rsidR="00985D8F">
        <w:rPr>
          <w:lang w:eastAsia="x-none"/>
        </w:rPr>
        <w:t xml:space="preserve">.  </w:t>
      </w:r>
    </w:p>
    <w:p w14:paraId="2C0ED346" w14:textId="77777777" w:rsidR="00ED79B1" w:rsidRDefault="00ED79B1" w:rsidP="00BB6A8B">
      <w:pPr>
        <w:pStyle w:val="NoSpacing"/>
        <w:rPr>
          <w:lang w:eastAsia="x-none"/>
        </w:rPr>
      </w:pPr>
    </w:p>
    <w:p w14:paraId="4213D0D1" w14:textId="728EB2D8" w:rsidR="00ED79B1" w:rsidRDefault="00ED79B1" w:rsidP="00A3554A">
      <w:pPr>
        <w:pStyle w:val="Heading8"/>
        <w:keepNext/>
      </w:pPr>
      <w:r>
        <w:t>Q.</w:t>
      </w:r>
      <w:r>
        <w:tab/>
        <w:t>What is Staff’s recommendation for this adjustment?</w:t>
      </w:r>
    </w:p>
    <w:p w14:paraId="72383D25" w14:textId="2A239B1D" w:rsidR="00ED79B1" w:rsidRDefault="00ED79B1" w:rsidP="00BB6A8B">
      <w:pPr>
        <w:pStyle w:val="NoSpacing"/>
        <w:rPr>
          <w:lang w:eastAsia="x-none"/>
        </w:rPr>
      </w:pPr>
      <w:r>
        <w:rPr>
          <w:lang w:eastAsia="x-none"/>
        </w:rPr>
        <w:t>A.</w:t>
      </w:r>
      <w:r>
        <w:rPr>
          <w:lang w:eastAsia="x-none"/>
        </w:rPr>
        <w:tab/>
        <w:t>For electric service, Staff’s recommendation results in an increase in net operating income of $309,000.  For natural gas service, Staff’s recommendation results in an increase in net operating income of $18,000.  These net operating income figures differ from those in the Company’s original filing, which were an increase of $127,000 and an increase of $51,000, respectively.</w:t>
      </w:r>
    </w:p>
    <w:p w14:paraId="587D4949" w14:textId="77777777" w:rsidR="00ED79B1" w:rsidRDefault="00ED79B1" w:rsidP="00BB6A8B">
      <w:pPr>
        <w:pStyle w:val="NoSpacing"/>
        <w:rPr>
          <w:lang w:eastAsia="x-none"/>
        </w:rPr>
      </w:pPr>
    </w:p>
    <w:p w14:paraId="4C7B3C1E" w14:textId="123935C5" w:rsidR="00ED79B1" w:rsidRDefault="00ED79B1" w:rsidP="00ED79B1">
      <w:pPr>
        <w:pStyle w:val="Heading8"/>
      </w:pPr>
      <w:r>
        <w:t>Q.</w:t>
      </w:r>
      <w:r>
        <w:tab/>
      </w:r>
      <w:r w:rsidRPr="00ED79B1">
        <w:t xml:space="preserve">How does Staff’s stated treatment of 2016 </w:t>
      </w:r>
      <w:r w:rsidRPr="00ED79B1">
        <w:rPr>
          <w:i/>
        </w:rPr>
        <w:t>pro forma</w:t>
      </w:r>
      <w:r w:rsidRPr="00ED79B1">
        <w:t xml:space="preserve"> items affect this adjustment?</w:t>
      </w:r>
    </w:p>
    <w:p w14:paraId="5E478656" w14:textId="3921D80F" w:rsidR="006602DF" w:rsidRDefault="00ED79B1" w:rsidP="006602DF">
      <w:pPr>
        <w:pStyle w:val="NoSpacing"/>
        <w:rPr>
          <w:rFonts w:eastAsia="Calibri"/>
        </w:rPr>
      </w:pPr>
      <w:r>
        <w:t>A.</w:t>
      </w:r>
      <w:r>
        <w:tab/>
      </w:r>
      <w:r w:rsidRPr="00ED79B1">
        <w:rPr>
          <w:rFonts w:eastAsia="Calibri"/>
        </w:rPr>
        <w:t xml:space="preserve">To be consistent </w:t>
      </w:r>
      <w:r w:rsidR="00401E03">
        <w:rPr>
          <w:rFonts w:eastAsia="Calibri"/>
        </w:rPr>
        <w:t xml:space="preserve">with Staff’s </w:t>
      </w:r>
      <w:r w:rsidRPr="00ED79B1">
        <w:rPr>
          <w:rFonts w:eastAsia="Calibri"/>
        </w:rPr>
        <w:t>approach</w:t>
      </w:r>
      <w:r w:rsidR="00401E03">
        <w:rPr>
          <w:rFonts w:eastAsia="Calibri"/>
        </w:rPr>
        <w:t xml:space="preserve"> above</w:t>
      </w:r>
      <w:r w:rsidRPr="00ED79B1">
        <w:rPr>
          <w:rFonts w:eastAsia="Calibri"/>
        </w:rPr>
        <w:t xml:space="preserve">, </w:t>
      </w:r>
      <w:r w:rsidR="00401E03">
        <w:rPr>
          <w:rFonts w:eastAsia="Calibri"/>
        </w:rPr>
        <w:t>the</w:t>
      </w:r>
      <w:r w:rsidRPr="00ED79B1">
        <w:rPr>
          <w:rFonts w:eastAsia="Calibri"/>
        </w:rPr>
        <w:t xml:space="preserve"> 2016 items </w:t>
      </w:r>
      <w:r w:rsidR="00401E03">
        <w:rPr>
          <w:rFonts w:eastAsia="Calibri"/>
        </w:rPr>
        <w:t>included in</w:t>
      </w:r>
      <w:r w:rsidRPr="00ED79B1">
        <w:rPr>
          <w:rFonts w:eastAsia="Calibri"/>
        </w:rPr>
        <w:t xml:space="preserve"> this adjustment</w:t>
      </w:r>
      <w:r w:rsidR="00401E03">
        <w:rPr>
          <w:rFonts w:eastAsia="Calibri"/>
        </w:rPr>
        <w:t xml:space="preserve"> have been removed</w:t>
      </w:r>
      <w:r w:rsidRPr="00ED79B1">
        <w:rPr>
          <w:rFonts w:eastAsia="Calibri"/>
        </w:rPr>
        <w:t>.</w:t>
      </w:r>
    </w:p>
    <w:p w14:paraId="4B471702" w14:textId="77777777" w:rsidR="006602DF" w:rsidRDefault="006602DF" w:rsidP="006602DF">
      <w:pPr>
        <w:pStyle w:val="NoSpacing"/>
      </w:pPr>
    </w:p>
    <w:p w14:paraId="55475B7C" w14:textId="117AD787" w:rsidR="006602DF" w:rsidRDefault="006602DF" w:rsidP="006602DF">
      <w:pPr>
        <w:pStyle w:val="Heading8"/>
      </w:pPr>
      <w:r>
        <w:t>Q.</w:t>
      </w:r>
      <w:r>
        <w:tab/>
        <w:t>What other changes does Staff advocate for this adjustment?</w:t>
      </w:r>
    </w:p>
    <w:p w14:paraId="4C5720CB" w14:textId="1399F417" w:rsidR="006602DF" w:rsidRDefault="006602DF" w:rsidP="006602DF">
      <w:pPr>
        <w:pStyle w:val="NoSpacing"/>
      </w:pPr>
      <w:r>
        <w:t>A.</w:t>
      </w:r>
      <w:r>
        <w:tab/>
        <w:t xml:space="preserve">In order to reflect the recommendations of Staff witness Mr. Nightingale, </w:t>
      </w:r>
      <w:r w:rsidR="009523BB">
        <w:t>Staff</w:t>
      </w:r>
      <w:r>
        <w:t xml:space="preserve"> removed the offsets Avista claimed for 2016 due to implementation their AMI program.</w:t>
      </w:r>
    </w:p>
    <w:p w14:paraId="4591FADD" w14:textId="65BC4A0E" w:rsidR="006602DF" w:rsidRDefault="007B0EF4" w:rsidP="006602DF">
      <w:pPr>
        <w:pStyle w:val="NoSpacing"/>
        <w:ind w:firstLine="720"/>
      </w:pPr>
      <w:r>
        <w:t>Staff</w:t>
      </w:r>
      <w:r w:rsidR="006602DF">
        <w:t xml:space="preserve"> also update</w:t>
      </w:r>
      <w:r>
        <w:t>s</w:t>
      </w:r>
      <w:r w:rsidR="006602DF">
        <w:t xml:space="preserve"> this adjustment to reflect the comments in Exhibit </w:t>
      </w:r>
      <w:r w:rsidR="00BE3D7A">
        <w:t>____ (</w:t>
      </w:r>
      <w:r w:rsidR="006602DF">
        <w:t>KSS-5</w:t>
      </w:r>
      <w:r w:rsidR="00BE3D7A">
        <w:t>)</w:t>
      </w:r>
      <w:r w:rsidR="006602DF">
        <w:t>, which note that the Company’s workpapers for this adjustment are not fully reflective of the information the Company had at filing.</w:t>
      </w:r>
    </w:p>
    <w:p w14:paraId="6D16745C" w14:textId="5ED8CB85" w:rsidR="006602DF" w:rsidRDefault="006602DF" w:rsidP="006602DF">
      <w:pPr>
        <w:pStyle w:val="NoSpacing"/>
      </w:pPr>
      <w:r>
        <w:tab/>
      </w:r>
      <w:r>
        <w:tab/>
        <w:t xml:space="preserve">Finally, </w:t>
      </w:r>
      <w:r w:rsidR="007B0EF4">
        <w:t>Staff</w:t>
      </w:r>
      <w:r>
        <w:t xml:space="preserve"> update</w:t>
      </w:r>
      <w:r w:rsidR="007B0EF4">
        <w:t>s</w:t>
      </w:r>
      <w:r>
        <w:t xml:space="preserve"> this adjustment to reflect the Company’s response in Staff Data Request </w:t>
      </w:r>
      <w:r w:rsidR="000D5166">
        <w:t xml:space="preserve">No. </w:t>
      </w:r>
      <w:r>
        <w:t>182,</w:t>
      </w:r>
      <w:r w:rsidR="00B37E0B">
        <w:t xml:space="preserve"> regarding “bad wood pole events.”  Staff’s analysis incorporates the Company’s response, and is</w:t>
      </w:r>
      <w:r w:rsidR="00DB17BA">
        <w:t xml:space="preserve"> shown in Exhibit No. ___</w:t>
      </w:r>
      <w:r>
        <w:t xml:space="preserve"> </w:t>
      </w:r>
      <w:r w:rsidR="00DB17BA">
        <w:t>(</w:t>
      </w:r>
      <w:r>
        <w:t>CSH-8</w:t>
      </w:r>
      <w:r w:rsidR="00DB17BA">
        <w:t>)</w:t>
      </w:r>
      <w:r>
        <w:t>.</w:t>
      </w:r>
    </w:p>
    <w:p w14:paraId="4822D1F0" w14:textId="77CEFE56" w:rsidR="00CC3F1B" w:rsidRDefault="00CC3F1B" w:rsidP="006602DF">
      <w:pPr>
        <w:pStyle w:val="NoSpacing"/>
      </w:pPr>
    </w:p>
    <w:p w14:paraId="3FA6A9DB" w14:textId="6052100F" w:rsidR="00CC3F1B" w:rsidRDefault="00CC3F1B" w:rsidP="00D42909">
      <w:pPr>
        <w:pStyle w:val="Heading8"/>
      </w:pPr>
      <w:r>
        <w:t>Q.</w:t>
      </w:r>
      <w:r>
        <w:tab/>
        <w:t>Can you provide some examples of how the Company’s workpapers for this adjustment are not fully reflective of the information the Company had at filing?</w:t>
      </w:r>
    </w:p>
    <w:p w14:paraId="587374BB" w14:textId="2B4A6993" w:rsidR="00CC3F1B" w:rsidRDefault="00CC3F1B" w:rsidP="00D42909">
      <w:pPr>
        <w:pStyle w:val="NoSpacing"/>
      </w:pPr>
      <w:r>
        <w:t>A.</w:t>
      </w:r>
      <w:r>
        <w:tab/>
        <w:t xml:space="preserve">Yes.  </w:t>
      </w:r>
      <w:r w:rsidR="00D42909">
        <w:t xml:space="preserve">In </w:t>
      </w:r>
      <w:r w:rsidR="000D5166">
        <w:t xml:space="preserve">Company Exhibit </w:t>
      </w:r>
      <w:r w:rsidR="00BE3D7A">
        <w:t>___ (</w:t>
      </w:r>
      <w:r w:rsidR="000D5166">
        <w:t>KSS-5</w:t>
      </w:r>
      <w:r w:rsidR="00BE3D7A">
        <w:t>)</w:t>
      </w:r>
      <w:r w:rsidR="000D5166">
        <w:t xml:space="preserve">, </w:t>
      </w:r>
      <w:r w:rsidR="00D42909">
        <w:t>Attachment No.__</w:t>
      </w:r>
      <w:r w:rsidR="00DB17BA">
        <w:t xml:space="preserve"> </w:t>
      </w:r>
      <w:r w:rsidR="00D42909">
        <w:t>ETD-11, it is noted that “</w:t>
      </w:r>
      <w:r w:rsidR="00D42909" w:rsidRPr="00D42909">
        <w:t>After Revenue requirements was determined that the following additional offsets exist.</w:t>
      </w:r>
      <w:r w:rsidR="00D42909">
        <w:t>”  A very similar example exists in the following attachments</w:t>
      </w:r>
      <w:r w:rsidR="000D5166">
        <w:t xml:space="preserve"> in Exhibit KSS-5</w:t>
      </w:r>
      <w:r w:rsidR="00D42909">
        <w:t>: Attachment No.__ GP-11; GP-17; and, G-10.</w:t>
      </w:r>
    </w:p>
    <w:p w14:paraId="09A348CA" w14:textId="77777777" w:rsidR="006602DF" w:rsidRPr="006602DF" w:rsidRDefault="006602DF" w:rsidP="006602DF">
      <w:pPr>
        <w:pStyle w:val="NoSpacing"/>
        <w:rPr>
          <w:rFonts w:eastAsia="Calibri"/>
        </w:rPr>
      </w:pPr>
    </w:p>
    <w:p w14:paraId="7301EA97" w14:textId="1B1FAA88" w:rsidR="00867244" w:rsidRDefault="00867244" w:rsidP="00867244">
      <w:pPr>
        <w:pStyle w:val="Heading8"/>
        <w:rPr>
          <w:rFonts w:eastAsia="Calibri"/>
        </w:rPr>
      </w:pPr>
      <w:r>
        <w:rPr>
          <w:rFonts w:eastAsia="Calibri"/>
        </w:rPr>
        <w:t>Q.</w:t>
      </w:r>
      <w:r>
        <w:rPr>
          <w:rFonts w:eastAsia="Calibri"/>
        </w:rPr>
        <w:tab/>
        <w:t>Please discuss “bad wood poles” and Avista’s response to Staff Data Request 182.</w:t>
      </w:r>
    </w:p>
    <w:p w14:paraId="697C3905" w14:textId="52222A27" w:rsidR="000D5166" w:rsidRPr="00867244" w:rsidRDefault="00867244" w:rsidP="00356B17">
      <w:pPr>
        <w:pStyle w:val="NoSpacing"/>
        <w:rPr>
          <w:rFonts w:eastAsia="Calibri"/>
        </w:rPr>
      </w:pPr>
      <w:r>
        <w:rPr>
          <w:rFonts w:eastAsia="Calibri"/>
        </w:rPr>
        <w:t>A.</w:t>
      </w:r>
      <w:r>
        <w:rPr>
          <w:rFonts w:eastAsia="Calibri"/>
        </w:rPr>
        <w:tab/>
      </w:r>
      <w:r w:rsidRPr="00867244">
        <w:rPr>
          <w:rFonts w:eastAsia="Calibri"/>
        </w:rPr>
        <w:t xml:space="preserve">A “bad wood pole” event is an </w:t>
      </w:r>
      <w:r w:rsidRPr="00C16164">
        <w:rPr>
          <w:rFonts w:eastAsia="Calibri"/>
          <w:u w:val="single"/>
        </w:rPr>
        <w:t>unplanned</w:t>
      </w:r>
      <w:r w:rsidRPr="00867244">
        <w:rPr>
          <w:rFonts w:eastAsia="Calibri"/>
        </w:rPr>
        <w:t xml:space="preserve"> event which causes a wood pole to become unusable for service.  Examples of such events are vehicle collisions, lightning strikes, rotting of the mast or cross-arm, wind damage, fires, and felled trees.</w:t>
      </w:r>
      <w:r w:rsidR="00FE2A6D">
        <w:rPr>
          <w:rFonts w:eastAsia="Calibri"/>
        </w:rPr>
        <w:t xml:space="preserve">  These are things the Company has little to no control over.</w:t>
      </w:r>
    </w:p>
    <w:p w14:paraId="010ADEA3" w14:textId="7436166E" w:rsidR="00867244" w:rsidRDefault="00080968" w:rsidP="00080968">
      <w:pPr>
        <w:pStyle w:val="NoSpacing"/>
        <w:rPr>
          <w:rFonts w:eastAsia="Calibri"/>
        </w:rPr>
      </w:pPr>
      <w:r>
        <w:rPr>
          <w:rFonts w:eastAsia="Calibri"/>
          <w:lang w:eastAsia="x-none"/>
        </w:rPr>
        <w:tab/>
      </w:r>
      <w:r>
        <w:rPr>
          <w:rFonts w:eastAsia="Calibri"/>
          <w:lang w:eastAsia="x-none"/>
        </w:rPr>
        <w:tab/>
      </w:r>
      <w:r>
        <w:rPr>
          <w:rFonts w:eastAsia="Calibri"/>
        </w:rPr>
        <w:t xml:space="preserve">Staff </w:t>
      </w:r>
      <w:r w:rsidR="00E60F4C">
        <w:rPr>
          <w:rFonts w:eastAsia="Calibri"/>
        </w:rPr>
        <w:t>D</w:t>
      </w:r>
      <w:r w:rsidR="00867244" w:rsidRPr="00867244">
        <w:rPr>
          <w:rFonts w:eastAsia="Calibri"/>
        </w:rPr>
        <w:t xml:space="preserve">ata </w:t>
      </w:r>
      <w:r w:rsidR="00E60F4C">
        <w:rPr>
          <w:rFonts w:eastAsia="Calibri"/>
        </w:rPr>
        <w:t>R</w:t>
      </w:r>
      <w:r w:rsidR="00867244" w:rsidRPr="00867244">
        <w:rPr>
          <w:rFonts w:eastAsia="Calibri"/>
        </w:rPr>
        <w:t>equest</w:t>
      </w:r>
      <w:r w:rsidR="00867244">
        <w:rPr>
          <w:rFonts w:eastAsia="Calibri"/>
        </w:rPr>
        <w:t xml:space="preserve"> </w:t>
      </w:r>
      <w:r w:rsidR="000D5166">
        <w:rPr>
          <w:rFonts w:eastAsia="Calibri"/>
        </w:rPr>
        <w:t xml:space="preserve">No. </w:t>
      </w:r>
      <w:r w:rsidR="00E60F4C">
        <w:rPr>
          <w:rFonts w:eastAsia="Calibri"/>
        </w:rPr>
        <w:t>182</w:t>
      </w:r>
      <w:r w:rsidR="00867244" w:rsidRPr="00867244">
        <w:rPr>
          <w:rFonts w:eastAsia="Calibri"/>
        </w:rPr>
        <w:t xml:space="preserve"> asked the Company to explain their prediction of a reduction of 110 “bad wood pole” events</w:t>
      </w:r>
      <w:r w:rsidR="00FE2A6D">
        <w:rPr>
          <w:rFonts w:eastAsia="Calibri"/>
        </w:rPr>
        <w:t>, as stated</w:t>
      </w:r>
      <w:r w:rsidR="00867244" w:rsidRPr="00867244">
        <w:rPr>
          <w:rFonts w:eastAsia="Calibri"/>
        </w:rPr>
        <w:t xml:space="preserve"> in </w:t>
      </w:r>
      <w:r w:rsidR="00FE2A6D">
        <w:rPr>
          <w:rFonts w:eastAsia="Calibri"/>
        </w:rPr>
        <w:t>its</w:t>
      </w:r>
      <w:r w:rsidR="00FE2A6D" w:rsidRPr="00867244">
        <w:rPr>
          <w:rFonts w:eastAsia="Calibri"/>
        </w:rPr>
        <w:t xml:space="preserve"> </w:t>
      </w:r>
      <w:r>
        <w:rPr>
          <w:rFonts w:eastAsia="Calibri"/>
        </w:rPr>
        <w:t>initial</w:t>
      </w:r>
      <w:r w:rsidR="00867244" w:rsidRPr="00867244">
        <w:rPr>
          <w:rFonts w:eastAsia="Calibri"/>
        </w:rPr>
        <w:t xml:space="preserve"> filin</w:t>
      </w:r>
      <w:r>
        <w:rPr>
          <w:rFonts w:eastAsia="Calibri"/>
        </w:rPr>
        <w:t>g</w:t>
      </w:r>
      <w:r w:rsidR="00867244" w:rsidRPr="00867244">
        <w:rPr>
          <w:rFonts w:eastAsia="Calibri"/>
        </w:rPr>
        <w:t xml:space="preserve">.  In </w:t>
      </w:r>
      <w:r w:rsidR="00FE2A6D">
        <w:rPr>
          <w:rFonts w:eastAsia="Calibri"/>
        </w:rPr>
        <w:t>its</w:t>
      </w:r>
      <w:r w:rsidR="00867244" w:rsidRPr="00867244">
        <w:rPr>
          <w:rFonts w:eastAsia="Calibri"/>
        </w:rPr>
        <w:t xml:space="preserve"> response, the Company acknowledged a methodological flaw, incorporated actual figures through calendar year 2014, and provided documentation to support a new </w:t>
      </w:r>
      <w:r w:rsidR="00FE2A6D">
        <w:rPr>
          <w:rFonts w:eastAsia="Calibri"/>
        </w:rPr>
        <w:t xml:space="preserve">Company </w:t>
      </w:r>
      <w:r w:rsidR="00867244" w:rsidRPr="00867244">
        <w:rPr>
          <w:rFonts w:eastAsia="Calibri"/>
        </w:rPr>
        <w:t>expectation of a reduction of 209 bad wood pole events to take place in 2016.</w:t>
      </w:r>
    </w:p>
    <w:p w14:paraId="087B19C5" w14:textId="77777777" w:rsidR="00001366" w:rsidRDefault="00001366" w:rsidP="00080968">
      <w:pPr>
        <w:pStyle w:val="NoSpacing"/>
        <w:rPr>
          <w:rFonts w:eastAsia="Calibri"/>
        </w:rPr>
      </w:pPr>
    </w:p>
    <w:p w14:paraId="69D8807D" w14:textId="1D685931" w:rsidR="00EC5712" w:rsidRDefault="00EC5712" w:rsidP="00EC5712">
      <w:pPr>
        <w:pStyle w:val="Heading8"/>
        <w:rPr>
          <w:rFonts w:eastAsia="Calibri"/>
        </w:rPr>
      </w:pPr>
      <w:r>
        <w:rPr>
          <w:rFonts w:eastAsia="Calibri"/>
        </w:rPr>
        <w:t>Q.</w:t>
      </w:r>
      <w:r>
        <w:rPr>
          <w:rFonts w:eastAsia="Calibri"/>
        </w:rPr>
        <w:tab/>
        <w:t>Did Staff review the Company’s updated information on “bad wood pole” events?</w:t>
      </w:r>
    </w:p>
    <w:p w14:paraId="762DEAD0" w14:textId="5F322797" w:rsidR="00867244" w:rsidRPr="00867244" w:rsidRDefault="00EC5712" w:rsidP="00356B17">
      <w:pPr>
        <w:pStyle w:val="NoSpacing"/>
        <w:rPr>
          <w:rFonts w:eastAsia="Calibri"/>
          <w:lang w:eastAsia="x-none"/>
        </w:rPr>
      </w:pPr>
      <w:r>
        <w:t>A.</w:t>
      </w:r>
      <w:r>
        <w:tab/>
        <w:t xml:space="preserve">Yes.  </w:t>
      </w:r>
      <w:r w:rsidR="00E60F4C">
        <w:t>S</w:t>
      </w:r>
      <w:r w:rsidR="00B32B51">
        <w:rPr>
          <w:rFonts w:eastAsia="Calibri"/>
        </w:rPr>
        <w:t xml:space="preserve">taff </w:t>
      </w:r>
      <w:r w:rsidR="00867244" w:rsidRPr="00867244">
        <w:rPr>
          <w:rFonts w:eastAsia="Calibri"/>
        </w:rPr>
        <w:t>reviewed the support documentation included in the Company’s response, and found a clear trend in reduced bad wood pole events over time.</w:t>
      </w:r>
      <w:r w:rsidR="00C16164">
        <w:rPr>
          <w:rFonts w:eastAsia="Calibri"/>
        </w:rPr>
        <w:t xml:space="preserve">  The relationship between bad wood pole events and time lends itself to a linear regression</w:t>
      </w:r>
      <w:r w:rsidR="00FE2A6D">
        <w:rPr>
          <w:rFonts w:eastAsia="Calibri"/>
        </w:rPr>
        <w:t>, particularly because the Company has little to no control over these events</w:t>
      </w:r>
      <w:r w:rsidR="00C16164">
        <w:rPr>
          <w:rFonts w:eastAsia="Calibri"/>
        </w:rPr>
        <w:t>.</w:t>
      </w:r>
      <w:r w:rsidR="00867244" w:rsidRPr="00867244">
        <w:rPr>
          <w:rFonts w:eastAsia="Calibri"/>
        </w:rPr>
        <w:t xml:space="preserve">  Bad wood pole events are highly, and negatively, correlated with time.  However, the Company’s claim of a reduction of 209 bad wood pole events</w:t>
      </w:r>
      <w:r w:rsidR="00B32B51">
        <w:rPr>
          <w:rFonts w:eastAsia="Calibri"/>
        </w:rPr>
        <w:t xml:space="preserve"> in this response</w:t>
      </w:r>
      <w:r w:rsidR="00867244" w:rsidRPr="00867244">
        <w:rPr>
          <w:rFonts w:eastAsia="Calibri"/>
        </w:rPr>
        <w:t xml:space="preserve"> </w:t>
      </w:r>
      <w:r w:rsidR="00B32B51">
        <w:rPr>
          <w:rFonts w:eastAsia="Calibri"/>
        </w:rPr>
        <w:t>wa</w:t>
      </w:r>
      <w:r w:rsidR="00867244" w:rsidRPr="00867244">
        <w:rPr>
          <w:rFonts w:eastAsia="Calibri"/>
        </w:rPr>
        <w:t xml:space="preserve">s a predicted incremental number for </w:t>
      </w:r>
      <w:r w:rsidR="00867244" w:rsidRPr="00E60F4C">
        <w:rPr>
          <w:rFonts w:eastAsia="Calibri"/>
          <w:u w:val="single"/>
        </w:rPr>
        <w:t>2016</w:t>
      </w:r>
      <w:r w:rsidR="00867244" w:rsidRPr="00867244">
        <w:rPr>
          <w:rFonts w:eastAsia="Calibri"/>
        </w:rPr>
        <w:t>.</w:t>
      </w:r>
      <w:r w:rsidR="00A3554A">
        <w:rPr>
          <w:rFonts w:eastAsia="Calibri"/>
        </w:rPr>
        <w:t xml:space="preserve"> </w:t>
      </w:r>
      <w:r w:rsidR="00B32B51">
        <w:rPr>
          <w:rFonts w:eastAsia="Calibri"/>
          <w:lang w:eastAsia="x-none"/>
        </w:rPr>
        <w:t xml:space="preserve">Staff is hesitant to project so far into the future, and errs on the side of caution by merely </w:t>
      </w:r>
      <w:r w:rsidR="00001366">
        <w:rPr>
          <w:rFonts w:eastAsia="Calibri"/>
          <w:lang w:eastAsia="x-none"/>
        </w:rPr>
        <w:t xml:space="preserve">estimating </w:t>
      </w:r>
      <w:r w:rsidR="00B32B51">
        <w:rPr>
          <w:rFonts w:eastAsia="Calibri"/>
          <w:lang w:eastAsia="x-none"/>
        </w:rPr>
        <w:t xml:space="preserve">the reduction in </w:t>
      </w:r>
      <w:r w:rsidR="00B32B51" w:rsidRPr="00FE2A6D">
        <w:rPr>
          <w:rFonts w:eastAsia="Calibri"/>
          <w:u w:val="single"/>
          <w:lang w:eastAsia="x-none"/>
        </w:rPr>
        <w:t>2015</w:t>
      </w:r>
      <w:r w:rsidR="00B32B51">
        <w:rPr>
          <w:rFonts w:eastAsia="Calibri"/>
          <w:lang w:eastAsia="x-none"/>
        </w:rPr>
        <w:t xml:space="preserve"> bad wood pole events.</w:t>
      </w:r>
      <w:r w:rsidR="00867244" w:rsidRPr="00867244">
        <w:rPr>
          <w:rFonts w:eastAsia="Calibri"/>
          <w:lang w:eastAsia="x-none"/>
        </w:rPr>
        <w:t xml:space="preserve">  </w:t>
      </w:r>
      <w:r w:rsidR="00B32B51">
        <w:rPr>
          <w:rFonts w:eastAsia="Calibri"/>
          <w:lang w:eastAsia="x-none"/>
        </w:rPr>
        <w:t xml:space="preserve">Staff’s </w:t>
      </w:r>
      <w:r w:rsidR="00867244" w:rsidRPr="00867244">
        <w:rPr>
          <w:rFonts w:eastAsia="Calibri"/>
          <w:lang w:eastAsia="x-none"/>
        </w:rPr>
        <w:t>recommendation for this adjustment includes this treatment.</w:t>
      </w:r>
    </w:p>
    <w:p w14:paraId="6C910B7F" w14:textId="77777777" w:rsidR="00A40041" w:rsidRDefault="00A40041" w:rsidP="00ED79B1">
      <w:pPr>
        <w:pStyle w:val="NoSpacing"/>
        <w:rPr>
          <w:rFonts w:eastAsia="Calibri"/>
        </w:rPr>
      </w:pPr>
    </w:p>
    <w:p w14:paraId="394AEED0" w14:textId="66B0FAAB" w:rsidR="00A40041" w:rsidRDefault="00A40041" w:rsidP="00A40041">
      <w:pPr>
        <w:pStyle w:val="Heading8"/>
        <w:rPr>
          <w:rFonts w:eastAsia="Calibri"/>
        </w:rPr>
      </w:pPr>
      <w:r>
        <w:rPr>
          <w:rFonts w:eastAsia="Calibri"/>
        </w:rPr>
        <w:t>Q.</w:t>
      </w:r>
      <w:r>
        <w:rPr>
          <w:rFonts w:eastAsia="Calibri"/>
        </w:rPr>
        <w:tab/>
        <w:t xml:space="preserve">Please describe what is shown in </w:t>
      </w:r>
      <w:r w:rsidR="00BE3D7A">
        <w:rPr>
          <w:rFonts w:eastAsia="Calibri"/>
        </w:rPr>
        <w:t>Exhibit No. ___</w:t>
      </w:r>
      <w:r w:rsidRPr="00ED79B1">
        <w:rPr>
          <w:rFonts w:eastAsia="Calibri"/>
        </w:rPr>
        <w:t xml:space="preserve"> </w:t>
      </w:r>
      <w:r w:rsidR="00BE3D7A">
        <w:rPr>
          <w:rFonts w:eastAsia="Calibri"/>
        </w:rPr>
        <w:t>(</w:t>
      </w:r>
      <w:r w:rsidRPr="00ED79B1">
        <w:rPr>
          <w:rFonts w:eastAsia="Calibri"/>
        </w:rPr>
        <w:t>CSH-</w:t>
      </w:r>
      <w:r>
        <w:rPr>
          <w:rFonts w:eastAsia="Calibri"/>
        </w:rPr>
        <w:t>8</w:t>
      </w:r>
      <w:r w:rsidR="00BE3D7A">
        <w:rPr>
          <w:rFonts w:eastAsia="Calibri"/>
        </w:rPr>
        <w:t>)</w:t>
      </w:r>
      <w:r>
        <w:rPr>
          <w:rFonts w:eastAsia="Calibri"/>
        </w:rPr>
        <w:t>.</w:t>
      </w:r>
    </w:p>
    <w:p w14:paraId="688F1069" w14:textId="3182F514" w:rsidR="00A40041" w:rsidRDefault="00A40041" w:rsidP="00ED79B1">
      <w:pPr>
        <w:pStyle w:val="NoSpacing"/>
        <w:rPr>
          <w:rFonts w:eastAsia="Calibri"/>
        </w:rPr>
      </w:pPr>
      <w:r>
        <w:rPr>
          <w:rFonts w:eastAsia="Calibri"/>
        </w:rPr>
        <w:t>A.</w:t>
      </w:r>
      <w:r>
        <w:rPr>
          <w:rFonts w:eastAsia="Calibri"/>
        </w:rPr>
        <w:tab/>
        <w:t xml:space="preserve">This exhibit shows the trend in bad wood pole events over time.  There is a strong relationship present here, as evidenced by the </w:t>
      </w:r>
      <w:r w:rsidR="00E60F4C">
        <w:rPr>
          <w:rFonts w:eastAsia="Calibri"/>
        </w:rPr>
        <w:t>relatively high coefficient of determination</w:t>
      </w:r>
      <w:r>
        <w:rPr>
          <w:rFonts w:eastAsia="Calibri"/>
        </w:rPr>
        <w:t xml:space="preserve"> of 0.703.</w:t>
      </w:r>
      <w:r w:rsidR="00E60F4C">
        <w:rPr>
          <w:rStyle w:val="FootnoteReference"/>
          <w:rFonts w:eastAsia="Calibri"/>
        </w:rPr>
        <w:footnoteReference w:id="30"/>
      </w:r>
      <w:r>
        <w:rPr>
          <w:rFonts w:eastAsia="Calibri"/>
        </w:rPr>
        <w:t xml:space="preserve">  This suggests that future bad wood pole events</w:t>
      </w:r>
      <w:r w:rsidR="00F92F00">
        <w:rPr>
          <w:rFonts w:eastAsia="Calibri"/>
        </w:rPr>
        <w:t xml:space="preserve"> in the short term</w:t>
      </w:r>
      <w:r>
        <w:rPr>
          <w:rFonts w:eastAsia="Calibri"/>
        </w:rPr>
        <w:t xml:space="preserve"> can be estimated based on past trends.  The line of best fit for this data, represented by the equation displayed on the chart, can be used to reasonably estimate the number of future bad wood pole events</w:t>
      </w:r>
      <w:r w:rsidR="00F92F00">
        <w:rPr>
          <w:rFonts w:eastAsia="Calibri"/>
        </w:rPr>
        <w:t xml:space="preserve"> in the short term.</w:t>
      </w:r>
    </w:p>
    <w:p w14:paraId="6DD0C8FA" w14:textId="77777777" w:rsidR="00A40041" w:rsidRDefault="00A40041" w:rsidP="00ED79B1">
      <w:pPr>
        <w:pStyle w:val="NoSpacing"/>
        <w:rPr>
          <w:rFonts w:eastAsia="Calibri"/>
        </w:rPr>
      </w:pPr>
    </w:p>
    <w:p w14:paraId="0A219629" w14:textId="7F12230D" w:rsidR="00A40041" w:rsidRDefault="00A40041" w:rsidP="00A40041">
      <w:pPr>
        <w:pStyle w:val="Heading8"/>
        <w:rPr>
          <w:rFonts w:eastAsia="Calibri"/>
        </w:rPr>
      </w:pPr>
      <w:r>
        <w:rPr>
          <w:rFonts w:eastAsia="Calibri"/>
        </w:rPr>
        <w:t>Q.</w:t>
      </w:r>
      <w:r>
        <w:rPr>
          <w:rFonts w:eastAsia="Calibri"/>
        </w:rPr>
        <w:tab/>
        <w:t>What does this line of best fit suggest the number of bad wood pole events will be in the year 2015?</w:t>
      </w:r>
    </w:p>
    <w:p w14:paraId="19236CD0" w14:textId="59F022FA" w:rsidR="00A40041" w:rsidRPr="00A40041" w:rsidRDefault="00A40041" w:rsidP="00867244">
      <w:pPr>
        <w:pStyle w:val="NoSpacing"/>
        <w:rPr>
          <w:rFonts w:eastAsia="Calibri"/>
        </w:rPr>
      </w:pPr>
      <w:r>
        <w:t>A.</w:t>
      </w:r>
      <w:r>
        <w:tab/>
      </w:r>
      <w:r w:rsidR="00F92F00">
        <w:t xml:space="preserve">Based on this line of best fit, </w:t>
      </w:r>
      <w:r w:rsidR="00867244">
        <w:t>Staff expects Avista to record 727 bad wood pole events</w:t>
      </w:r>
      <w:r w:rsidR="00B32B51">
        <w:t xml:space="preserve"> in 2015</w:t>
      </w:r>
      <w:r w:rsidR="00867244">
        <w:t>.  This represents a reduction of 123 bad wood pole events, relative to the observed total in 2014 of 850.</w:t>
      </w:r>
    </w:p>
    <w:p w14:paraId="74C90AA5" w14:textId="77777777" w:rsidR="00BB6A8B" w:rsidRDefault="00BB6A8B" w:rsidP="00BB6A8B">
      <w:pPr>
        <w:spacing w:line="480" w:lineRule="auto"/>
        <w:ind w:left="720"/>
      </w:pPr>
    </w:p>
    <w:p w14:paraId="31DA6687" w14:textId="275093C0" w:rsidR="00BB6A8B" w:rsidRPr="00BB27D1" w:rsidRDefault="00BB6A8B" w:rsidP="00F5016D">
      <w:pPr>
        <w:pStyle w:val="Heading1"/>
        <w:rPr>
          <w:rFonts w:ascii="Times New Roman Bold" w:hAnsi="Times New Roman Bold"/>
          <w:b w:val="0"/>
          <w:caps/>
        </w:rPr>
      </w:pPr>
      <w:bookmarkStart w:id="45" w:name="_Toc425175801"/>
      <w:bookmarkStart w:id="46" w:name="_Toc425175852"/>
      <w:bookmarkStart w:id="47" w:name="_Toc425175802"/>
      <w:bookmarkStart w:id="48" w:name="_Toc425175853"/>
      <w:bookmarkStart w:id="49" w:name="_Toc425175803"/>
      <w:bookmarkStart w:id="50" w:name="_Toc425175854"/>
      <w:bookmarkStart w:id="51" w:name="_Toc425175804"/>
      <w:bookmarkStart w:id="52" w:name="_Toc425175855"/>
      <w:bookmarkStart w:id="53" w:name="_Toc425175805"/>
      <w:bookmarkStart w:id="54" w:name="_Toc425175856"/>
      <w:bookmarkStart w:id="55" w:name="_Toc425175806"/>
      <w:bookmarkStart w:id="56" w:name="_Toc425175857"/>
      <w:bookmarkStart w:id="57" w:name="_Toc425175807"/>
      <w:bookmarkStart w:id="58" w:name="_Toc425175858"/>
      <w:bookmarkStart w:id="59" w:name="_Toc425175808"/>
      <w:bookmarkStart w:id="60" w:name="_Toc425175859"/>
      <w:bookmarkStart w:id="61" w:name="_Toc425175809"/>
      <w:bookmarkStart w:id="62" w:name="_Toc425175860"/>
      <w:bookmarkStart w:id="63" w:name="_Toc425175810"/>
      <w:bookmarkStart w:id="64" w:name="_Toc425175861"/>
      <w:bookmarkStart w:id="65" w:name="_Toc425175811"/>
      <w:bookmarkStart w:id="66" w:name="_Toc425175862"/>
      <w:bookmarkStart w:id="67" w:name="_Toc425175812"/>
      <w:bookmarkStart w:id="68" w:name="_Toc425175863"/>
      <w:bookmarkStart w:id="69" w:name="_Toc425175813"/>
      <w:bookmarkStart w:id="70" w:name="_Toc425175864"/>
      <w:bookmarkStart w:id="71" w:name="_Toc425175814"/>
      <w:bookmarkStart w:id="72" w:name="_Toc425175865"/>
      <w:bookmarkStart w:id="73" w:name="_Toc425175815"/>
      <w:bookmarkStart w:id="74" w:name="_Toc425175866"/>
      <w:bookmarkStart w:id="75" w:name="_Toc42541977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BB27D1">
        <w:rPr>
          <w:rFonts w:ascii="Times New Roman Bold" w:hAnsi="Times New Roman Bold"/>
          <w:b w:val="0"/>
          <w:caps/>
        </w:rPr>
        <w:t>Reconcile Pro Forma to Attrition</w:t>
      </w:r>
      <w:bookmarkEnd w:id="75"/>
    </w:p>
    <w:p w14:paraId="5BCFC746" w14:textId="614985B8" w:rsidR="0096692D" w:rsidRPr="0096692D" w:rsidRDefault="0096692D" w:rsidP="0096692D">
      <w:pPr>
        <w:pStyle w:val="NoSpacing"/>
        <w:jc w:val="center"/>
        <w:rPr>
          <w:b/>
        </w:rPr>
      </w:pPr>
      <w:r w:rsidRPr="0096692D">
        <w:rPr>
          <w:b/>
        </w:rPr>
        <w:t>Electric Adjustment 4.05 and Natural Gas Adjustment 4.06</w:t>
      </w:r>
    </w:p>
    <w:p w14:paraId="1A2433D3" w14:textId="77777777" w:rsidR="005A7DDF" w:rsidRPr="005A7DDF" w:rsidRDefault="005A7DDF" w:rsidP="005A7DDF">
      <w:pPr>
        <w:pStyle w:val="NoSpacing"/>
      </w:pPr>
    </w:p>
    <w:p w14:paraId="14E2069B" w14:textId="1D6D9CE7" w:rsidR="00BB6A8B" w:rsidRPr="00E45A75" w:rsidRDefault="00BB6A8B" w:rsidP="00E45A75">
      <w:pPr>
        <w:pStyle w:val="Heading8"/>
      </w:pPr>
      <w:r w:rsidRPr="00E45A75">
        <w:t>Q.</w:t>
      </w:r>
      <w:r w:rsidRPr="00E45A75">
        <w:tab/>
      </w:r>
      <w:r w:rsidR="00682036" w:rsidRPr="00E45A75">
        <w:t>Please describe the purpose of these adjustments.</w:t>
      </w:r>
    </w:p>
    <w:p w14:paraId="65E7E90B" w14:textId="264CD073" w:rsidR="005338E4" w:rsidRDefault="00BB6A8B" w:rsidP="00356B17">
      <w:pPr>
        <w:pStyle w:val="NoSpacing"/>
        <w:rPr>
          <w:rFonts w:eastAsia="Calibri"/>
        </w:rPr>
      </w:pPr>
      <w:r>
        <w:t>A.</w:t>
      </w:r>
      <w:r>
        <w:tab/>
      </w:r>
      <w:r w:rsidR="00E45A75">
        <w:rPr>
          <w:rFonts w:eastAsia="Calibri"/>
        </w:rPr>
        <w:t>The</w:t>
      </w:r>
      <w:r w:rsidR="00682036" w:rsidRPr="00682036">
        <w:rPr>
          <w:rFonts w:eastAsia="Calibri"/>
        </w:rPr>
        <w:t xml:space="preserve"> purpose</w:t>
      </w:r>
      <w:r w:rsidR="00E45A75">
        <w:rPr>
          <w:rFonts w:eastAsia="Calibri"/>
        </w:rPr>
        <w:t xml:space="preserve"> of these adjustments, as originally proposed by the Company</w:t>
      </w:r>
      <w:r w:rsidR="005338E4">
        <w:rPr>
          <w:rFonts w:eastAsia="Calibri"/>
        </w:rPr>
        <w:t xml:space="preserve"> and explained by Ms. Smith</w:t>
      </w:r>
      <w:r w:rsidR="00E45A75">
        <w:rPr>
          <w:rFonts w:eastAsia="Calibri"/>
        </w:rPr>
        <w:t>,</w:t>
      </w:r>
      <w:r w:rsidR="00682036" w:rsidRPr="00682036">
        <w:rPr>
          <w:rFonts w:eastAsia="Calibri"/>
        </w:rPr>
        <w:t xml:space="preserve"> is</w:t>
      </w:r>
      <w:r w:rsidR="005338E4">
        <w:rPr>
          <w:rFonts w:eastAsia="Calibri"/>
        </w:rPr>
        <w:t xml:space="preserve"> to “establish revenue, expenses and rate base numbers that can be used as inputs to the Company’s cost of service studies prepared by Company witnesses Ms. Knox… and Mr. Miller.”</w:t>
      </w:r>
      <w:r w:rsidR="00682036" w:rsidRPr="00682036">
        <w:rPr>
          <w:rFonts w:eastAsia="Calibri"/>
          <w:vertAlign w:val="superscript"/>
        </w:rPr>
        <w:footnoteReference w:id="31"/>
      </w:r>
      <w:r w:rsidR="00682036" w:rsidRPr="00682036">
        <w:rPr>
          <w:rFonts w:eastAsia="Calibri"/>
        </w:rPr>
        <w:t xml:space="preserve">  </w:t>
      </w:r>
    </w:p>
    <w:p w14:paraId="5B7343A8" w14:textId="09662516" w:rsidR="00EC5D82" w:rsidRDefault="005338E4" w:rsidP="005338E4">
      <w:pPr>
        <w:pStyle w:val="NoSpacing"/>
        <w:ind w:firstLine="720"/>
        <w:rPr>
          <w:rFonts w:eastAsia="Calibri"/>
        </w:rPr>
      </w:pPr>
      <w:r>
        <w:rPr>
          <w:rFonts w:eastAsia="Calibri"/>
        </w:rPr>
        <w:t>In the Company’s Pro Forma Cross Check study, t</w:t>
      </w:r>
      <w:r w:rsidR="00682036" w:rsidRPr="00682036">
        <w:rPr>
          <w:rFonts w:eastAsia="Calibri"/>
        </w:rPr>
        <w:t xml:space="preserve">his adjustment forces the </w:t>
      </w:r>
      <w:r w:rsidR="00682036" w:rsidRPr="00682036">
        <w:rPr>
          <w:rFonts w:eastAsia="Calibri"/>
          <w:i/>
        </w:rPr>
        <w:t>pro forma</w:t>
      </w:r>
      <w:r w:rsidR="00682036" w:rsidRPr="00682036">
        <w:rPr>
          <w:rFonts w:eastAsia="Calibri"/>
        </w:rPr>
        <w:t xml:space="preserve"> revenue requirement model to produce the same revenue requirement result as the Company’s attrition study.</w:t>
      </w:r>
      <w:r w:rsidR="00E45A75">
        <w:rPr>
          <w:rFonts w:eastAsia="Calibri"/>
        </w:rPr>
        <w:t xml:space="preserve">  This is a necessary step in the Company’s original filing</w:t>
      </w:r>
      <w:r w:rsidR="00DA284D">
        <w:rPr>
          <w:rFonts w:eastAsia="Calibri"/>
        </w:rPr>
        <w:t>, but services no purpose for Staff’s analysis.</w:t>
      </w:r>
    </w:p>
    <w:p w14:paraId="4C0B3F63" w14:textId="77777777" w:rsidR="00FB5621" w:rsidRDefault="00FB5621" w:rsidP="00F76AC2">
      <w:pPr>
        <w:pStyle w:val="NoSpacing"/>
      </w:pPr>
    </w:p>
    <w:p w14:paraId="1BA0A426" w14:textId="668B852A" w:rsidR="00FB5621" w:rsidRDefault="00FB5621" w:rsidP="00FB5621">
      <w:pPr>
        <w:pStyle w:val="Heading8"/>
      </w:pPr>
      <w:r>
        <w:t>Q.</w:t>
      </w:r>
      <w:r>
        <w:tab/>
        <w:t>Does Staff’s recommended case require this adjustment?</w:t>
      </w:r>
    </w:p>
    <w:p w14:paraId="2E3A747B" w14:textId="4FF78F27" w:rsidR="00FB5621" w:rsidRPr="00F720F8" w:rsidRDefault="00FB5621" w:rsidP="00FB5621">
      <w:pPr>
        <w:pStyle w:val="NoSpacing"/>
      </w:pPr>
      <w:r>
        <w:t>A.</w:t>
      </w:r>
      <w:r>
        <w:tab/>
        <w:t xml:space="preserve">No.  </w:t>
      </w:r>
      <w:r w:rsidR="00DA284D">
        <w:t>This adjustment has been eliminated from Staff’s pro forma analysis, and therefore has no impact on revenues or income.</w:t>
      </w:r>
    </w:p>
    <w:p w14:paraId="69F8BDAA" w14:textId="77777777" w:rsidR="00132503" w:rsidRPr="00F720F8" w:rsidRDefault="00132503" w:rsidP="00B53112">
      <w:pPr>
        <w:pStyle w:val="NoSpacing"/>
      </w:pPr>
    </w:p>
    <w:p w14:paraId="7F4EBDC6" w14:textId="534D79A3" w:rsidR="002878E9" w:rsidRPr="00F720F8" w:rsidRDefault="00434D77" w:rsidP="00A3554A">
      <w:pPr>
        <w:pStyle w:val="Heading8"/>
        <w:keepNext/>
      </w:pPr>
      <w:r w:rsidRPr="00F720F8">
        <w:t>Q.</w:t>
      </w:r>
      <w:r w:rsidRPr="00F720F8">
        <w:tab/>
        <w:t>Does this conclude your testimony?</w:t>
      </w:r>
    </w:p>
    <w:p w14:paraId="5966FFE0" w14:textId="63A020E3" w:rsidR="00C92AFF" w:rsidRDefault="00434D77" w:rsidP="00D277CA">
      <w:pPr>
        <w:pStyle w:val="NoSpacing"/>
      </w:pPr>
      <w:r w:rsidRPr="00F720F8">
        <w:t>A.</w:t>
      </w:r>
      <w:r w:rsidRPr="00F720F8">
        <w:tab/>
        <w:t>Yes</w:t>
      </w:r>
      <w:r w:rsidR="00D277CA">
        <w:t>.</w:t>
      </w:r>
    </w:p>
    <w:p w14:paraId="56ACA7B5" w14:textId="0D6A7C6C" w:rsidR="00A3554A" w:rsidRPr="00F720F8" w:rsidRDefault="00A3554A" w:rsidP="00D277CA">
      <w:pPr>
        <w:pStyle w:val="NoSpacing"/>
      </w:pPr>
    </w:p>
    <w:sectPr w:rsidR="00A3554A" w:rsidRPr="00F720F8"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DB2FC" w14:textId="77777777" w:rsidR="00DB17BA" w:rsidRDefault="00DB17BA" w:rsidP="00CC09B5">
      <w:r>
        <w:separator/>
      </w:r>
    </w:p>
    <w:p w14:paraId="3B484D28" w14:textId="77777777" w:rsidR="00DB17BA" w:rsidRDefault="00DB17BA"/>
    <w:p w14:paraId="5FC4C8AD" w14:textId="77777777" w:rsidR="00DB17BA" w:rsidRDefault="00DB17BA" w:rsidP="00352C04"/>
    <w:p w14:paraId="1B538A30" w14:textId="77777777" w:rsidR="00DB17BA" w:rsidRDefault="00DB17BA" w:rsidP="00352C04"/>
    <w:p w14:paraId="6EE91825" w14:textId="77777777" w:rsidR="00DB17BA" w:rsidRDefault="00DB17BA"/>
  </w:endnote>
  <w:endnote w:type="continuationSeparator" w:id="0">
    <w:p w14:paraId="42BEDF74" w14:textId="77777777" w:rsidR="00DB17BA" w:rsidRDefault="00DB17BA" w:rsidP="00CC09B5">
      <w:r>
        <w:continuationSeparator/>
      </w:r>
    </w:p>
    <w:p w14:paraId="2F8F3CE2" w14:textId="77777777" w:rsidR="00DB17BA" w:rsidRDefault="00DB17BA"/>
    <w:p w14:paraId="251F787B" w14:textId="77777777" w:rsidR="00DB17BA" w:rsidRDefault="00DB17BA" w:rsidP="00352C04"/>
    <w:p w14:paraId="435DBA02" w14:textId="77777777" w:rsidR="00DB17BA" w:rsidRDefault="00DB17BA" w:rsidP="00352C04"/>
    <w:p w14:paraId="7DB5C8D2" w14:textId="77777777" w:rsidR="00DB17BA" w:rsidRDefault="00DB17BA"/>
  </w:endnote>
  <w:endnote w:type="continuationNotice" w:id="1">
    <w:p w14:paraId="35A44612" w14:textId="77777777" w:rsidR="00DB17BA" w:rsidRDefault="00DB17BA"/>
    <w:p w14:paraId="7A20FA4D" w14:textId="77777777" w:rsidR="00DB17BA" w:rsidRDefault="00DB1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C" w14:textId="77777777" w:rsidR="00DB17BA" w:rsidRPr="00DC40BC" w:rsidRDefault="00DB17BA" w:rsidP="00CC09B5">
    <w:pPr>
      <w:pStyle w:val="Footer"/>
      <w:rPr>
        <w:sz w:val="20"/>
        <w:szCs w:val="20"/>
      </w:rPr>
    </w:pPr>
  </w:p>
  <w:p w14:paraId="0B0AA77D" w14:textId="7F256C3C" w:rsidR="00DB17BA" w:rsidRPr="00022107" w:rsidRDefault="00DB17BA" w:rsidP="00CC09B5">
    <w:pPr>
      <w:pStyle w:val="Footer"/>
      <w:rPr>
        <w:sz w:val="20"/>
        <w:szCs w:val="20"/>
      </w:rPr>
    </w:pPr>
    <w:r w:rsidRPr="00022107">
      <w:rPr>
        <w:sz w:val="20"/>
        <w:szCs w:val="20"/>
      </w:rPr>
      <w:t xml:space="preserve">TESTIMONY OF </w:t>
    </w:r>
    <w:r>
      <w:rPr>
        <w:sz w:val="20"/>
        <w:szCs w:val="20"/>
      </w:rPr>
      <w:t>CHRISTOPHER S. HANCOCK</w:t>
    </w:r>
    <w:r w:rsidRPr="00022107">
      <w:rPr>
        <w:sz w:val="20"/>
        <w:szCs w:val="20"/>
      </w:rPr>
      <w:t xml:space="preserve"> </w:t>
    </w:r>
    <w:r w:rsidRPr="00022107">
      <w:rPr>
        <w:sz w:val="20"/>
        <w:szCs w:val="20"/>
      </w:rPr>
      <w:tab/>
    </w:r>
    <w:r w:rsidRPr="00022107">
      <w:rPr>
        <w:sz w:val="20"/>
        <w:szCs w:val="20"/>
      </w:rPr>
      <w:tab/>
      <w:t>Exhibit No. ___</w:t>
    </w:r>
    <w:r>
      <w:rPr>
        <w:sz w:val="20"/>
        <w:szCs w:val="20"/>
      </w:rPr>
      <w:t xml:space="preserve"> </w:t>
    </w:r>
    <w:r w:rsidRPr="00022107">
      <w:rPr>
        <w:sz w:val="20"/>
        <w:szCs w:val="20"/>
      </w:rPr>
      <w:t>(</w:t>
    </w:r>
    <w:r>
      <w:rPr>
        <w:sz w:val="20"/>
        <w:szCs w:val="20"/>
      </w:rPr>
      <w:t>CSH</w:t>
    </w:r>
    <w:r w:rsidRPr="00022107">
      <w:rPr>
        <w:sz w:val="20"/>
        <w:szCs w:val="20"/>
      </w:rPr>
      <w:t>-1</w:t>
    </w:r>
    <w:r>
      <w:rPr>
        <w:sz w:val="20"/>
        <w:szCs w:val="20"/>
      </w:rPr>
      <w:t>T</w:t>
    </w:r>
    <w:r w:rsidRPr="00022107">
      <w:rPr>
        <w:sz w:val="20"/>
        <w:szCs w:val="20"/>
      </w:rPr>
      <w:t>)</w:t>
    </w:r>
  </w:p>
  <w:p w14:paraId="0B0AA77E" w14:textId="2B9D1486" w:rsidR="00DB17BA" w:rsidRPr="00022107" w:rsidRDefault="00DB17BA" w:rsidP="00CC09B5">
    <w:pPr>
      <w:pStyle w:val="Footer"/>
      <w:rPr>
        <w:rStyle w:val="PageNumber"/>
        <w:sz w:val="20"/>
        <w:szCs w:val="20"/>
        <w:lang w:val="fr-FR"/>
      </w:rPr>
    </w:pPr>
    <w:r w:rsidRPr="00022107">
      <w:rPr>
        <w:sz w:val="20"/>
        <w:szCs w:val="20"/>
      </w:rPr>
      <w:t>Docket</w:t>
    </w:r>
    <w:r>
      <w:rPr>
        <w:sz w:val="20"/>
        <w:szCs w:val="20"/>
      </w:rPr>
      <w:t>s</w:t>
    </w:r>
    <w:r w:rsidRPr="00022107">
      <w:rPr>
        <w:sz w:val="20"/>
        <w:szCs w:val="20"/>
        <w:lang w:val="fr-FR"/>
      </w:rPr>
      <w:t xml:space="preserve"> UE-</w:t>
    </w:r>
    <w:r>
      <w:rPr>
        <w:sz w:val="20"/>
        <w:szCs w:val="20"/>
        <w:lang w:val="fr-FR"/>
      </w:rPr>
      <w:t>150204/UG-150205</w:t>
    </w:r>
    <w:r w:rsidRPr="00022107">
      <w:rPr>
        <w:sz w:val="20"/>
        <w:szCs w:val="20"/>
        <w:lang w:val="fr-FR"/>
      </w:rPr>
      <w:tab/>
    </w:r>
    <w:r w:rsidRPr="00022107">
      <w:rPr>
        <w:sz w:val="20"/>
        <w:szCs w:val="20"/>
        <w:lang w:val="fr-FR"/>
      </w:rPr>
      <w:tab/>
      <w:t xml:space="preserve">Page </w:t>
    </w:r>
    <w:r w:rsidRPr="00022107">
      <w:rPr>
        <w:rStyle w:val="PageNumber"/>
        <w:sz w:val="20"/>
        <w:szCs w:val="20"/>
        <w:lang w:val="fr-FR"/>
      </w:rPr>
      <w:fldChar w:fldCharType="begin"/>
    </w:r>
    <w:r w:rsidRPr="00022107">
      <w:rPr>
        <w:rStyle w:val="PageNumber"/>
        <w:sz w:val="20"/>
        <w:szCs w:val="20"/>
        <w:lang w:val="fr-FR"/>
      </w:rPr>
      <w:instrText xml:space="preserve"> PAGE </w:instrText>
    </w:r>
    <w:r w:rsidRPr="00022107">
      <w:rPr>
        <w:rStyle w:val="PageNumber"/>
        <w:sz w:val="20"/>
        <w:szCs w:val="20"/>
        <w:lang w:val="fr-FR"/>
      </w:rPr>
      <w:fldChar w:fldCharType="separate"/>
    </w:r>
    <w:r w:rsidR="00833E5C">
      <w:rPr>
        <w:rStyle w:val="PageNumber"/>
        <w:noProof/>
        <w:sz w:val="20"/>
        <w:szCs w:val="20"/>
        <w:lang w:val="fr-FR"/>
      </w:rPr>
      <w:t>18</w:t>
    </w:r>
    <w:r w:rsidRPr="00022107">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A545" w14:textId="77777777" w:rsidR="00DB17BA" w:rsidRDefault="00DB17BA">
      <w:r>
        <w:separator/>
      </w:r>
    </w:p>
  </w:footnote>
  <w:footnote w:type="continuationSeparator" w:id="0">
    <w:p w14:paraId="3A1BC4C9" w14:textId="77777777" w:rsidR="00DB17BA" w:rsidRDefault="00DB17BA" w:rsidP="00352C04">
      <w:r>
        <w:continuationSeparator/>
      </w:r>
    </w:p>
    <w:p w14:paraId="56591EFF" w14:textId="77777777" w:rsidR="00DB17BA" w:rsidRDefault="00DB17BA"/>
  </w:footnote>
  <w:footnote w:type="continuationNotice" w:id="1">
    <w:p w14:paraId="0B38ABD7" w14:textId="77777777" w:rsidR="00DB17BA" w:rsidRDefault="00DB17BA"/>
    <w:p w14:paraId="18250663" w14:textId="77777777" w:rsidR="00DB17BA" w:rsidRDefault="00DB17BA"/>
  </w:footnote>
  <w:footnote w:id="2">
    <w:p w14:paraId="61629FA5" w14:textId="32E5241A" w:rsidR="00DB17BA" w:rsidRDefault="00DB17BA">
      <w:pPr>
        <w:pStyle w:val="FootnoteText"/>
      </w:pPr>
      <w:r>
        <w:rPr>
          <w:rStyle w:val="FootnoteReference"/>
        </w:rPr>
        <w:footnoteRef/>
      </w:r>
      <w:r>
        <w:t xml:space="preserve"> Testimony of Chris McGuire, Exhibit No. ___ (CRM-1T), page 47, Section VI, subsection A.</w:t>
      </w:r>
    </w:p>
  </w:footnote>
  <w:footnote w:id="3">
    <w:p w14:paraId="3F9397EC" w14:textId="67DCED0F" w:rsidR="00DB17BA" w:rsidRPr="004934DE" w:rsidRDefault="00DB17BA" w:rsidP="00946388">
      <w:pPr>
        <w:pStyle w:val="FootnoteText"/>
      </w:pPr>
      <w:r w:rsidRPr="004934DE">
        <w:rPr>
          <w:rStyle w:val="FootnoteReference"/>
        </w:rPr>
        <w:footnoteRef/>
      </w:r>
      <w:r w:rsidRPr="004934DE">
        <w:t xml:space="preserve"> Testimony of Jennifer S. Smith, </w:t>
      </w:r>
      <w:r>
        <w:t>Exhibit No. ___</w:t>
      </w:r>
      <w:r w:rsidR="00BE3D7A">
        <w:t xml:space="preserve"> </w:t>
      </w:r>
      <w:r>
        <w:t>(</w:t>
      </w:r>
      <w:r w:rsidRPr="004934DE">
        <w:t>JSS-1T</w:t>
      </w:r>
      <w:r>
        <w:t>)</w:t>
      </w:r>
      <w:r w:rsidRPr="004934DE">
        <w:t>, page 3, lines 11-14</w:t>
      </w:r>
      <w:r>
        <w:t>.</w:t>
      </w:r>
    </w:p>
  </w:footnote>
  <w:footnote w:id="4">
    <w:p w14:paraId="55E9FF55" w14:textId="175FC017" w:rsidR="00DB17BA" w:rsidRPr="00CC2F06" w:rsidRDefault="00DB17BA" w:rsidP="00946388">
      <w:pPr>
        <w:pStyle w:val="FootnoteText"/>
      </w:pPr>
      <w:r>
        <w:rPr>
          <w:rStyle w:val="FootnoteReference"/>
        </w:rPr>
        <w:footnoteRef/>
      </w:r>
      <w:r>
        <w:t xml:space="preserve"> </w:t>
      </w:r>
      <w:r w:rsidRPr="00466228">
        <w:rPr>
          <w:i/>
        </w:rPr>
        <w:t>Id</w:t>
      </w:r>
      <w:r>
        <w:t>. at</w:t>
      </w:r>
      <w:r w:rsidRPr="00CC2F06">
        <w:t xml:space="preserve"> page 3, </w:t>
      </w:r>
      <w:r>
        <w:t>lines 15</w:t>
      </w:r>
      <w:r w:rsidRPr="00CC2F06">
        <w:t>-1</w:t>
      </w:r>
      <w:r>
        <w:t>6.</w:t>
      </w:r>
    </w:p>
    <w:p w14:paraId="0CF53D65" w14:textId="77777777" w:rsidR="00DB17BA" w:rsidRPr="004934DE" w:rsidRDefault="00DB17BA" w:rsidP="00946388">
      <w:pPr>
        <w:pStyle w:val="FootnoteText"/>
      </w:pPr>
    </w:p>
  </w:footnote>
  <w:footnote w:id="5">
    <w:p w14:paraId="4BE368E0" w14:textId="1365AE2A" w:rsidR="00DB17BA" w:rsidRDefault="00DB17BA">
      <w:pPr>
        <w:pStyle w:val="FootnoteText"/>
      </w:pPr>
      <w:r>
        <w:rPr>
          <w:rStyle w:val="FootnoteReference"/>
        </w:rPr>
        <w:footnoteRef/>
      </w:r>
      <w:r>
        <w:t xml:space="preserve"> </w:t>
      </w:r>
      <w:r w:rsidRPr="00AE5B57">
        <w:t xml:space="preserve">This figure was based on an assumed rate of return higher than the one settled by the Parties in this case.  Subsequent lines in this table show the effects after incorporating the settled rate of return of 7.29 percent.  </w:t>
      </w:r>
    </w:p>
  </w:footnote>
  <w:footnote w:id="6">
    <w:p w14:paraId="41B7617F" w14:textId="75462F2B" w:rsidR="00DB17BA" w:rsidRDefault="00DB17BA">
      <w:pPr>
        <w:pStyle w:val="FootnoteText"/>
      </w:pPr>
      <w:r>
        <w:rPr>
          <w:rStyle w:val="FootnoteReference"/>
        </w:rPr>
        <w:footnoteRef/>
      </w:r>
      <w:r>
        <w:t xml:space="preserve"> Multiparty Settlement Stipulation, page 3, paragraph 5b.</w:t>
      </w:r>
    </w:p>
  </w:footnote>
  <w:footnote w:id="7">
    <w:p w14:paraId="52332DA3" w14:textId="3A27D1C6" w:rsidR="00DB17BA" w:rsidRPr="001F6101" w:rsidRDefault="00DB17BA" w:rsidP="009F4AA1">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description of the used-</w:t>
      </w:r>
      <w:r w:rsidRPr="001F6101">
        <w:t>and</w:t>
      </w:r>
      <w:r>
        <w:t>-</w:t>
      </w:r>
      <w:r w:rsidRPr="001F6101">
        <w:t>useful standard</w:t>
      </w:r>
      <w:r>
        <w:t>)</w:t>
      </w:r>
      <w:r w:rsidRPr="001F6101">
        <w:t>.</w:t>
      </w:r>
    </w:p>
  </w:footnote>
  <w:footnote w:id="8">
    <w:p w14:paraId="52088278" w14:textId="3CEC658F" w:rsidR="00DB17BA" w:rsidRPr="004934DE" w:rsidRDefault="00DB17BA" w:rsidP="00FB6B13">
      <w:pPr>
        <w:pStyle w:val="FootnoteText"/>
      </w:pPr>
      <w:r>
        <w:rPr>
          <w:rStyle w:val="FootnoteReference"/>
        </w:rPr>
        <w:footnoteRef/>
      </w:r>
      <w:r>
        <w:t xml:space="preserve"> </w:t>
      </w:r>
      <w:r>
        <w:rPr>
          <w:i/>
        </w:rPr>
        <w:t>Wash. Utils &amp; Transp. Comm’n</w:t>
      </w:r>
      <w:r w:rsidRPr="003D699C">
        <w:rPr>
          <w:i/>
        </w:rPr>
        <w:t xml:space="preserve"> v. Pacific Power &amp; Light Company</w:t>
      </w:r>
      <w:r w:rsidRPr="003D699C">
        <w:t>, Docket UE-140762, Order 08</w:t>
      </w:r>
      <w:r>
        <w:t xml:space="preserve"> (March 21, 2015)</w:t>
      </w:r>
      <w:r w:rsidRPr="003D699C">
        <w:t xml:space="preserve">, </w:t>
      </w:r>
      <w:r>
        <w:t>¶ 152 (noting that Pacific Power has used $10,000,000, and then $250,000, in successive rate cases as a threshold for what constitutes a major capital project).  This provides a recent and representative example of how the standard for a major capital addition changes from rate case to rate case.</w:t>
      </w:r>
    </w:p>
  </w:footnote>
  <w:footnote w:id="9">
    <w:p w14:paraId="7AAA2333" w14:textId="2EC8D9E4" w:rsidR="00DB17BA" w:rsidRDefault="00DB17BA" w:rsidP="006C46D2">
      <w:pPr>
        <w:pStyle w:val="FootnoteText"/>
      </w:pPr>
      <w:r>
        <w:rPr>
          <w:rStyle w:val="FootnoteReference"/>
        </w:rPr>
        <w:footnoteRef/>
      </w:r>
      <w:r>
        <w:t xml:space="preserve"> </w:t>
      </w:r>
      <w:r>
        <w:rPr>
          <w:i/>
        </w:rPr>
        <w:t xml:space="preserve">Id. </w:t>
      </w:r>
      <w:r>
        <w:t>at</w:t>
      </w:r>
      <w:r w:rsidRPr="002D2889">
        <w:t xml:space="preserve"> </w:t>
      </w:r>
      <w:r>
        <w:t xml:space="preserve">¶ </w:t>
      </w:r>
      <w:r w:rsidRPr="002D2889">
        <w:t>170</w:t>
      </w:r>
    </w:p>
  </w:footnote>
  <w:footnote w:id="10">
    <w:p w14:paraId="6F757C0C" w14:textId="072A7975" w:rsidR="00DB17BA" w:rsidRDefault="00DB17BA">
      <w:pPr>
        <w:pStyle w:val="FootnoteText"/>
      </w:pPr>
      <w:r>
        <w:rPr>
          <w:rStyle w:val="FootnoteReference"/>
        </w:rPr>
        <w:footnoteRef/>
      </w:r>
      <w:r>
        <w:t xml:space="preserve"> </w:t>
      </w:r>
      <w:r>
        <w:rPr>
          <w:i/>
        </w:rPr>
        <w:t>Wash. Utils &amp; Transp. Comm’n</w:t>
      </w:r>
      <w:r w:rsidRPr="003D699C">
        <w:rPr>
          <w:i/>
        </w:rPr>
        <w:t xml:space="preserve"> v. </w:t>
      </w:r>
      <w:r>
        <w:rPr>
          <w:i/>
        </w:rPr>
        <w:t>Avista Corp.</w:t>
      </w:r>
      <w:r>
        <w:t xml:space="preserve">, Docket UE-090134, </w:t>
      </w:r>
      <w:r w:rsidRPr="00075863">
        <w:t xml:space="preserve">Order </w:t>
      </w:r>
      <w:r>
        <w:t>10 (Dec. 22, 2009),</w:t>
      </w:r>
      <w:r w:rsidRPr="00075863">
        <w:t xml:space="preserve"> </w:t>
      </w:r>
      <w:r w:rsidR="00BE3D7A">
        <w:t>¶ 45.</w:t>
      </w:r>
    </w:p>
  </w:footnote>
  <w:footnote w:id="11">
    <w:p w14:paraId="79E046E1" w14:textId="28AA2B4C" w:rsidR="00DB17BA" w:rsidRDefault="00DB17BA" w:rsidP="00075863">
      <w:pPr>
        <w:pStyle w:val="FootnoteText"/>
      </w:pPr>
      <w:r w:rsidRPr="00BA566A">
        <w:rPr>
          <w:rStyle w:val="FootnoteReference"/>
        </w:rPr>
        <w:footnoteRef/>
      </w:r>
      <w:r w:rsidRPr="00A3311F">
        <w:t xml:space="preserve"> </w:t>
      </w:r>
      <w:r>
        <w:t>This is also known as the “</w:t>
      </w:r>
      <w:r w:rsidRPr="00A3311F">
        <w:t>rate year</w:t>
      </w:r>
      <w:r>
        <w:t>.”</w:t>
      </w:r>
    </w:p>
  </w:footnote>
  <w:footnote w:id="12">
    <w:p w14:paraId="362631DB" w14:textId="547C8872" w:rsidR="00DB17BA" w:rsidRDefault="00DB17BA">
      <w:pPr>
        <w:pStyle w:val="FootnoteText"/>
      </w:pPr>
      <w:r>
        <w:rPr>
          <w:rStyle w:val="FootnoteReference"/>
        </w:rPr>
        <w:footnoteRef/>
      </w:r>
      <w:r>
        <w:t xml:space="preserve"> Docket UE-090134, </w:t>
      </w:r>
      <w:r w:rsidRPr="00075863">
        <w:t xml:space="preserve">Order </w:t>
      </w:r>
      <w:r>
        <w:t>10 at ¶48.</w:t>
      </w:r>
    </w:p>
  </w:footnote>
  <w:footnote w:id="13">
    <w:p w14:paraId="6C176531" w14:textId="3FFB482C" w:rsidR="00DB17BA" w:rsidRPr="003D699C" w:rsidRDefault="00DB17BA" w:rsidP="00CF69E5">
      <w:pPr>
        <w:pStyle w:val="FootnoteText"/>
      </w:pPr>
      <w:r w:rsidRPr="003D699C">
        <w:rPr>
          <w:rStyle w:val="FootnoteReference"/>
        </w:rPr>
        <w:footnoteRef/>
      </w:r>
      <w:r w:rsidRPr="003D699C">
        <w:t xml:space="preserve"> Docket UE-140762, Order 08</w:t>
      </w:r>
      <w:r>
        <w:t xml:space="preserve">, </w:t>
      </w:r>
      <w:r w:rsidRPr="003D699C">
        <w:t>Footnote 222.</w:t>
      </w:r>
    </w:p>
  </w:footnote>
  <w:footnote w:id="14">
    <w:p w14:paraId="02865BBD" w14:textId="77777777" w:rsidR="00DB17BA" w:rsidRPr="004934DE" w:rsidRDefault="00DB17BA" w:rsidP="00DD0F81">
      <w:pPr>
        <w:pStyle w:val="FootnoteText"/>
      </w:pPr>
      <w:r w:rsidRPr="004934DE">
        <w:rPr>
          <w:rStyle w:val="FootnoteReference"/>
        </w:rPr>
        <w:footnoteRef/>
      </w:r>
      <w:r w:rsidRPr="004934DE">
        <w:t xml:space="preserve"> Note that it is possible for a plant addition to exceed 0.5% of a company’s Washington-allocated net plant in service, while remaining under $3.0 million on a total project basis. This scenario is </w:t>
      </w:r>
      <w:r>
        <w:t>more likely</w:t>
      </w:r>
      <w:r w:rsidRPr="004934DE">
        <w:t xml:space="preserve"> to occur with smaller companies</w:t>
      </w:r>
      <w:r>
        <w:t xml:space="preserve">, </w:t>
      </w:r>
      <w:r w:rsidRPr="004934DE">
        <w:t>although it is less likely to occur as time goes by and net plant in service increase</w:t>
      </w:r>
      <w:r>
        <w:t>s</w:t>
      </w:r>
      <w:r w:rsidRPr="004934DE">
        <w:t xml:space="preserve"> in value. In this scenario, WAC 480-140-040 would guide against considering such an addition to be a major plant addition.  Put differently, a rate base addition must first be greater than $3.0 million on a total project basis, and then be greater than 0.5% of the Washington-allocated net plant in service for the given company in a given industry.  Nonetheless, this first hurdle (greater than $3.0 million on a total project basis) does not play a part in this case, due to Avista’s relatively large size</w:t>
      </w:r>
      <w:r>
        <w:t xml:space="preserve"> in Washington</w:t>
      </w:r>
      <w:r w:rsidRPr="004934DE">
        <w:t>.</w:t>
      </w:r>
    </w:p>
  </w:footnote>
  <w:footnote w:id="15">
    <w:p w14:paraId="3A92AB33" w14:textId="4F70F56F" w:rsidR="00DB17BA" w:rsidRPr="003D699C" w:rsidRDefault="00DB17BA" w:rsidP="00B50F09">
      <w:pPr>
        <w:pStyle w:val="FootnoteText"/>
      </w:pPr>
      <w:r w:rsidRPr="003D699C">
        <w:rPr>
          <w:rStyle w:val="FootnoteReference"/>
        </w:rPr>
        <w:footnoteRef/>
      </w:r>
      <w:r w:rsidRPr="003D699C">
        <w:t xml:space="preserve"> </w:t>
      </w:r>
      <w:r w:rsidRPr="000F767F">
        <w:t xml:space="preserve">Testimony of </w:t>
      </w:r>
      <w:r>
        <w:t>Karen Schuh Direct,</w:t>
      </w:r>
      <w:r w:rsidRPr="003D699C">
        <w:t xml:space="preserve"> </w:t>
      </w:r>
      <w:r>
        <w:t>Exhibit No. ____ (</w:t>
      </w:r>
      <w:r w:rsidRPr="003D699C">
        <w:t>KSS-5</w:t>
      </w:r>
      <w:r>
        <w:t>).</w:t>
      </w:r>
    </w:p>
  </w:footnote>
  <w:footnote w:id="16">
    <w:p w14:paraId="06380B87" w14:textId="77777777" w:rsidR="00DB17BA" w:rsidRPr="003D699C" w:rsidRDefault="00DB17BA" w:rsidP="001434F0">
      <w:pPr>
        <w:pStyle w:val="FootnoteText"/>
      </w:pPr>
      <w:r w:rsidRPr="003D699C">
        <w:rPr>
          <w:rStyle w:val="FootnoteReference"/>
        </w:rPr>
        <w:footnoteRef/>
      </w:r>
      <w:r w:rsidRPr="003D699C">
        <w:t xml:space="preserve"> Th</w:t>
      </w:r>
      <w:r>
        <w:t>at an ER is independently used and useful</w:t>
      </w:r>
      <w:r w:rsidRPr="003D699C">
        <w:t xml:space="preserve"> was confirmed by the Company during an in-person meeting with Staff on May 7, 2015.</w:t>
      </w:r>
    </w:p>
  </w:footnote>
  <w:footnote w:id="17">
    <w:p w14:paraId="675810B9" w14:textId="3043160A" w:rsidR="00DB17BA" w:rsidRDefault="00DB17BA" w:rsidP="00D00DF7">
      <w:pPr>
        <w:pStyle w:val="FootnoteText"/>
      </w:pPr>
      <w:r>
        <w:rPr>
          <w:rStyle w:val="FootnoteReference"/>
        </w:rPr>
        <w:footnoteRef/>
      </w:r>
      <w:r>
        <w:t xml:space="preserve"> </w:t>
      </w:r>
      <w:r w:rsidRPr="003D699C">
        <w:t>Docket UE-140762,</w:t>
      </w:r>
      <w:r>
        <w:t xml:space="preserve"> Order 08 at ¶145 (citing </w:t>
      </w:r>
      <w:r w:rsidRPr="00D00DF7">
        <w:rPr>
          <w:i/>
        </w:rPr>
        <w:t>Petition of Puget Sound Energy and NWEC for Decoupling Authority</w:t>
      </w:r>
      <w:r w:rsidRPr="00D00DF7">
        <w:t xml:space="preserve">, Dockets UE-12167 and UG-121705 (consolidated) and </w:t>
      </w:r>
      <w:r w:rsidRPr="00D00DF7">
        <w:rPr>
          <w:i/>
        </w:rPr>
        <w:t>WUTC v. Puget Sound Energy</w:t>
      </w:r>
      <w:r w:rsidRPr="00D00DF7">
        <w:t xml:space="preserve">, Dockets UE-130137 and UG-130138 (consolidated), Order 07, (June 25, 2013) ¶ 45 (citing </w:t>
      </w:r>
      <w:r w:rsidRPr="00D00DF7">
        <w:rPr>
          <w:i/>
        </w:rPr>
        <w:t xml:space="preserve">WUTC v. Wash. Nat. Gas Co., </w:t>
      </w:r>
      <w:r w:rsidRPr="00D00DF7">
        <w:t>44 P.U.R. 4th 435, 438 (Sept. 24, 1981))</w:t>
      </w:r>
      <w:r>
        <w:t>)</w:t>
      </w:r>
      <w:r w:rsidRPr="003D699C">
        <w:t>.</w:t>
      </w:r>
    </w:p>
  </w:footnote>
  <w:footnote w:id="18">
    <w:p w14:paraId="688F535C" w14:textId="2526125D" w:rsidR="00DB17BA" w:rsidRDefault="00DB17BA">
      <w:pPr>
        <w:pStyle w:val="FootnoteText"/>
      </w:pPr>
      <w:r>
        <w:rPr>
          <w:rStyle w:val="FootnoteReference"/>
        </w:rPr>
        <w:footnoteRef/>
      </w:r>
      <w:r>
        <w:t xml:space="preserve"> McGuire, Exhibit </w:t>
      </w:r>
      <w:r w:rsidR="00BE3D7A">
        <w:t>___ (</w:t>
      </w:r>
      <w:r>
        <w:t>CRM-1T</w:t>
      </w:r>
      <w:r w:rsidR="00BE3D7A">
        <w:t>)</w:t>
      </w:r>
      <w:r>
        <w:t>, page 29, Section V, Subsection B.</w:t>
      </w:r>
    </w:p>
  </w:footnote>
  <w:footnote w:id="19">
    <w:p w14:paraId="47AD8FD8" w14:textId="77777777" w:rsidR="00DB17BA" w:rsidRDefault="00DB17BA" w:rsidP="00466228">
      <w:pPr>
        <w:pStyle w:val="FootnoteText"/>
      </w:pPr>
      <w:r>
        <w:rPr>
          <w:rStyle w:val="FootnoteReference"/>
        </w:rPr>
        <w:footnoteRef/>
      </w:r>
      <w:r>
        <w:t xml:space="preserve"> The Company filed this rate case on January 11, 2015.</w:t>
      </w:r>
    </w:p>
  </w:footnote>
  <w:footnote w:id="20">
    <w:p w14:paraId="508F4C55" w14:textId="52B29489" w:rsidR="00DB17BA" w:rsidRPr="000C0CAD" w:rsidRDefault="00DB17BA" w:rsidP="007D079C">
      <w:pPr>
        <w:pStyle w:val="FootnoteText"/>
        <w:rPr>
          <w:i/>
        </w:rPr>
      </w:pPr>
      <w:r w:rsidRPr="000C0CAD">
        <w:rPr>
          <w:rStyle w:val="FootnoteReference"/>
        </w:rPr>
        <w:footnoteRef/>
      </w:r>
      <w:r w:rsidRPr="000C0CAD">
        <w:t xml:space="preserve"> Dockets UE-</w:t>
      </w:r>
      <w:r>
        <w:t>090134 &amp; UG-090135</w:t>
      </w:r>
      <w:r w:rsidRPr="000C0CAD">
        <w:t xml:space="preserve">, Order 10 </w:t>
      </w:r>
      <w:r>
        <w:t>at ¶</w:t>
      </w:r>
      <w:r w:rsidRPr="000C0CAD">
        <w:t>78.</w:t>
      </w:r>
    </w:p>
  </w:footnote>
  <w:footnote w:id="21">
    <w:p w14:paraId="469FCF74" w14:textId="7E5D0F12" w:rsidR="00DB17BA" w:rsidRPr="00C61C49" w:rsidRDefault="00DB17BA" w:rsidP="00324061">
      <w:pPr>
        <w:pStyle w:val="FootnoteText"/>
      </w:pPr>
      <w:r>
        <w:rPr>
          <w:rStyle w:val="FootnoteReference"/>
        </w:rPr>
        <w:footnoteRef/>
      </w:r>
      <w:r>
        <w:t xml:space="preserve"> Docket UE-140762, Order 08 at ¶169.</w:t>
      </w:r>
    </w:p>
  </w:footnote>
  <w:footnote w:id="22">
    <w:p w14:paraId="7BE6617D" w14:textId="2748DCD3" w:rsidR="00DB17BA" w:rsidRPr="003D699C" w:rsidRDefault="00DB17BA" w:rsidP="00324061">
      <w:pPr>
        <w:pStyle w:val="FootnoteText"/>
      </w:pPr>
      <w:r w:rsidRPr="003D699C">
        <w:rPr>
          <w:rStyle w:val="FootnoteReference"/>
        </w:rPr>
        <w:footnoteRef/>
      </w:r>
      <w:r w:rsidRPr="003D699C">
        <w:t xml:space="preserve"> </w:t>
      </w:r>
      <w:r>
        <w:rPr>
          <w:i/>
        </w:rPr>
        <w:t>Id.</w:t>
      </w:r>
    </w:p>
  </w:footnote>
  <w:footnote w:id="23">
    <w:p w14:paraId="4569F217" w14:textId="0037835A" w:rsidR="00DB17BA" w:rsidRDefault="00DB17BA">
      <w:pPr>
        <w:pStyle w:val="FootnoteText"/>
      </w:pPr>
      <w:r>
        <w:rPr>
          <w:rStyle w:val="FootnoteReference"/>
        </w:rPr>
        <w:footnoteRef/>
      </w:r>
      <w:r>
        <w:t xml:space="preserve"> </w:t>
      </w:r>
      <w:r>
        <w:rPr>
          <w:i/>
        </w:rPr>
        <w:t xml:space="preserve">See </w:t>
      </w:r>
      <w:r>
        <w:t>Testimony of David C. Gomez, Exhibit No. ___ (DCG-1TC).</w:t>
      </w:r>
    </w:p>
  </w:footnote>
  <w:footnote w:id="24">
    <w:p w14:paraId="06351B43" w14:textId="72470334" w:rsidR="00DB17BA" w:rsidRDefault="00DB17BA">
      <w:pPr>
        <w:pStyle w:val="FootnoteText"/>
      </w:pPr>
      <w:r>
        <w:rPr>
          <w:rStyle w:val="FootnoteReference"/>
        </w:rPr>
        <w:footnoteRef/>
      </w:r>
      <w:r>
        <w:t xml:space="preserve"> </w:t>
      </w:r>
      <w:r w:rsidRPr="008B4E44">
        <w:t xml:space="preserve">Docket </w:t>
      </w:r>
      <w:r>
        <w:t>UE-140762,</w:t>
      </w:r>
      <w:r w:rsidRPr="00D475AE">
        <w:t xml:space="preserve"> </w:t>
      </w:r>
      <w:r>
        <w:t>Order 08 at ¶8.</w:t>
      </w:r>
    </w:p>
  </w:footnote>
  <w:footnote w:id="25">
    <w:p w14:paraId="7F7D4D7D" w14:textId="0974BE40" w:rsidR="00DB17BA" w:rsidRDefault="00DB17BA">
      <w:pPr>
        <w:pStyle w:val="FootnoteText"/>
      </w:pPr>
      <w:r>
        <w:rPr>
          <w:rStyle w:val="FootnoteReference"/>
        </w:rPr>
        <w:footnoteRef/>
      </w:r>
      <w:r>
        <w:t xml:space="preserve"> </w:t>
      </w:r>
      <w:r w:rsidRPr="007911F3">
        <w:t>Docket UE-090134, Order No. 10</w:t>
      </w:r>
      <w:r>
        <w:t xml:space="preserve"> at ¶</w:t>
      </w:r>
      <w:r w:rsidRPr="007911F3">
        <w:t>4</w:t>
      </w:r>
      <w:r>
        <w:t>8.</w:t>
      </w:r>
    </w:p>
  </w:footnote>
  <w:footnote w:id="26">
    <w:p w14:paraId="6ED43E4D" w14:textId="6894054E" w:rsidR="00DB17BA" w:rsidRPr="003D699C" w:rsidRDefault="00DB17BA" w:rsidP="00EA210D">
      <w:pPr>
        <w:pStyle w:val="FootnoteText"/>
      </w:pPr>
      <w:r w:rsidRPr="003D699C">
        <w:rPr>
          <w:rStyle w:val="FootnoteReference"/>
        </w:rPr>
        <w:footnoteRef/>
      </w:r>
      <w:r w:rsidRPr="003D699C">
        <w:t xml:space="preserve"> </w:t>
      </w:r>
      <w:r w:rsidRPr="006744A7">
        <w:rPr>
          <w:i/>
        </w:rPr>
        <w:t>See</w:t>
      </w:r>
      <w:r>
        <w:t xml:space="preserve"> </w:t>
      </w:r>
      <w:r>
        <w:rPr>
          <w:i/>
        </w:rPr>
        <w:t xml:space="preserve">supra </w:t>
      </w:r>
      <w:r>
        <w:t>Section VII at pp. 26-27.</w:t>
      </w:r>
    </w:p>
  </w:footnote>
  <w:footnote w:id="27">
    <w:p w14:paraId="2C630BAA" w14:textId="263FF23E" w:rsidR="00DB17BA" w:rsidRPr="003D699C" w:rsidRDefault="00DB17BA" w:rsidP="00D90EC2">
      <w:pPr>
        <w:pStyle w:val="FootnoteText"/>
      </w:pPr>
      <w:r w:rsidRPr="003D699C">
        <w:rPr>
          <w:rStyle w:val="FootnoteReference"/>
        </w:rPr>
        <w:footnoteRef/>
      </w:r>
      <w:r>
        <w:t xml:space="preserve"> </w:t>
      </w:r>
      <w:r w:rsidRPr="003D699C">
        <w:t xml:space="preserve">Docket </w:t>
      </w:r>
      <w:r>
        <w:t>UE-140188</w:t>
      </w:r>
      <w:r w:rsidRPr="003D699C">
        <w:t xml:space="preserve">, </w:t>
      </w:r>
      <w:r>
        <w:t>Full Settlement Stipulation, (Aug. 18, 2014), 4-5, ¶ 7</w:t>
      </w:r>
      <w:r w:rsidRPr="003D699C">
        <w:t>.</w:t>
      </w:r>
    </w:p>
  </w:footnote>
  <w:footnote w:id="28">
    <w:p w14:paraId="7930E714" w14:textId="7310D373" w:rsidR="00DB17BA" w:rsidRPr="005D138B" w:rsidRDefault="00DB17BA" w:rsidP="00D90EC2">
      <w:pPr>
        <w:pStyle w:val="FootnoteText"/>
      </w:pPr>
      <w:r w:rsidRPr="003D699C">
        <w:rPr>
          <w:rStyle w:val="FootnoteReference"/>
        </w:rPr>
        <w:footnoteRef/>
      </w:r>
      <w:r w:rsidRPr="003D699C">
        <w:t xml:space="preserve"> </w:t>
      </w:r>
      <w:r>
        <w:rPr>
          <w:i/>
        </w:rPr>
        <w:t xml:space="preserve">See </w:t>
      </w:r>
      <w:r w:rsidRPr="003D699C">
        <w:t xml:space="preserve">Smith Direct, </w:t>
      </w:r>
      <w:r w:rsidRPr="00466228">
        <w:t>Exhibit No. ___ (</w:t>
      </w:r>
      <w:r>
        <w:t>JSS-1T),</w:t>
      </w:r>
      <w:r w:rsidRPr="00DD49B2">
        <w:t xml:space="preserve"> </w:t>
      </w:r>
      <w:r>
        <w:t>page 50, footnote 26</w:t>
      </w:r>
      <w:r w:rsidRPr="003D699C">
        <w:t>.</w:t>
      </w:r>
      <w:r>
        <w:t xml:space="preserve"> </w:t>
      </w:r>
    </w:p>
  </w:footnote>
  <w:footnote w:id="29">
    <w:p w14:paraId="6EFB8A55" w14:textId="67884D78" w:rsidR="00DB17BA" w:rsidRDefault="00DB17BA">
      <w:pPr>
        <w:pStyle w:val="FootnoteText"/>
      </w:pPr>
      <w:r>
        <w:rPr>
          <w:rStyle w:val="FootnoteReference"/>
        </w:rPr>
        <w:footnoteRef/>
      </w:r>
      <w:r>
        <w:t xml:space="preserve"> Gomez, </w:t>
      </w:r>
      <w:r w:rsidRPr="00466228">
        <w:t>Exhibit No. ___ (</w:t>
      </w:r>
      <w:r>
        <w:t>DCG-1T), pages 44-48.</w:t>
      </w:r>
    </w:p>
  </w:footnote>
  <w:footnote w:id="30">
    <w:p w14:paraId="0800DE74" w14:textId="7602E322" w:rsidR="00DB17BA" w:rsidRDefault="00DB17BA">
      <w:pPr>
        <w:pStyle w:val="FootnoteText"/>
      </w:pPr>
      <w:r>
        <w:rPr>
          <w:rStyle w:val="FootnoteReference"/>
        </w:rPr>
        <w:footnoteRef/>
      </w:r>
      <w:r>
        <w:t xml:space="preserve"> The independent variable in this linear regression, time (as represented by the year), has a p-value of 0.002.  This statistical indicator gives Staff confidence in the short-term predictive power of this line of best fit.  </w:t>
      </w:r>
    </w:p>
  </w:footnote>
  <w:footnote w:id="31">
    <w:p w14:paraId="293C4318" w14:textId="79B2F3A5" w:rsidR="00DB17BA" w:rsidRPr="009C3F7A" w:rsidRDefault="00DB17BA" w:rsidP="00682036">
      <w:pPr>
        <w:pStyle w:val="FootnoteText"/>
      </w:pPr>
      <w:r w:rsidRPr="009C3F7A">
        <w:rPr>
          <w:rStyle w:val="FootnoteReference"/>
        </w:rPr>
        <w:footnoteRef/>
      </w:r>
      <w:r>
        <w:t xml:space="preserve"> Smith Direct, </w:t>
      </w:r>
      <w:r w:rsidRPr="00466228">
        <w:t>Exhibit No. ___ (</w:t>
      </w:r>
      <w:r>
        <w:t>JSS-1T), page 3, lines 17-</w:t>
      </w:r>
      <w:r w:rsidRPr="009C3F7A">
        <w:t>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E20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0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B48E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86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03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3E9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928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D43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D23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4E4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057ED4"/>
    <w:multiLevelType w:val="hybridMultilevel"/>
    <w:tmpl w:val="E1646F26"/>
    <w:lvl w:ilvl="0" w:tplc="6CE4F678">
      <w:start w:val="1"/>
      <w:numFmt w:val="upperRoman"/>
      <w:pStyle w:val="Heading1"/>
      <w:lvlText w:val="%1."/>
      <w:lvlJc w:val="left"/>
      <w:pPr>
        <w:ind w:left="495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4" w15:restartNumberingAfterBreak="0">
    <w:nsid w:val="1A991061"/>
    <w:multiLevelType w:val="hybridMultilevel"/>
    <w:tmpl w:val="3BBE59DA"/>
    <w:lvl w:ilvl="0" w:tplc="D18EC7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4CE3C95"/>
    <w:multiLevelType w:val="hybridMultilevel"/>
    <w:tmpl w:val="28CA2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E6219A"/>
    <w:multiLevelType w:val="hybridMultilevel"/>
    <w:tmpl w:val="A5424360"/>
    <w:lvl w:ilvl="0" w:tplc="36FE20D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B0D0F"/>
    <w:multiLevelType w:val="hybridMultilevel"/>
    <w:tmpl w:val="0D40B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F15EF"/>
    <w:multiLevelType w:val="hybridMultilevel"/>
    <w:tmpl w:val="2B0849F6"/>
    <w:lvl w:ilvl="0" w:tplc="C3B2235C">
      <w:start w:val="1"/>
      <w:numFmt w:val="upperLetter"/>
      <w:pStyle w:val="Heading2"/>
      <w:lvlText w:val="%1."/>
      <w:lvlJc w:val="lef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F86578"/>
    <w:multiLevelType w:val="hybridMultilevel"/>
    <w:tmpl w:val="E3A4BC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31ABA"/>
    <w:multiLevelType w:val="hybridMultilevel"/>
    <w:tmpl w:val="2540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6AFE56E6"/>
    <w:multiLevelType w:val="hybridMultilevel"/>
    <w:tmpl w:val="66D6B9B2"/>
    <w:lvl w:ilvl="0" w:tplc="2ED8910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8"/>
  </w:num>
  <w:num w:numId="3">
    <w:abstractNumId w:val="25"/>
  </w:num>
  <w:num w:numId="4">
    <w:abstractNumId w:val="18"/>
    <w:lvlOverride w:ilvl="0">
      <w:startOverride w:val="1"/>
    </w:lvlOverride>
  </w:num>
  <w:num w:numId="5">
    <w:abstractNumId w:val="13"/>
  </w:num>
  <w:num w:numId="6">
    <w:abstractNumId w:val="28"/>
  </w:num>
  <w:num w:numId="7">
    <w:abstractNumId w:val="10"/>
  </w:num>
  <w:num w:numId="8">
    <w:abstractNumId w:val="11"/>
  </w:num>
  <w:num w:numId="9">
    <w:abstractNumId w:val="21"/>
  </w:num>
  <w:num w:numId="10">
    <w:abstractNumId w:val="27"/>
  </w:num>
  <w:num w:numId="11">
    <w:abstractNumId w:val="13"/>
  </w:num>
  <w:num w:numId="12">
    <w:abstractNumId w:val="12"/>
  </w:num>
  <w:num w:numId="13">
    <w:abstractNumId w:val="13"/>
  </w:num>
  <w:num w:numId="14">
    <w:abstractNumId w:val="9"/>
  </w:num>
  <w:num w:numId="15">
    <w:abstractNumId w:val="7"/>
  </w:num>
  <w:num w:numId="16">
    <w:abstractNumId w:val="19"/>
  </w:num>
  <w:num w:numId="17">
    <w:abstractNumId w:val="26"/>
  </w:num>
  <w:num w:numId="18">
    <w:abstractNumId w:val="20"/>
  </w:num>
  <w:num w:numId="19">
    <w:abstractNumId w:val="16"/>
  </w:num>
  <w:num w:numId="20">
    <w:abstractNumId w:val="15"/>
  </w:num>
  <w:num w:numId="21">
    <w:abstractNumId w:val="23"/>
  </w:num>
  <w:num w:numId="22">
    <w:abstractNumId w:val="14"/>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4"/>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num>
  <w:num w:numId="37">
    <w:abstractNumId w:val="20"/>
    <w:lvlOverride w:ilvl="0">
      <w:startOverride w:val="1"/>
    </w:lvlOverride>
  </w:num>
  <w:num w:numId="38">
    <w:abstractNumId w:val="20"/>
  </w:num>
  <w:num w:numId="39">
    <w:abstractNumId w:val="20"/>
  </w:num>
  <w:num w:numId="40">
    <w:abstractNumId w:val="20"/>
    <w:lvlOverride w:ilvl="0">
      <w:startOverride w:val="1"/>
    </w:lvlOverride>
  </w:num>
  <w:num w:numId="41">
    <w:abstractNumId w:val="22"/>
  </w:num>
  <w:num w:numId="42">
    <w:abstractNumId w:val="2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1366"/>
    <w:rsid w:val="00005919"/>
    <w:rsid w:val="00007391"/>
    <w:rsid w:val="000076E1"/>
    <w:rsid w:val="000105BA"/>
    <w:rsid w:val="00012BB3"/>
    <w:rsid w:val="00013BEB"/>
    <w:rsid w:val="000140A9"/>
    <w:rsid w:val="0001556A"/>
    <w:rsid w:val="000166D5"/>
    <w:rsid w:val="0001674B"/>
    <w:rsid w:val="0002053F"/>
    <w:rsid w:val="00022107"/>
    <w:rsid w:val="00022FC6"/>
    <w:rsid w:val="00023E8C"/>
    <w:rsid w:val="00026244"/>
    <w:rsid w:val="000274D0"/>
    <w:rsid w:val="00032935"/>
    <w:rsid w:val="00032C72"/>
    <w:rsid w:val="00033300"/>
    <w:rsid w:val="00035ABE"/>
    <w:rsid w:val="0003623E"/>
    <w:rsid w:val="0004009B"/>
    <w:rsid w:val="00040469"/>
    <w:rsid w:val="0004278F"/>
    <w:rsid w:val="00042833"/>
    <w:rsid w:val="00042A8F"/>
    <w:rsid w:val="00043405"/>
    <w:rsid w:val="000437E5"/>
    <w:rsid w:val="0004590F"/>
    <w:rsid w:val="00046F31"/>
    <w:rsid w:val="00047C0D"/>
    <w:rsid w:val="00050BD7"/>
    <w:rsid w:val="0005166A"/>
    <w:rsid w:val="00052DAA"/>
    <w:rsid w:val="00052EDB"/>
    <w:rsid w:val="00052F74"/>
    <w:rsid w:val="000538CD"/>
    <w:rsid w:val="00053CAC"/>
    <w:rsid w:val="000543EB"/>
    <w:rsid w:val="000549E4"/>
    <w:rsid w:val="0005661C"/>
    <w:rsid w:val="0005685B"/>
    <w:rsid w:val="00057BD1"/>
    <w:rsid w:val="0006056E"/>
    <w:rsid w:val="000610B9"/>
    <w:rsid w:val="00061B84"/>
    <w:rsid w:val="000621E7"/>
    <w:rsid w:val="0006308B"/>
    <w:rsid w:val="00063125"/>
    <w:rsid w:val="00065FA3"/>
    <w:rsid w:val="000669B5"/>
    <w:rsid w:val="00070D52"/>
    <w:rsid w:val="0007345F"/>
    <w:rsid w:val="000736A2"/>
    <w:rsid w:val="00075863"/>
    <w:rsid w:val="00076138"/>
    <w:rsid w:val="00080968"/>
    <w:rsid w:val="00084B0C"/>
    <w:rsid w:val="00085307"/>
    <w:rsid w:val="000853DC"/>
    <w:rsid w:val="000863D3"/>
    <w:rsid w:val="000867C1"/>
    <w:rsid w:val="00087484"/>
    <w:rsid w:val="00090908"/>
    <w:rsid w:val="000A0159"/>
    <w:rsid w:val="000A2B6E"/>
    <w:rsid w:val="000A44E7"/>
    <w:rsid w:val="000A5F6B"/>
    <w:rsid w:val="000A6644"/>
    <w:rsid w:val="000A6937"/>
    <w:rsid w:val="000A7333"/>
    <w:rsid w:val="000A7789"/>
    <w:rsid w:val="000B0BE1"/>
    <w:rsid w:val="000B0E31"/>
    <w:rsid w:val="000B2044"/>
    <w:rsid w:val="000B58E4"/>
    <w:rsid w:val="000B6C36"/>
    <w:rsid w:val="000B6C89"/>
    <w:rsid w:val="000C02E3"/>
    <w:rsid w:val="000C0B24"/>
    <w:rsid w:val="000C1E37"/>
    <w:rsid w:val="000C2FC3"/>
    <w:rsid w:val="000C3134"/>
    <w:rsid w:val="000C31AB"/>
    <w:rsid w:val="000C64C8"/>
    <w:rsid w:val="000C74D4"/>
    <w:rsid w:val="000D0CC2"/>
    <w:rsid w:val="000D1CF7"/>
    <w:rsid w:val="000D2545"/>
    <w:rsid w:val="000D2944"/>
    <w:rsid w:val="000D2A04"/>
    <w:rsid w:val="000D2B89"/>
    <w:rsid w:val="000D5166"/>
    <w:rsid w:val="000D5B20"/>
    <w:rsid w:val="000D64B8"/>
    <w:rsid w:val="000D6B9C"/>
    <w:rsid w:val="000E0390"/>
    <w:rsid w:val="000E0584"/>
    <w:rsid w:val="000E1B43"/>
    <w:rsid w:val="000E259D"/>
    <w:rsid w:val="000E2853"/>
    <w:rsid w:val="000E48DB"/>
    <w:rsid w:val="000E5C5C"/>
    <w:rsid w:val="000E640C"/>
    <w:rsid w:val="000E72B5"/>
    <w:rsid w:val="000E7A01"/>
    <w:rsid w:val="000E7FDE"/>
    <w:rsid w:val="000F0A77"/>
    <w:rsid w:val="000F531D"/>
    <w:rsid w:val="000F5ED6"/>
    <w:rsid w:val="000F5F09"/>
    <w:rsid w:val="000F75F7"/>
    <w:rsid w:val="000F767F"/>
    <w:rsid w:val="00100C7F"/>
    <w:rsid w:val="00100F1C"/>
    <w:rsid w:val="00102D3F"/>
    <w:rsid w:val="001068CF"/>
    <w:rsid w:val="00107771"/>
    <w:rsid w:val="001103E2"/>
    <w:rsid w:val="00110B4F"/>
    <w:rsid w:val="00110D01"/>
    <w:rsid w:val="00111748"/>
    <w:rsid w:val="00112B09"/>
    <w:rsid w:val="001148F8"/>
    <w:rsid w:val="001150B7"/>
    <w:rsid w:val="001151DA"/>
    <w:rsid w:val="00115341"/>
    <w:rsid w:val="0011555D"/>
    <w:rsid w:val="00115EAC"/>
    <w:rsid w:val="00122162"/>
    <w:rsid w:val="00124440"/>
    <w:rsid w:val="00124903"/>
    <w:rsid w:val="00126657"/>
    <w:rsid w:val="00126DFB"/>
    <w:rsid w:val="00126E6A"/>
    <w:rsid w:val="00127E18"/>
    <w:rsid w:val="00131AFF"/>
    <w:rsid w:val="00132503"/>
    <w:rsid w:val="001336AD"/>
    <w:rsid w:val="00135F84"/>
    <w:rsid w:val="00136E68"/>
    <w:rsid w:val="001434F0"/>
    <w:rsid w:val="001460C3"/>
    <w:rsid w:val="00150FB3"/>
    <w:rsid w:val="00151DBF"/>
    <w:rsid w:val="0015239D"/>
    <w:rsid w:val="001524D0"/>
    <w:rsid w:val="00153BF3"/>
    <w:rsid w:val="0015401A"/>
    <w:rsid w:val="0015418D"/>
    <w:rsid w:val="00154C47"/>
    <w:rsid w:val="001551C8"/>
    <w:rsid w:val="00155E8D"/>
    <w:rsid w:val="00156760"/>
    <w:rsid w:val="00156E5A"/>
    <w:rsid w:val="00157CD2"/>
    <w:rsid w:val="0016014F"/>
    <w:rsid w:val="00161CA7"/>
    <w:rsid w:val="00163F79"/>
    <w:rsid w:val="00164A72"/>
    <w:rsid w:val="001659CC"/>
    <w:rsid w:val="001673D9"/>
    <w:rsid w:val="00167DD5"/>
    <w:rsid w:val="00170796"/>
    <w:rsid w:val="00171D6A"/>
    <w:rsid w:val="001722F8"/>
    <w:rsid w:val="00173FEB"/>
    <w:rsid w:val="0017417F"/>
    <w:rsid w:val="00174634"/>
    <w:rsid w:val="00174853"/>
    <w:rsid w:val="00174E53"/>
    <w:rsid w:val="00176F15"/>
    <w:rsid w:val="00180244"/>
    <w:rsid w:val="001812D7"/>
    <w:rsid w:val="00181A53"/>
    <w:rsid w:val="001830E6"/>
    <w:rsid w:val="00184A69"/>
    <w:rsid w:val="0018617F"/>
    <w:rsid w:val="001868DA"/>
    <w:rsid w:val="00186ACA"/>
    <w:rsid w:val="00190110"/>
    <w:rsid w:val="00190721"/>
    <w:rsid w:val="001919AF"/>
    <w:rsid w:val="00192187"/>
    <w:rsid w:val="00192E4A"/>
    <w:rsid w:val="00193339"/>
    <w:rsid w:val="0019571B"/>
    <w:rsid w:val="00195D8A"/>
    <w:rsid w:val="00196321"/>
    <w:rsid w:val="0019718F"/>
    <w:rsid w:val="001A07C6"/>
    <w:rsid w:val="001A0BAF"/>
    <w:rsid w:val="001A0C18"/>
    <w:rsid w:val="001A4E75"/>
    <w:rsid w:val="001A5C82"/>
    <w:rsid w:val="001A6E35"/>
    <w:rsid w:val="001A7B47"/>
    <w:rsid w:val="001B0991"/>
    <w:rsid w:val="001B0DAD"/>
    <w:rsid w:val="001B1A02"/>
    <w:rsid w:val="001B1B57"/>
    <w:rsid w:val="001B2217"/>
    <w:rsid w:val="001B3881"/>
    <w:rsid w:val="001B3D80"/>
    <w:rsid w:val="001B4376"/>
    <w:rsid w:val="001B5680"/>
    <w:rsid w:val="001B5C88"/>
    <w:rsid w:val="001C0490"/>
    <w:rsid w:val="001C5AB1"/>
    <w:rsid w:val="001C6479"/>
    <w:rsid w:val="001C7314"/>
    <w:rsid w:val="001D2BD5"/>
    <w:rsid w:val="001D3C15"/>
    <w:rsid w:val="001D4BD1"/>
    <w:rsid w:val="001D5AB0"/>
    <w:rsid w:val="001D7FC9"/>
    <w:rsid w:val="001E1027"/>
    <w:rsid w:val="001E1D7A"/>
    <w:rsid w:val="001E3243"/>
    <w:rsid w:val="001E4BAB"/>
    <w:rsid w:val="001E4D34"/>
    <w:rsid w:val="001E7817"/>
    <w:rsid w:val="001F0AA3"/>
    <w:rsid w:val="001F0C24"/>
    <w:rsid w:val="001F125E"/>
    <w:rsid w:val="001F15D6"/>
    <w:rsid w:val="001F3415"/>
    <w:rsid w:val="001F35F8"/>
    <w:rsid w:val="001F45C1"/>
    <w:rsid w:val="001F56E7"/>
    <w:rsid w:val="001F6106"/>
    <w:rsid w:val="001F734A"/>
    <w:rsid w:val="001F75EC"/>
    <w:rsid w:val="00201CA6"/>
    <w:rsid w:val="00204931"/>
    <w:rsid w:val="0020694D"/>
    <w:rsid w:val="0020700A"/>
    <w:rsid w:val="0020738C"/>
    <w:rsid w:val="002073E4"/>
    <w:rsid w:val="00211B1B"/>
    <w:rsid w:val="00215CB7"/>
    <w:rsid w:val="00220F49"/>
    <w:rsid w:val="00221332"/>
    <w:rsid w:val="002217E1"/>
    <w:rsid w:val="002223DE"/>
    <w:rsid w:val="00222602"/>
    <w:rsid w:val="00222981"/>
    <w:rsid w:val="00224272"/>
    <w:rsid w:val="00224ACE"/>
    <w:rsid w:val="00225599"/>
    <w:rsid w:val="002307D1"/>
    <w:rsid w:val="00230CBA"/>
    <w:rsid w:val="00231994"/>
    <w:rsid w:val="002327FC"/>
    <w:rsid w:val="0023282C"/>
    <w:rsid w:val="002329FA"/>
    <w:rsid w:val="002348B0"/>
    <w:rsid w:val="00234EE9"/>
    <w:rsid w:val="00235813"/>
    <w:rsid w:val="00235C4C"/>
    <w:rsid w:val="00235C9D"/>
    <w:rsid w:val="00237969"/>
    <w:rsid w:val="00241879"/>
    <w:rsid w:val="0024290C"/>
    <w:rsid w:val="00243780"/>
    <w:rsid w:val="00243BD1"/>
    <w:rsid w:val="0024470E"/>
    <w:rsid w:val="002453AA"/>
    <w:rsid w:val="00245E33"/>
    <w:rsid w:val="002462FD"/>
    <w:rsid w:val="00252B8B"/>
    <w:rsid w:val="00255C70"/>
    <w:rsid w:val="0025612E"/>
    <w:rsid w:val="002563C4"/>
    <w:rsid w:val="00256F74"/>
    <w:rsid w:val="00261E0C"/>
    <w:rsid w:val="00262FA2"/>
    <w:rsid w:val="002631FE"/>
    <w:rsid w:val="00263395"/>
    <w:rsid w:val="002635D7"/>
    <w:rsid w:val="00264A69"/>
    <w:rsid w:val="00264E7F"/>
    <w:rsid w:val="002678B2"/>
    <w:rsid w:val="00267CAA"/>
    <w:rsid w:val="002702D1"/>
    <w:rsid w:val="002729F7"/>
    <w:rsid w:val="00272E7A"/>
    <w:rsid w:val="0027357D"/>
    <w:rsid w:val="002746FC"/>
    <w:rsid w:val="00274F25"/>
    <w:rsid w:val="002752E0"/>
    <w:rsid w:val="00275D09"/>
    <w:rsid w:val="00276B63"/>
    <w:rsid w:val="00277DD8"/>
    <w:rsid w:val="0028084F"/>
    <w:rsid w:val="0028109C"/>
    <w:rsid w:val="002810B9"/>
    <w:rsid w:val="00281890"/>
    <w:rsid w:val="00282ED0"/>
    <w:rsid w:val="00283D4B"/>
    <w:rsid w:val="002851CB"/>
    <w:rsid w:val="002856A8"/>
    <w:rsid w:val="002878E9"/>
    <w:rsid w:val="00291CA4"/>
    <w:rsid w:val="002924F8"/>
    <w:rsid w:val="00293755"/>
    <w:rsid w:val="0029457D"/>
    <w:rsid w:val="00294DEC"/>
    <w:rsid w:val="00296AFE"/>
    <w:rsid w:val="00296B4E"/>
    <w:rsid w:val="002971CC"/>
    <w:rsid w:val="002A2675"/>
    <w:rsid w:val="002A41B0"/>
    <w:rsid w:val="002A652F"/>
    <w:rsid w:val="002A65A8"/>
    <w:rsid w:val="002A7659"/>
    <w:rsid w:val="002A7EFD"/>
    <w:rsid w:val="002B1A28"/>
    <w:rsid w:val="002B4E4D"/>
    <w:rsid w:val="002B68CF"/>
    <w:rsid w:val="002C039A"/>
    <w:rsid w:val="002C2E27"/>
    <w:rsid w:val="002C3B0A"/>
    <w:rsid w:val="002C6100"/>
    <w:rsid w:val="002C6A6B"/>
    <w:rsid w:val="002C6AF3"/>
    <w:rsid w:val="002D18EF"/>
    <w:rsid w:val="002D1B24"/>
    <w:rsid w:val="002D2889"/>
    <w:rsid w:val="002D2EAF"/>
    <w:rsid w:val="002D33C6"/>
    <w:rsid w:val="002D3D19"/>
    <w:rsid w:val="002D42B1"/>
    <w:rsid w:val="002D5666"/>
    <w:rsid w:val="002D5B64"/>
    <w:rsid w:val="002E0E71"/>
    <w:rsid w:val="002E0F85"/>
    <w:rsid w:val="002E39C1"/>
    <w:rsid w:val="002E4F53"/>
    <w:rsid w:val="002E5F9F"/>
    <w:rsid w:val="002E6466"/>
    <w:rsid w:val="002E7E4B"/>
    <w:rsid w:val="002F206F"/>
    <w:rsid w:val="002F37CF"/>
    <w:rsid w:val="002F668B"/>
    <w:rsid w:val="002F69D9"/>
    <w:rsid w:val="003019EF"/>
    <w:rsid w:val="00302643"/>
    <w:rsid w:val="00302FE2"/>
    <w:rsid w:val="00303653"/>
    <w:rsid w:val="00304ADA"/>
    <w:rsid w:val="003050E9"/>
    <w:rsid w:val="00305402"/>
    <w:rsid w:val="00305496"/>
    <w:rsid w:val="003056B1"/>
    <w:rsid w:val="00305F70"/>
    <w:rsid w:val="003102A4"/>
    <w:rsid w:val="003103CE"/>
    <w:rsid w:val="00311191"/>
    <w:rsid w:val="003111E5"/>
    <w:rsid w:val="0031143B"/>
    <w:rsid w:val="003122ED"/>
    <w:rsid w:val="00313421"/>
    <w:rsid w:val="00316424"/>
    <w:rsid w:val="00316523"/>
    <w:rsid w:val="00317E65"/>
    <w:rsid w:val="00320EDE"/>
    <w:rsid w:val="003213C0"/>
    <w:rsid w:val="00321D57"/>
    <w:rsid w:val="003225D0"/>
    <w:rsid w:val="00324061"/>
    <w:rsid w:val="0032408A"/>
    <w:rsid w:val="0032530A"/>
    <w:rsid w:val="003276EF"/>
    <w:rsid w:val="003310E6"/>
    <w:rsid w:val="00331ED9"/>
    <w:rsid w:val="003320D1"/>
    <w:rsid w:val="00336588"/>
    <w:rsid w:val="003403B4"/>
    <w:rsid w:val="00340BDB"/>
    <w:rsid w:val="0034237D"/>
    <w:rsid w:val="00346430"/>
    <w:rsid w:val="003469C6"/>
    <w:rsid w:val="00351AA1"/>
    <w:rsid w:val="00352C04"/>
    <w:rsid w:val="00353712"/>
    <w:rsid w:val="003541EB"/>
    <w:rsid w:val="00355977"/>
    <w:rsid w:val="00355D49"/>
    <w:rsid w:val="00356B17"/>
    <w:rsid w:val="00356B62"/>
    <w:rsid w:val="003607CE"/>
    <w:rsid w:val="003609E0"/>
    <w:rsid w:val="00361960"/>
    <w:rsid w:val="003625F0"/>
    <w:rsid w:val="0036279B"/>
    <w:rsid w:val="00363F15"/>
    <w:rsid w:val="00370D3E"/>
    <w:rsid w:val="00371184"/>
    <w:rsid w:val="0037119A"/>
    <w:rsid w:val="00373839"/>
    <w:rsid w:val="003810FC"/>
    <w:rsid w:val="00381B37"/>
    <w:rsid w:val="003824BD"/>
    <w:rsid w:val="00382768"/>
    <w:rsid w:val="00382AFA"/>
    <w:rsid w:val="00386431"/>
    <w:rsid w:val="00390410"/>
    <w:rsid w:val="00390FB8"/>
    <w:rsid w:val="00391849"/>
    <w:rsid w:val="00392982"/>
    <w:rsid w:val="00393FD6"/>
    <w:rsid w:val="00394483"/>
    <w:rsid w:val="00394E5D"/>
    <w:rsid w:val="00394EF6"/>
    <w:rsid w:val="00397353"/>
    <w:rsid w:val="00397D00"/>
    <w:rsid w:val="003A3135"/>
    <w:rsid w:val="003A3C66"/>
    <w:rsid w:val="003A4017"/>
    <w:rsid w:val="003A6130"/>
    <w:rsid w:val="003B08E1"/>
    <w:rsid w:val="003B1A28"/>
    <w:rsid w:val="003B1AC8"/>
    <w:rsid w:val="003B1B67"/>
    <w:rsid w:val="003B33B6"/>
    <w:rsid w:val="003B4765"/>
    <w:rsid w:val="003B4FB2"/>
    <w:rsid w:val="003B6E07"/>
    <w:rsid w:val="003B759D"/>
    <w:rsid w:val="003C1D75"/>
    <w:rsid w:val="003C2810"/>
    <w:rsid w:val="003C3776"/>
    <w:rsid w:val="003C385F"/>
    <w:rsid w:val="003C49AB"/>
    <w:rsid w:val="003C502C"/>
    <w:rsid w:val="003C5667"/>
    <w:rsid w:val="003C60E3"/>
    <w:rsid w:val="003D0D28"/>
    <w:rsid w:val="003D21FF"/>
    <w:rsid w:val="003D3A78"/>
    <w:rsid w:val="003D4B5A"/>
    <w:rsid w:val="003D686A"/>
    <w:rsid w:val="003D6874"/>
    <w:rsid w:val="003E2604"/>
    <w:rsid w:val="003E39AB"/>
    <w:rsid w:val="003E425E"/>
    <w:rsid w:val="003E4330"/>
    <w:rsid w:val="003E4840"/>
    <w:rsid w:val="003E5730"/>
    <w:rsid w:val="003E6BD1"/>
    <w:rsid w:val="003E7393"/>
    <w:rsid w:val="003E78E7"/>
    <w:rsid w:val="003E7CD6"/>
    <w:rsid w:val="003F1CD8"/>
    <w:rsid w:val="003F26BA"/>
    <w:rsid w:val="003F2974"/>
    <w:rsid w:val="003F2C74"/>
    <w:rsid w:val="003F36CC"/>
    <w:rsid w:val="003F5955"/>
    <w:rsid w:val="003F5E46"/>
    <w:rsid w:val="003F71BB"/>
    <w:rsid w:val="003F788B"/>
    <w:rsid w:val="0040003A"/>
    <w:rsid w:val="00400128"/>
    <w:rsid w:val="004011D5"/>
    <w:rsid w:val="004015FC"/>
    <w:rsid w:val="00401E03"/>
    <w:rsid w:val="004026AD"/>
    <w:rsid w:val="004027A6"/>
    <w:rsid w:val="00402AE1"/>
    <w:rsid w:val="00403245"/>
    <w:rsid w:val="004078AC"/>
    <w:rsid w:val="00411E77"/>
    <w:rsid w:val="00413D72"/>
    <w:rsid w:val="00416149"/>
    <w:rsid w:val="0041627C"/>
    <w:rsid w:val="00416806"/>
    <w:rsid w:val="00416A6E"/>
    <w:rsid w:val="00417260"/>
    <w:rsid w:val="004202F0"/>
    <w:rsid w:val="0042040E"/>
    <w:rsid w:val="00420D60"/>
    <w:rsid w:val="0042148E"/>
    <w:rsid w:val="00421EA5"/>
    <w:rsid w:val="00422BA7"/>
    <w:rsid w:val="00423A56"/>
    <w:rsid w:val="0042424F"/>
    <w:rsid w:val="00424AA5"/>
    <w:rsid w:val="0042716B"/>
    <w:rsid w:val="00427B54"/>
    <w:rsid w:val="00430880"/>
    <w:rsid w:val="004308DA"/>
    <w:rsid w:val="00430B11"/>
    <w:rsid w:val="00432473"/>
    <w:rsid w:val="00432480"/>
    <w:rsid w:val="00434D77"/>
    <w:rsid w:val="00436132"/>
    <w:rsid w:val="004378C8"/>
    <w:rsid w:val="00437AD4"/>
    <w:rsid w:val="0044004E"/>
    <w:rsid w:val="00441371"/>
    <w:rsid w:val="00441BA6"/>
    <w:rsid w:val="004423DE"/>
    <w:rsid w:val="00442DC0"/>
    <w:rsid w:val="00444307"/>
    <w:rsid w:val="00444490"/>
    <w:rsid w:val="004508B5"/>
    <w:rsid w:val="00452EE9"/>
    <w:rsid w:val="00452EF2"/>
    <w:rsid w:val="0045327A"/>
    <w:rsid w:val="00453AC1"/>
    <w:rsid w:val="004550C9"/>
    <w:rsid w:val="00455AAB"/>
    <w:rsid w:val="00457431"/>
    <w:rsid w:val="00461111"/>
    <w:rsid w:val="00461B64"/>
    <w:rsid w:val="00463044"/>
    <w:rsid w:val="00463621"/>
    <w:rsid w:val="00464D0C"/>
    <w:rsid w:val="00465CDB"/>
    <w:rsid w:val="00466228"/>
    <w:rsid w:val="00467B03"/>
    <w:rsid w:val="00470B02"/>
    <w:rsid w:val="00471C3F"/>
    <w:rsid w:val="00471D52"/>
    <w:rsid w:val="004725CA"/>
    <w:rsid w:val="00473BD6"/>
    <w:rsid w:val="00482046"/>
    <w:rsid w:val="004853CC"/>
    <w:rsid w:val="00486467"/>
    <w:rsid w:val="004867EF"/>
    <w:rsid w:val="004869A4"/>
    <w:rsid w:val="004877A6"/>
    <w:rsid w:val="0048792E"/>
    <w:rsid w:val="00490D4E"/>
    <w:rsid w:val="00491D44"/>
    <w:rsid w:val="004940D7"/>
    <w:rsid w:val="00494CBF"/>
    <w:rsid w:val="0049618E"/>
    <w:rsid w:val="00496EF7"/>
    <w:rsid w:val="00497405"/>
    <w:rsid w:val="004A27B2"/>
    <w:rsid w:val="004A2F25"/>
    <w:rsid w:val="004A317D"/>
    <w:rsid w:val="004A3277"/>
    <w:rsid w:val="004A4771"/>
    <w:rsid w:val="004A700C"/>
    <w:rsid w:val="004A7358"/>
    <w:rsid w:val="004B18EA"/>
    <w:rsid w:val="004B2041"/>
    <w:rsid w:val="004B2C7B"/>
    <w:rsid w:val="004B4D8D"/>
    <w:rsid w:val="004B52EA"/>
    <w:rsid w:val="004B650B"/>
    <w:rsid w:val="004B79A0"/>
    <w:rsid w:val="004C3F22"/>
    <w:rsid w:val="004C49B7"/>
    <w:rsid w:val="004C56B8"/>
    <w:rsid w:val="004C6090"/>
    <w:rsid w:val="004D019A"/>
    <w:rsid w:val="004D0E4B"/>
    <w:rsid w:val="004D48ED"/>
    <w:rsid w:val="004D54F5"/>
    <w:rsid w:val="004D56B8"/>
    <w:rsid w:val="004D5A63"/>
    <w:rsid w:val="004D603A"/>
    <w:rsid w:val="004E2B00"/>
    <w:rsid w:val="004E3C38"/>
    <w:rsid w:val="004E4A0F"/>
    <w:rsid w:val="004E67D2"/>
    <w:rsid w:val="004F464F"/>
    <w:rsid w:val="004F55D9"/>
    <w:rsid w:val="004F5D33"/>
    <w:rsid w:val="004F616C"/>
    <w:rsid w:val="004F7C0A"/>
    <w:rsid w:val="0050004A"/>
    <w:rsid w:val="00500502"/>
    <w:rsid w:val="00500C80"/>
    <w:rsid w:val="00500DD9"/>
    <w:rsid w:val="0050116B"/>
    <w:rsid w:val="005031A2"/>
    <w:rsid w:val="0050349F"/>
    <w:rsid w:val="00503A3F"/>
    <w:rsid w:val="0050423F"/>
    <w:rsid w:val="00504548"/>
    <w:rsid w:val="00506A57"/>
    <w:rsid w:val="00511967"/>
    <w:rsid w:val="00512D2E"/>
    <w:rsid w:val="00513A81"/>
    <w:rsid w:val="00513F2D"/>
    <w:rsid w:val="005141AE"/>
    <w:rsid w:val="00514D38"/>
    <w:rsid w:val="00520032"/>
    <w:rsid w:val="00522223"/>
    <w:rsid w:val="00522602"/>
    <w:rsid w:val="0052366E"/>
    <w:rsid w:val="005249FD"/>
    <w:rsid w:val="00525DD0"/>
    <w:rsid w:val="00525EB7"/>
    <w:rsid w:val="005277A1"/>
    <w:rsid w:val="00527F68"/>
    <w:rsid w:val="00530D64"/>
    <w:rsid w:val="00531227"/>
    <w:rsid w:val="00532933"/>
    <w:rsid w:val="00532CBB"/>
    <w:rsid w:val="005331EC"/>
    <w:rsid w:val="005338E4"/>
    <w:rsid w:val="00534317"/>
    <w:rsid w:val="00536045"/>
    <w:rsid w:val="00540335"/>
    <w:rsid w:val="00540687"/>
    <w:rsid w:val="00540803"/>
    <w:rsid w:val="00541CF9"/>
    <w:rsid w:val="00542C22"/>
    <w:rsid w:val="00544701"/>
    <w:rsid w:val="00544AB8"/>
    <w:rsid w:val="00544D57"/>
    <w:rsid w:val="0054647F"/>
    <w:rsid w:val="00547968"/>
    <w:rsid w:val="00547F23"/>
    <w:rsid w:val="00551CEF"/>
    <w:rsid w:val="00552600"/>
    <w:rsid w:val="00553440"/>
    <w:rsid w:val="005537D8"/>
    <w:rsid w:val="005540FA"/>
    <w:rsid w:val="0055435C"/>
    <w:rsid w:val="00555113"/>
    <w:rsid w:val="00555D94"/>
    <w:rsid w:val="005563BD"/>
    <w:rsid w:val="00557092"/>
    <w:rsid w:val="00557F15"/>
    <w:rsid w:val="005608FB"/>
    <w:rsid w:val="00564839"/>
    <w:rsid w:val="00564ACF"/>
    <w:rsid w:val="00564C3A"/>
    <w:rsid w:val="00564E2D"/>
    <w:rsid w:val="00567133"/>
    <w:rsid w:val="005700DB"/>
    <w:rsid w:val="00570359"/>
    <w:rsid w:val="0057042C"/>
    <w:rsid w:val="005707D7"/>
    <w:rsid w:val="00573157"/>
    <w:rsid w:val="00574E1D"/>
    <w:rsid w:val="0057744D"/>
    <w:rsid w:val="00577A15"/>
    <w:rsid w:val="00582169"/>
    <w:rsid w:val="00584592"/>
    <w:rsid w:val="00585107"/>
    <w:rsid w:val="0058652F"/>
    <w:rsid w:val="005870D7"/>
    <w:rsid w:val="00587160"/>
    <w:rsid w:val="00587BFC"/>
    <w:rsid w:val="00591783"/>
    <w:rsid w:val="00591A7A"/>
    <w:rsid w:val="00592717"/>
    <w:rsid w:val="005944F2"/>
    <w:rsid w:val="00594E2F"/>
    <w:rsid w:val="005956EF"/>
    <w:rsid w:val="0059679F"/>
    <w:rsid w:val="00597817"/>
    <w:rsid w:val="005A1DDE"/>
    <w:rsid w:val="005A2D46"/>
    <w:rsid w:val="005A386F"/>
    <w:rsid w:val="005A3FD8"/>
    <w:rsid w:val="005A5CBF"/>
    <w:rsid w:val="005A6C74"/>
    <w:rsid w:val="005A7435"/>
    <w:rsid w:val="005A7DDF"/>
    <w:rsid w:val="005B1609"/>
    <w:rsid w:val="005B2EFB"/>
    <w:rsid w:val="005B4CE5"/>
    <w:rsid w:val="005B5876"/>
    <w:rsid w:val="005B632C"/>
    <w:rsid w:val="005C468F"/>
    <w:rsid w:val="005C5295"/>
    <w:rsid w:val="005C5394"/>
    <w:rsid w:val="005C5CBC"/>
    <w:rsid w:val="005C5F3A"/>
    <w:rsid w:val="005C689A"/>
    <w:rsid w:val="005D09AB"/>
    <w:rsid w:val="005D1C41"/>
    <w:rsid w:val="005D3F0D"/>
    <w:rsid w:val="005D5748"/>
    <w:rsid w:val="005D6905"/>
    <w:rsid w:val="005D6BA3"/>
    <w:rsid w:val="005E0A56"/>
    <w:rsid w:val="005E428F"/>
    <w:rsid w:val="005E4A7B"/>
    <w:rsid w:val="005E6D0C"/>
    <w:rsid w:val="005F0C61"/>
    <w:rsid w:val="005F1B2C"/>
    <w:rsid w:val="005F230D"/>
    <w:rsid w:val="005F2EB0"/>
    <w:rsid w:val="005F33C7"/>
    <w:rsid w:val="005F3A9E"/>
    <w:rsid w:val="005F3AC4"/>
    <w:rsid w:val="005F4293"/>
    <w:rsid w:val="006005C0"/>
    <w:rsid w:val="00602C03"/>
    <w:rsid w:val="00604A5F"/>
    <w:rsid w:val="0060597B"/>
    <w:rsid w:val="006066A1"/>
    <w:rsid w:val="00610B3A"/>
    <w:rsid w:val="00610FA8"/>
    <w:rsid w:val="0061172E"/>
    <w:rsid w:val="00611A27"/>
    <w:rsid w:val="006127D0"/>
    <w:rsid w:val="00613A48"/>
    <w:rsid w:val="00616A37"/>
    <w:rsid w:val="006178DF"/>
    <w:rsid w:val="00617941"/>
    <w:rsid w:val="00623621"/>
    <w:rsid w:val="00624DBC"/>
    <w:rsid w:val="006251D9"/>
    <w:rsid w:val="006262A6"/>
    <w:rsid w:val="00627337"/>
    <w:rsid w:val="006277DE"/>
    <w:rsid w:val="006304C8"/>
    <w:rsid w:val="0063121E"/>
    <w:rsid w:val="0063157D"/>
    <w:rsid w:val="00632566"/>
    <w:rsid w:val="00632B69"/>
    <w:rsid w:val="00634AAD"/>
    <w:rsid w:val="006355F2"/>
    <w:rsid w:val="0063715A"/>
    <w:rsid w:val="006376AE"/>
    <w:rsid w:val="00637E63"/>
    <w:rsid w:val="00640D0B"/>
    <w:rsid w:val="0064233D"/>
    <w:rsid w:val="0064290B"/>
    <w:rsid w:val="0064319A"/>
    <w:rsid w:val="006447E2"/>
    <w:rsid w:val="006457EA"/>
    <w:rsid w:val="00645ABD"/>
    <w:rsid w:val="00645D2F"/>
    <w:rsid w:val="00645E15"/>
    <w:rsid w:val="00650467"/>
    <w:rsid w:val="006508F4"/>
    <w:rsid w:val="00650C1A"/>
    <w:rsid w:val="006535A0"/>
    <w:rsid w:val="00653BBA"/>
    <w:rsid w:val="006547C5"/>
    <w:rsid w:val="00654B4F"/>
    <w:rsid w:val="00654FE7"/>
    <w:rsid w:val="006553E3"/>
    <w:rsid w:val="00655920"/>
    <w:rsid w:val="00656662"/>
    <w:rsid w:val="00656AEE"/>
    <w:rsid w:val="00657355"/>
    <w:rsid w:val="00657549"/>
    <w:rsid w:val="006602DF"/>
    <w:rsid w:val="00660445"/>
    <w:rsid w:val="00660909"/>
    <w:rsid w:val="006644FB"/>
    <w:rsid w:val="006648BA"/>
    <w:rsid w:val="00665426"/>
    <w:rsid w:val="00667FAE"/>
    <w:rsid w:val="006704A7"/>
    <w:rsid w:val="00670A21"/>
    <w:rsid w:val="00671AEB"/>
    <w:rsid w:val="00672F7B"/>
    <w:rsid w:val="00673524"/>
    <w:rsid w:val="006744A7"/>
    <w:rsid w:val="006769A9"/>
    <w:rsid w:val="0068005F"/>
    <w:rsid w:val="00682036"/>
    <w:rsid w:val="006824BA"/>
    <w:rsid w:val="00683417"/>
    <w:rsid w:val="0068394B"/>
    <w:rsid w:val="0068431A"/>
    <w:rsid w:val="006876B0"/>
    <w:rsid w:val="00690EA6"/>
    <w:rsid w:val="006919FA"/>
    <w:rsid w:val="00693452"/>
    <w:rsid w:val="006955DD"/>
    <w:rsid w:val="00696187"/>
    <w:rsid w:val="00697633"/>
    <w:rsid w:val="00697CAC"/>
    <w:rsid w:val="006A0C0E"/>
    <w:rsid w:val="006A39ED"/>
    <w:rsid w:val="006A41EE"/>
    <w:rsid w:val="006A7340"/>
    <w:rsid w:val="006A73CE"/>
    <w:rsid w:val="006A74B5"/>
    <w:rsid w:val="006A7F58"/>
    <w:rsid w:val="006B122D"/>
    <w:rsid w:val="006B1FCA"/>
    <w:rsid w:val="006B3F01"/>
    <w:rsid w:val="006B43D8"/>
    <w:rsid w:val="006B4ABB"/>
    <w:rsid w:val="006B683D"/>
    <w:rsid w:val="006C09B1"/>
    <w:rsid w:val="006C3CD7"/>
    <w:rsid w:val="006C46D2"/>
    <w:rsid w:val="006C4903"/>
    <w:rsid w:val="006C5AF9"/>
    <w:rsid w:val="006D5801"/>
    <w:rsid w:val="006D7E2C"/>
    <w:rsid w:val="006E00AB"/>
    <w:rsid w:val="006E03C1"/>
    <w:rsid w:val="006E18DB"/>
    <w:rsid w:val="006E19A7"/>
    <w:rsid w:val="006E38F0"/>
    <w:rsid w:val="006E6177"/>
    <w:rsid w:val="006E7F05"/>
    <w:rsid w:val="006F0FE7"/>
    <w:rsid w:val="006F5EA1"/>
    <w:rsid w:val="00700138"/>
    <w:rsid w:val="007003EC"/>
    <w:rsid w:val="00703659"/>
    <w:rsid w:val="00703C4A"/>
    <w:rsid w:val="00704264"/>
    <w:rsid w:val="00706B4E"/>
    <w:rsid w:val="007079D8"/>
    <w:rsid w:val="00707F57"/>
    <w:rsid w:val="00710EB1"/>
    <w:rsid w:val="00712DE3"/>
    <w:rsid w:val="00713027"/>
    <w:rsid w:val="00716F0A"/>
    <w:rsid w:val="00720A02"/>
    <w:rsid w:val="007211B3"/>
    <w:rsid w:val="0072243D"/>
    <w:rsid w:val="00723CC9"/>
    <w:rsid w:val="00724793"/>
    <w:rsid w:val="00724898"/>
    <w:rsid w:val="00724F97"/>
    <w:rsid w:val="007309F4"/>
    <w:rsid w:val="007316D6"/>
    <w:rsid w:val="007328E4"/>
    <w:rsid w:val="00734444"/>
    <w:rsid w:val="00735298"/>
    <w:rsid w:val="007368D1"/>
    <w:rsid w:val="00736EFE"/>
    <w:rsid w:val="00736F65"/>
    <w:rsid w:val="00737360"/>
    <w:rsid w:val="00737F10"/>
    <w:rsid w:val="0074037A"/>
    <w:rsid w:val="0074176C"/>
    <w:rsid w:val="00743FE7"/>
    <w:rsid w:val="00744804"/>
    <w:rsid w:val="00744D41"/>
    <w:rsid w:val="0074579C"/>
    <w:rsid w:val="00745FBD"/>
    <w:rsid w:val="0075052C"/>
    <w:rsid w:val="00750B19"/>
    <w:rsid w:val="007511EB"/>
    <w:rsid w:val="00753A36"/>
    <w:rsid w:val="0075453B"/>
    <w:rsid w:val="00756435"/>
    <w:rsid w:val="00760517"/>
    <w:rsid w:val="007609ED"/>
    <w:rsid w:val="00761104"/>
    <w:rsid w:val="0076167E"/>
    <w:rsid w:val="007619F5"/>
    <w:rsid w:val="00762548"/>
    <w:rsid w:val="0076274D"/>
    <w:rsid w:val="007637C9"/>
    <w:rsid w:val="00770AB8"/>
    <w:rsid w:val="00770F4D"/>
    <w:rsid w:val="0077167F"/>
    <w:rsid w:val="0077278A"/>
    <w:rsid w:val="0077292D"/>
    <w:rsid w:val="00772DFE"/>
    <w:rsid w:val="007759B4"/>
    <w:rsid w:val="007765F5"/>
    <w:rsid w:val="00777BEA"/>
    <w:rsid w:val="00777FCC"/>
    <w:rsid w:val="00781521"/>
    <w:rsid w:val="00782135"/>
    <w:rsid w:val="0078239E"/>
    <w:rsid w:val="0078379F"/>
    <w:rsid w:val="00783AB3"/>
    <w:rsid w:val="00784256"/>
    <w:rsid w:val="007857B6"/>
    <w:rsid w:val="0078598D"/>
    <w:rsid w:val="007859C4"/>
    <w:rsid w:val="00785A4F"/>
    <w:rsid w:val="00787688"/>
    <w:rsid w:val="007928D2"/>
    <w:rsid w:val="00794EF9"/>
    <w:rsid w:val="0079506E"/>
    <w:rsid w:val="007A11AB"/>
    <w:rsid w:val="007A2334"/>
    <w:rsid w:val="007A302A"/>
    <w:rsid w:val="007A3144"/>
    <w:rsid w:val="007A46CE"/>
    <w:rsid w:val="007A65FF"/>
    <w:rsid w:val="007B05AE"/>
    <w:rsid w:val="007B0EF4"/>
    <w:rsid w:val="007B186D"/>
    <w:rsid w:val="007B5613"/>
    <w:rsid w:val="007B6AE1"/>
    <w:rsid w:val="007B7155"/>
    <w:rsid w:val="007C073B"/>
    <w:rsid w:val="007C14AB"/>
    <w:rsid w:val="007C1595"/>
    <w:rsid w:val="007C1B26"/>
    <w:rsid w:val="007C2953"/>
    <w:rsid w:val="007C3D1C"/>
    <w:rsid w:val="007C4BEB"/>
    <w:rsid w:val="007C51AA"/>
    <w:rsid w:val="007C58A1"/>
    <w:rsid w:val="007C5A88"/>
    <w:rsid w:val="007C61F3"/>
    <w:rsid w:val="007D079C"/>
    <w:rsid w:val="007D08EC"/>
    <w:rsid w:val="007D0B87"/>
    <w:rsid w:val="007D0B8E"/>
    <w:rsid w:val="007D24C9"/>
    <w:rsid w:val="007D34D4"/>
    <w:rsid w:val="007D3E01"/>
    <w:rsid w:val="007D4069"/>
    <w:rsid w:val="007D4DEC"/>
    <w:rsid w:val="007D6351"/>
    <w:rsid w:val="007D6645"/>
    <w:rsid w:val="007D76D2"/>
    <w:rsid w:val="007E02D0"/>
    <w:rsid w:val="007E11CA"/>
    <w:rsid w:val="007E6938"/>
    <w:rsid w:val="007F0D70"/>
    <w:rsid w:val="007F1CE7"/>
    <w:rsid w:val="007F3100"/>
    <w:rsid w:val="007F4AB3"/>
    <w:rsid w:val="007F5926"/>
    <w:rsid w:val="007F6879"/>
    <w:rsid w:val="007F6B9D"/>
    <w:rsid w:val="007F6D90"/>
    <w:rsid w:val="008004C0"/>
    <w:rsid w:val="00803052"/>
    <w:rsid w:val="00805849"/>
    <w:rsid w:val="00811D3B"/>
    <w:rsid w:val="0081298B"/>
    <w:rsid w:val="00813D9C"/>
    <w:rsid w:val="00814B85"/>
    <w:rsid w:val="00814F49"/>
    <w:rsid w:val="00815D3F"/>
    <w:rsid w:val="00816BD2"/>
    <w:rsid w:val="008177E2"/>
    <w:rsid w:val="00817CD4"/>
    <w:rsid w:val="008203D4"/>
    <w:rsid w:val="008204D5"/>
    <w:rsid w:val="00820AFB"/>
    <w:rsid w:val="00821C17"/>
    <w:rsid w:val="00821F6C"/>
    <w:rsid w:val="0082248C"/>
    <w:rsid w:val="008225AD"/>
    <w:rsid w:val="00822AD2"/>
    <w:rsid w:val="0082756A"/>
    <w:rsid w:val="00827FC1"/>
    <w:rsid w:val="00831179"/>
    <w:rsid w:val="00833E5C"/>
    <w:rsid w:val="00836712"/>
    <w:rsid w:val="00843C17"/>
    <w:rsid w:val="0084543A"/>
    <w:rsid w:val="0084655B"/>
    <w:rsid w:val="00846E64"/>
    <w:rsid w:val="00847D50"/>
    <w:rsid w:val="00850F7D"/>
    <w:rsid w:val="00853DB0"/>
    <w:rsid w:val="0085455A"/>
    <w:rsid w:val="0085570A"/>
    <w:rsid w:val="00855C1F"/>
    <w:rsid w:val="00857232"/>
    <w:rsid w:val="008574D4"/>
    <w:rsid w:val="0085787B"/>
    <w:rsid w:val="00860D69"/>
    <w:rsid w:val="00861707"/>
    <w:rsid w:val="00863FF0"/>
    <w:rsid w:val="0086404F"/>
    <w:rsid w:val="00864D9D"/>
    <w:rsid w:val="00865435"/>
    <w:rsid w:val="008657F4"/>
    <w:rsid w:val="00866193"/>
    <w:rsid w:val="00867244"/>
    <w:rsid w:val="00870729"/>
    <w:rsid w:val="00872632"/>
    <w:rsid w:val="008736F3"/>
    <w:rsid w:val="00873BEA"/>
    <w:rsid w:val="00874A47"/>
    <w:rsid w:val="008752C0"/>
    <w:rsid w:val="00876299"/>
    <w:rsid w:val="00876D98"/>
    <w:rsid w:val="00880D29"/>
    <w:rsid w:val="0088498A"/>
    <w:rsid w:val="008854AE"/>
    <w:rsid w:val="008860A2"/>
    <w:rsid w:val="008875B0"/>
    <w:rsid w:val="008876C8"/>
    <w:rsid w:val="0089036C"/>
    <w:rsid w:val="008919E7"/>
    <w:rsid w:val="008935CF"/>
    <w:rsid w:val="008937AC"/>
    <w:rsid w:val="00894D30"/>
    <w:rsid w:val="008A1CCF"/>
    <w:rsid w:val="008A2F6B"/>
    <w:rsid w:val="008A30E4"/>
    <w:rsid w:val="008A317A"/>
    <w:rsid w:val="008A34A9"/>
    <w:rsid w:val="008A41AF"/>
    <w:rsid w:val="008A5431"/>
    <w:rsid w:val="008A5D66"/>
    <w:rsid w:val="008A6B3B"/>
    <w:rsid w:val="008A7998"/>
    <w:rsid w:val="008B0560"/>
    <w:rsid w:val="008B0EF5"/>
    <w:rsid w:val="008B303F"/>
    <w:rsid w:val="008B3F51"/>
    <w:rsid w:val="008B4E44"/>
    <w:rsid w:val="008B5265"/>
    <w:rsid w:val="008B55C3"/>
    <w:rsid w:val="008B59C0"/>
    <w:rsid w:val="008C04E0"/>
    <w:rsid w:val="008C06F8"/>
    <w:rsid w:val="008C126B"/>
    <w:rsid w:val="008C1391"/>
    <w:rsid w:val="008C4B11"/>
    <w:rsid w:val="008C51B0"/>
    <w:rsid w:val="008C5F16"/>
    <w:rsid w:val="008C7B22"/>
    <w:rsid w:val="008D1569"/>
    <w:rsid w:val="008D2F24"/>
    <w:rsid w:val="008D414B"/>
    <w:rsid w:val="008D4A2E"/>
    <w:rsid w:val="008D4B08"/>
    <w:rsid w:val="008D4D0F"/>
    <w:rsid w:val="008D506F"/>
    <w:rsid w:val="008D7FDA"/>
    <w:rsid w:val="008E084B"/>
    <w:rsid w:val="008E0C42"/>
    <w:rsid w:val="008E1930"/>
    <w:rsid w:val="008E1A17"/>
    <w:rsid w:val="008E3ABE"/>
    <w:rsid w:val="008E561C"/>
    <w:rsid w:val="008E5BF2"/>
    <w:rsid w:val="008E6A6E"/>
    <w:rsid w:val="008F092C"/>
    <w:rsid w:val="008F13C4"/>
    <w:rsid w:val="008F1AE1"/>
    <w:rsid w:val="008F2EB3"/>
    <w:rsid w:val="008F2F6F"/>
    <w:rsid w:val="008F38DE"/>
    <w:rsid w:val="008F3D16"/>
    <w:rsid w:val="008F3EEA"/>
    <w:rsid w:val="008F51FF"/>
    <w:rsid w:val="008F5B5D"/>
    <w:rsid w:val="008F6007"/>
    <w:rsid w:val="008F678F"/>
    <w:rsid w:val="008F6F30"/>
    <w:rsid w:val="00901BC6"/>
    <w:rsid w:val="009024F3"/>
    <w:rsid w:val="00903BAC"/>
    <w:rsid w:val="0090429E"/>
    <w:rsid w:val="009049EE"/>
    <w:rsid w:val="00904E3D"/>
    <w:rsid w:val="00905160"/>
    <w:rsid w:val="00907FA4"/>
    <w:rsid w:val="009111CF"/>
    <w:rsid w:val="0091525F"/>
    <w:rsid w:val="0091549B"/>
    <w:rsid w:val="00917FE0"/>
    <w:rsid w:val="009201A4"/>
    <w:rsid w:val="0092150D"/>
    <w:rsid w:val="0092293A"/>
    <w:rsid w:val="009235D2"/>
    <w:rsid w:val="00923A9E"/>
    <w:rsid w:val="00923CC1"/>
    <w:rsid w:val="00925684"/>
    <w:rsid w:val="00927650"/>
    <w:rsid w:val="00931602"/>
    <w:rsid w:val="009316BE"/>
    <w:rsid w:val="00932D22"/>
    <w:rsid w:val="00933116"/>
    <w:rsid w:val="009342CD"/>
    <w:rsid w:val="0093508C"/>
    <w:rsid w:val="009358EA"/>
    <w:rsid w:val="0093596B"/>
    <w:rsid w:val="00941B30"/>
    <w:rsid w:val="0094239A"/>
    <w:rsid w:val="00945FEF"/>
    <w:rsid w:val="00946388"/>
    <w:rsid w:val="009474A4"/>
    <w:rsid w:val="009510A5"/>
    <w:rsid w:val="00952059"/>
    <w:rsid w:val="009523BB"/>
    <w:rsid w:val="009526D2"/>
    <w:rsid w:val="0095345A"/>
    <w:rsid w:val="00954A78"/>
    <w:rsid w:val="009550F7"/>
    <w:rsid w:val="00956CAE"/>
    <w:rsid w:val="00956F33"/>
    <w:rsid w:val="009579E4"/>
    <w:rsid w:val="00962F56"/>
    <w:rsid w:val="00966849"/>
    <w:rsid w:val="0096692D"/>
    <w:rsid w:val="009673A9"/>
    <w:rsid w:val="009674AD"/>
    <w:rsid w:val="00967827"/>
    <w:rsid w:val="00971B9A"/>
    <w:rsid w:val="00972D9D"/>
    <w:rsid w:val="00974AE1"/>
    <w:rsid w:val="00976427"/>
    <w:rsid w:val="00980923"/>
    <w:rsid w:val="00981219"/>
    <w:rsid w:val="009819AC"/>
    <w:rsid w:val="00981F49"/>
    <w:rsid w:val="00982698"/>
    <w:rsid w:val="00982C5D"/>
    <w:rsid w:val="0098342A"/>
    <w:rsid w:val="0098408F"/>
    <w:rsid w:val="0098500F"/>
    <w:rsid w:val="00985B4A"/>
    <w:rsid w:val="00985D8F"/>
    <w:rsid w:val="00985F8E"/>
    <w:rsid w:val="00987068"/>
    <w:rsid w:val="0099510B"/>
    <w:rsid w:val="00996417"/>
    <w:rsid w:val="00997DB2"/>
    <w:rsid w:val="009A0102"/>
    <w:rsid w:val="009A2774"/>
    <w:rsid w:val="009A2B4F"/>
    <w:rsid w:val="009A2EC2"/>
    <w:rsid w:val="009A3CF1"/>
    <w:rsid w:val="009A3E40"/>
    <w:rsid w:val="009A3F67"/>
    <w:rsid w:val="009A605E"/>
    <w:rsid w:val="009A79CC"/>
    <w:rsid w:val="009B0B07"/>
    <w:rsid w:val="009B12EC"/>
    <w:rsid w:val="009B2D5D"/>
    <w:rsid w:val="009B2FAC"/>
    <w:rsid w:val="009B3F37"/>
    <w:rsid w:val="009B4D0E"/>
    <w:rsid w:val="009C2DDD"/>
    <w:rsid w:val="009C6405"/>
    <w:rsid w:val="009C6D8D"/>
    <w:rsid w:val="009C7C82"/>
    <w:rsid w:val="009D2250"/>
    <w:rsid w:val="009D2DC6"/>
    <w:rsid w:val="009D4E52"/>
    <w:rsid w:val="009D62F0"/>
    <w:rsid w:val="009D66AC"/>
    <w:rsid w:val="009D6E8C"/>
    <w:rsid w:val="009D737B"/>
    <w:rsid w:val="009E0074"/>
    <w:rsid w:val="009E104B"/>
    <w:rsid w:val="009E49A5"/>
    <w:rsid w:val="009E6633"/>
    <w:rsid w:val="009F0B68"/>
    <w:rsid w:val="009F25AD"/>
    <w:rsid w:val="009F4AA1"/>
    <w:rsid w:val="009F527E"/>
    <w:rsid w:val="009F7E7D"/>
    <w:rsid w:val="00A020B6"/>
    <w:rsid w:val="00A04458"/>
    <w:rsid w:val="00A05401"/>
    <w:rsid w:val="00A10992"/>
    <w:rsid w:val="00A11403"/>
    <w:rsid w:val="00A12D85"/>
    <w:rsid w:val="00A13766"/>
    <w:rsid w:val="00A1451E"/>
    <w:rsid w:val="00A14B50"/>
    <w:rsid w:val="00A15B38"/>
    <w:rsid w:val="00A15CB3"/>
    <w:rsid w:val="00A16182"/>
    <w:rsid w:val="00A16AE7"/>
    <w:rsid w:val="00A21376"/>
    <w:rsid w:val="00A21495"/>
    <w:rsid w:val="00A2377E"/>
    <w:rsid w:val="00A243E0"/>
    <w:rsid w:val="00A25276"/>
    <w:rsid w:val="00A274B2"/>
    <w:rsid w:val="00A31693"/>
    <w:rsid w:val="00A33F44"/>
    <w:rsid w:val="00A3442B"/>
    <w:rsid w:val="00A34786"/>
    <w:rsid w:val="00A34CA1"/>
    <w:rsid w:val="00A3554A"/>
    <w:rsid w:val="00A40041"/>
    <w:rsid w:val="00A41FBF"/>
    <w:rsid w:val="00A43B01"/>
    <w:rsid w:val="00A456DE"/>
    <w:rsid w:val="00A45C46"/>
    <w:rsid w:val="00A5038D"/>
    <w:rsid w:val="00A5159D"/>
    <w:rsid w:val="00A525BE"/>
    <w:rsid w:val="00A54CBA"/>
    <w:rsid w:val="00A54D61"/>
    <w:rsid w:val="00A55AB3"/>
    <w:rsid w:val="00A5631E"/>
    <w:rsid w:val="00A56E98"/>
    <w:rsid w:val="00A572DF"/>
    <w:rsid w:val="00A57740"/>
    <w:rsid w:val="00A609EA"/>
    <w:rsid w:val="00A60D0D"/>
    <w:rsid w:val="00A60DFE"/>
    <w:rsid w:val="00A61740"/>
    <w:rsid w:val="00A62C63"/>
    <w:rsid w:val="00A63CC8"/>
    <w:rsid w:val="00A63DE2"/>
    <w:rsid w:val="00A647AB"/>
    <w:rsid w:val="00A65697"/>
    <w:rsid w:val="00A67EFA"/>
    <w:rsid w:val="00A71E0B"/>
    <w:rsid w:val="00A720A7"/>
    <w:rsid w:val="00A747F4"/>
    <w:rsid w:val="00A74995"/>
    <w:rsid w:val="00A76FA9"/>
    <w:rsid w:val="00A77D67"/>
    <w:rsid w:val="00A81895"/>
    <w:rsid w:val="00A82409"/>
    <w:rsid w:val="00A826CB"/>
    <w:rsid w:val="00A833A7"/>
    <w:rsid w:val="00A84C2A"/>
    <w:rsid w:val="00A870EA"/>
    <w:rsid w:val="00A8799D"/>
    <w:rsid w:val="00A911B9"/>
    <w:rsid w:val="00A92174"/>
    <w:rsid w:val="00A95199"/>
    <w:rsid w:val="00A9580A"/>
    <w:rsid w:val="00A95B0D"/>
    <w:rsid w:val="00A9698F"/>
    <w:rsid w:val="00A97CB8"/>
    <w:rsid w:val="00AA03CB"/>
    <w:rsid w:val="00AA10D4"/>
    <w:rsid w:val="00AA133F"/>
    <w:rsid w:val="00AA232B"/>
    <w:rsid w:val="00AA48C6"/>
    <w:rsid w:val="00AA4D60"/>
    <w:rsid w:val="00AA552D"/>
    <w:rsid w:val="00AA5952"/>
    <w:rsid w:val="00AA5CE6"/>
    <w:rsid w:val="00AB157A"/>
    <w:rsid w:val="00AB5532"/>
    <w:rsid w:val="00AC059E"/>
    <w:rsid w:val="00AC132D"/>
    <w:rsid w:val="00AC146F"/>
    <w:rsid w:val="00AC2C50"/>
    <w:rsid w:val="00AC2EBD"/>
    <w:rsid w:val="00AC3456"/>
    <w:rsid w:val="00AC3599"/>
    <w:rsid w:val="00AC5F5F"/>
    <w:rsid w:val="00AC6B26"/>
    <w:rsid w:val="00AD01FF"/>
    <w:rsid w:val="00AD1919"/>
    <w:rsid w:val="00AD3312"/>
    <w:rsid w:val="00AD73F1"/>
    <w:rsid w:val="00AE099D"/>
    <w:rsid w:val="00AE103E"/>
    <w:rsid w:val="00AE10BD"/>
    <w:rsid w:val="00AE273E"/>
    <w:rsid w:val="00AE40E3"/>
    <w:rsid w:val="00AE4243"/>
    <w:rsid w:val="00AE5432"/>
    <w:rsid w:val="00AE5B57"/>
    <w:rsid w:val="00AE6A80"/>
    <w:rsid w:val="00AF0463"/>
    <w:rsid w:val="00AF06E7"/>
    <w:rsid w:val="00AF28D3"/>
    <w:rsid w:val="00AF3ACB"/>
    <w:rsid w:val="00B0195E"/>
    <w:rsid w:val="00B0430C"/>
    <w:rsid w:val="00B04F10"/>
    <w:rsid w:val="00B0504E"/>
    <w:rsid w:val="00B0550D"/>
    <w:rsid w:val="00B06CBB"/>
    <w:rsid w:val="00B06DCD"/>
    <w:rsid w:val="00B10570"/>
    <w:rsid w:val="00B10854"/>
    <w:rsid w:val="00B12C22"/>
    <w:rsid w:val="00B13018"/>
    <w:rsid w:val="00B13041"/>
    <w:rsid w:val="00B13EB9"/>
    <w:rsid w:val="00B16E1C"/>
    <w:rsid w:val="00B17782"/>
    <w:rsid w:val="00B20998"/>
    <w:rsid w:val="00B24A99"/>
    <w:rsid w:val="00B24AAF"/>
    <w:rsid w:val="00B25158"/>
    <w:rsid w:val="00B32B51"/>
    <w:rsid w:val="00B32E5C"/>
    <w:rsid w:val="00B33739"/>
    <w:rsid w:val="00B3424C"/>
    <w:rsid w:val="00B348FF"/>
    <w:rsid w:val="00B34C6A"/>
    <w:rsid w:val="00B36B12"/>
    <w:rsid w:val="00B37E0B"/>
    <w:rsid w:val="00B412AB"/>
    <w:rsid w:val="00B50030"/>
    <w:rsid w:val="00B50F09"/>
    <w:rsid w:val="00B51750"/>
    <w:rsid w:val="00B53112"/>
    <w:rsid w:val="00B57A80"/>
    <w:rsid w:val="00B60040"/>
    <w:rsid w:val="00B60FAA"/>
    <w:rsid w:val="00B61D82"/>
    <w:rsid w:val="00B632B8"/>
    <w:rsid w:val="00B63698"/>
    <w:rsid w:val="00B63DBA"/>
    <w:rsid w:val="00B640A8"/>
    <w:rsid w:val="00B64A40"/>
    <w:rsid w:val="00B65C8C"/>
    <w:rsid w:val="00B67979"/>
    <w:rsid w:val="00B725D3"/>
    <w:rsid w:val="00B72C62"/>
    <w:rsid w:val="00B762C3"/>
    <w:rsid w:val="00B77AA6"/>
    <w:rsid w:val="00B810D1"/>
    <w:rsid w:val="00B82BB6"/>
    <w:rsid w:val="00B83768"/>
    <w:rsid w:val="00B84388"/>
    <w:rsid w:val="00B85B03"/>
    <w:rsid w:val="00B85CAA"/>
    <w:rsid w:val="00B86EA1"/>
    <w:rsid w:val="00B872C9"/>
    <w:rsid w:val="00B87495"/>
    <w:rsid w:val="00B903C2"/>
    <w:rsid w:val="00B94C57"/>
    <w:rsid w:val="00B9547B"/>
    <w:rsid w:val="00B9629D"/>
    <w:rsid w:val="00B96DE6"/>
    <w:rsid w:val="00B97396"/>
    <w:rsid w:val="00BA149F"/>
    <w:rsid w:val="00BA2B83"/>
    <w:rsid w:val="00BA5099"/>
    <w:rsid w:val="00BA5445"/>
    <w:rsid w:val="00BA70F8"/>
    <w:rsid w:val="00BA7DFC"/>
    <w:rsid w:val="00BB0909"/>
    <w:rsid w:val="00BB154A"/>
    <w:rsid w:val="00BB181E"/>
    <w:rsid w:val="00BB1C67"/>
    <w:rsid w:val="00BB221C"/>
    <w:rsid w:val="00BB27D1"/>
    <w:rsid w:val="00BB28B0"/>
    <w:rsid w:val="00BB38C9"/>
    <w:rsid w:val="00BB429E"/>
    <w:rsid w:val="00BB43F8"/>
    <w:rsid w:val="00BB4C47"/>
    <w:rsid w:val="00BB69B5"/>
    <w:rsid w:val="00BB6A8B"/>
    <w:rsid w:val="00BB6BBD"/>
    <w:rsid w:val="00BB6CBF"/>
    <w:rsid w:val="00BC0BC5"/>
    <w:rsid w:val="00BC38EB"/>
    <w:rsid w:val="00BC41EC"/>
    <w:rsid w:val="00BC4CA0"/>
    <w:rsid w:val="00BC513F"/>
    <w:rsid w:val="00BC5F4E"/>
    <w:rsid w:val="00BC6048"/>
    <w:rsid w:val="00BC70A4"/>
    <w:rsid w:val="00BD05F9"/>
    <w:rsid w:val="00BD3AC4"/>
    <w:rsid w:val="00BD4C2B"/>
    <w:rsid w:val="00BD533D"/>
    <w:rsid w:val="00BD5CD0"/>
    <w:rsid w:val="00BD68B7"/>
    <w:rsid w:val="00BD6B8E"/>
    <w:rsid w:val="00BE161D"/>
    <w:rsid w:val="00BE19AA"/>
    <w:rsid w:val="00BE1D2D"/>
    <w:rsid w:val="00BE3710"/>
    <w:rsid w:val="00BE3D7A"/>
    <w:rsid w:val="00BE4B80"/>
    <w:rsid w:val="00BE63CA"/>
    <w:rsid w:val="00BE675D"/>
    <w:rsid w:val="00BE6A48"/>
    <w:rsid w:val="00BE6C64"/>
    <w:rsid w:val="00BE7FF9"/>
    <w:rsid w:val="00BF0F14"/>
    <w:rsid w:val="00BF2A14"/>
    <w:rsid w:val="00BF36DB"/>
    <w:rsid w:val="00BF3EA7"/>
    <w:rsid w:val="00BF6B8A"/>
    <w:rsid w:val="00C02CB3"/>
    <w:rsid w:val="00C035A8"/>
    <w:rsid w:val="00C04843"/>
    <w:rsid w:val="00C04A6F"/>
    <w:rsid w:val="00C0669F"/>
    <w:rsid w:val="00C14ED6"/>
    <w:rsid w:val="00C1573E"/>
    <w:rsid w:val="00C15A37"/>
    <w:rsid w:val="00C16164"/>
    <w:rsid w:val="00C16904"/>
    <w:rsid w:val="00C17208"/>
    <w:rsid w:val="00C21893"/>
    <w:rsid w:val="00C21E8E"/>
    <w:rsid w:val="00C23146"/>
    <w:rsid w:val="00C23A19"/>
    <w:rsid w:val="00C25D68"/>
    <w:rsid w:val="00C26107"/>
    <w:rsid w:val="00C31468"/>
    <w:rsid w:val="00C322D4"/>
    <w:rsid w:val="00C3261D"/>
    <w:rsid w:val="00C3354F"/>
    <w:rsid w:val="00C33C3D"/>
    <w:rsid w:val="00C36AFD"/>
    <w:rsid w:val="00C36D7B"/>
    <w:rsid w:val="00C4080F"/>
    <w:rsid w:val="00C4182F"/>
    <w:rsid w:val="00C41E45"/>
    <w:rsid w:val="00C42432"/>
    <w:rsid w:val="00C447FD"/>
    <w:rsid w:val="00C46337"/>
    <w:rsid w:val="00C47D8E"/>
    <w:rsid w:val="00C51AF8"/>
    <w:rsid w:val="00C53AE9"/>
    <w:rsid w:val="00C5578C"/>
    <w:rsid w:val="00C56476"/>
    <w:rsid w:val="00C57CB5"/>
    <w:rsid w:val="00C60CBB"/>
    <w:rsid w:val="00C621E4"/>
    <w:rsid w:val="00C62FEA"/>
    <w:rsid w:val="00C641EC"/>
    <w:rsid w:val="00C644DA"/>
    <w:rsid w:val="00C66A3F"/>
    <w:rsid w:val="00C66F68"/>
    <w:rsid w:val="00C677A2"/>
    <w:rsid w:val="00C70198"/>
    <w:rsid w:val="00C7045F"/>
    <w:rsid w:val="00C70C3D"/>
    <w:rsid w:val="00C70F65"/>
    <w:rsid w:val="00C71E76"/>
    <w:rsid w:val="00C72A95"/>
    <w:rsid w:val="00C748FF"/>
    <w:rsid w:val="00C75D43"/>
    <w:rsid w:val="00C77529"/>
    <w:rsid w:val="00C8049E"/>
    <w:rsid w:val="00C8761B"/>
    <w:rsid w:val="00C90241"/>
    <w:rsid w:val="00C91369"/>
    <w:rsid w:val="00C928C3"/>
    <w:rsid w:val="00C92AFF"/>
    <w:rsid w:val="00C95B6D"/>
    <w:rsid w:val="00C97E30"/>
    <w:rsid w:val="00CA0D98"/>
    <w:rsid w:val="00CA1519"/>
    <w:rsid w:val="00CA2BD7"/>
    <w:rsid w:val="00CA40A7"/>
    <w:rsid w:val="00CA618A"/>
    <w:rsid w:val="00CB04E5"/>
    <w:rsid w:val="00CB0D10"/>
    <w:rsid w:val="00CB0F67"/>
    <w:rsid w:val="00CB1731"/>
    <w:rsid w:val="00CB1A40"/>
    <w:rsid w:val="00CB1C65"/>
    <w:rsid w:val="00CB6386"/>
    <w:rsid w:val="00CB6785"/>
    <w:rsid w:val="00CC044C"/>
    <w:rsid w:val="00CC0736"/>
    <w:rsid w:val="00CC086F"/>
    <w:rsid w:val="00CC09B5"/>
    <w:rsid w:val="00CC3F1B"/>
    <w:rsid w:val="00CC59C4"/>
    <w:rsid w:val="00CC7D90"/>
    <w:rsid w:val="00CD0188"/>
    <w:rsid w:val="00CD109F"/>
    <w:rsid w:val="00CD1721"/>
    <w:rsid w:val="00CD32EA"/>
    <w:rsid w:val="00CD3DF4"/>
    <w:rsid w:val="00CD3E83"/>
    <w:rsid w:val="00CD3F0E"/>
    <w:rsid w:val="00CD4301"/>
    <w:rsid w:val="00CD670B"/>
    <w:rsid w:val="00CD6776"/>
    <w:rsid w:val="00CD7339"/>
    <w:rsid w:val="00CE0872"/>
    <w:rsid w:val="00CE0D5F"/>
    <w:rsid w:val="00CE2246"/>
    <w:rsid w:val="00CE6D18"/>
    <w:rsid w:val="00CF0337"/>
    <w:rsid w:val="00CF1461"/>
    <w:rsid w:val="00CF3AD2"/>
    <w:rsid w:val="00CF4ABB"/>
    <w:rsid w:val="00CF4E05"/>
    <w:rsid w:val="00CF53AB"/>
    <w:rsid w:val="00CF58E2"/>
    <w:rsid w:val="00CF5BE2"/>
    <w:rsid w:val="00CF69E5"/>
    <w:rsid w:val="00CF6A9E"/>
    <w:rsid w:val="00CF7F47"/>
    <w:rsid w:val="00D00D4A"/>
    <w:rsid w:val="00D00DF7"/>
    <w:rsid w:val="00D016F1"/>
    <w:rsid w:val="00D03D35"/>
    <w:rsid w:val="00D04C90"/>
    <w:rsid w:val="00D054E5"/>
    <w:rsid w:val="00D05695"/>
    <w:rsid w:val="00D07099"/>
    <w:rsid w:val="00D10F61"/>
    <w:rsid w:val="00D144E5"/>
    <w:rsid w:val="00D1457D"/>
    <w:rsid w:val="00D14656"/>
    <w:rsid w:val="00D148EA"/>
    <w:rsid w:val="00D149E2"/>
    <w:rsid w:val="00D14B5E"/>
    <w:rsid w:val="00D14C21"/>
    <w:rsid w:val="00D17CBA"/>
    <w:rsid w:val="00D202A5"/>
    <w:rsid w:val="00D21100"/>
    <w:rsid w:val="00D21693"/>
    <w:rsid w:val="00D224F6"/>
    <w:rsid w:val="00D227E2"/>
    <w:rsid w:val="00D260BD"/>
    <w:rsid w:val="00D277CA"/>
    <w:rsid w:val="00D30409"/>
    <w:rsid w:val="00D3092D"/>
    <w:rsid w:val="00D32E7E"/>
    <w:rsid w:val="00D331AE"/>
    <w:rsid w:val="00D3385E"/>
    <w:rsid w:val="00D35535"/>
    <w:rsid w:val="00D36DE3"/>
    <w:rsid w:val="00D40390"/>
    <w:rsid w:val="00D40FDE"/>
    <w:rsid w:val="00D4273E"/>
    <w:rsid w:val="00D42909"/>
    <w:rsid w:val="00D43422"/>
    <w:rsid w:val="00D441F2"/>
    <w:rsid w:val="00D44FE8"/>
    <w:rsid w:val="00D45A86"/>
    <w:rsid w:val="00D46BA8"/>
    <w:rsid w:val="00D46E24"/>
    <w:rsid w:val="00D4727A"/>
    <w:rsid w:val="00D475AE"/>
    <w:rsid w:val="00D5042C"/>
    <w:rsid w:val="00D50693"/>
    <w:rsid w:val="00D50973"/>
    <w:rsid w:val="00D50AB7"/>
    <w:rsid w:val="00D51830"/>
    <w:rsid w:val="00D51E50"/>
    <w:rsid w:val="00D51E89"/>
    <w:rsid w:val="00D553E1"/>
    <w:rsid w:val="00D55F95"/>
    <w:rsid w:val="00D567CC"/>
    <w:rsid w:val="00D56DBD"/>
    <w:rsid w:val="00D571E7"/>
    <w:rsid w:val="00D575AD"/>
    <w:rsid w:val="00D57D28"/>
    <w:rsid w:val="00D6305D"/>
    <w:rsid w:val="00D63504"/>
    <w:rsid w:val="00D65056"/>
    <w:rsid w:val="00D65193"/>
    <w:rsid w:val="00D65C8A"/>
    <w:rsid w:val="00D67791"/>
    <w:rsid w:val="00D70702"/>
    <w:rsid w:val="00D72C69"/>
    <w:rsid w:val="00D73274"/>
    <w:rsid w:val="00D74EE8"/>
    <w:rsid w:val="00D776B4"/>
    <w:rsid w:val="00D77814"/>
    <w:rsid w:val="00D80A4E"/>
    <w:rsid w:val="00D816D8"/>
    <w:rsid w:val="00D821BD"/>
    <w:rsid w:val="00D82E43"/>
    <w:rsid w:val="00D8556E"/>
    <w:rsid w:val="00D85DEF"/>
    <w:rsid w:val="00D87B1E"/>
    <w:rsid w:val="00D905B3"/>
    <w:rsid w:val="00D909ED"/>
    <w:rsid w:val="00D90D40"/>
    <w:rsid w:val="00D90EC2"/>
    <w:rsid w:val="00D92EB0"/>
    <w:rsid w:val="00D93EC1"/>
    <w:rsid w:val="00D95368"/>
    <w:rsid w:val="00D95C43"/>
    <w:rsid w:val="00D96456"/>
    <w:rsid w:val="00D97267"/>
    <w:rsid w:val="00D97EF3"/>
    <w:rsid w:val="00DA0638"/>
    <w:rsid w:val="00DA0B9C"/>
    <w:rsid w:val="00DA1B86"/>
    <w:rsid w:val="00DA284D"/>
    <w:rsid w:val="00DA4658"/>
    <w:rsid w:val="00DA512E"/>
    <w:rsid w:val="00DA5D0E"/>
    <w:rsid w:val="00DA62B0"/>
    <w:rsid w:val="00DA6E91"/>
    <w:rsid w:val="00DA70BB"/>
    <w:rsid w:val="00DA7823"/>
    <w:rsid w:val="00DA790F"/>
    <w:rsid w:val="00DB0ADB"/>
    <w:rsid w:val="00DB131B"/>
    <w:rsid w:val="00DB17BA"/>
    <w:rsid w:val="00DB2F47"/>
    <w:rsid w:val="00DB3A38"/>
    <w:rsid w:val="00DB3B30"/>
    <w:rsid w:val="00DB44C8"/>
    <w:rsid w:val="00DB6185"/>
    <w:rsid w:val="00DB726D"/>
    <w:rsid w:val="00DC09D5"/>
    <w:rsid w:val="00DC2ED2"/>
    <w:rsid w:val="00DC3370"/>
    <w:rsid w:val="00DC3631"/>
    <w:rsid w:val="00DC52A5"/>
    <w:rsid w:val="00DC63A2"/>
    <w:rsid w:val="00DD0799"/>
    <w:rsid w:val="00DD0F81"/>
    <w:rsid w:val="00DD13F6"/>
    <w:rsid w:val="00DD1AB6"/>
    <w:rsid w:val="00DD2A47"/>
    <w:rsid w:val="00DD2AD5"/>
    <w:rsid w:val="00DD3897"/>
    <w:rsid w:val="00DD43A0"/>
    <w:rsid w:val="00DD49B2"/>
    <w:rsid w:val="00DD4BDD"/>
    <w:rsid w:val="00DD66D6"/>
    <w:rsid w:val="00DD743A"/>
    <w:rsid w:val="00DE175B"/>
    <w:rsid w:val="00DE1B89"/>
    <w:rsid w:val="00DE2D7D"/>
    <w:rsid w:val="00DE3A25"/>
    <w:rsid w:val="00DE3F1D"/>
    <w:rsid w:val="00DE51AD"/>
    <w:rsid w:val="00DE51D1"/>
    <w:rsid w:val="00DE7108"/>
    <w:rsid w:val="00DF2B17"/>
    <w:rsid w:val="00DF3047"/>
    <w:rsid w:val="00DF4389"/>
    <w:rsid w:val="00DF4878"/>
    <w:rsid w:val="00DF5A4F"/>
    <w:rsid w:val="00E025FB"/>
    <w:rsid w:val="00E037B6"/>
    <w:rsid w:val="00E0691B"/>
    <w:rsid w:val="00E07383"/>
    <w:rsid w:val="00E11F57"/>
    <w:rsid w:val="00E14AA5"/>
    <w:rsid w:val="00E171EA"/>
    <w:rsid w:val="00E17CB2"/>
    <w:rsid w:val="00E20671"/>
    <w:rsid w:val="00E209C5"/>
    <w:rsid w:val="00E21878"/>
    <w:rsid w:val="00E22B28"/>
    <w:rsid w:val="00E23129"/>
    <w:rsid w:val="00E23EEB"/>
    <w:rsid w:val="00E24135"/>
    <w:rsid w:val="00E241CB"/>
    <w:rsid w:val="00E24B42"/>
    <w:rsid w:val="00E25F91"/>
    <w:rsid w:val="00E26581"/>
    <w:rsid w:val="00E305A4"/>
    <w:rsid w:val="00E30F65"/>
    <w:rsid w:val="00E32B70"/>
    <w:rsid w:val="00E3395C"/>
    <w:rsid w:val="00E353E4"/>
    <w:rsid w:val="00E35BE5"/>
    <w:rsid w:val="00E35CD0"/>
    <w:rsid w:val="00E35FAE"/>
    <w:rsid w:val="00E41E16"/>
    <w:rsid w:val="00E429E3"/>
    <w:rsid w:val="00E42EDE"/>
    <w:rsid w:val="00E453DD"/>
    <w:rsid w:val="00E45A75"/>
    <w:rsid w:val="00E46306"/>
    <w:rsid w:val="00E46A65"/>
    <w:rsid w:val="00E479A5"/>
    <w:rsid w:val="00E479EA"/>
    <w:rsid w:val="00E47D20"/>
    <w:rsid w:val="00E54C8C"/>
    <w:rsid w:val="00E551E2"/>
    <w:rsid w:val="00E55BD2"/>
    <w:rsid w:val="00E606B3"/>
    <w:rsid w:val="00E60C2A"/>
    <w:rsid w:val="00E60F4C"/>
    <w:rsid w:val="00E616B7"/>
    <w:rsid w:val="00E63351"/>
    <w:rsid w:val="00E63A35"/>
    <w:rsid w:val="00E63E28"/>
    <w:rsid w:val="00E6419A"/>
    <w:rsid w:val="00E6441D"/>
    <w:rsid w:val="00E6614A"/>
    <w:rsid w:val="00E67C50"/>
    <w:rsid w:val="00E708F2"/>
    <w:rsid w:val="00E70EA9"/>
    <w:rsid w:val="00E71688"/>
    <w:rsid w:val="00E7178B"/>
    <w:rsid w:val="00E71E19"/>
    <w:rsid w:val="00E734A1"/>
    <w:rsid w:val="00E7378B"/>
    <w:rsid w:val="00E739E6"/>
    <w:rsid w:val="00E74523"/>
    <w:rsid w:val="00E74B02"/>
    <w:rsid w:val="00E74E43"/>
    <w:rsid w:val="00E81B01"/>
    <w:rsid w:val="00E835E4"/>
    <w:rsid w:val="00E8468D"/>
    <w:rsid w:val="00E84D15"/>
    <w:rsid w:val="00E864DA"/>
    <w:rsid w:val="00E86FED"/>
    <w:rsid w:val="00E87020"/>
    <w:rsid w:val="00E91591"/>
    <w:rsid w:val="00E921CA"/>
    <w:rsid w:val="00E9224D"/>
    <w:rsid w:val="00E93C3D"/>
    <w:rsid w:val="00E96920"/>
    <w:rsid w:val="00E96975"/>
    <w:rsid w:val="00E96C0D"/>
    <w:rsid w:val="00E96FF6"/>
    <w:rsid w:val="00E978C2"/>
    <w:rsid w:val="00EA02D2"/>
    <w:rsid w:val="00EA210D"/>
    <w:rsid w:val="00EA3F96"/>
    <w:rsid w:val="00EA4E7B"/>
    <w:rsid w:val="00EA5826"/>
    <w:rsid w:val="00EA78A7"/>
    <w:rsid w:val="00EA7A5F"/>
    <w:rsid w:val="00EB0EEE"/>
    <w:rsid w:val="00EB3227"/>
    <w:rsid w:val="00EB37E7"/>
    <w:rsid w:val="00EB3B65"/>
    <w:rsid w:val="00EB44C5"/>
    <w:rsid w:val="00EB4752"/>
    <w:rsid w:val="00EB6034"/>
    <w:rsid w:val="00EB6728"/>
    <w:rsid w:val="00EB6931"/>
    <w:rsid w:val="00EB6DDC"/>
    <w:rsid w:val="00EC194C"/>
    <w:rsid w:val="00EC1AC4"/>
    <w:rsid w:val="00EC31A2"/>
    <w:rsid w:val="00EC48B8"/>
    <w:rsid w:val="00EC5712"/>
    <w:rsid w:val="00EC5D82"/>
    <w:rsid w:val="00EC5F4E"/>
    <w:rsid w:val="00ED1428"/>
    <w:rsid w:val="00ED3FBB"/>
    <w:rsid w:val="00ED4208"/>
    <w:rsid w:val="00ED51FD"/>
    <w:rsid w:val="00ED5DDD"/>
    <w:rsid w:val="00ED7138"/>
    <w:rsid w:val="00ED79B1"/>
    <w:rsid w:val="00EE056E"/>
    <w:rsid w:val="00EE08E1"/>
    <w:rsid w:val="00EE1487"/>
    <w:rsid w:val="00EE466B"/>
    <w:rsid w:val="00EE4EB9"/>
    <w:rsid w:val="00EE534F"/>
    <w:rsid w:val="00EE5F0E"/>
    <w:rsid w:val="00EE6164"/>
    <w:rsid w:val="00EF10C1"/>
    <w:rsid w:val="00EF2918"/>
    <w:rsid w:val="00EF3C89"/>
    <w:rsid w:val="00EF4F14"/>
    <w:rsid w:val="00EF62A7"/>
    <w:rsid w:val="00EF7161"/>
    <w:rsid w:val="00F02430"/>
    <w:rsid w:val="00F02B3B"/>
    <w:rsid w:val="00F0321E"/>
    <w:rsid w:val="00F03B04"/>
    <w:rsid w:val="00F045CA"/>
    <w:rsid w:val="00F07C57"/>
    <w:rsid w:val="00F100C0"/>
    <w:rsid w:val="00F11443"/>
    <w:rsid w:val="00F1209A"/>
    <w:rsid w:val="00F12C35"/>
    <w:rsid w:val="00F16B00"/>
    <w:rsid w:val="00F21B68"/>
    <w:rsid w:val="00F222F0"/>
    <w:rsid w:val="00F22D84"/>
    <w:rsid w:val="00F23871"/>
    <w:rsid w:val="00F26EA7"/>
    <w:rsid w:val="00F27558"/>
    <w:rsid w:val="00F277D6"/>
    <w:rsid w:val="00F27A10"/>
    <w:rsid w:val="00F27CF1"/>
    <w:rsid w:val="00F30FA1"/>
    <w:rsid w:val="00F31BB4"/>
    <w:rsid w:val="00F32B8A"/>
    <w:rsid w:val="00F3396F"/>
    <w:rsid w:val="00F40218"/>
    <w:rsid w:val="00F4077E"/>
    <w:rsid w:val="00F40A5F"/>
    <w:rsid w:val="00F42B39"/>
    <w:rsid w:val="00F42D3A"/>
    <w:rsid w:val="00F433E1"/>
    <w:rsid w:val="00F43BE3"/>
    <w:rsid w:val="00F45B13"/>
    <w:rsid w:val="00F46729"/>
    <w:rsid w:val="00F46F38"/>
    <w:rsid w:val="00F47617"/>
    <w:rsid w:val="00F5016D"/>
    <w:rsid w:val="00F508F7"/>
    <w:rsid w:val="00F537B4"/>
    <w:rsid w:val="00F5448C"/>
    <w:rsid w:val="00F54CF1"/>
    <w:rsid w:val="00F54F98"/>
    <w:rsid w:val="00F55992"/>
    <w:rsid w:val="00F6182E"/>
    <w:rsid w:val="00F6231E"/>
    <w:rsid w:val="00F6334E"/>
    <w:rsid w:val="00F63798"/>
    <w:rsid w:val="00F63BDC"/>
    <w:rsid w:val="00F655D0"/>
    <w:rsid w:val="00F656C6"/>
    <w:rsid w:val="00F66088"/>
    <w:rsid w:val="00F701CE"/>
    <w:rsid w:val="00F71D69"/>
    <w:rsid w:val="00F720F8"/>
    <w:rsid w:val="00F72670"/>
    <w:rsid w:val="00F72F65"/>
    <w:rsid w:val="00F73A61"/>
    <w:rsid w:val="00F74F65"/>
    <w:rsid w:val="00F75D24"/>
    <w:rsid w:val="00F76AC2"/>
    <w:rsid w:val="00F76CFC"/>
    <w:rsid w:val="00F7771D"/>
    <w:rsid w:val="00F82331"/>
    <w:rsid w:val="00F86488"/>
    <w:rsid w:val="00F87968"/>
    <w:rsid w:val="00F87D25"/>
    <w:rsid w:val="00F90897"/>
    <w:rsid w:val="00F91074"/>
    <w:rsid w:val="00F925FD"/>
    <w:rsid w:val="00F92B40"/>
    <w:rsid w:val="00F92F00"/>
    <w:rsid w:val="00F94AF9"/>
    <w:rsid w:val="00F9737E"/>
    <w:rsid w:val="00F97612"/>
    <w:rsid w:val="00F977F1"/>
    <w:rsid w:val="00FA01D5"/>
    <w:rsid w:val="00FA0296"/>
    <w:rsid w:val="00FA2ADC"/>
    <w:rsid w:val="00FA3827"/>
    <w:rsid w:val="00FB2DB9"/>
    <w:rsid w:val="00FB378E"/>
    <w:rsid w:val="00FB5263"/>
    <w:rsid w:val="00FB5589"/>
    <w:rsid w:val="00FB5621"/>
    <w:rsid w:val="00FB6B13"/>
    <w:rsid w:val="00FC0ECF"/>
    <w:rsid w:val="00FC10E0"/>
    <w:rsid w:val="00FC1E94"/>
    <w:rsid w:val="00FC3C6B"/>
    <w:rsid w:val="00FC6175"/>
    <w:rsid w:val="00FD0C09"/>
    <w:rsid w:val="00FD1460"/>
    <w:rsid w:val="00FD17DC"/>
    <w:rsid w:val="00FD1FAC"/>
    <w:rsid w:val="00FD2BC9"/>
    <w:rsid w:val="00FD4802"/>
    <w:rsid w:val="00FD5568"/>
    <w:rsid w:val="00FD7D51"/>
    <w:rsid w:val="00FE0E98"/>
    <w:rsid w:val="00FE1086"/>
    <w:rsid w:val="00FE2A6D"/>
    <w:rsid w:val="00FE369B"/>
    <w:rsid w:val="00FE7AB1"/>
    <w:rsid w:val="00FF1B91"/>
    <w:rsid w:val="00FF2E89"/>
    <w:rsid w:val="00FF3277"/>
    <w:rsid w:val="00FF41F4"/>
    <w:rsid w:val="00FF44D5"/>
    <w:rsid w:val="00FF4868"/>
    <w:rsid w:val="00FF5FE4"/>
    <w:rsid w:val="00FF711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B0AA705"/>
  <w15:docId w15:val="{B35B694A-EE43-4817-A82A-0B1762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F7"/>
  </w:style>
  <w:style w:type="paragraph" w:styleId="Heading1">
    <w:name w:val="heading 1"/>
    <w:aliases w:val="Section Header"/>
    <w:basedOn w:val="Normal"/>
    <w:next w:val="Normal"/>
    <w:link w:val="Heading1Char"/>
    <w:uiPriority w:val="9"/>
    <w:qFormat/>
    <w:rsid w:val="008F38DE"/>
    <w:pPr>
      <w:numPr>
        <w:numId w:val="5"/>
      </w:numPr>
      <w:spacing w:line="480" w:lineRule="auto"/>
      <w:ind w:left="0" w:firstLine="0"/>
      <w:jc w:val="center"/>
      <w:outlineLvl w:val="0"/>
    </w:pPr>
    <w:rPr>
      <w:rFonts w:eastAsia="Times New Roman"/>
      <w:b/>
    </w:rPr>
  </w:style>
  <w:style w:type="paragraph" w:styleId="Heading2">
    <w:name w:val="heading 2"/>
    <w:basedOn w:val="Normal"/>
    <w:next w:val="Normal"/>
    <w:link w:val="Heading2Char"/>
    <w:uiPriority w:val="9"/>
    <w:unhideWhenUsed/>
    <w:qFormat/>
    <w:rsid w:val="00513F2D"/>
    <w:pPr>
      <w:numPr>
        <w:numId w:val="18"/>
      </w:numPr>
      <w:spacing w:line="480" w:lineRule="auto"/>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17"/>
      </w:numPr>
      <w:spacing w:before="40"/>
      <w:ind w:left="108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numPr>
        <w:numId w:val="0"/>
      </w:numPr>
      <w:ind w:left="720" w:hanging="720"/>
      <w:outlineLvl w:val="7"/>
    </w:pPr>
  </w:style>
  <w:style w:type="paragraph" w:styleId="Heading9">
    <w:name w:val="heading 9"/>
    <w:basedOn w:val="Normal"/>
    <w:next w:val="Normal"/>
    <w:link w:val="Heading9Char"/>
    <w:uiPriority w:val="9"/>
    <w:unhideWhenUsed/>
    <w:qFormat/>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8F38DE"/>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132503"/>
    <w:pPr>
      <w:tabs>
        <w:tab w:val="left" w:pos="880"/>
        <w:tab w:val="right" w:leader="dot" w:pos="9350"/>
      </w:tabs>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4011D5"/>
    <w:pPr>
      <w:tabs>
        <w:tab w:val="right" w:pos="360"/>
        <w:tab w:val="left" w:pos="540"/>
        <w:tab w:val="right" w:leader="dot" w:pos="9350"/>
      </w:tabs>
      <w:spacing w:after="100" w:line="276" w:lineRule="auto"/>
    </w:pPr>
    <w:rPr>
      <w:rFonts w:ascii="Times New Roman Bold" w:eastAsiaTheme="minorEastAsia" w:hAnsi="Times New Roman Bold"/>
      <w:b/>
      <w:caps/>
      <w:noProof/>
      <w:lang w:eastAsia="ja-JP"/>
    </w:rPr>
  </w:style>
  <w:style w:type="paragraph" w:styleId="TOC3">
    <w:name w:val="toc 3"/>
    <w:basedOn w:val="Normal"/>
    <w:next w:val="Normal"/>
    <w:autoRedefine/>
    <w:uiPriority w:val="39"/>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
    <w:basedOn w:val="DefaultParagraphFont"/>
    <w:link w:val="FootnoteText"/>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203251515">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386075804">
      <w:bodyDiv w:val="1"/>
      <w:marLeft w:val="0"/>
      <w:marRight w:val="0"/>
      <w:marTop w:val="0"/>
      <w:marBottom w:val="0"/>
      <w:divBdr>
        <w:top w:val="none" w:sz="0" w:space="0" w:color="auto"/>
        <w:left w:val="none" w:sz="0" w:space="0" w:color="auto"/>
        <w:bottom w:val="none" w:sz="0" w:space="0" w:color="auto"/>
        <w:right w:val="none" w:sz="0" w:space="0" w:color="auto"/>
      </w:divBdr>
    </w:div>
    <w:div w:id="412624103">
      <w:bodyDiv w:val="1"/>
      <w:marLeft w:val="0"/>
      <w:marRight w:val="0"/>
      <w:marTop w:val="0"/>
      <w:marBottom w:val="0"/>
      <w:divBdr>
        <w:top w:val="none" w:sz="0" w:space="0" w:color="auto"/>
        <w:left w:val="none" w:sz="0" w:space="0" w:color="auto"/>
        <w:bottom w:val="none" w:sz="0" w:space="0" w:color="auto"/>
        <w:right w:val="none" w:sz="0" w:space="0" w:color="auto"/>
      </w:divBdr>
    </w:div>
    <w:div w:id="423693588">
      <w:bodyDiv w:val="1"/>
      <w:marLeft w:val="0"/>
      <w:marRight w:val="0"/>
      <w:marTop w:val="0"/>
      <w:marBottom w:val="0"/>
      <w:divBdr>
        <w:top w:val="none" w:sz="0" w:space="0" w:color="auto"/>
        <w:left w:val="none" w:sz="0" w:space="0" w:color="auto"/>
        <w:bottom w:val="none" w:sz="0" w:space="0" w:color="auto"/>
        <w:right w:val="none" w:sz="0" w:space="0" w:color="auto"/>
      </w:divBdr>
    </w:div>
    <w:div w:id="516626037">
      <w:bodyDiv w:val="1"/>
      <w:marLeft w:val="0"/>
      <w:marRight w:val="0"/>
      <w:marTop w:val="0"/>
      <w:marBottom w:val="0"/>
      <w:divBdr>
        <w:top w:val="none" w:sz="0" w:space="0" w:color="auto"/>
        <w:left w:val="none" w:sz="0" w:space="0" w:color="auto"/>
        <w:bottom w:val="none" w:sz="0" w:space="0" w:color="auto"/>
        <w:right w:val="none" w:sz="0" w:space="0" w:color="auto"/>
      </w:divBdr>
    </w:div>
    <w:div w:id="561333161">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754088742">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037194893">
      <w:bodyDiv w:val="1"/>
      <w:marLeft w:val="0"/>
      <w:marRight w:val="0"/>
      <w:marTop w:val="0"/>
      <w:marBottom w:val="0"/>
      <w:divBdr>
        <w:top w:val="none" w:sz="0" w:space="0" w:color="auto"/>
        <w:left w:val="none" w:sz="0" w:space="0" w:color="auto"/>
        <w:bottom w:val="none" w:sz="0" w:space="0" w:color="auto"/>
        <w:right w:val="none" w:sz="0" w:space="0" w:color="auto"/>
      </w:divBdr>
    </w:div>
    <w:div w:id="1054164036">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667584907">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85900237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 w:id="2077968394">
      <w:bodyDiv w:val="1"/>
      <w:marLeft w:val="0"/>
      <w:marRight w:val="0"/>
      <w:marTop w:val="0"/>
      <w:marBottom w:val="0"/>
      <w:divBdr>
        <w:top w:val="none" w:sz="0" w:space="0" w:color="auto"/>
        <w:left w:val="none" w:sz="0" w:space="0" w:color="auto"/>
        <w:bottom w:val="none" w:sz="0" w:space="0" w:color="auto"/>
        <w:right w:val="none" w:sz="0" w:space="0" w:color="auto"/>
      </w:divBdr>
    </w:div>
    <w:div w:id="20797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7BED65-6D3E-4CDE-AC8C-D9CB44B35EBE}"/>
</file>

<file path=customXml/itemProps2.xml><?xml version="1.0" encoding="utf-8"?>
<ds:datastoreItem xmlns:ds="http://schemas.openxmlformats.org/officeDocument/2006/customXml" ds:itemID="{FE071C75-7D90-41E4-91D3-C93606751324}"/>
</file>

<file path=customXml/itemProps3.xml><?xml version="1.0" encoding="utf-8"?>
<ds:datastoreItem xmlns:ds="http://schemas.openxmlformats.org/officeDocument/2006/customXml" ds:itemID="{A99CC9C6-BB73-4DB8-B2F3-A2C534969D98}"/>
</file>

<file path=customXml/itemProps4.xml><?xml version="1.0" encoding="utf-8"?>
<ds:datastoreItem xmlns:ds="http://schemas.openxmlformats.org/officeDocument/2006/customXml" ds:itemID="{65E10BE2-7482-4E9E-93CB-5B7E21FB0F20}"/>
</file>

<file path=customXml/itemProps5.xml><?xml version="1.0" encoding="utf-8"?>
<ds:datastoreItem xmlns:ds="http://schemas.openxmlformats.org/officeDocument/2006/customXml" ds:itemID="{3A1B9661-466C-4F21-A0D8-5CE64FE4F6F2}"/>
</file>

<file path=docProps/app.xml><?xml version="1.0" encoding="utf-8"?>
<Properties xmlns="http://schemas.openxmlformats.org/officeDocument/2006/extended-properties" xmlns:vt="http://schemas.openxmlformats.org/officeDocument/2006/docPropsVTypes">
  <Template>Normal.dotm</Template>
  <TotalTime>2163</TotalTime>
  <Pages>35</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Exhibit No.__ (CSH-1T)</vt:lpstr>
    </vt:vector>
  </TitlesOfParts>
  <Company>Washington Utilities and Transportation Commission</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No.__ (CSH-1T)</dc:title>
  <dc:creator>Jason Ball</dc:creator>
  <dc:description>Testimony re-write, to incorporate Casey/McGuire/Ball inputs on structure.</dc:description>
  <cp:lastModifiedBy>Gross, Krista (UTC)</cp:lastModifiedBy>
  <cp:revision>168</cp:revision>
  <cp:lastPrinted>2015-07-23T20:32:00Z</cp:lastPrinted>
  <dcterms:created xsi:type="dcterms:W3CDTF">2015-07-19T02:01:00Z</dcterms:created>
  <dcterms:modified xsi:type="dcterms:W3CDTF">2015-07-24T20:43:00Z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