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18" w:rsidRPr="008B2EE4" w:rsidRDefault="00510039" w:rsidP="00FF0518">
      <w:pPr>
        <w:jc w:val="center"/>
        <w:rPr>
          <w:rFonts w:ascii="Times New Roman" w:hAnsi="Times New Roman"/>
          <w:b/>
          <w:szCs w:val="24"/>
        </w:rPr>
      </w:pPr>
      <w:bookmarkStart w:id="0" w:name="_GoBack"/>
      <w:bookmarkEnd w:id="0"/>
      <w:r>
        <w:rPr>
          <w:rFonts w:ascii="Times New Roman" w:hAnsi="Times New Roman"/>
          <w:b/>
          <w:szCs w:val="24"/>
        </w:rPr>
        <w:t>PACIFIC POWER &amp; LIGHT COMPANY</w:t>
      </w:r>
    </w:p>
    <w:p w:rsidR="00FF0518" w:rsidRPr="008B2EE4" w:rsidRDefault="00A37A89" w:rsidP="00FF0518">
      <w:pPr>
        <w:jc w:val="center"/>
        <w:rPr>
          <w:rFonts w:ascii="Times New Roman" w:hAnsi="Times New Roman"/>
          <w:b/>
          <w:szCs w:val="24"/>
        </w:rPr>
      </w:pPr>
      <w:r w:rsidRPr="008B2EE4">
        <w:rPr>
          <w:rFonts w:ascii="Times New Roman" w:hAnsi="Times New Roman"/>
          <w:b/>
          <w:szCs w:val="24"/>
        </w:rPr>
        <w:t>Attachment</w:t>
      </w:r>
      <w:r w:rsidR="00FF0518" w:rsidRPr="008B2EE4">
        <w:rPr>
          <w:rFonts w:ascii="Times New Roman" w:hAnsi="Times New Roman"/>
          <w:b/>
          <w:szCs w:val="24"/>
        </w:rPr>
        <w:t xml:space="preserve"> A</w:t>
      </w:r>
    </w:p>
    <w:p w:rsidR="00FF0518" w:rsidRPr="008B2EE4" w:rsidRDefault="00FF0518" w:rsidP="00FF0518">
      <w:pPr>
        <w:jc w:val="center"/>
        <w:rPr>
          <w:rFonts w:ascii="Times New Roman" w:hAnsi="Times New Roman"/>
          <w:b/>
          <w:szCs w:val="24"/>
        </w:rPr>
      </w:pPr>
      <w:r w:rsidRPr="008B2EE4">
        <w:rPr>
          <w:rFonts w:ascii="Times New Roman" w:hAnsi="Times New Roman"/>
          <w:b/>
          <w:szCs w:val="24"/>
        </w:rPr>
        <w:t>Summary of Requested Electric General Rate Increase</w:t>
      </w:r>
    </w:p>
    <w:p w:rsidR="00FF0518" w:rsidRPr="008B2EE4" w:rsidRDefault="00FF0518" w:rsidP="00FF0518">
      <w:pPr>
        <w:jc w:val="center"/>
        <w:rPr>
          <w:rFonts w:ascii="Times New Roman" w:hAnsi="Times New Roman"/>
          <w:szCs w:val="24"/>
        </w:rPr>
      </w:pPr>
      <w:r w:rsidRPr="008B2EE4">
        <w:rPr>
          <w:rFonts w:ascii="Times New Roman" w:hAnsi="Times New Roman"/>
          <w:szCs w:val="24"/>
        </w:rPr>
        <w:t>Washington Jurisdiction</w:t>
      </w:r>
    </w:p>
    <w:p w:rsidR="008B2EE4" w:rsidRPr="008B2EE4" w:rsidRDefault="00FF0518" w:rsidP="008B2EE4">
      <w:pPr>
        <w:jc w:val="center"/>
        <w:rPr>
          <w:rFonts w:ascii="Times New Roman" w:hAnsi="Times New Roman"/>
          <w:szCs w:val="24"/>
        </w:rPr>
      </w:pPr>
      <w:r w:rsidRPr="008B2EE4">
        <w:rPr>
          <w:rFonts w:ascii="Times New Roman" w:hAnsi="Times New Roman"/>
          <w:szCs w:val="24"/>
        </w:rPr>
        <w:t xml:space="preserve">Filed </w:t>
      </w:r>
      <w:r w:rsidR="00535BCB" w:rsidRPr="008B2EE4">
        <w:rPr>
          <w:rFonts w:ascii="Times New Roman" w:hAnsi="Times New Roman"/>
          <w:szCs w:val="24"/>
        </w:rPr>
        <w:t>May</w:t>
      </w:r>
      <w:r w:rsidR="002D60DD" w:rsidRPr="008B2EE4">
        <w:rPr>
          <w:rFonts w:ascii="Times New Roman" w:hAnsi="Times New Roman"/>
          <w:szCs w:val="24"/>
        </w:rPr>
        <w:t xml:space="preserve"> </w:t>
      </w:r>
      <w:r w:rsidR="00535BCB" w:rsidRPr="008B2EE4">
        <w:rPr>
          <w:rFonts w:ascii="Times New Roman" w:hAnsi="Times New Roman"/>
          <w:szCs w:val="24"/>
        </w:rPr>
        <w:t>1, 2014</w:t>
      </w:r>
    </w:p>
    <w:p w:rsidR="00FF0518" w:rsidRPr="008B2EE4" w:rsidRDefault="00FF0518" w:rsidP="008B2EE4">
      <w:pPr>
        <w:jc w:val="center"/>
        <w:rPr>
          <w:rFonts w:ascii="Times New Roman" w:hAnsi="Times New Roman"/>
          <w:b/>
          <w:szCs w:val="24"/>
          <w:u w:val="single"/>
        </w:rPr>
      </w:pPr>
      <w:r w:rsidRPr="008B2EE4">
        <w:rPr>
          <w:rFonts w:ascii="Times New Roman" w:hAnsi="Times New Roman"/>
          <w:b/>
          <w:szCs w:val="24"/>
          <w:u w:val="single"/>
        </w:rPr>
        <w:t>________________________________________________________________________</w:t>
      </w:r>
    </w:p>
    <w:p w:rsidR="00FF0518" w:rsidRPr="008B2EE4" w:rsidRDefault="00FF0518" w:rsidP="00FF0518">
      <w:pPr>
        <w:rPr>
          <w:rFonts w:ascii="Times New Roman" w:hAnsi="Times New Roman"/>
          <w:szCs w:val="24"/>
        </w:rPr>
      </w:pPr>
    </w:p>
    <w:p w:rsidR="00FF0518" w:rsidRPr="008B2EE4" w:rsidRDefault="00FF0518" w:rsidP="00FF0518">
      <w:pPr>
        <w:tabs>
          <w:tab w:val="left" w:pos="900"/>
          <w:tab w:val="left" w:pos="1080"/>
          <w:tab w:val="left" w:pos="1260"/>
        </w:tabs>
        <w:ind w:left="720" w:hanging="720"/>
        <w:rPr>
          <w:rFonts w:ascii="Times New Roman" w:hAnsi="Times New Roman"/>
          <w:b/>
          <w:szCs w:val="24"/>
        </w:rPr>
      </w:pPr>
      <w:r w:rsidRPr="008B2EE4">
        <w:rPr>
          <w:rFonts w:ascii="Times New Roman" w:hAnsi="Times New Roman"/>
          <w:b/>
          <w:szCs w:val="24"/>
        </w:rPr>
        <w:t>1)</w:t>
      </w:r>
      <w:r w:rsidRPr="008B2EE4">
        <w:rPr>
          <w:rFonts w:ascii="Times New Roman" w:hAnsi="Times New Roman"/>
          <w:b/>
          <w:szCs w:val="24"/>
        </w:rPr>
        <w:tab/>
        <w:t>The date and amount of the latest prior general rate increase authorized by the Commission, and the revenue realized from that authorized increase in the test period, based on the company’s test period units of revenue.</w:t>
      </w:r>
    </w:p>
    <w:p w:rsidR="008B2EE4" w:rsidRPr="008B2EE4" w:rsidRDefault="008B2EE4" w:rsidP="008B2EE4">
      <w:pPr>
        <w:tabs>
          <w:tab w:val="left" w:pos="1440"/>
          <w:tab w:val="left" w:pos="2520"/>
        </w:tabs>
        <w:rPr>
          <w:rFonts w:ascii="Times New Roman" w:hAnsi="Times New Roman"/>
          <w:b/>
          <w:szCs w:val="24"/>
        </w:rPr>
      </w:pPr>
    </w:p>
    <w:p w:rsidR="00484F5A" w:rsidRPr="008B2EE4" w:rsidRDefault="00FF0518" w:rsidP="008B2EE4">
      <w:pPr>
        <w:tabs>
          <w:tab w:val="left" w:pos="2520"/>
          <w:tab w:val="right" w:pos="7560"/>
        </w:tabs>
        <w:ind w:left="1440"/>
        <w:rPr>
          <w:rFonts w:ascii="Times New Roman" w:hAnsi="Times New Roman"/>
          <w:szCs w:val="24"/>
        </w:rPr>
      </w:pPr>
      <w:r w:rsidRPr="008B2EE4">
        <w:rPr>
          <w:rFonts w:ascii="Times New Roman" w:hAnsi="Times New Roman"/>
          <w:szCs w:val="24"/>
        </w:rPr>
        <w:t>Date:</w:t>
      </w:r>
      <w:r w:rsidR="008B2EE4" w:rsidRPr="008B2EE4">
        <w:rPr>
          <w:rFonts w:ascii="Times New Roman" w:hAnsi="Times New Roman"/>
          <w:szCs w:val="24"/>
        </w:rPr>
        <w:tab/>
      </w:r>
      <w:r w:rsidR="008B2EE4" w:rsidRPr="008B2EE4">
        <w:rPr>
          <w:rFonts w:ascii="Times New Roman" w:hAnsi="Times New Roman"/>
          <w:szCs w:val="24"/>
        </w:rPr>
        <w:tab/>
      </w:r>
      <w:r w:rsidR="00377A01" w:rsidRPr="008B2EE4">
        <w:rPr>
          <w:rFonts w:ascii="Times New Roman" w:hAnsi="Times New Roman"/>
          <w:szCs w:val="24"/>
        </w:rPr>
        <w:t>December 1</w:t>
      </w:r>
      <w:r w:rsidR="00033021" w:rsidRPr="008B2EE4">
        <w:rPr>
          <w:rFonts w:ascii="Times New Roman" w:hAnsi="Times New Roman"/>
          <w:szCs w:val="24"/>
        </w:rPr>
        <w:t>1</w:t>
      </w:r>
      <w:r w:rsidR="00142757" w:rsidRPr="008B2EE4">
        <w:rPr>
          <w:rFonts w:ascii="Times New Roman" w:hAnsi="Times New Roman"/>
          <w:szCs w:val="24"/>
        </w:rPr>
        <w:t>, 201</w:t>
      </w:r>
      <w:r w:rsidR="00377A01" w:rsidRPr="008B2EE4">
        <w:rPr>
          <w:rFonts w:ascii="Times New Roman" w:hAnsi="Times New Roman"/>
          <w:szCs w:val="24"/>
        </w:rPr>
        <w:t>3</w:t>
      </w:r>
    </w:p>
    <w:p w:rsidR="00484F5A" w:rsidRPr="008B2EE4" w:rsidRDefault="00FF0518" w:rsidP="008B2EE4">
      <w:pPr>
        <w:tabs>
          <w:tab w:val="left" w:pos="2520"/>
          <w:tab w:val="right" w:pos="7560"/>
        </w:tabs>
        <w:ind w:left="1440"/>
        <w:rPr>
          <w:rFonts w:ascii="Times New Roman" w:hAnsi="Times New Roman"/>
          <w:szCs w:val="24"/>
        </w:rPr>
      </w:pPr>
      <w:r w:rsidRPr="008B2EE4">
        <w:rPr>
          <w:rFonts w:ascii="Times New Roman" w:hAnsi="Times New Roman"/>
          <w:szCs w:val="24"/>
        </w:rPr>
        <w:t>Amount:</w:t>
      </w:r>
      <w:r w:rsidR="008B2EE4" w:rsidRPr="008B2EE4">
        <w:rPr>
          <w:rFonts w:ascii="Times New Roman" w:hAnsi="Times New Roman"/>
          <w:szCs w:val="24"/>
        </w:rPr>
        <w:tab/>
      </w:r>
      <w:r w:rsidRPr="008B2EE4">
        <w:rPr>
          <w:rFonts w:ascii="Times New Roman" w:hAnsi="Times New Roman"/>
          <w:szCs w:val="24"/>
        </w:rPr>
        <w:tab/>
        <w:t>$</w:t>
      </w:r>
      <w:r w:rsidR="00377A01" w:rsidRPr="008B2EE4">
        <w:rPr>
          <w:rFonts w:ascii="Times New Roman" w:hAnsi="Times New Roman"/>
          <w:szCs w:val="24"/>
        </w:rPr>
        <w:t>16,</w:t>
      </w:r>
      <w:r w:rsidR="00297CAD" w:rsidRPr="008B2EE4">
        <w:rPr>
          <w:rFonts w:ascii="Times New Roman" w:hAnsi="Times New Roman"/>
          <w:szCs w:val="24"/>
        </w:rPr>
        <w:t>996,743</w:t>
      </w:r>
    </w:p>
    <w:p w:rsidR="00FF0518" w:rsidRPr="008B2EE4" w:rsidRDefault="00FF0518" w:rsidP="008B2EE4">
      <w:pPr>
        <w:tabs>
          <w:tab w:val="left" w:pos="2520"/>
          <w:tab w:val="right" w:pos="7560"/>
        </w:tabs>
        <w:ind w:left="1440"/>
        <w:rPr>
          <w:rFonts w:ascii="Times New Roman" w:hAnsi="Times New Roman"/>
          <w:szCs w:val="24"/>
        </w:rPr>
      </w:pPr>
      <w:r w:rsidRPr="008B2EE4">
        <w:rPr>
          <w:rFonts w:ascii="Times New Roman" w:hAnsi="Times New Roman"/>
          <w:szCs w:val="24"/>
        </w:rPr>
        <w:t>Amount Realized in the test period:</w:t>
      </w:r>
      <w:r w:rsidR="008B2EE4" w:rsidRPr="008B2EE4">
        <w:rPr>
          <w:rFonts w:ascii="Times New Roman" w:hAnsi="Times New Roman"/>
          <w:szCs w:val="24"/>
        </w:rPr>
        <w:tab/>
      </w:r>
      <w:r w:rsidRPr="008B2EE4">
        <w:rPr>
          <w:rFonts w:ascii="Times New Roman" w:hAnsi="Times New Roman"/>
          <w:szCs w:val="24"/>
        </w:rPr>
        <w:t>$</w:t>
      </w:r>
      <w:r w:rsidR="007A4DE9" w:rsidRPr="008B2EE4">
        <w:rPr>
          <w:rFonts w:ascii="Times New Roman" w:hAnsi="Times New Roman"/>
          <w:szCs w:val="24"/>
        </w:rPr>
        <w:t>347,061</w:t>
      </w:r>
    </w:p>
    <w:p w:rsidR="00FF0518" w:rsidRPr="008B2EE4" w:rsidRDefault="00FF0518" w:rsidP="00FF0518">
      <w:pPr>
        <w:tabs>
          <w:tab w:val="left" w:pos="900"/>
          <w:tab w:val="left" w:pos="1080"/>
          <w:tab w:val="left" w:pos="1260"/>
          <w:tab w:val="left" w:pos="2880"/>
        </w:tabs>
        <w:rPr>
          <w:rFonts w:ascii="Times New Roman" w:hAnsi="Times New Roman"/>
          <w:b/>
          <w:szCs w:val="24"/>
        </w:rPr>
      </w:pPr>
    </w:p>
    <w:p w:rsidR="00FF0518" w:rsidRPr="008B2EE4" w:rsidRDefault="00FF0518" w:rsidP="00FF0518">
      <w:pPr>
        <w:tabs>
          <w:tab w:val="left" w:pos="900"/>
          <w:tab w:val="left" w:pos="1080"/>
          <w:tab w:val="left" w:pos="1260"/>
        </w:tabs>
        <w:ind w:left="720" w:hanging="720"/>
        <w:rPr>
          <w:rFonts w:ascii="Times New Roman" w:hAnsi="Times New Roman"/>
          <w:b/>
          <w:szCs w:val="24"/>
        </w:rPr>
      </w:pPr>
      <w:r w:rsidRPr="008B2EE4">
        <w:rPr>
          <w:rFonts w:ascii="Times New Roman" w:hAnsi="Times New Roman"/>
          <w:b/>
          <w:szCs w:val="24"/>
        </w:rPr>
        <w:t>2)</w:t>
      </w:r>
      <w:r w:rsidRPr="008B2EE4">
        <w:rPr>
          <w:rFonts w:ascii="Times New Roman" w:hAnsi="Times New Roman"/>
          <w:b/>
          <w:szCs w:val="24"/>
        </w:rPr>
        <w:tab/>
        <w:t>Total revenues at present rates and at requested rates.</w:t>
      </w:r>
    </w:p>
    <w:p w:rsidR="00FF0518" w:rsidRPr="008B2EE4" w:rsidRDefault="00FF0518" w:rsidP="00FF0518">
      <w:pPr>
        <w:tabs>
          <w:tab w:val="left" w:pos="720"/>
          <w:tab w:val="left" w:pos="900"/>
          <w:tab w:val="left" w:pos="1080"/>
          <w:tab w:val="left" w:pos="1260"/>
        </w:tabs>
        <w:rPr>
          <w:rFonts w:ascii="Times New Roman" w:hAnsi="Times New Roman"/>
          <w:b/>
          <w:szCs w:val="24"/>
        </w:rPr>
      </w:pPr>
    </w:p>
    <w:p w:rsidR="00FF0518" w:rsidRPr="008B2EE4" w:rsidRDefault="00FF0518" w:rsidP="008B2EE4">
      <w:pPr>
        <w:tabs>
          <w:tab w:val="left" w:pos="2520"/>
          <w:tab w:val="right" w:pos="7560"/>
        </w:tabs>
        <w:ind w:left="1440"/>
        <w:rPr>
          <w:rFonts w:ascii="Times New Roman" w:hAnsi="Times New Roman"/>
          <w:szCs w:val="24"/>
        </w:rPr>
      </w:pPr>
      <w:r w:rsidRPr="008B2EE4">
        <w:rPr>
          <w:rFonts w:ascii="Times New Roman" w:hAnsi="Times New Roman"/>
          <w:szCs w:val="24"/>
        </w:rPr>
        <w:t>Present Rates</w:t>
      </w:r>
      <w:r w:rsidRPr="008B2EE4">
        <w:rPr>
          <w:rFonts w:ascii="Times New Roman" w:hAnsi="Times New Roman"/>
          <w:szCs w:val="24"/>
        </w:rPr>
        <w:tab/>
        <w:t>$</w:t>
      </w:r>
      <w:r w:rsidR="00E84BF7" w:rsidRPr="008B2EE4">
        <w:rPr>
          <w:rFonts w:ascii="Times New Roman" w:hAnsi="Times New Roman"/>
          <w:szCs w:val="24"/>
        </w:rPr>
        <w:t>321,605,659</w:t>
      </w:r>
    </w:p>
    <w:p w:rsidR="00FF0518" w:rsidRPr="008B2EE4" w:rsidRDefault="00FF0518" w:rsidP="008B2EE4">
      <w:pPr>
        <w:tabs>
          <w:tab w:val="left" w:pos="2520"/>
          <w:tab w:val="right" w:pos="7560"/>
        </w:tabs>
        <w:ind w:left="1440"/>
        <w:rPr>
          <w:rFonts w:ascii="Times New Roman" w:hAnsi="Times New Roman"/>
          <w:szCs w:val="24"/>
        </w:rPr>
      </w:pPr>
      <w:r w:rsidRPr="008B2EE4">
        <w:rPr>
          <w:rFonts w:ascii="Times New Roman" w:hAnsi="Times New Roman"/>
          <w:szCs w:val="24"/>
        </w:rPr>
        <w:t>Requested Rates</w:t>
      </w:r>
      <w:r w:rsidRPr="008B2EE4">
        <w:rPr>
          <w:rFonts w:ascii="Times New Roman" w:hAnsi="Times New Roman"/>
          <w:szCs w:val="24"/>
        </w:rPr>
        <w:tab/>
        <w:t>$</w:t>
      </w:r>
      <w:r w:rsidR="00E84BF7" w:rsidRPr="008B2EE4">
        <w:rPr>
          <w:rFonts w:ascii="Times New Roman" w:hAnsi="Times New Roman"/>
          <w:szCs w:val="24"/>
        </w:rPr>
        <w:t>348,</w:t>
      </w:r>
      <w:r w:rsidR="00DB37CE" w:rsidRPr="008B2EE4">
        <w:rPr>
          <w:rFonts w:ascii="Times New Roman" w:hAnsi="Times New Roman"/>
          <w:szCs w:val="24"/>
        </w:rPr>
        <w:t>806,925</w:t>
      </w:r>
      <w:r w:rsidR="007D33C1" w:rsidRPr="008B2EE4">
        <w:rPr>
          <w:rStyle w:val="FootnoteReference"/>
          <w:rFonts w:ascii="Times New Roman" w:hAnsi="Times New Roman"/>
          <w:szCs w:val="24"/>
        </w:rPr>
        <w:footnoteReference w:id="1"/>
      </w:r>
    </w:p>
    <w:p w:rsidR="00FF0518" w:rsidRPr="008B2EE4" w:rsidRDefault="00FF0518" w:rsidP="00FF0518">
      <w:pPr>
        <w:tabs>
          <w:tab w:val="left" w:pos="1440"/>
          <w:tab w:val="decimal" w:pos="7200"/>
        </w:tabs>
        <w:rPr>
          <w:rFonts w:ascii="Times New Roman" w:hAnsi="Times New Roman"/>
          <w:szCs w:val="24"/>
        </w:rPr>
      </w:pPr>
    </w:p>
    <w:p w:rsidR="00FF0518" w:rsidRPr="008B2EE4" w:rsidRDefault="00FF0518" w:rsidP="00FF0518">
      <w:pPr>
        <w:tabs>
          <w:tab w:val="left" w:pos="720"/>
          <w:tab w:val="left" w:pos="900"/>
          <w:tab w:val="left" w:pos="1080"/>
          <w:tab w:val="left" w:pos="1260"/>
        </w:tabs>
        <w:ind w:left="720" w:hanging="720"/>
        <w:rPr>
          <w:rFonts w:ascii="Times New Roman" w:hAnsi="Times New Roman"/>
          <w:b/>
          <w:szCs w:val="24"/>
        </w:rPr>
      </w:pPr>
      <w:r w:rsidRPr="008B2EE4">
        <w:rPr>
          <w:rFonts w:ascii="Times New Roman" w:hAnsi="Times New Roman"/>
          <w:b/>
          <w:szCs w:val="24"/>
        </w:rPr>
        <w:t>3)</w:t>
      </w:r>
      <w:r w:rsidRPr="008B2EE4">
        <w:rPr>
          <w:rFonts w:ascii="Times New Roman" w:hAnsi="Times New Roman"/>
          <w:b/>
          <w:szCs w:val="24"/>
        </w:rPr>
        <w:tab/>
        <w:t>Requested revenue change in percentage, in total</w:t>
      </w:r>
      <w:r w:rsidR="005C40CB" w:rsidRPr="008B2EE4">
        <w:rPr>
          <w:rFonts w:ascii="Times New Roman" w:hAnsi="Times New Roman"/>
          <w:b/>
          <w:szCs w:val="24"/>
        </w:rPr>
        <w:t>,</w:t>
      </w:r>
      <w:r w:rsidRPr="008B2EE4">
        <w:rPr>
          <w:rFonts w:ascii="Times New Roman" w:hAnsi="Times New Roman"/>
          <w:b/>
          <w:szCs w:val="24"/>
        </w:rPr>
        <w:t xml:space="preserve"> and by major customer class</w:t>
      </w:r>
      <w:r w:rsidR="00AB33FF" w:rsidRPr="008B2EE4">
        <w:rPr>
          <w:rFonts w:ascii="Times New Roman" w:hAnsi="Times New Roman"/>
          <w:b/>
          <w:szCs w:val="24"/>
        </w:rPr>
        <w:t>.</w:t>
      </w:r>
      <w:r w:rsidRPr="008B2EE4">
        <w:rPr>
          <w:rFonts w:ascii="Times New Roman" w:hAnsi="Times New Roman"/>
          <w:b/>
          <w:szCs w:val="24"/>
        </w:rPr>
        <w:t xml:space="preserve"> </w:t>
      </w:r>
    </w:p>
    <w:p w:rsidR="00FF0518" w:rsidRPr="008B2EE4" w:rsidRDefault="00FF0518" w:rsidP="00FF0518">
      <w:pPr>
        <w:tabs>
          <w:tab w:val="left" w:pos="720"/>
          <w:tab w:val="left" w:pos="900"/>
          <w:tab w:val="left" w:pos="1080"/>
          <w:tab w:val="left" w:pos="1260"/>
        </w:tabs>
        <w:rPr>
          <w:rFonts w:ascii="Times New Roman" w:hAnsi="Times New Roman"/>
          <w:szCs w:val="24"/>
        </w:rPr>
      </w:pPr>
    </w:p>
    <w:p w:rsidR="00FF0518" w:rsidRPr="008B2EE4" w:rsidRDefault="00FF0518" w:rsidP="008B2EE4">
      <w:pPr>
        <w:tabs>
          <w:tab w:val="left" w:pos="2520"/>
          <w:tab w:val="right" w:pos="7560"/>
        </w:tabs>
        <w:ind w:left="1440"/>
        <w:rPr>
          <w:rFonts w:ascii="Times New Roman" w:hAnsi="Times New Roman"/>
          <w:szCs w:val="24"/>
        </w:rPr>
      </w:pPr>
      <w:r w:rsidRPr="008B2EE4">
        <w:rPr>
          <w:rFonts w:ascii="Times New Roman" w:hAnsi="Times New Roman"/>
          <w:szCs w:val="24"/>
        </w:rPr>
        <w:t>Residential</w:t>
      </w:r>
      <w:r w:rsidR="008B2EE4" w:rsidRPr="008B2EE4">
        <w:rPr>
          <w:rFonts w:ascii="Times New Roman" w:hAnsi="Times New Roman"/>
          <w:szCs w:val="24"/>
        </w:rPr>
        <w:tab/>
      </w:r>
      <w:r w:rsidRPr="008B2EE4">
        <w:rPr>
          <w:rFonts w:ascii="Times New Roman" w:hAnsi="Times New Roman"/>
          <w:szCs w:val="24"/>
        </w:rPr>
        <w:tab/>
      </w:r>
      <w:r w:rsidR="00297CAD" w:rsidRPr="008B2EE4">
        <w:rPr>
          <w:rFonts w:ascii="Times New Roman" w:hAnsi="Times New Roman"/>
          <w:szCs w:val="24"/>
        </w:rPr>
        <w:t>9.</w:t>
      </w:r>
      <w:r w:rsidR="00C40E74" w:rsidRPr="008B2EE4">
        <w:rPr>
          <w:rFonts w:ascii="Times New Roman" w:hAnsi="Times New Roman"/>
          <w:szCs w:val="24"/>
        </w:rPr>
        <w:t>5</w:t>
      </w:r>
      <w:r w:rsidRPr="008B2EE4">
        <w:rPr>
          <w:rFonts w:ascii="Times New Roman" w:hAnsi="Times New Roman"/>
          <w:szCs w:val="24"/>
        </w:rPr>
        <w:t>%</w:t>
      </w:r>
    </w:p>
    <w:p w:rsidR="00FF0518" w:rsidRPr="008B2EE4" w:rsidRDefault="008B2EE4" w:rsidP="008B2EE4">
      <w:pPr>
        <w:tabs>
          <w:tab w:val="left" w:pos="2520"/>
          <w:tab w:val="right" w:pos="7560"/>
        </w:tabs>
        <w:ind w:left="1440"/>
        <w:rPr>
          <w:rFonts w:ascii="Times New Roman" w:hAnsi="Times New Roman"/>
          <w:szCs w:val="24"/>
        </w:rPr>
      </w:pPr>
      <w:r w:rsidRPr="008B2EE4">
        <w:rPr>
          <w:rFonts w:ascii="Times New Roman" w:hAnsi="Times New Roman"/>
          <w:szCs w:val="24"/>
        </w:rPr>
        <w:t>Commercial &amp; Industrial</w:t>
      </w:r>
      <w:r w:rsidR="00FF0518" w:rsidRPr="008B2EE4">
        <w:rPr>
          <w:rFonts w:ascii="Times New Roman" w:hAnsi="Times New Roman"/>
          <w:szCs w:val="24"/>
        </w:rPr>
        <w:tab/>
      </w:r>
      <w:r w:rsidR="00941B11" w:rsidRPr="008B2EE4">
        <w:rPr>
          <w:rFonts w:ascii="Times New Roman" w:hAnsi="Times New Roman"/>
          <w:szCs w:val="24"/>
        </w:rPr>
        <w:t>7.</w:t>
      </w:r>
      <w:r w:rsidR="00C40E74" w:rsidRPr="008B2EE4">
        <w:rPr>
          <w:rFonts w:ascii="Times New Roman" w:hAnsi="Times New Roman"/>
          <w:szCs w:val="24"/>
        </w:rPr>
        <w:t>7</w:t>
      </w:r>
      <w:r w:rsidR="00FF0518" w:rsidRPr="008B2EE4">
        <w:rPr>
          <w:rFonts w:ascii="Times New Roman" w:hAnsi="Times New Roman"/>
          <w:szCs w:val="24"/>
        </w:rPr>
        <w:t>%</w:t>
      </w:r>
    </w:p>
    <w:p w:rsidR="00FF0518" w:rsidRPr="008B2EE4" w:rsidRDefault="008B2EE4" w:rsidP="008B2EE4">
      <w:pPr>
        <w:tabs>
          <w:tab w:val="left" w:pos="2520"/>
          <w:tab w:val="right" w:pos="7560"/>
        </w:tabs>
        <w:spacing w:after="120"/>
        <w:ind w:left="1440"/>
        <w:rPr>
          <w:rFonts w:ascii="Times New Roman" w:hAnsi="Times New Roman"/>
          <w:szCs w:val="24"/>
        </w:rPr>
      </w:pPr>
      <w:r w:rsidRPr="008B2EE4">
        <w:rPr>
          <w:rFonts w:ascii="Times New Roman" w:hAnsi="Times New Roman"/>
          <w:szCs w:val="24"/>
        </w:rPr>
        <w:t>Public Street Lighting</w:t>
      </w:r>
      <w:r w:rsidR="00792542" w:rsidRPr="008B2EE4">
        <w:rPr>
          <w:rFonts w:ascii="Times New Roman" w:hAnsi="Times New Roman"/>
          <w:szCs w:val="24"/>
        </w:rPr>
        <w:tab/>
      </w:r>
      <w:r w:rsidR="00033021" w:rsidRPr="008B2EE4">
        <w:rPr>
          <w:rFonts w:ascii="Times New Roman" w:hAnsi="Times New Roman"/>
          <w:szCs w:val="24"/>
        </w:rPr>
        <w:t>4</w:t>
      </w:r>
      <w:r w:rsidR="00A96C01" w:rsidRPr="008B2EE4">
        <w:rPr>
          <w:rFonts w:ascii="Times New Roman" w:hAnsi="Times New Roman"/>
          <w:szCs w:val="24"/>
        </w:rPr>
        <w:t>.</w:t>
      </w:r>
      <w:r w:rsidR="006308EC" w:rsidRPr="008B2EE4">
        <w:rPr>
          <w:rFonts w:ascii="Times New Roman" w:hAnsi="Times New Roman"/>
          <w:szCs w:val="24"/>
        </w:rPr>
        <w:t>2</w:t>
      </w:r>
      <w:r w:rsidR="00FF0518" w:rsidRPr="008B2EE4">
        <w:rPr>
          <w:rFonts w:ascii="Times New Roman" w:hAnsi="Times New Roman"/>
          <w:szCs w:val="24"/>
        </w:rPr>
        <w:t>%</w:t>
      </w:r>
    </w:p>
    <w:p w:rsidR="00FF0518" w:rsidRPr="008B2EE4" w:rsidRDefault="008B2EE4" w:rsidP="008B2EE4">
      <w:pPr>
        <w:tabs>
          <w:tab w:val="left" w:pos="2520"/>
          <w:tab w:val="right" w:pos="7560"/>
        </w:tabs>
        <w:ind w:left="1440"/>
        <w:rPr>
          <w:rFonts w:ascii="Times New Roman" w:hAnsi="Times New Roman"/>
          <w:szCs w:val="24"/>
        </w:rPr>
      </w:pPr>
      <w:r w:rsidRPr="008B2EE4">
        <w:rPr>
          <w:rFonts w:ascii="Times New Roman" w:hAnsi="Times New Roman"/>
          <w:szCs w:val="24"/>
        </w:rPr>
        <w:t>Total</w:t>
      </w:r>
      <w:r w:rsidR="00FF0518" w:rsidRPr="008B2EE4">
        <w:rPr>
          <w:rFonts w:ascii="Times New Roman" w:hAnsi="Times New Roman"/>
          <w:szCs w:val="24"/>
        </w:rPr>
        <w:tab/>
      </w:r>
      <w:r w:rsidRPr="008B2EE4">
        <w:rPr>
          <w:rFonts w:ascii="Times New Roman" w:hAnsi="Times New Roman"/>
          <w:szCs w:val="24"/>
        </w:rPr>
        <w:tab/>
      </w:r>
      <w:r w:rsidR="00941B11" w:rsidRPr="008B2EE4">
        <w:rPr>
          <w:rFonts w:ascii="Times New Roman" w:hAnsi="Times New Roman"/>
          <w:szCs w:val="24"/>
        </w:rPr>
        <w:t>8.</w:t>
      </w:r>
      <w:r w:rsidR="00C40E74" w:rsidRPr="008B2EE4">
        <w:rPr>
          <w:rFonts w:ascii="Times New Roman" w:hAnsi="Times New Roman"/>
          <w:szCs w:val="24"/>
        </w:rPr>
        <w:t>5</w:t>
      </w:r>
      <w:r w:rsidR="00FF0518" w:rsidRPr="008B2EE4">
        <w:rPr>
          <w:rFonts w:ascii="Times New Roman" w:hAnsi="Times New Roman"/>
          <w:szCs w:val="24"/>
        </w:rPr>
        <w:t>%</w:t>
      </w:r>
    </w:p>
    <w:p w:rsidR="00FF0518" w:rsidRPr="008B2EE4" w:rsidRDefault="00FF0518" w:rsidP="00FF0518">
      <w:pPr>
        <w:tabs>
          <w:tab w:val="left" w:pos="900"/>
          <w:tab w:val="left" w:pos="1080"/>
          <w:tab w:val="left" w:pos="1260"/>
        </w:tabs>
        <w:rPr>
          <w:rFonts w:ascii="Times New Roman" w:hAnsi="Times New Roman"/>
          <w:szCs w:val="24"/>
        </w:rPr>
      </w:pPr>
    </w:p>
    <w:p w:rsidR="00FF0518" w:rsidRPr="008B2EE4" w:rsidRDefault="00FF0518" w:rsidP="00FF0518">
      <w:pPr>
        <w:tabs>
          <w:tab w:val="left" w:pos="900"/>
          <w:tab w:val="left" w:pos="1080"/>
          <w:tab w:val="left" w:pos="1260"/>
        </w:tabs>
        <w:ind w:left="720" w:hanging="720"/>
        <w:rPr>
          <w:rFonts w:ascii="Times New Roman" w:hAnsi="Times New Roman"/>
          <w:szCs w:val="24"/>
        </w:rPr>
      </w:pPr>
      <w:r w:rsidRPr="008B2EE4">
        <w:rPr>
          <w:rFonts w:ascii="Times New Roman" w:hAnsi="Times New Roman"/>
          <w:b/>
          <w:szCs w:val="24"/>
        </w:rPr>
        <w:t>4)</w:t>
      </w:r>
      <w:r w:rsidRPr="008B2EE4">
        <w:rPr>
          <w:rFonts w:ascii="Times New Roman" w:hAnsi="Times New Roman"/>
          <w:b/>
          <w:szCs w:val="24"/>
        </w:rPr>
        <w:tab/>
        <w:t>Requested revenue change in dollars, in total</w:t>
      </w:r>
      <w:r w:rsidR="005C40CB" w:rsidRPr="008B2EE4">
        <w:rPr>
          <w:rFonts w:ascii="Times New Roman" w:hAnsi="Times New Roman"/>
          <w:b/>
          <w:szCs w:val="24"/>
        </w:rPr>
        <w:t>,</w:t>
      </w:r>
      <w:r w:rsidRPr="008B2EE4">
        <w:rPr>
          <w:rFonts w:ascii="Times New Roman" w:hAnsi="Times New Roman"/>
          <w:b/>
          <w:szCs w:val="24"/>
        </w:rPr>
        <w:t xml:space="preserve"> and by major customer class</w:t>
      </w:r>
      <w:r w:rsidR="00AB33FF" w:rsidRPr="008B2EE4">
        <w:rPr>
          <w:rFonts w:ascii="Times New Roman" w:hAnsi="Times New Roman"/>
          <w:b/>
          <w:szCs w:val="24"/>
        </w:rPr>
        <w:t>.</w:t>
      </w:r>
    </w:p>
    <w:p w:rsidR="00FF0518" w:rsidRPr="008B2EE4" w:rsidRDefault="00FF0518" w:rsidP="00FF0518">
      <w:pPr>
        <w:tabs>
          <w:tab w:val="left" w:pos="720"/>
          <w:tab w:val="left" w:pos="900"/>
          <w:tab w:val="left" w:pos="1080"/>
          <w:tab w:val="left" w:pos="1260"/>
        </w:tabs>
        <w:rPr>
          <w:rFonts w:ascii="Times New Roman" w:hAnsi="Times New Roman"/>
          <w:szCs w:val="24"/>
        </w:rPr>
      </w:pPr>
    </w:p>
    <w:p w:rsidR="00FF0518" w:rsidRPr="008B2EE4" w:rsidRDefault="00FF0518" w:rsidP="008B2EE4">
      <w:pPr>
        <w:tabs>
          <w:tab w:val="left" w:pos="2520"/>
          <w:tab w:val="right" w:pos="7560"/>
        </w:tabs>
        <w:ind w:left="1440"/>
        <w:rPr>
          <w:rFonts w:ascii="Times New Roman" w:hAnsi="Times New Roman"/>
          <w:szCs w:val="24"/>
        </w:rPr>
      </w:pPr>
      <w:r w:rsidRPr="008B2EE4">
        <w:rPr>
          <w:rFonts w:ascii="Times New Roman" w:hAnsi="Times New Roman"/>
          <w:szCs w:val="24"/>
        </w:rPr>
        <w:t>Residential</w:t>
      </w:r>
      <w:r w:rsidRPr="008B2EE4">
        <w:rPr>
          <w:rFonts w:ascii="Times New Roman" w:hAnsi="Times New Roman"/>
          <w:szCs w:val="24"/>
        </w:rPr>
        <w:tab/>
      </w:r>
      <w:r w:rsidRPr="008B2EE4">
        <w:rPr>
          <w:rFonts w:ascii="Times New Roman" w:hAnsi="Times New Roman"/>
          <w:szCs w:val="24"/>
        </w:rPr>
        <w:tab/>
        <w:t>$</w:t>
      </w:r>
      <w:r w:rsidR="006308EC" w:rsidRPr="008B2EE4">
        <w:rPr>
          <w:rFonts w:ascii="Times New Roman" w:hAnsi="Times New Roman"/>
          <w:szCs w:val="24"/>
        </w:rPr>
        <w:t>13,</w:t>
      </w:r>
      <w:r w:rsidR="00C40E74" w:rsidRPr="008B2EE4">
        <w:rPr>
          <w:rFonts w:ascii="Times New Roman" w:hAnsi="Times New Roman"/>
          <w:szCs w:val="24"/>
        </w:rPr>
        <w:t>316</w:t>
      </w:r>
      <w:r w:rsidR="006308EC" w:rsidRPr="008B2EE4">
        <w:rPr>
          <w:rFonts w:ascii="Times New Roman" w:hAnsi="Times New Roman"/>
          <w:szCs w:val="24"/>
        </w:rPr>
        <w:t>,000</w:t>
      </w:r>
    </w:p>
    <w:p w:rsidR="00FF0518" w:rsidRPr="008B2EE4" w:rsidRDefault="00FF0518" w:rsidP="008B2EE4">
      <w:pPr>
        <w:tabs>
          <w:tab w:val="left" w:pos="2520"/>
          <w:tab w:val="right" w:pos="7560"/>
        </w:tabs>
        <w:ind w:left="1440"/>
        <w:rPr>
          <w:rFonts w:ascii="Times New Roman" w:hAnsi="Times New Roman"/>
          <w:szCs w:val="24"/>
        </w:rPr>
      </w:pPr>
      <w:r w:rsidRPr="008B2EE4">
        <w:rPr>
          <w:rFonts w:ascii="Times New Roman" w:hAnsi="Times New Roman"/>
          <w:szCs w:val="24"/>
        </w:rPr>
        <w:t>Commercial &amp; Industrial</w:t>
      </w:r>
      <w:r w:rsidRPr="008B2EE4">
        <w:rPr>
          <w:rFonts w:ascii="Times New Roman" w:hAnsi="Times New Roman"/>
          <w:szCs w:val="24"/>
        </w:rPr>
        <w:tab/>
        <w:t>$</w:t>
      </w:r>
      <w:r w:rsidR="006308EC" w:rsidRPr="008B2EE4">
        <w:rPr>
          <w:rFonts w:ascii="Times New Roman" w:hAnsi="Times New Roman"/>
          <w:szCs w:val="24"/>
        </w:rPr>
        <w:t>13,</w:t>
      </w:r>
      <w:r w:rsidR="00C40E74" w:rsidRPr="008B2EE4">
        <w:rPr>
          <w:rFonts w:ascii="Times New Roman" w:hAnsi="Times New Roman"/>
          <w:szCs w:val="24"/>
        </w:rPr>
        <w:t>815</w:t>
      </w:r>
      <w:r w:rsidR="006308EC" w:rsidRPr="008B2EE4">
        <w:rPr>
          <w:rFonts w:ascii="Times New Roman" w:hAnsi="Times New Roman"/>
          <w:szCs w:val="24"/>
        </w:rPr>
        <w:t>,000</w:t>
      </w:r>
    </w:p>
    <w:p w:rsidR="008B2EE4" w:rsidRPr="008B2EE4" w:rsidRDefault="00FF0518" w:rsidP="008B2EE4">
      <w:pPr>
        <w:tabs>
          <w:tab w:val="left" w:pos="2520"/>
          <w:tab w:val="right" w:pos="7560"/>
        </w:tabs>
        <w:spacing w:after="120"/>
        <w:ind w:left="1440"/>
        <w:rPr>
          <w:rFonts w:ascii="Times New Roman" w:hAnsi="Times New Roman"/>
          <w:szCs w:val="24"/>
        </w:rPr>
      </w:pPr>
      <w:r w:rsidRPr="008B2EE4">
        <w:rPr>
          <w:rFonts w:ascii="Times New Roman" w:hAnsi="Times New Roman"/>
          <w:szCs w:val="24"/>
        </w:rPr>
        <w:t>Public Street Lighting</w:t>
      </w:r>
      <w:r w:rsidRPr="008B2EE4">
        <w:rPr>
          <w:rFonts w:ascii="Times New Roman" w:hAnsi="Times New Roman"/>
          <w:szCs w:val="24"/>
        </w:rPr>
        <w:tab/>
        <w:t>$</w:t>
      </w:r>
      <w:r w:rsidR="00033021" w:rsidRPr="008B2EE4">
        <w:rPr>
          <w:rFonts w:ascii="Times New Roman" w:hAnsi="Times New Roman"/>
          <w:szCs w:val="24"/>
        </w:rPr>
        <w:t>6</w:t>
      </w:r>
      <w:r w:rsidR="00C40E74" w:rsidRPr="008B2EE4">
        <w:rPr>
          <w:rFonts w:ascii="Times New Roman" w:hAnsi="Times New Roman"/>
          <w:szCs w:val="24"/>
        </w:rPr>
        <w:t>9</w:t>
      </w:r>
      <w:r w:rsidR="00033021" w:rsidRPr="008B2EE4">
        <w:rPr>
          <w:rFonts w:ascii="Times New Roman" w:hAnsi="Times New Roman"/>
          <w:szCs w:val="24"/>
        </w:rPr>
        <w:t>,000</w:t>
      </w:r>
    </w:p>
    <w:p w:rsidR="00FF0518" w:rsidRPr="008B2EE4" w:rsidRDefault="00FF0518" w:rsidP="008B2EE4">
      <w:pPr>
        <w:tabs>
          <w:tab w:val="left" w:pos="2520"/>
          <w:tab w:val="right" w:pos="7560"/>
        </w:tabs>
        <w:ind w:left="1440"/>
        <w:rPr>
          <w:rFonts w:ascii="Times New Roman" w:hAnsi="Times New Roman"/>
          <w:szCs w:val="24"/>
        </w:rPr>
      </w:pPr>
      <w:r w:rsidRPr="008B2EE4">
        <w:rPr>
          <w:rFonts w:ascii="Times New Roman" w:hAnsi="Times New Roman"/>
          <w:szCs w:val="24"/>
        </w:rPr>
        <w:t>Total</w:t>
      </w:r>
      <w:r w:rsidRPr="008B2EE4">
        <w:rPr>
          <w:rFonts w:ascii="Times New Roman" w:hAnsi="Times New Roman"/>
          <w:szCs w:val="24"/>
        </w:rPr>
        <w:tab/>
      </w:r>
      <w:r w:rsidR="008B2EE4" w:rsidRPr="008B2EE4">
        <w:rPr>
          <w:rFonts w:ascii="Times New Roman" w:hAnsi="Times New Roman"/>
          <w:szCs w:val="24"/>
        </w:rPr>
        <w:tab/>
      </w:r>
      <w:r w:rsidRPr="008B2EE4">
        <w:rPr>
          <w:rFonts w:ascii="Times New Roman" w:hAnsi="Times New Roman"/>
          <w:szCs w:val="24"/>
        </w:rPr>
        <w:t>$</w:t>
      </w:r>
      <w:r w:rsidR="006308EC" w:rsidRPr="008B2EE4">
        <w:rPr>
          <w:rFonts w:ascii="Times New Roman" w:hAnsi="Times New Roman"/>
          <w:szCs w:val="24"/>
        </w:rPr>
        <w:t>2</w:t>
      </w:r>
      <w:r w:rsidR="00C40E74" w:rsidRPr="008B2EE4">
        <w:rPr>
          <w:rFonts w:ascii="Times New Roman" w:hAnsi="Times New Roman"/>
          <w:szCs w:val="24"/>
        </w:rPr>
        <w:t>7</w:t>
      </w:r>
      <w:r w:rsidR="006308EC" w:rsidRPr="008B2EE4">
        <w:rPr>
          <w:rFonts w:ascii="Times New Roman" w:hAnsi="Times New Roman"/>
          <w:szCs w:val="24"/>
        </w:rPr>
        <w:t>,</w:t>
      </w:r>
      <w:r w:rsidR="00C40E74" w:rsidRPr="008B2EE4">
        <w:rPr>
          <w:rFonts w:ascii="Times New Roman" w:hAnsi="Times New Roman"/>
          <w:szCs w:val="24"/>
        </w:rPr>
        <w:t>200</w:t>
      </w:r>
      <w:r w:rsidR="006308EC" w:rsidRPr="008B2EE4">
        <w:rPr>
          <w:rFonts w:ascii="Times New Roman" w:hAnsi="Times New Roman"/>
          <w:szCs w:val="24"/>
        </w:rPr>
        <w:t>,000</w:t>
      </w:r>
    </w:p>
    <w:p w:rsidR="00FF0518" w:rsidRPr="008B2EE4" w:rsidRDefault="00FF0518" w:rsidP="008B2EE4">
      <w:pPr>
        <w:tabs>
          <w:tab w:val="left" w:pos="2520"/>
          <w:tab w:val="right" w:pos="7560"/>
        </w:tabs>
        <w:rPr>
          <w:rFonts w:ascii="Times New Roman" w:hAnsi="Times New Roman"/>
          <w:szCs w:val="24"/>
        </w:rPr>
      </w:pPr>
    </w:p>
    <w:p w:rsidR="00FF0518" w:rsidRPr="008B2EE4" w:rsidRDefault="00FF0518" w:rsidP="00FF0518">
      <w:pPr>
        <w:tabs>
          <w:tab w:val="left" w:pos="900"/>
          <w:tab w:val="left" w:pos="1080"/>
          <w:tab w:val="left" w:pos="1260"/>
        </w:tabs>
        <w:ind w:left="720" w:hanging="720"/>
        <w:rPr>
          <w:rFonts w:ascii="Times New Roman" w:hAnsi="Times New Roman"/>
          <w:szCs w:val="24"/>
        </w:rPr>
      </w:pPr>
      <w:r w:rsidRPr="008B2EE4">
        <w:rPr>
          <w:rFonts w:ascii="Times New Roman" w:hAnsi="Times New Roman"/>
          <w:b/>
          <w:szCs w:val="24"/>
        </w:rPr>
        <w:t>5)</w:t>
      </w:r>
      <w:r w:rsidRPr="008B2EE4">
        <w:rPr>
          <w:rFonts w:ascii="Times New Roman" w:hAnsi="Times New Roman"/>
          <w:b/>
          <w:szCs w:val="24"/>
        </w:rPr>
        <w:tab/>
        <w:t>Requested rate change in dollars per month, per average residential customer.</w:t>
      </w:r>
    </w:p>
    <w:p w:rsidR="008B2EE4" w:rsidRDefault="008B2EE4" w:rsidP="00FF0518">
      <w:pPr>
        <w:tabs>
          <w:tab w:val="left" w:pos="1440"/>
        </w:tabs>
        <w:rPr>
          <w:rFonts w:ascii="Times New Roman" w:hAnsi="Times New Roman"/>
          <w:szCs w:val="24"/>
        </w:rPr>
      </w:pPr>
    </w:p>
    <w:p w:rsidR="001950C7" w:rsidRPr="008B2EE4" w:rsidRDefault="00FF0518" w:rsidP="008B2EE4">
      <w:pPr>
        <w:tabs>
          <w:tab w:val="left" w:pos="1440"/>
        </w:tabs>
        <w:ind w:left="1440"/>
        <w:rPr>
          <w:rFonts w:ascii="Times New Roman" w:hAnsi="Times New Roman"/>
          <w:szCs w:val="24"/>
        </w:rPr>
      </w:pPr>
      <w:r w:rsidRPr="008B2EE4">
        <w:rPr>
          <w:rFonts w:ascii="Times New Roman" w:hAnsi="Times New Roman"/>
          <w:szCs w:val="24"/>
        </w:rPr>
        <w:t xml:space="preserve">Monthly impact at average usage of </w:t>
      </w:r>
      <w:r w:rsidR="00F11B5E" w:rsidRPr="008B2EE4">
        <w:rPr>
          <w:rFonts w:ascii="Times New Roman" w:hAnsi="Times New Roman"/>
          <w:szCs w:val="24"/>
        </w:rPr>
        <w:t>1,300</w:t>
      </w:r>
      <w:r w:rsidR="008B2EE4" w:rsidRPr="008B2EE4">
        <w:rPr>
          <w:rFonts w:ascii="Times New Roman" w:hAnsi="Times New Roman"/>
          <w:szCs w:val="24"/>
        </w:rPr>
        <w:t xml:space="preserve"> kWh per month is </w:t>
      </w:r>
      <w:r w:rsidRPr="008B2EE4">
        <w:rPr>
          <w:rFonts w:ascii="Times New Roman" w:hAnsi="Times New Roman"/>
          <w:szCs w:val="24"/>
        </w:rPr>
        <w:t>$</w:t>
      </w:r>
      <w:r w:rsidR="00033021" w:rsidRPr="008B2EE4">
        <w:rPr>
          <w:rFonts w:ascii="Times New Roman" w:hAnsi="Times New Roman"/>
          <w:szCs w:val="24"/>
        </w:rPr>
        <w:t>1</w:t>
      </w:r>
      <w:r w:rsidR="00EC6CD7" w:rsidRPr="008B2EE4">
        <w:rPr>
          <w:rFonts w:ascii="Times New Roman" w:hAnsi="Times New Roman"/>
          <w:szCs w:val="24"/>
        </w:rPr>
        <w:t>0.</w:t>
      </w:r>
      <w:r w:rsidR="00C40E74" w:rsidRPr="008B2EE4">
        <w:rPr>
          <w:rFonts w:ascii="Times New Roman" w:hAnsi="Times New Roman"/>
          <w:szCs w:val="24"/>
        </w:rPr>
        <w:t>92</w:t>
      </w:r>
      <w:r w:rsidR="008B2EE4">
        <w:rPr>
          <w:rFonts w:ascii="Times New Roman" w:hAnsi="Times New Roman"/>
          <w:szCs w:val="24"/>
        </w:rPr>
        <w:t>.</w:t>
      </w:r>
    </w:p>
    <w:p w:rsidR="001950C7" w:rsidRPr="008B2EE4" w:rsidRDefault="001950C7">
      <w:pPr>
        <w:rPr>
          <w:rFonts w:ascii="Times New Roman" w:hAnsi="Times New Roman"/>
          <w:szCs w:val="24"/>
        </w:rPr>
      </w:pPr>
    </w:p>
    <w:p w:rsidR="00FF0518" w:rsidRPr="008B2EE4" w:rsidRDefault="00FF0518" w:rsidP="001C02CC">
      <w:pPr>
        <w:keepNext/>
        <w:tabs>
          <w:tab w:val="left" w:pos="900"/>
          <w:tab w:val="left" w:pos="1080"/>
          <w:tab w:val="left" w:pos="1260"/>
        </w:tabs>
        <w:rPr>
          <w:rFonts w:ascii="Times New Roman" w:hAnsi="Times New Roman"/>
          <w:b/>
          <w:szCs w:val="24"/>
        </w:rPr>
      </w:pPr>
      <w:r w:rsidRPr="008B2EE4">
        <w:rPr>
          <w:rFonts w:ascii="Times New Roman" w:hAnsi="Times New Roman"/>
          <w:b/>
          <w:szCs w:val="24"/>
        </w:rPr>
        <w:t>6)</w:t>
      </w:r>
      <w:r w:rsidRPr="008B2EE4">
        <w:rPr>
          <w:rFonts w:ascii="Times New Roman" w:hAnsi="Times New Roman"/>
          <w:b/>
          <w:szCs w:val="24"/>
        </w:rPr>
        <w:tab/>
        <w:t>Most current customer count by major customer class.</w:t>
      </w:r>
    </w:p>
    <w:p w:rsidR="00FF0518" w:rsidRPr="008B2EE4" w:rsidRDefault="00FF0518" w:rsidP="001C02CC">
      <w:pPr>
        <w:keepNext/>
        <w:tabs>
          <w:tab w:val="left" w:pos="900"/>
          <w:tab w:val="left" w:pos="1080"/>
          <w:tab w:val="left" w:pos="1260"/>
        </w:tabs>
        <w:rPr>
          <w:rFonts w:ascii="Times New Roman" w:hAnsi="Times New Roman"/>
          <w:b/>
          <w:szCs w:val="24"/>
        </w:rPr>
      </w:pPr>
    </w:p>
    <w:p w:rsidR="00FF0518" w:rsidRPr="001C02CC" w:rsidRDefault="00FF0518" w:rsidP="001C02CC">
      <w:pPr>
        <w:tabs>
          <w:tab w:val="left" w:pos="2520"/>
          <w:tab w:val="right" w:pos="7560"/>
        </w:tabs>
        <w:ind w:left="1440"/>
        <w:rPr>
          <w:rFonts w:ascii="Times New Roman" w:hAnsi="Times New Roman"/>
          <w:szCs w:val="24"/>
        </w:rPr>
      </w:pPr>
      <w:r w:rsidRPr="008B2EE4">
        <w:rPr>
          <w:rFonts w:ascii="Times New Roman" w:hAnsi="Times New Roman"/>
          <w:szCs w:val="24"/>
        </w:rPr>
        <w:t>Residential</w:t>
      </w:r>
      <w:r w:rsidRPr="008B2EE4">
        <w:rPr>
          <w:rFonts w:ascii="Times New Roman" w:hAnsi="Times New Roman"/>
          <w:szCs w:val="24"/>
        </w:rPr>
        <w:tab/>
      </w:r>
      <w:r w:rsidR="001C02CC">
        <w:rPr>
          <w:rFonts w:ascii="Times New Roman" w:hAnsi="Times New Roman"/>
          <w:szCs w:val="24"/>
        </w:rPr>
        <w:tab/>
      </w:r>
      <w:r w:rsidR="00033021" w:rsidRPr="001C02CC">
        <w:rPr>
          <w:rFonts w:ascii="Times New Roman" w:hAnsi="Times New Roman"/>
          <w:szCs w:val="24"/>
        </w:rPr>
        <w:t>104,</w:t>
      </w:r>
      <w:r w:rsidR="00EC6CD7" w:rsidRPr="001C02CC">
        <w:rPr>
          <w:rFonts w:ascii="Times New Roman" w:hAnsi="Times New Roman"/>
          <w:szCs w:val="24"/>
        </w:rPr>
        <w:t>635</w:t>
      </w:r>
    </w:p>
    <w:p w:rsidR="00FF0518" w:rsidRPr="001C02CC" w:rsidRDefault="00FF0518" w:rsidP="001C02CC">
      <w:pPr>
        <w:tabs>
          <w:tab w:val="left" w:pos="2520"/>
          <w:tab w:val="right" w:pos="7560"/>
        </w:tabs>
        <w:ind w:left="1440"/>
        <w:rPr>
          <w:rFonts w:ascii="Times New Roman" w:hAnsi="Times New Roman"/>
          <w:szCs w:val="24"/>
        </w:rPr>
      </w:pPr>
      <w:r w:rsidRPr="001C02CC">
        <w:rPr>
          <w:rFonts w:ascii="Times New Roman" w:hAnsi="Times New Roman"/>
          <w:szCs w:val="24"/>
        </w:rPr>
        <w:lastRenderedPageBreak/>
        <w:t>Commercial &amp; Industrial</w:t>
      </w:r>
      <w:r w:rsidRPr="001C02CC">
        <w:rPr>
          <w:rFonts w:ascii="Times New Roman" w:hAnsi="Times New Roman"/>
          <w:szCs w:val="24"/>
        </w:rPr>
        <w:tab/>
      </w:r>
      <w:r w:rsidR="00033021" w:rsidRPr="001C02CC">
        <w:rPr>
          <w:rFonts w:ascii="Times New Roman" w:hAnsi="Times New Roman"/>
          <w:szCs w:val="24"/>
        </w:rPr>
        <w:t>25,</w:t>
      </w:r>
      <w:r w:rsidR="00EC6CD7" w:rsidRPr="001C02CC">
        <w:rPr>
          <w:rFonts w:ascii="Times New Roman" w:hAnsi="Times New Roman"/>
          <w:szCs w:val="24"/>
        </w:rPr>
        <w:t>182</w:t>
      </w:r>
    </w:p>
    <w:p w:rsidR="00FF0518" w:rsidRPr="001C02CC" w:rsidRDefault="00FF0518" w:rsidP="001C02CC">
      <w:pPr>
        <w:tabs>
          <w:tab w:val="left" w:pos="2520"/>
          <w:tab w:val="right" w:pos="7560"/>
        </w:tabs>
        <w:spacing w:after="120"/>
        <w:ind w:left="1440"/>
        <w:rPr>
          <w:rFonts w:ascii="Times New Roman" w:hAnsi="Times New Roman"/>
          <w:szCs w:val="24"/>
        </w:rPr>
      </w:pPr>
      <w:r w:rsidRPr="001C02CC">
        <w:rPr>
          <w:rFonts w:ascii="Times New Roman" w:hAnsi="Times New Roman"/>
          <w:szCs w:val="24"/>
        </w:rPr>
        <w:t>Public Street Lighting</w:t>
      </w:r>
      <w:r w:rsidRPr="001C02CC">
        <w:rPr>
          <w:rFonts w:ascii="Times New Roman" w:hAnsi="Times New Roman"/>
          <w:szCs w:val="24"/>
        </w:rPr>
        <w:tab/>
      </w:r>
      <w:r w:rsidR="00EC6CD7" w:rsidRPr="001C02CC">
        <w:rPr>
          <w:rFonts w:ascii="Times New Roman" w:hAnsi="Times New Roman"/>
          <w:szCs w:val="24"/>
        </w:rPr>
        <w:t>2,961</w:t>
      </w:r>
    </w:p>
    <w:p w:rsidR="00FF0518" w:rsidRPr="008B2EE4" w:rsidRDefault="00FF0518" w:rsidP="001C02CC">
      <w:pPr>
        <w:tabs>
          <w:tab w:val="left" w:pos="2520"/>
          <w:tab w:val="right" w:pos="7560"/>
        </w:tabs>
        <w:ind w:left="1440"/>
        <w:rPr>
          <w:rFonts w:ascii="Times New Roman" w:hAnsi="Times New Roman"/>
          <w:szCs w:val="24"/>
        </w:rPr>
      </w:pPr>
      <w:r w:rsidRPr="001C02CC">
        <w:rPr>
          <w:rFonts w:ascii="Times New Roman" w:hAnsi="Times New Roman"/>
          <w:szCs w:val="24"/>
        </w:rPr>
        <w:t>Total</w:t>
      </w:r>
      <w:r w:rsidR="001C02CC" w:rsidRPr="001C02CC">
        <w:rPr>
          <w:rFonts w:ascii="Times New Roman" w:hAnsi="Times New Roman"/>
          <w:szCs w:val="24"/>
        </w:rPr>
        <w:tab/>
      </w:r>
      <w:r w:rsidRPr="001C02CC">
        <w:rPr>
          <w:rFonts w:ascii="Times New Roman" w:hAnsi="Times New Roman"/>
          <w:szCs w:val="24"/>
        </w:rPr>
        <w:tab/>
      </w:r>
      <w:r w:rsidR="00033021" w:rsidRPr="001C02CC">
        <w:rPr>
          <w:rFonts w:ascii="Times New Roman" w:hAnsi="Times New Roman"/>
          <w:szCs w:val="24"/>
        </w:rPr>
        <w:t>132,</w:t>
      </w:r>
      <w:r w:rsidR="00EC6CD7" w:rsidRPr="001C02CC">
        <w:rPr>
          <w:rFonts w:ascii="Times New Roman" w:hAnsi="Times New Roman"/>
          <w:szCs w:val="24"/>
        </w:rPr>
        <w:t>778</w:t>
      </w:r>
    </w:p>
    <w:p w:rsidR="00FF0518" w:rsidRPr="008B2EE4" w:rsidRDefault="00FF0518" w:rsidP="00FF0518">
      <w:pPr>
        <w:tabs>
          <w:tab w:val="left" w:pos="900"/>
          <w:tab w:val="left" w:pos="1080"/>
          <w:tab w:val="left" w:pos="1260"/>
        </w:tabs>
        <w:rPr>
          <w:rFonts w:ascii="Times New Roman" w:hAnsi="Times New Roman"/>
          <w:szCs w:val="24"/>
        </w:rPr>
      </w:pPr>
    </w:p>
    <w:p w:rsidR="00FF0518" w:rsidRPr="008B2EE4" w:rsidRDefault="00FF0518" w:rsidP="001C02CC">
      <w:pPr>
        <w:tabs>
          <w:tab w:val="left" w:pos="1440"/>
        </w:tabs>
        <w:ind w:left="1440"/>
        <w:rPr>
          <w:rFonts w:ascii="Times New Roman" w:hAnsi="Times New Roman"/>
          <w:szCs w:val="24"/>
        </w:rPr>
      </w:pPr>
      <w:r w:rsidRPr="008B2EE4">
        <w:rPr>
          <w:rFonts w:ascii="Times New Roman" w:hAnsi="Times New Roman"/>
          <w:szCs w:val="24"/>
        </w:rPr>
        <w:t>Twelve</w:t>
      </w:r>
      <w:r w:rsidR="00D765AF" w:rsidRPr="008B2EE4">
        <w:rPr>
          <w:rFonts w:ascii="Times New Roman" w:hAnsi="Times New Roman"/>
          <w:szCs w:val="24"/>
        </w:rPr>
        <w:t>-</w:t>
      </w:r>
      <w:r w:rsidRPr="008B2EE4">
        <w:rPr>
          <w:rFonts w:ascii="Times New Roman" w:hAnsi="Times New Roman"/>
          <w:szCs w:val="24"/>
        </w:rPr>
        <w:t xml:space="preserve">months ended </w:t>
      </w:r>
      <w:r w:rsidR="001C02CC">
        <w:rPr>
          <w:rFonts w:ascii="Times New Roman" w:hAnsi="Times New Roman"/>
          <w:szCs w:val="24"/>
        </w:rPr>
        <w:t>December 31, 2013</w:t>
      </w:r>
      <w:r w:rsidRPr="008B2EE4">
        <w:rPr>
          <w:rFonts w:ascii="Times New Roman" w:hAnsi="Times New Roman"/>
          <w:szCs w:val="24"/>
        </w:rPr>
        <w:t>.</w:t>
      </w:r>
    </w:p>
    <w:p w:rsidR="00FF0518" w:rsidRPr="008B2EE4" w:rsidRDefault="00FF0518" w:rsidP="00FF0518">
      <w:pPr>
        <w:tabs>
          <w:tab w:val="left" w:pos="900"/>
          <w:tab w:val="left" w:pos="1080"/>
          <w:tab w:val="left" w:pos="1260"/>
        </w:tabs>
        <w:rPr>
          <w:rFonts w:ascii="Times New Roman" w:hAnsi="Times New Roman"/>
          <w:szCs w:val="24"/>
        </w:rPr>
      </w:pPr>
    </w:p>
    <w:p w:rsidR="00FF0518" w:rsidRPr="008B2EE4" w:rsidRDefault="00FF0518" w:rsidP="00FF0518">
      <w:pPr>
        <w:tabs>
          <w:tab w:val="left" w:pos="900"/>
          <w:tab w:val="left" w:pos="1080"/>
          <w:tab w:val="left" w:pos="1260"/>
        </w:tabs>
        <w:ind w:left="720" w:hanging="720"/>
        <w:rPr>
          <w:rFonts w:ascii="Times New Roman" w:hAnsi="Times New Roman"/>
          <w:b/>
          <w:szCs w:val="24"/>
        </w:rPr>
      </w:pPr>
      <w:r w:rsidRPr="008B2EE4">
        <w:rPr>
          <w:rFonts w:ascii="Times New Roman" w:hAnsi="Times New Roman"/>
          <w:b/>
          <w:szCs w:val="24"/>
        </w:rPr>
        <w:t>7)</w:t>
      </w:r>
      <w:r w:rsidRPr="008B2EE4">
        <w:rPr>
          <w:rFonts w:ascii="Times New Roman" w:hAnsi="Times New Roman"/>
          <w:b/>
          <w:szCs w:val="24"/>
        </w:rPr>
        <w:tab/>
        <w:t>Current authorized overall rate of return and authorized rate of return on common equity.</w:t>
      </w:r>
    </w:p>
    <w:p w:rsidR="00FF0518" w:rsidRPr="008B2EE4" w:rsidRDefault="00FF0518" w:rsidP="00FF0518">
      <w:pPr>
        <w:tabs>
          <w:tab w:val="left" w:pos="900"/>
          <w:tab w:val="left" w:pos="1080"/>
          <w:tab w:val="left" w:pos="1260"/>
        </w:tabs>
        <w:ind w:left="720" w:hanging="720"/>
        <w:rPr>
          <w:rFonts w:ascii="Times New Roman" w:hAnsi="Times New Roman"/>
          <w:b/>
          <w:szCs w:val="24"/>
        </w:rPr>
      </w:pPr>
    </w:p>
    <w:p w:rsidR="00FF0518" w:rsidRPr="008B2EE4" w:rsidRDefault="00FF0518" w:rsidP="001C02CC">
      <w:pPr>
        <w:tabs>
          <w:tab w:val="left" w:pos="2520"/>
          <w:tab w:val="right" w:pos="7560"/>
        </w:tabs>
        <w:ind w:left="1440"/>
        <w:rPr>
          <w:rFonts w:ascii="Times New Roman" w:hAnsi="Times New Roman"/>
          <w:szCs w:val="24"/>
        </w:rPr>
      </w:pPr>
      <w:r w:rsidRPr="008B2EE4">
        <w:rPr>
          <w:rFonts w:ascii="Times New Roman" w:hAnsi="Times New Roman"/>
          <w:szCs w:val="24"/>
        </w:rPr>
        <w:t>Overall rate of return</w:t>
      </w:r>
      <w:r w:rsidR="003C122E" w:rsidRPr="008B2EE4">
        <w:rPr>
          <w:rFonts w:ascii="Times New Roman" w:hAnsi="Times New Roman"/>
          <w:szCs w:val="24"/>
        </w:rPr>
        <w:t xml:space="preserve"> </w:t>
      </w:r>
      <w:r w:rsidRPr="008B2EE4">
        <w:rPr>
          <w:rFonts w:ascii="Times New Roman" w:hAnsi="Times New Roman"/>
          <w:szCs w:val="24"/>
        </w:rPr>
        <w:tab/>
      </w:r>
      <w:r w:rsidR="00E84BF7" w:rsidRPr="008B2EE4">
        <w:rPr>
          <w:rFonts w:ascii="Times New Roman" w:hAnsi="Times New Roman"/>
          <w:szCs w:val="24"/>
        </w:rPr>
        <w:t>7.36</w:t>
      </w:r>
      <w:r w:rsidRPr="008B2EE4">
        <w:rPr>
          <w:rFonts w:ascii="Times New Roman" w:hAnsi="Times New Roman"/>
          <w:szCs w:val="24"/>
        </w:rPr>
        <w:t>%</w:t>
      </w:r>
    </w:p>
    <w:p w:rsidR="006B5104" w:rsidRPr="008B2EE4" w:rsidRDefault="00FF0518" w:rsidP="001C02CC">
      <w:pPr>
        <w:tabs>
          <w:tab w:val="left" w:pos="2520"/>
          <w:tab w:val="right" w:pos="7560"/>
        </w:tabs>
        <w:ind w:left="1440"/>
        <w:rPr>
          <w:rFonts w:ascii="Times New Roman" w:hAnsi="Times New Roman"/>
          <w:szCs w:val="24"/>
        </w:rPr>
      </w:pPr>
      <w:r w:rsidRPr="008B2EE4">
        <w:rPr>
          <w:rFonts w:ascii="Times New Roman" w:hAnsi="Times New Roman"/>
          <w:szCs w:val="24"/>
        </w:rPr>
        <w:t>Rate of return on common equity</w:t>
      </w:r>
      <w:r w:rsidR="006B5104" w:rsidRPr="008B2EE4">
        <w:rPr>
          <w:rFonts w:ascii="Times New Roman" w:hAnsi="Times New Roman"/>
          <w:szCs w:val="24"/>
        </w:rPr>
        <w:t xml:space="preserve"> </w:t>
      </w:r>
      <w:r w:rsidRPr="008B2EE4">
        <w:rPr>
          <w:rFonts w:ascii="Times New Roman" w:hAnsi="Times New Roman"/>
          <w:szCs w:val="24"/>
        </w:rPr>
        <w:tab/>
      </w:r>
      <w:r w:rsidR="007F0B62" w:rsidRPr="008B2EE4">
        <w:rPr>
          <w:rFonts w:ascii="Times New Roman" w:hAnsi="Times New Roman"/>
          <w:szCs w:val="24"/>
        </w:rPr>
        <w:t>9.</w:t>
      </w:r>
      <w:r w:rsidR="00E84BF7" w:rsidRPr="008B2EE4">
        <w:rPr>
          <w:rFonts w:ascii="Times New Roman" w:hAnsi="Times New Roman"/>
          <w:szCs w:val="24"/>
        </w:rPr>
        <w:t>5</w:t>
      </w:r>
      <w:r w:rsidRPr="008B2EE4">
        <w:rPr>
          <w:rFonts w:ascii="Times New Roman" w:hAnsi="Times New Roman"/>
          <w:szCs w:val="24"/>
        </w:rPr>
        <w:t>%</w:t>
      </w:r>
    </w:p>
    <w:p w:rsidR="006B5104" w:rsidRPr="008B2EE4" w:rsidRDefault="006B5104" w:rsidP="001C02CC">
      <w:pPr>
        <w:tabs>
          <w:tab w:val="left" w:pos="2520"/>
          <w:tab w:val="right" w:pos="7560"/>
        </w:tabs>
        <w:rPr>
          <w:rFonts w:ascii="Times New Roman" w:hAnsi="Times New Roman"/>
          <w:szCs w:val="24"/>
        </w:rPr>
      </w:pPr>
    </w:p>
    <w:p w:rsidR="00FF0518" w:rsidRPr="008B2EE4" w:rsidRDefault="00FF0518" w:rsidP="00E1243A">
      <w:pPr>
        <w:tabs>
          <w:tab w:val="left" w:pos="900"/>
          <w:tab w:val="left" w:pos="1080"/>
          <w:tab w:val="left" w:pos="1260"/>
        </w:tabs>
        <w:ind w:left="720" w:hanging="720"/>
        <w:rPr>
          <w:rFonts w:ascii="Times New Roman" w:hAnsi="Times New Roman"/>
          <w:b/>
          <w:szCs w:val="24"/>
        </w:rPr>
      </w:pPr>
      <w:r w:rsidRPr="008B2EE4">
        <w:rPr>
          <w:rFonts w:ascii="Times New Roman" w:hAnsi="Times New Roman"/>
          <w:b/>
          <w:szCs w:val="24"/>
        </w:rPr>
        <w:t>8)</w:t>
      </w:r>
      <w:r w:rsidRPr="008B2EE4">
        <w:rPr>
          <w:rFonts w:ascii="Times New Roman" w:hAnsi="Times New Roman"/>
          <w:b/>
          <w:szCs w:val="24"/>
        </w:rPr>
        <w:tab/>
        <w:t>Requested overall rate of return and requested rate of return on common equity, and the method or methods used to calculate rate of return on common equity.</w:t>
      </w:r>
    </w:p>
    <w:p w:rsidR="00FF0518" w:rsidRPr="008B2EE4" w:rsidRDefault="00FF0518" w:rsidP="00FF0518">
      <w:pPr>
        <w:tabs>
          <w:tab w:val="left" w:pos="900"/>
          <w:tab w:val="left" w:pos="1080"/>
          <w:tab w:val="left" w:pos="1260"/>
        </w:tabs>
        <w:ind w:left="720" w:hanging="720"/>
        <w:rPr>
          <w:rFonts w:ascii="Times New Roman" w:hAnsi="Times New Roman"/>
          <w:b/>
          <w:szCs w:val="24"/>
        </w:rPr>
      </w:pPr>
    </w:p>
    <w:p w:rsidR="00FF0518" w:rsidRPr="008B2EE4" w:rsidRDefault="00FF0518" w:rsidP="001C02CC">
      <w:pPr>
        <w:tabs>
          <w:tab w:val="left" w:pos="2520"/>
          <w:tab w:val="right" w:pos="7560"/>
        </w:tabs>
        <w:ind w:left="1440"/>
        <w:rPr>
          <w:rFonts w:ascii="Times New Roman" w:hAnsi="Times New Roman"/>
          <w:szCs w:val="24"/>
        </w:rPr>
      </w:pPr>
      <w:r w:rsidRPr="008B2EE4">
        <w:rPr>
          <w:rFonts w:ascii="Times New Roman" w:hAnsi="Times New Roman"/>
          <w:szCs w:val="24"/>
        </w:rPr>
        <w:t>Overall rate of return</w:t>
      </w:r>
      <w:r w:rsidRPr="008B2EE4">
        <w:rPr>
          <w:rFonts w:ascii="Times New Roman" w:hAnsi="Times New Roman"/>
          <w:szCs w:val="24"/>
        </w:rPr>
        <w:tab/>
      </w:r>
      <w:r w:rsidR="007F0B62" w:rsidRPr="008B2EE4">
        <w:rPr>
          <w:rFonts w:ascii="Times New Roman" w:hAnsi="Times New Roman"/>
          <w:szCs w:val="24"/>
        </w:rPr>
        <w:t>7.</w:t>
      </w:r>
      <w:r w:rsidR="004E3189" w:rsidRPr="008B2EE4">
        <w:rPr>
          <w:rFonts w:ascii="Times New Roman" w:hAnsi="Times New Roman"/>
          <w:szCs w:val="24"/>
        </w:rPr>
        <w:t>67</w:t>
      </w:r>
      <w:r w:rsidRPr="008B2EE4">
        <w:rPr>
          <w:rFonts w:ascii="Times New Roman" w:hAnsi="Times New Roman"/>
          <w:szCs w:val="24"/>
        </w:rPr>
        <w:t>%</w:t>
      </w:r>
    </w:p>
    <w:p w:rsidR="00FF0518" w:rsidRPr="008B2EE4" w:rsidRDefault="00FF0518" w:rsidP="001C02CC">
      <w:pPr>
        <w:tabs>
          <w:tab w:val="left" w:pos="2520"/>
          <w:tab w:val="right" w:pos="7560"/>
        </w:tabs>
        <w:ind w:left="1440"/>
        <w:rPr>
          <w:rFonts w:ascii="Times New Roman" w:hAnsi="Times New Roman"/>
          <w:szCs w:val="24"/>
        </w:rPr>
      </w:pPr>
      <w:r w:rsidRPr="008B2EE4">
        <w:rPr>
          <w:rFonts w:ascii="Times New Roman" w:hAnsi="Times New Roman"/>
          <w:szCs w:val="24"/>
        </w:rPr>
        <w:t>Rate of return on common equity</w:t>
      </w:r>
      <w:r w:rsidRPr="008B2EE4">
        <w:rPr>
          <w:rFonts w:ascii="Times New Roman" w:hAnsi="Times New Roman"/>
          <w:szCs w:val="24"/>
        </w:rPr>
        <w:tab/>
      </w:r>
      <w:r w:rsidR="00F02EC9" w:rsidRPr="008B2EE4">
        <w:rPr>
          <w:rFonts w:ascii="Times New Roman" w:hAnsi="Times New Roman"/>
          <w:szCs w:val="24"/>
        </w:rPr>
        <w:t>10.0</w:t>
      </w:r>
      <w:r w:rsidRPr="008B2EE4">
        <w:rPr>
          <w:rFonts w:ascii="Times New Roman" w:hAnsi="Times New Roman"/>
          <w:szCs w:val="24"/>
        </w:rPr>
        <w:t>%</w:t>
      </w:r>
    </w:p>
    <w:p w:rsidR="00FF0518" w:rsidRPr="008B2EE4" w:rsidRDefault="00FF0518" w:rsidP="001C02CC">
      <w:pPr>
        <w:tabs>
          <w:tab w:val="left" w:pos="1440"/>
        </w:tabs>
        <w:rPr>
          <w:rFonts w:ascii="Times New Roman" w:hAnsi="Times New Roman"/>
          <w:szCs w:val="24"/>
        </w:rPr>
      </w:pPr>
    </w:p>
    <w:p w:rsidR="002B3F76" w:rsidRPr="008B2EE4" w:rsidRDefault="00EC74B1" w:rsidP="001C02CC">
      <w:pPr>
        <w:tabs>
          <w:tab w:val="left" w:pos="1440"/>
        </w:tabs>
        <w:ind w:left="1440"/>
        <w:rPr>
          <w:rFonts w:ascii="Times New Roman" w:hAnsi="Times New Roman"/>
          <w:szCs w:val="24"/>
        </w:rPr>
      </w:pPr>
      <w:r>
        <w:t>Method(s) of Calculation:  The Company relied on several methods to calculate a reasonable range of return on equity: discounted cash flow (DCF), Yield-Plus-Growth, CAPM, Risk Premium, and Comparable Earnings.  The quantitative model results produce a cost of equity range of 9.23 percent to 10.22 percent.  Based upon further review of allowed returns, economic data and Company-specific considerations, the Company recommends a 10.0 percent return on common equity.</w:t>
      </w:r>
    </w:p>
    <w:p w:rsidR="008359AD" w:rsidRPr="008B2EE4" w:rsidRDefault="008359AD" w:rsidP="00FF0518">
      <w:pPr>
        <w:tabs>
          <w:tab w:val="left" w:pos="1440"/>
        </w:tabs>
        <w:ind w:left="1440" w:hanging="720"/>
        <w:rPr>
          <w:rFonts w:ascii="Times New Roman" w:hAnsi="Times New Roman"/>
          <w:szCs w:val="24"/>
        </w:rPr>
      </w:pPr>
    </w:p>
    <w:p w:rsidR="00FF0518" w:rsidRDefault="00FF0518" w:rsidP="00FF0518">
      <w:pPr>
        <w:tabs>
          <w:tab w:val="left" w:pos="900"/>
          <w:tab w:val="left" w:pos="1080"/>
          <w:tab w:val="left" w:pos="1260"/>
        </w:tabs>
        <w:ind w:left="720" w:hanging="720"/>
        <w:rPr>
          <w:rFonts w:ascii="Times New Roman" w:hAnsi="Times New Roman"/>
          <w:b/>
          <w:szCs w:val="24"/>
        </w:rPr>
      </w:pPr>
      <w:r w:rsidRPr="008B2EE4">
        <w:rPr>
          <w:rFonts w:ascii="Times New Roman" w:hAnsi="Times New Roman"/>
          <w:b/>
          <w:szCs w:val="24"/>
        </w:rPr>
        <w:t>9)</w:t>
      </w:r>
      <w:r w:rsidRPr="008B2EE4">
        <w:rPr>
          <w:rFonts w:ascii="Times New Roman" w:hAnsi="Times New Roman"/>
          <w:b/>
          <w:szCs w:val="24"/>
        </w:rPr>
        <w:tab/>
        <w:t>Requested capital structure.</w:t>
      </w:r>
    </w:p>
    <w:p w:rsidR="001C02CC" w:rsidRPr="001C02CC" w:rsidRDefault="001C02CC" w:rsidP="00FF0518">
      <w:pPr>
        <w:tabs>
          <w:tab w:val="left" w:pos="900"/>
          <w:tab w:val="left" w:pos="1080"/>
          <w:tab w:val="left" w:pos="1260"/>
        </w:tabs>
        <w:ind w:left="720" w:hanging="720"/>
        <w:rPr>
          <w:rFonts w:ascii="Times New Roman" w:hAnsi="Times New Roman"/>
          <w:szCs w:val="24"/>
        </w:rPr>
      </w:pPr>
    </w:p>
    <w:p w:rsidR="001C02CC" w:rsidRPr="001C02CC" w:rsidRDefault="001C02CC" w:rsidP="001C02CC">
      <w:pPr>
        <w:tabs>
          <w:tab w:val="left" w:pos="2520"/>
          <w:tab w:val="right" w:pos="7560"/>
        </w:tabs>
        <w:ind w:left="1440"/>
        <w:rPr>
          <w:rFonts w:ascii="Times New Roman" w:hAnsi="Times New Roman"/>
          <w:szCs w:val="24"/>
        </w:rPr>
      </w:pPr>
      <w:r w:rsidRPr="001C02CC">
        <w:rPr>
          <w:rFonts w:ascii="Times New Roman" w:hAnsi="Times New Roman"/>
          <w:szCs w:val="24"/>
        </w:rPr>
        <w:t>Short-Term Debt</w:t>
      </w:r>
      <w:r w:rsidRPr="001C02CC">
        <w:rPr>
          <w:rFonts w:ascii="Times New Roman" w:hAnsi="Times New Roman"/>
          <w:szCs w:val="24"/>
        </w:rPr>
        <w:tab/>
        <w:t>0.19%</w:t>
      </w:r>
    </w:p>
    <w:p w:rsidR="001C02CC" w:rsidRPr="001C02CC" w:rsidRDefault="001C02CC" w:rsidP="001C02CC">
      <w:pPr>
        <w:tabs>
          <w:tab w:val="left" w:pos="2520"/>
          <w:tab w:val="right" w:pos="7560"/>
        </w:tabs>
        <w:ind w:left="1440"/>
        <w:rPr>
          <w:rFonts w:ascii="Times New Roman" w:hAnsi="Times New Roman"/>
          <w:szCs w:val="24"/>
        </w:rPr>
      </w:pPr>
      <w:r w:rsidRPr="001C02CC">
        <w:rPr>
          <w:rFonts w:ascii="Times New Roman" w:hAnsi="Times New Roman"/>
          <w:szCs w:val="24"/>
        </w:rPr>
        <w:t>Long-Term Debt</w:t>
      </w:r>
      <w:r w:rsidRPr="001C02CC">
        <w:rPr>
          <w:rFonts w:ascii="Times New Roman" w:hAnsi="Times New Roman"/>
          <w:szCs w:val="24"/>
        </w:rPr>
        <w:tab/>
        <w:t>48.06%</w:t>
      </w:r>
    </w:p>
    <w:p w:rsidR="001C02CC" w:rsidRPr="001C02CC" w:rsidRDefault="001C02CC" w:rsidP="001C02CC">
      <w:pPr>
        <w:tabs>
          <w:tab w:val="left" w:pos="2520"/>
          <w:tab w:val="right" w:pos="7560"/>
        </w:tabs>
        <w:ind w:left="1440"/>
        <w:rPr>
          <w:rFonts w:ascii="Times New Roman" w:hAnsi="Times New Roman"/>
          <w:szCs w:val="24"/>
        </w:rPr>
      </w:pPr>
      <w:r w:rsidRPr="001C02CC">
        <w:rPr>
          <w:rFonts w:ascii="Times New Roman" w:hAnsi="Times New Roman"/>
          <w:szCs w:val="24"/>
        </w:rPr>
        <w:t>Preferred Stock</w:t>
      </w:r>
      <w:r w:rsidRPr="001C02CC">
        <w:rPr>
          <w:rFonts w:ascii="Times New Roman" w:hAnsi="Times New Roman"/>
          <w:szCs w:val="24"/>
        </w:rPr>
        <w:tab/>
        <w:t>0.02%</w:t>
      </w:r>
    </w:p>
    <w:p w:rsidR="001C02CC" w:rsidRPr="001C02CC" w:rsidRDefault="001C02CC" w:rsidP="001C02CC">
      <w:pPr>
        <w:tabs>
          <w:tab w:val="left" w:pos="2520"/>
          <w:tab w:val="right" w:pos="7560"/>
        </w:tabs>
        <w:ind w:left="1440"/>
        <w:rPr>
          <w:rFonts w:ascii="Times New Roman" w:hAnsi="Times New Roman"/>
          <w:szCs w:val="24"/>
        </w:rPr>
      </w:pPr>
      <w:r w:rsidRPr="001C02CC">
        <w:rPr>
          <w:rFonts w:ascii="Times New Roman" w:hAnsi="Times New Roman"/>
          <w:szCs w:val="24"/>
        </w:rPr>
        <w:t>Common Equity Stock</w:t>
      </w:r>
      <w:r w:rsidRPr="001C02CC">
        <w:rPr>
          <w:rFonts w:ascii="Times New Roman" w:hAnsi="Times New Roman"/>
          <w:szCs w:val="24"/>
        </w:rPr>
        <w:tab/>
        <w:t>51.73%</w:t>
      </w:r>
    </w:p>
    <w:p w:rsidR="00FF0518" w:rsidRPr="001C02CC" w:rsidRDefault="00FF0518" w:rsidP="00FF0518">
      <w:pPr>
        <w:tabs>
          <w:tab w:val="left" w:pos="900"/>
          <w:tab w:val="left" w:pos="1080"/>
          <w:tab w:val="left" w:pos="1260"/>
        </w:tabs>
        <w:ind w:left="720" w:hanging="720"/>
        <w:rPr>
          <w:rFonts w:ascii="Times New Roman" w:hAnsi="Times New Roman"/>
          <w:szCs w:val="24"/>
        </w:rPr>
      </w:pPr>
    </w:p>
    <w:p w:rsidR="00FF0518" w:rsidRPr="008B2EE4" w:rsidRDefault="00FF0518" w:rsidP="00FF0518">
      <w:pPr>
        <w:tabs>
          <w:tab w:val="left" w:pos="900"/>
          <w:tab w:val="left" w:pos="1080"/>
          <w:tab w:val="left" w:pos="1260"/>
        </w:tabs>
        <w:ind w:left="720" w:hanging="720"/>
        <w:rPr>
          <w:rFonts w:ascii="Times New Roman" w:hAnsi="Times New Roman"/>
          <w:b/>
          <w:szCs w:val="24"/>
        </w:rPr>
      </w:pPr>
      <w:r w:rsidRPr="008B2EE4">
        <w:rPr>
          <w:rFonts w:ascii="Times New Roman" w:hAnsi="Times New Roman"/>
          <w:b/>
          <w:szCs w:val="24"/>
        </w:rPr>
        <w:t>10)</w:t>
      </w:r>
      <w:r w:rsidRPr="008B2EE4">
        <w:rPr>
          <w:rFonts w:ascii="Times New Roman" w:hAnsi="Times New Roman"/>
          <w:b/>
          <w:szCs w:val="24"/>
        </w:rPr>
        <w:tab/>
        <w:t>Requested total net operating income.</w:t>
      </w:r>
    </w:p>
    <w:p w:rsidR="00FF0518" w:rsidRPr="008B2EE4" w:rsidRDefault="00FF0518" w:rsidP="00FF0518">
      <w:pPr>
        <w:tabs>
          <w:tab w:val="left" w:pos="900"/>
          <w:tab w:val="left" w:pos="1080"/>
          <w:tab w:val="left" w:pos="1260"/>
        </w:tabs>
        <w:ind w:left="720" w:hanging="720"/>
        <w:rPr>
          <w:rFonts w:ascii="Times New Roman" w:hAnsi="Times New Roman"/>
          <w:b/>
          <w:szCs w:val="24"/>
        </w:rPr>
      </w:pPr>
    </w:p>
    <w:p w:rsidR="00FF0518" w:rsidRPr="008B2EE4" w:rsidRDefault="00FF0518" w:rsidP="001C02CC">
      <w:pPr>
        <w:tabs>
          <w:tab w:val="left" w:pos="2520"/>
          <w:tab w:val="right" w:pos="7560"/>
        </w:tabs>
        <w:ind w:left="1440"/>
        <w:rPr>
          <w:rFonts w:ascii="Times New Roman" w:hAnsi="Times New Roman"/>
          <w:szCs w:val="24"/>
        </w:rPr>
      </w:pPr>
      <w:r w:rsidRPr="008B2EE4">
        <w:rPr>
          <w:rFonts w:ascii="Times New Roman" w:hAnsi="Times New Roman"/>
          <w:szCs w:val="24"/>
        </w:rPr>
        <w:t>Net operating income:</w:t>
      </w:r>
      <w:r w:rsidRPr="008B2EE4">
        <w:rPr>
          <w:rFonts w:ascii="Times New Roman" w:hAnsi="Times New Roman"/>
          <w:szCs w:val="24"/>
        </w:rPr>
        <w:tab/>
      </w:r>
      <w:r w:rsidR="005E5E9C" w:rsidRPr="008B2EE4">
        <w:rPr>
          <w:rFonts w:ascii="Times New Roman" w:hAnsi="Times New Roman"/>
          <w:szCs w:val="24"/>
        </w:rPr>
        <w:t>$</w:t>
      </w:r>
      <w:r w:rsidR="004E3189" w:rsidRPr="008B2EE4">
        <w:rPr>
          <w:rFonts w:ascii="Times New Roman" w:hAnsi="Times New Roman"/>
          <w:szCs w:val="24"/>
        </w:rPr>
        <w:t>65,</w:t>
      </w:r>
      <w:r w:rsidR="00DB37CE" w:rsidRPr="008B2EE4">
        <w:rPr>
          <w:rFonts w:ascii="Times New Roman" w:hAnsi="Times New Roman"/>
          <w:szCs w:val="24"/>
        </w:rPr>
        <w:t>166,394</w:t>
      </w:r>
    </w:p>
    <w:p w:rsidR="00A37A89" w:rsidRPr="008B2EE4" w:rsidRDefault="00A37A89" w:rsidP="00FF0518">
      <w:pPr>
        <w:tabs>
          <w:tab w:val="left" w:pos="900"/>
          <w:tab w:val="left" w:pos="1080"/>
          <w:tab w:val="left" w:pos="1260"/>
        </w:tabs>
        <w:ind w:left="720" w:hanging="720"/>
        <w:rPr>
          <w:rFonts w:ascii="Times New Roman" w:hAnsi="Times New Roman"/>
          <w:b/>
          <w:szCs w:val="24"/>
        </w:rPr>
      </w:pPr>
    </w:p>
    <w:p w:rsidR="00FF0518" w:rsidRPr="008B2EE4" w:rsidRDefault="00FF0518" w:rsidP="00FF0518">
      <w:pPr>
        <w:tabs>
          <w:tab w:val="left" w:pos="900"/>
          <w:tab w:val="left" w:pos="1080"/>
          <w:tab w:val="left" w:pos="1260"/>
        </w:tabs>
        <w:ind w:left="720" w:hanging="720"/>
        <w:rPr>
          <w:rFonts w:ascii="Times New Roman" w:hAnsi="Times New Roman"/>
          <w:b/>
          <w:szCs w:val="24"/>
        </w:rPr>
      </w:pPr>
      <w:r w:rsidRPr="008B2EE4">
        <w:rPr>
          <w:rFonts w:ascii="Times New Roman" w:hAnsi="Times New Roman"/>
          <w:b/>
          <w:szCs w:val="24"/>
        </w:rPr>
        <w:t>11)</w:t>
      </w:r>
      <w:r w:rsidRPr="008B2EE4">
        <w:rPr>
          <w:rFonts w:ascii="Times New Roman" w:hAnsi="Times New Roman"/>
          <w:b/>
          <w:szCs w:val="24"/>
        </w:rPr>
        <w:tab/>
        <w:t>Requested total rate base and method of calculation, or equivalent.</w:t>
      </w:r>
    </w:p>
    <w:p w:rsidR="00FF0518" w:rsidRPr="008B2EE4" w:rsidRDefault="00FF0518" w:rsidP="00FF0518">
      <w:pPr>
        <w:tabs>
          <w:tab w:val="left" w:pos="900"/>
          <w:tab w:val="left" w:pos="1080"/>
          <w:tab w:val="left" w:pos="1260"/>
        </w:tabs>
        <w:ind w:left="720" w:hanging="720"/>
        <w:rPr>
          <w:rFonts w:ascii="Times New Roman" w:hAnsi="Times New Roman"/>
          <w:b/>
          <w:szCs w:val="24"/>
        </w:rPr>
      </w:pPr>
    </w:p>
    <w:p w:rsidR="00FF0518" w:rsidRPr="008B2EE4" w:rsidRDefault="00FF0518" w:rsidP="001C02CC">
      <w:pPr>
        <w:tabs>
          <w:tab w:val="left" w:pos="2520"/>
          <w:tab w:val="right" w:pos="7560"/>
        </w:tabs>
        <w:ind w:left="1440"/>
        <w:rPr>
          <w:rFonts w:ascii="Times New Roman" w:hAnsi="Times New Roman"/>
          <w:szCs w:val="24"/>
        </w:rPr>
      </w:pPr>
      <w:r w:rsidRPr="008B2EE4">
        <w:rPr>
          <w:rFonts w:ascii="Times New Roman" w:hAnsi="Times New Roman"/>
          <w:szCs w:val="24"/>
        </w:rPr>
        <w:t>Rate base:</w:t>
      </w:r>
      <w:r w:rsidRPr="008B2EE4">
        <w:rPr>
          <w:rFonts w:ascii="Times New Roman" w:hAnsi="Times New Roman"/>
          <w:szCs w:val="24"/>
        </w:rPr>
        <w:tab/>
      </w:r>
      <w:r w:rsidR="001C02CC">
        <w:rPr>
          <w:rFonts w:ascii="Times New Roman" w:hAnsi="Times New Roman"/>
          <w:szCs w:val="24"/>
        </w:rPr>
        <w:tab/>
      </w:r>
      <w:r w:rsidRPr="008B2EE4">
        <w:rPr>
          <w:rFonts w:ascii="Times New Roman" w:hAnsi="Times New Roman"/>
          <w:szCs w:val="24"/>
        </w:rPr>
        <w:t>$</w:t>
      </w:r>
      <w:r w:rsidR="004E3189" w:rsidRPr="008B2EE4">
        <w:rPr>
          <w:rFonts w:ascii="Times New Roman" w:hAnsi="Times New Roman"/>
          <w:szCs w:val="24"/>
        </w:rPr>
        <w:t>849,</w:t>
      </w:r>
      <w:r w:rsidR="00DB37CE" w:rsidRPr="008B2EE4">
        <w:rPr>
          <w:rFonts w:ascii="Times New Roman" w:hAnsi="Times New Roman"/>
          <w:szCs w:val="24"/>
        </w:rPr>
        <w:t>625,443</w:t>
      </w:r>
    </w:p>
    <w:p w:rsidR="00FF0518" w:rsidRPr="008B2EE4" w:rsidRDefault="00FF0518" w:rsidP="00FF0518">
      <w:pPr>
        <w:tabs>
          <w:tab w:val="left" w:pos="1440"/>
          <w:tab w:val="decimal" w:pos="7200"/>
        </w:tabs>
        <w:ind w:left="720" w:hanging="720"/>
        <w:rPr>
          <w:rFonts w:ascii="Times New Roman" w:hAnsi="Times New Roman"/>
          <w:szCs w:val="24"/>
        </w:rPr>
      </w:pPr>
    </w:p>
    <w:p w:rsidR="00FF0518" w:rsidRDefault="00FF0518" w:rsidP="001C02CC">
      <w:pPr>
        <w:tabs>
          <w:tab w:val="left" w:pos="1440"/>
          <w:tab w:val="decimal" w:pos="7200"/>
        </w:tabs>
        <w:ind w:left="1440"/>
        <w:rPr>
          <w:rFonts w:ascii="Times New Roman" w:hAnsi="Times New Roman"/>
          <w:szCs w:val="24"/>
        </w:rPr>
      </w:pPr>
      <w:r w:rsidRPr="008B2EE4">
        <w:rPr>
          <w:rFonts w:ascii="Times New Roman" w:hAnsi="Times New Roman"/>
          <w:szCs w:val="24"/>
        </w:rPr>
        <w:t>Method</w:t>
      </w:r>
      <w:r w:rsidR="0092040B" w:rsidRPr="008B2EE4">
        <w:rPr>
          <w:rFonts w:ascii="Times New Roman" w:hAnsi="Times New Roman"/>
          <w:szCs w:val="24"/>
        </w:rPr>
        <w:t>(s)</w:t>
      </w:r>
      <w:r w:rsidRPr="008B2EE4">
        <w:rPr>
          <w:rFonts w:ascii="Times New Roman" w:hAnsi="Times New Roman"/>
          <w:szCs w:val="24"/>
        </w:rPr>
        <w:t xml:space="preserve"> of calculation:</w:t>
      </w:r>
      <w:r w:rsidR="001D7265" w:rsidRPr="008B2EE4">
        <w:rPr>
          <w:rFonts w:ascii="Times New Roman" w:hAnsi="Times New Roman"/>
          <w:szCs w:val="24"/>
        </w:rPr>
        <w:t xml:space="preserve">  </w:t>
      </w:r>
      <w:r w:rsidR="0092040B" w:rsidRPr="008B2EE4">
        <w:rPr>
          <w:rFonts w:ascii="Times New Roman" w:hAnsi="Times New Roman"/>
          <w:szCs w:val="24"/>
        </w:rPr>
        <w:t>Normalized electric</w:t>
      </w:r>
      <w:r w:rsidR="001C02CC">
        <w:rPr>
          <w:rFonts w:ascii="Times New Roman" w:hAnsi="Times New Roman"/>
          <w:szCs w:val="24"/>
        </w:rPr>
        <w:t>-</w:t>
      </w:r>
      <w:r w:rsidR="0092040B" w:rsidRPr="008B2EE4">
        <w:rPr>
          <w:rFonts w:ascii="Times New Roman" w:hAnsi="Times New Roman"/>
          <w:szCs w:val="24"/>
        </w:rPr>
        <w:t>plant</w:t>
      </w:r>
      <w:r w:rsidR="001C02CC">
        <w:rPr>
          <w:rFonts w:ascii="Times New Roman" w:hAnsi="Times New Roman"/>
          <w:szCs w:val="24"/>
        </w:rPr>
        <w:t>-in-</w:t>
      </w:r>
      <w:r w:rsidR="0092040B" w:rsidRPr="008B2EE4">
        <w:rPr>
          <w:rFonts w:ascii="Times New Roman" w:hAnsi="Times New Roman"/>
          <w:szCs w:val="24"/>
        </w:rPr>
        <w:t>service balances and associated accumulated deferred income tax balances are reflected using the end</w:t>
      </w:r>
      <w:r w:rsidR="001C02CC">
        <w:rPr>
          <w:rFonts w:ascii="Times New Roman" w:hAnsi="Times New Roman"/>
          <w:szCs w:val="24"/>
        </w:rPr>
        <w:t>-</w:t>
      </w:r>
      <w:r w:rsidR="0092040B" w:rsidRPr="008B2EE4">
        <w:rPr>
          <w:rFonts w:ascii="Times New Roman" w:hAnsi="Times New Roman"/>
          <w:szCs w:val="24"/>
        </w:rPr>
        <w:t>of</w:t>
      </w:r>
      <w:r w:rsidR="001C02CC">
        <w:rPr>
          <w:rFonts w:ascii="Times New Roman" w:hAnsi="Times New Roman"/>
          <w:szCs w:val="24"/>
        </w:rPr>
        <w:t>-</w:t>
      </w:r>
      <w:r w:rsidR="0092040B" w:rsidRPr="008B2EE4">
        <w:rPr>
          <w:rFonts w:ascii="Times New Roman" w:hAnsi="Times New Roman"/>
          <w:szCs w:val="24"/>
        </w:rPr>
        <w:t>period method.  Other elements of rate base are reflected using the average</w:t>
      </w:r>
      <w:r w:rsidR="001C02CC">
        <w:rPr>
          <w:rFonts w:ascii="Times New Roman" w:hAnsi="Times New Roman"/>
          <w:szCs w:val="24"/>
        </w:rPr>
        <w:t>-</w:t>
      </w:r>
      <w:r w:rsidR="0092040B" w:rsidRPr="008B2EE4">
        <w:rPr>
          <w:rFonts w:ascii="Times New Roman" w:hAnsi="Times New Roman"/>
          <w:szCs w:val="24"/>
        </w:rPr>
        <w:t>of</w:t>
      </w:r>
      <w:r w:rsidR="001C02CC">
        <w:rPr>
          <w:rFonts w:ascii="Times New Roman" w:hAnsi="Times New Roman"/>
          <w:szCs w:val="24"/>
        </w:rPr>
        <w:t>-</w:t>
      </w:r>
      <w:r w:rsidR="0092040B" w:rsidRPr="008B2EE4">
        <w:rPr>
          <w:rFonts w:ascii="Times New Roman" w:hAnsi="Times New Roman"/>
          <w:szCs w:val="24"/>
        </w:rPr>
        <w:t>monthly</w:t>
      </w:r>
      <w:r w:rsidR="001C02CC">
        <w:rPr>
          <w:rFonts w:ascii="Times New Roman" w:hAnsi="Times New Roman"/>
          <w:szCs w:val="24"/>
        </w:rPr>
        <w:t>-</w:t>
      </w:r>
      <w:r w:rsidR="0092040B" w:rsidRPr="008B2EE4">
        <w:rPr>
          <w:rFonts w:ascii="Times New Roman" w:hAnsi="Times New Roman"/>
          <w:szCs w:val="24"/>
        </w:rPr>
        <w:t>average</w:t>
      </w:r>
      <w:r w:rsidR="001C02CC">
        <w:rPr>
          <w:rFonts w:ascii="Times New Roman" w:hAnsi="Times New Roman"/>
          <w:szCs w:val="24"/>
        </w:rPr>
        <w:t>s</w:t>
      </w:r>
      <w:r w:rsidR="0092040B" w:rsidRPr="008B2EE4">
        <w:rPr>
          <w:rFonts w:ascii="Times New Roman" w:hAnsi="Times New Roman"/>
          <w:szCs w:val="24"/>
        </w:rPr>
        <w:t xml:space="preserve"> method.  </w:t>
      </w:r>
    </w:p>
    <w:p w:rsidR="001C02CC" w:rsidRPr="008B2EE4" w:rsidRDefault="001C02CC" w:rsidP="001C02CC">
      <w:pPr>
        <w:tabs>
          <w:tab w:val="left" w:pos="1440"/>
          <w:tab w:val="decimal" w:pos="7200"/>
        </w:tabs>
        <w:ind w:left="1440"/>
        <w:rPr>
          <w:rFonts w:ascii="Times New Roman" w:hAnsi="Times New Roman"/>
          <w:szCs w:val="24"/>
        </w:rPr>
      </w:pPr>
    </w:p>
    <w:p w:rsidR="00FF0518" w:rsidRPr="008B2EE4" w:rsidRDefault="00FF0518" w:rsidP="00FF0518">
      <w:pPr>
        <w:tabs>
          <w:tab w:val="left" w:pos="900"/>
          <w:tab w:val="left" w:pos="1080"/>
          <w:tab w:val="left" w:pos="1260"/>
        </w:tabs>
        <w:ind w:left="720" w:hanging="720"/>
        <w:rPr>
          <w:rFonts w:ascii="Times New Roman" w:hAnsi="Times New Roman"/>
          <w:b/>
          <w:szCs w:val="24"/>
        </w:rPr>
      </w:pPr>
      <w:r w:rsidRPr="008B2EE4">
        <w:rPr>
          <w:rFonts w:ascii="Times New Roman" w:hAnsi="Times New Roman"/>
          <w:b/>
          <w:szCs w:val="24"/>
        </w:rPr>
        <w:lastRenderedPageBreak/>
        <w:t>12)</w:t>
      </w:r>
      <w:r w:rsidRPr="008B2EE4">
        <w:rPr>
          <w:rFonts w:ascii="Times New Roman" w:hAnsi="Times New Roman"/>
          <w:b/>
          <w:szCs w:val="24"/>
        </w:rPr>
        <w:tab/>
        <w:t>Requested revenue effect of attrition allowance, if any requested.</w:t>
      </w:r>
    </w:p>
    <w:p w:rsidR="00B8665F" w:rsidRPr="008B2EE4" w:rsidRDefault="00B8665F" w:rsidP="00783D8C">
      <w:pPr>
        <w:tabs>
          <w:tab w:val="left" w:pos="1440"/>
        </w:tabs>
        <w:ind w:left="720" w:hanging="720"/>
        <w:rPr>
          <w:rFonts w:ascii="Times New Roman" w:hAnsi="Times New Roman"/>
          <w:b/>
          <w:szCs w:val="24"/>
        </w:rPr>
      </w:pPr>
    </w:p>
    <w:p w:rsidR="00327371" w:rsidRPr="008B2EE4" w:rsidRDefault="001C02CC" w:rsidP="001C02CC">
      <w:pPr>
        <w:ind w:left="1440"/>
        <w:rPr>
          <w:rFonts w:ascii="Times New Roman" w:hAnsi="Times New Roman"/>
          <w:szCs w:val="24"/>
        </w:rPr>
      </w:pPr>
      <w:r>
        <w:rPr>
          <w:rFonts w:ascii="Times New Roman" w:hAnsi="Times New Roman"/>
          <w:szCs w:val="24"/>
        </w:rPr>
        <w:t>No a</w:t>
      </w:r>
      <w:r w:rsidR="00FF0518" w:rsidRPr="008B2EE4">
        <w:rPr>
          <w:rFonts w:ascii="Times New Roman" w:hAnsi="Times New Roman"/>
          <w:szCs w:val="24"/>
        </w:rPr>
        <w:t xml:space="preserve">ttrition allowance </w:t>
      </w:r>
      <w:r>
        <w:rPr>
          <w:rFonts w:ascii="Times New Roman" w:hAnsi="Times New Roman"/>
          <w:szCs w:val="24"/>
        </w:rPr>
        <w:t>is requested</w:t>
      </w:r>
      <w:r w:rsidR="00FF0518" w:rsidRPr="008B2EE4">
        <w:rPr>
          <w:rFonts w:ascii="Times New Roman" w:hAnsi="Times New Roman"/>
          <w:szCs w:val="24"/>
        </w:rPr>
        <w:t>.</w:t>
      </w:r>
    </w:p>
    <w:sectPr w:rsidR="00327371" w:rsidRPr="008B2EE4" w:rsidSect="001C02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C62" w:rsidRDefault="007B4C62" w:rsidP="00054AC7">
      <w:r>
        <w:separator/>
      </w:r>
    </w:p>
  </w:endnote>
  <w:endnote w:type="continuationSeparator" w:id="0">
    <w:p w:rsidR="007B4C62" w:rsidRDefault="007B4C62" w:rsidP="0005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altName w:val="Batang"/>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F3" w:rsidRDefault="009F3598" w:rsidP="00B63F94">
    <w:pPr>
      <w:pStyle w:val="Footer"/>
      <w:framePr w:wrap="around" w:vAnchor="text" w:hAnchor="margin" w:xAlign="right" w:y="1"/>
      <w:rPr>
        <w:rStyle w:val="PageNumber"/>
      </w:rPr>
    </w:pPr>
    <w:r>
      <w:rPr>
        <w:rStyle w:val="PageNumber"/>
      </w:rPr>
      <w:fldChar w:fldCharType="begin"/>
    </w:r>
    <w:r w:rsidR="006403F3">
      <w:rPr>
        <w:rStyle w:val="PageNumber"/>
      </w:rPr>
      <w:instrText xml:space="preserve">PAGE  </w:instrText>
    </w:r>
    <w:r>
      <w:rPr>
        <w:rStyle w:val="PageNumber"/>
      </w:rPr>
      <w:fldChar w:fldCharType="end"/>
    </w:r>
  </w:p>
  <w:p w:rsidR="006403F3" w:rsidRDefault="006403F3" w:rsidP="00B63F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2CC" w:rsidRDefault="001C02CC">
    <w:pPr>
      <w:pStyle w:val="Footer"/>
    </w:pPr>
    <w:r>
      <w:t>Attachment A</w:t>
    </w:r>
    <w:r>
      <w:tab/>
    </w:r>
    <w:r>
      <w:tab/>
    </w:r>
    <w:r>
      <w:fldChar w:fldCharType="begin"/>
    </w:r>
    <w:r>
      <w:instrText xml:space="preserve"> PAGE   \* MERGEFORMAT </w:instrText>
    </w:r>
    <w:r>
      <w:fldChar w:fldCharType="separate"/>
    </w:r>
    <w:r w:rsidR="00625C18">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18" w:rsidRDefault="00625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C62" w:rsidRDefault="007B4C62" w:rsidP="00054AC7">
      <w:r>
        <w:separator/>
      </w:r>
    </w:p>
  </w:footnote>
  <w:footnote w:type="continuationSeparator" w:id="0">
    <w:p w:rsidR="007B4C62" w:rsidRDefault="007B4C62" w:rsidP="00054AC7">
      <w:r>
        <w:continuationSeparator/>
      </w:r>
    </w:p>
  </w:footnote>
  <w:footnote w:id="1">
    <w:p w:rsidR="007D33C1" w:rsidRPr="008B2EE4" w:rsidRDefault="007D33C1">
      <w:pPr>
        <w:pStyle w:val="FootnoteText"/>
        <w:rPr>
          <w:rFonts w:ascii="Times New Roman" w:hAnsi="Times New Roman"/>
          <w:sz w:val="20"/>
          <w:szCs w:val="20"/>
        </w:rPr>
      </w:pPr>
      <w:r w:rsidRPr="008B2EE4">
        <w:rPr>
          <w:rStyle w:val="FootnoteReference"/>
          <w:rFonts w:ascii="Times New Roman" w:hAnsi="Times New Roman"/>
          <w:sz w:val="20"/>
          <w:szCs w:val="20"/>
        </w:rPr>
        <w:footnoteRef/>
      </w:r>
      <w:r w:rsidRPr="008B2EE4">
        <w:rPr>
          <w:rFonts w:ascii="Times New Roman" w:hAnsi="Times New Roman"/>
          <w:sz w:val="20"/>
          <w:szCs w:val="20"/>
        </w:rPr>
        <w:t xml:space="preserve"> In the filing</w:t>
      </w:r>
      <w:r w:rsidR="001C02CC">
        <w:rPr>
          <w:rFonts w:ascii="Times New Roman" w:hAnsi="Times New Roman"/>
          <w:sz w:val="20"/>
          <w:szCs w:val="20"/>
        </w:rPr>
        <w:t>,</w:t>
      </w:r>
      <w:r w:rsidRPr="008B2EE4">
        <w:rPr>
          <w:rFonts w:ascii="Times New Roman" w:hAnsi="Times New Roman"/>
          <w:sz w:val="20"/>
          <w:szCs w:val="20"/>
        </w:rPr>
        <w:t xml:space="preserve"> the Company is requesting approval of a new adjustment schedule, Schedule 92, Deferral Adjustment, for amortization over one year of outstanding deferrals related to</w:t>
      </w:r>
      <w:r w:rsidR="008B2EE4" w:rsidRPr="008B2EE4">
        <w:rPr>
          <w:rFonts w:ascii="Times New Roman" w:hAnsi="Times New Roman"/>
          <w:sz w:val="20"/>
          <w:szCs w:val="20"/>
        </w:rPr>
        <w:t xml:space="preserve"> an outage at Unit 4 of the Colstrip generating plant</w:t>
      </w:r>
      <w:r w:rsidRPr="008B2EE4">
        <w:rPr>
          <w:rFonts w:ascii="Times New Roman" w:hAnsi="Times New Roman"/>
          <w:sz w:val="20"/>
          <w:szCs w:val="20"/>
        </w:rPr>
        <w:t xml:space="preserve">, </w:t>
      </w:r>
      <w:r w:rsidR="008B2EE4" w:rsidRPr="008B2EE4">
        <w:rPr>
          <w:rFonts w:ascii="Times New Roman" w:hAnsi="Times New Roman"/>
          <w:sz w:val="20"/>
          <w:szCs w:val="20"/>
        </w:rPr>
        <w:t xml:space="preserve">low </w:t>
      </w:r>
      <w:r w:rsidRPr="008B2EE4">
        <w:rPr>
          <w:rFonts w:ascii="Times New Roman" w:hAnsi="Times New Roman"/>
          <w:sz w:val="20"/>
          <w:szCs w:val="20"/>
        </w:rPr>
        <w:t>hydro</w:t>
      </w:r>
      <w:r w:rsidR="008B2EE4" w:rsidRPr="008B2EE4">
        <w:rPr>
          <w:rFonts w:ascii="Times New Roman" w:hAnsi="Times New Roman"/>
          <w:sz w:val="20"/>
          <w:szCs w:val="20"/>
        </w:rPr>
        <w:t xml:space="preserve"> conditions</w:t>
      </w:r>
      <w:r w:rsidRPr="008B2EE4">
        <w:rPr>
          <w:rFonts w:ascii="Times New Roman" w:hAnsi="Times New Roman"/>
          <w:sz w:val="20"/>
          <w:szCs w:val="20"/>
        </w:rPr>
        <w:t>, and depreciation.  The requested i</w:t>
      </w:r>
      <w:r w:rsidR="001C02CC">
        <w:rPr>
          <w:rFonts w:ascii="Times New Roman" w:hAnsi="Times New Roman"/>
          <w:sz w:val="20"/>
          <w:szCs w:val="20"/>
        </w:rPr>
        <w:t>ncrease for Schedule 92 is $4.9 </w:t>
      </w:r>
      <w:r w:rsidRPr="008B2EE4">
        <w:rPr>
          <w:rFonts w:ascii="Times New Roman" w:hAnsi="Times New Roman"/>
          <w:sz w:val="20"/>
          <w:szCs w:val="20"/>
        </w:rPr>
        <w:t>million, or 1.5 percent, and i</w:t>
      </w:r>
      <w:r w:rsidR="008B2EE4" w:rsidRPr="008B2EE4">
        <w:rPr>
          <w:rFonts w:ascii="Times New Roman" w:hAnsi="Times New Roman"/>
          <w:sz w:val="20"/>
          <w:szCs w:val="20"/>
        </w:rPr>
        <w:t>s not included in this amount.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18" w:rsidRDefault="00625C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18" w:rsidRDefault="00625C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18" w:rsidRDefault="00625C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353E7"/>
    <w:multiLevelType w:val="hybridMultilevel"/>
    <w:tmpl w:val="38B27908"/>
    <w:lvl w:ilvl="0" w:tplc="04090001">
      <w:start w:val="1"/>
      <w:numFmt w:val="bullet"/>
      <w:lvlText w:val=""/>
      <w:lvlJc w:val="left"/>
      <w:pPr>
        <w:ind w:left="45" w:hanging="360"/>
      </w:pPr>
      <w:rPr>
        <w:rFonts w:ascii="Symbol" w:hAnsi="Symbol" w:hint="default"/>
      </w:rPr>
    </w:lvl>
    <w:lvl w:ilvl="1" w:tplc="04090003" w:tentative="1">
      <w:start w:val="1"/>
      <w:numFmt w:val="bullet"/>
      <w:lvlText w:val="o"/>
      <w:lvlJc w:val="left"/>
      <w:pPr>
        <w:ind w:left="765" w:hanging="360"/>
      </w:pPr>
      <w:rPr>
        <w:rFonts w:ascii="Courier New" w:hAnsi="Courier New" w:cs="Courier New" w:hint="default"/>
      </w:rPr>
    </w:lvl>
    <w:lvl w:ilvl="2" w:tplc="04090005" w:tentative="1">
      <w:start w:val="1"/>
      <w:numFmt w:val="bullet"/>
      <w:lvlText w:val=""/>
      <w:lvlJc w:val="left"/>
      <w:pPr>
        <w:ind w:left="1485" w:hanging="360"/>
      </w:pPr>
      <w:rPr>
        <w:rFonts w:ascii="Wingdings" w:hAnsi="Wingdings" w:hint="default"/>
      </w:rPr>
    </w:lvl>
    <w:lvl w:ilvl="3" w:tplc="04090001" w:tentative="1">
      <w:start w:val="1"/>
      <w:numFmt w:val="bullet"/>
      <w:lvlText w:val=""/>
      <w:lvlJc w:val="left"/>
      <w:pPr>
        <w:ind w:left="2205" w:hanging="360"/>
      </w:pPr>
      <w:rPr>
        <w:rFonts w:ascii="Symbol" w:hAnsi="Symbol" w:hint="default"/>
      </w:rPr>
    </w:lvl>
    <w:lvl w:ilvl="4" w:tplc="04090003" w:tentative="1">
      <w:start w:val="1"/>
      <w:numFmt w:val="bullet"/>
      <w:lvlText w:val="o"/>
      <w:lvlJc w:val="left"/>
      <w:pPr>
        <w:ind w:left="2925" w:hanging="360"/>
      </w:pPr>
      <w:rPr>
        <w:rFonts w:ascii="Courier New" w:hAnsi="Courier New" w:cs="Courier New" w:hint="default"/>
      </w:rPr>
    </w:lvl>
    <w:lvl w:ilvl="5" w:tplc="04090005" w:tentative="1">
      <w:start w:val="1"/>
      <w:numFmt w:val="bullet"/>
      <w:lvlText w:val=""/>
      <w:lvlJc w:val="left"/>
      <w:pPr>
        <w:ind w:left="3645" w:hanging="360"/>
      </w:pPr>
      <w:rPr>
        <w:rFonts w:ascii="Wingdings" w:hAnsi="Wingdings" w:hint="default"/>
      </w:rPr>
    </w:lvl>
    <w:lvl w:ilvl="6" w:tplc="04090001" w:tentative="1">
      <w:start w:val="1"/>
      <w:numFmt w:val="bullet"/>
      <w:lvlText w:val=""/>
      <w:lvlJc w:val="left"/>
      <w:pPr>
        <w:ind w:left="4365" w:hanging="360"/>
      </w:pPr>
      <w:rPr>
        <w:rFonts w:ascii="Symbol" w:hAnsi="Symbol" w:hint="default"/>
      </w:rPr>
    </w:lvl>
    <w:lvl w:ilvl="7" w:tplc="04090003" w:tentative="1">
      <w:start w:val="1"/>
      <w:numFmt w:val="bullet"/>
      <w:lvlText w:val="o"/>
      <w:lvlJc w:val="left"/>
      <w:pPr>
        <w:ind w:left="5085" w:hanging="360"/>
      </w:pPr>
      <w:rPr>
        <w:rFonts w:ascii="Courier New" w:hAnsi="Courier New" w:cs="Courier New" w:hint="default"/>
      </w:rPr>
    </w:lvl>
    <w:lvl w:ilvl="8" w:tplc="04090005" w:tentative="1">
      <w:start w:val="1"/>
      <w:numFmt w:val="bullet"/>
      <w:lvlText w:val=""/>
      <w:lvlJc w:val="left"/>
      <w:pPr>
        <w:ind w:left="58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518"/>
    <w:rsid w:val="00001D92"/>
    <w:rsid w:val="0002008C"/>
    <w:rsid w:val="00020D63"/>
    <w:rsid w:val="00023399"/>
    <w:rsid w:val="000279EA"/>
    <w:rsid w:val="00032FE6"/>
    <w:rsid w:val="00033021"/>
    <w:rsid w:val="00034473"/>
    <w:rsid w:val="00041F20"/>
    <w:rsid w:val="00045F51"/>
    <w:rsid w:val="0005261E"/>
    <w:rsid w:val="00054AC7"/>
    <w:rsid w:val="000652B4"/>
    <w:rsid w:val="00076E5D"/>
    <w:rsid w:val="00077819"/>
    <w:rsid w:val="00087ACD"/>
    <w:rsid w:val="000912A9"/>
    <w:rsid w:val="00097DDB"/>
    <w:rsid w:val="000A4977"/>
    <w:rsid w:val="000B3FD2"/>
    <w:rsid w:val="000B4BF0"/>
    <w:rsid w:val="000D4F82"/>
    <w:rsid w:val="000E6330"/>
    <w:rsid w:val="000F4978"/>
    <w:rsid w:val="00100962"/>
    <w:rsid w:val="00101475"/>
    <w:rsid w:val="0010198C"/>
    <w:rsid w:val="00117840"/>
    <w:rsid w:val="00123901"/>
    <w:rsid w:val="00134721"/>
    <w:rsid w:val="00142757"/>
    <w:rsid w:val="00142CB6"/>
    <w:rsid w:val="00181DC9"/>
    <w:rsid w:val="00183BCE"/>
    <w:rsid w:val="001906A3"/>
    <w:rsid w:val="00190AAC"/>
    <w:rsid w:val="001950C7"/>
    <w:rsid w:val="001C02CC"/>
    <w:rsid w:val="001D7265"/>
    <w:rsid w:val="001E0687"/>
    <w:rsid w:val="001E5A02"/>
    <w:rsid w:val="001F58A9"/>
    <w:rsid w:val="001F650D"/>
    <w:rsid w:val="00212D17"/>
    <w:rsid w:val="0021388D"/>
    <w:rsid w:val="00215192"/>
    <w:rsid w:val="0024054B"/>
    <w:rsid w:val="00241283"/>
    <w:rsid w:val="00244E0F"/>
    <w:rsid w:val="00245C89"/>
    <w:rsid w:val="00250787"/>
    <w:rsid w:val="00255B72"/>
    <w:rsid w:val="002601C4"/>
    <w:rsid w:val="00262F4B"/>
    <w:rsid w:val="00272D25"/>
    <w:rsid w:val="00275162"/>
    <w:rsid w:val="002778C7"/>
    <w:rsid w:val="00277DA2"/>
    <w:rsid w:val="002813B1"/>
    <w:rsid w:val="00285ECE"/>
    <w:rsid w:val="002871BA"/>
    <w:rsid w:val="00297CAD"/>
    <w:rsid w:val="002A7CBF"/>
    <w:rsid w:val="002B3F76"/>
    <w:rsid w:val="002C13B6"/>
    <w:rsid w:val="002D60DD"/>
    <w:rsid w:val="002E09C9"/>
    <w:rsid w:val="003006D7"/>
    <w:rsid w:val="00326256"/>
    <w:rsid w:val="00327371"/>
    <w:rsid w:val="00341F83"/>
    <w:rsid w:val="00346B29"/>
    <w:rsid w:val="00347DD7"/>
    <w:rsid w:val="003632E6"/>
    <w:rsid w:val="00377A01"/>
    <w:rsid w:val="00380A6B"/>
    <w:rsid w:val="003A32CD"/>
    <w:rsid w:val="003A471C"/>
    <w:rsid w:val="003B595A"/>
    <w:rsid w:val="003C122E"/>
    <w:rsid w:val="003E1777"/>
    <w:rsid w:val="003F4955"/>
    <w:rsid w:val="003F6F6C"/>
    <w:rsid w:val="00405839"/>
    <w:rsid w:val="00413551"/>
    <w:rsid w:val="00420DB4"/>
    <w:rsid w:val="00421E09"/>
    <w:rsid w:val="00433477"/>
    <w:rsid w:val="00440828"/>
    <w:rsid w:val="00442304"/>
    <w:rsid w:val="0048175F"/>
    <w:rsid w:val="00484F5A"/>
    <w:rsid w:val="004B559D"/>
    <w:rsid w:val="004B646C"/>
    <w:rsid w:val="004C2242"/>
    <w:rsid w:val="004C3942"/>
    <w:rsid w:val="004E3189"/>
    <w:rsid w:val="004E6858"/>
    <w:rsid w:val="004E7740"/>
    <w:rsid w:val="00510039"/>
    <w:rsid w:val="0051371A"/>
    <w:rsid w:val="00515122"/>
    <w:rsid w:val="005278F3"/>
    <w:rsid w:val="00531DB5"/>
    <w:rsid w:val="00535BCB"/>
    <w:rsid w:val="00561DF4"/>
    <w:rsid w:val="00575318"/>
    <w:rsid w:val="00577438"/>
    <w:rsid w:val="005923B5"/>
    <w:rsid w:val="005A1EF6"/>
    <w:rsid w:val="005B6370"/>
    <w:rsid w:val="005B70EB"/>
    <w:rsid w:val="005C2801"/>
    <w:rsid w:val="005C40CB"/>
    <w:rsid w:val="005C6973"/>
    <w:rsid w:val="005E5E9C"/>
    <w:rsid w:val="005F2B12"/>
    <w:rsid w:val="006106E9"/>
    <w:rsid w:val="006178C7"/>
    <w:rsid w:val="00625C18"/>
    <w:rsid w:val="006308EC"/>
    <w:rsid w:val="006403F3"/>
    <w:rsid w:val="00640401"/>
    <w:rsid w:val="00650497"/>
    <w:rsid w:val="00656CD4"/>
    <w:rsid w:val="006664BE"/>
    <w:rsid w:val="00685966"/>
    <w:rsid w:val="00691320"/>
    <w:rsid w:val="00692355"/>
    <w:rsid w:val="00692859"/>
    <w:rsid w:val="00694C60"/>
    <w:rsid w:val="006A3839"/>
    <w:rsid w:val="006B5104"/>
    <w:rsid w:val="006C6326"/>
    <w:rsid w:val="006D4AB3"/>
    <w:rsid w:val="007065CC"/>
    <w:rsid w:val="00737B7D"/>
    <w:rsid w:val="0074151A"/>
    <w:rsid w:val="0077483C"/>
    <w:rsid w:val="0078032C"/>
    <w:rsid w:val="00783D8C"/>
    <w:rsid w:val="00792542"/>
    <w:rsid w:val="007A4DE9"/>
    <w:rsid w:val="007B4C62"/>
    <w:rsid w:val="007C0944"/>
    <w:rsid w:val="007D33C1"/>
    <w:rsid w:val="007D5210"/>
    <w:rsid w:val="007D6191"/>
    <w:rsid w:val="007F0B62"/>
    <w:rsid w:val="007F3A1A"/>
    <w:rsid w:val="007F427A"/>
    <w:rsid w:val="007F435A"/>
    <w:rsid w:val="007F5963"/>
    <w:rsid w:val="007F5FE9"/>
    <w:rsid w:val="007F6956"/>
    <w:rsid w:val="00803834"/>
    <w:rsid w:val="00804F2F"/>
    <w:rsid w:val="008150E2"/>
    <w:rsid w:val="008359AD"/>
    <w:rsid w:val="0083706A"/>
    <w:rsid w:val="00853CE0"/>
    <w:rsid w:val="00854607"/>
    <w:rsid w:val="00865C5A"/>
    <w:rsid w:val="008735AA"/>
    <w:rsid w:val="00874C83"/>
    <w:rsid w:val="00880B54"/>
    <w:rsid w:val="00890C7E"/>
    <w:rsid w:val="008A7650"/>
    <w:rsid w:val="008B2EE4"/>
    <w:rsid w:val="008B35BD"/>
    <w:rsid w:val="008C75CB"/>
    <w:rsid w:val="008E3234"/>
    <w:rsid w:val="008F0D0C"/>
    <w:rsid w:val="008F33F9"/>
    <w:rsid w:val="008F6CDB"/>
    <w:rsid w:val="009106AD"/>
    <w:rsid w:val="0092040B"/>
    <w:rsid w:val="00920B25"/>
    <w:rsid w:val="00940374"/>
    <w:rsid w:val="00941B11"/>
    <w:rsid w:val="00954621"/>
    <w:rsid w:val="009565E5"/>
    <w:rsid w:val="0097280C"/>
    <w:rsid w:val="009907D4"/>
    <w:rsid w:val="009939F8"/>
    <w:rsid w:val="0099635F"/>
    <w:rsid w:val="00997BA1"/>
    <w:rsid w:val="009A211D"/>
    <w:rsid w:val="009A4328"/>
    <w:rsid w:val="009C02C3"/>
    <w:rsid w:val="009C48FF"/>
    <w:rsid w:val="009E2682"/>
    <w:rsid w:val="009F3598"/>
    <w:rsid w:val="00A00F85"/>
    <w:rsid w:val="00A12590"/>
    <w:rsid w:val="00A13B74"/>
    <w:rsid w:val="00A23921"/>
    <w:rsid w:val="00A27497"/>
    <w:rsid w:val="00A27C38"/>
    <w:rsid w:val="00A315EE"/>
    <w:rsid w:val="00A37A89"/>
    <w:rsid w:val="00A46EBC"/>
    <w:rsid w:val="00A54913"/>
    <w:rsid w:val="00A56F52"/>
    <w:rsid w:val="00A60953"/>
    <w:rsid w:val="00A64CDE"/>
    <w:rsid w:val="00A83C16"/>
    <w:rsid w:val="00A93BE6"/>
    <w:rsid w:val="00A96C01"/>
    <w:rsid w:val="00AA421F"/>
    <w:rsid w:val="00AB02AF"/>
    <w:rsid w:val="00AB33FF"/>
    <w:rsid w:val="00AB43AF"/>
    <w:rsid w:val="00AD0B93"/>
    <w:rsid w:val="00AE3CEB"/>
    <w:rsid w:val="00AE5DAF"/>
    <w:rsid w:val="00AF23A2"/>
    <w:rsid w:val="00AF263F"/>
    <w:rsid w:val="00B2250F"/>
    <w:rsid w:val="00B32E7B"/>
    <w:rsid w:val="00B344F3"/>
    <w:rsid w:val="00B5002D"/>
    <w:rsid w:val="00B5181E"/>
    <w:rsid w:val="00B51C66"/>
    <w:rsid w:val="00B63F94"/>
    <w:rsid w:val="00B72377"/>
    <w:rsid w:val="00B85E1A"/>
    <w:rsid w:val="00B8665F"/>
    <w:rsid w:val="00B8786D"/>
    <w:rsid w:val="00B970D9"/>
    <w:rsid w:val="00BA0EAD"/>
    <w:rsid w:val="00BC60F9"/>
    <w:rsid w:val="00BD0172"/>
    <w:rsid w:val="00BE433A"/>
    <w:rsid w:val="00C01C0B"/>
    <w:rsid w:val="00C0336A"/>
    <w:rsid w:val="00C0484C"/>
    <w:rsid w:val="00C40E74"/>
    <w:rsid w:val="00C43828"/>
    <w:rsid w:val="00C61DC9"/>
    <w:rsid w:val="00C66119"/>
    <w:rsid w:val="00C714E8"/>
    <w:rsid w:val="00C71D7E"/>
    <w:rsid w:val="00C85289"/>
    <w:rsid w:val="00C8640D"/>
    <w:rsid w:val="00C931B6"/>
    <w:rsid w:val="00C97A10"/>
    <w:rsid w:val="00CB6A25"/>
    <w:rsid w:val="00CC56BF"/>
    <w:rsid w:val="00CC6FC3"/>
    <w:rsid w:val="00CD29C4"/>
    <w:rsid w:val="00CE65B7"/>
    <w:rsid w:val="00CF31E0"/>
    <w:rsid w:val="00D1687E"/>
    <w:rsid w:val="00D56FE2"/>
    <w:rsid w:val="00D65653"/>
    <w:rsid w:val="00D765AF"/>
    <w:rsid w:val="00D80981"/>
    <w:rsid w:val="00D91A84"/>
    <w:rsid w:val="00DA13BD"/>
    <w:rsid w:val="00DA3D7F"/>
    <w:rsid w:val="00DA6AA7"/>
    <w:rsid w:val="00DB37CE"/>
    <w:rsid w:val="00DC139E"/>
    <w:rsid w:val="00DC4C96"/>
    <w:rsid w:val="00DD4F86"/>
    <w:rsid w:val="00DD77E3"/>
    <w:rsid w:val="00DE4B20"/>
    <w:rsid w:val="00DF5F49"/>
    <w:rsid w:val="00E0518B"/>
    <w:rsid w:val="00E10AC6"/>
    <w:rsid w:val="00E1243A"/>
    <w:rsid w:val="00E13ABA"/>
    <w:rsid w:val="00E15653"/>
    <w:rsid w:val="00E2278F"/>
    <w:rsid w:val="00E23DC0"/>
    <w:rsid w:val="00E325F3"/>
    <w:rsid w:val="00E416ED"/>
    <w:rsid w:val="00E46029"/>
    <w:rsid w:val="00E672F6"/>
    <w:rsid w:val="00E74608"/>
    <w:rsid w:val="00E77202"/>
    <w:rsid w:val="00E84BF7"/>
    <w:rsid w:val="00E862A1"/>
    <w:rsid w:val="00E92FCD"/>
    <w:rsid w:val="00EA209E"/>
    <w:rsid w:val="00EB5F0D"/>
    <w:rsid w:val="00EC6CD7"/>
    <w:rsid w:val="00EC74B1"/>
    <w:rsid w:val="00ED4E09"/>
    <w:rsid w:val="00EF38B8"/>
    <w:rsid w:val="00F02EC9"/>
    <w:rsid w:val="00F03C3D"/>
    <w:rsid w:val="00F05529"/>
    <w:rsid w:val="00F11B5E"/>
    <w:rsid w:val="00F227FB"/>
    <w:rsid w:val="00F3015D"/>
    <w:rsid w:val="00F309CA"/>
    <w:rsid w:val="00F35456"/>
    <w:rsid w:val="00F5376A"/>
    <w:rsid w:val="00F549FD"/>
    <w:rsid w:val="00F55554"/>
    <w:rsid w:val="00F609CB"/>
    <w:rsid w:val="00F75FEF"/>
    <w:rsid w:val="00F767C9"/>
    <w:rsid w:val="00F81875"/>
    <w:rsid w:val="00F96395"/>
    <w:rsid w:val="00FB5DF9"/>
    <w:rsid w:val="00FB6907"/>
    <w:rsid w:val="00FC2806"/>
    <w:rsid w:val="00FD4DBC"/>
    <w:rsid w:val="00FF05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518"/>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0518"/>
    <w:rPr>
      <w:color w:val="0000FF"/>
      <w:u w:val="single"/>
    </w:rPr>
  </w:style>
  <w:style w:type="paragraph" w:styleId="BodyTextIndent2">
    <w:name w:val="Body Text Indent 2"/>
    <w:basedOn w:val="Normal"/>
    <w:link w:val="BodyTextIndent2Char"/>
    <w:rsid w:val="00FF0518"/>
    <w:pPr>
      <w:spacing w:after="120" w:line="480" w:lineRule="auto"/>
      <w:ind w:left="360"/>
    </w:pPr>
    <w:rPr>
      <w:rFonts w:ascii="Times New Roman" w:eastAsia="Times New Roman" w:hAnsi="Times New Roman"/>
      <w:szCs w:val="24"/>
    </w:rPr>
  </w:style>
  <w:style w:type="character" w:customStyle="1" w:styleId="BodyTextIndent2Char">
    <w:name w:val="Body Text Indent 2 Char"/>
    <w:basedOn w:val="DefaultParagraphFont"/>
    <w:link w:val="BodyTextIndent2"/>
    <w:rsid w:val="00FF0518"/>
    <w:rPr>
      <w:rFonts w:eastAsia="Times New Roman"/>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FF0518"/>
    <w:rPr>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FF0518"/>
    <w:rPr>
      <w:rFonts w:ascii="Times" w:eastAsia="Times" w:hAnsi="Times"/>
    </w:rPr>
  </w:style>
  <w:style w:type="paragraph" w:styleId="Footer">
    <w:name w:val="footer"/>
    <w:basedOn w:val="Normal"/>
    <w:link w:val="FooterChar"/>
    <w:semiHidden/>
    <w:rsid w:val="00FF0518"/>
    <w:pPr>
      <w:tabs>
        <w:tab w:val="center" w:pos="4320"/>
        <w:tab w:val="right" w:pos="8640"/>
      </w:tabs>
    </w:pPr>
  </w:style>
  <w:style w:type="character" w:customStyle="1" w:styleId="FooterChar">
    <w:name w:val="Footer Char"/>
    <w:basedOn w:val="DefaultParagraphFont"/>
    <w:link w:val="Footer"/>
    <w:semiHidden/>
    <w:rsid w:val="00FF0518"/>
    <w:rPr>
      <w:rFonts w:ascii="Times" w:eastAsia="Times" w:hAnsi="Times"/>
      <w:szCs w:val="20"/>
    </w:rPr>
  </w:style>
  <w:style w:type="character" w:styleId="PageNumber">
    <w:name w:val="page number"/>
    <w:basedOn w:val="DefaultParagraphFont"/>
    <w:rsid w:val="00FF0518"/>
  </w:style>
  <w:style w:type="paragraph" w:styleId="BodyTextIndent">
    <w:name w:val="Body Text Indent"/>
    <w:basedOn w:val="Normal"/>
    <w:link w:val="BodyTextIndentChar"/>
    <w:rsid w:val="00FF0518"/>
    <w:pPr>
      <w:spacing w:after="120"/>
      <w:ind w:left="360"/>
    </w:pPr>
  </w:style>
  <w:style w:type="character" w:customStyle="1" w:styleId="BodyTextIndentChar">
    <w:name w:val="Body Text Indent Char"/>
    <w:basedOn w:val="DefaultParagraphFont"/>
    <w:link w:val="BodyTextIndent"/>
    <w:rsid w:val="00FF0518"/>
    <w:rPr>
      <w:rFonts w:ascii="Times" w:eastAsia="Times" w:hAnsi="Times"/>
      <w:szCs w:val="20"/>
    </w:rPr>
  </w:style>
  <w:style w:type="paragraph" w:styleId="BodyText2">
    <w:name w:val="Body Text 2"/>
    <w:basedOn w:val="Normal"/>
    <w:link w:val="BodyText2Char"/>
    <w:rsid w:val="00FF0518"/>
    <w:pPr>
      <w:spacing w:after="120" w:line="480" w:lineRule="auto"/>
    </w:pPr>
  </w:style>
  <w:style w:type="character" w:customStyle="1" w:styleId="BodyText2Char">
    <w:name w:val="Body Text 2 Char"/>
    <w:basedOn w:val="DefaultParagraphFont"/>
    <w:link w:val="BodyText2"/>
    <w:rsid w:val="00FF0518"/>
    <w:rPr>
      <w:rFonts w:ascii="Times" w:eastAsia="Times" w:hAnsi="Times"/>
      <w:szCs w:val="20"/>
    </w:rPr>
  </w:style>
  <w:style w:type="paragraph" w:customStyle="1" w:styleId="CharChar1">
    <w:name w:val="Char Char1"/>
    <w:basedOn w:val="Normal"/>
    <w:rsid w:val="00FF0518"/>
    <w:pPr>
      <w:spacing w:after="160" w:line="240" w:lineRule="exact"/>
    </w:pPr>
    <w:rPr>
      <w:rFonts w:ascii="Verdana" w:eastAsia="Times New Roman" w:hAnsi="Verdana" w:cs="Verdana"/>
      <w:sz w:val="20"/>
    </w:rPr>
  </w:style>
  <w:style w:type="paragraph" w:customStyle="1" w:styleId="PleadingSignature">
    <w:name w:val="Pleading Signature"/>
    <w:basedOn w:val="Normal"/>
    <w:rsid w:val="00FF0518"/>
    <w:pPr>
      <w:keepNext/>
      <w:keepLines/>
      <w:spacing w:line="240" w:lineRule="exact"/>
    </w:pPr>
    <w:rPr>
      <w:rFonts w:ascii="Times New Roman" w:eastAsia="Times New Roman" w:hAnsi="Times New Roman"/>
    </w:rPr>
  </w:style>
  <w:style w:type="character" w:styleId="CommentReference">
    <w:name w:val="annotation reference"/>
    <w:basedOn w:val="DefaultParagraphFont"/>
    <w:uiPriority w:val="99"/>
    <w:semiHidden/>
    <w:unhideWhenUsed/>
    <w:rsid w:val="002871BA"/>
    <w:rPr>
      <w:sz w:val="16"/>
      <w:szCs w:val="16"/>
    </w:rPr>
  </w:style>
  <w:style w:type="paragraph" w:styleId="CommentText">
    <w:name w:val="annotation text"/>
    <w:basedOn w:val="Normal"/>
    <w:link w:val="CommentTextChar"/>
    <w:uiPriority w:val="99"/>
    <w:semiHidden/>
    <w:unhideWhenUsed/>
    <w:rsid w:val="002871BA"/>
    <w:rPr>
      <w:sz w:val="20"/>
    </w:rPr>
  </w:style>
  <w:style w:type="character" w:customStyle="1" w:styleId="CommentTextChar">
    <w:name w:val="Comment Text Char"/>
    <w:basedOn w:val="DefaultParagraphFont"/>
    <w:link w:val="CommentText"/>
    <w:uiPriority w:val="99"/>
    <w:semiHidden/>
    <w:rsid w:val="002871BA"/>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2871BA"/>
    <w:rPr>
      <w:b/>
      <w:bCs/>
    </w:rPr>
  </w:style>
  <w:style w:type="character" w:customStyle="1" w:styleId="CommentSubjectChar">
    <w:name w:val="Comment Subject Char"/>
    <w:basedOn w:val="CommentTextChar"/>
    <w:link w:val="CommentSubject"/>
    <w:uiPriority w:val="99"/>
    <w:semiHidden/>
    <w:rsid w:val="002871BA"/>
    <w:rPr>
      <w:rFonts w:ascii="Times" w:eastAsia="Times" w:hAnsi="Times"/>
      <w:b/>
      <w:bCs/>
      <w:sz w:val="20"/>
      <w:szCs w:val="20"/>
    </w:rPr>
  </w:style>
  <w:style w:type="paragraph" w:styleId="BalloonText">
    <w:name w:val="Balloon Text"/>
    <w:basedOn w:val="Normal"/>
    <w:link w:val="BalloonTextChar"/>
    <w:uiPriority w:val="99"/>
    <w:semiHidden/>
    <w:unhideWhenUsed/>
    <w:rsid w:val="002871BA"/>
    <w:rPr>
      <w:rFonts w:ascii="Tahoma" w:hAnsi="Tahoma" w:cs="Tahoma"/>
      <w:sz w:val="16"/>
      <w:szCs w:val="16"/>
    </w:rPr>
  </w:style>
  <w:style w:type="character" w:customStyle="1" w:styleId="BalloonTextChar">
    <w:name w:val="Balloon Text Char"/>
    <w:basedOn w:val="DefaultParagraphFont"/>
    <w:link w:val="BalloonText"/>
    <w:uiPriority w:val="99"/>
    <w:semiHidden/>
    <w:rsid w:val="002871BA"/>
    <w:rPr>
      <w:rFonts w:ascii="Tahoma" w:eastAsia="Times" w:hAnsi="Tahoma" w:cs="Tahoma"/>
      <w:sz w:val="16"/>
      <w:szCs w:val="16"/>
    </w:rPr>
  </w:style>
  <w:style w:type="paragraph" w:styleId="Header">
    <w:name w:val="header"/>
    <w:basedOn w:val="Normal"/>
    <w:link w:val="HeaderChar"/>
    <w:uiPriority w:val="99"/>
    <w:unhideWhenUsed/>
    <w:rsid w:val="001F650D"/>
    <w:pPr>
      <w:tabs>
        <w:tab w:val="center" w:pos="4680"/>
        <w:tab w:val="right" w:pos="9360"/>
      </w:tabs>
    </w:pPr>
  </w:style>
  <w:style w:type="character" w:customStyle="1" w:styleId="HeaderChar">
    <w:name w:val="Header Char"/>
    <w:basedOn w:val="DefaultParagraphFont"/>
    <w:link w:val="Header"/>
    <w:uiPriority w:val="99"/>
    <w:rsid w:val="001F650D"/>
    <w:rPr>
      <w:rFonts w:ascii="Times" w:eastAsia="Times" w:hAnsi="Times"/>
      <w:szCs w:val="20"/>
    </w:rPr>
  </w:style>
  <w:style w:type="character" w:styleId="FootnoteReference">
    <w:name w:val="footnote reference"/>
    <w:basedOn w:val="DefaultParagraphFont"/>
    <w:uiPriority w:val="99"/>
    <w:semiHidden/>
    <w:unhideWhenUsed/>
    <w:rsid w:val="00685966"/>
    <w:rPr>
      <w:vertAlign w:val="superscript"/>
    </w:rPr>
  </w:style>
  <w:style w:type="paragraph" w:styleId="ListParagraph">
    <w:name w:val="List Paragraph"/>
    <w:basedOn w:val="Normal"/>
    <w:uiPriority w:val="34"/>
    <w:qFormat/>
    <w:rsid w:val="00A23921"/>
    <w:pPr>
      <w:ind w:left="720"/>
      <w:contextualSpacing/>
    </w:pPr>
  </w:style>
  <w:style w:type="paragraph" w:customStyle="1" w:styleId="Default">
    <w:name w:val="Default"/>
    <w:rsid w:val="003E1777"/>
    <w:pPr>
      <w:autoSpaceDE w:val="0"/>
      <w:autoSpaceDN w:val="0"/>
      <w:adjustRightInd w:val="0"/>
    </w:pPr>
    <w:rPr>
      <w:color w:val="000000"/>
      <w:sz w:val="24"/>
      <w:szCs w:val="24"/>
    </w:rPr>
  </w:style>
  <w:style w:type="paragraph" w:styleId="Revision">
    <w:name w:val="Revision"/>
    <w:hidden/>
    <w:uiPriority w:val="99"/>
    <w:semiHidden/>
    <w:rsid w:val="003E1777"/>
    <w:rPr>
      <w:rFonts w:ascii="Times" w:eastAsia="Times" w:hAnsi="Times"/>
      <w:sz w:val="24"/>
    </w:rPr>
  </w:style>
  <w:style w:type="table" w:styleId="TableGrid">
    <w:name w:val="Table Grid"/>
    <w:basedOn w:val="TableNormal"/>
    <w:uiPriority w:val="59"/>
    <w:rsid w:val="001C02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518"/>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0518"/>
    <w:rPr>
      <w:color w:val="0000FF"/>
      <w:u w:val="single"/>
    </w:rPr>
  </w:style>
  <w:style w:type="paragraph" w:styleId="BodyTextIndent2">
    <w:name w:val="Body Text Indent 2"/>
    <w:basedOn w:val="Normal"/>
    <w:link w:val="BodyTextIndent2Char"/>
    <w:rsid w:val="00FF0518"/>
    <w:pPr>
      <w:spacing w:after="120" w:line="480" w:lineRule="auto"/>
      <w:ind w:left="360"/>
    </w:pPr>
    <w:rPr>
      <w:rFonts w:ascii="Times New Roman" w:eastAsia="Times New Roman" w:hAnsi="Times New Roman"/>
      <w:szCs w:val="24"/>
    </w:rPr>
  </w:style>
  <w:style w:type="character" w:customStyle="1" w:styleId="BodyTextIndent2Char">
    <w:name w:val="Body Text Indent 2 Char"/>
    <w:basedOn w:val="DefaultParagraphFont"/>
    <w:link w:val="BodyTextIndent2"/>
    <w:rsid w:val="00FF0518"/>
    <w:rPr>
      <w:rFonts w:eastAsia="Times New Roman"/>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FF0518"/>
    <w:rPr>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FF0518"/>
    <w:rPr>
      <w:rFonts w:ascii="Times" w:eastAsia="Times" w:hAnsi="Times"/>
    </w:rPr>
  </w:style>
  <w:style w:type="paragraph" w:styleId="Footer">
    <w:name w:val="footer"/>
    <w:basedOn w:val="Normal"/>
    <w:link w:val="FooterChar"/>
    <w:semiHidden/>
    <w:rsid w:val="00FF0518"/>
    <w:pPr>
      <w:tabs>
        <w:tab w:val="center" w:pos="4320"/>
        <w:tab w:val="right" w:pos="8640"/>
      </w:tabs>
    </w:pPr>
  </w:style>
  <w:style w:type="character" w:customStyle="1" w:styleId="FooterChar">
    <w:name w:val="Footer Char"/>
    <w:basedOn w:val="DefaultParagraphFont"/>
    <w:link w:val="Footer"/>
    <w:semiHidden/>
    <w:rsid w:val="00FF0518"/>
    <w:rPr>
      <w:rFonts w:ascii="Times" w:eastAsia="Times" w:hAnsi="Times"/>
      <w:szCs w:val="20"/>
    </w:rPr>
  </w:style>
  <w:style w:type="character" w:styleId="PageNumber">
    <w:name w:val="page number"/>
    <w:basedOn w:val="DefaultParagraphFont"/>
    <w:rsid w:val="00FF0518"/>
  </w:style>
  <w:style w:type="paragraph" w:styleId="BodyTextIndent">
    <w:name w:val="Body Text Indent"/>
    <w:basedOn w:val="Normal"/>
    <w:link w:val="BodyTextIndentChar"/>
    <w:rsid w:val="00FF0518"/>
    <w:pPr>
      <w:spacing w:after="120"/>
      <w:ind w:left="360"/>
    </w:pPr>
  </w:style>
  <w:style w:type="character" w:customStyle="1" w:styleId="BodyTextIndentChar">
    <w:name w:val="Body Text Indent Char"/>
    <w:basedOn w:val="DefaultParagraphFont"/>
    <w:link w:val="BodyTextIndent"/>
    <w:rsid w:val="00FF0518"/>
    <w:rPr>
      <w:rFonts w:ascii="Times" w:eastAsia="Times" w:hAnsi="Times"/>
      <w:szCs w:val="20"/>
    </w:rPr>
  </w:style>
  <w:style w:type="paragraph" w:styleId="BodyText2">
    <w:name w:val="Body Text 2"/>
    <w:basedOn w:val="Normal"/>
    <w:link w:val="BodyText2Char"/>
    <w:rsid w:val="00FF0518"/>
    <w:pPr>
      <w:spacing w:after="120" w:line="480" w:lineRule="auto"/>
    </w:pPr>
  </w:style>
  <w:style w:type="character" w:customStyle="1" w:styleId="BodyText2Char">
    <w:name w:val="Body Text 2 Char"/>
    <w:basedOn w:val="DefaultParagraphFont"/>
    <w:link w:val="BodyText2"/>
    <w:rsid w:val="00FF0518"/>
    <w:rPr>
      <w:rFonts w:ascii="Times" w:eastAsia="Times" w:hAnsi="Times"/>
      <w:szCs w:val="20"/>
    </w:rPr>
  </w:style>
  <w:style w:type="paragraph" w:customStyle="1" w:styleId="CharChar1">
    <w:name w:val="Char Char1"/>
    <w:basedOn w:val="Normal"/>
    <w:rsid w:val="00FF0518"/>
    <w:pPr>
      <w:spacing w:after="160" w:line="240" w:lineRule="exact"/>
    </w:pPr>
    <w:rPr>
      <w:rFonts w:ascii="Verdana" w:eastAsia="Times New Roman" w:hAnsi="Verdana" w:cs="Verdana"/>
      <w:sz w:val="20"/>
    </w:rPr>
  </w:style>
  <w:style w:type="paragraph" w:customStyle="1" w:styleId="PleadingSignature">
    <w:name w:val="Pleading Signature"/>
    <w:basedOn w:val="Normal"/>
    <w:rsid w:val="00FF0518"/>
    <w:pPr>
      <w:keepNext/>
      <w:keepLines/>
      <w:spacing w:line="240" w:lineRule="exact"/>
    </w:pPr>
    <w:rPr>
      <w:rFonts w:ascii="Times New Roman" w:eastAsia="Times New Roman" w:hAnsi="Times New Roman"/>
    </w:rPr>
  </w:style>
  <w:style w:type="character" w:styleId="CommentReference">
    <w:name w:val="annotation reference"/>
    <w:basedOn w:val="DefaultParagraphFont"/>
    <w:uiPriority w:val="99"/>
    <w:semiHidden/>
    <w:unhideWhenUsed/>
    <w:rsid w:val="002871BA"/>
    <w:rPr>
      <w:sz w:val="16"/>
      <w:szCs w:val="16"/>
    </w:rPr>
  </w:style>
  <w:style w:type="paragraph" w:styleId="CommentText">
    <w:name w:val="annotation text"/>
    <w:basedOn w:val="Normal"/>
    <w:link w:val="CommentTextChar"/>
    <w:uiPriority w:val="99"/>
    <w:semiHidden/>
    <w:unhideWhenUsed/>
    <w:rsid w:val="002871BA"/>
    <w:rPr>
      <w:sz w:val="20"/>
    </w:rPr>
  </w:style>
  <w:style w:type="character" w:customStyle="1" w:styleId="CommentTextChar">
    <w:name w:val="Comment Text Char"/>
    <w:basedOn w:val="DefaultParagraphFont"/>
    <w:link w:val="CommentText"/>
    <w:uiPriority w:val="99"/>
    <w:semiHidden/>
    <w:rsid w:val="002871BA"/>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2871BA"/>
    <w:rPr>
      <w:b/>
      <w:bCs/>
    </w:rPr>
  </w:style>
  <w:style w:type="character" w:customStyle="1" w:styleId="CommentSubjectChar">
    <w:name w:val="Comment Subject Char"/>
    <w:basedOn w:val="CommentTextChar"/>
    <w:link w:val="CommentSubject"/>
    <w:uiPriority w:val="99"/>
    <w:semiHidden/>
    <w:rsid w:val="002871BA"/>
    <w:rPr>
      <w:rFonts w:ascii="Times" w:eastAsia="Times" w:hAnsi="Times"/>
      <w:b/>
      <w:bCs/>
      <w:sz w:val="20"/>
      <w:szCs w:val="20"/>
    </w:rPr>
  </w:style>
  <w:style w:type="paragraph" w:styleId="BalloonText">
    <w:name w:val="Balloon Text"/>
    <w:basedOn w:val="Normal"/>
    <w:link w:val="BalloonTextChar"/>
    <w:uiPriority w:val="99"/>
    <w:semiHidden/>
    <w:unhideWhenUsed/>
    <w:rsid w:val="002871BA"/>
    <w:rPr>
      <w:rFonts w:ascii="Tahoma" w:hAnsi="Tahoma" w:cs="Tahoma"/>
      <w:sz w:val="16"/>
      <w:szCs w:val="16"/>
    </w:rPr>
  </w:style>
  <w:style w:type="character" w:customStyle="1" w:styleId="BalloonTextChar">
    <w:name w:val="Balloon Text Char"/>
    <w:basedOn w:val="DefaultParagraphFont"/>
    <w:link w:val="BalloonText"/>
    <w:uiPriority w:val="99"/>
    <w:semiHidden/>
    <w:rsid w:val="002871BA"/>
    <w:rPr>
      <w:rFonts w:ascii="Tahoma" w:eastAsia="Times" w:hAnsi="Tahoma" w:cs="Tahoma"/>
      <w:sz w:val="16"/>
      <w:szCs w:val="16"/>
    </w:rPr>
  </w:style>
  <w:style w:type="paragraph" w:styleId="Header">
    <w:name w:val="header"/>
    <w:basedOn w:val="Normal"/>
    <w:link w:val="HeaderChar"/>
    <w:uiPriority w:val="99"/>
    <w:unhideWhenUsed/>
    <w:rsid w:val="001F650D"/>
    <w:pPr>
      <w:tabs>
        <w:tab w:val="center" w:pos="4680"/>
        <w:tab w:val="right" w:pos="9360"/>
      </w:tabs>
    </w:pPr>
  </w:style>
  <w:style w:type="character" w:customStyle="1" w:styleId="HeaderChar">
    <w:name w:val="Header Char"/>
    <w:basedOn w:val="DefaultParagraphFont"/>
    <w:link w:val="Header"/>
    <w:uiPriority w:val="99"/>
    <w:rsid w:val="001F650D"/>
    <w:rPr>
      <w:rFonts w:ascii="Times" w:eastAsia="Times" w:hAnsi="Times"/>
      <w:szCs w:val="20"/>
    </w:rPr>
  </w:style>
  <w:style w:type="character" w:styleId="FootnoteReference">
    <w:name w:val="footnote reference"/>
    <w:basedOn w:val="DefaultParagraphFont"/>
    <w:uiPriority w:val="99"/>
    <w:semiHidden/>
    <w:unhideWhenUsed/>
    <w:rsid w:val="00685966"/>
    <w:rPr>
      <w:vertAlign w:val="superscript"/>
    </w:rPr>
  </w:style>
  <w:style w:type="paragraph" w:styleId="ListParagraph">
    <w:name w:val="List Paragraph"/>
    <w:basedOn w:val="Normal"/>
    <w:uiPriority w:val="34"/>
    <w:qFormat/>
    <w:rsid w:val="00A23921"/>
    <w:pPr>
      <w:ind w:left="720"/>
      <w:contextualSpacing/>
    </w:pPr>
  </w:style>
  <w:style w:type="paragraph" w:customStyle="1" w:styleId="Default">
    <w:name w:val="Default"/>
    <w:rsid w:val="003E1777"/>
    <w:pPr>
      <w:autoSpaceDE w:val="0"/>
      <w:autoSpaceDN w:val="0"/>
      <w:adjustRightInd w:val="0"/>
    </w:pPr>
    <w:rPr>
      <w:color w:val="000000"/>
      <w:sz w:val="24"/>
      <w:szCs w:val="24"/>
    </w:rPr>
  </w:style>
  <w:style w:type="paragraph" w:styleId="Revision">
    <w:name w:val="Revision"/>
    <w:hidden/>
    <w:uiPriority w:val="99"/>
    <w:semiHidden/>
    <w:rsid w:val="003E1777"/>
    <w:rPr>
      <w:rFonts w:ascii="Times" w:eastAsia="Times" w:hAnsi="Times"/>
      <w:sz w:val="24"/>
    </w:rPr>
  </w:style>
  <w:style w:type="table" w:styleId="TableGrid">
    <w:name w:val="Table Grid"/>
    <w:basedOn w:val="TableNormal"/>
    <w:uiPriority w:val="59"/>
    <w:rsid w:val="001C02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570119">
      <w:bodyDiv w:val="1"/>
      <w:marLeft w:val="0"/>
      <w:marRight w:val="0"/>
      <w:marTop w:val="0"/>
      <w:marBottom w:val="0"/>
      <w:divBdr>
        <w:top w:val="none" w:sz="0" w:space="0" w:color="auto"/>
        <w:left w:val="none" w:sz="0" w:space="0" w:color="auto"/>
        <w:bottom w:val="none" w:sz="0" w:space="0" w:color="auto"/>
        <w:right w:val="none" w:sz="0" w:space="0" w:color="auto"/>
      </w:divBdr>
    </w:div>
    <w:div w:id="1874805826">
      <w:bodyDiv w:val="1"/>
      <w:marLeft w:val="0"/>
      <w:marRight w:val="0"/>
      <w:marTop w:val="0"/>
      <w:marBottom w:val="0"/>
      <w:divBdr>
        <w:top w:val="none" w:sz="0" w:space="0" w:color="auto"/>
        <w:left w:val="none" w:sz="0" w:space="0" w:color="auto"/>
        <w:bottom w:val="none" w:sz="0" w:space="0" w:color="auto"/>
        <w:right w:val="none" w:sz="0" w:space="0" w:color="auto"/>
      </w:divBdr>
    </w:div>
    <w:div w:id="198804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FFE5187-14B3-4559-875E-ADD1644224F4}"/>
</file>

<file path=customXml/itemProps2.xml><?xml version="1.0" encoding="utf-8"?>
<ds:datastoreItem xmlns:ds="http://schemas.openxmlformats.org/officeDocument/2006/customXml" ds:itemID="{56E2232B-8DF8-4569-A1B6-715C041E46A7}"/>
</file>

<file path=customXml/itemProps3.xml><?xml version="1.0" encoding="utf-8"?>
<ds:datastoreItem xmlns:ds="http://schemas.openxmlformats.org/officeDocument/2006/customXml" ds:itemID="{540F2137-619C-438A-B8BA-79FF13DBB135}"/>
</file>

<file path=customXml/itemProps4.xml><?xml version="1.0" encoding="utf-8"?>
<ds:datastoreItem xmlns:ds="http://schemas.openxmlformats.org/officeDocument/2006/customXml" ds:itemID="{B559EBB9-1CA1-48A5-8C80-548CBBBB1D3B}"/>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Links>
    <vt:vector size="18" baseType="variant">
      <vt:variant>
        <vt:i4>4522100</vt:i4>
      </vt:variant>
      <vt:variant>
        <vt:i4>6</vt:i4>
      </vt:variant>
      <vt:variant>
        <vt:i4>0</vt:i4>
      </vt:variant>
      <vt:variant>
        <vt:i4>5</vt:i4>
      </vt:variant>
      <vt:variant>
        <vt:lpwstr>mailto:datarequest@pacificorp.com</vt:lpwstr>
      </vt:variant>
      <vt:variant>
        <vt:lpwstr/>
      </vt:variant>
      <vt:variant>
        <vt:i4>524401</vt:i4>
      </vt:variant>
      <vt:variant>
        <vt:i4>3</vt:i4>
      </vt:variant>
      <vt:variant>
        <vt:i4>0</vt:i4>
      </vt:variant>
      <vt:variant>
        <vt:i4>5</vt:i4>
      </vt:variant>
      <vt:variant>
        <vt:lpwstr>mailto:katherine@mcd-law.com</vt:lpwstr>
      </vt:variant>
      <vt:variant>
        <vt:lpwstr/>
      </vt:variant>
      <vt:variant>
        <vt:i4>1638513</vt:i4>
      </vt:variant>
      <vt:variant>
        <vt:i4>0</vt:i4>
      </vt:variant>
      <vt:variant>
        <vt:i4>0</vt:i4>
      </vt:variant>
      <vt:variant>
        <vt:i4>5</vt:i4>
      </vt:variant>
      <vt:variant>
        <vt:lpwstr>mailto:jordan.white@pacificorp.com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2014-05-01T13:53:00Z</dcterms:created>
  <dcterms:modified xsi:type="dcterms:W3CDTF">2014-05-01T13:53:00Z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