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61" w:rsidRDefault="00742C61" w:rsidP="00742C61">
      <w:pPr>
        <w:pStyle w:val="NoSpacing"/>
        <w:jc w:val="center"/>
        <w:rPr>
          <w:sz w:val="28"/>
          <w:szCs w:val="28"/>
        </w:rPr>
      </w:pPr>
      <w:bookmarkStart w:id="0" w:name="_GoBack"/>
      <w:bookmarkEnd w:id="0"/>
      <w:r w:rsidRPr="00AB4093">
        <w:rPr>
          <w:sz w:val="28"/>
          <w:szCs w:val="28"/>
        </w:rPr>
        <w:t>BEFORE THE WASHINGTON UTILITIES AND TRANSPORTATION COMMISSION</w:t>
      </w:r>
    </w:p>
    <w:p w:rsidR="00742C61" w:rsidRDefault="00742C61" w:rsidP="00742C61">
      <w:pPr>
        <w:pStyle w:val="NoSpacing"/>
        <w:rPr>
          <w:sz w:val="28"/>
          <w:szCs w:val="28"/>
        </w:rPr>
      </w:pPr>
    </w:p>
    <w:p w:rsidR="00742C61" w:rsidRDefault="00742C61" w:rsidP="00742C61">
      <w:pPr>
        <w:pStyle w:val="NoSpacing"/>
        <w:rPr>
          <w:sz w:val="28"/>
          <w:szCs w:val="28"/>
        </w:rPr>
      </w:pPr>
    </w:p>
    <w:p w:rsidR="00742C61" w:rsidRDefault="00742C61" w:rsidP="00742C61">
      <w:pPr>
        <w:pStyle w:val="NoSpacing"/>
        <w:rPr>
          <w:sz w:val="24"/>
          <w:szCs w:val="24"/>
        </w:rPr>
      </w:pPr>
      <w:r w:rsidRPr="00AB4093">
        <w:rPr>
          <w:sz w:val="24"/>
          <w:szCs w:val="24"/>
        </w:rPr>
        <w:t>In re Application of</w:t>
      </w:r>
      <w:r>
        <w:rPr>
          <w:sz w:val="24"/>
          <w:szCs w:val="24"/>
        </w:rPr>
        <w:tab/>
      </w:r>
      <w:r>
        <w:rPr>
          <w:sz w:val="24"/>
          <w:szCs w:val="24"/>
        </w:rPr>
        <w:tab/>
      </w:r>
      <w:r>
        <w:rPr>
          <w:sz w:val="24"/>
          <w:szCs w:val="24"/>
        </w:rPr>
        <w:tab/>
      </w:r>
      <w:r>
        <w:rPr>
          <w:sz w:val="24"/>
          <w:szCs w:val="24"/>
        </w:rPr>
        <w:tab/>
        <w:t>)</w:t>
      </w:r>
      <w:r>
        <w:rPr>
          <w:sz w:val="24"/>
          <w:szCs w:val="24"/>
        </w:rPr>
        <w:tab/>
      </w:r>
      <w:r>
        <w:rPr>
          <w:sz w:val="24"/>
          <w:szCs w:val="24"/>
        </w:rPr>
        <w:tab/>
        <w:t>DOCKET TC-130708</w:t>
      </w:r>
    </w:p>
    <w:p w:rsidR="00742C61" w:rsidRDefault="00742C61" w:rsidP="00742C61">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742C61" w:rsidRPr="00AB4093" w:rsidRDefault="00742C61" w:rsidP="00742C61">
      <w:pPr>
        <w:pStyle w:val="NoSpacing"/>
        <w:rPr>
          <w:sz w:val="24"/>
          <w:szCs w:val="24"/>
        </w:rPr>
      </w:pPr>
      <w:r w:rsidRPr="00AB4093">
        <w:rPr>
          <w:sz w:val="24"/>
          <w:szCs w:val="24"/>
        </w:rPr>
        <w:t>NORTHWEST SMOKING &amp; CURING,</w:t>
      </w:r>
      <w:r>
        <w:rPr>
          <w:sz w:val="24"/>
          <w:szCs w:val="24"/>
        </w:rPr>
        <w:tab/>
      </w:r>
      <w:r>
        <w:rPr>
          <w:sz w:val="24"/>
          <w:szCs w:val="24"/>
        </w:rPr>
        <w:tab/>
        <w:t>)</w:t>
      </w:r>
    </w:p>
    <w:p w:rsidR="00742C61" w:rsidRDefault="00742C61" w:rsidP="00742C61">
      <w:pPr>
        <w:pStyle w:val="NoSpacing"/>
        <w:rPr>
          <w:sz w:val="24"/>
          <w:szCs w:val="24"/>
        </w:rPr>
      </w:pPr>
      <w:r w:rsidRPr="00AB4093">
        <w:rPr>
          <w:sz w:val="24"/>
          <w:szCs w:val="24"/>
        </w:rPr>
        <w:t xml:space="preserve">INC. </w:t>
      </w:r>
      <w:r>
        <w:rPr>
          <w:sz w:val="24"/>
          <w:szCs w:val="24"/>
        </w:rPr>
        <w:t xml:space="preserve"> d/b/a SEATAC DIRECT</w:t>
      </w:r>
      <w:r>
        <w:rPr>
          <w:sz w:val="24"/>
          <w:szCs w:val="24"/>
        </w:rPr>
        <w:tab/>
      </w:r>
      <w:r>
        <w:rPr>
          <w:sz w:val="24"/>
          <w:szCs w:val="24"/>
        </w:rPr>
        <w:tab/>
      </w:r>
      <w:r>
        <w:rPr>
          <w:sz w:val="24"/>
          <w:szCs w:val="24"/>
        </w:rPr>
        <w:tab/>
        <w:t>)</w:t>
      </w:r>
      <w:r>
        <w:rPr>
          <w:sz w:val="24"/>
          <w:szCs w:val="24"/>
        </w:rPr>
        <w:tab/>
      </w:r>
      <w:r>
        <w:rPr>
          <w:sz w:val="24"/>
          <w:szCs w:val="24"/>
        </w:rPr>
        <w:tab/>
      </w:r>
      <w:r w:rsidR="003F5D37">
        <w:rPr>
          <w:sz w:val="24"/>
          <w:szCs w:val="24"/>
        </w:rPr>
        <w:t>PETITION OF</w:t>
      </w:r>
      <w:r>
        <w:rPr>
          <w:sz w:val="24"/>
          <w:szCs w:val="24"/>
        </w:rPr>
        <w:t xml:space="preserve"> SEATAC SHUTTLE, LLC</w:t>
      </w:r>
      <w:r>
        <w:rPr>
          <w:sz w:val="24"/>
          <w:szCs w:val="24"/>
        </w:rPr>
        <w:tab/>
      </w:r>
      <w:r>
        <w:rPr>
          <w:sz w:val="24"/>
          <w:szCs w:val="24"/>
        </w:rPr>
        <w:tab/>
      </w:r>
      <w:r>
        <w:rPr>
          <w:sz w:val="24"/>
          <w:szCs w:val="24"/>
        </w:rPr>
        <w:tab/>
      </w:r>
      <w:r>
        <w:rPr>
          <w:sz w:val="24"/>
          <w:szCs w:val="24"/>
        </w:rPr>
        <w:tab/>
      </w:r>
      <w:r>
        <w:rPr>
          <w:sz w:val="24"/>
          <w:szCs w:val="24"/>
        </w:rPr>
        <w:tab/>
      </w:r>
      <w:r w:rsidR="00D267F2">
        <w:rPr>
          <w:sz w:val="24"/>
          <w:szCs w:val="24"/>
        </w:rPr>
        <w:tab/>
      </w:r>
      <w:r w:rsidR="00D267F2">
        <w:rPr>
          <w:sz w:val="24"/>
          <w:szCs w:val="24"/>
        </w:rPr>
        <w:tab/>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D0059">
        <w:rPr>
          <w:sz w:val="24"/>
          <w:szCs w:val="24"/>
        </w:rPr>
        <w:tab/>
      </w:r>
      <w:r w:rsidR="008D0059">
        <w:rPr>
          <w:sz w:val="24"/>
          <w:szCs w:val="24"/>
        </w:rPr>
        <w:tab/>
      </w:r>
      <w:r w:rsidR="008D0059">
        <w:rPr>
          <w:sz w:val="24"/>
          <w:szCs w:val="24"/>
        </w:rPr>
        <w:tab/>
      </w:r>
      <w:r w:rsidR="008D0059">
        <w:rPr>
          <w:sz w:val="24"/>
          <w:szCs w:val="24"/>
        </w:rPr>
        <w:tab/>
      </w:r>
      <w:r w:rsidR="008D0059">
        <w:rPr>
          <w:sz w:val="24"/>
          <w:szCs w:val="24"/>
        </w:rPr>
        <w:tab/>
      </w:r>
      <w:r w:rsidR="008D0059">
        <w:rPr>
          <w:sz w:val="24"/>
          <w:szCs w:val="24"/>
        </w:rPr>
        <w:tab/>
      </w:r>
      <w:r>
        <w:rPr>
          <w:sz w:val="24"/>
          <w:szCs w:val="24"/>
        </w:rPr>
        <w:t>)</w:t>
      </w:r>
      <w:r>
        <w:rPr>
          <w:sz w:val="24"/>
          <w:szCs w:val="24"/>
        </w:rPr>
        <w:tab/>
      </w:r>
      <w:r>
        <w:rPr>
          <w:sz w:val="24"/>
          <w:szCs w:val="24"/>
        </w:rPr>
        <w:tab/>
      </w:r>
      <w:r w:rsidR="008D0059">
        <w:rPr>
          <w:sz w:val="24"/>
          <w:szCs w:val="24"/>
        </w:rPr>
        <w:t>FOR RECONSIDERATION OF</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r>
      <w:r>
        <w:rPr>
          <w:sz w:val="24"/>
          <w:szCs w:val="24"/>
        </w:rPr>
        <w:tab/>
      </w:r>
    </w:p>
    <w:p w:rsidR="00742C61" w:rsidRDefault="00742C61" w:rsidP="00742C61">
      <w:pPr>
        <w:pStyle w:val="NoSpacing"/>
        <w:rPr>
          <w:sz w:val="24"/>
          <w:szCs w:val="24"/>
        </w:rPr>
      </w:pPr>
      <w:r>
        <w:rPr>
          <w:sz w:val="24"/>
          <w:szCs w:val="24"/>
        </w:rPr>
        <w:t>For Permanent Auto Transportation</w:t>
      </w:r>
      <w:r>
        <w:rPr>
          <w:sz w:val="24"/>
          <w:szCs w:val="24"/>
        </w:rPr>
        <w:tab/>
      </w:r>
      <w:r>
        <w:rPr>
          <w:sz w:val="24"/>
          <w:szCs w:val="24"/>
        </w:rPr>
        <w:tab/>
        <w:t>)</w:t>
      </w:r>
      <w:r w:rsidR="008D0059">
        <w:rPr>
          <w:sz w:val="24"/>
          <w:szCs w:val="24"/>
        </w:rPr>
        <w:tab/>
      </w:r>
      <w:r w:rsidR="008D0059">
        <w:rPr>
          <w:sz w:val="24"/>
          <w:szCs w:val="24"/>
        </w:rPr>
        <w:tab/>
        <w:t xml:space="preserve">ORDER NO. </w:t>
      </w:r>
      <w:r w:rsidR="00E020B7">
        <w:rPr>
          <w:sz w:val="24"/>
          <w:szCs w:val="24"/>
        </w:rPr>
        <w:t>0</w:t>
      </w:r>
      <w:r w:rsidR="008D0059">
        <w:rPr>
          <w:sz w:val="24"/>
          <w:szCs w:val="24"/>
        </w:rPr>
        <w:t>3</w:t>
      </w:r>
    </w:p>
    <w:p w:rsidR="00742C61" w:rsidRDefault="00742C61" w:rsidP="00742C61">
      <w:pPr>
        <w:pStyle w:val="NoSpacing"/>
        <w:pBdr>
          <w:bottom w:val="single" w:sz="12" w:space="1" w:color="auto"/>
        </w:pBdr>
        <w:rPr>
          <w:sz w:val="24"/>
          <w:szCs w:val="24"/>
        </w:rPr>
      </w:pPr>
      <w:r>
        <w:rPr>
          <w:sz w:val="24"/>
          <w:szCs w:val="24"/>
        </w:rPr>
        <w:t>Authority</w:t>
      </w:r>
      <w:r>
        <w:rPr>
          <w:sz w:val="24"/>
          <w:szCs w:val="24"/>
        </w:rPr>
        <w:tab/>
      </w:r>
      <w:r>
        <w:rPr>
          <w:sz w:val="24"/>
          <w:szCs w:val="24"/>
        </w:rPr>
        <w:tab/>
      </w:r>
      <w:r>
        <w:rPr>
          <w:sz w:val="24"/>
          <w:szCs w:val="24"/>
        </w:rPr>
        <w:tab/>
      </w:r>
      <w:r>
        <w:rPr>
          <w:sz w:val="24"/>
          <w:szCs w:val="24"/>
        </w:rPr>
        <w:tab/>
      </w:r>
      <w:r>
        <w:rPr>
          <w:sz w:val="24"/>
          <w:szCs w:val="24"/>
        </w:rPr>
        <w:tab/>
        <w:t>)</w:t>
      </w:r>
    </w:p>
    <w:p w:rsidR="00742C61" w:rsidRDefault="00742C61" w:rsidP="00742C61">
      <w:pPr>
        <w:pStyle w:val="NoSpacing"/>
        <w:pBdr>
          <w:bottom w:val="single" w:sz="12" w:space="1" w:color="auto"/>
        </w:pBdr>
        <w:rPr>
          <w:sz w:val="24"/>
          <w:szCs w:val="24"/>
        </w:rPr>
      </w:pPr>
    </w:p>
    <w:p w:rsidR="00742C61" w:rsidRDefault="00742C61" w:rsidP="00742C61">
      <w:pPr>
        <w:pStyle w:val="NoSpacing"/>
        <w:rPr>
          <w:sz w:val="24"/>
          <w:szCs w:val="24"/>
        </w:rPr>
      </w:pPr>
    </w:p>
    <w:p w:rsidR="00742C61" w:rsidRDefault="00742C61" w:rsidP="00742C61">
      <w:pPr>
        <w:pStyle w:val="NoSpacing"/>
        <w:spacing w:line="360" w:lineRule="auto"/>
        <w:rPr>
          <w:sz w:val="24"/>
          <w:szCs w:val="24"/>
        </w:rPr>
      </w:pPr>
      <w:r w:rsidRPr="00427781">
        <w:rPr>
          <w:b/>
          <w:sz w:val="24"/>
          <w:szCs w:val="24"/>
        </w:rPr>
        <w:t>I</w:t>
      </w:r>
      <w:r>
        <w:rPr>
          <w:sz w:val="24"/>
          <w:szCs w:val="24"/>
        </w:rPr>
        <w:t xml:space="preserve">.  </w:t>
      </w:r>
      <w:r w:rsidRPr="00EB1F51">
        <w:rPr>
          <w:b/>
          <w:sz w:val="24"/>
          <w:szCs w:val="24"/>
          <w:u w:val="single"/>
        </w:rPr>
        <w:t xml:space="preserve">SUMMARY OF </w:t>
      </w:r>
      <w:r>
        <w:rPr>
          <w:b/>
          <w:sz w:val="24"/>
          <w:szCs w:val="24"/>
          <w:u w:val="single"/>
        </w:rPr>
        <w:t>RESPONSE</w:t>
      </w:r>
    </w:p>
    <w:p w:rsidR="00742C61" w:rsidRDefault="00742C61" w:rsidP="00742C61">
      <w:pPr>
        <w:pStyle w:val="NoSpacing"/>
        <w:spacing w:line="360" w:lineRule="auto"/>
        <w:rPr>
          <w:sz w:val="24"/>
          <w:szCs w:val="24"/>
        </w:rPr>
      </w:pPr>
      <w:r w:rsidRPr="00330F05">
        <w:rPr>
          <w:i/>
          <w:sz w:val="24"/>
          <w:szCs w:val="24"/>
        </w:rPr>
        <w:t>1</w:t>
      </w:r>
      <w:r>
        <w:rPr>
          <w:sz w:val="24"/>
          <w:szCs w:val="24"/>
        </w:rPr>
        <w:tab/>
        <w:t xml:space="preserve">Seatac Shuttle, LLC, submits this Petition in response to Commission Order No. </w:t>
      </w:r>
      <w:r w:rsidR="00B170FC">
        <w:rPr>
          <w:sz w:val="24"/>
          <w:szCs w:val="24"/>
        </w:rPr>
        <w:t>0</w:t>
      </w:r>
      <w:r>
        <w:rPr>
          <w:sz w:val="24"/>
          <w:szCs w:val="24"/>
        </w:rPr>
        <w:t xml:space="preserve">3, Docket TC-130708.  The Order ignores </w:t>
      </w:r>
      <w:r w:rsidR="00D27766">
        <w:rPr>
          <w:sz w:val="24"/>
          <w:szCs w:val="24"/>
        </w:rPr>
        <w:t>precedent</w:t>
      </w:r>
      <w:r>
        <w:rPr>
          <w:sz w:val="24"/>
          <w:szCs w:val="24"/>
        </w:rPr>
        <w:t xml:space="preserve">, the Washington Supreme Court, Washington </w:t>
      </w:r>
      <w:r w:rsidR="00D27766">
        <w:rPr>
          <w:sz w:val="24"/>
          <w:szCs w:val="24"/>
        </w:rPr>
        <w:t>Administrative</w:t>
      </w:r>
      <w:r>
        <w:rPr>
          <w:sz w:val="24"/>
          <w:szCs w:val="24"/>
        </w:rPr>
        <w:t xml:space="preserve"> Code just recently adopted by the Commission under Order </w:t>
      </w:r>
      <w:r w:rsidR="00D27766">
        <w:rPr>
          <w:sz w:val="24"/>
          <w:szCs w:val="24"/>
        </w:rPr>
        <w:t>R-572</w:t>
      </w:r>
      <w:r>
        <w:rPr>
          <w:sz w:val="24"/>
          <w:szCs w:val="24"/>
        </w:rPr>
        <w:t xml:space="preserve">, </w:t>
      </w:r>
      <w:r w:rsidR="00D27766">
        <w:rPr>
          <w:sz w:val="24"/>
          <w:szCs w:val="24"/>
        </w:rPr>
        <w:t xml:space="preserve">dated August 21, </w:t>
      </w:r>
      <w:r w:rsidR="00D27766" w:rsidRPr="001B02B3">
        <w:rPr>
          <w:sz w:val="24"/>
          <w:szCs w:val="24"/>
        </w:rPr>
        <w:t>2013</w:t>
      </w:r>
      <w:r w:rsidR="00D27766">
        <w:rPr>
          <w:i/>
          <w:sz w:val="24"/>
          <w:szCs w:val="24"/>
        </w:rPr>
        <w:t xml:space="preserve"> </w:t>
      </w:r>
      <w:r w:rsidRPr="00D27766">
        <w:rPr>
          <w:sz w:val="24"/>
          <w:szCs w:val="24"/>
        </w:rPr>
        <w:t xml:space="preserve">and the pronouncement </w:t>
      </w:r>
      <w:r w:rsidR="004454C2">
        <w:rPr>
          <w:sz w:val="24"/>
          <w:szCs w:val="24"/>
        </w:rPr>
        <w:t xml:space="preserve">of the effective date of those revisions </w:t>
      </w:r>
      <w:r w:rsidRPr="00D27766">
        <w:rPr>
          <w:sz w:val="24"/>
          <w:szCs w:val="24"/>
        </w:rPr>
        <w:t xml:space="preserve">issued by the </w:t>
      </w:r>
      <w:r w:rsidR="00D27766" w:rsidRPr="00D27766">
        <w:rPr>
          <w:sz w:val="24"/>
          <w:szCs w:val="24"/>
        </w:rPr>
        <w:t>Executive</w:t>
      </w:r>
      <w:r w:rsidRPr="00D27766">
        <w:rPr>
          <w:sz w:val="24"/>
          <w:szCs w:val="24"/>
        </w:rPr>
        <w:t xml:space="preserve"> Director of the Commission under their </w:t>
      </w:r>
      <w:r>
        <w:rPr>
          <w:sz w:val="24"/>
          <w:szCs w:val="24"/>
        </w:rPr>
        <w:t>authority and approval in letter</w:t>
      </w:r>
      <w:r w:rsidR="001B02B3">
        <w:rPr>
          <w:sz w:val="24"/>
          <w:szCs w:val="24"/>
        </w:rPr>
        <w:t>s</w:t>
      </w:r>
      <w:r>
        <w:rPr>
          <w:sz w:val="24"/>
          <w:szCs w:val="24"/>
        </w:rPr>
        <w:t xml:space="preserve"> </w:t>
      </w:r>
      <w:r w:rsidR="004454C2">
        <w:rPr>
          <w:sz w:val="24"/>
          <w:szCs w:val="24"/>
        </w:rPr>
        <w:t>dated August 22, 2013</w:t>
      </w:r>
      <w:r w:rsidR="001B02B3">
        <w:rPr>
          <w:sz w:val="24"/>
          <w:szCs w:val="24"/>
        </w:rPr>
        <w:t xml:space="preserve"> </w:t>
      </w:r>
      <w:r w:rsidR="001B02B3" w:rsidRPr="0037773C">
        <w:rPr>
          <w:sz w:val="24"/>
          <w:szCs w:val="24"/>
        </w:rPr>
        <w:t xml:space="preserve">and October </w:t>
      </w:r>
      <w:r w:rsidR="00F61D00" w:rsidRPr="0037773C">
        <w:rPr>
          <w:sz w:val="24"/>
          <w:szCs w:val="24"/>
        </w:rPr>
        <w:t>15</w:t>
      </w:r>
      <w:r w:rsidR="001B02B3" w:rsidRPr="0037773C">
        <w:rPr>
          <w:sz w:val="24"/>
          <w:szCs w:val="24"/>
        </w:rPr>
        <w:t>, 2013</w:t>
      </w:r>
      <w:r w:rsidR="001B02B3">
        <w:rPr>
          <w:color w:val="FF0000"/>
          <w:sz w:val="24"/>
          <w:szCs w:val="24"/>
        </w:rPr>
        <w:t xml:space="preserve"> </w:t>
      </w:r>
      <w:r w:rsidR="001B02B3" w:rsidRPr="00015F7E">
        <w:rPr>
          <w:sz w:val="24"/>
          <w:szCs w:val="24"/>
          <w:vertAlign w:val="subscript"/>
        </w:rPr>
        <w:t>(1)</w:t>
      </w:r>
      <w:r>
        <w:rPr>
          <w:sz w:val="24"/>
          <w:szCs w:val="24"/>
        </w:rPr>
        <w:t xml:space="preserve">.  Staff, through the office of the Assistant </w:t>
      </w:r>
      <w:r w:rsidR="00D27766">
        <w:rPr>
          <w:sz w:val="24"/>
          <w:szCs w:val="24"/>
        </w:rPr>
        <w:t>A</w:t>
      </w:r>
      <w:r>
        <w:rPr>
          <w:sz w:val="24"/>
          <w:szCs w:val="24"/>
        </w:rPr>
        <w:t>ttorney General representing the Commission</w:t>
      </w:r>
      <w:r w:rsidR="00D27766">
        <w:rPr>
          <w:sz w:val="24"/>
          <w:szCs w:val="24"/>
        </w:rPr>
        <w:t>,</w:t>
      </w:r>
      <w:r>
        <w:rPr>
          <w:sz w:val="24"/>
          <w:szCs w:val="24"/>
        </w:rPr>
        <w:t xml:space="preserve"> has flip-</w:t>
      </w:r>
      <w:r w:rsidR="00D27766">
        <w:rPr>
          <w:sz w:val="24"/>
          <w:szCs w:val="24"/>
        </w:rPr>
        <w:t>flopped</w:t>
      </w:r>
      <w:r>
        <w:rPr>
          <w:sz w:val="24"/>
          <w:szCs w:val="24"/>
        </w:rPr>
        <w:t xml:space="preserve"> its </w:t>
      </w:r>
      <w:r w:rsidR="00105AC4">
        <w:rPr>
          <w:sz w:val="24"/>
          <w:szCs w:val="24"/>
        </w:rPr>
        <w:t xml:space="preserve">written and oral opinions </w:t>
      </w:r>
      <w:r>
        <w:rPr>
          <w:sz w:val="24"/>
          <w:szCs w:val="24"/>
        </w:rPr>
        <w:t xml:space="preserve">and arguments to establish a position, however illogical, counter to any reasonable interpretation of code, policy, rule, </w:t>
      </w:r>
      <w:r w:rsidR="00D27766">
        <w:rPr>
          <w:sz w:val="24"/>
          <w:szCs w:val="24"/>
        </w:rPr>
        <w:t>precedent</w:t>
      </w:r>
      <w:r>
        <w:rPr>
          <w:sz w:val="24"/>
          <w:szCs w:val="24"/>
        </w:rPr>
        <w:t xml:space="preserve"> or statute with the specific intent of limiting the rights granted Autotransportation by the Commission through </w:t>
      </w:r>
      <w:r w:rsidR="00D27766">
        <w:rPr>
          <w:sz w:val="24"/>
          <w:szCs w:val="24"/>
        </w:rPr>
        <w:t xml:space="preserve">RCW, and </w:t>
      </w:r>
      <w:r>
        <w:rPr>
          <w:sz w:val="24"/>
          <w:szCs w:val="24"/>
        </w:rPr>
        <w:t xml:space="preserve">its codified and previous actions. </w:t>
      </w:r>
      <w:r w:rsidR="001B0947">
        <w:rPr>
          <w:sz w:val="24"/>
          <w:szCs w:val="24"/>
        </w:rPr>
        <w:t>Those right</w:t>
      </w:r>
      <w:r w:rsidR="00845EB9">
        <w:rPr>
          <w:sz w:val="24"/>
          <w:szCs w:val="24"/>
        </w:rPr>
        <w:t>s</w:t>
      </w:r>
      <w:r w:rsidR="001B0947">
        <w:rPr>
          <w:sz w:val="24"/>
          <w:szCs w:val="24"/>
        </w:rPr>
        <w:t xml:space="preserve"> include </w:t>
      </w:r>
      <w:r w:rsidR="004E01A3">
        <w:rPr>
          <w:sz w:val="24"/>
          <w:szCs w:val="24"/>
        </w:rPr>
        <w:t xml:space="preserve">timely and efficient processing by the agency of applications, and </w:t>
      </w:r>
      <w:r w:rsidR="001B0947">
        <w:rPr>
          <w:sz w:val="24"/>
          <w:szCs w:val="24"/>
        </w:rPr>
        <w:t>a fair and equal as well as logical and consistent application of Commission rules to all parties.</w:t>
      </w:r>
    </w:p>
    <w:p w:rsidR="00742C61" w:rsidRPr="00EB1F51" w:rsidRDefault="006F3748" w:rsidP="00742C61">
      <w:pPr>
        <w:spacing w:after="0" w:line="360" w:lineRule="auto"/>
        <w:rPr>
          <w:b/>
          <w:sz w:val="24"/>
          <w:szCs w:val="24"/>
          <w:u w:val="single"/>
        </w:rPr>
      </w:pPr>
      <w:r>
        <w:rPr>
          <w:b/>
          <w:sz w:val="24"/>
          <w:szCs w:val="24"/>
        </w:rPr>
        <w:t xml:space="preserve">II. </w:t>
      </w:r>
      <w:r w:rsidR="00742C61" w:rsidRPr="00EB1F51">
        <w:rPr>
          <w:b/>
          <w:sz w:val="24"/>
          <w:szCs w:val="24"/>
          <w:u w:val="single"/>
        </w:rPr>
        <w:t>INTRODUCTION</w:t>
      </w:r>
    </w:p>
    <w:p w:rsidR="004127DD" w:rsidRDefault="00742C61" w:rsidP="00742C61">
      <w:pPr>
        <w:spacing w:line="360" w:lineRule="auto"/>
        <w:rPr>
          <w:sz w:val="24"/>
          <w:szCs w:val="24"/>
        </w:rPr>
      </w:pPr>
      <w:r w:rsidRPr="00EB1F51">
        <w:rPr>
          <w:i/>
          <w:sz w:val="24"/>
          <w:szCs w:val="24"/>
        </w:rPr>
        <w:t>2</w:t>
      </w:r>
      <w:r>
        <w:rPr>
          <w:sz w:val="24"/>
          <w:szCs w:val="24"/>
        </w:rPr>
        <w:tab/>
      </w:r>
      <w:r w:rsidRPr="00EB1F51">
        <w:rPr>
          <w:sz w:val="24"/>
          <w:szCs w:val="24"/>
        </w:rPr>
        <w:t xml:space="preserve">On May 7, 2013 Northwest Smoking and Curing, Inc. </w:t>
      </w:r>
      <w:r>
        <w:rPr>
          <w:sz w:val="24"/>
          <w:szCs w:val="24"/>
        </w:rPr>
        <w:t>(</w:t>
      </w:r>
      <w:r w:rsidR="00CC25C1">
        <w:rPr>
          <w:sz w:val="24"/>
          <w:szCs w:val="24"/>
        </w:rPr>
        <w:t>Applicant</w:t>
      </w:r>
      <w:r>
        <w:rPr>
          <w:sz w:val="24"/>
          <w:szCs w:val="24"/>
        </w:rPr>
        <w:t xml:space="preserve">) filed an </w:t>
      </w:r>
      <w:r w:rsidRPr="00EB1F51">
        <w:rPr>
          <w:sz w:val="24"/>
          <w:szCs w:val="24"/>
        </w:rPr>
        <w:t xml:space="preserve">application in the above referenced matter.  </w:t>
      </w:r>
      <w:r w:rsidR="00E3196F">
        <w:rPr>
          <w:sz w:val="24"/>
          <w:szCs w:val="24"/>
        </w:rPr>
        <w:t xml:space="preserve">A pre-hearing conference was noticed and subsequently held on </w:t>
      </w:r>
    </w:p>
    <w:p w:rsidR="004127DD" w:rsidRPr="004127DD" w:rsidRDefault="004127DD" w:rsidP="004127DD">
      <w:pPr>
        <w:pStyle w:val="Default"/>
        <w:rPr>
          <w:sz w:val="20"/>
          <w:szCs w:val="20"/>
        </w:rPr>
      </w:pPr>
      <w:r>
        <w:rPr>
          <w:sz w:val="20"/>
          <w:szCs w:val="20"/>
        </w:rPr>
        <w:t>(</w:t>
      </w:r>
      <w:r w:rsidRPr="004127DD">
        <w:rPr>
          <w:sz w:val="20"/>
          <w:szCs w:val="20"/>
        </w:rPr>
        <w:t>1</w:t>
      </w:r>
      <w:r>
        <w:rPr>
          <w:sz w:val="20"/>
          <w:szCs w:val="20"/>
        </w:rPr>
        <w:t>)</w:t>
      </w:r>
      <w:r w:rsidRPr="004127DD">
        <w:rPr>
          <w:sz w:val="20"/>
          <w:szCs w:val="20"/>
        </w:rPr>
        <w:t xml:space="preserve">Letter from Steve King, Executive Director, UTC August 22, 2013 </w:t>
      </w:r>
    </w:p>
    <w:p w:rsidR="004127DD" w:rsidRDefault="004127DD" w:rsidP="004127DD">
      <w:pPr>
        <w:pStyle w:val="Default"/>
        <w:rPr>
          <w:sz w:val="25"/>
          <w:szCs w:val="25"/>
        </w:rPr>
      </w:pPr>
      <w:r w:rsidRPr="004127DD">
        <w:rPr>
          <w:sz w:val="20"/>
          <w:szCs w:val="20"/>
        </w:rPr>
        <w:t xml:space="preserve"> RE: Rulemaking to consider rate setting flexibility and competition for auto transportation companies in WAC 480-30, Docket TC-121328 Para 1. </w:t>
      </w:r>
      <w:r w:rsidR="00015F7E" w:rsidRPr="004127DD">
        <w:rPr>
          <w:sz w:val="20"/>
          <w:szCs w:val="20"/>
        </w:rPr>
        <w:t>And</w:t>
      </w:r>
      <w:r w:rsidRPr="004127DD">
        <w:rPr>
          <w:sz w:val="20"/>
          <w:szCs w:val="20"/>
        </w:rPr>
        <w:t xml:space="preserve"> Letter from Steve King, Executive Director, UTC October 15, 2013 Flexible fares for Ancillary charges para 1.</w:t>
      </w:r>
    </w:p>
    <w:p w:rsidR="004127DD" w:rsidRDefault="004127DD" w:rsidP="00742C61">
      <w:pPr>
        <w:spacing w:line="360" w:lineRule="auto"/>
        <w:rPr>
          <w:sz w:val="24"/>
          <w:szCs w:val="24"/>
        </w:rPr>
      </w:pPr>
    </w:p>
    <w:p w:rsidR="00742C61" w:rsidRPr="00EB1F51" w:rsidRDefault="00E3196F" w:rsidP="00742C61">
      <w:pPr>
        <w:spacing w:line="360" w:lineRule="auto"/>
        <w:rPr>
          <w:sz w:val="24"/>
          <w:szCs w:val="24"/>
        </w:rPr>
      </w:pPr>
      <w:r>
        <w:rPr>
          <w:sz w:val="24"/>
          <w:szCs w:val="24"/>
        </w:rPr>
        <w:lastRenderedPageBreak/>
        <w:t>August 26, 2013</w:t>
      </w:r>
      <w:r w:rsidR="004C6F55">
        <w:rPr>
          <w:sz w:val="24"/>
          <w:szCs w:val="24"/>
        </w:rPr>
        <w:t xml:space="preserve">, three days after </w:t>
      </w:r>
      <w:r w:rsidR="00845EB9">
        <w:rPr>
          <w:sz w:val="24"/>
          <w:szCs w:val="24"/>
        </w:rPr>
        <w:t>Executive Director</w:t>
      </w:r>
      <w:r w:rsidR="004C6F55">
        <w:rPr>
          <w:sz w:val="24"/>
          <w:szCs w:val="24"/>
        </w:rPr>
        <w:t xml:space="preserve"> King’s</w:t>
      </w:r>
      <w:r w:rsidR="0037773C">
        <w:rPr>
          <w:sz w:val="24"/>
          <w:szCs w:val="24"/>
        </w:rPr>
        <w:t xml:space="preserve"> initial</w:t>
      </w:r>
      <w:r w:rsidR="004C6F55">
        <w:rPr>
          <w:sz w:val="24"/>
          <w:szCs w:val="24"/>
        </w:rPr>
        <w:t xml:space="preserve"> letter</w:t>
      </w:r>
      <w:r w:rsidR="001B02B3">
        <w:rPr>
          <w:sz w:val="24"/>
          <w:szCs w:val="24"/>
        </w:rPr>
        <w:t xml:space="preserve"> </w:t>
      </w:r>
      <w:r w:rsidR="00845EB9">
        <w:rPr>
          <w:sz w:val="24"/>
          <w:szCs w:val="24"/>
        </w:rPr>
        <w:t xml:space="preserve">to all certificate holders </w:t>
      </w:r>
      <w:r w:rsidR="004C6F55">
        <w:rPr>
          <w:sz w:val="24"/>
          <w:szCs w:val="24"/>
        </w:rPr>
        <w:t>stating the effective date of the revisions</w:t>
      </w:r>
      <w:r w:rsidR="0037773C">
        <w:rPr>
          <w:sz w:val="24"/>
          <w:szCs w:val="24"/>
        </w:rPr>
        <w:t xml:space="preserve"> and again reemphasizing this firm date on October 15, 2013.</w:t>
      </w:r>
      <w:r w:rsidR="00742C61" w:rsidRPr="00EB1F51">
        <w:rPr>
          <w:sz w:val="24"/>
          <w:szCs w:val="24"/>
        </w:rPr>
        <w:t xml:space="preserve"> He</w:t>
      </w:r>
      <w:r w:rsidR="00742C61">
        <w:rPr>
          <w:sz w:val="24"/>
          <w:szCs w:val="24"/>
        </w:rPr>
        <w:t xml:space="preserve">aring was subsequently set for </w:t>
      </w:r>
      <w:r w:rsidR="00742C61" w:rsidRPr="00EB1F51">
        <w:rPr>
          <w:sz w:val="24"/>
          <w:szCs w:val="24"/>
        </w:rPr>
        <w:t>October 2, 2013</w:t>
      </w:r>
      <w:r w:rsidR="001B02B3">
        <w:rPr>
          <w:sz w:val="24"/>
          <w:szCs w:val="24"/>
        </w:rPr>
        <w:t xml:space="preserve"> </w:t>
      </w:r>
      <w:r w:rsidR="001B02B3" w:rsidRPr="00015F7E">
        <w:rPr>
          <w:sz w:val="24"/>
          <w:szCs w:val="24"/>
          <w:vertAlign w:val="subscript"/>
        </w:rPr>
        <w:t>(2)</w:t>
      </w:r>
      <w:r w:rsidR="00742C61" w:rsidRPr="00015F7E">
        <w:rPr>
          <w:sz w:val="24"/>
          <w:szCs w:val="24"/>
        </w:rPr>
        <w:t>.</w:t>
      </w:r>
    </w:p>
    <w:p w:rsidR="002D7D09" w:rsidRDefault="00742C61" w:rsidP="002D7D09">
      <w:pPr>
        <w:pStyle w:val="NoSpacing"/>
        <w:spacing w:line="360" w:lineRule="auto"/>
        <w:rPr>
          <w:i/>
          <w:sz w:val="24"/>
          <w:szCs w:val="24"/>
        </w:rPr>
      </w:pPr>
      <w:r w:rsidRPr="002D7D09">
        <w:rPr>
          <w:i/>
          <w:sz w:val="24"/>
          <w:szCs w:val="24"/>
        </w:rPr>
        <w:t>3</w:t>
      </w:r>
      <w:r w:rsidRPr="002D7D09">
        <w:rPr>
          <w:sz w:val="24"/>
          <w:szCs w:val="24"/>
        </w:rPr>
        <w:tab/>
      </w:r>
      <w:r w:rsidR="00F61D00" w:rsidRPr="00E50516">
        <w:rPr>
          <w:sz w:val="24"/>
          <w:szCs w:val="24"/>
        </w:rPr>
        <w:t>Staff</w:t>
      </w:r>
      <w:r w:rsidR="00F61D00">
        <w:rPr>
          <w:sz w:val="24"/>
          <w:szCs w:val="24"/>
        </w:rPr>
        <w:t xml:space="preserve"> </w:t>
      </w:r>
      <w:r w:rsidRPr="002D7D09">
        <w:rPr>
          <w:sz w:val="24"/>
          <w:szCs w:val="24"/>
        </w:rPr>
        <w:t>also argued that Seatac should not be party to the proceeding as no overlapping service existed between the applicant and Seatac</w:t>
      </w:r>
      <w:r w:rsidR="001B02B3">
        <w:rPr>
          <w:sz w:val="24"/>
          <w:szCs w:val="24"/>
        </w:rPr>
        <w:t xml:space="preserve"> </w:t>
      </w:r>
      <w:r w:rsidR="001B02B3" w:rsidRPr="00015F7E">
        <w:rPr>
          <w:sz w:val="24"/>
          <w:szCs w:val="24"/>
          <w:vertAlign w:val="subscript"/>
        </w:rPr>
        <w:t>(3)</w:t>
      </w:r>
      <w:r w:rsidR="00105AC4" w:rsidRPr="002D7D09">
        <w:rPr>
          <w:sz w:val="24"/>
          <w:szCs w:val="24"/>
        </w:rPr>
        <w:t>, y</w:t>
      </w:r>
      <w:r w:rsidR="00D267F2" w:rsidRPr="002D7D09">
        <w:rPr>
          <w:sz w:val="24"/>
          <w:szCs w:val="24"/>
        </w:rPr>
        <w:t xml:space="preserve">et even a cursory examination of the applicable WAC, at the time of the application and as of the pre-hearing conference, </w:t>
      </w:r>
      <w:r w:rsidR="00F606ED" w:rsidRPr="002D7D09">
        <w:rPr>
          <w:sz w:val="24"/>
          <w:szCs w:val="24"/>
        </w:rPr>
        <w:t>(</w:t>
      </w:r>
      <w:r w:rsidR="00D267F2" w:rsidRPr="002D7D09">
        <w:rPr>
          <w:sz w:val="24"/>
          <w:szCs w:val="24"/>
        </w:rPr>
        <w:t xml:space="preserve">480-30-116 (2) </w:t>
      </w:r>
      <w:r w:rsidR="00D267F2" w:rsidRPr="002D7D09">
        <w:rPr>
          <w:rFonts w:eastAsia="Times New Roman" w:cs="Arial"/>
          <w:sz w:val="24"/>
          <w:szCs w:val="24"/>
        </w:rPr>
        <w:t xml:space="preserve"> </w:t>
      </w:r>
      <w:r w:rsidR="00D267F2" w:rsidRPr="002D7D09">
        <w:rPr>
          <w:rFonts w:eastAsia="Times New Roman" w:cs="Arial"/>
          <w:b/>
          <w:bCs/>
          <w:i/>
          <w:sz w:val="24"/>
          <w:szCs w:val="24"/>
          <w:u w:val="single"/>
        </w:rPr>
        <w:t>Protests.</w:t>
      </w:r>
      <w:r w:rsidR="00D267F2" w:rsidRPr="002D7D09">
        <w:rPr>
          <w:rFonts w:eastAsia="Times New Roman" w:cs="Arial"/>
          <w:i/>
          <w:sz w:val="24"/>
          <w:szCs w:val="24"/>
          <w:u w:val="single"/>
        </w:rPr>
        <w:t xml:space="preserve"> An existing auto transportation company certificate holder </w:t>
      </w:r>
      <w:r w:rsidR="00D267F2" w:rsidRPr="002D7D09">
        <w:rPr>
          <w:rFonts w:eastAsia="Times New Roman" w:cs="Arial"/>
          <w:b/>
          <w:i/>
          <w:sz w:val="24"/>
          <w:szCs w:val="24"/>
          <w:u w:val="single"/>
        </w:rPr>
        <w:t xml:space="preserve">may file a protest </w:t>
      </w:r>
      <w:r w:rsidR="00D267F2" w:rsidRPr="002D7D09">
        <w:rPr>
          <w:rFonts w:eastAsia="Times New Roman" w:cs="Arial"/>
          <w:i/>
          <w:sz w:val="24"/>
          <w:szCs w:val="24"/>
          <w:u w:val="single"/>
        </w:rPr>
        <w:t>to an application published in the application docket</w:t>
      </w:r>
      <w:r w:rsidR="00F606ED" w:rsidRPr="002D7D09">
        <w:rPr>
          <w:rFonts w:eastAsia="Times New Roman" w:cs="Arial"/>
          <w:i/>
          <w:sz w:val="24"/>
          <w:szCs w:val="24"/>
          <w:u w:val="single"/>
        </w:rPr>
        <w:t>)</w:t>
      </w:r>
      <w:r w:rsidR="00105AC4" w:rsidRPr="002D7D09">
        <w:rPr>
          <w:rFonts w:eastAsia="Times New Roman" w:cs="Arial"/>
          <w:sz w:val="24"/>
          <w:szCs w:val="24"/>
        </w:rPr>
        <w:t>, reveals that the rule i</w:t>
      </w:r>
      <w:r w:rsidR="00D267F2" w:rsidRPr="002D7D09">
        <w:rPr>
          <w:rFonts w:eastAsia="Times New Roman" w:cs="Arial"/>
          <w:sz w:val="24"/>
          <w:szCs w:val="24"/>
        </w:rPr>
        <w:t>n no way is a limit</w:t>
      </w:r>
      <w:r w:rsidR="00105AC4" w:rsidRPr="002D7D09">
        <w:rPr>
          <w:rFonts w:eastAsia="Times New Roman" w:cs="Arial"/>
          <w:sz w:val="24"/>
          <w:szCs w:val="24"/>
        </w:rPr>
        <w:t>ation</w:t>
      </w:r>
      <w:r w:rsidR="00D267F2" w:rsidRPr="002D7D09">
        <w:rPr>
          <w:rFonts w:eastAsia="Times New Roman" w:cs="Arial"/>
          <w:sz w:val="24"/>
          <w:szCs w:val="24"/>
        </w:rPr>
        <w:t xml:space="preserve"> to t</w:t>
      </w:r>
      <w:r w:rsidR="00105AC4" w:rsidRPr="002D7D09">
        <w:rPr>
          <w:rFonts w:eastAsia="Times New Roman" w:cs="Arial"/>
          <w:sz w:val="24"/>
          <w:szCs w:val="24"/>
        </w:rPr>
        <w:t>he ability of a certificate holder</w:t>
      </w:r>
      <w:r w:rsidR="00D267F2" w:rsidRPr="002D7D09">
        <w:rPr>
          <w:rFonts w:eastAsia="Times New Roman" w:cs="Arial"/>
          <w:sz w:val="24"/>
          <w:szCs w:val="24"/>
        </w:rPr>
        <w:t xml:space="preserve"> to protest an application for new service</w:t>
      </w:r>
      <w:r w:rsidR="00CC25C1">
        <w:rPr>
          <w:rFonts w:eastAsia="Times New Roman" w:cs="Arial"/>
          <w:sz w:val="24"/>
          <w:szCs w:val="24"/>
        </w:rPr>
        <w:t>.</w:t>
      </w:r>
      <w:r w:rsidR="002D7D09" w:rsidRPr="002D7D09">
        <w:rPr>
          <w:rFonts w:eastAsia="Times New Roman" w:cs="Arial"/>
          <w:sz w:val="24"/>
          <w:szCs w:val="24"/>
        </w:rPr>
        <w:t xml:space="preserve">  To the contrary, any certificate holder that construes that the issuance is not in the best interest of the public</w:t>
      </w:r>
      <w:r w:rsidR="00CC25C1">
        <w:rPr>
          <w:rFonts w:eastAsia="Times New Roman" w:cs="Arial"/>
          <w:sz w:val="24"/>
          <w:szCs w:val="24"/>
        </w:rPr>
        <w:t xml:space="preserve">, itself </w:t>
      </w:r>
      <w:r w:rsidR="00CC25C1" w:rsidRPr="002D7D09">
        <w:rPr>
          <w:rFonts w:eastAsia="Times New Roman" w:cs="Arial"/>
          <w:sz w:val="24"/>
          <w:szCs w:val="24"/>
        </w:rPr>
        <w:t>or</w:t>
      </w:r>
      <w:r w:rsidR="002D7D09" w:rsidRPr="002D7D09">
        <w:rPr>
          <w:rFonts w:eastAsia="Times New Roman" w:cs="Arial"/>
          <w:sz w:val="24"/>
          <w:szCs w:val="24"/>
        </w:rPr>
        <w:t xml:space="preserve"> the industry has leave to file a protest.</w:t>
      </w:r>
      <w:r w:rsidR="00D267F2" w:rsidRPr="002D7D09">
        <w:rPr>
          <w:rFonts w:eastAsia="Times New Roman" w:cs="Arial"/>
          <w:sz w:val="24"/>
          <w:szCs w:val="24"/>
        </w:rPr>
        <w:br/>
      </w:r>
    </w:p>
    <w:p w:rsidR="00742C61" w:rsidRPr="002D7D09" w:rsidRDefault="00742C61" w:rsidP="002D7D09">
      <w:pPr>
        <w:pStyle w:val="NoSpacing"/>
        <w:spacing w:line="360" w:lineRule="auto"/>
        <w:rPr>
          <w:sz w:val="24"/>
          <w:szCs w:val="24"/>
        </w:rPr>
      </w:pPr>
      <w:r w:rsidRPr="002D7D09">
        <w:rPr>
          <w:i/>
          <w:sz w:val="24"/>
          <w:szCs w:val="24"/>
        </w:rPr>
        <w:t>4</w:t>
      </w:r>
      <w:r w:rsidRPr="002D7D09">
        <w:rPr>
          <w:i/>
          <w:sz w:val="24"/>
          <w:szCs w:val="24"/>
        </w:rPr>
        <w:tab/>
      </w:r>
      <w:r w:rsidRPr="002D7D09">
        <w:rPr>
          <w:sz w:val="24"/>
          <w:szCs w:val="24"/>
        </w:rPr>
        <w:t xml:space="preserve">On August 21, 2013, the Commission issued Order R-572 after more than two years of work, preparation and participation with the affected Auto Transportation Companies.  The issuance of this order was </w:t>
      </w:r>
      <w:r w:rsidRPr="002D7D09">
        <w:rPr>
          <w:i/>
          <w:sz w:val="24"/>
          <w:szCs w:val="24"/>
          <w:u w:val="single"/>
        </w:rPr>
        <w:t>one hundred and four</w:t>
      </w:r>
      <w:r w:rsidRPr="002D7D09">
        <w:rPr>
          <w:sz w:val="24"/>
          <w:szCs w:val="24"/>
        </w:rPr>
        <w:t xml:space="preserve"> (104</w:t>
      </w:r>
      <w:r w:rsidRPr="00E50516">
        <w:rPr>
          <w:sz w:val="24"/>
          <w:szCs w:val="24"/>
        </w:rPr>
        <w:t>)</w:t>
      </w:r>
      <w:r w:rsidRPr="002D7D09">
        <w:rPr>
          <w:color w:val="FF0000"/>
          <w:sz w:val="24"/>
          <w:szCs w:val="24"/>
        </w:rPr>
        <w:t xml:space="preserve"> </w:t>
      </w:r>
      <w:r w:rsidR="001B02B3" w:rsidRPr="00015F7E">
        <w:rPr>
          <w:sz w:val="24"/>
          <w:szCs w:val="24"/>
          <w:vertAlign w:val="subscript"/>
        </w:rPr>
        <w:t>(4)</w:t>
      </w:r>
      <w:r w:rsidRPr="002D7D09">
        <w:rPr>
          <w:sz w:val="24"/>
          <w:szCs w:val="24"/>
        </w:rPr>
        <w:t xml:space="preserve"> days subsequent to the filing of</w:t>
      </w:r>
      <w:r w:rsidR="001D003F">
        <w:rPr>
          <w:sz w:val="24"/>
          <w:szCs w:val="24"/>
        </w:rPr>
        <w:t xml:space="preserve"> Applicant</w:t>
      </w:r>
      <w:r w:rsidRPr="002D7D09">
        <w:rPr>
          <w:sz w:val="24"/>
          <w:szCs w:val="24"/>
        </w:rPr>
        <w:t xml:space="preserve">’s application and its effective date </w:t>
      </w:r>
      <w:r w:rsidR="002D7D09">
        <w:rPr>
          <w:sz w:val="24"/>
          <w:szCs w:val="24"/>
        </w:rPr>
        <w:t>was</w:t>
      </w:r>
      <w:r w:rsidRPr="002D7D09">
        <w:rPr>
          <w:sz w:val="24"/>
          <w:szCs w:val="24"/>
        </w:rPr>
        <w:t xml:space="preserve"> </w:t>
      </w:r>
      <w:r w:rsidRPr="002D7D09">
        <w:rPr>
          <w:i/>
          <w:sz w:val="24"/>
          <w:szCs w:val="24"/>
          <w:u w:val="single"/>
        </w:rPr>
        <w:t>one hundred thirty-five days</w:t>
      </w:r>
      <w:r w:rsidRPr="002D7D09">
        <w:rPr>
          <w:sz w:val="24"/>
          <w:szCs w:val="24"/>
        </w:rPr>
        <w:t xml:space="preserve"> (135</w:t>
      </w:r>
      <w:r w:rsidRPr="00E50516">
        <w:rPr>
          <w:sz w:val="24"/>
          <w:szCs w:val="24"/>
        </w:rPr>
        <w:t>)</w:t>
      </w:r>
      <w:r w:rsidRPr="002D7D09">
        <w:rPr>
          <w:color w:val="FF0000"/>
          <w:sz w:val="24"/>
          <w:szCs w:val="24"/>
        </w:rPr>
        <w:t xml:space="preserve"> </w:t>
      </w:r>
      <w:r w:rsidR="001B02B3" w:rsidRPr="00015F7E">
        <w:rPr>
          <w:sz w:val="24"/>
          <w:szCs w:val="24"/>
          <w:vertAlign w:val="subscript"/>
        </w:rPr>
        <w:t>(5)</w:t>
      </w:r>
      <w:r w:rsidRPr="002D7D09">
        <w:rPr>
          <w:sz w:val="24"/>
          <w:szCs w:val="24"/>
        </w:rPr>
        <w:t xml:space="preserve"> after the filing by </w:t>
      </w:r>
      <w:r w:rsidR="001D003F">
        <w:rPr>
          <w:sz w:val="24"/>
          <w:szCs w:val="24"/>
        </w:rPr>
        <w:t>Applicant</w:t>
      </w:r>
      <w:r w:rsidRPr="002D7D09">
        <w:rPr>
          <w:sz w:val="24"/>
          <w:szCs w:val="24"/>
        </w:rPr>
        <w:t xml:space="preserve">.  </w:t>
      </w:r>
      <w:r w:rsidR="001D003F">
        <w:rPr>
          <w:sz w:val="24"/>
          <w:szCs w:val="24"/>
        </w:rPr>
        <w:t>The Applicant</w:t>
      </w:r>
      <w:r w:rsidRPr="002D7D09">
        <w:rPr>
          <w:sz w:val="24"/>
          <w:szCs w:val="24"/>
        </w:rPr>
        <w:t xml:space="preserve"> was not a party to the rule making</w:t>
      </w:r>
      <w:r w:rsidR="00EF5E5D">
        <w:rPr>
          <w:sz w:val="24"/>
          <w:szCs w:val="24"/>
        </w:rPr>
        <w:t>, had no knowledge of the proposed rules and no expectation that they would be applied to its application.</w:t>
      </w:r>
    </w:p>
    <w:p w:rsidR="00552427" w:rsidRDefault="00552427" w:rsidP="00552427">
      <w:pPr>
        <w:pStyle w:val="NoSpacing"/>
      </w:pPr>
    </w:p>
    <w:p w:rsidR="00015F7E" w:rsidRDefault="00D267F2" w:rsidP="00015F7E">
      <w:pPr>
        <w:spacing w:line="360" w:lineRule="auto"/>
        <w:rPr>
          <w:sz w:val="20"/>
          <w:szCs w:val="20"/>
        </w:rPr>
      </w:pPr>
      <w:r>
        <w:rPr>
          <w:sz w:val="24"/>
          <w:szCs w:val="24"/>
        </w:rPr>
        <w:t>5</w:t>
      </w:r>
      <w:r>
        <w:rPr>
          <w:sz w:val="24"/>
          <w:szCs w:val="24"/>
        </w:rPr>
        <w:tab/>
        <w:t xml:space="preserve">Staff filed a </w:t>
      </w:r>
      <w:r w:rsidRPr="00F606ED">
        <w:rPr>
          <w:sz w:val="24"/>
          <w:szCs w:val="24"/>
          <w:u w:val="single"/>
        </w:rPr>
        <w:t>Motion for Clarification</w:t>
      </w:r>
      <w:r>
        <w:rPr>
          <w:sz w:val="24"/>
          <w:szCs w:val="24"/>
        </w:rPr>
        <w:t xml:space="preserve"> on September 10, 2013 </w:t>
      </w:r>
      <w:r w:rsidR="001B02B3" w:rsidRPr="00015F7E">
        <w:rPr>
          <w:sz w:val="24"/>
          <w:szCs w:val="24"/>
          <w:vertAlign w:val="subscript"/>
        </w:rPr>
        <w:t>(6)</w:t>
      </w:r>
      <w:r w:rsidR="001B02B3">
        <w:rPr>
          <w:sz w:val="24"/>
          <w:szCs w:val="24"/>
        </w:rPr>
        <w:t xml:space="preserve"> </w:t>
      </w:r>
      <w:r>
        <w:rPr>
          <w:sz w:val="24"/>
          <w:szCs w:val="24"/>
        </w:rPr>
        <w:t xml:space="preserve">seeking clarification of the applicability of </w:t>
      </w:r>
      <w:r w:rsidR="00F606ED">
        <w:rPr>
          <w:sz w:val="24"/>
          <w:szCs w:val="24"/>
        </w:rPr>
        <w:t xml:space="preserve">the revised </w:t>
      </w:r>
      <w:r>
        <w:rPr>
          <w:sz w:val="24"/>
          <w:szCs w:val="24"/>
        </w:rPr>
        <w:t>WAC with reference to this subject docket.  As the revised rules were not in effect at the ti</w:t>
      </w:r>
      <w:r w:rsidR="00C341BA">
        <w:rPr>
          <w:sz w:val="24"/>
          <w:szCs w:val="24"/>
        </w:rPr>
        <w:t xml:space="preserve">me of filing of the application, </w:t>
      </w:r>
      <w:r w:rsidR="000D285A">
        <w:rPr>
          <w:sz w:val="24"/>
          <w:szCs w:val="24"/>
        </w:rPr>
        <w:t>the date</w:t>
      </w:r>
      <w:r>
        <w:rPr>
          <w:sz w:val="24"/>
          <w:szCs w:val="24"/>
        </w:rPr>
        <w:t xml:space="preserve"> of the pre-hearing </w:t>
      </w:r>
      <w:r w:rsidR="00015F7E">
        <w:rPr>
          <w:sz w:val="24"/>
          <w:szCs w:val="24"/>
        </w:rPr>
        <w:t>conference, or the date of the filing of the motion and the Executive Director ha</w:t>
      </w:r>
      <w:r w:rsidR="00015F7E" w:rsidRPr="007A7428">
        <w:rPr>
          <w:sz w:val="24"/>
          <w:szCs w:val="24"/>
        </w:rPr>
        <w:t>d</w:t>
      </w:r>
      <w:r w:rsidR="00015F7E">
        <w:rPr>
          <w:sz w:val="24"/>
          <w:szCs w:val="24"/>
        </w:rPr>
        <w:t xml:space="preserve"> clearly stated the Commission’s opinion on the effective date of the revisions, the motion seemed spurious and frivolous.  However despite all required application of rule and logic, precedent and the </w:t>
      </w:r>
    </w:p>
    <w:p w:rsidR="00E50516" w:rsidRDefault="00E50516" w:rsidP="004127DD">
      <w:pPr>
        <w:pStyle w:val="Default"/>
        <w:rPr>
          <w:sz w:val="20"/>
          <w:szCs w:val="20"/>
        </w:rPr>
      </w:pPr>
      <w:r>
        <w:rPr>
          <w:sz w:val="20"/>
          <w:szCs w:val="20"/>
        </w:rPr>
        <w:t>(</w:t>
      </w:r>
      <w:r w:rsidR="004127DD" w:rsidRPr="004127DD">
        <w:rPr>
          <w:sz w:val="20"/>
          <w:szCs w:val="20"/>
        </w:rPr>
        <w:t>2</w:t>
      </w:r>
      <w:r>
        <w:rPr>
          <w:sz w:val="20"/>
          <w:szCs w:val="20"/>
        </w:rPr>
        <w:t>)</w:t>
      </w:r>
      <w:r w:rsidR="004127DD" w:rsidRPr="004127DD">
        <w:rPr>
          <w:sz w:val="20"/>
          <w:szCs w:val="20"/>
        </w:rPr>
        <w:t xml:space="preserve"> Order 01 </w:t>
      </w:r>
      <w:r w:rsidR="004127DD" w:rsidRPr="004127DD">
        <w:rPr>
          <w:color w:val="auto"/>
          <w:sz w:val="20"/>
          <w:szCs w:val="20"/>
        </w:rPr>
        <w:t xml:space="preserve">TC-130708 </w:t>
      </w:r>
      <w:r w:rsidR="004127DD" w:rsidRPr="004127DD">
        <w:rPr>
          <w:sz w:val="20"/>
          <w:szCs w:val="20"/>
        </w:rPr>
        <w:t xml:space="preserve">para. 9 </w:t>
      </w:r>
    </w:p>
    <w:p w:rsidR="004127DD" w:rsidRPr="004127DD" w:rsidRDefault="00E50516" w:rsidP="004127DD">
      <w:pPr>
        <w:pStyle w:val="Default"/>
        <w:rPr>
          <w:color w:val="auto"/>
          <w:sz w:val="20"/>
          <w:szCs w:val="20"/>
        </w:rPr>
      </w:pPr>
      <w:r>
        <w:rPr>
          <w:color w:val="auto"/>
          <w:sz w:val="20"/>
          <w:szCs w:val="20"/>
        </w:rPr>
        <w:t>(</w:t>
      </w:r>
      <w:r w:rsidR="004127DD" w:rsidRPr="004127DD">
        <w:rPr>
          <w:color w:val="auto"/>
          <w:sz w:val="20"/>
          <w:szCs w:val="20"/>
        </w:rPr>
        <w:t>3</w:t>
      </w:r>
      <w:r>
        <w:rPr>
          <w:color w:val="auto"/>
          <w:sz w:val="20"/>
          <w:szCs w:val="20"/>
        </w:rPr>
        <w:t>)</w:t>
      </w:r>
      <w:r w:rsidR="004127DD" w:rsidRPr="004127DD">
        <w:rPr>
          <w:color w:val="auto"/>
          <w:sz w:val="20"/>
          <w:szCs w:val="20"/>
        </w:rPr>
        <w:t xml:space="preserve"> Transcript Docket TC-130708 Vol. 1, pg 8,9,10 </w:t>
      </w:r>
    </w:p>
    <w:p w:rsidR="004127DD" w:rsidRPr="004127DD" w:rsidRDefault="00E50516" w:rsidP="004127DD">
      <w:pPr>
        <w:pStyle w:val="Default"/>
        <w:rPr>
          <w:color w:val="auto"/>
          <w:sz w:val="20"/>
          <w:szCs w:val="20"/>
        </w:rPr>
      </w:pPr>
      <w:r>
        <w:rPr>
          <w:color w:val="auto"/>
          <w:sz w:val="20"/>
          <w:szCs w:val="20"/>
        </w:rPr>
        <w:t>(</w:t>
      </w:r>
      <w:r w:rsidR="004127DD" w:rsidRPr="004127DD">
        <w:rPr>
          <w:color w:val="auto"/>
          <w:sz w:val="20"/>
          <w:szCs w:val="20"/>
        </w:rPr>
        <w:t>4</w:t>
      </w:r>
      <w:r>
        <w:rPr>
          <w:color w:val="auto"/>
          <w:sz w:val="20"/>
          <w:szCs w:val="20"/>
        </w:rPr>
        <w:t>)</w:t>
      </w:r>
      <w:r w:rsidR="004127DD" w:rsidRPr="004127DD">
        <w:rPr>
          <w:color w:val="auto"/>
          <w:sz w:val="20"/>
          <w:szCs w:val="20"/>
        </w:rPr>
        <w:t xml:space="preserve"> Order R-572 issued on August 21, 2013 and application filed on May 7, 2013.</w:t>
      </w:r>
    </w:p>
    <w:p w:rsidR="004127DD" w:rsidRPr="004127DD" w:rsidRDefault="00E50516" w:rsidP="004127DD">
      <w:pPr>
        <w:pStyle w:val="Default"/>
        <w:rPr>
          <w:color w:val="auto"/>
          <w:sz w:val="20"/>
          <w:szCs w:val="20"/>
        </w:rPr>
      </w:pPr>
      <w:r>
        <w:rPr>
          <w:color w:val="auto"/>
          <w:sz w:val="20"/>
          <w:szCs w:val="20"/>
        </w:rPr>
        <w:t>(</w:t>
      </w:r>
      <w:r w:rsidR="004127DD" w:rsidRPr="004127DD">
        <w:rPr>
          <w:color w:val="auto"/>
          <w:sz w:val="20"/>
          <w:szCs w:val="20"/>
        </w:rPr>
        <w:t>5</w:t>
      </w:r>
      <w:r>
        <w:rPr>
          <w:color w:val="auto"/>
          <w:sz w:val="20"/>
          <w:szCs w:val="20"/>
        </w:rPr>
        <w:t>)</w:t>
      </w:r>
      <w:r w:rsidR="004127DD" w:rsidRPr="004127DD">
        <w:rPr>
          <w:color w:val="auto"/>
          <w:sz w:val="20"/>
          <w:szCs w:val="20"/>
        </w:rPr>
        <w:t xml:space="preserve"> Order R-572 issued on August 21, 2013 with an effective date of September 21, 2013</w:t>
      </w:r>
    </w:p>
    <w:p w:rsidR="004127DD" w:rsidRPr="004127DD" w:rsidRDefault="00E50516" w:rsidP="004127DD">
      <w:pPr>
        <w:pStyle w:val="Default"/>
        <w:rPr>
          <w:color w:val="auto"/>
          <w:sz w:val="20"/>
          <w:szCs w:val="20"/>
        </w:rPr>
      </w:pPr>
      <w:r>
        <w:rPr>
          <w:color w:val="auto"/>
          <w:sz w:val="20"/>
          <w:szCs w:val="20"/>
        </w:rPr>
        <w:t>(</w:t>
      </w:r>
      <w:r w:rsidR="004127DD" w:rsidRPr="004127DD">
        <w:rPr>
          <w:color w:val="auto"/>
          <w:sz w:val="20"/>
          <w:szCs w:val="20"/>
        </w:rPr>
        <w:t>6</w:t>
      </w:r>
      <w:r>
        <w:rPr>
          <w:color w:val="auto"/>
          <w:sz w:val="20"/>
          <w:szCs w:val="20"/>
        </w:rPr>
        <w:t>)</w:t>
      </w:r>
      <w:r w:rsidR="004127DD" w:rsidRPr="004127DD">
        <w:rPr>
          <w:color w:val="auto"/>
          <w:sz w:val="20"/>
          <w:szCs w:val="20"/>
        </w:rPr>
        <w:t xml:space="preserve"> Staff Motion for Clarification Docket TC-130708 Sept. 10, 2013</w:t>
      </w:r>
    </w:p>
    <w:p w:rsidR="004127DD" w:rsidRPr="004127DD" w:rsidRDefault="004127DD" w:rsidP="004127DD">
      <w:pPr>
        <w:pStyle w:val="Default"/>
        <w:rPr>
          <w:color w:val="auto"/>
          <w:sz w:val="20"/>
          <w:szCs w:val="20"/>
        </w:rPr>
      </w:pPr>
    </w:p>
    <w:p w:rsidR="00015F7E" w:rsidRPr="00015F7E" w:rsidRDefault="00015F7E" w:rsidP="00742C61">
      <w:pPr>
        <w:spacing w:line="360" w:lineRule="auto"/>
        <w:rPr>
          <w:rFonts w:ascii="Times New Roman" w:hAnsi="Times New Roman" w:cs="Times New Roman"/>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15F7E">
        <w:rPr>
          <w:rFonts w:ascii="Times New Roman" w:hAnsi="Times New Roman" w:cs="Times New Roman"/>
          <w:sz w:val="20"/>
          <w:szCs w:val="20"/>
        </w:rPr>
        <w:t>pg 2</w:t>
      </w:r>
    </w:p>
    <w:p w:rsidR="00015F7E" w:rsidRPr="00AD76E6" w:rsidRDefault="00015F7E" w:rsidP="00015F7E">
      <w:pPr>
        <w:pStyle w:val="NoSpacing"/>
        <w:spacing w:line="360" w:lineRule="auto"/>
      </w:pPr>
      <w:r w:rsidRPr="00AD76E6">
        <w:lastRenderedPageBreak/>
        <w:t xml:space="preserve">order of the State Supreme Court </w:t>
      </w:r>
      <w:r w:rsidRPr="00AD76E6">
        <w:rPr>
          <w:vertAlign w:val="subscript"/>
        </w:rPr>
        <w:t>(7)</w:t>
      </w:r>
      <w:r w:rsidRPr="00AD76E6">
        <w:t xml:space="preserve"> the ALJ issued Order No. 2 </w:t>
      </w:r>
      <w:r w:rsidRPr="00AD76E6">
        <w:rPr>
          <w:vertAlign w:val="subscript"/>
        </w:rPr>
        <w:t>(8)</w:t>
      </w:r>
      <w:r w:rsidRPr="00AD76E6">
        <w:t xml:space="preserve"> applying the “not in effect”</w:t>
      </w:r>
    </w:p>
    <w:p w:rsidR="00D267F2" w:rsidRPr="00AD76E6" w:rsidRDefault="00D267F2" w:rsidP="00015F7E">
      <w:pPr>
        <w:pStyle w:val="NoSpacing"/>
        <w:spacing w:line="360" w:lineRule="auto"/>
      </w:pPr>
      <w:r w:rsidRPr="00AD76E6">
        <w:t>rules retro-actively to the application and dismiss</w:t>
      </w:r>
      <w:r w:rsidR="005B78A7" w:rsidRPr="00AD76E6">
        <w:t>ed</w:t>
      </w:r>
      <w:r w:rsidRPr="00AD76E6">
        <w:t xml:space="preserve"> the protests.</w:t>
      </w:r>
      <w:r w:rsidR="00FD7ACC" w:rsidRPr="00AD76E6">
        <w:t xml:space="preserve">  </w:t>
      </w:r>
      <w:r w:rsidR="007A7428" w:rsidRPr="00AD76E6">
        <w:t>T</w:t>
      </w:r>
      <w:r w:rsidR="00FD7ACC" w:rsidRPr="00AD76E6">
        <w:t xml:space="preserve">he ALJ converted a Motion for Clarification to a Declaratory Motion denying the rights of the </w:t>
      </w:r>
      <w:r w:rsidR="005B78A7" w:rsidRPr="00AD76E6">
        <w:t>Protestants</w:t>
      </w:r>
      <w:r w:rsidR="00FD7ACC" w:rsidRPr="00AD76E6">
        <w:t xml:space="preserve"> without following procedure and without </w:t>
      </w:r>
      <w:r w:rsidR="001B02B3" w:rsidRPr="00AD76E6">
        <w:t xml:space="preserve">proper </w:t>
      </w:r>
      <w:r w:rsidR="00FD7ACC" w:rsidRPr="00AD76E6">
        <w:t>notice to the affected parties.</w:t>
      </w:r>
      <w:r w:rsidR="0054725C" w:rsidRPr="00AD76E6">
        <w:t xml:space="preserve"> </w:t>
      </w:r>
      <w:r w:rsidR="006961A9" w:rsidRPr="00AD76E6">
        <w:t xml:space="preserve">Order No. 2 </w:t>
      </w:r>
      <w:r w:rsidR="007A7428" w:rsidRPr="00AD76E6">
        <w:t>effected this conversion.</w:t>
      </w:r>
      <w:r w:rsidR="006961A9" w:rsidRPr="00AD76E6">
        <w:t xml:space="preserve">  Order No. </w:t>
      </w:r>
      <w:r w:rsidR="002B5531" w:rsidRPr="00AD76E6">
        <w:t>0</w:t>
      </w:r>
      <w:r w:rsidR="006961A9" w:rsidRPr="00AD76E6">
        <w:t xml:space="preserve">3 </w:t>
      </w:r>
      <w:r w:rsidR="001B02B3" w:rsidRPr="00AD76E6">
        <w:t>reaffirms</w:t>
      </w:r>
      <w:r w:rsidR="006961A9" w:rsidRPr="00AD76E6">
        <w:rPr>
          <w:color w:val="FF0000"/>
        </w:rPr>
        <w:t xml:space="preserve"> </w:t>
      </w:r>
      <w:r w:rsidR="006961A9" w:rsidRPr="00AD76E6">
        <w:t xml:space="preserve">this conversion stating </w:t>
      </w:r>
      <w:r w:rsidR="001B02B3" w:rsidRPr="00AD76E6">
        <w:t>“Wickkiser</w:t>
      </w:r>
      <w:r w:rsidR="006961A9" w:rsidRPr="00AD76E6">
        <w:t xml:space="preserve"> and Seatac Shuttle</w:t>
      </w:r>
      <w:r w:rsidR="001B02B3" w:rsidRPr="00AD76E6">
        <w:t xml:space="preserve"> have no basis for their </w:t>
      </w:r>
      <w:r w:rsidR="006961A9" w:rsidRPr="00AD76E6">
        <w:t>claims that Order 02 expanded Staff’s motion and denied them</w:t>
      </w:r>
      <w:r w:rsidR="00320606" w:rsidRPr="00AD76E6">
        <w:t xml:space="preserve"> proper notice or due process. </w:t>
      </w:r>
      <w:r w:rsidR="001B02B3" w:rsidRPr="00AD76E6">
        <w:rPr>
          <w:vertAlign w:val="subscript"/>
        </w:rPr>
        <w:t>(9</w:t>
      </w:r>
      <w:r w:rsidR="007A7428" w:rsidRPr="00AD76E6">
        <w:rPr>
          <w:vertAlign w:val="subscript"/>
        </w:rPr>
        <w:t>)</w:t>
      </w:r>
      <w:r w:rsidR="006961A9" w:rsidRPr="00AD76E6">
        <w:t xml:space="preserve">  WAC 480-30-07 (2) (b) requires that:</w:t>
      </w:r>
    </w:p>
    <w:p w:rsidR="006961A9" w:rsidRPr="00AD76E6" w:rsidRDefault="006961A9" w:rsidP="006961A9">
      <w:pPr>
        <w:spacing w:line="240" w:lineRule="auto"/>
      </w:pPr>
      <w:r w:rsidRPr="00AD76E6">
        <w:rPr>
          <w:rFonts w:cs="Arial"/>
        </w:rPr>
        <w:t xml:space="preserve">(b) </w:t>
      </w:r>
      <w:r w:rsidRPr="00AD76E6">
        <w:rPr>
          <w:rFonts w:cs="Arial"/>
          <w:b/>
          <w:bCs/>
          <w:i/>
          <w:iCs/>
        </w:rPr>
        <w:t>Time for filing motion for summary determination.</w:t>
      </w:r>
      <w:r w:rsidRPr="00AD76E6">
        <w:rPr>
          <w:rFonts w:cs="Arial"/>
        </w:rPr>
        <w:t xml:space="preserve"> A party must file any motion for summary determination </w:t>
      </w:r>
      <w:r w:rsidRPr="00AD76E6">
        <w:rPr>
          <w:rFonts w:cs="Arial"/>
          <w:b/>
          <w:u w:val="single"/>
        </w:rPr>
        <w:t>at least thirty days before the next applicable hearing session</w:t>
      </w:r>
      <w:r w:rsidRPr="00AD76E6">
        <w:rPr>
          <w:rFonts w:cs="Arial"/>
        </w:rPr>
        <w:t>, unless the commission establishes by order a different specific date for any such motion to be filed.</w:t>
      </w:r>
    </w:p>
    <w:p w:rsidR="006961A9" w:rsidRPr="00AD76E6" w:rsidRDefault="006961A9" w:rsidP="00742C61">
      <w:pPr>
        <w:spacing w:line="360" w:lineRule="auto"/>
      </w:pPr>
      <w:r w:rsidRPr="00AD76E6">
        <w:t xml:space="preserve">Order 01 set the next hearing date for October 2, 2013. </w:t>
      </w:r>
      <w:r w:rsidRPr="00AD76E6">
        <w:rPr>
          <w:vertAlign w:val="subscript"/>
        </w:rPr>
        <w:t>(</w:t>
      </w:r>
      <w:r w:rsidR="0019712B" w:rsidRPr="00AD76E6">
        <w:rPr>
          <w:vertAlign w:val="subscript"/>
        </w:rPr>
        <w:t>10</w:t>
      </w:r>
      <w:r w:rsidRPr="00AD76E6">
        <w:rPr>
          <w:vertAlign w:val="subscript"/>
        </w:rPr>
        <w:t>)</w:t>
      </w:r>
      <w:r w:rsidRPr="00AD76E6">
        <w:rPr>
          <w:color w:val="FF0000"/>
        </w:rPr>
        <w:t xml:space="preserve"> </w:t>
      </w:r>
      <w:r w:rsidRPr="00AD76E6">
        <w:t xml:space="preserve">The motion was filed less than the required number of days for it to be considered as Motion for Summary Adjudication.  The motion in its entirety should be stricken and not be part of this </w:t>
      </w:r>
      <w:r w:rsidR="00AD76E6" w:rsidRPr="00AD76E6">
        <w:t>proceeding</w:t>
      </w:r>
      <w:r w:rsidRPr="00AD76E6">
        <w:t>.  There can be no excuse for untimely filings by the agency</w:t>
      </w:r>
      <w:r w:rsidR="00243431" w:rsidRPr="00AD76E6">
        <w:t xml:space="preserve"> or acceptance of such filing by the Commission.</w:t>
      </w:r>
    </w:p>
    <w:p w:rsidR="00015F7E" w:rsidRPr="00AD76E6" w:rsidRDefault="00D267F2" w:rsidP="00AD76E6">
      <w:pPr>
        <w:pStyle w:val="NoSpacing"/>
        <w:spacing w:line="360" w:lineRule="auto"/>
      </w:pPr>
      <w:r w:rsidRPr="00AD76E6">
        <w:t xml:space="preserve">6. </w:t>
      </w:r>
      <w:r w:rsidR="005B78A7" w:rsidRPr="00AD76E6">
        <w:tab/>
      </w:r>
      <w:r w:rsidRPr="00AD76E6">
        <w:t xml:space="preserve">Seatac and Airporter vigorously opposed this misguided ruling in individual </w:t>
      </w:r>
      <w:r w:rsidRPr="00AD76E6">
        <w:rPr>
          <w:u w:val="single"/>
        </w:rPr>
        <w:t>Petitions for Administrative Review</w:t>
      </w:r>
      <w:r w:rsidRPr="00AD76E6">
        <w:t xml:space="preserve">.  Seatac, in reviewing the complete confusion created by </w:t>
      </w:r>
      <w:r w:rsidR="00C652B6" w:rsidRPr="00AD76E6">
        <w:t xml:space="preserve">Order No.2 </w:t>
      </w:r>
      <w:r w:rsidRPr="00AD76E6">
        <w:t xml:space="preserve"> and the inconsistencies of staff, offered within its Petition to withdraw if, as the </w:t>
      </w:r>
      <w:r w:rsidR="0019712B" w:rsidRPr="00AD76E6">
        <w:t>A</w:t>
      </w:r>
      <w:r w:rsidRPr="00AD76E6">
        <w:t>pplicant suggested i</w:t>
      </w:r>
      <w:r w:rsidR="0010203E" w:rsidRPr="00AD76E6">
        <w:t>t</w:t>
      </w:r>
      <w:r w:rsidRPr="00AD76E6">
        <w:t xml:space="preserve"> could, withdraw its application and refile properly under the new revision of 480-30.  </w:t>
      </w:r>
      <w:r w:rsidR="00243431" w:rsidRPr="00AD76E6">
        <w:t xml:space="preserve">The Applicant </w:t>
      </w:r>
      <w:r w:rsidRPr="00AD76E6">
        <w:t xml:space="preserve">did not object to or voice any negative opinion of following its own </w:t>
      </w:r>
      <w:r w:rsidR="008F277D" w:rsidRPr="00AD76E6">
        <w:t xml:space="preserve">suggestion despite a solicitation by the ALJ to respond to the Petitions.  The Applicant </w:t>
      </w:r>
      <w:r w:rsidR="00C24C42" w:rsidRPr="00AD76E6">
        <w:t>applied</w:t>
      </w:r>
      <w:r w:rsidR="00BF2948" w:rsidRPr="00AD76E6">
        <w:t xml:space="preserve"> under the </w:t>
      </w:r>
      <w:r w:rsidR="00C24C42" w:rsidRPr="00AD76E6">
        <w:t xml:space="preserve">only </w:t>
      </w:r>
      <w:r w:rsidR="00BF2948" w:rsidRPr="00AD76E6">
        <w:t xml:space="preserve">rules in force at the time of his application.  The Regulatory </w:t>
      </w:r>
      <w:r w:rsidR="00243431" w:rsidRPr="00AD76E6">
        <w:t>Analyst</w:t>
      </w:r>
      <w:r w:rsidR="00BF2948" w:rsidRPr="00AD76E6">
        <w:t xml:space="preserve"> assigned to this docket never raised the issue with the </w:t>
      </w:r>
      <w:r w:rsidR="0019712B" w:rsidRPr="00AD76E6">
        <w:t>Applicant;</w:t>
      </w:r>
      <w:r w:rsidR="00BF2948" w:rsidRPr="00AD76E6">
        <w:t xml:space="preserve"> staff presented no concerns during the application process</w:t>
      </w:r>
      <w:r w:rsidR="00243431" w:rsidRPr="00AD76E6">
        <w:t xml:space="preserve">, the pre-hearing </w:t>
      </w:r>
      <w:r w:rsidR="00F61D00" w:rsidRPr="00AD76E6">
        <w:t>conference</w:t>
      </w:r>
      <w:r w:rsidR="00BF2948" w:rsidRPr="00AD76E6">
        <w:t xml:space="preserve"> or during the development of the revisions. </w:t>
      </w:r>
      <w:r w:rsidRPr="00AD76E6">
        <w:t>On the contrary, the only objection came once again from the AAG</w:t>
      </w:r>
      <w:r w:rsidR="00BF2948" w:rsidRPr="00AD76E6">
        <w:t xml:space="preserve"> well after the fact</w:t>
      </w:r>
      <w:r w:rsidRPr="00AD76E6">
        <w:t xml:space="preserve">.  It is incredulous to this petitioner that the AAG can on one hand argue for application of the revised WAC </w:t>
      </w:r>
      <w:r w:rsidR="00BF2948" w:rsidRPr="00AD76E6">
        <w:t xml:space="preserve">in this docket </w:t>
      </w:r>
      <w:r w:rsidRPr="00AD76E6">
        <w:t xml:space="preserve">and then argue against the applicant properly filing for </w:t>
      </w:r>
      <w:r w:rsidR="0010203E" w:rsidRPr="00AD76E6">
        <w:t xml:space="preserve">its </w:t>
      </w:r>
      <w:r w:rsidRPr="00AD76E6">
        <w:t xml:space="preserve">use, despite </w:t>
      </w:r>
      <w:r w:rsidR="003455CF" w:rsidRPr="00AD76E6">
        <w:t>suggesting just such a course of action in concert with the applicant</w:t>
      </w:r>
      <w:r w:rsidR="0079784D" w:rsidRPr="00AD76E6">
        <w:t>.</w:t>
      </w:r>
      <w:r w:rsidR="00E0357F">
        <w:t xml:space="preserve"> </w:t>
      </w:r>
      <w:r w:rsidR="00E0357F" w:rsidRPr="00E0357F">
        <w:rPr>
          <w:rFonts w:ascii="Times New Roman" w:hAnsi="Times New Roman" w:cs="Times New Roman"/>
          <w:sz w:val="20"/>
          <w:szCs w:val="20"/>
          <w:vertAlign w:val="subscript"/>
        </w:rPr>
        <w:t>(11)</w:t>
      </w:r>
    </w:p>
    <w:p w:rsidR="00AD76E6" w:rsidRDefault="00AD76E6" w:rsidP="00015F7E">
      <w:pPr>
        <w:pStyle w:val="NoSpacing"/>
        <w:rPr>
          <w:rFonts w:ascii="Times New Roman" w:hAnsi="Times New Roman" w:cs="Times New Roman"/>
          <w:sz w:val="20"/>
          <w:szCs w:val="20"/>
        </w:rPr>
      </w:pPr>
    </w:p>
    <w:p w:rsidR="00015F7E" w:rsidRPr="0001782F" w:rsidRDefault="00015F7E" w:rsidP="00015F7E">
      <w:pPr>
        <w:pStyle w:val="NoSpacing"/>
        <w:rPr>
          <w:rFonts w:ascii="Times New Roman" w:hAnsi="Times New Roman" w:cs="Times New Roman"/>
          <w:bCs/>
          <w:sz w:val="20"/>
          <w:szCs w:val="20"/>
        </w:rPr>
      </w:pPr>
      <w:r w:rsidRPr="0001782F">
        <w:rPr>
          <w:rFonts w:ascii="Times New Roman" w:hAnsi="Times New Roman" w:cs="Times New Roman"/>
          <w:sz w:val="20"/>
          <w:szCs w:val="20"/>
        </w:rPr>
        <w:t xml:space="preserve">(7) State V. MacKenzie, 114 Wash. App;  9. Champagne v. Thurston County, Supreme Court of Washington </w:t>
      </w:r>
      <w:r w:rsidRPr="0001782F">
        <w:rPr>
          <w:rFonts w:ascii="Times New Roman" w:hAnsi="Times New Roman" w:cs="Times New Roman"/>
          <w:bCs/>
          <w:sz w:val="20"/>
          <w:szCs w:val="20"/>
        </w:rPr>
        <w:t xml:space="preserve">No. </w:t>
      </w:r>
      <w:r w:rsidRPr="0001782F">
        <w:rPr>
          <w:rFonts w:ascii="Times New Roman" w:hAnsi="Times New Roman" w:cs="Times New Roman"/>
          <w:bCs/>
          <w:sz w:val="20"/>
          <w:szCs w:val="20"/>
        </w:rPr>
        <w:t> </w:t>
      </w:r>
      <w:r w:rsidRPr="0001782F">
        <w:rPr>
          <w:rFonts w:ascii="Times New Roman" w:hAnsi="Times New Roman" w:cs="Times New Roman"/>
          <w:bCs/>
          <w:sz w:val="20"/>
          <w:szCs w:val="20"/>
        </w:rPr>
        <w:t>79209-7. Argued Sept. 27, 2007. -- February 14, 2008</w:t>
      </w:r>
    </w:p>
    <w:p w:rsidR="00015F7E" w:rsidRPr="0001782F" w:rsidRDefault="00015F7E" w:rsidP="00015F7E">
      <w:pPr>
        <w:pStyle w:val="NoSpacing"/>
        <w:rPr>
          <w:rFonts w:ascii="Times New Roman" w:hAnsi="Times New Roman" w:cs="Times New Roman"/>
          <w:sz w:val="20"/>
          <w:szCs w:val="20"/>
        </w:rPr>
      </w:pPr>
      <w:r w:rsidRPr="0001782F">
        <w:rPr>
          <w:rFonts w:ascii="Times New Roman" w:hAnsi="Times New Roman" w:cs="Times New Roman"/>
          <w:sz w:val="20"/>
          <w:szCs w:val="20"/>
        </w:rPr>
        <w:t>(8) Order 02 Docket TC-130708, Initial Order Dismissing Adjudication, November 8, 2013</w:t>
      </w:r>
    </w:p>
    <w:p w:rsidR="00015F7E" w:rsidRPr="0001782F" w:rsidRDefault="00015F7E" w:rsidP="00015F7E">
      <w:pPr>
        <w:pStyle w:val="Default"/>
        <w:rPr>
          <w:color w:val="auto"/>
          <w:sz w:val="20"/>
          <w:szCs w:val="20"/>
        </w:rPr>
      </w:pPr>
      <w:r w:rsidRPr="0001782F">
        <w:rPr>
          <w:color w:val="auto"/>
          <w:sz w:val="20"/>
          <w:szCs w:val="20"/>
        </w:rPr>
        <w:t xml:space="preserve">(9) Order 03 Docket TC-1307-8 para. 7 </w:t>
      </w:r>
    </w:p>
    <w:p w:rsidR="00E0357F" w:rsidRDefault="00015F7E" w:rsidP="00015F7E">
      <w:pPr>
        <w:pStyle w:val="Default"/>
        <w:rPr>
          <w:sz w:val="20"/>
          <w:szCs w:val="20"/>
        </w:rPr>
      </w:pPr>
      <w:r w:rsidRPr="0001782F">
        <w:rPr>
          <w:color w:val="auto"/>
          <w:sz w:val="20"/>
          <w:szCs w:val="20"/>
        </w:rPr>
        <w:t xml:space="preserve">(10) </w:t>
      </w:r>
      <w:r w:rsidRPr="0001782F">
        <w:rPr>
          <w:sz w:val="20"/>
          <w:szCs w:val="20"/>
        </w:rPr>
        <w:t xml:space="preserve">Order 01 </w:t>
      </w:r>
      <w:r w:rsidRPr="0001782F">
        <w:rPr>
          <w:color w:val="auto"/>
          <w:sz w:val="20"/>
          <w:szCs w:val="20"/>
        </w:rPr>
        <w:t xml:space="preserve">TC-130708 </w:t>
      </w:r>
      <w:r w:rsidRPr="0001782F">
        <w:rPr>
          <w:sz w:val="20"/>
          <w:szCs w:val="20"/>
        </w:rPr>
        <w:t>para. 9</w:t>
      </w:r>
      <w:r w:rsidR="000975A0">
        <w:rPr>
          <w:sz w:val="20"/>
          <w:szCs w:val="20"/>
        </w:rPr>
        <w:t xml:space="preserve"> </w:t>
      </w:r>
      <w:r w:rsidRPr="0001782F">
        <w:rPr>
          <w:sz w:val="20"/>
          <w:szCs w:val="20"/>
        </w:rPr>
        <w:t xml:space="preserve"> </w:t>
      </w:r>
    </w:p>
    <w:p w:rsidR="00015F7E" w:rsidRPr="0001782F" w:rsidRDefault="00E0357F" w:rsidP="00015F7E">
      <w:pPr>
        <w:pStyle w:val="Default"/>
        <w:rPr>
          <w:color w:val="FF0000"/>
          <w:sz w:val="20"/>
          <w:szCs w:val="20"/>
        </w:rPr>
      </w:pPr>
      <w:r w:rsidRPr="009842F0">
        <w:rPr>
          <w:sz w:val="20"/>
          <w:szCs w:val="20"/>
        </w:rPr>
        <w:t>(11) Order 02 Docket TC-130708 para. 4 Staff Motion for Clarification at 4, ¶ 6, and 5, ¶ 8.</w:t>
      </w:r>
      <w:r w:rsidR="00015F7E">
        <w:rPr>
          <w:sz w:val="20"/>
          <w:szCs w:val="20"/>
        </w:rPr>
        <w:tab/>
      </w:r>
      <w:r w:rsidR="00015F7E">
        <w:rPr>
          <w:sz w:val="20"/>
          <w:szCs w:val="20"/>
        </w:rPr>
        <w:tab/>
      </w:r>
      <w:r w:rsidR="00015F7E">
        <w:rPr>
          <w:sz w:val="20"/>
          <w:szCs w:val="20"/>
        </w:rPr>
        <w:tab/>
      </w:r>
      <w:r w:rsidR="00015F7E">
        <w:rPr>
          <w:sz w:val="20"/>
          <w:szCs w:val="20"/>
        </w:rPr>
        <w:tab/>
      </w:r>
      <w:r w:rsidR="00015F7E">
        <w:rPr>
          <w:sz w:val="20"/>
          <w:szCs w:val="20"/>
        </w:rPr>
        <w:tab/>
      </w:r>
      <w:r w:rsidR="00015F7E">
        <w:rPr>
          <w:sz w:val="20"/>
          <w:szCs w:val="20"/>
        </w:rPr>
        <w:tab/>
      </w:r>
      <w:r w:rsidR="00015F7E">
        <w:rPr>
          <w:sz w:val="20"/>
          <w:szCs w:val="20"/>
        </w:rPr>
        <w:tab/>
      </w:r>
      <w:r w:rsidR="00015F7E">
        <w:rPr>
          <w:sz w:val="20"/>
          <w:szCs w:val="20"/>
        </w:rPr>
        <w:tab/>
        <w:t>pg 3</w:t>
      </w:r>
    </w:p>
    <w:p w:rsidR="00D267F2" w:rsidRPr="00EB1F51" w:rsidRDefault="003455CF" w:rsidP="00742C61">
      <w:pPr>
        <w:spacing w:line="360" w:lineRule="auto"/>
        <w:rPr>
          <w:sz w:val="24"/>
          <w:szCs w:val="24"/>
        </w:rPr>
      </w:pPr>
      <w:r>
        <w:rPr>
          <w:sz w:val="24"/>
          <w:szCs w:val="24"/>
        </w:rPr>
        <w:lastRenderedPageBreak/>
        <w:t xml:space="preserve">Three of the four parties to this application have </w:t>
      </w:r>
      <w:r w:rsidR="00AD76E6">
        <w:rPr>
          <w:sz w:val="24"/>
          <w:szCs w:val="24"/>
        </w:rPr>
        <w:t xml:space="preserve">suggested </w:t>
      </w:r>
      <w:r>
        <w:rPr>
          <w:sz w:val="24"/>
          <w:szCs w:val="24"/>
        </w:rPr>
        <w:t xml:space="preserve">this course of action.  Now the AAG raises spurious arguments to the contrary of his stated position.  </w:t>
      </w:r>
      <w:r w:rsidR="00D267F2">
        <w:rPr>
          <w:sz w:val="24"/>
          <w:szCs w:val="24"/>
        </w:rPr>
        <w:t>One must question motives here.</w:t>
      </w:r>
    </w:p>
    <w:p w:rsidR="00742C61" w:rsidRPr="00EB1F51" w:rsidRDefault="00742C61" w:rsidP="002E4050">
      <w:pPr>
        <w:spacing w:line="360" w:lineRule="auto"/>
        <w:rPr>
          <w:b/>
          <w:sz w:val="24"/>
          <w:szCs w:val="24"/>
        </w:rPr>
      </w:pPr>
      <w:r>
        <w:rPr>
          <w:b/>
          <w:sz w:val="24"/>
          <w:szCs w:val="24"/>
        </w:rPr>
        <w:t xml:space="preserve">III. </w:t>
      </w:r>
      <w:r w:rsidRPr="00F52360">
        <w:rPr>
          <w:b/>
          <w:sz w:val="24"/>
          <w:szCs w:val="24"/>
          <w:u w:val="single"/>
        </w:rPr>
        <w:t>DISCUSSION</w:t>
      </w:r>
    </w:p>
    <w:p w:rsidR="002D7D09" w:rsidRPr="00FB358E" w:rsidRDefault="002D7D09" w:rsidP="002E4050">
      <w:pPr>
        <w:spacing w:line="360" w:lineRule="auto"/>
        <w:rPr>
          <w:rFonts w:cs="Arial"/>
          <w:b/>
          <w:sz w:val="24"/>
          <w:szCs w:val="24"/>
        </w:rPr>
      </w:pPr>
      <w:r>
        <w:rPr>
          <w:rFonts w:cs="Arial"/>
          <w:sz w:val="24"/>
          <w:szCs w:val="24"/>
        </w:rPr>
        <w:tab/>
      </w:r>
      <w:r w:rsidRPr="00FB358E">
        <w:rPr>
          <w:rFonts w:cs="Arial"/>
          <w:b/>
          <w:sz w:val="24"/>
          <w:szCs w:val="24"/>
        </w:rPr>
        <w:t xml:space="preserve">Staff did not respond or present any argument to support its contention that the “revised rules” </w:t>
      </w:r>
      <w:r w:rsidR="00FB358E" w:rsidRPr="00FB358E">
        <w:rPr>
          <w:rFonts w:cs="Arial"/>
          <w:b/>
          <w:sz w:val="24"/>
          <w:szCs w:val="24"/>
        </w:rPr>
        <w:t xml:space="preserve">should be </w:t>
      </w:r>
      <w:r w:rsidR="0054725C">
        <w:rPr>
          <w:rFonts w:cs="Arial"/>
          <w:b/>
          <w:sz w:val="24"/>
          <w:szCs w:val="24"/>
        </w:rPr>
        <w:t xml:space="preserve">applicable </w:t>
      </w:r>
      <w:r w:rsidR="00FB358E" w:rsidRPr="00FB358E">
        <w:rPr>
          <w:rFonts w:cs="Arial"/>
          <w:b/>
          <w:sz w:val="24"/>
          <w:szCs w:val="24"/>
        </w:rPr>
        <w:t>in regards to the processing of this application</w:t>
      </w:r>
    </w:p>
    <w:p w:rsidR="00015F7E" w:rsidRDefault="00F60B45" w:rsidP="00015F7E">
      <w:pPr>
        <w:pStyle w:val="NoSpacing"/>
        <w:spacing w:line="360" w:lineRule="auto"/>
      </w:pPr>
      <w:r>
        <w:t>7.</w:t>
      </w:r>
      <w:r>
        <w:tab/>
      </w:r>
      <w:r w:rsidR="00FD7ACC" w:rsidRPr="002E4050">
        <w:t>Staff</w:t>
      </w:r>
      <w:r>
        <w:t>,</w:t>
      </w:r>
      <w:r w:rsidR="00FD7ACC" w:rsidRPr="002E4050">
        <w:t xml:space="preserve"> through the assigned staff AAG</w:t>
      </w:r>
      <w:r>
        <w:t>,</w:t>
      </w:r>
      <w:r w:rsidR="00FD7ACC" w:rsidRPr="002E4050">
        <w:t xml:space="preserve"> filed an answer </w:t>
      </w:r>
      <w:r w:rsidR="00C00C74" w:rsidRPr="002E4050">
        <w:t>to Seatac’s</w:t>
      </w:r>
      <w:r w:rsidR="00FD7ACC" w:rsidRPr="002E4050">
        <w:t xml:space="preserve"> Petition for</w:t>
      </w:r>
      <w:r w:rsidR="00C00C74" w:rsidRPr="002E4050">
        <w:t xml:space="preserve"> Administrative R</w:t>
      </w:r>
      <w:r w:rsidR="00FD7ACC" w:rsidRPr="002E4050">
        <w:t>eview.  In point of fact the document filed was not an answer as it did not respond to the issues raised by the Petition</w:t>
      </w:r>
      <w:r w:rsidR="003C13FC" w:rsidRPr="002E4050">
        <w:t xml:space="preserve"> other </w:t>
      </w:r>
      <w:r w:rsidR="00AD3C5B">
        <w:t>than to argue against the refil</w:t>
      </w:r>
      <w:r w:rsidR="003C13FC" w:rsidRPr="002E4050">
        <w:t xml:space="preserve">ing of the application of </w:t>
      </w:r>
      <w:r w:rsidR="00037D63" w:rsidRPr="0079784D">
        <w:t>the Applicant</w:t>
      </w:r>
      <w:r w:rsidR="00037D63">
        <w:t xml:space="preserve"> </w:t>
      </w:r>
      <w:r w:rsidR="003C13FC" w:rsidRPr="002E4050">
        <w:t>under the new revision of 480-30 on the false pretense that doing so would extend the application process</w:t>
      </w:r>
      <w:r w:rsidR="003455CF">
        <w:t xml:space="preserve"> </w:t>
      </w:r>
      <w:r w:rsidR="003455CF" w:rsidRPr="000975A0">
        <w:rPr>
          <w:vertAlign w:val="subscript"/>
        </w:rPr>
        <w:t>(</w:t>
      </w:r>
      <w:r w:rsidR="00037D63" w:rsidRPr="000975A0">
        <w:rPr>
          <w:vertAlign w:val="subscript"/>
        </w:rPr>
        <w:t>12</w:t>
      </w:r>
      <w:r w:rsidR="003455CF" w:rsidRPr="000975A0">
        <w:rPr>
          <w:vertAlign w:val="subscript"/>
        </w:rPr>
        <w:t>)</w:t>
      </w:r>
      <w:r w:rsidR="003C13FC" w:rsidRPr="0079784D">
        <w:t>.</w:t>
      </w:r>
      <w:r w:rsidR="003C13FC" w:rsidRPr="002E4050">
        <w:t xml:space="preserve">  This </w:t>
      </w:r>
      <w:r w:rsidR="00E0357F">
        <w:t>P</w:t>
      </w:r>
      <w:r w:rsidR="003C13FC" w:rsidRPr="002E4050">
        <w:t xml:space="preserve">etitioner points out that this application is now more than </w:t>
      </w:r>
      <w:r w:rsidR="00FB358E">
        <w:t>ten</w:t>
      </w:r>
      <w:r w:rsidR="003C13FC" w:rsidRPr="002E4050">
        <w:t xml:space="preserve"> months old and every delay has been a result of the staff objecting to each and every reasonable course of action suggested by any of the parties</w:t>
      </w:r>
      <w:r w:rsidR="0079784D">
        <w:t xml:space="preserve">. </w:t>
      </w:r>
      <w:r w:rsidR="003C13FC" w:rsidRPr="00037D63">
        <w:rPr>
          <w:color w:val="FF0000"/>
        </w:rPr>
        <w:t xml:space="preserve"> </w:t>
      </w:r>
      <w:r w:rsidR="0079784D" w:rsidRPr="0079784D">
        <w:t>S</w:t>
      </w:r>
      <w:r w:rsidR="003C13FC" w:rsidRPr="0079784D">
        <w:t>taff’s</w:t>
      </w:r>
      <w:r w:rsidR="003C13FC" w:rsidRPr="002E4050">
        <w:t xml:space="preserve"> argument for continuing a faulty course of action in lieu of a clear cut one which would have resulted in swift resolution</w:t>
      </w:r>
      <w:r w:rsidR="00037D63">
        <w:t xml:space="preserve"> is but the latest example of another delay</w:t>
      </w:r>
      <w:r w:rsidR="003C13FC" w:rsidRPr="002E4050">
        <w:t>.  And again</w:t>
      </w:r>
      <w:r w:rsidR="004144B6">
        <w:t>,</w:t>
      </w:r>
      <w:r w:rsidR="003C13FC" w:rsidRPr="002E4050">
        <w:t xml:space="preserve"> </w:t>
      </w:r>
      <w:r w:rsidR="00C00C74" w:rsidRPr="002E4050">
        <w:t xml:space="preserve">this is </w:t>
      </w:r>
      <w:r w:rsidR="003C13FC" w:rsidRPr="002E4050">
        <w:t xml:space="preserve">a course of action suggested by the </w:t>
      </w:r>
      <w:r w:rsidR="00037D63" w:rsidRPr="0079784D">
        <w:t>A</w:t>
      </w:r>
      <w:r w:rsidR="003C13FC" w:rsidRPr="002E4050">
        <w:t>pplicant</w:t>
      </w:r>
      <w:r w:rsidR="003455CF">
        <w:t xml:space="preserve">, the </w:t>
      </w:r>
      <w:r w:rsidR="00037D63" w:rsidRPr="0079784D">
        <w:t>P</w:t>
      </w:r>
      <w:r w:rsidR="0054725C">
        <w:t xml:space="preserve">etitioner </w:t>
      </w:r>
      <w:r w:rsidR="003455CF">
        <w:t>and the AAG</w:t>
      </w:r>
      <w:r w:rsidR="00064B48">
        <w:t xml:space="preserve">.   Both the AAG and the Commission state concern for the burden of the </w:t>
      </w:r>
      <w:r w:rsidR="0079784D">
        <w:t>A</w:t>
      </w:r>
      <w:r w:rsidR="00064B48">
        <w:t xml:space="preserve">pplicant in </w:t>
      </w:r>
      <w:r w:rsidR="00F34EB8">
        <w:t>refiling</w:t>
      </w:r>
      <w:r w:rsidR="00064B48">
        <w:t xml:space="preserve"> and thereby being compliant with the revised code. </w:t>
      </w:r>
      <w:r w:rsidR="00064B48" w:rsidRPr="00015F7E">
        <w:rPr>
          <w:vertAlign w:val="subscript"/>
        </w:rPr>
        <w:t>(</w:t>
      </w:r>
      <w:r w:rsidR="00037D63" w:rsidRPr="00015F7E">
        <w:rPr>
          <w:vertAlign w:val="subscript"/>
        </w:rPr>
        <w:t>1</w:t>
      </w:r>
      <w:r w:rsidR="00F61D00" w:rsidRPr="00015F7E">
        <w:rPr>
          <w:vertAlign w:val="subscript"/>
        </w:rPr>
        <w:t>3</w:t>
      </w:r>
      <w:r w:rsidR="00064B48" w:rsidRPr="00015F7E">
        <w:rPr>
          <w:vertAlign w:val="subscript"/>
        </w:rPr>
        <w:t>)</w:t>
      </w:r>
      <w:r w:rsidR="00015F7E">
        <w:t xml:space="preserve"> </w:t>
      </w:r>
      <w:r w:rsidR="0079784D" w:rsidRPr="00064B48">
        <w:t xml:space="preserve"> The</w:t>
      </w:r>
      <w:r w:rsidR="00064B48" w:rsidRPr="00064B48">
        <w:t xml:space="preserve"> actual and real effect of not </w:t>
      </w:r>
      <w:r w:rsidR="00F34EB8">
        <w:t>refiling</w:t>
      </w:r>
      <w:r w:rsidR="00064B48" w:rsidRPr="00064B48">
        <w:t xml:space="preserve"> of the application </w:t>
      </w:r>
      <w:r w:rsidR="00064B48">
        <w:t xml:space="preserve">when first suggested by the AAG and the </w:t>
      </w:r>
      <w:r w:rsidR="00037D63" w:rsidRPr="0079784D">
        <w:t>A</w:t>
      </w:r>
      <w:r w:rsidR="00064B48">
        <w:t xml:space="preserve">pplicant </w:t>
      </w:r>
      <w:r w:rsidR="00064B48" w:rsidRPr="00064B48">
        <w:t>has been to prolong these proceedings</w:t>
      </w:r>
      <w:r w:rsidR="00064B48">
        <w:t xml:space="preserve"> and create an extraordinary burden on the </w:t>
      </w:r>
      <w:r w:rsidR="0079784D">
        <w:t>A</w:t>
      </w:r>
      <w:r w:rsidR="00064B48">
        <w:t>pplicant, the Protestants and the Commission.  The only redundancy here</w:t>
      </w:r>
      <w:r w:rsidR="00037D63">
        <w:t xml:space="preserve"> </w:t>
      </w:r>
      <w:r w:rsidR="00037D63" w:rsidRPr="00015F7E">
        <w:rPr>
          <w:vertAlign w:val="subscript"/>
        </w:rPr>
        <w:t>(1</w:t>
      </w:r>
      <w:r w:rsidR="0004116C" w:rsidRPr="00015F7E">
        <w:rPr>
          <w:vertAlign w:val="subscript"/>
        </w:rPr>
        <w:t>3</w:t>
      </w:r>
      <w:r w:rsidR="00037D63" w:rsidRPr="00015F7E">
        <w:rPr>
          <w:vertAlign w:val="subscript"/>
        </w:rPr>
        <w:t>)</w:t>
      </w:r>
      <w:r w:rsidR="00064B48">
        <w:t xml:space="preserve"> is the repetition of the ignoring case law by staff</w:t>
      </w:r>
      <w:r w:rsidR="0079784D">
        <w:t xml:space="preserve"> and the Orders</w:t>
      </w:r>
      <w:r w:rsidR="00064B48">
        <w:t>.</w:t>
      </w:r>
      <w:r w:rsidR="0054725C">
        <w:t xml:space="preserve">  </w:t>
      </w:r>
      <w:r w:rsidR="00F34EB8">
        <w:t>Refiling</w:t>
      </w:r>
      <w:r w:rsidR="0054725C">
        <w:t xml:space="preserve"> would only re</w:t>
      </w:r>
      <w:r w:rsidR="004144B6">
        <w:t>quire the applicant to xerox</w:t>
      </w:r>
      <w:r w:rsidR="0054725C">
        <w:t xml:space="preserve"> his original application and resubmit it on a date subsequent to the effective date of the revisions that </w:t>
      </w:r>
      <w:r w:rsidR="00E0357F">
        <w:t>t</w:t>
      </w:r>
      <w:r w:rsidR="0054725C">
        <w:t>he</w:t>
      </w:r>
      <w:r w:rsidR="00E0357F">
        <w:t xml:space="preserve"> AAG and the Order</w:t>
      </w:r>
      <w:r w:rsidR="0054725C">
        <w:t xml:space="preserve"> seek now to apply to his application.  Not really </w:t>
      </w:r>
      <w:r w:rsidR="00037D63" w:rsidRPr="0079784D">
        <w:t>an</w:t>
      </w:r>
      <w:r w:rsidR="00037D63">
        <w:t xml:space="preserve"> </w:t>
      </w:r>
      <w:r w:rsidR="0054725C">
        <w:t>overwhelming burden.</w:t>
      </w:r>
    </w:p>
    <w:p w:rsidR="00015F7E" w:rsidRDefault="00015F7E" w:rsidP="00015F7E">
      <w:pPr>
        <w:pStyle w:val="NoSpacing"/>
        <w:rPr>
          <w:rFonts w:cs="Arial"/>
          <w:sz w:val="24"/>
          <w:szCs w:val="24"/>
        </w:rPr>
      </w:pPr>
    </w:p>
    <w:p w:rsidR="00015F7E" w:rsidRDefault="00015F7E" w:rsidP="00015F7E">
      <w:pPr>
        <w:pStyle w:val="NoSpacing"/>
        <w:rPr>
          <w:rFonts w:cs="Arial"/>
          <w:sz w:val="24"/>
          <w:szCs w:val="24"/>
        </w:rPr>
      </w:pPr>
    </w:p>
    <w:p w:rsidR="00015F7E" w:rsidRDefault="00015F7E" w:rsidP="00015F7E">
      <w:pPr>
        <w:pStyle w:val="NoSpacing"/>
        <w:rPr>
          <w:rFonts w:cs="Arial"/>
          <w:sz w:val="24"/>
          <w:szCs w:val="24"/>
        </w:rPr>
      </w:pPr>
    </w:p>
    <w:p w:rsidR="00015F7E" w:rsidRDefault="00015F7E" w:rsidP="00015F7E">
      <w:pPr>
        <w:pStyle w:val="NoSpacing"/>
        <w:rPr>
          <w:rFonts w:cs="Arial"/>
          <w:sz w:val="24"/>
          <w:szCs w:val="24"/>
        </w:rPr>
      </w:pPr>
    </w:p>
    <w:p w:rsidR="00015F7E" w:rsidRPr="009842F0" w:rsidRDefault="00015F7E" w:rsidP="00015F7E">
      <w:pPr>
        <w:pStyle w:val="NoSpacing"/>
        <w:rPr>
          <w:rFonts w:ascii="Times New Roman" w:hAnsi="Times New Roman" w:cs="Times New Roman"/>
          <w:sz w:val="20"/>
          <w:szCs w:val="20"/>
        </w:rPr>
      </w:pPr>
      <w:r w:rsidRPr="009842F0">
        <w:rPr>
          <w:rFonts w:ascii="Times New Roman" w:hAnsi="Times New Roman" w:cs="Times New Roman"/>
          <w:sz w:val="20"/>
          <w:szCs w:val="20"/>
        </w:rPr>
        <w:t xml:space="preserve">  </w:t>
      </w:r>
    </w:p>
    <w:p w:rsidR="00015F7E" w:rsidRPr="009842F0" w:rsidRDefault="00015F7E" w:rsidP="00015F7E">
      <w:pPr>
        <w:pStyle w:val="NoSpacing"/>
        <w:rPr>
          <w:rFonts w:ascii="Times New Roman" w:hAnsi="Times New Roman" w:cs="Times New Roman"/>
          <w:sz w:val="20"/>
          <w:szCs w:val="20"/>
        </w:rPr>
      </w:pPr>
      <w:r w:rsidRPr="009842F0">
        <w:rPr>
          <w:rFonts w:ascii="Times New Roman" w:hAnsi="Times New Roman" w:cs="Times New Roman"/>
          <w:sz w:val="20"/>
          <w:szCs w:val="20"/>
        </w:rPr>
        <w:t>(12) Staff Answer to Seatac Shuttle’s Motion for Reconsideration, para.7, December 12, 2013</w:t>
      </w:r>
    </w:p>
    <w:p w:rsidR="00015F7E" w:rsidRPr="00723365" w:rsidRDefault="00015F7E" w:rsidP="00015F7E">
      <w:pPr>
        <w:pStyle w:val="Default"/>
        <w:rPr>
          <w:color w:val="FF0000"/>
          <w:sz w:val="20"/>
          <w:szCs w:val="20"/>
        </w:rPr>
      </w:pPr>
      <w:r>
        <w:rPr>
          <w:color w:val="auto"/>
          <w:sz w:val="20"/>
          <w:szCs w:val="20"/>
        </w:rPr>
        <w:t>(</w:t>
      </w:r>
      <w:r w:rsidRPr="00723365">
        <w:rPr>
          <w:color w:val="auto"/>
          <w:sz w:val="20"/>
          <w:szCs w:val="20"/>
        </w:rPr>
        <w:t>13</w:t>
      </w:r>
      <w:r>
        <w:rPr>
          <w:color w:val="auto"/>
          <w:sz w:val="20"/>
          <w:szCs w:val="20"/>
        </w:rPr>
        <w:t>)</w:t>
      </w:r>
      <w:r w:rsidRPr="00723365">
        <w:rPr>
          <w:color w:val="auto"/>
          <w:sz w:val="20"/>
          <w:szCs w:val="20"/>
        </w:rPr>
        <w:t xml:space="preserve"> note13 pg 4 </w:t>
      </w:r>
      <w:r>
        <w:rPr>
          <w:color w:val="auto"/>
          <w:sz w:val="20"/>
          <w:szCs w:val="20"/>
        </w:rPr>
        <w:t>O</w:t>
      </w:r>
      <w:r w:rsidRPr="00723365">
        <w:rPr>
          <w:color w:val="auto"/>
          <w:sz w:val="20"/>
          <w:szCs w:val="20"/>
        </w:rPr>
        <w:t>rder 03; Staff Answer to Seatac Shuttle’s Motion for Reconsideration, para.7, December 12, 2013</w:t>
      </w:r>
    </w:p>
    <w:p w:rsidR="00E3196F" w:rsidRPr="002E4050" w:rsidRDefault="00E3196F" w:rsidP="0001782F">
      <w:pPr>
        <w:spacing w:line="360" w:lineRule="auto"/>
        <w:rPr>
          <w:rFonts w:cs="Arial"/>
          <w:sz w:val="24"/>
          <w:szCs w:val="24"/>
        </w:rPr>
      </w:pPr>
    </w:p>
    <w:p w:rsidR="00BA0633" w:rsidRPr="00015F7E" w:rsidRDefault="00015F7E" w:rsidP="002E4050">
      <w:pPr>
        <w:spacing w:line="360" w:lineRule="auto"/>
        <w:rPr>
          <w:rFonts w:ascii="Times New Roman" w:hAnsi="Times New Roman" w:cs="Times New Roman"/>
          <w:sz w:val="20"/>
          <w:szCs w:val="20"/>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Pr="00015F7E">
        <w:rPr>
          <w:rFonts w:ascii="Times New Roman" w:hAnsi="Times New Roman" w:cs="Times New Roman"/>
          <w:sz w:val="20"/>
          <w:szCs w:val="20"/>
        </w:rPr>
        <w:t>pg 4</w:t>
      </w:r>
    </w:p>
    <w:p w:rsidR="00064B48" w:rsidRPr="00064B48" w:rsidRDefault="00C521CD" w:rsidP="002E4050">
      <w:pPr>
        <w:spacing w:line="360" w:lineRule="auto"/>
        <w:rPr>
          <w:rFonts w:cs="Arial"/>
          <w:b/>
          <w:sz w:val="24"/>
          <w:szCs w:val="24"/>
        </w:rPr>
      </w:pPr>
      <w:r>
        <w:rPr>
          <w:rFonts w:cs="Arial"/>
          <w:b/>
          <w:sz w:val="24"/>
          <w:szCs w:val="24"/>
        </w:rPr>
        <w:lastRenderedPageBreak/>
        <w:t>Loose Interpretation of WAC 480-30-395</w:t>
      </w:r>
    </w:p>
    <w:p w:rsidR="00C00C74" w:rsidRDefault="00F60B45" w:rsidP="002E4050">
      <w:pPr>
        <w:spacing w:line="360" w:lineRule="auto"/>
        <w:rPr>
          <w:rFonts w:cs="Arial"/>
          <w:sz w:val="24"/>
          <w:szCs w:val="24"/>
        </w:rPr>
      </w:pPr>
      <w:r>
        <w:rPr>
          <w:rFonts w:cs="Arial"/>
          <w:sz w:val="24"/>
          <w:szCs w:val="24"/>
        </w:rPr>
        <w:t>8.</w:t>
      </w:r>
      <w:r>
        <w:rPr>
          <w:rFonts w:cs="Arial"/>
          <w:sz w:val="24"/>
          <w:szCs w:val="24"/>
        </w:rPr>
        <w:tab/>
      </w:r>
      <w:r w:rsidR="00214115">
        <w:rPr>
          <w:rFonts w:cs="Arial"/>
          <w:sz w:val="24"/>
          <w:szCs w:val="24"/>
        </w:rPr>
        <w:t xml:space="preserve">Petitioner reasserts its argument in paragraph 5 of this petition and refutes staff’s claim under WAC 480-30-395.  </w:t>
      </w:r>
      <w:r w:rsidR="00C00C74" w:rsidRPr="002E4050">
        <w:rPr>
          <w:rFonts w:cs="Arial"/>
          <w:sz w:val="24"/>
          <w:szCs w:val="24"/>
        </w:rPr>
        <w:t xml:space="preserve">Staff attempts to defend the conversion of its Motion for </w:t>
      </w:r>
      <w:r w:rsidR="001C43E8" w:rsidRPr="002E4050">
        <w:rPr>
          <w:rFonts w:cs="Arial"/>
          <w:sz w:val="24"/>
          <w:szCs w:val="24"/>
        </w:rPr>
        <w:t>Clarification</w:t>
      </w:r>
      <w:r w:rsidR="00C00C74" w:rsidRPr="002E4050">
        <w:rPr>
          <w:rFonts w:cs="Arial"/>
          <w:sz w:val="24"/>
          <w:szCs w:val="24"/>
        </w:rPr>
        <w:t xml:space="preserve"> to a </w:t>
      </w:r>
      <w:r w:rsidR="001C43E8" w:rsidRPr="002E4050">
        <w:rPr>
          <w:rFonts w:cs="Arial"/>
          <w:sz w:val="24"/>
          <w:szCs w:val="24"/>
        </w:rPr>
        <w:t>Declarative</w:t>
      </w:r>
      <w:r w:rsidR="00C00C74" w:rsidRPr="002E4050">
        <w:rPr>
          <w:rFonts w:cs="Arial"/>
          <w:sz w:val="24"/>
          <w:szCs w:val="24"/>
        </w:rPr>
        <w:t xml:space="preserve"> Motion</w:t>
      </w:r>
      <w:r w:rsidR="002E4050" w:rsidRPr="002E4050">
        <w:rPr>
          <w:rFonts w:cs="Arial"/>
          <w:sz w:val="24"/>
          <w:szCs w:val="24"/>
        </w:rPr>
        <w:t>,</w:t>
      </w:r>
      <w:r w:rsidR="00C00C74" w:rsidRPr="002E4050">
        <w:rPr>
          <w:rFonts w:cs="Arial"/>
          <w:sz w:val="24"/>
          <w:szCs w:val="24"/>
        </w:rPr>
        <w:t xml:space="preserve"> denying the rights of the </w:t>
      </w:r>
      <w:r w:rsidR="001C43E8" w:rsidRPr="002E4050">
        <w:rPr>
          <w:rFonts w:cs="Arial"/>
          <w:sz w:val="24"/>
          <w:szCs w:val="24"/>
        </w:rPr>
        <w:t>protestants</w:t>
      </w:r>
      <w:r w:rsidR="002E4050" w:rsidRPr="002E4050">
        <w:rPr>
          <w:rFonts w:cs="Arial"/>
          <w:sz w:val="24"/>
          <w:szCs w:val="24"/>
        </w:rPr>
        <w:t>,</w:t>
      </w:r>
      <w:r w:rsidR="00C00C74" w:rsidRPr="002E4050">
        <w:rPr>
          <w:rFonts w:cs="Arial"/>
          <w:sz w:val="24"/>
          <w:szCs w:val="24"/>
        </w:rPr>
        <w:t xml:space="preserve"> by </w:t>
      </w:r>
      <w:r w:rsidR="001C43E8" w:rsidRPr="002E4050">
        <w:rPr>
          <w:rFonts w:cs="Arial"/>
          <w:sz w:val="24"/>
          <w:szCs w:val="24"/>
        </w:rPr>
        <w:t>claiming</w:t>
      </w:r>
      <w:r w:rsidR="00C00C74" w:rsidRPr="002E4050">
        <w:rPr>
          <w:rFonts w:cs="Arial"/>
          <w:sz w:val="24"/>
          <w:szCs w:val="24"/>
        </w:rPr>
        <w:t xml:space="preserve"> license under WAC 480-07-395 (4), the provision of the code designed to offer some measure of leeway to non-professionals filing documents with the Commission. The intent </w:t>
      </w:r>
      <w:r w:rsidR="000B2C92">
        <w:rPr>
          <w:rFonts w:cs="Arial"/>
          <w:sz w:val="24"/>
          <w:szCs w:val="24"/>
        </w:rPr>
        <w:t xml:space="preserve">of the rule </w:t>
      </w:r>
      <w:r w:rsidR="00C00C74" w:rsidRPr="002E4050">
        <w:rPr>
          <w:rFonts w:cs="Arial"/>
          <w:sz w:val="24"/>
          <w:szCs w:val="24"/>
        </w:rPr>
        <w:t>is to excuse to some degree</w:t>
      </w:r>
      <w:r w:rsidR="00E14473" w:rsidRPr="00214115">
        <w:rPr>
          <w:rFonts w:cs="Arial"/>
          <w:sz w:val="24"/>
          <w:szCs w:val="24"/>
        </w:rPr>
        <w:t>,</w:t>
      </w:r>
      <w:r w:rsidR="00C00C74" w:rsidRPr="002E4050">
        <w:rPr>
          <w:rFonts w:cs="Arial"/>
          <w:sz w:val="24"/>
          <w:szCs w:val="24"/>
        </w:rPr>
        <w:t xml:space="preserve"> filin</w:t>
      </w:r>
      <w:r w:rsidR="002E4050" w:rsidRPr="002E4050">
        <w:rPr>
          <w:rFonts w:cs="Arial"/>
          <w:sz w:val="24"/>
          <w:szCs w:val="24"/>
        </w:rPr>
        <w:t>g error</w:t>
      </w:r>
      <w:r w:rsidR="00E14473" w:rsidRPr="00214115">
        <w:rPr>
          <w:rFonts w:cs="Arial"/>
          <w:sz w:val="24"/>
          <w:szCs w:val="24"/>
        </w:rPr>
        <w:t>s</w:t>
      </w:r>
      <w:r w:rsidR="00C00C74" w:rsidRPr="002E4050">
        <w:rPr>
          <w:rFonts w:cs="Arial"/>
          <w:sz w:val="24"/>
          <w:szCs w:val="24"/>
        </w:rPr>
        <w:t xml:space="preserve"> particularly related to format, structure and citations</w:t>
      </w:r>
      <w:r w:rsidR="002E4050" w:rsidRPr="002E4050">
        <w:rPr>
          <w:rFonts w:cs="Arial"/>
          <w:sz w:val="24"/>
          <w:szCs w:val="24"/>
        </w:rPr>
        <w:t>,</w:t>
      </w:r>
      <w:r w:rsidR="001C43E8" w:rsidRPr="002E4050">
        <w:rPr>
          <w:rFonts w:cs="Arial"/>
          <w:sz w:val="24"/>
          <w:szCs w:val="24"/>
        </w:rPr>
        <w:t xml:space="preserve"> </w:t>
      </w:r>
      <w:r w:rsidR="000B2C92">
        <w:rPr>
          <w:rFonts w:cs="Arial"/>
          <w:sz w:val="24"/>
          <w:szCs w:val="24"/>
        </w:rPr>
        <w:t xml:space="preserve">in documents filed by </w:t>
      </w:r>
      <w:r w:rsidR="00214115">
        <w:rPr>
          <w:rFonts w:cs="Arial"/>
          <w:sz w:val="24"/>
          <w:szCs w:val="24"/>
        </w:rPr>
        <w:t>lay</w:t>
      </w:r>
      <w:r w:rsidR="000B2C92">
        <w:rPr>
          <w:rFonts w:cs="Arial"/>
          <w:sz w:val="24"/>
          <w:szCs w:val="24"/>
        </w:rPr>
        <w:t xml:space="preserve">men or applicants rather than attorneys in order </w:t>
      </w:r>
      <w:r w:rsidR="001C43E8" w:rsidRPr="002E4050">
        <w:rPr>
          <w:rFonts w:cs="Arial"/>
          <w:sz w:val="24"/>
          <w:szCs w:val="24"/>
        </w:rPr>
        <w:t xml:space="preserve">to provide for </w:t>
      </w:r>
      <w:r w:rsidR="00FD7E24">
        <w:rPr>
          <w:rFonts w:cs="Arial"/>
          <w:sz w:val="24"/>
          <w:szCs w:val="24"/>
        </w:rPr>
        <w:t xml:space="preserve">the </w:t>
      </w:r>
      <w:r w:rsidR="001C43E8" w:rsidRPr="002E4050">
        <w:rPr>
          <w:rFonts w:cs="Arial"/>
          <w:sz w:val="24"/>
          <w:szCs w:val="24"/>
        </w:rPr>
        <w:t>best interests of the public.  It was never intended that it be used by members of the Bar, licensed attorneys and certainly not members of the Attorney General’s office as a method for redefining the nature</w:t>
      </w:r>
      <w:r w:rsidR="000B2C92">
        <w:rPr>
          <w:rFonts w:cs="Arial"/>
          <w:sz w:val="24"/>
          <w:szCs w:val="24"/>
        </w:rPr>
        <w:t>, character, intent</w:t>
      </w:r>
      <w:r w:rsidR="001C43E8" w:rsidRPr="002E4050">
        <w:rPr>
          <w:rFonts w:cs="Arial"/>
          <w:sz w:val="24"/>
          <w:szCs w:val="24"/>
        </w:rPr>
        <w:t xml:space="preserve"> and title of a motion presented to the Commission.  It is not a refuge for </w:t>
      </w:r>
      <w:r w:rsidR="00064B48">
        <w:rPr>
          <w:rFonts w:cs="Arial"/>
          <w:sz w:val="24"/>
          <w:szCs w:val="24"/>
        </w:rPr>
        <w:t>ambiguity</w:t>
      </w:r>
      <w:r w:rsidR="00FD7E24">
        <w:rPr>
          <w:rFonts w:cs="Arial"/>
          <w:sz w:val="24"/>
          <w:szCs w:val="24"/>
        </w:rPr>
        <w:t>, reinterpretation</w:t>
      </w:r>
      <w:r w:rsidR="00064B48">
        <w:rPr>
          <w:rFonts w:cs="Arial"/>
          <w:sz w:val="24"/>
          <w:szCs w:val="24"/>
        </w:rPr>
        <w:t xml:space="preserve"> or restatement after the fact </w:t>
      </w:r>
      <w:r w:rsidR="001C43E8" w:rsidRPr="002E4050">
        <w:rPr>
          <w:rFonts w:cs="Arial"/>
          <w:sz w:val="24"/>
          <w:szCs w:val="24"/>
        </w:rPr>
        <w:t>for a practicing attorney. At some point credibility must enter the picture.</w:t>
      </w:r>
      <w:r w:rsidR="00064B48">
        <w:rPr>
          <w:rFonts w:cs="Arial"/>
          <w:sz w:val="24"/>
          <w:szCs w:val="24"/>
        </w:rPr>
        <w:t xml:space="preserve">  </w:t>
      </w:r>
      <w:r w:rsidR="00214115">
        <w:rPr>
          <w:rFonts w:cs="Arial"/>
          <w:sz w:val="24"/>
          <w:szCs w:val="24"/>
        </w:rPr>
        <w:t>Order 02</w:t>
      </w:r>
      <w:r w:rsidR="00064B48">
        <w:rPr>
          <w:rFonts w:cs="Arial"/>
          <w:sz w:val="24"/>
          <w:szCs w:val="24"/>
        </w:rPr>
        <w:t xml:space="preserve"> in converting the Motion and then making </w:t>
      </w:r>
      <w:r w:rsidR="00F233EC">
        <w:rPr>
          <w:rFonts w:cs="Arial"/>
          <w:sz w:val="24"/>
          <w:szCs w:val="24"/>
        </w:rPr>
        <w:t xml:space="preserve">an augment based on supposition </w:t>
      </w:r>
      <w:r w:rsidR="00064B48">
        <w:rPr>
          <w:rFonts w:cs="Arial"/>
          <w:sz w:val="24"/>
          <w:szCs w:val="24"/>
        </w:rPr>
        <w:t>and not code, rule or precedent</w:t>
      </w:r>
      <w:r w:rsidR="00F233EC">
        <w:rPr>
          <w:rFonts w:cs="Arial"/>
          <w:sz w:val="24"/>
          <w:szCs w:val="24"/>
        </w:rPr>
        <w:t>,</w:t>
      </w:r>
      <w:r w:rsidR="00064B48">
        <w:rPr>
          <w:rFonts w:cs="Arial"/>
          <w:sz w:val="24"/>
          <w:szCs w:val="24"/>
        </w:rPr>
        <w:t xml:space="preserve"> then </w:t>
      </w:r>
      <w:r w:rsidR="00F233EC">
        <w:rPr>
          <w:rFonts w:cs="Arial"/>
          <w:sz w:val="24"/>
          <w:szCs w:val="24"/>
        </w:rPr>
        <w:t>dismissed the adjudication</w:t>
      </w:r>
      <w:r w:rsidR="00064B48">
        <w:rPr>
          <w:rFonts w:cs="Arial"/>
          <w:sz w:val="24"/>
          <w:szCs w:val="24"/>
        </w:rPr>
        <w:t xml:space="preserve">. </w:t>
      </w:r>
      <w:r w:rsidR="00E14473" w:rsidRPr="00214115">
        <w:rPr>
          <w:rFonts w:cs="Arial"/>
          <w:sz w:val="24"/>
          <w:szCs w:val="24"/>
        </w:rPr>
        <w:t xml:space="preserve">The filing requirements of a Declaretory Motion were ignored by Order 02 and it was summarily converted </w:t>
      </w:r>
      <w:r w:rsidR="00214115" w:rsidRPr="00214115">
        <w:rPr>
          <w:rFonts w:cs="Arial"/>
          <w:sz w:val="24"/>
          <w:szCs w:val="24"/>
        </w:rPr>
        <w:t>without regard</w:t>
      </w:r>
      <w:r w:rsidR="00E14473" w:rsidRPr="00214115">
        <w:rPr>
          <w:rFonts w:cs="Arial"/>
          <w:sz w:val="24"/>
          <w:szCs w:val="24"/>
        </w:rPr>
        <w:t xml:space="preserve"> to code.</w:t>
      </w:r>
      <w:r w:rsidR="00E14473">
        <w:rPr>
          <w:rFonts w:cs="Arial"/>
          <w:sz w:val="24"/>
          <w:szCs w:val="24"/>
        </w:rPr>
        <w:t xml:space="preserve">  </w:t>
      </w:r>
      <w:r w:rsidR="00064B48">
        <w:rPr>
          <w:rFonts w:cs="Arial"/>
          <w:sz w:val="24"/>
          <w:szCs w:val="24"/>
        </w:rPr>
        <w:t xml:space="preserve">No </w:t>
      </w:r>
      <w:r w:rsidR="00064B48" w:rsidRPr="00214115">
        <w:rPr>
          <w:rFonts w:cs="Arial"/>
          <w:sz w:val="24"/>
          <w:szCs w:val="24"/>
        </w:rPr>
        <w:t>one</w:t>
      </w:r>
      <w:r w:rsidR="00E14473" w:rsidRPr="00214115">
        <w:rPr>
          <w:rFonts w:cs="Arial"/>
          <w:sz w:val="24"/>
          <w:szCs w:val="24"/>
        </w:rPr>
        <w:t>’s</w:t>
      </w:r>
      <w:r w:rsidR="00064B48">
        <w:rPr>
          <w:rFonts w:cs="Arial"/>
          <w:sz w:val="24"/>
          <w:szCs w:val="24"/>
        </w:rPr>
        <w:t xml:space="preserve"> rights </w:t>
      </w:r>
      <w:r w:rsidR="00FD7E24">
        <w:rPr>
          <w:rFonts w:cs="Arial"/>
          <w:sz w:val="24"/>
          <w:szCs w:val="24"/>
        </w:rPr>
        <w:t>w</w:t>
      </w:r>
      <w:r w:rsidR="00064B48">
        <w:rPr>
          <w:rFonts w:cs="Arial"/>
          <w:sz w:val="24"/>
          <w:szCs w:val="24"/>
        </w:rPr>
        <w:t>ere curtailed?</w:t>
      </w:r>
    </w:p>
    <w:p w:rsidR="00CD127B" w:rsidRPr="00CD127B" w:rsidRDefault="00CD127B" w:rsidP="002E4050">
      <w:pPr>
        <w:spacing w:line="360" w:lineRule="auto"/>
        <w:rPr>
          <w:rFonts w:cs="Arial"/>
          <w:b/>
          <w:color w:val="FF0000"/>
          <w:sz w:val="24"/>
          <w:szCs w:val="24"/>
        </w:rPr>
      </w:pPr>
      <w:r w:rsidRPr="00CD127B">
        <w:rPr>
          <w:rFonts w:cs="Arial"/>
          <w:b/>
          <w:sz w:val="24"/>
          <w:szCs w:val="24"/>
        </w:rPr>
        <w:t>The AAG, the ALJ</w:t>
      </w:r>
      <w:r w:rsidR="00E0357F">
        <w:rPr>
          <w:rFonts w:cs="Arial"/>
          <w:b/>
          <w:sz w:val="24"/>
          <w:szCs w:val="24"/>
        </w:rPr>
        <w:t>, the Applicant</w:t>
      </w:r>
      <w:r w:rsidRPr="00CD127B">
        <w:rPr>
          <w:rFonts w:cs="Arial"/>
          <w:b/>
          <w:sz w:val="24"/>
          <w:szCs w:val="24"/>
        </w:rPr>
        <w:t xml:space="preserve"> and the Commission have ignored the </w:t>
      </w:r>
      <w:r w:rsidR="00214115">
        <w:rPr>
          <w:rFonts w:cs="Arial"/>
          <w:b/>
          <w:sz w:val="24"/>
          <w:szCs w:val="24"/>
        </w:rPr>
        <w:t xml:space="preserve">existence and </w:t>
      </w:r>
      <w:r w:rsidRPr="00CD127B">
        <w:rPr>
          <w:rFonts w:cs="Arial"/>
          <w:b/>
          <w:sz w:val="24"/>
          <w:szCs w:val="24"/>
        </w:rPr>
        <w:t xml:space="preserve">application of </w:t>
      </w:r>
      <w:r w:rsidR="0067048C" w:rsidRPr="00214115">
        <w:rPr>
          <w:b/>
          <w:i/>
          <w:sz w:val="24"/>
          <w:szCs w:val="24"/>
        </w:rPr>
        <w:t>MacKenzie and Champagne</w:t>
      </w:r>
      <w:r w:rsidR="00214115">
        <w:rPr>
          <w:b/>
          <w:i/>
          <w:sz w:val="24"/>
          <w:szCs w:val="24"/>
        </w:rPr>
        <w:t>.</w:t>
      </w:r>
    </w:p>
    <w:p w:rsidR="00E0357F" w:rsidRDefault="00F60B45" w:rsidP="00B11015">
      <w:pPr>
        <w:spacing w:after="0" w:line="360" w:lineRule="auto"/>
        <w:rPr>
          <w:rFonts w:cs="Arial"/>
          <w:sz w:val="24"/>
          <w:szCs w:val="24"/>
        </w:rPr>
      </w:pPr>
      <w:r>
        <w:rPr>
          <w:rFonts w:cs="Arial"/>
          <w:sz w:val="24"/>
          <w:szCs w:val="24"/>
        </w:rPr>
        <w:t>9.</w:t>
      </w:r>
      <w:r>
        <w:rPr>
          <w:rFonts w:cs="Arial"/>
          <w:sz w:val="24"/>
          <w:szCs w:val="24"/>
        </w:rPr>
        <w:tab/>
      </w:r>
      <w:r w:rsidR="0067048C" w:rsidRPr="00214115">
        <w:rPr>
          <w:rFonts w:cs="Arial"/>
          <w:sz w:val="24"/>
          <w:szCs w:val="24"/>
        </w:rPr>
        <w:t xml:space="preserve">Orders 02 and 03, as well as the Answer by staff to Seatac Shuttle’s Motion for Administrative Review, </w:t>
      </w:r>
      <w:r w:rsidR="00E0357F">
        <w:rPr>
          <w:rFonts w:cs="Arial"/>
          <w:sz w:val="24"/>
          <w:szCs w:val="24"/>
        </w:rPr>
        <w:t xml:space="preserve">and Applicant’s arguments, </w:t>
      </w:r>
      <w:r w:rsidR="0067048C" w:rsidRPr="00214115">
        <w:rPr>
          <w:rFonts w:cs="Arial"/>
          <w:sz w:val="24"/>
          <w:szCs w:val="24"/>
        </w:rPr>
        <w:t xml:space="preserve">conspicuously ignore and make no mention of the rulings under </w:t>
      </w:r>
      <w:r w:rsidR="0067048C" w:rsidRPr="00E0357F">
        <w:rPr>
          <w:rFonts w:cs="Arial"/>
          <w:i/>
          <w:sz w:val="24"/>
          <w:szCs w:val="24"/>
        </w:rPr>
        <w:t>MacKenzi</w:t>
      </w:r>
      <w:r w:rsidR="0067048C" w:rsidRPr="00214115">
        <w:rPr>
          <w:rFonts w:cs="Arial"/>
          <w:sz w:val="24"/>
          <w:szCs w:val="24"/>
        </w:rPr>
        <w:t xml:space="preserve">e or </w:t>
      </w:r>
      <w:r w:rsidR="0067048C" w:rsidRPr="00E0357F">
        <w:rPr>
          <w:rFonts w:cs="Arial"/>
          <w:i/>
          <w:sz w:val="24"/>
          <w:szCs w:val="24"/>
        </w:rPr>
        <w:t>Champagn</w:t>
      </w:r>
      <w:r w:rsidR="0067048C" w:rsidRPr="00214115">
        <w:rPr>
          <w:rFonts w:cs="Arial"/>
          <w:sz w:val="24"/>
          <w:szCs w:val="24"/>
        </w:rPr>
        <w:t xml:space="preserve">e </w:t>
      </w:r>
      <w:r w:rsidR="0067048C" w:rsidRPr="00015F7E">
        <w:rPr>
          <w:rFonts w:cs="Arial"/>
          <w:sz w:val="24"/>
          <w:szCs w:val="24"/>
          <w:vertAlign w:val="subscript"/>
        </w:rPr>
        <w:t>(</w:t>
      </w:r>
      <w:r w:rsidR="004127DD" w:rsidRPr="00015F7E">
        <w:rPr>
          <w:rFonts w:cs="Arial"/>
          <w:sz w:val="24"/>
          <w:szCs w:val="24"/>
          <w:vertAlign w:val="subscript"/>
        </w:rPr>
        <w:t>7</w:t>
      </w:r>
      <w:r w:rsidR="0067048C" w:rsidRPr="00015F7E">
        <w:rPr>
          <w:rFonts w:cs="Arial"/>
          <w:sz w:val="24"/>
          <w:szCs w:val="24"/>
          <w:vertAlign w:val="subscript"/>
        </w:rPr>
        <w:t>)</w:t>
      </w:r>
      <w:r w:rsidR="0067048C" w:rsidRPr="00214115">
        <w:rPr>
          <w:rFonts w:cs="Arial"/>
          <w:sz w:val="24"/>
          <w:szCs w:val="24"/>
        </w:rPr>
        <w:t>. No arguments or support what-so-ever are made to contradict these rulings and their application to this docket.  Ignoring them does not make them go away.</w:t>
      </w:r>
      <w:r w:rsidR="0067048C" w:rsidRPr="0067048C">
        <w:rPr>
          <w:rFonts w:cs="Arial"/>
          <w:color w:val="FF0000"/>
          <w:sz w:val="24"/>
          <w:szCs w:val="24"/>
        </w:rPr>
        <w:t xml:space="preserve"> </w:t>
      </w:r>
      <w:r w:rsidR="0067048C">
        <w:rPr>
          <w:rFonts w:cs="Arial"/>
          <w:sz w:val="24"/>
          <w:szCs w:val="24"/>
        </w:rPr>
        <w:t>Staff</w:t>
      </w:r>
      <w:r>
        <w:rPr>
          <w:rFonts w:cs="Arial"/>
          <w:sz w:val="24"/>
          <w:szCs w:val="24"/>
        </w:rPr>
        <w:t xml:space="preserve"> has failed to present any argument or rational for the retro-</w:t>
      </w:r>
      <w:r w:rsidRPr="0067048C">
        <w:rPr>
          <w:rFonts w:cs="Arial"/>
          <w:sz w:val="24"/>
          <w:szCs w:val="24"/>
        </w:rPr>
        <w:t>acti</w:t>
      </w:r>
      <w:r>
        <w:rPr>
          <w:rFonts w:cs="Arial"/>
          <w:sz w:val="24"/>
          <w:szCs w:val="24"/>
        </w:rPr>
        <w:t>ve application of the 2013 revisions of WAC 480-30</w:t>
      </w:r>
      <w:r w:rsidR="00E0357F">
        <w:rPr>
          <w:rFonts w:cs="Arial"/>
          <w:sz w:val="24"/>
          <w:szCs w:val="24"/>
        </w:rPr>
        <w:t xml:space="preserve"> neither has Applicant</w:t>
      </w:r>
      <w:r>
        <w:rPr>
          <w:rFonts w:cs="Arial"/>
          <w:sz w:val="24"/>
          <w:szCs w:val="24"/>
        </w:rPr>
        <w:t xml:space="preserve">.  </w:t>
      </w:r>
      <w:r w:rsidR="00CD127B">
        <w:rPr>
          <w:rFonts w:cs="Arial"/>
          <w:sz w:val="24"/>
          <w:szCs w:val="24"/>
        </w:rPr>
        <w:t xml:space="preserve">There is an overriding bent toward forced and preliminary application of rules to the application regardless of the consequences. This Petitioner participated and contributed to the process of revision WAC 480-30 in good faith.  That participation was with the expectation that the rules would be applied as </w:t>
      </w:r>
      <w:r w:rsidR="00E0357F">
        <w:rPr>
          <w:rFonts w:cs="Arial"/>
          <w:sz w:val="24"/>
          <w:szCs w:val="24"/>
        </w:rPr>
        <w:tab/>
      </w:r>
      <w:r w:rsidR="00E0357F">
        <w:rPr>
          <w:rFonts w:cs="Arial"/>
          <w:sz w:val="24"/>
          <w:szCs w:val="24"/>
        </w:rPr>
        <w:tab/>
      </w:r>
      <w:r w:rsidR="00E0357F">
        <w:rPr>
          <w:rFonts w:cs="Arial"/>
          <w:sz w:val="24"/>
          <w:szCs w:val="24"/>
        </w:rPr>
        <w:tab/>
      </w:r>
      <w:r w:rsidR="00E0357F">
        <w:rPr>
          <w:rFonts w:cs="Arial"/>
          <w:sz w:val="24"/>
          <w:szCs w:val="24"/>
        </w:rPr>
        <w:tab/>
      </w:r>
      <w:r w:rsidR="00E0357F">
        <w:rPr>
          <w:rFonts w:cs="Arial"/>
          <w:sz w:val="24"/>
          <w:szCs w:val="24"/>
        </w:rPr>
        <w:tab/>
      </w:r>
      <w:r w:rsidR="00E0357F">
        <w:rPr>
          <w:rFonts w:cs="Arial"/>
          <w:sz w:val="24"/>
          <w:szCs w:val="24"/>
        </w:rPr>
        <w:tab/>
      </w:r>
      <w:r w:rsidR="00E0357F">
        <w:rPr>
          <w:rFonts w:cs="Arial"/>
          <w:sz w:val="24"/>
          <w:szCs w:val="24"/>
        </w:rPr>
        <w:tab/>
      </w:r>
      <w:r w:rsidR="00E0357F">
        <w:rPr>
          <w:rFonts w:cs="Arial"/>
          <w:sz w:val="24"/>
          <w:szCs w:val="24"/>
        </w:rPr>
        <w:tab/>
      </w:r>
      <w:r w:rsidR="00E0357F">
        <w:rPr>
          <w:rFonts w:cs="Arial"/>
          <w:sz w:val="24"/>
          <w:szCs w:val="24"/>
        </w:rPr>
        <w:tab/>
      </w:r>
      <w:r w:rsidR="00E0357F">
        <w:rPr>
          <w:rFonts w:cs="Arial"/>
          <w:sz w:val="24"/>
          <w:szCs w:val="24"/>
        </w:rPr>
        <w:tab/>
      </w:r>
      <w:r w:rsidR="00E0357F">
        <w:rPr>
          <w:rFonts w:cs="Arial"/>
          <w:sz w:val="24"/>
          <w:szCs w:val="24"/>
        </w:rPr>
        <w:tab/>
        <w:t>pg 5</w:t>
      </w:r>
    </w:p>
    <w:p w:rsidR="00BF5A6D" w:rsidRPr="000C307C" w:rsidRDefault="00CD127B" w:rsidP="00B11015">
      <w:pPr>
        <w:spacing w:after="0" w:line="360" w:lineRule="auto"/>
        <w:rPr>
          <w:rFonts w:cs="Arial"/>
          <w:sz w:val="24"/>
          <w:szCs w:val="24"/>
        </w:rPr>
      </w:pPr>
      <w:r>
        <w:rPr>
          <w:rFonts w:cs="Arial"/>
          <w:sz w:val="24"/>
          <w:szCs w:val="24"/>
        </w:rPr>
        <w:lastRenderedPageBreak/>
        <w:t xml:space="preserve">the effective date and that all providers of </w:t>
      </w:r>
      <w:r w:rsidR="00E0357F">
        <w:rPr>
          <w:rFonts w:cs="Arial"/>
          <w:sz w:val="24"/>
          <w:szCs w:val="24"/>
        </w:rPr>
        <w:t>A</w:t>
      </w:r>
      <w:r>
        <w:rPr>
          <w:rFonts w:cs="Arial"/>
          <w:sz w:val="24"/>
          <w:szCs w:val="24"/>
        </w:rPr>
        <w:t>utotransportation would be subject to them in equal application.  This entire application process under this docket has been a corruption of that process. As interpreted in Order No.</w:t>
      </w:r>
      <w:r w:rsidR="002B5531">
        <w:rPr>
          <w:rFonts w:cs="Arial"/>
          <w:sz w:val="24"/>
          <w:szCs w:val="24"/>
        </w:rPr>
        <w:t xml:space="preserve"> 0</w:t>
      </w:r>
      <w:r>
        <w:rPr>
          <w:rFonts w:cs="Arial"/>
          <w:sz w:val="24"/>
          <w:szCs w:val="24"/>
        </w:rPr>
        <w:t>3, staff in its motions has had no burden to prove or defend its disjointed application of the code selectively.  The burden has been on the petitioners to prove that it is not an allowable position that the Commission rules</w:t>
      </w:r>
      <w:r w:rsidR="003F1289">
        <w:rPr>
          <w:rFonts w:cs="Arial"/>
          <w:sz w:val="24"/>
          <w:szCs w:val="24"/>
        </w:rPr>
        <w:t xml:space="preserve"> may be applied </w:t>
      </w:r>
      <w:r w:rsidRPr="00214115">
        <w:rPr>
          <w:rFonts w:cs="Arial"/>
          <w:sz w:val="24"/>
          <w:szCs w:val="24"/>
        </w:rPr>
        <w:t>retro-actively</w:t>
      </w:r>
      <w:r>
        <w:rPr>
          <w:rFonts w:cs="Arial"/>
          <w:sz w:val="24"/>
          <w:szCs w:val="24"/>
        </w:rPr>
        <w:t xml:space="preserve">.  There is no WAC, RCW or case law that permits retro-active application just because staff thinks it most expeditious or that in its </w:t>
      </w:r>
      <w:r w:rsidR="00214115">
        <w:rPr>
          <w:rFonts w:cs="Arial"/>
          <w:sz w:val="24"/>
          <w:szCs w:val="24"/>
        </w:rPr>
        <w:t xml:space="preserve">sole </w:t>
      </w:r>
      <w:r>
        <w:rPr>
          <w:rFonts w:cs="Arial"/>
          <w:sz w:val="24"/>
          <w:szCs w:val="24"/>
        </w:rPr>
        <w:t>opinion doesn’t limit the rights of the petitioners.  Either it is allowed or it isn’t.  If it is</w:t>
      </w:r>
      <w:r w:rsidR="00214115">
        <w:rPr>
          <w:rFonts w:cs="Arial"/>
          <w:sz w:val="24"/>
          <w:szCs w:val="24"/>
        </w:rPr>
        <w:t>,</w:t>
      </w:r>
      <w:r>
        <w:rPr>
          <w:rFonts w:cs="Arial"/>
          <w:sz w:val="24"/>
          <w:szCs w:val="24"/>
        </w:rPr>
        <w:t xml:space="preserve"> then there is no form for petitioners or </w:t>
      </w:r>
      <w:r w:rsidR="003F1289">
        <w:rPr>
          <w:rFonts w:cs="Arial"/>
          <w:sz w:val="24"/>
          <w:szCs w:val="24"/>
        </w:rPr>
        <w:t xml:space="preserve">Autotransportation </w:t>
      </w:r>
      <w:r>
        <w:rPr>
          <w:rFonts w:cs="Arial"/>
          <w:sz w:val="24"/>
          <w:szCs w:val="24"/>
        </w:rPr>
        <w:t>operators to follow in attempting to be compliant</w:t>
      </w:r>
      <w:r w:rsidR="00214115">
        <w:rPr>
          <w:rFonts w:cs="Arial"/>
          <w:sz w:val="24"/>
          <w:szCs w:val="24"/>
        </w:rPr>
        <w:t xml:space="preserve"> and the rules would lack credibility</w:t>
      </w:r>
      <w:r>
        <w:rPr>
          <w:rFonts w:cs="Arial"/>
          <w:sz w:val="24"/>
          <w:szCs w:val="24"/>
        </w:rPr>
        <w:t xml:space="preserve">. There are very specific and limiting guides for any retro-active application and not one of those guidelines/requirements has been met in this docket.  </w:t>
      </w:r>
      <w:r w:rsidR="00F60B45">
        <w:rPr>
          <w:rFonts w:cs="Arial"/>
          <w:sz w:val="24"/>
          <w:szCs w:val="24"/>
        </w:rPr>
        <w:t>The State Supreme Court has spoken on the issue</w:t>
      </w:r>
      <w:r w:rsidR="0067048C">
        <w:rPr>
          <w:rFonts w:cs="Arial"/>
          <w:sz w:val="24"/>
          <w:szCs w:val="24"/>
        </w:rPr>
        <w:t xml:space="preserve"> </w:t>
      </w:r>
      <w:r w:rsidR="0067048C" w:rsidRPr="00015F7E">
        <w:rPr>
          <w:rFonts w:cs="Arial"/>
          <w:sz w:val="24"/>
          <w:szCs w:val="24"/>
          <w:vertAlign w:val="subscript"/>
        </w:rPr>
        <w:t>(</w:t>
      </w:r>
      <w:r w:rsidR="004127DD" w:rsidRPr="00015F7E">
        <w:rPr>
          <w:rFonts w:cs="Arial"/>
          <w:sz w:val="24"/>
          <w:szCs w:val="24"/>
          <w:vertAlign w:val="subscript"/>
        </w:rPr>
        <w:t>7</w:t>
      </w:r>
      <w:r w:rsidR="0067048C" w:rsidRPr="00015F7E">
        <w:rPr>
          <w:rFonts w:cs="Arial"/>
          <w:sz w:val="24"/>
          <w:szCs w:val="24"/>
          <w:vertAlign w:val="subscript"/>
        </w:rPr>
        <w:t>)</w:t>
      </w:r>
      <w:r w:rsidR="00F60B45">
        <w:rPr>
          <w:rFonts w:cs="Arial"/>
          <w:sz w:val="24"/>
          <w:szCs w:val="24"/>
        </w:rPr>
        <w:t xml:space="preserve"> and under their ruling </w:t>
      </w:r>
      <w:r>
        <w:rPr>
          <w:rFonts w:cs="Arial"/>
          <w:sz w:val="24"/>
          <w:szCs w:val="24"/>
        </w:rPr>
        <w:t>retro-active application of rules</w:t>
      </w:r>
      <w:r w:rsidR="00F60B45">
        <w:rPr>
          <w:rFonts w:cs="Arial"/>
          <w:sz w:val="24"/>
          <w:szCs w:val="24"/>
        </w:rPr>
        <w:t xml:space="preserve"> may only be applied in </w:t>
      </w:r>
      <w:r w:rsidR="00F60B45" w:rsidRPr="00E0357F">
        <w:rPr>
          <w:rFonts w:cs="Arial"/>
          <w:b/>
          <w:sz w:val="24"/>
          <w:szCs w:val="24"/>
        </w:rPr>
        <w:t xml:space="preserve">emergency </w:t>
      </w:r>
      <w:r w:rsidR="00F60B45">
        <w:rPr>
          <w:rFonts w:cs="Arial"/>
          <w:sz w:val="24"/>
          <w:szCs w:val="24"/>
        </w:rPr>
        <w:t>situations.  This petitioner has cited this ruling and many other examples of precedent in previous filings that support the inability of WAC to be applied retro-</w:t>
      </w:r>
      <w:r w:rsidR="00214115">
        <w:rPr>
          <w:rFonts w:cs="Arial"/>
          <w:sz w:val="24"/>
          <w:szCs w:val="24"/>
        </w:rPr>
        <w:t>actively</w:t>
      </w:r>
      <w:r w:rsidR="00214115" w:rsidRPr="00214115">
        <w:rPr>
          <w:rFonts w:cs="Arial"/>
          <w:sz w:val="24"/>
          <w:szCs w:val="24"/>
        </w:rPr>
        <w:t>;</w:t>
      </w:r>
      <w:r w:rsidR="0067048C" w:rsidRPr="00214115">
        <w:rPr>
          <w:rFonts w:cs="Arial"/>
          <w:sz w:val="24"/>
          <w:szCs w:val="24"/>
        </w:rPr>
        <w:t xml:space="preserve"> they have never been addressed by the </w:t>
      </w:r>
      <w:r w:rsidR="0067048C" w:rsidRPr="000C307C">
        <w:rPr>
          <w:rFonts w:cs="Arial"/>
          <w:sz w:val="24"/>
          <w:szCs w:val="24"/>
        </w:rPr>
        <w:t xml:space="preserve">Commission in either Order. </w:t>
      </w:r>
      <w:r w:rsidR="00F60B45" w:rsidRPr="000C307C">
        <w:rPr>
          <w:rFonts w:cs="Arial"/>
          <w:sz w:val="24"/>
          <w:szCs w:val="24"/>
        </w:rPr>
        <w:t xml:space="preserve"> </w:t>
      </w:r>
      <w:r w:rsidRPr="000C307C">
        <w:rPr>
          <w:rFonts w:cs="Arial"/>
          <w:sz w:val="24"/>
          <w:szCs w:val="24"/>
        </w:rPr>
        <w:t xml:space="preserve">Staff and Order No. 2 both state categorically </w:t>
      </w:r>
      <w:r w:rsidR="00C91EF2" w:rsidRPr="000C307C">
        <w:rPr>
          <w:rFonts w:cs="Arial"/>
          <w:sz w:val="24"/>
          <w:szCs w:val="24"/>
        </w:rPr>
        <w:t xml:space="preserve">that </w:t>
      </w:r>
      <w:r w:rsidRPr="000C307C">
        <w:rPr>
          <w:rFonts w:cs="Arial"/>
          <w:sz w:val="24"/>
          <w:szCs w:val="24"/>
        </w:rPr>
        <w:t xml:space="preserve">the rules </w:t>
      </w:r>
    </w:p>
    <w:p w:rsidR="008F277D" w:rsidRPr="000C307C" w:rsidRDefault="003F1289" w:rsidP="00B11015">
      <w:pPr>
        <w:spacing w:after="0" w:line="360" w:lineRule="auto"/>
        <w:rPr>
          <w:rFonts w:cs="Arial"/>
          <w:sz w:val="24"/>
          <w:szCs w:val="24"/>
        </w:rPr>
      </w:pPr>
      <w:r w:rsidRPr="000C307C">
        <w:rPr>
          <w:rFonts w:cs="Arial"/>
          <w:sz w:val="24"/>
          <w:szCs w:val="24"/>
        </w:rPr>
        <w:t>[</w:t>
      </w:r>
      <w:r w:rsidR="00CD127B" w:rsidRPr="000C307C">
        <w:rPr>
          <w:rFonts w:cs="Arial"/>
          <w:sz w:val="24"/>
          <w:szCs w:val="24"/>
        </w:rPr>
        <w:t>rev 2013]</w:t>
      </w:r>
      <w:r w:rsidR="00E0357F">
        <w:rPr>
          <w:rFonts w:cs="Arial"/>
          <w:sz w:val="24"/>
          <w:szCs w:val="24"/>
        </w:rPr>
        <w:t>”</w:t>
      </w:r>
      <w:r w:rsidR="00CD127B" w:rsidRPr="000C307C">
        <w:rPr>
          <w:rFonts w:cs="Arial"/>
          <w:sz w:val="24"/>
          <w:szCs w:val="24"/>
        </w:rPr>
        <w:t xml:space="preserve"> </w:t>
      </w:r>
      <w:r w:rsidR="00CD127B" w:rsidRPr="000C307C">
        <w:rPr>
          <w:rFonts w:cs="Arial"/>
          <w:b/>
          <w:i/>
          <w:sz w:val="24"/>
          <w:szCs w:val="24"/>
          <w:u w:val="single"/>
        </w:rPr>
        <w:t>would</w:t>
      </w:r>
      <w:r w:rsidR="00CD127B" w:rsidRPr="000C307C">
        <w:rPr>
          <w:rFonts w:cs="Arial"/>
          <w:b/>
          <w:i/>
          <w:sz w:val="24"/>
          <w:szCs w:val="24"/>
        </w:rPr>
        <w:t xml:space="preserve"> take effect on September 21, 2013</w:t>
      </w:r>
      <w:r w:rsidR="00CD127B" w:rsidRPr="000C307C">
        <w:rPr>
          <w:rFonts w:cs="Arial"/>
          <w:sz w:val="24"/>
          <w:szCs w:val="24"/>
        </w:rPr>
        <w:t xml:space="preserve">” </w:t>
      </w:r>
      <w:r w:rsidR="00CD127B" w:rsidRPr="00015F7E">
        <w:rPr>
          <w:rFonts w:cs="Arial"/>
          <w:sz w:val="24"/>
          <w:szCs w:val="24"/>
          <w:vertAlign w:val="subscript"/>
        </w:rPr>
        <w:t>(</w:t>
      </w:r>
      <w:r w:rsidR="004127DD" w:rsidRPr="00015F7E">
        <w:rPr>
          <w:rFonts w:cs="Arial"/>
          <w:sz w:val="24"/>
          <w:szCs w:val="24"/>
          <w:vertAlign w:val="subscript"/>
        </w:rPr>
        <w:t xml:space="preserve">14 </w:t>
      </w:r>
      <w:r w:rsidR="00CD127B" w:rsidRPr="00015F7E">
        <w:rPr>
          <w:rFonts w:cs="Arial"/>
          <w:sz w:val="24"/>
          <w:szCs w:val="24"/>
          <w:vertAlign w:val="subscript"/>
        </w:rPr>
        <w:t>)</w:t>
      </w:r>
      <w:r w:rsidR="00CD127B" w:rsidRPr="000C307C">
        <w:rPr>
          <w:rFonts w:cs="Arial"/>
          <w:sz w:val="24"/>
          <w:szCs w:val="24"/>
        </w:rPr>
        <w:t xml:space="preserve"> mak</w:t>
      </w:r>
      <w:r w:rsidR="008F277D" w:rsidRPr="000C307C">
        <w:rPr>
          <w:rFonts w:cs="Arial"/>
          <w:sz w:val="24"/>
          <w:szCs w:val="24"/>
        </w:rPr>
        <w:t>ing any further argument moot.</w:t>
      </w:r>
    </w:p>
    <w:p w:rsidR="00F60B45" w:rsidRDefault="00E57154" w:rsidP="002E4050">
      <w:pPr>
        <w:spacing w:line="360" w:lineRule="auto"/>
        <w:rPr>
          <w:rFonts w:cs="Arial"/>
          <w:sz w:val="24"/>
          <w:szCs w:val="24"/>
        </w:rPr>
      </w:pPr>
      <w:r>
        <w:rPr>
          <w:rFonts w:cs="Arial"/>
          <w:sz w:val="24"/>
          <w:szCs w:val="24"/>
        </w:rPr>
        <w:t xml:space="preserve">Would, like the word will, </w:t>
      </w:r>
      <w:r w:rsidR="003F1289">
        <w:rPr>
          <w:rFonts w:cs="Arial"/>
          <w:sz w:val="24"/>
          <w:szCs w:val="24"/>
        </w:rPr>
        <w:t>refer</w:t>
      </w:r>
      <w:r>
        <w:rPr>
          <w:rFonts w:cs="Arial"/>
          <w:sz w:val="24"/>
          <w:szCs w:val="24"/>
        </w:rPr>
        <w:t>s</w:t>
      </w:r>
      <w:r w:rsidR="003F1289">
        <w:rPr>
          <w:rFonts w:cs="Arial"/>
          <w:sz w:val="24"/>
          <w:szCs w:val="24"/>
        </w:rPr>
        <w:t xml:space="preserve"> to future events</w:t>
      </w:r>
      <w:r>
        <w:rPr>
          <w:rFonts w:cs="Arial"/>
          <w:sz w:val="24"/>
          <w:szCs w:val="24"/>
        </w:rPr>
        <w:t xml:space="preserve"> not </w:t>
      </w:r>
      <w:r w:rsidR="00214115">
        <w:rPr>
          <w:rFonts w:cs="Arial"/>
          <w:sz w:val="24"/>
          <w:szCs w:val="24"/>
        </w:rPr>
        <w:t>past</w:t>
      </w:r>
      <w:r>
        <w:rPr>
          <w:rFonts w:cs="Arial"/>
          <w:sz w:val="24"/>
          <w:szCs w:val="24"/>
        </w:rPr>
        <w:t xml:space="preserve"> events</w:t>
      </w:r>
      <w:r w:rsidR="003F1289">
        <w:rPr>
          <w:rFonts w:cs="Arial"/>
          <w:sz w:val="24"/>
          <w:szCs w:val="24"/>
        </w:rPr>
        <w:t xml:space="preserve">.  </w:t>
      </w:r>
      <w:r w:rsidR="00F60B45">
        <w:rPr>
          <w:rFonts w:cs="Arial"/>
          <w:sz w:val="24"/>
          <w:szCs w:val="24"/>
        </w:rPr>
        <w:t>Staff has presented no counter argument or support for such retro-application; to the contrary it remains silent on the matter.</w:t>
      </w:r>
    </w:p>
    <w:p w:rsidR="0065421A" w:rsidRPr="00BE2B77" w:rsidRDefault="00803C53" w:rsidP="002E4050">
      <w:pPr>
        <w:spacing w:line="360" w:lineRule="auto"/>
        <w:rPr>
          <w:rFonts w:cs="Arial"/>
          <w:b/>
          <w:sz w:val="24"/>
          <w:szCs w:val="24"/>
        </w:rPr>
      </w:pPr>
      <w:r w:rsidRPr="00BE2B77">
        <w:rPr>
          <w:rFonts w:cs="Arial"/>
          <w:b/>
          <w:sz w:val="24"/>
          <w:szCs w:val="24"/>
        </w:rPr>
        <w:t>Certificates of public Convenience and necessity</w:t>
      </w:r>
    </w:p>
    <w:p w:rsidR="00803C53" w:rsidRPr="00BE2B77" w:rsidRDefault="00803C53" w:rsidP="002E4050">
      <w:pPr>
        <w:spacing w:line="360" w:lineRule="auto"/>
        <w:rPr>
          <w:rFonts w:cs="Arial"/>
          <w:sz w:val="24"/>
          <w:szCs w:val="24"/>
        </w:rPr>
      </w:pPr>
      <w:r w:rsidRPr="00BE2B77">
        <w:rPr>
          <w:rFonts w:cs="Arial"/>
          <w:sz w:val="24"/>
          <w:szCs w:val="24"/>
        </w:rPr>
        <w:t>Order 03 in paragraph 13 refers to the granting of these certificates and the rules regarding their issuance</w:t>
      </w:r>
      <w:r w:rsidR="00632AC1">
        <w:rPr>
          <w:rFonts w:cs="Arial"/>
          <w:sz w:val="24"/>
          <w:szCs w:val="24"/>
        </w:rPr>
        <w:t xml:space="preserve"> in this Docket</w:t>
      </w:r>
      <w:r w:rsidRPr="00BE2B77">
        <w:rPr>
          <w:rFonts w:cs="Arial"/>
          <w:sz w:val="24"/>
          <w:szCs w:val="24"/>
        </w:rPr>
        <w:t xml:space="preserve">.  </w:t>
      </w:r>
      <w:r w:rsidRPr="00BE2B77">
        <w:rPr>
          <w:rFonts w:cs="Arial"/>
          <w:sz w:val="24"/>
          <w:szCs w:val="24"/>
          <w:u w:val="single"/>
        </w:rPr>
        <w:t>Certificates of public convenience and necessity</w:t>
      </w:r>
      <w:r w:rsidRPr="00BE2B77">
        <w:rPr>
          <w:rFonts w:cs="Arial"/>
          <w:sz w:val="24"/>
          <w:szCs w:val="24"/>
        </w:rPr>
        <w:t xml:space="preserve"> may only be granted under the </w:t>
      </w:r>
      <w:r w:rsidRPr="007A1A84">
        <w:rPr>
          <w:rFonts w:cs="Arial"/>
          <w:sz w:val="24"/>
          <w:szCs w:val="24"/>
          <w:u w:val="single"/>
        </w:rPr>
        <w:t>unrevised rules</w:t>
      </w:r>
      <w:r w:rsidRPr="00BE2B77">
        <w:rPr>
          <w:rFonts w:cs="Arial"/>
          <w:sz w:val="24"/>
          <w:szCs w:val="24"/>
        </w:rPr>
        <w:t xml:space="preserve"> in effect prior to September 22, 2013.  After that date Operating Certificates are to be issued to any new entrants.  The Order in itself seems confused as to w</w:t>
      </w:r>
      <w:r w:rsidR="00BE2B77">
        <w:rPr>
          <w:rFonts w:cs="Arial"/>
          <w:sz w:val="24"/>
          <w:szCs w:val="24"/>
        </w:rPr>
        <w:t>hich rules apply in this docket as it applies both sets to the same situation in its rational.</w:t>
      </w:r>
    </w:p>
    <w:p w:rsidR="00015F7E" w:rsidRDefault="00015F7E" w:rsidP="00015F7E">
      <w:pPr>
        <w:pStyle w:val="Default"/>
        <w:rPr>
          <w:color w:val="auto"/>
          <w:sz w:val="20"/>
          <w:szCs w:val="20"/>
        </w:rPr>
      </w:pPr>
      <w:r>
        <w:rPr>
          <w:color w:val="auto"/>
          <w:sz w:val="20"/>
          <w:szCs w:val="20"/>
        </w:rPr>
        <w:t xml:space="preserve">(14) </w:t>
      </w:r>
      <w:r w:rsidRPr="00723365">
        <w:rPr>
          <w:color w:val="auto"/>
          <w:sz w:val="20"/>
          <w:szCs w:val="20"/>
        </w:rPr>
        <w:t>Order 02 Docket TC-130708 Para. 3</w:t>
      </w:r>
      <w:r w:rsidR="00E0357F">
        <w:rPr>
          <w:color w:val="auto"/>
          <w:sz w:val="20"/>
          <w:szCs w:val="20"/>
        </w:rPr>
        <w:tab/>
      </w:r>
      <w:r w:rsidR="00E0357F">
        <w:rPr>
          <w:color w:val="auto"/>
          <w:sz w:val="20"/>
          <w:szCs w:val="20"/>
        </w:rPr>
        <w:tab/>
      </w:r>
      <w:r w:rsidR="00E0357F">
        <w:rPr>
          <w:color w:val="auto"/>
          <w:sz w:val="20"/>
          <w:szCs w:val="20"/>
        </w:rPr>
        <w:tab/>
      </w:r>
      <w:r w:rsidR="00E0357F">
        <w:rPr>
          <w:color w:val="auto"/>
          <w:sz w:val="20"/>
          <w:szCs w:val="20"/>
        </w:rPr>
        <w:tab/>
      </w:r>
      <w:r w:rsidR="00E0357F">
        <w:rPr>
          <w:color w:val="auto"/>
          <w:sz w:val="20"/>
          <w:szCs w:val="20"/>
        </w:rPr>
        <w:tab/>
      </w:r>
      <w:r w:rsidR="00E0357F">
        <w:rPr>
          <w:color w:val="auto"/>
          <w:sz w:val="20"/>
          <w:szCs w:val="20"/>
        </w:rPr>
        <w:tab/>
        <w:t xml:space="preserve">               pg 6</w:t>
      </w:r>
    </w:p>
    <w:p w:rsidR="00015F7E" w:rsidRDefault="00015F7E" w:rsidP="002E4050">
      <w:pPr>
        <w:spacing w:line="360" w:lineRule="auto"/>
        <w:rPr>
          <w:rFonts w:cs="Arial"/>
          <w:b/>
          <w:sz w:val="24"/>
          <w:szCs w:val="24"/>
        </w:rPr>
      </w:pPr>
    </w:p>
    <w:p w:rsidR="00CD127B" w:rsidRDefault="00E0357F" w:rsidP="002E4050">
      <w:pPr>
        <w:spacing w:line="360" w:lineRule="auto"/>
        <w:rPr>
          <w:rFonts w:cs="Arial"/>
          <w:b/>
          <w:sz w:val="24"/>
          <w:szCs w:val="24"/>
        </w:rPr>
      </w:pPr>
      <w:r>
        <w:rPr>
          <w:rFonts w:cs="Arial"/>
          <w:b/>
          <w:sz w:val="24"/>
          <w:szCs w:val="24"/>
        </w:rPr>
        <w:lastRenderedPageBreak/>
        <w:t>W</w:t>
      </w:r>
      <w:r w:rsidR="00CD127B" w:rsidRPr="00CD127B">
        <w:rPr>
          <w:rFonts w:cs="Arial"/>
          <w:b/>
          <w:sz w:val="24"/>
          <w:szCs w:val="24"/>
        </w:rPr>
        <w:t>i</w:t>
      </w:r>
      <w:r w:rsidR="00CD127B">
        <w:rPr>
          <w:rFonts w:cs="Arial"/>
          <w:b/>
          <w:sz w:val="24"/>
          <w:szCs w:val="24"/>
        </w:rPr>
        <w:t>c</w:t>
      </w:r>
      <w:r w:rsidR="00CD127B" w:rsidRPr="00CD127B">
        <w:rPr>
          <w:rFonts w:cs="Arial"/>
          <w:b/>
          <w:sz w:val="24"/>
          <w:szCs w:val="24"/>
        </w:rPr>
        <w:t>kkiser will not provide same service</w:t>
      </w:r>
    </w:p>
    <w:p w:rsidR="00723365" w:rsidRDefault="00CD127B" w:rsidP="002E4050">
      <w:pPr>
        <w:spacing w:line="360" w:lineRule="auto"/>
        <w:rPr>
          <w:rFonts w:cs="Arial"/>
          <w:sz w:val="24"/>
          <w:szCs w:val="24"/>
        </w:rPr>
      </w:pPr>
      <w:r w:rsidRPr="00CD127B">
        <w:rPr>
          <w:rFonts w:cs="Arial"/>
          <w:sz w:val="24"/>
          <w:szCs w:val="24"/>
        </w:rPr>
        <w:t>10.</w:t>
      </w:r>
      <w:r w:rsidRPr="00CD127B">
        <w:rPr>
          <w:rFonts w:cs="Arial"/>
          <w:sz w:val="24"/>
          <w:szCs w:val="24"/>
        </w:rPr>
        <w:tab/>
      </w:r>
      <w:r>
        <w:rPr>
          <w:rFonts w:cs="Arial"/>
          <w:sz w:val="24"/>
          <w:szCs w:val="24"/>
        </w:rPr>
        <w:t xml:space="preserve">Order No. </w:t>
      </w:r>
      <w:r w:rsidR="00F851E3">
        <w:rPr>
          <w:rFonts w:cs="Arial"/>
          <w:sz w:val="24"/>
          <w:szCs w:val="24"/>
        </w:rPr>
        <w:t xml:space="preserve">03 </w:t>
      </w:r>
      <w:r>
        <w:rPr>
          <w:rFonts w:cs="Arial"/>
          <w:sz w:val="24"/>
          <w:szCs w:val="24"/>
        </w:rPr>
        <w:t>state</w:t>
      </w:r>
      <w:r w:rsidR="00F851E3">
        <w:rPr>
          <w:rFonts w:cs="Arial"/>
          <w:sz w:val="24"/>
          <w:szCs w:val="24"/>
        </w:rPr>
        <w:t>s</w:t>
      </w:r>
      <w:r>
        <w:rPr>
          <w:rFonts w:cs="Arial"/>
          <w:sz w:val="24"/>
          <w:szCs w:val="24"/>
        </w:rPr>
        <w:t xml:space="preserve"> that Airporter “</w:t>
      </w:r>
      <w:r w:rsidRPr="00CD127B">
        <w:rPr>
          <w:rFonts w:cs="Arial"/>
          <w:b/>
          <w:i/>
          <w:sz w:val="24"/>
          <w:szCs w:val="24"/>
        </w:rPr>
        <w:t>will</w:t>
      </w:r>
      <w:r>
        <w:rPr>
          <w:rFonts w:cs="Arial"/>
          <w:sz w:val="24"/>
          <w:szCs w:val="24"/>
        </w:rPr>
        <w:t xml:space="preserve"> not provide same service” as proposed by the applicant.  Order </w:t>
      </w:r>
      <w:r w:rsidR="00F65E2E" w:rsidRPr="00BE2B77">
        <w:rPr>
          <w:rFonts w:cs="Arial"/>
          <w:sz w:val="24"/>
          <w:szCs w:val="24"/>
        </w:rPr>
        <w:t>03</w:t>
      </w:r>
      <w:r w:rsidR="00F65E2E">
        <w:rPr>
          <w:rFonts w:cs="Arial"/>
          <w:sz w:val="24"/>
          <w:szCs w:val="24"/>
        </w:rPr>
        <w:t xml:space="preserve"> </w:t>
      </w:r>
      <w:r>
        <w:rPr>
          <w:rFonts w:cs="Arial"/>
          <w:sz w:val="24"/>
          <w:szCs w:val="24"/>
        </w:rPr>
        <w:t xml:space="preserve">further proposes that in as much as Airporter does in fact now provide the same service that it </w:t>
      </w:r>
      <w:r w:rsidR="00827D08">
        <w:rPr>
          <w:rFonts w:cs="Arial"/>
          <w:sz w:val="24"/>
          <w:szCs w:val="24"/>
        </w:rPr>
        <w:t xml:space="preserve">is </w:t>
      </w:r>
      <w:r w:rsidR="000E2AB0">
        <w:rPr>
          <w:rFonts w:cs="Arial"/>
          <w:sz w:val="24"/>
          <w:szCs w:val="24"/>
        </w:rPr>
        <w:t xml:space="preserve">evidence that it </w:t>
      </w:r>
      <w:r>
        <w:rPr>
          <w:rFonts w:cs="Arial"/>
          <w:sz w:val="24"/>
          <w:szCs w:val="24"/>
        </w:rPr>
        <w:t xml:space="preserve">not </w:t>
      </w:r>
      <w:r w:rsidRPr="00BE2B77">
        <w:rPr>
          <w:rFonts w:cs="Arial"/>
          <w:sz w:val="24"/>
          <w:szCs w:val="24"/>
          <w:u w:val="single"/>
        </w:rPr>
        <w:t xml:space="preserve">willing </w:t>
      </w:r>
      <w:r>
        <w:rPr>
          <w:rFonts w:cs="Arial"/>
          <w:sz w:val="24"/>
          <w:szCs w:val="24"/>
        </w:rPr>
        <w:t xml:space="preserve">to provide same service. </w:t>
      </w:r>
      <w:r w:rsidRPr="00015F7E">
        <w:rPr>
          <w:rFonts w:cs="Arial"/>
          <w:sz w:val="24"/>
          <w:szCs w:val="24"/>
          <w:vertAlign w:val="subscript"/>
        </w:rPr>
        <w:t>(</w:t>
      </w:r>
      <w:r w:rsidR="00F65E2E" w:rsidRPr="00015F7E">
        <w:rPr>
          <w:rFonts w:cs="Arial"/>
          <w:sz w:val="24"/>
          <w:szCs w:val="24"/>
          <w:vertAlign w:val="subscript"/>
        </w:rPr>
        <w:t>1</w:t>
      </w:r>
      <w:r w:rsidR="004127DD" w:rsidRPr="00015F7E">
        <w:rPr>
          <w:rFonts w:cs="Arial"/>
          <w:sz w:val="24"/>
          <w:szCs w:val="24"/>
          <w:vertAlign w:val="subscript"/>
        </w:rPr>
        <w:t>5</w:t>
      </w:r>
      <w:r w:rsidRPr="00015F7E">
        <w:rPr>
          <w:rFonts w:cs="Arial"/>
          <w:sz w:val="24"/>
          <w:szCs w:val="24"/>
          <w:vertAlign w:val="subscript"/>
        </w:rPr>
        <w:t>)</w:t>
      </w:r>
      <w:r>
        <w:rPr>
          <w:rFonts w:cs="Arial"/>
          <w:sz w:val="24"/>
          <w:szCs w:val="24"/>
        </w:rPr>
        <w:t xml:space="preserve">  “Will” is a future </w:t>
      </w:r>
      <w:r w:rsidR="00827D08">
        <w:rPr>
          <w:rFonts w:cs="Arial"/>
          <w:sz w:val="24"/>
          <w:szCs w:val="24"/>
        </w:rPr>
        <w:t>tense;</w:t>
      </w:r>
      <w:r>
        <w:rPr>
          <w:rFonts w:cs="Arial"/>
          <w:sz w:val="24"/>
          <w:szCs w:val="24"/>
        </w:rPr>
        <w:t xml:space="preserve"> it does not imply or in any way refer to the present or past tense.  Order No. 3 </w:t>
      </w:r>
      <w:r w:rsidR="00827D08">
        <w:rPr>
          <w:rFonts w:cs="Arial"/>
          <w:sz w:val="24"/>
          <w:szCs w:val="24"/>
        </w:rPr>
        <w:t>referrers</w:t>
      </w:r>
      <w:r>
        <w:rPr>
          <w:rFonts w:cs="Arial"/>
          <w:sz w:val="24"/>
          <w:szCs w:val="24"/>
        </w:rPr>
        <w:t xml:space="preserve"> to the “long standing </w:t>
      </w:r>
      <w:r w:rsidR="00827D08">
        <w:rPr>
          <w:rFonts w:cs="Arial"/>
          <w:sz w:val="24"/>
          <w:szCs w:val="24"/>
        </w:rPr>
        <w:t>precedent</w:t>
      </w:r>
      <w:r>
        <w:rPr>
          <w:rFonts w:cs="Arial"/>
          <w:sz w:val="24"/>
          <w:szCs w:val="24"/>
        </w:rPr>
        <w:t xml:space="preserve"> of the commission </w:t>
      </w:r>
      <w:r w:rsidR="00827D08">
        <w:rPr>
          <w:rFonts w:cs="Arial"/>
          <w:sz w:val="24"/>
          <w:szCs w:val="24"/>
        </w:rPr>
        <w:t>“with</w:t>
      </w:r>
      <w:r>
        <w:rPr>
          <w:rFonts w:cs="Arial"/>
          <w:sz w:val="24"/>
          <w:szCs w:val="24"/>
        </w:rPr>
        <w:t xml:space="preserve"> reference to this misapplied term.  Yet that same Order ignores the </w:t>
      </w:r>
      <w:r w:rsidR="00827D08">
        <w:rPr>
          <w:rFonts w:cs="Arial"/>
          <w:sz w:val="24"/>
          <w:szCs w:val="24"/>
        </w:rPr>
        <w:t>precedent</w:t>
      </w:r>
      <w:r>
        <w:rPr>
          <w:rFonts w:cs="Arial"/>
          <w:sz w:val="24"/>
          <w:szCs w:val="24"/>
        </w:rPr>
        <w:t xml:space="preserve"> set by the </w:t>
      </w:r>
      <w:r w:rsidR="00827D08">
        <w:rPr>
          <w:rFonts w:cs="Arial"/>
          <w:sz w:val="24"/>
          <w:szCs w:val="24"/>
        </w:rPr>
        <w:t>Supreme</w:t>
      </w:r>
      <w:r>
        <w:rPr>
          <w:rFonts w:cs="Arial"/>
          <w:sz w:val="24"/>
          <w:szCs w:val="24"/>
        </w:rPr>
        <w:t xml:space="preserve"> Court </w:t>
      </w:r>
      <w:r w:rsidR="00827D08">
        <w:rPr>
          <w:rFonts w:cs="Arial"/>
          <w:sz w:val="24"/>
          <w:szCs w:val="24"/>
        </w:rPr>
        <w:t>which</w:t>
      </w:r>
      <w:r>
        <w:rPr>
          <w:rFonts w:cs="Arial"/>
          <w:sz w:val="24"/>
          <w:szCs w:val="24"/>
        </w:rPr>
        <w:t xml:space="preserve"> is also clear and unequivocal.  This p</w:t>
      </w:r>
      <w:r w:rsidR="00827D08">
        <w:rPr>
          <w:rFonts w:cs="Arial"/>
          <w:sz w:val="24"/>
          <w:szCs w:val="24"/>
        </w:rPr>
        <w:t>etitioner</w:t>
      </w:r>
      <w:r>
        <w:rPr>
          <w:rFonts w:cs="Arial"/>
          <w:sz w:val="24"/>
          <w:szCs w:val="24"/>
        </w:rPr>
        <w:t xml:space="preserve"> is again confused by the application.  The agency has taken license to interpret common, customary and usual </w:t>
      </w:r>
      <w:r w:rsidR="000E2AB0">
        <w:rPr>
          <w:rFonts w:cs="Arial"/>
          <w:sz w:val="24"/>
          <w:szCs w:val="24"/>
        </w:rPr>
        <w:t>usage</w:t>
      </w:r>
      <w:r w:rsidR="00827D08">
        <w:rPr>
          <w:rFonts w:cs="Arial"/>
          <w:sz w:val="24"/>
          <w:szCs w:val="24"/>
        </w:rPr>
        <w:t xml:space="preserve"> of a verb different </w:t>
      </w:r>
      <w:r w:rsidR="000E2AB0">
        <w:rPr>
          <w:rFonts w:cs="Arial"/>
          <w:sz w:val="24"/>
          <w:szCs w:val="24"/>
        </w:rPr>
        <w:t>from</w:t>
      </w:r>
      <w:r w:rsidR="00827D08">
        <w:rPr>
          <w:rFonts w:cs="Arial"/>
          <w:sz w:val="24"/>
          <w:szCs w:val="24"/>
        </w:rPr>
        <w:t xml:space="preserve"> that custom.  </w:t>
      </w:r>
      <w:r w:rsidR="00BE2B77">
        <w:rPr>
          <w:rFonts w:cs="Arial"/>
          <w:sz w:val="24"/>
          <w:szCs w:val="24"/>
        </w:rPr>
        <w:t xml:space="preserve"> Misunderstanding a common and accepted usage for years is no justification for continuing to do so.  </w:t>
      </w:r>
      <w:r w:rsidR="00827D08">
        <w:rPr>
          <w:rFonts w:cs="Arial"/>
          <w:sz w:val="24"/>
          <w:szCs w:val="24"/>
        </w:rPr>
        <w:t xml:space="preserve">How are we the regulated, supposed to be compliant when there is no logic and </w:t>
      </w:r>
      <w:r w:rsidR="00223A43">
        <w:rPr>
          <w:rFonts w:cs="Arial"/>
          <w:sz w:val="24"/>
          <w:szCs w:val="24"/>
        </w:rPr>
        <w:t>staff only acknowledges precedent when it suits them?</w:t>
      </w:r>
    </w:p>
    <w:p w:rsidR="006A46BE" w:rsidRDefault="006A46BE" w:rsidP="002E4050">
      <w:pPr>
        <w:spacing w:line="360" w:lineRule="auto"/>
        <w:rPr>
          <w:rFonts w:cs="Arial"/>
          <w:sz w:val="24"/>
          <w:szCs w:val="24"/>
        </w:rPr>
      </w:pPr>
      <w:r>
        <w:rPr>
          <w:rFonts w:cs="Arial"/>
          <w:sz w:val="24"/>
          <w:szCs w:val="24"/>
        </w:rPr>
        <w:t>11.</w:t>
      </w:r>
      <w:r>
        <w:rPr>
          <w:rFonts w:cs="Arial"/>
          <w:sz w:val="24"/>
          <w:szCs w:val="24"/>
        </w:rPr>
        <w:tab/>
      </w:r>
      <w:r w:rsidRPr="006A46BE">
        <w:rPr>
          <w:rFonts w:cs="Arial"/>
          <w:b/>
          <w:sz w:val="24"/>
          <w:szCs w:val="24"/>
        </w:rPr>
        <w:t>SAME SERVICE</w:t>
      </w:r>
      <w:r>
        <w:rPr>
          <w:rFonts w:cs="Arial"/>
          <w:sz w:val="24"/>
          <w:szCs w:val="24"/>
        </w:rPr>
        <w:t xml:space="preserve"> is defined by WAC 480-30-140.  That section of the code provides protection from just the kind of incursion that the Applicant is seeking.</w:t>
      </w:r>
      <w:r w:rsidR="00AB0394">
        <w:rPr>
          <w:rFonts w:cs="Arial"/>
          <w:sz w:val="24"/>
          <w:szCs w:val="24"/>
        </w:rPr>
        <w:t xml:space="preserve">  The Order (</w:t>
      </w:r>
      <w:r w:rsidR="002B5531">
        <w:rPr>
          <w:rFonts w:cs="Arial"/>
          <w:sz w:val="24"/>
          <w:szCs w:val="24"/>
        </w:rPr>
        <w:t>0</w:t>
      </w:r>
      <w:r w:rsidR="00AB0394">
        <w:rPr>
          <w:rFonts w:cs="Arial"/>
          <w:sz w:val="24"/>
          <w:szCs w:val="24"/>
        </w:rPr>
        <w:t>3) avers that this section, specifically 480-3-0-140(2</w:t>
      </w:r>
      <w:r w:rsidR="00AB0394" w:rsidRPr="008F277D">
        <w:rPr>
          <w:rFonts w:cs="Arial"/>
          <w:sz w:val="24"/>
          <w:szCs w:val="24"/>
        </w:rPr>
        <w:t>)</w:t>
      </w:r>
      <w:r w:rsidR="00AB0394" w:rsidRPr="00AB0394">
        <w:rPr>
          <w:rFonts w:cs="Arial"/>
          <w:color w:val="FF0000"/>
          <w:sz w:val="24"/>
          <w:szCs w:val="24"/>
        </w:rPr>
        <w:t xml:space="preserve"> </w:t>
      </w:r>
      <w:r w:rsidR="00AB0394" w:rsidRPr="00015F7E">
        <w:rPr>
          <w:rFonts w:cs="Arial"/>
          <w:sz w:val="24"/>
          <w:szCs w:val="24"/>
          <w:vertAlign w:val="subscript"/>
        </w:rPr>
        <w:t>(</w:t>
      </w:r>
      <w:r w:rsidR="00F65E2E" w:rsidRPr="00015F7E">
        <w:rPr>
          <w:rFonts w:cs="Arial"/>
          <w:sz w:val="24"/>
          <w:szCs w:val="24"/>
          <w:vertAlign w:val="subscript"/>
        </w:rPr>
        <w:t>1</w:t>
      </w:r>
      <w:r w:rsidR="004127DD" w:rsidRPr="00015F7E">
        <w:rPr>
          <w:rFonts w:cs="Arial"/>
          <w:sz w:val="24"/>
          <w:szCs w:val="24"/>
          <w:vertAlign w:val="subscript"/>
        </w:rPr>
        <w:t>6)</w:t>
      </w:r>
      <w:r w:rsidR="00AB0394" w:rsidRPr="001E3722">
        <w:rPr>
          <w:rFonts w:cs="Arial"/>
          <w:sz w:val="24"/>
          <w:szCs w:val="24"/>
        </w:rPr>
        <w:t xml:space="preserve"> </w:t>
      </w:r>
      <w:r w:rsidR="001E3722" w:rsidRPr="001E3722">
        <w:rPr>
          <w:rFonts w:cs="Arial"/>
          <w:sz w:val="24"/>
          <w:szCs w:val="24"/>
        </w:rPr>
        <w:t xml:space="preserve">permits the applicant’s provision of service but it </w:t>
      </w:r>
      <w:r w:rsidR="00F65E2E" w:rsidRPr="00722A29">
        <w:rPr>
          <w:rFonts w:cs="Arial"/>
          <w:sz w:val="24"/>
          <w:szCs w:val="24"/>
        </w:rPr>
        <w:t>ignores</w:t>
      </w:r>
      <w:r w:rsidR="001E3722" w:rsidRPr="001E3722">
        <w:rPr>
          <w:rFonts w:cs="Arial"/>
          <w:sz w:val="24"/>
          <w:szCs w:val="24"/>
        </w:rPr>
        <w:t xml:space="preserve"> the key elements of this section</w:t>
      </w:r>
      <w:r w:rsidR="00722A29">
        <w:rPr>
          <w:rFonts w:cs="Arial"/>
          <w:sz w:val="24"/>
          <w:szCs w:val="24"/>
        </w:rPr>
        <w:t>,</w:t>
      </w:r>
      <w:r w:rsidR="00E83A31">
        <w:rPr>
          <w:rFonts w:cs="Arial"/>
          <w:sz w:val="24"/>
          <w:szCs w:val="24"/>
        </w:rPr>
        <w:t xml:space="preserve"> </w:t>
      </w:r>
      <w:r w:rsidR="00722A29">
        <w:rPr>
          <w:rFonts w:cs="Arial"/>
          <w:sz w:val="24"/>
          <w:szCs w:val="24"/>
        </w:rPr>
        <w:t>480-30</w:t>
      </w:r>
      <w:r w:rsidR="00E83A31">
        <w:rPr>
          <w:rFonts w:cs="Arial"/>
          <w:sz w:val="24"/>
          <w:szCs w:val="24"/>
        </w:rPr>
        <w:t>-140(2)</w:t>
      </w:r>
      <w:r w:rsidR="001E3722" w:rsidRPr="001E3722">
        <w:rPr>
          <w:rFonts w:cs="Arial"/>
          <w:sz w:val="24"/>
          <w:szCs w:val="24"/>
        </w:rPr>
        <w:t>:</w:t>
      </w:r>
    </w:p>
    <w:p w:rsidR="001E3722" w:rsidRPr="009D5988" w:rsidRDefault="001E3722" w:rsidP="001E3722">
      <w:pPr>
        <w:spacing w:after="0" w:line="240" w:lineRule="auto"/>
        <w:ind w:firstLine="360"/>
        <w:rPr>
          <w:rFonts w:ascii="Times New Roman" w:eastAsia="Times New Roman" w:hAnsi="Times New Roman" w:cs="Times New Roman"/>
          <w:sz w:val="24"/>
          <w:szCs w:val="24"/>
        </w:rPr>
      </w:pPr>
      <w:r w:rsidRPr="009D5988">
        <w:rPr>
          <w:rFonts w:ascii="Times New Roman" w:eastAsia="Times New Roman" w:hAnsi="Times New Roman" w:cs="Times New Roman"/>
          <w:sz w:val="24"/>
          <w:szCs w:val="24"/>
        </w:rPr>
        <w:t xml:space="preserve">(2) </w:t>
      </w:r>
      <w:r w:rsidRPr="009D5988">
        <w:rPr>
          <w:rFonts w:ascii="Times New Roman" w:eastAsia="Times New Roman" w:hAnsi="Times New Roman" w:cs="Times New Roman"/>
          <w:b/>
          <w:sz w:val="24"/>
          <w:szCs w:val="24"/>
        </w:rPr>
        <w:t>Same service</w:t>
      </w:r>
      <w:r w:rsidRPr="009D5988">
        <w:rPr>
          <w:rFonts w:ascii="Times New Roman" w:eastAsia="Times New Roman" w:hAnsi="Times New Roman" w:cs="Times New Roman"/>
          <w:sz w:val="24"/>
          <w:szCs w:val="24"/>
        </w:rPr>
        <w:t>. When determining whether one or more existing certificate holders provide the same service in the territory at issue, the commission may, among other things, consider:</w:t>
      </w:r>
    </w:p>
    <w:p w:rsidR="001E3722" w:rsidRPr="009D5988" w:rsidRDefault="001E3722" w:rsidP="001E3722">
      <w:pPr>
        <w:spacing w:after="0" w:line="240" w:lineRule="auto"/>
        <w:ind w:firstLine="360"/>
        <w:rPr>
          <w:rFonts w:ascii="Times New Roman" w:eastAsia="Times New Roman" w:hAnsi="Times New Roman" w:cs="Times New Roman"/>
          <w:sz w:val="24"/>
          <w:szCs w:val="24"/>
        </w:rPr>
      </w:pPr>
      <w:r w:rsidRPr="009D5988">
        <w:rPr>
          <w:rFonts w:ascii="Times New Roman" w:eastAsia="Times New Roman" w:hAnsi="Times New Roman" w:cs="Times New Roman"/>
          <w:sz w:val="24"/>
          <w:szCs w:val="24"/>
        </w:rPr>
        <w:t>(a) The certificate authority granted to the existing companies and whether or not they are providing service to the full extent of that authority;</w:t>
      </w:r>
    </w:p>
    <w:p w:rsidR="001E3722" w:rsidRPr="009D5988" w:rsidRDefault="001E3722" w:rsidP="001E3722">
      <w:pPr>
        <w:spacing w:after="0" w:line="240" w:lineRule="auto"/>
        <w:ind w:firstLine="360"/>
        <w:rPr>
          <w:rFonts w:ascii="Times New Roman" w:eastAsia="Times New Roman" w:hAnsi="Times New Roman" w:cs="Times New Roman"/>
          <w:sz w:val="24"/>
          <w:szCs w:val="24"/>
        </w:rPr>
      </w:pPr>
      <w:r w:rsidRPr="009D5988">
        <w:rPr>
          <w:rFonts w:ascii="Times New Roman" w:eastAsia="Times New Roman" w:hAnsi="Times New Roman" w:cs="Times New Roman"/>
          <w:sz w:val="24"/>
          <w:szCs w:val="24"/>
        </w:rPr>
        <w:t>(b) The type, means, and methods of service provided;</w:t>
      </w:r>
    </w:p>
    <w:p w:rsidR="001E3722" w:rsidRPr="009D5988" w:rsidRDefault="001E3722" w:rsidP="001E3722">
      <w:pPr>
        <w:spacing w:after="0" w:line="240" w:lineRule="auto"/>
        <w:ind w:firstLine="360"/>
        <w:rPr>
          <w:rFonts w:ascii="Times New Roman" w:eastAsia="Times New Roman" w:hAnsi="Times New Roman" w:cs="Times New Roman"/>
          <w:sz w:val="24"/>
          <w:szCs w:val="24"/>
        </w:rPr>
      </w:pPr>
      <w:r w:rsidRPr="009D5988">
        <w:rPr>
          <w:rFonts w:ascii="Times New Roman" w:eastAsia="Times New Roman" w:hAnsi="Times New Roman" w:cs="Times New Roman"/>
          <w:sz w:val="24"/>
          <w:szCs w:val="24"/>
        </w:rPr>
        <w:t>(c) Whether the type of service provided reasonably serves the market;</w:t>
      </w:r>
    </w:p>
    <w:p w:rsidR="001E3722" w:rsidRPr="009D5988" w:rsidRDefault="001E3722" w:rsidP="001E3722">
      <w:pPr>
        <w:spacing w:after="0" w:line="240" w:lineRule="auto"/>
        <w:ind w:firstLine="360"/>
        <w:rPr>
          <w:rFonts w:ascii="Times New Roman" w:eastAsia="Times New Roman" w:hAnsi="Times New Roman" w:cs="Times New Roman"/>
          <w:sz w:val="24"/>
          <w:szCs w:val="24"/>
        </w:rPr>
      </w:pPr>
      <w:r w:rsidRPr="009D5988">
        <w:rPr>
          <w:rFonts w:ascii="Times New Roman" w:eastAsia="Times New Roman" w:hAnsi="Times New Roman" w:cs="Times New Roman"/>
          <w:sz w:val="24"/>
          <w:szCs w:val="24"/>
        </w:rPr>
        <w:t>(d) Whether the population density warrants additional facilities or transportation;</w:t>
      </w:r>
    </w:p>
    <w:p w:rsidR="001E3722" w:rsidRPr="009D5988" w:rsidRDefault="001E3722" w:rsidP="001E3722">
      <w:pPr>
        <w:spacing w:after="0" w:line="240" w:lineRule="auto"/>
        <w:ind w:firstLine="360"/>
        <w:rPr>
          <w:rFonts w:ascii="Times New Roman" w:eastAsia="Times New Roman" w:hAnsi="Times New Roman" w:cs="Times New Roman"/>
          <w:sz w:val="24"/>
          <w:szCs w:val="24"/>
        </w:rPr>
      </w:pPr>
      <w:r w:rsidRPr="009D5988">
        <w:rPr>
          <w:rFonts w:ascii="Times New Roman" w:eastAsia="Times New Roman" w:hAnsi="Times New Roman" w:cs="Times New Roman"/>
          <w:sz w:val="24"/>
          <w:szCs w:val="24"/>
        </w:rPr>
        <w:t>(e) The topography, character, and condition of the territory in which the objecting company provides service and in which the proposed service would operate;</w:t>
      </w:r>
    </w:p>
    <w:p w:rsidR="00015F7E" w:rsidRDefault="00015F7E" w:rsidP="00015F7E">
      <w:pPr>
        <w:pStyle w:val="Default"/>
        <w:rPr>
          <w:rFonts w:eastAsia="Times New Roman"/>
        </w:rPr>
      </w:pPr>
      <w:r>
        <w:rPr>
          <w:rFonts w:eastAsia="Times New Roman"/>
        </w:rPr>
        <w:t xml:space="preserve">      </w:t>
      </w:r>
      <w:r w:rsidR="001E3722" w:rsidRPr="009D5988">
        <w:rPr>
          <w:rFonts w:eastAsia="Times New Roman"/>
        </w:rPr>
        <w:t>(f) For scheduled service, the proposed route's relation to the nearest route served by an existing certificate holder. The commission views routes narrowly for the purpose of determining whether service is the same. Alternative routes that may run parallel to an objecting company's route, but which have a convenience benefit to customers, may be considered a separate and different service;</w:t>
      </w:r>
    </w:p>
    <w:p w:rsidR="00015F7E" w:rsidRDefault="00015F7E" w:rsidP="00015F7E">
      <w:pPr>
        <w:pStyle w:val="Default"/>
        <w:rPr>
          <w:rFonts w:eastAsia="Times New Roman"/>
        </w:rPr>
      </w:pPr>
    </w:p>
    <w:p w:rsidR="00015F7E" w:rsidRDefault="00015F7E" w:rsidP="00015F7E">
      <w:pPr>
        <w:pStyle w:val="Default"/>
        <w:rPr>
          <w:color w:val="auto"/>
          <w:sz w:val="20"/>
          <w:szCs w:val="20"/>
        </w:rPr>
      </w:pPr>
      <w:r>
        <w:rPr>
          <w:rFonts w:eastAsia="Times New Roman"/>
        </w:rPr>
        <w:t xml:space="preserve"> </w:t>
      </w:r>
      <w:r>
        <w:rPr>
          <w:color w:val="auto"/>
          <w:sz w:val="20"/>
          <w:szCs w:val="20"/>
        </w:rPr>
        <w:t>(</w:t>
      </w:r>
      <w:r w:rsidRPr="00723365">
        <w:rPr>
          <w:color w:val="auto"/>
          <w:sz w:val="20"/>
          <w:szCs w:val="20"/>
        </w:rPr>
        <w:t>15</w:t>
      </w:r>
      <w:r>
        <w:rPr>
          <w:color w:val="auto"/>
          <w:sz w:val="20"/>
          <w:szCs w:val="20"/>
        </w:rPr>
        <w:t xml:space="preserve">) </w:t>
      </w:r>
      <w:r w:rsidRPr="00723365">
        <w:rPr>
          <w:color w:val="auto"/>
          <w:sz w:val="20"/>
          <w:szCs w:val="20"/>
        </w:rPr>
        <w:t>Order 03 para. 12 TC-130708</w:t>
      </w:r>
    </w:p>
    <w:p w:rsidR="00015F7E" w:rsidRDefault="00015F7E" w:rsidP="00015F7E">
      <w:pPr>
        <w:pStyle w:val="Default"/>
        <w:rPr>
          <w:color w:val="auto"/>
          <w:sz w:val="20"/>
          <w:szCs w:val="20"/>
        </w:rPr>
      </w:pPr>
      <w:r>
        <w:rPr>
          <w:color w:val="auto"/>
          <w:sz w:val="20"/>
          <w:szCs w:val="20"/>
        </w:rPr>
        <w:t xml:space="preserve"> (</w:t>
      </w:r>
      <w:r w:rsidRPr="00723365">
        <w:rPr>
          <w:color w:val="auto"/>
          <w:sz w:val="20"/>
          <w:szCs w:val="20"/>
        </w:rPr>
        <w:t>16</w:t>
      </w:r>
      <w:r>
        <w:rPr>
          <w:color w:val="auto"/>
          <w:sz w:val="20"/>
          <w:szCs w:val="20"/>
        </w:rPr>
        <w:t>)</w:t>
      </w:r>
      <w:r w:rsidRPr="00723365">
        <w:rPr>
          <w:color w:val="auto"/>
          <w:sz w:val="20"/>
          <w:szCs w:val="20"/>
        </w:rPr>
        <w:t xml:space="preserve"> Order 03 para. 14 TC-130708</w:t>
      </w:r>
    </w:p>
    <w:p w:rsidR="00015F7E" w:rsidRPr="00723365" w:rsidRDefault="00015F7E" w:rsidP="00015F7E">
      <w:pPr>
        <w:pStyle w:val="Default"/>
        <w:rPr>
          <w:color w:val="auto"/>
          <w:sz w:val="20"/>
          <w:szCs w:val="20"/>
        </w:rPr>
      </w:pP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Pg 7</w:t>
      </w:r>
    </w:p>
    <w:p w:rsidR="00DD71BE" w:rsidRPr="00015F7E" w:rsidRDefault="00DD71BE" w:rsidP="001E3722">
      <w:pPr>
        <w:spacing w:after="0" w:line="240" w:lineRule="auto"/>
        <w:ind w:firstLine="360"/>
        <w:rPr>
          <w:rFonts w:ascii="Times New Roman" w:eastAsia="Times New Roman" w:hAnsi="Times New Roman" w:cs="Times New Roman"/>
          <w:sz w:val="24"/>
          <w:szCs w:val="24"/>
        </w:rPr>
      </w:pPr>
    </w:p>
    <w:p w:rsidR="006A46BE" w:rsidRDefault="001E3722" w:rsidP="007F590F">
      <w:pPr>
        <w:spacing w:line="240" w:lineRule="auto"/>
        <w:rPr>
          <w:rFonts w:cs="Arial"/>
          <w:sz w:val="24"/>
          <w:szCs w:val="24"/>
        </w:rPr>
      </w:pPr>
      <w:r>
        <w:rPr>
          <w:rFonts w:cs="Arial"/>
          <w:sz w:val="24"/>
          <w:szCs w:val="24"/>
        </w:rPr>
        <w:tab/>
      </w:r>
      <w:r w:rsidRPr="001E3722">
        <w:rPr>
          <w:rFonts w:cs="Arial"/>
          <w:b/>
          <w:sz w:val="24"/>
          <w:szCs w:val="24"/>
        </w:rPr>
        <w:t>A:</w:t>
      </w:r>
      <w:r>
        <w:rPr>
          <w:rFonts w:cs="Arial"/>
          <w:sz w:val="24"/>
          <w:szCs w:val="24"/>
        </w:rPr>
        <w:t xml:space="preserve"> Airporter pro</w:t>
      </w:r>
      <w:r w:rsidR="00855A0A">
        <w:rPr>
          <w:rFonts w:cs="Arial"/>
          <w:sz w:val="24"/>
          <w:szCs w:val="24"/>
        </w:rPr>
        <w:t>v</w:t>
      </w:r>
      <w:r>
        <w:rPr>
          <w:rFonts w:cs="Arial"/>
          <w:sz w:val="24"/>
          <w:szCs w:val="24"/>
        </w:rPr>
        <w:t>ides full servi</w:t>
      </w:r>
      <w:r w:rsidR="00855A0A">
        <w:rPr>
          <w:rFonts w:cs="Arial"/>
          <w:sz w:val="24"/>
          <w:szCs w:val="24"/>
        </w:rPr>
        <w:t>c</w:t>
      </w:r>
      <w:r>
        <w:rPr>
          <w:rFonts w:cs="Arial"/>
          <w:sz w:val="24"/>
          <w:szCs w:val="24"/>
        </w:rPr>
        <w:t>e</w:t>
      </w:r>
      <w:r w:rsidR="00855A0A">
        <w:rPr>
          <w:rFonts w:cs="Arial"/>
          <w:sz w:val="24"/>
          <w:szCs w:val="24"/>
        </w:rPr>
        <w:t xml:space="preserve"> within its territory along the route proposed by the </w:t>
      </w:r>
      <w:r w:rsidR="00855A0A">
        <w:rPr>
          <w:rFonts w:cs="Arial"/>
          <w:sz w:val="24"/>
          <w:szCs w:val="24"/>
        </w:rPr>
        <w:tab/>
        <w:t>Applicant.</w:t>
      </w:r>
    </w:p>
    <w:p w:rsidR="00855A0A" w:rsidRDefault="00855A0A" w:rsidP="007F590F">
      <w:pPr>
        <w:spacing w:line="240" w:lineRule="auto"/>
        <w:rPr>
          <w:rFonts w:cs="Arial"/>
          <w:sz w:val="24"/>
          <w:szCs w:val="24"/>
        </w:rPr>
      </w:pPr>
      <w:r>
        <w:rPr>
          <w:rFonts w:cs="Arial"/>
          <w:sz w:val="24"/>
          <w:szCs w:val="24"/>
        </w:rPr>
        <w:tab/>
      </w:r>
      <w:r w:rsidRPr="00855A0A">
        <w:rPr>
          <w:rFonts w:cs="Arial"/>
          <w:b/>
          <w:sz w:val="24"/>
          <w:szCs w:val="24"/>
        </w:rPr>
        <w:t>B:</w:t>
      </w:r>
      <w:r>
        <w:rPr>
          <w:rFonts w:cs="Arial"/>
          <w:b/>
          <w:sz w:val="24"/>
          <w:szCs w:val="24"/>
        </w:rPr>
        <w:t xml:space="preserve"> </w:t>
      </w:r>
      <w:r>
        <w:rPr>
          <w:rFonts w:cs="Arial"/>
          <w:sz w:val="24"/>
          <w:szCs w:val="24"/>
        </w:rPr>
        <w:t xml:space="preserve">Airporter provides service in modern motor coaches and shuttle buses along the </w:t>
      </w:r>
      <w:r>
        <w:rPr>
          <w:rFonts w:cs="Arial"/>
          <w:sz w:val="24"/>
          <w:szCs w:val="24"/>
        </w:rPr>
        <w:tab/>
        <w:t>same route; the Applicant proposes to use small vans and owns no vehicles at this time.</w:t>
      </w:r>
    </w:p>
    <w:p w:rsidR="00855A0A" w:rsidRDefault="00855A0A" w:rsidP="007F590F">
      <w:pPr>
        <w:spacing w:line="240" w:lineRule="auto"/>
        <w:rPr>
          <w:rFonts w:cs="Arial"/>
          <w:sz w:val="24"/>
          <w:szCs w:val="24"/>
        </w:rPr>
      </w:pPr>
      <w:r>
        <w:rPr>
          <w:rFonts w:cs="Arial"/>
          <w:sz w:val="24"/>
          <w:szCs w:val="24"/>
        </w:rPr>
        <w:tab/>
      </w:r>
      <w:r w:rsidRPr="00855A0A">
        <w:rPr>
          <w:rFonts w:cs="Arial"/>
          <w:b/>
          <w:sz w:val="24"/>
          <w:szCs w:val="24"/>
        </w:rPr>
        <w:t>C:</w:t>
      </w:r>
      <w:r>
        <w:rPr>
          <w:rFonts w:cs="Arial"/>
          <w:b/>
          <w:sz w:val="24"/>
          <w:szCs w:val="24"/>
        </w:rPr>
        <w:t xml:space="preserve"> </w:t>
      </w:r>
      <w:r>
        <w:rPr>
          <w:rFonts w:cs="Arial"/>
          <w:sz w:val="24"/>
          <w:szCs w:val="24"/>
        </w:rPr>
        <w:t xml:space="preserve">Airporter has provided more than 10 round trips per day for more than twenty years  </w:t>
      </w:r>
      <w:r>
        <w:rPr>
          <w:rFonts w:cs="Arial"/>
          <w:sz w:val="24"/>
          <w:szCs w:val="24"/>
        </w:rPr>
        <w:tab/>
        <w:t>between Bellingham and Seatac International Airport.</w:t>
      </w:r>
    </w:p>
    <w:p w:rsidR="00855A0A" w:rsidRDefault="00855A0A" w:rsidP="007F590F">
      <w:pPr>
        <w:spacing w:line="240" w:lineRule="auto"/>
        <w:rPr>
          <w:rFonts w:cs="Arial"/>
          <w:sz w:val="24"/>
          <w:szCs w:val="24"/>
        </w:rPr>
      </w:pPr>
      <w:r>
        <w:rPr>
          <w:rFonts w:cs="Arial"/>
          <w:sz w:val="24"/>
          <w:szCs w:val="24"/>
        </w:rPr>
        <w:tab/>
      </w:r>
      <w:r w:rsidRPr="00855A0A">
        <w:rPr>
          <w:rFonts w:cs="Arial"/>
          <w:b/>
          <w:sz w:val="24"/>
          <w:szCs w:val="24"/>
        </w:rPr>
        <w:t>D:</w:t>
      </w:r>
      <w:r>
        <w:rPr>
          <w:rFonts w:cs="Arial"/>
          <w:b/>
          <w:sz w:val="24"/>
          <w:szCs w:val="24"/>
        </w:rPr>
        <w:t xml:space="preserve"> </w:t>
      </w:r>
      <w:r>
        <w:rPr>
          <w:rFonts w:cs="Arial"/>
          <w:sz w:val="24"/>
          <w:szCs w:val="24"/>
        </w:rPr>
        <w:t xml:space="preserve">Population density and customer need does not tax the capacity of Airporter </w:t>
      </w:r>
      <w:r>
        <w:rPr>
          <w:rFonts w:cs="Arial"/>
          <w:sz w:val="24"/>
          <w:szCs w:val="24"/>
        </w:rPr>
        <w:tab/>
        <w:t>between Bellingham and Seatac.</w:t>
      </w:r>
    </w:p>
    <w:p w:rsidR="00855A0A" w:rsidRDefault="00855A0A" w:rsidP="007F590F">
      <w:pPr>
        <w:spacing w:line="240" w:lineRule="auto"/>
        <w:rPr>
          <w:rFonts w:cs="Arial"/>
          <w:sz w:val="24"/>
          <w:szCs w:val="24"/>
        </w:rPr>
      </w:pPr>
      <w:r>
        <w:rPr>
          <w:rFonts w:cs="Arial"/>
          <w:sz w:val="24"/>
          <w:szCs w:val="24"/>
        </w:rPr>
        <w:tab/>
      </w:r>
      <w:r w:rsidRPr="00855A0A">
        <w:rPr>
          <w:rFonts w:cs="Arial"/>
          <w:b/>
          <w:sz w:val="24"/>
          <w:szCs w:val="24"/>
        </w:rPr>
        <w:t>E.</w:t>
      </w:r>
      <w:r>
        <w:rPr>
          <w:rFonts w:cs="Arial"/>
          <w:sz w:val="24"/>
          <w:szCs w:val="24"/>
        </w:rPr>
        <w:t xml:space="preserve"> The topography and character of the route is identical.  Th</w:t>
      </w:r>
      <w:r w:rsidR="00722A29">
        <w:rPr>
          <w:rFonts w:cs="Arial"/>
          <w:sz w:val="24"/>
          <w:szCs w:val="24"/>
        </w:rPr>
        <w:t>e</w:t>
      </w:r>
      <w:r>
        <w:rPr>
          <w:rFonts w:cs="Arial"/>
          <w:sz w:val="24"/>
          <w:szCs w:val="24"/>
        </w:rPr>
        <w:t xml:space="preserve"> </w:t>
      </w:r>
      <w:r w:rsidR="00722A29">
        <w:rPr>
          <w:rFonts w:cs="Arial"/>
          <w:sz w:val="24"/>
          <w:szCs w:val="24"/>
        </w:rPr>
        <w:t>A</w:t>
      </w:r>
      <w:r>
        <w:rPr>
          <w:rFonts w:cs="Arial"/>
          <w:sz w:val="24"/>
          <w:szCs w:val="24"/>
        </w:rPr>
        <w:t xml:space="preserve">pplicant proposes to </w:t>
      </w:r>
      <w:r>
        <w:rPr>
          <w:rFonts w:cs="Arial"/>
          <w:sz w:val="24"/>
          <w:szCs w:val="24"/>
        </w:rPr>
        <w:tab/>
        <w:t>travel via I-5 between Bellingham and Seatac</w:t>
      </w:r>
      <w:r w:rsidR="00722A29">
        <w:rPr>
          <w:rFonts w:cs="Arial"/>
          <w:sz w:val="24"/>
          <w:szCs w:val="24"/>
        </w:rPr>
        <w:t xml:space="preserve"> exactly as Airporter does</w:t>
      </w:r>
      <w:r>
        <w:rPr>
          <w:rFonts w:cs="Arial"/>
          <w:sz w:val="24"/>
          <w:szCs w:val="24"/>
        </w:rPr>
        <w:t>.</w:t>
      </w:r>
    </w:p>
    <w:p w:rsidR="007F590F" w:rsidRDefault="00855A0A" w:rsidP="007F590F">
      <w:pPr>
        <w:spacing w:line="240" w:lineRule="auto"/>
        <w:rPr>
          <w:rFonts w:cs="Arial"/>
          <w:sz w:val="24"/>
          <w:szCs w:val="24"/>
        </w:rPr>
      </w:pPr>
      <w:r>
        <w:rPr>
          <w:rFonts w:cs="Arial"/>
          <w:sz w:val="24"/>
          <w:szCs w:val="24"/>
        </w:rPr>
        <w:tab/>
      </w:r>
      <w:r>
        <w:rPr>
          <w:rFonts w:cs="Arial"/>
          <w:b/>
          <w:sz w:val="24"/>
          <w:szCs w:val="24"/>
        </w:rPr>
        <w:t xml:space="preserve"> F: </w:t>
      </w:r>
      <w:r>
        <w:rPr>
          <w:rFonts w:cs="Arial"/>
          <w:sz w:val="24"/>
          <w:szCs w:val="24"/>
        </w:rPr>
        <w:t xml:space="preserve">The Applicant’s proposed route does not run parallel to Airporter’s Bellingham to </w:t>
      </w:r>
      <w:r w:rsidR="007F590F">
        <w:rPr>
          <w:rFonts w:cs="Arial"/>
          <w:sz w:val="24"/>
          <w:szCs w:val="24"/>
        </w:rPr>
        <w:tab/>
      </w:r>
      <w:r>
        <w:rPr>
          <w:rFonts w:cs="Arial"/>
          <w:sz w:val="24"/>
          <w:szCs w:val="24"/>
        </w:rPr>
        <w:t>Seatac rout</w:t>
      </w:r>
      <w:r w:rsidR="007F590F">
        <w:rPr>
          <w:rFonts w:cs="Arial"/>
          <w:sz w:val="24"/>
          <w:szCs w:val="24"/>
        </w:rPr>
        <w:t>e</w:t>
      </w:r>
      <w:r>
        <w:rPr>
          <w:rFonts w:cs="Arial"/>
          <w:sz w:val="24"/>
          <w:szCs w:val="24"/>
        </w:rPr>
        <w:t>, it runs over it</w:t>
      </w:r>
      <w:r w:rsidR="007F590F">
        <w:rPr>
          <w:rFonts w:cs="Arial"/>
          <w:sz w:val="24"/>
          <w:szCs w:val="24"/>
        </w:rPr>
        <w:t xml:space="preserve">.  Other than picking up at a stop a very short distance from </w:t>
      </w:r>
      <w:r w:rsidR="007F590F">
        <w:rPr>
          <w:rFonts w:cs="Arial"/>
          <w:sz w:val="24"/>
          <w:szCs w:val="24"/>
        </w:rPr>
        <w:tab/>
        <w:t xml:space="preserve">Airporter’s established stop, it route is exactly the same as Airporter’s.  Even the </w:t>
      </w:r>
      <w:r w:rsidR="00E83A31">
        <w:rPr>
          <w:rFonts w:cs="Arial"/>
          <w:sz w:val="24"/>
          <w:szCs w:val="24"/>
        </w:rPr>
        <w:tab/>
      </w:r>
      <w:r w:rsidR="007F590F">
        <w:rPr>
          <w:rFonts w:cs="Arial"/>
          <w:sz w:val="24"/>
          <w:szCs w:val="24"/>
        </w:rPr>
        <w:t xml:space="preserve">narrowest of reviews of the existing service with that which is proposed must conclude </w:t>
      </w:r>
      <w:r w:rsidR="00E83A31">
        <w:rPr>
          <w:rFonts w:cs="Arial"/>
          <w:sz w:val="24"/>
          <w:szCs w:val="24"/>
        </w:rPr>
        <w:tab/>
      </w:r>
      <w:r w:rsidR="007F590F">
        <w:rPr>
          <w:rFonts w:cs="Arial"/>
          <w:sz w:val="24"/>
          <w:szCs w:val="24"/>
        </w:rPr>
        <w:t>that Airporter’s service and the Applicant’s propel are in fact, the same service.</w:t>
      </w:r>
    </w:p>
    <w:p w:rsidR="008F277D" w:rsidRDefault="008F277D" w:rsidP="00723365">
      <w:pPr>
        <w:pStyle w:val="Default"/>
        <w:rPr>
          <w:color w:val="auto"/>
          <w:sz w:val="20"/>
          <w:szCs w:val="20"/>
        </w:rPr>
      </w:pPr>
    </w:p>
    <w:p w:rsidR="008146B4" w:rsidRPr="00723365" w:rsidRDefault="008146B4" w:rsidP="00723365">
      <w:pPr>
        <w:pStyle w:val="Default"/>
        <w:rPr>
          <w:color w:val="auto"/>
          <w:sz w:val="20"/>
          <w:szCs w:val="20"/>
        </w:rPr>
      </w:pPr>
    </w:p>
    <w:p w:rsidR="00952AFB" w:rsidRPr="00952AFB" w:rsidRDefault="00952AFB" w:rsidP="00A8777A">
      <w:pPr>
        <w:spacing w:line="360" w:lineRule="auto"/>
        <w:rPr>
          <w:rFonts w:cs="Arial"/>
          <w:b/>
          <w:sz w:val="24"/>
          <w:szCs w:val="24"/>
        </w:rPr>
      </w:pPr>
      <w:r w:rsidRPr="00952AFB">
        <w:rPr>
          <w:rFonts w:cs="Arial"/>
          <w:b/>
          <w:sz w:val="24"/>
          <w:szCs w:val="24"/>
        </w:rPr>
        <w:t xml:space="preserve">Commission affirms rules </w:t>
      </w:r>
      <w:r w:rsidRPr="00952AFB">
        <w:rPr>
          <w:rFonts w:cs="Arial"/>
          <w:b/>
          <w:sz w:val="24"/>
          <w:szCs w:val="24"/>
          <w:u w:val="single"/>
        </w:rPr>
        <w:t>now</w:t>
      </w:r>
      <w:r w:rsidRPr="00952AFB">
        <w:rPr>
          <w:rFonts w:cs="Arial"/>
          <w:b/>
          <w:sz w:val="24"/>
          <w:szCs w:val="24"/>
        </w:rPr>
        <w:t xml:space="preserve"> in effect</w:t>
      </w:r>
    </w:p>
    <w:p w:rsidR="00AE3C31" w:rsidRDefault="00B94C16" w:rsidP="00A8777A">
      <w:pPr>
        <w:spacing w:line="360" w:lineRule="auto"/>
        <w:rPr>
          <w:rFonts w:cs="Arial"/>
          <w:sz w:val="24"/>
          <w:szCs w:val="24"/>
        </w:rPr>
      </w:pPr>
      <w:r>
        <w:rPr>
          <w:rFonts w:cs="Arial"/>
          <w:sz w:val="24"/>
          <w:szCs w:val="24"/>
        </w:rPr>
        <w:t>12.</w:t>
      </w:r>
      <w:r>
        <w:rPr>
          <w:rFonts w:cs="Arial"/>
          <w:sz w:val="24"/>
          <w:szCs w:val="24"/>
        </w:rPr>
        <w:tab/>
        <w:t xml:space="preserve">Order No. </w:t>
      </w:r>
      <w:r w:rsidR="002B5531">
        <w:rPr>
          <w:rFonts w:cs="Arial"/>
          <w:sz w:val="24"/>
          <w:szCs w:val="24"/>
        </w:rPr>
        <w:t>0</w:t>
      </w:r>
      <w:r>
        <w:rPr>
          <w:rFonts w:cs="Arial"/>
          <w:sz w:val="24"/>
          <w:szCs w:val="24"/>
        </w:rPr>
        <w:t>3 in Paragraph 10 states “</w:t>
      </w:r>
      <w:r w:rsidRPr="00B94C16">
        <w:rPr>
          <w:rFonts w:cs="Arial"/>
          <w:i/>
          <w:sz w:val="24"/>
          <w:szCs w:val="24"/>
        </w:rPr>
        <w:t xml:space="preserve">The Commission rules </w:t>
      </w:r>
      <w:r w:rsidRPr="00B94C16">
        <w:rPr>
          <w:rFonts w:cs="Arial"/>
          <w:b/>
          <w:i/>
          <w:sz w:val="24"/>
          <w:szCs w:val="24"/>
          <w:u w:val="single"/>
        </w:rPr>
        <w:t>now</w:t>
      </w:r>
      <w:r w:rsidRPr="00B94C16">
        <w:rPr>
          <w:rFonts w:cs="Arial"/>
          <w:i/>
          <w:sz w:val="24"/>
          <w:szCs w:val="24"/>
        </w:rPr>
        <w:t xml:space="preserve"> better reflect this competitive environment, providing companies with pricing flexibility in the fares they charge, minimizing reporting, tariff, and time schedule requirements and clarifying and streamlining the process for new entrants and existing companies to apply for authority to serve new routes</w:t>
      </w:r>
      <w:r>
        <w:rPr>
          <w:rFonts w:cs="Arial"/>
          <w:sz w:val="24"/>
          <w:szCs w:val="24"/>
        </w:rPr>
        <w:t xml:space="preserve">.”  We agree, </w:t>
      </w:r>
      <w:r w:rsidRPr="006904D6">
        <w:rPr>
          <w:rFonts w:cs="Arial"/>
          <w:b/>
          <w:sz w:val="24"/>
          <w:szCs w:val="24"/>
        </w:rPr>
        <w:t>now they do</w:t>
      </w:r>
      <w:r>
        <w:rPr>
          <w:rFonts w:cs="Arial"/>
          <w:sz w:val="24"/>
          <w:szCs w:val="24"/>
        </w:rPr>
        <w:t xml:space="preserve">, </w:t>
      </w:r>
      <w:r w:rsidR="006904D6">
        <w:rPr>
          <w:rFonts w:cs="Arial"/>
          <w:sz w:val="24"/>
          <w:szCs w:val="24"/>
        </w:rPr>
        <w:t xml:space="preserve">after September 21, 2013, </w:t>
      </w:r>
      <w:r>
        <w:rPr>
          <w:rFonts w:cs="Arial"/>
          <w:sz w:val="24"/>
          <w:szCs w:val="24"/>
        </w:rPr>
        <w:t>they did not when this application was filed, noticed</w:t>
      </w:r>
      <w:r w:rsidR="00F65E2E">
        <w:rPr>
          <w:rFonts w:cs="Arial"/>
          <w:sz w:val="24"/>
          <w:szCs w:val="24"/>
        </w:rPr>
        <w:t xml:space="preserve">, </w:t>
      </w:r>
      <w:r w:rsidR="00F65E2E" w:rsidRPr="00722A29">
        <w:rPr>
          <w:rFonts w:cs="Arial"/>
          <w:sz w:val="24"/>
          <w:szCs w:val="24"/>
        </w:rPr>
        <w:t>at pre-hearing conference</w:t>
      </w:r>
      <w:r w:rsidR="00F65E2E">
        <w:rPr>
          <w:rFonts w:cs="Arial"/>
          <w:sz w:val="24"/>
          <w:szCs w:val="24"/>
        </w:rPr>
        <w:t xml:space="preserve"> </w:t>
      </w:r>
      <w:r>
        <w:rPr>
          <w:rFonts w:cs="Arial"/>
          <w:sz w:val="24"/>
          <w:szCs w:val="24"/>
        </w:rPr>
        <w:t xml:space="preserve">or scheduled for hearing.  </w:t>
      </w:r>
    </w:p>
    <w:p w:rsidR="00015F7E" w:rsidRDefault="00AE3C31" w:rsidP="00A8777A">
      <w:pPr>
        <w:spacing w:line="360" w:lineRule="auto"/>
        <w:rPr>
          <w:rFonts w:cs="Arial"/>
          <w:i/>
          <w:sz w:val="24"/>
          <w:szCs w:val="24"/>
        </w:rPr>
      </w:pPr>
      <w:r>
        <w:rPr>
          <w:rFonts w:cs="Arial"/>
          <w:sz w:val="24"/>
          <w:szCs w:val="24"/>
        </w:rPr>
        <w:t xml:space="preserve">Staff has managed to “streamline” a 60-90 </w:t>
      </w:r>
      <w:r w:rsidR="00E0357F">
        <w:rPr>
          <w:rFonts w:cs="Arial"/>
          <w:sz w:val="24"/>
          <w:szCs w:val="24"/>
        </w:rPr>
        <w:t xml:space="preserve">day </w:t>
      </w:r>
      <w:r>
        <w:rPr>
          <w:rFonts w:cs="Arial"/>
          <w:sz w:val="24"/>
          <w:szCs w:val="24"/>
        </w:rPr>
        <w:t xml:space="preserve">process into a 10 month process that is not yet resolved.  </w:t>
      </w:r>
      <w:r w:rsidR="00B94C16" w:rsidRPr="00722A29">
        <w:rPr>
          <w:rFonts w:cs="Arial"/>
          <w:sz w:val="24"/>
          <w:szCs w:val="24"/>
        </w:rPr>
        <w:t>This paragraph go</w:t>
      </w:r>
      <w:r w:rsidR="00F65E2E" w:rsidRPr="00722A29">
        <w:rPr>
          <w:rFonts w:cs="Arial"/>
          <w:sz w:val="24"/>
          <w:szCs w:val="24"/>
        </w:rPr>
        <w:t>es</w:t>
      </w:r>
      <w:r w:rsidR="00B94C16" w:rsidRPr="00722A29">
        <w:rPr>
          <w:rFonts w:cs="Arial"/>
          <w:sz w:val="24"/>
          <w:szCs w:val="24"/>
        </w:rPr>
        <w:t xml:space="preserve"> on</w:t>
      </w:r>
      <w:r w:rsidR="00B94C16">
        <w:rPr>
          <w:rFonts w:cs="Arial"/>
          <w:sz w:val="24"/>
          <w:szCs w:val="24"/>
        </w:rPr>
        <w:t xml:space="preserve"> to </w:t>
      </w:r>
      <w:r w:rsidR="008F277D">
        <w:rPr>
          <w:rFonts w:cs="Arial"/>
          <w:sz w:val="24"/>
          <w:szCs w:val="24"/>
        </w:rPr>
        <w:t xml:space="preserve">state </w:t>
      </w:r>
      <w:r w:rsidR="008F277D" w:rsidRPr="00B94C16">
        <w:rPr>
          <w:rFonts w:cs="Arial"/>
          <w:i/>
          <w:sz w:val="24"/>
          <w:szCs w:val="24"/>
        </w:rPr>
        <w:t>“Seatac</w:t>
      </w:r>
      <w:r w:rsidR="00B94C16" w:rsidRPr="00B94C16">
        <w:rPr>
          <w:rFonts w:cs="Arial"/>
          <w:i/>
          <w:sz w:val="24"/>
          <w:szCs w:val="24"/>
        </w:rPr>
        <w:t xml:space="preserve"> Shuttle and Wickkiser have already benefited from these reduced regulations, and these companies have no legitimate argument to deny </w:t>
      </w:r>
      <w:r w:rsidR="00015F7E" w:rsidRPr="00B94C16">
        <w:rPr>
          <w:rFonts w:cs="Arial"/>
          <w:i/>
          <w:sz w:val="24"/>
          <w:szCs w:val="24"/>
        </w:rPr>
        <w:t>SeaTac Direct the same opportunity to take advantage of the revised rules</w:t>
      </w:r>
      <w:r w:rsidR="00015F7E">
        <w:rPr>
          <w:rFonts w:cs="Arial"/>
          <w:sz w:val="24"/>
          <w:szCs w:val="24"/>
        </w:rPr>
        <w:t>”.  If, in fact, either of</w:t>
      </w:r>
    </w:p>
    <w:p w:rsidR="00015F7E" w:rsidRDefault="00015F7E" w:rsidP="00015F7E">
      <w:pPr>
        <w:pStyle w:val="Default"/>
        <w:rPr>
          <w:color w:val="auto"/>
          <w:sz w:val="20"/>
          <w:szCs w:val="20"/>
        </w:rPr>
      </w:pPr>
    </w:p>
    <w:p w:rsidR="00015F7E" w:rsidRPr="00015F7E" w:rsidRDefault="00015F7E" w:rsidP="00A8777A">
      <w:pPr>
        <w:spacing w:line="360" w:lineRule="auto"/>
        <w:rPr>
          <w:rFonts w:ascii="Times New Roman" w:hAnsi="Times New Roman" w:cs="Times New Roman"/>
          <w:sz w:val="20"/>
          <w:szCs w:val="20"/>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015F7E">
        <w:rPr>
          <w:rFonts w:ascii="Times New Roman" w:hAnsi="Times New Roman" w:cs="Times New Roman"/>
          <w:sz w:val="20"/>
          <w:szCs w:val="20"/>
        </w:rPr>
        <w:t>pg 8</w:t>
      </w:r>
    </w:p>
    <w:p w:rsidR="007F590F" w:rsidRDefault="00B94C16" w:rsidP="00A8777A">
      <w:pPr>
        <w:spacing w:line="360" w:lineRule="auto"/>
        <w:rPr>
          <w:rFonts w:cs="Arial"/>
          <w:sz w:val="24"/>
          <w:szCs w:val="24"/>
        </w:rPr>
      </w:pPr>
      <w:r>
        <w:rPr>
          <w:rFonts w:cs="Arial"/>
          <w:sz w:val="24"/>
          <w:szCs w:val="24"/>
        </w:rPr>
        <w:lastRenderedPageBreak/>
        <w:t>these companies has seen benefit</w:t>
      </w:r>
      <w:r w:rsidR="004127DD">
        <w:rPr>
          <w:rFonts w:cs="Arial"/>
          <w:sz w:val="24"/>
          <w:szCs w:val="24"/>
        </w:rPr>
        <w:t xml:space="preserve"> </w:t>
      </w:r>
      <w:r w:rsidR="004127DD" w:rsidRPr="00015F7E">
        <w:rPr>
          <w:rFonts w:cs="Arial"/>
          <w:sz w:val="24"/>
          <w:szCs w:val="24"/>
          <w:vertAlign w:val="subscript"/>
        </w:rPr>
        <w:t>(17)</w:t>
      </w:r>
      <w:r>
        <w:rPr>
          <w:rFonts w:cs="Arial"/>
          <w:sz w:val="24"/>
          <w:szCs w:val="24"/>
        </w:rPr>
        <w:t xml:space="preserve"> from the revised rules</w:t>
      </w:r>
      <w:r w:rsidR="00722A29">
        <w:rPr>
          <w:rFonts w:cs="Arial"/>
          <w:sz w:val="24"/>
          <w:szCs w:val="24"/>
        </w:rPr>
        <w:t>,</w:t>
      </w:r>
      <w:r>
        <w:rPr>
          <w:rFonts w:cs="Arial"/>
          <w:sz w:val="24"/>
          <w:szCs w:val="24"/>
        </w:rPr>
        <w:t xml:space="preserve"> any such benefit was specifically denied them until the effective date of the revision plus an additional thirty day</w:t>
      </w:r>
      <w:r w:rsidR="00722A29">
        <w:rPr>
          <w:rFonts w:cs="Arial"/>
          <w:sz w:val="24"/>
          <w:szCs w:val="24"/>
        </w:rPr>
        <w:t>s</w:t>
      </w:r>
      <w:r>
        <w:rPr>
          <w:rFonts w:cs="Arial"/>
          <w:sz w:val="24"/>
          <w:szCs w:val="24"/>
        </w:rPr>
        <w:t>, in the case of rate flexibility.  We had to adhere to the rules as standing prior to that date and were specifically reminded of that by Director King in his letter</w:t>
      </w:r>
      <w:r w:rsidR="00F65E2E" w:rsidRPr="00722A29">
        <w:rPr>
          <w:rFonts w:cs="Arial"/>
          <w:sz w:val="24"/>
          <w:szCs w:val="24"/>
        </w:rPr>
        <w:t>s</w:t>
      </w:r>
      <w:r>
        <w:rPr>
          <w:rFonts w:cs="Arial"/>
          <w:sz w:val="24"/>
          <w:szCs w:val="24"/>
        </w:rPr>
        <w:t xml:space="preserve"> of August </w:t>
      </w:r>
      <w:r w:rsidR="003F032A">
        <w:rPr>
          <w:rFonts w:cs="Arial"/>
          <w:sz w:val="24"/>
          <w:szCs w:val="24"/>
        </w:rPr>
        <w:t>22</w:t>
      </w:r>
      <w:r>
        <w:rPr>
          <w:rFonts w:cs="Arial"/>
          <w:sz w:val="24"/>
          <w:szCs w:val="24"/>
        </w:rPr>
        <w:t>, 2013</w:t>
      </w:r>
      <w:r w:rsidR="00F65E2E">
        <w:rPr>
          <w:rFonts w:cs="Arial"/>
          <w:sz w:val="24"/>
          <w:szCs w:val="24"/>
        </w:rPr>
        <w:t xml:space="preserve"> </w:t>
      </w:r>
      <w:r w:rsidR="00F65E2E" w:rsidRPr="00722A29">
        <w:rPr>
          <w:rFonts w:cs="Arial"/>
          <w:sz w:val="24"/>
          <w:szCs w:val="24"/>
        </w:rPr>
        <w:t>and October</w:t>
      </w:r>
      <w:r w:rsidR="00722A29" w:rsidRPr="00722A29">
        <w:rPr>
          <w:rFonts w:cs="Arial"/>
          <w:sz w:val="24"/>
          <w:szCs w:val="24"/>
        </w:rPr>
        <w:t>15</w:t>
      </w:r>
      <w:r w:rsidR="00F65E2E" w:rsidRPr="00722A29">
        <w:rPr>
          <w:rFonts w:cs="Arial"/>
          <w:sz w:val="24"/>
          <w:szCs w:val="24"/>
        </w:rPr>
        <w:t>, 2013</w:t>
      </w:r>
      <w:r w:rsidRPr="00722A29">
        <w:rPr>
          <w:rFonts w:cs="Arial"/>
          <w:sz w:val="24"/>
          <w:szCs w:val="24"/>
        </w:rPr>
        <w:t xml:space="preserve">.  </w:t>
      </w:r>
      <w:r w:rsidR="00F65E2E" w:rsidRPr="00722A29">
        <w:rPr>
          <w:rFonts w:cs="Arial"/>
          <w:sz w:val="24"/>
          <w:szCs w:val="24"/>
          <w:u w:val="single"/>
        </w:rPr>
        <w:t xml:space="preserve">We have </w:t>
      </w:r>
      <w:r w:rsidR="00722A29" w:rsidRPr="00722A29">
        <w:rPr>
          <w:rFonts w:cs="Arial"/>
          <w:sz w:val="24"/>
          <w:szCs w:val="24"/>
          <w:u w:val="single"/>
        </w:rPr>
        <w:t>every</w:t>
      </w:r>
      <w:r w:rsidR="00F65E2E" w:rsidRPr="00722A29">
        <w:rPr>
          <w:rFonts w:cs="Arial"/>
          <w:sz w:val="24"/>
          <w:szCs w:val="24"/>
          <w:u w:val="single"/>
        </w:rPr>
        <w:t xml:space="preserve"> legitimate </w:t>
      </w:r>
      <w:r w:rsidR="004127DD" w:rsidRPr="00722A29">
        <w:rPr>
          <w:rFonts w:cs="Arial"/>
          <w:sz w:val="24"/>
          <w:szCs w:val="24"/>
          <w:u w:val="single"/>
        </w:rPr>
        <w:t>right</w:t>
      </w:r>
      <w:r w:rsidR="004127DD">
        <w:rPr>
          <w:rFonts w:cs="Arial"/>
          <w:sz w:val="24"/>
          <w:szCs w:val="24"/>
          <w:u w:val="single"/>
        </w:rPr>
        <w:t xml:space="preserve"> </w:t>
      </w:r>
      <w:r w:rsidR="004127DD">
        <w:rPr>
          <w:rFonts w:cs="Arial"/>
          <w:sz w:val="24"/>
          <w:szCs w:val="24"/>
        </w:rPr>
        <w:t>to deny SeaTac Direct access to those provisions of the code provided those operators who accessed them after the effective date.</w:t>
      </w:r>
      <w:r w:rsidR="00F65E2E" w:rsidRPr="00722A29">
        <w:rPr>
          <w:rFonts w:cs="Arial"/>
          <w:sz w:val="24"/>
          <w:szCs w:val="24"/>
        </w:rPr>
        <w:t xml:space="preserve"> </w:t>
      </w:r>
      <w:r w:rsidR="00722A29">
        <w:rPr>
          <w:rFonts w:cs="Arial"/>
          <w:sz w:val="24"/>
          <w:szCs w:val="24"/>
        </w:rPr>
        <w:t xml:space="preserve"> New entrants</w:t>
      </w:r>
      <w:r w:rsidR="00F65E2E" w:rsidRPr="00722A29">
        <w:rPr>
          <w:rFonts w:cs="Arial"/>
          <w:sz w:val="24"/>
          <w:szCs w:val="24"/>
        </w:rPr>
        <w:t xml:space="preserve"> need to follow the rule</w:t>
      </w:r>
      <w:r w:rsidR="00722A29">
        <w:rPr>
          <w:rFonts w:cs="Arial"/>
          <w:sz w:val="24"/>
          <w:szCs w:val="24"/>
        </w:rPr>
        <w:t>s</w:t>
      </w:r>
      <w:r w:rsidR="00F65E2E" w:rsidRPr="00722A29">
        <w:rPr>
          <w:rFonts w:cs="Arial"/>
          <w:sz w:val="24"/>
          <w:szCs w:val="24"/>
        </w:rPr>
        <w:t xml:space="preserve"> too. </w:t>
      </w:r>
      <w:r>
        <w:rPr>
          <w:rFonts w:cs="Arial"/>
          <w:sz w:val="24"/>
          <w:szCs w:val="24"/>
        </w:rPr>
        <w:t xml:space="preserve">The Commission now wants existing companies to follow the rules </w:t>
      </w:r>
      <w:r w:rsidR="00AE3C31">
        <w:rPr>
          <w:rFonts w:cs="Arial"/>
          <w:sz w:val="24"/>
          <w:szCs w:val="24"/>
        </w:rPr>
        <w:t>in effect but new entrants may pick and choose.</w:t>
      </w:r>
    </w:p>
    <w:p w:rsidR="00952AFB" w:rsidRPr="00C9580B" w:rsidRDefault="00952AFB" w:rsidP="00A8777A">
      <w:pPr>
        <w:spacing w:line="360" w:lineRule="auto"/>
        <w:rPr>
          <w:rFonts w:cs="Arial"/>
          <w:b/>
          <w:sz w:val="24"/>
          <w:szCs w:val="24"/>
        </w:rPr>
      </w:pPr>
      <w:r w:rsidRPr="00C9580B">
        <w:rPr>
          <w:rFonts w:cs="Arial"/>
          <w:b/>
          <w:sz w:val="24"/>
          <w:szCs w:val="24"/>
        </w:rPr>
        <w:t>Order 03 redefines protests to intervention</w:t>
      </w:r>
    </w:p>
    <w:p w:rsidR="00D40EA9" w:rsidRDefault="00986DCF" w:rsidP="00D40EA9">
      <w:pPr>
        <w:spacing w:line="360" w:lineRule="auto"/>
        <w:rPr>
          <w:rFonts w:ascii="Arial" w:hAnsi="Arial" w:cs="Arial"/>
        </w:rPr>
      </w:pPr>
      <w:r w:rsidRPr="00C9580B">
        <w:rPr>
          <w:rFonts w:cs="Arial"/>
          <w:sz w:val="24"/>
          <w:szCs w:val="24"/>
        </w:rPr>
        <w:t xml:space="preserve">Paragraph 16 of Order 03 </w:t>
      </w:r>
      <w:r w:rsidR="001509E4" w:rsidRPr="00C9580B">
        <w:rPr>
          <w:rFonts w:cs="Arial"/>
          <w:sz w:val="24"/>
          <w:szCs w:val="24"/>
        </w:rPr>
        <w:t xml:space="preserve">states </w:t>
      </w:r>
      <w:r w:rsidRPr="00C9580B">
        <w:rPr>
          <w:rFonts w:cs="Arial"/>
          <w:sz w:val="24"/>
          <w:szCs w:val="24"/>
        </w:rPr>
        <w:t xml:space="preserve">that in evaluating a new </w:t>
      </w:r>
      <w:r w:rsidR="001509E4" w:rsidRPr="00C9580B">
        <w:rPr>
          <w:rFonts w:cs="Arial"/>
          <w:sz w:val="24"/>
          <w:szCs w:val="24"/>
        </w:rPr>
        <w:t>service “</w:t>
      </w:r>
      <w:r w:rsidRPr="00C9580B">
        <w:rPr>
          <w:rFonts w:cs="Arial"/>
          <w:sz w:val="24"/>
          <w:szCs w:val="24"/>
        </w:rPr>
        <w:t xml:space="preserve">the Commission </w:t>
      </w:r>
      <w:r w:rsidRPr="00C9580B">
        <w:rPr>
          <w:rFonts w:cs="Arial"/>
          <w:i/>
          <w:sz w:val="24"/>
          <w:szCs w:val="24"/>
          <w:u w:val="single"/>
        </w:rPr>
        <w:t>will</w:t>
      </w:r>
      <w:r w:rsidRPr="00C9580B">
        <w:rPr>
          <w:rFonts w:cs="Arial"/>
          <w:sz w:val="24"/>
          <w:szCs w:val="24"/>
        </w:rPr>
        <w:t xml:space="preserve"> consider whether increased competition will benefit the traveling public, including its possible impact on sus</w:t>
      </w:r>
      <w:r w:rsidR="007C08B8">
        <w:rPr>
          <w:rFonts w:cs="Arial"/>
          <w:sz w:val="24"/>
          <w:szCs w:val="24"/>
        </w:rPr>
        <w:t>tainability of service “, but the Commission</w:t>
      </w:r>
      <w:r w:rsidRPr="00C9580B">
        <w:rPr>
          <w:rFonts w:cs="Arial"/>
          <w:sz w:val="24"/>
          <w:szCs w:val="24"/>
        </w:rPr>
        <w:t xml:space="preserve"> won’t do so in an evidentiary hearing in this docket. The Order cites WAC 480-30-140-(1) (b)</w:t>
      </w:r>
      <w:r w:rsidR="00D40EA9" w:rsidRPr="00C9580B">
        <w:rPr>
          <w:rFonts w:ascii="Arial" w:hAnsi="Arial" w:cs="Arial"/>
        </w:rPr>
        <w:t xml:space="preserve"> (1) Public convenience and necessity.</w:t>
      </w:r>
    </w:p>
    <w:p w:rsidR="00D40EA9" w:rsidRPr="00697105" w:rsidRDefault="00723365" w:rsidP="00D40EA9">
      <w:pPr>
        <w:ind w:firstLine="360"/>
        <w:rPr>
          <w:rFonts w:ascii="Times New Roman" w:hAnsi="Times New Roman" w:cs="Times New Roman"/>
          <w:b/>
          <w:sz w:val="24"/>
          <w:szCs w:val="24"/>
        </w:rPr>
      </w:pPr>
      <w:r w:rsidRPr="00697105">
        <w:rPr>
          <w:rFonts w:ascii="Times New Roman" w:hAnsi="Times New Roman" w:cs="Times New Roman"/>
          <w:sz w:val="24"/>
          <w:szCs w:val="24"/>
          <w:u w:val="single"/>
        </w:rPr>
        <w:t>WAC 480-30-</w:t>
      </w:r>
      <w:r w:rsidR="00D40EA9" w:rsidRPr="00697105">
        <w:rPr>
          <w:rFonts w:ascii="Times New Roman" w:hAnsi="Times New Roman" w:cs="Times New Roman"/>
          <w:sz w:val="24"/>
          <w:szCs w:val="24"/>
          <w:u w:val="single"/>
        </w:rPr>
        <w:t>140(1)(b)</w:t>
      </w:r>
      <w:r w:rsidR="00D40EA9" w:rsidRPr="00697105">
        <w:rPr>
          <w:rFonts w:ascii="Times New Roman" w:hAnsi="Times New Roman" w:cs="Times New Roman"/>
          <w:sz w:val="24"/>
          <w:szCs w:val="24"/>
        </w:rPr>
        <w:t xml:space="preserve"> </w:t>
      </w:r>
      <w:r w:rsidRPr="00697105">
        <w:rPr>
          <w:rFonts w:ascii="Times New Roman" w:hAnsi="Times New Roman" w:cs="Times New Roman"/>
          <w:sz w:val="24"/>
          <w:szCs w:val="24"/>
        </w:rPr>
        <w:t xml:space="preserve">: </w:t>
      </w:r>
      <w:r w:rsidR="00D40EA9" w:rsidRPr="00697105">
        <w:rPr>
          <w:rFonts w:ascii="Times New Roman" w:hAnsi="Times New Roman" w:cs="Times New Roman"/>
          <w:sz w:val="24"/>
          <w:szCs w:val="24"/>
        </w:rPr>
        <w:t xml:space="preserve">In reviewing applications under this chapter, the commission may, among other things, consider differences in operation, price, market features, and other essential characteristics of a proposed auto transportation service, tailoring its review to the individual circumstances of the application in evaluating whether the public convenience and necessity requires the commission to grant the request for the proposed service and whether an existing company is providing the same service to the satisfaction of the commission. </w:t>
      </w:r>
      <w:r w:rsidR="00D40EA9" w:rsidRPr="00697105">
        <w:rPr>
          <w:rFonts w:ascii="Times New Roman" w:hAnsi="Times New Roman" w:cs="Times New Roman"/>
          <w:b/>
          <w:sz w:val="24"/>
          <w:szCs w:val="24"/>
        </w:rPr>
        <w:t>The commission will also consider whether increased competition will benefit the traveling public, including its possible impact on sustainability of service.</w:t>
      </w:r>
    </w:p>
    <w:p w:rsidR="00015F7E" w:rsidRPr="002169E5" w:rsidRDefault="00D40EA9" w:rsidP="002C742D">
      <w:pPr>
        <w:spacing w:line="360" w:lineRule="auto"/>
        <w:rPr>
          <w:rFonts w:cs="Arial"/>
          <w:color w:val="FF0000"/>
          <w:sz w:val="24"/>
          <w:szCs w:val="24"/>
        </w:rPr>
      </w:pPr>
      <w:r w:rsidRPr="002169E5">
        <w:rPr>
          <w:rFonts w:cs="Arial"/>
          <w:sz w:val="24"/>
          <w:szCs w:val="24"/>
        </w:rPr>
        <w:t>Though clearly charged with this responsibility, the Commission is avoiding it here stating in footnote 22 on page 6 of the Order that since Wickkiser did not specifically name this issue in its initial protest and present its evidentiary case at that time</w:t>
      </w:r>
      <w:r w:rsidR="001509E4" w:rsidRPr="002169E5">
        <w:rPr>
          <w:rFonts w:cs="Arial"/>
          <w:sz w:val="24"/>
          <w:szCs w:val="24"/>
        </w:rPr>
        <w:t>,</w:t>
      </w:r>
      <w:r w:rsidRPr="002169E5">
        <w:rPr>
          <w:rFonts w:cs="Arial"/>
          <w:sz w:val="24"/>
          <w:szCs w:val="24"/>
        </w:rPr>
        <w:t xml:space="preserve"> it will not be reviewed by the Commission at hearing.  The point of a protest is to raise pertinent issues to the possible</w:t>
      </w:r>
      <w:r w:rsidRPr="002169E5">
        <w:rPr>
          <w:rFonts w:cs="Arial"/>
          <w:color w:val="FF0000"/>
          <w:sz w:val="24"/>
          <w:szCs w:val="24"/>
        </w:rPr>
        <w:t xml:space="preserve"> </w:t>
      </w:r>
    </w:p>
    <w:p w:rsidR="00015F7E" w:rsidRPr="00723365" w:rsidRDefault="00015F7E" w:rsidP="00015F7E">
      <w:pPr>
        <w:pStyle w:val="Default"/>
        <w:rPr>
          <w:color w:val="auto"/>
          <w:sz w:val="20"/>
          <w:szCs w:val="20"/>
        </w:rPr>
      </w:pPr>
      <w:r>
        <w:rPr>
          <w:color w:val="auto"/>
          <w:sz w:val="20"/>
          <w:szCs w:val="20"/>
        </w:rPr>
        <w:t>(</w:t>
      </w:r>
      <w:r w:rsidRPr="00723365">
        <w:rPr>
          <w:color w:val="auto"/>
          <w:sz w:val="20"/>
          <w:szCs w:val="20"/>
        </w:rPr>
        <w:t>17</w:t>
      </w:r>
      <w:r>
        <w:rPr>
          <w:color w:val="auto"/>
          <w:sz w:val="20"/>
          <w:szCs w:val="20"/>
        </w:rPr>
        <w:t>) A</w:t>
      </w:r>
      <w:r w:rsidRPr="00723365">
        <w:rPr>
          <w:color w:val="auto"/>
          <w:sz w:val="20"/>
          <w:szCs w:val="20"/>
        </w:rPr>
        <w:t xml:space="preserve">s noted in foot note 12 on page 4 of Order 03, Seatac Shuttle did indeed file for </w:t>
      </w:r>
      <w:r w:rsidRPr="00723365">
        <w:rPr>
          <w:color w:val="auto"/>
          <w:sz w:val="20"/>
          <w:szCs w:val="20"/>
          <w:u w:val="single"/>
        </w:rPr>
        <w:t xml:space="preserve">rate flexibility </w:t>
      </w:r>
      <w:r w:rsidRPr="00723365">
        <w:rPr>
          <w:color w:val="auto"/>
          <w:sz w:val="20"/>
          <w:szCs w:val="20"/>
        </w:rPr>
        <w:t xml:space="preserve">under Docket 131793 as specifically permitted under Order R-572.  However, no benefit was shown in the Order.  The mere filing under the rule does not automatically provide a material benefit.  Docket 131793 was entered into only </w:t>
      </w:r>
      <w:r w:rsidRPr="00723365">
        <w:rPr>
          <w:b/>
          <w:color w:val="auto"/>
          <w:sz w:val="20"/>
          <w:szCs w:val="20"/>
        </w:rPr>
        <w:t>AFTER</w:t>
      </w:r>
      <w:r w:rsidRPr="00723365">
        <w:rPr>
          <w:color w:val="auto"/>
          <w:sz w:val="20"/>
          <w:szCs w:val="20"/>
        </w:rPr>
        <w:t xml:space="preserve"> the effective date of the revised rules, not in anticipation of or before the fact.  Wickkiser, as well as any other</w:t>
      </w:r>
      <w:r>
        <w:rPr>
          <w:sz w:val="20"/>
          <w:szCs w:val="20"/>
        </w:rPr>
        <w:t xml:space="preserve"> </w:t>
      </w:r>
      <w:r w:rsidRPr="00723365">
        <w:rPr>
          <w:color w:val="auto"/>
          <w:sz w:val="20"/>
          <w:szCs w:val="20"/>
        </w:rPr>
        <w:t>Autotransportation provider, may establish new service within its territory upon one days notice.  This ability was not affected in any way by the revised rules and to suggest that it is a benefit of those revisions is disingenuous.</w:t>
      </w:r>
    </w:p>
    <w:p w:rsidR="00175158" w:rsidRDefault="00015F7E" w:rsidP="00D40EA9">
      <w:pPr>
        <w:spacing w:line="360" w:lineRule="auto"/>
        <w:ind w:firstLine="360"/>
        <w:rPr>
          <w:rFonts w:ascii="Times New Roman" w:hAnsi="Times New Roman" w:cs="Times New Roman"/>
          <w:sz w:val="20"/>
          <w:szCs w:val="2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Pr="00015F7E">
        <w:rPr>
          <w:rFonts w:ascii="Times New Roman" w:hAnsi="Times New Roman" w:cs="Times New Roman"/>
          <w:sz w:val="20"/>
          <w:szCs w:val="20"/>
        </w:rPr>
        <w:t>Pg 9</w:t>
      </w:r>
    </w:p>
    <w:p w:rsidR="00D40EA9" w:rsidRPr="00175158" w:rsidRDefault="00D40EA9" w:rsidP="00175158">
      <w:pPr>
        <w:spacing w:line="360" w:lineRule="auto"/>
        <w:rPr>
          <w:rFonts w:ascii="Times New Roman" w:hAnsi="Times New Roman" w:cs="Times New Roman"/>
          <w:sz w:val="20"/>
          <w:szCs w:val="20"/>
        </w:rPr>
      </w:pPr>
      <w:r w:rsidRPr="00DF462D">
        <w:rPr>
          <w:rFonts w:cs="Arial"/>
          <w:sz w:val="24"/>
          <w:szCs w:val="24"/>
        </w:rPr>
        <w:lastRenderedPageBreak/>
        <w:t xml:space="preserve">issuance of a certificate </w:t>
      </w:r>
      <w:r w:rsidR="001509E4" w:rsidRPr="00DF462D">
        <w:rPr>
          <w:rFonts w:cs="Arial"/>
          <w:sz w:val="24"/>
          <w:szCs w:val="24"/>
        </w:rPr>
        <w:t xml:space="preserve">to be examined at an evidentiary hearing, </w:t>
      </w:r>
      <w:r w:rsidRPr="00DF462D">
        <w:rPr>
          <w:rFonts w:cs="Arial"/>
          <w:sz w:val="24"/>
          <w:szCs w:val="24"/>
        </w:rPr>
        <w:t>not try the case on paper before hearing.  Nor does it relieve the Commission</w:t>
      </w:r>
      <w:r w:rsidR="001509E4" w:rsidRPr="00DF462D">
        <w:rPr>
          <w:rFonts w:cs="Arial"/>
          <w:sz w:val="24"/>
          <w:szCs w:val="24"/>
        </w:rPr>
        <w:t xml:space="preserve"> of responsibility to</w:t>
      </w:r>
      <w:r w:rsidRPr="00DF462D">
        <w:rPr>
          <w:rFonts w:cs="Arial"/>
          <w:sz w:val="24"/>
          <w:szCs w:val="24"/>
        </w:rPr>
        <w:t xml:space="preserve"> consider those factors that may affect the satisfactory provision of service of the incumbent or the viability of the applicant.</w:t>
      </w:r>
      <w:r w:rsidR="00C9580B" w:rsidRPr="00DF462D">
        <w:rPr>
          <w:rFonts w:cs="Arial"/>
          <w:sz w:val="24"/>
          <w:szCs w:val="24"/>
        </w:rPr>
        <w:t xml:space="preserve">  </w:t>
      </w:r>
    </w:p>
    <w:p w:rsidR="00952AFB" w:rsidRPr="00F003F8" w:rsidRDefault="00D40EA9" w:rsidP="00A8777A">
      <w:pPr>
        <w:spacing w:line="360" w:lineRule="auto"/>
        <w:rPr>
          <w:rFonts w:cs="Arial"/>
          <w:b/>
          <w:sz w:val="24"/>
          <w:szCs w:val="24"/>
        </w:rPr>
      </w:pPr>
      <w:r w:rsidRPr="00F003F8">
        <w:rPr>
          <w:rFonts w:cs="Arial"/>
          <w:b/>
          <w:sz w:val="24"/>
          <w:szCs w:val="24"/>
        </w:rPr>
        <w:t>Application process not timely</w:t>
      </w:r>
    </w:p>
    <w:p w:rsidR="00B94C16" w:rsidRDefault="00B94C16" w:rsidP="00A8777A">
      <w:pPr>
        <w:spacing w:line="360" w:lineRule="auto"/>
        <w:rPr>
          <w:rFonts w:cs="Arial"/>
          <w:sz w:val="24"/>
          <w:szCs w:val="24"/>
        </w:rPr>
      </w:pPr>
      <w:r>
        <w:rPr>
          <w:rFonts w:cs="Arial"/>
          <w:sz w:val="24"/>
          <w:szCs w:val="24"/>
        </w:rPr>
        <w:t>13.</w:t>
      </w:r>
      <w:r>
        <w:rPr>
          <w:rFonts w:cs="Arial"/>
          <w:sz w:val="24"/>
          <w:szCs w:val="24"/>
        </w:rPr>
        <w:tab/>
        <w:t xml:space="preserve">This entire process would not be taking place with regard to this question if the agency had processed the application in a timely manner.  As it stands the Applicant submitted his application on May 7, 2013.  The revised rules did not become effective until September 21, 2013, a time period spanning five months and comprised of </w:t>
      </w:r>
      <w:r w:rsidR="001A589F">
        <w:rPr>
          <w:rFonts w:cs="Arial"/>
          <w:sz w:val="24"/>
          <w:szCs w:val="24"/>
        </w:rPr>
        <w:t>138</w:t>
      </w:r>
      <w:r>
        <w:rPr>
          <w:rFonts w:cs="Arial"/>
          <w:sz w:val="24"/>
          <w:szCs w:val="24"/>
        </w:rPr>
        <w:t xml:space="preserve"> days.</w:t>
      </w:r>
      <w:r w:rsidR="001A589F">
        <w:rPr>
          <w:rFonts w:cs="Arial"/>
          <w:sz w:val="24"/>
          <w:szCs w:val="24"/>
        </w:rPr>
        <w:t xml:space="preserve">  This is not timely and efficient processing by this agency.  It denies the public what it should reasonabl</w:t>
      </w:r>
      <w:r w:rsidR="00E0357F">
        <w:rPr>
          <w:rFonts w:cs="Arial"/>
          <w:sz w:val="24"/>
          <w:szCs w:val="24"/>
        </w:rPr>
        <w:t>y</w:t>
      </w:r>
      <w:r w:rsidR="001A589F">
        <w:rPr>
          <w:rFonts w:cs="Arial"/>
          <w:sz w:val="24"/>
          <w:szCs w:val="24"/>
        </w:rPr>
        <w:t xml:space="preserve"> expect from their government and regulators.  Had this application been processed within this five month time</w:t>
      </w:r>
      <w:r w:rsidR="00F003F8">
        <w:rPr>
          <w:rFonts w:cs="Arial"/>
          <w:sz w:val="24"/>
          <w:szCs w:val="24"/>
        </w:rPr>
        <w:t xml:space="preserve"> </w:t>
      </w:r>
      <w:r w:rsidR="001A589F">
        <w:rPr>
          <w:rFonts w:cs="Arial"/>
          <w:sz w:val="24"/>
          <w:szCs w:val="24"/>
        </w:rPr>
        <w:t xml:space="preserve">frame there would have been no question of application of rules.  Failure by the agency has created this artificial issue.  Creating this issue after the fact does not </w:t>
      </w:r>
      <w:r w:rsidR="00F20B8A" w:rsidRPr="00F003F8">
        <w:rPr>
          <w:rFonts w:cs="Arial"/>
          <w:sz w:val="24"/>
          <w:szCs w:val="24"/>
        </w:rPr>
        <w:t>shield</w:t>
      </w:r>
      <w:r w:rsidR="00F20B8A">
        <w:rPr>
          <w:rFonts w:cs="Arial"/>
          <w:sz w:val="24"/>
          <w:szCs w:val="24"/>
        </w:rPr>
        <w:t xml:space="preserve"> </w:t>
      </w:r>
      <w:r w:rsidR="001A589F">
        <w:rPr>
          <w:rFonts w:cs="Arial"/>
          <w:sz w:val="24"/>
          <w:szCs w:val="24"/>
        </w:rPr>
        <w:t>the inefficiency demonstrated here, it is not a mitigating factor.</w:t>
      </w:r>
    </w:p>
    <w:p w:rsidR="00D40EA9" w:rsidRPr="00F003F8" w:rsidRDefault="00D40EA9" w:rsidP="002E4050">
      <w:pPr>
        <w:spacing w:line="360" w:lineRule="auto"/>
        <w:rPr>
          <w:rFonts w:cs="Arial"/>
          <w:b/>
          <w:sz w:val="24"/>
          <w:szCs w:val="24"/>
        </w:rPr>
      </w:pPr>
      <w:r w:rsidRPr="00F003F8">
        <w:rPr>
          <w:rFonts w:cs="Arial"/>
          <w:b/>
          <w:sz w:val="24"/>
          <w:szCs w:val="24"/>
        </w:rPr>
        <w:t>Credibility at issue</w:t>
      </w:r>
    </w:p>
    <w:p w:rsidR="00015F7E" w:rsidRDefault="00F60B45" w:rsidP="00FF370E">
      <w:pPr>
        <w:spacing w:after="0" w:line="360" w:lineRule="auto"/>
        <w:rPr>
          <w:rFonts w:cs="Arial"/>
          <w:sz w:val="24"/>
          <w:szCs w:val="24"/>
        </w:rPr>
      </w:pPr>
      <w:r>
        <w:rPr>
          <w:rFonts w:cs="Arial"/>
          <w:sz w:val="24"/>
          <w:szCs w:val="24"/>
        </w:rPr>
        <w:t>1</w:t>
      </w:r>
      <w:r w:rsidR="00A8777A">
        <w:rPr>
          <w:rFonts w:cs="Arial"/>
          <w:sz w:val="24"/>
          <w:szCs w:val="24"/>
        </w:rPr>
        <w:t>4</w:t>
      </w:r>
      <w:r>
        <w:rPr>
          <w:rFonts w:cs="Arial"/>
          <w:sz w:val="24"/>
          <w:szCs w:val="24"/>
        </w:rPr>
        <w:t>.</w:t>
      </w:r>
      <w:r>
        <w:rPr>
          <w:rFonts w:cs="Arial"/>
          <w:sz w:val="24"/>
          <w:szCs w:val="24"/>
        </w:rPr>
        <w:tab/>
        <w:t xml:space="preserve">Nothing less than the credibility of the agency is at stake here.  Either </w:t>
      </w:r>
      <w:r w:rsidR="00E0357F">
        <w:rPr>
          <w:rFonts w:cs="Arial"/>
          <w:sz w:val="24"/>
          <w:szCs w:val="24"/>
        </w:rPr>
        <w:t>it</w:t>
      </w:r>
      <w:r>
        <w:rPr>
          <w:rFonts w:cs="Arial"/>
          <w:sz w:val="24"/>
          <w:szCs w:val="24"/>
        </w:rPr>
        <w:t xml:space="preserve"> mean</w:t>
      </w:r>
      <w:r w:rsidR="00E0357F">
        <w:rPr>
          <w:rFonts w:cs="Arial"/>
          <w:sz w:val="24"/>
          <w:szCs w:val="24"/>
        </w:rPr>
        <w:t>s</w:t>
      </w:r>
      <w:r>
        <w:rPr>
          <w:rFonts w:cs="Arial"/>
          <w:sz w:val="24"/>
          <w:szCs w:val="24"/>
        </w:rPr>
        <w:t xml:space="preserve"> what </w:t>
      </w:r>
      <w:r w:rsidR="00E0357F">
        <w:rPr>
          <w:rFonts w:cs="Arial"/>
          <w:sz w:val="24"/>
          <w:szCs w:val="24"/>
        </w:rPr>
        <w:t>it</w:t>
      </w:r>
      <w:r>
        <w:rPr>
          <w:rFonts w:cs="Arial"/>
          <w:sz w:val="24"/>
          <w:szCs w:val="24"/>
        </w:rPr>
        <w:t xml:space="preserve"> say</w:t>
      </w:r>
      <w:r w:rsidR="00E0357F">
        <w:rPr>
          <w:rFonts w:cs="Arial"/>
          <w:sz w:val="24"/>
          <w:szCs w:val="24"/>
        </w:rPr>
        <w:t>s</w:t>
      </w:r>
      <w:r>
        <w:rPr>
          <w:rFonts w:cs="Arial"/>
          <w:sz w:val="24"/>
          <w:szCs w:val="24"/>
        </w:rPr>
        <w:t xml:space="preserve"> or </w:t>
      </w:r>
      <w:r w:rsidR="00E0357F">
        <w:rPr>
          <w:rFonts w:cs="Arial"/>
          <w:sz w:val="24"/>
          <w:szCs w:val="24"/>
        </w:rPr>
        <w:t>it</w:t>
      </w:r>
      <w:r>
        <w:rPr>
          <w:rFonts w:cs="Arial"/>
          <w:sz w:val="24"/>
          <w:szCs w:val="24"/>
        </w:rPr>
        <w:t xml:space="preserve"> do</w:t>
      </w:r>
      <w:r w:rsidR="00E0357F">
        <w:rPr>
          <w:rFonts w:cs="Arial"/>
          <w:sz w:val="24"/>
          <w:szCs w:val="24"/>
        </w:rPr>
        <w:t>esn’t</w:t>
      </w:r>
      <w:r>
        <w:rPr>
          <w:rFonts w:cs="Arial"/>
          <w:sz w:val="24"/>
          <w:szCs w:val="24"/>
        </w:rPr>
        <w:t>.  Either the efforts of the past two years present us with a clear path toward the future or it was a complete waste of time and we are to operate u</w:t>
      </w:r>
      <w:r w:rsidR="00561CEB">
        <w:rPr>
          <w:rFonts w:cs="Arial"/>
          <w:sz w:val="24"/>
          <w:szCs w:val="24"/>
        </w:rPr>
        <w:t>nder</w:t>
      </w:r>
      <w:r>
        <w:rPr>
          <w:rFonts w:cs="Arial"/>
          <w:sz w:val="24"/>
          <w:szCs w:val="24"/>
        </w:rPr>
        <w:t xml:space="preserve"> the same arbitrary, inconsistent and </w:t>
      </w:r>
      <w:r w:rsidR="00561CEB">
        <w:rPr>
          <w:rFonts w:cs="Arial"/>
          <w:sz w:val="24"/>
          <w:szCs w:val="24"/>
        </w:rPr>
        <w:t>punitive</w:t>
      </w:r>
      <w:r>
        <w:rPr>
          <w:rFonts w:cs="Arial"/>
          <w:sz w:val="24"/>
          <w:szCs w:val="24"/>
        </w:rPr>
        <w:t xml:space="preserve"> actions of staff</w:t>
      </w:r>
      <w:r w:rsidR="00561CEB">
        <w:rPr>
          <w:rFonts w:cs="Arial"/>
          <w:sz w:val="24"/>
          <w:szCs w:val="24"/>
        </w:rPr>
        <w:t xml:space="preserve"> that we have come to know and love for the past decade.  Either the rules apply equally and constantly in a readily understandable fashion with rational support or they aren’t </w:t>
      </w:r>
      <w:r w:rsidR="00567588">
        <w:rPr>
          <w:rFonts w:cs="Arial"/>
          <w:sz w:val="24"/>
          <w:szCs w:val="24"/>
        </w:rPr>
        <w:t>worth</w:t>
      </w:r>
      <w:r w:rsidR="00561CEB">
        <w:rPr>
          <w:rFonts w:cs="Arial"/>
          <w:sz w:val="24"/>
          <w:szCs w:val="24"/>
        </w:rPr>
        <w:t xml:space="preserve"> the paper they’re written on.</w:t>
      </w:r>
      <w:r w:rsidR="003F1289">
        <w:rPr>
          <w:rFonts w:cs="Arial"/>
          <w:sz w:val="24"/>
          <w:szCs w:val="24"/>
        </w:rPr>
        <w:t xml:space="preserve">  This docket g</w:t>
      </w:r>
      <w:r w:rsidR="00F003F8">
        <w:rPr>
          <w:rFonts w:cs="Arial"/>
          <w:sz w:val="24"/>
          <w:szCs w:val="24"/>
        </w:rPr>
        <w:t>oes far beyond this application;</w:t>
      </w:r>
      <w:r w:rsidR="003F1289">
        <w:rPr>
          <w:rFonts w:cs="Arial"/>
          <w:sz w:val="24"/>
          <w:szCs w:val="24"/>
        </w:rPr>
        <w:t xml:space="preserve"> Autotransportation operators need to know where the Commission stands on its own rules and procedures.</w:t>
      </w:r>
      <w:r w:rsidR="006904D6">
        <w:rPr>
          <w:rFonts w:cs="Arial"/>
          <w:sz w:val="24"/>
          <w:szCs w:val="24"/>
        </w:rPr>
        <w:t xml:space="preserve">  </w:t>
      </w:r>
      <w:r w:rsidR="00F20B8A" w:rsidRPr="00F003F8">
        <w:rPr>
          <w:rFonts w:cs="Arial"/>
          <w:sz w:val="24"/>
          <w:szCs w:val="24"/>
        </w:rPr>
        <w:t xml:space="preserve">Ethics must be considered, is the Agency trying at this juncture just “to win”?  No matter how one tries to create an interpretation of the rules, what message does this send, how does it help Autotransportation and the public?  Clarity and </w:t>
      </w:r>
    </w:p>
    <w:p w:rsidR="000975A0" w:rsidRPr="00015F7E" w:rsidRDefault="00F20B8A" w:rsidP="000975A0">
      <w:pPr>
        <w:spacing w:after="0" w:line="360" w:lineRule="auto"/>
        <w:rPr>
          <w:rFonts w:ascii="Times New Roman" w:hAnsi="Times New Roman" w:cs="Times New Roman"/>
          <w:sz w:val="20"/>
          <w:szCs w:val="20"/>
        </w:rPr>
      </w:pPr>
      <w:r w:rsidRPr="00F003F8">
        <w:rPr>
          <w:rFonts w:cs="Arial"/>
          <w:sz w:val="24"/>
          <w:szCs w:val="24"/>
        </w:rPr>
        <w:t xml:space="preserve">transparency are questions here.  The </w:t>
      </w:r>
      <w:r w:rsidR="006904D6" w:rsidRPr="00F003F8">
        <w:rPr>
          <w:rFonts w:cs="Arial"/>
          <w:sz w:val="24"/>
          <w:szCs w:val="24"/>
        </w:rPr>
        <w:t xml:space="preserve">issue </w:t>
      </w:r>
      <w:r w:rsidRPr="00F003F8">
        <w:rPr>
          <w:rFonts w:cs="Arial"/>
          <w:sz w:val="24"/>
          <w:szCs w:val="24"/>
        </w:rPr>
        <w:t>of application of the revision</w:t>
      </w:r>
      <w:r>
        <w:rPr>
          <w:rFonts w:cs="Arial"/>
          <w:sz w:val="24"/>
          <w:szCs w:val="24"/>
        </w:rPr>
        <w:t xml:space="preserve"> </w:t>
      </w:r>
      <w:r w:rsidR="006904D6">
        <w:rPr>
          <w:rFonts w:cs="Arial"/>
          <w:sz w:val="24"/>
          <w:szCs w:val="24"/>
        </w:rPr>
        <w:t>would never have</w:t>
      </w:r>
      <w:r w:rsidR="000975A0" w:rsidRPr="000975A0">
        <w:rPr>
          <w:rFonts w:ascii="Times New Roman" w:hAnsi="Times New Roman" w:cs="Times New Roman"/>
          <w:sz w:val="20"/>
          <w:szCs w:val="20"/>
        </w:rPr>
        <w:t xml:space="preserve"> </w:t>
      </w:r>
      <w:r w:rsidR="000975A0">
        <w:rPr>
          <w:rFonts w:ascii="Times New Roman" w:hAnsi="Times New Roman" w:cs="Times New Roman"/>
          <w:sz w:val="20"/>
          <w:szCs w:val="20"/>
        </w:rPr>
        <w:t xml:space="preserve">     </w:t>
      </w:r>
      <w:r w:rsidR="000975A0">
        <w:rPr>
          <w:rFonts w:ascii="Times New Roman" w:hAnsi="Times New Roman" w:cs="Times New Roman"/>
          <w:sz w:val="20"/>
          <w:szCs w:val="20"/>
        </w:rPr>
        <w:tab/>
      </w:r>
      <w:r w:rsidR="000975A0">
        <w:rPr>
          <w:rFonts w:ascii="Times New Roman" w:hAnsi="Times New Roman" w:cs="Times New Roman"/>
          <w:sz w:val="20"/>
          <w:szCs w:val="20"/>
        </w:rPr>
        <w:tab/>
      </w:r>
      <w:r w:rsidR="000975A0">
        <w:rPr>
          <w:rFonts w:ascii="Times New Roman" w:hAnsi="Times New Roman" w:cs="Times New Roman"/>
          <w:sz w:val="20"/>
          <w:szCs w:val="20"/>
        </w:rPr>
        <w:tab/>
      </w:r>
      <w:r w:rsidR="000975A0">
        <w:rPr>
          <w:rFonts w:ascii="Times New Roman" w:hAnsi="Times New Roman" w:cs="Times New Roman"/>
          <w:sz w:val="20"/>
          <w:szCs w:val="20"/>
        </w:rPr>
        <w:tab/>
      </w:r>
      <w:r w:rsidR="000975A0">
        <w:rPr>
          <w:rFonts w:ascii="Times New Roman" w:hAnsi="Times New Roman" w:cs="Times New Roman"/>
          <w:sz w:val="20"/>
          <w:szCs w:val="20"/>
        </w:rPr>
        <w:tab/>
      </w:r>
      <w:r w:rsidR="000975A0">
        <w:rPr>
          <w:rFonts w:ascii="Times New Roman" w:hAnsi="Times New Roman" w:cs="Times New Roman"/>
          <w:sz w:val="20"/>
          <w:szCs w:val="20"/>
        </w:rPr>
        <w:tab/>
      </w:r>
      <w:r w:rsidR="000975A0">
        <w:rPr>
          <w:rFonts w:ascii="Times New Roman" w:hAnsi="Times New Roman" w:cs="Times New Roman"/>
          <w:sz w:val="20"/>
          <w:szCs w:val="20"/>
        </w:rPr>
        <w:tab/>
      </w:r>
      <w:r w:rsidR="000975A0">
        <w:rPr>
          <w:rFonts w:ascii="Times New Roman" w:hAnsi="Times New Roman" w:cs="Times New Roman"/>
          <w:sz w:val="20"/>
          <w:szCs w:val="20"/>
        </w:rPr>
        <w:tab/>
      </w:r>
      <w:r w:rsidR="000975A0">
        <w:rPr>
          <w:rFonts w:ascii="Times New Roman" w:hAnsi="Times New Roman" w:cs="Times New Roman"/>
          <w:sz w:val="20"/>
          <w:szCs w:val="20"/>
        </w:rPr>
        <w:tab/>
      </w:r>
      <w:r w:rsidR="000975A0">
        <w:rPr>
          <w:rFonts w:ascii="Times New Roman" w:hAnsi="Times New Roman" w:cs="Times New Roman"/>
          <w:sz w:val="20"/>
          <w:szCs w:val="20"/>
        </w:rPr>
        <w:tab/>
      </w:r>
      <w:r w:rsidR="000975A0">
        <w:rPr>
          <w:rFonts w:ascii="Times New Roman" w:hAnsi="Times New Roman" w:cs="Times New Roman"/>
          <w:sz w:val="20"/>
          <w:szCs w:val="20"/>
        </w:rPr>
        <w:tab/>
      </w:r>
      <w:r w:rsidR="000975A0">
        <w:rPr>
          <w:rFonts w:ascii="Times New Roman" w:hAnsi="Times New Roman" w:cs="Times New Roman"/>
          <w:sz w:val="20"/>
          <w:szCs w:val="20"/>
        </w:rPr>
        <w:tab/>
      </w:r>
      <w:r w:rsidR="000975A0" w:rsidRPr="00015F7E">
        <w:rPr>
          <w:rFonts w:ascii="Times New Roman" w:hAnsi="Times New Roman" w:cs="Times New Roman"/>
          <w:sz w:val="20"/>
          <w:szCs w:val="20"/>
        </w:rPr>
        <w:t>pg 10</w:t>
      </w:r>
    </w:p>
    <w:p w:rsidR="00F6427F" w:rsidRDefault="006904D6" w:rsidP="00FF370E">
      <w:pPr>
        <w:spacing w:after="0" w:line="360" w:lineRule="auto"/>
        <w:rPr>
          <w:rFonts w:cs="Arial"/>
          <w:sz w:val="24"/>
          <w:szCs w:val="24"/>
        </w:rPr>
      </w:pPr>
      <w:r>
        <w:rPr>
          <w:rFonts w:cs="Arial"/>
          <w:sz w:val="24"/>
          <w:szCs w:val="24"/>
        </w:rPr>
        <w:t xml:space="preserve"> </w:t>
      </w:r>
    </w:p>
    <w:p w:rsidR="00F60B45" w:rsidRDefault="00F6427F" w:rsidP="00FF370E">
      <w:pPr>
        <w:spacing w:after="0" w:line="360" w:lineRule="auto"/>
        <w:rPr>
          <w:rFonts w:cs="Arial"/>
          <w:sz w:val="24"/>
          <w:szCs w:val="24"/>
        </w:rPr>
      </w:pPr>
      <w:r>
        <w:rPr>
          <w:rFonts w:cs="Arial"/>
          <w:sz w:val="24"/>
          <w:szCs w:val="24"/>
        </w:rPr>
        <w:lastRenderedPageBreak/>
        <w:t>r</w:t>
      </w:r>
      <w:r w:rsidR="006904D6">
        <w:rPr>
          <w:rFonts w:cs="Arial"/>
          <w:sz w:val="24"/>
          <w:szCs w:val="24"/>
        </w:rPr>
        <w:t>isen in a timely processed application.  Order No.</w:t>
      </w:r>
      <w:r w:rsidR="00AC4542">
        <w:rPr>
          <w:rFonts w:cs="Arial"/>
          <w:sz w:val="24"/>
          <w:szCs w:val="24"/>
        </w:rPr>
        <w:t xml:space="preserve"> </w:t>
      </w:r>
      <w:r w:rsidR="002B5531">
        <w:rPr>
          <w:rFonts w:cs="Arial"/>
          <w:sz w:val="24"/>
          <w:szCs w:val="24"/>
        </w:rPr>
        <w:t>0</w:t>
      </w:r>
      <w:r w:rsidR="006904D6">
        <w:rPr>
          <w:rFonts w:cs="Arial"/>
          <w:sz w:val="24"/>
          <w:szCs w:val="24"/>
        </w:rPr>
        <w:t>3 should be voided for this reason alone if for no other.</w:t>
      </w:r>
    </w:p>
    <w:p w:rsidR="002931A0" w:rsidRDefault="002931A0" w:rsidP="00FF370E">
      <w:pPr>
        <w:spacing w:after="0" w:line="360" w:lineRule="auto"/>
        <w:rPr>
          <w:rFonts w:cs="Arial"/>
          <w:sz w:val="24"/>
          <w:szCs w:val="24"/>
        </w:rPr>
      </w:pPr>
    </w:p>
    <w:p w:rsidR="00567588" w:rsidRPr="002A12C4" w:rsidRDefault="0010423D" w:rsidP="00567588">
      <w:pPr>
        <w:spacing w:line="360" w:lineRule="auto"/>
        <w:rPr>
          <w:b/>
          <w:sz w:val="24"/>
          <w:szCs w:val="24"/>
        </w:rPr>
      </w:pPr>
      <w:r>
        <w:rPr>
          <w:b/>
          <w:sz w:val="24"/>
          <w:szCs w:val="24"/>
        </w:rPr>
        <w:t xml:space="preserve">IV. </w:t>
      </w:r>
      <w:r w:rsidR="00567588" w:rsidRPr="002A12C4">
        <w:rPr>
          <w:b/>
          <w:sz w:val="24"/>
          <w:szCs w:val="24"/>
        </w:rPr>
        <w:t>PRAYER</w:t>
      </w:r>
    </w:p>
    <w:p w:rsidR="00567588" w:rsidRDefault="00567588" w:rsidP="00567588">
      <w:pPr>
        <w:spacing w:line="360" w:lineRule="auto"/>
        <w:rPr>
          <w:sz w:val="24"/>
          <w:szCs w:val="24"/>
        </w:rPr>
      </w:pPr>
      <w:r w:rsidRPr="002147BC">
        <w:rPr>
          <w:i/>
          <w:sz w:val="24"/>
          <w:szCs w:val="24"/>
        </w:rPr>
        <w:t>1</w:t>
      </w:r>
      <w:r w:rsidR="00A8777A">
        <w:rPr>
          <w:i/>
          <w:sz w:val="24"/>
          <w:szCs w:val="24"/>
        </w:rPr>
        <w:t>5.</w:t>
      </w:r>
      <w:r>
        <w:rPr>
          <w:sz w:val="24"/>
          <w:szCs w:val="24"/>
        </w:rPr>
        <w:tab/>
      </w:r>
      <w:r w:rsidR="00C20064">
        <w:rPr>
          <w:sz w:val="24"/>
          <w:szCs w:val="24"/>
        </w:rPr>
        <w:t>For the reasons stated above in</w:t>
      </w:r>
      <w:r w:rsidRPr="00EB1F51">
        <w:rPr>
          <w:sz w:val="24"/>
          <w:szCs w:val="24"/>
        </w:rPr>
        <w:t xml:space="preserve">Seatac Shuttle, LLC. requests that the Commission </w:t>
      </w:r>
      <w:r>
        <w:rPr>
          <w:sz w:val="24"/>
          <w:szCs w:val="24"/>
        </w:rPr>
        <w:t>vacate Order</w:t>
      </w:r>
      <w:r w:rsidR="00E0357F">
        <w:rPr>
          <w:sz w:val="24"/>
          <w:szCs w:val="24"/>
        </w:rPr>
        <w:t>s</w:t>
      </w:r>
      <w:r w:rsidR="00F003F8">
        <w:rPr>
          <w:sz w:val="24"/>
          <w:szCs w:val="24"/>
        </w:rPr>
        <w:t xml:space="preserve"> 03, 02 and 01</w:t>
      </w:r>
      <w:r w:rsidRPr="00F003F8">
        <w:rPr>
          <w:sz w:val="24"/>
          <w:szCs w:val="24"/>
        </w:rPr>
        <w:t>.</w:t>
      </w:r>
      <w:r w:rsidRPr="00D40EA9">
        <w:rPr>
          <w:color w:val="FF0000"/>
          <w:sz w:val="24"/>
          <w:szCs w:val="24"/>
        </w:rPr>
        <w:t xml:space="preserve">  </w:t>
      </w:r>
      <w:r w:rsidR="00D40EA9">
        <w:rPr>
          <w:sz w:val="24"/>
          <w:szCs w:val="24"/>
        </w:rPr>
        <w:t xml:space="preserve"> </w:t>
      </w:r>
      <w:r w:rsidR="000E2AB0">
        <w:rPr>
          <w:sz w:val="24"/>
          <w:szCs w:val="24"/>
        </w:rPr>
        <w:t>I</w:t>
      </w:r>
      <w:r w:rsidR="006904D6">
        <w:rPr>
          <w:sz w:val="24"/>
          <w:szCs w:val="24"/>
        </w:rPr>
        <w:t>n</w:t>
      </w:r>
      <w:r w:rsidR="000E2AB0">
        <w:rPr>
          <w:sz w:val="24"/>
          <w:szCs w:val="24"/>
        </w:rPr>
        <w:t xml:space="preserve"> conjunction (another disputed term) with that vacation t</w:t>
      </w:r>
      <w:r>
        <w:rPr>
          <w:sz w:val="24"/>
          <w:szCs w:val="24"/>
        </w:rPr>
        <w:t>hat it either:</w:t>
      </w:r>
    </w:p>
    <w:p w:rsidR="00567588" w:rsidRDefault="00567588" w:rsidP="00567588">
      <w:pPr>
        <w:spacing w:line="360" w:lineRule="auto"/>
        <w:rPr>
          <w:sz w:val="24"/>
          <w:szCs w:val="24"/>
        </w:rPr>
      </w:pPr>
      <w:r>
        <w:rPr>
          <w:sz w:val="24"/>
          <w:szCs w:val="24"/>
        </w:rPr>
        <w:tab/>
      </w:r>
      <w:r>
        <w:rPr>
          <w:sz w:val="24"/>
          <w:szCs w:val="24"/>
        </w:rPr>
        <w:tab/>
        <w:t>A)</w:t>
      </w:r>
      <w:r>
        <w:rPr>
          <w:sz w:val="24"/>
          <w:szCs w:val="24"/>
        </w:rPr>
        <w:tab/>
        <w:t xml:space="preserve">Reassign the docket </w:t>
      </w:r>
      <w:r w:rsidR="00BD5C91">
        <w:rPr>
          <w:sz w:val="24"/>
          <w:szCs w:val="24"/>
        </w:rPr>
        <w:t xml:space="preserve">to </w:t>
      </w:r>
      <w:r>
        <w:rPr>
          <w:sz w:val="24"/>
          <w:szCs w:val="24"/>
        </w:rPr>
        <w:t xml:space="preserve">the Administrative Law Division for the purpose of convening a second pre-hearing conference to establish a date for hearing of the application for </w:t>
      </w:r>
      <w:r w:rsidR="0094711C">
        <w:rPr>
          <w:sz w:val="24"/>
          <w:szCs w:val="24"/>
        </w:rPr>
        <w:t xml:space="preserve">permanent </w:t>
      </w:r>
      <w:r>
        <w:rPr>
          <w:sz w:val="24"/>
          <w:szCs w:val="24"/>
        </w:rPr>
        <w:t>service filed by Northwest Smoking and Curing</w:t>
      </w:r>
      <w:r w:rsidR="00970DC6">
        <w:rPr>
          <w:sz w:val="24"/>
          <w:szCs w:val="24"/>
        </w:rPr>
        <w:t xml:space="preserve"> under the rules applicable at the time of the original filing; or</w:t>
      </w:r>
    </w:p>
    <w:p w:rsidR="000E2AB0" w:rsidRDefault="00970DC6" w:rsidP="00567588">
      <w:pPr>
        <w:spacing w:line="360" w:lineRule="auto"/>
        <w:rPr>
          <w:sz w:val="24"/>
          <w:szCs w:val="24"/>
        </w:rPr>
      </w:pPr>
      <w:r>
        <w:rPr>
          <w:sz w:val="24"/>
          <w:szCs w:val="24"/>
        </w:rPr>
        <w:tab/>
      </w:r>
      <w:r>
        <w:rPr>
          <w:sz w:val="24"/>
          <w:szCs w:val="24"/>
        </w:rPr>
        <w:tab/>
        <w:t>B)</w:t>
      </w:r>
      <w:r>
        <w:rPr>
          <w:sz w:val="24"/>
          <w:szCs w:val="24"/>
        </w:rPr>
        <w:tab/>
        <w:t>In the alternative, dire</w:t>
      </w:r>
      <w:r w:rsidR="000E2AB0">
        <w:rPr>
          <w:sz w:val="24"/>
          <w:szCs w:val="24"/>
        </w:rPr>
        <w:t xml:space="preserve">ct Northwest Smoking and Curing, should it desire at this juncture to proceed with its application under the revised rules, </w:t>
      </w:r>
      <w:r>
        <w:rPr>
          <w:sz w:val="24"/>
          <w:szCs w:val="24"/>
        </w:rPr>
        <w:t>to file a new application with a date subsequent to the effective date of the 2013 revision of WAC 480-30</w:t>
      </w:r>
      <w:r w:rsidR="00A02CAD">
        <w:rPr>
          <w:sz w:val="24"/>
          <w:szCs w:val="24"/>
        </w:rPr>
        <w:t>.</w:t>
      </w:r>
    </w:p>
    <w:p w:rsidR="00567588" w:rsidRDefault="00567588" w:rsidP="00567588">
      <w:pPr>
        <w:spacing w:line="360" w:lineRule="auto"/>
        <w:rPr>
          <w:sz w:val="24"/>
          <w:szCs w:val="24"/>
        </w:rPr>
      </w:pPr>
      <w:r>
        <w:rPr>
          <w:sz w:val="24"/>
          <w:szCs w:val="24"/>
        </w:rPr>
        <w:t xml:space="preserve">Dated this </w:t>
      </w:r>
      <w:r w:rsidR="006904D6">
        <w:rPr>
          <w:sz w:val="24"/>
          <w:szCs w:val="24"/>
        </w:rPr>
        <w:t>28th</w:t>
      </w:r>
      <w:r>
        <w:rPr>
          <w:sz w:val="24"/>
          <w:szCs w:val="24"/>
        </w:rPr>
        <w:t xml:space="preserve"> day of</w:t>
      </w:r>
      <w:r w:rsidR="006904D6">
        <w:rPr>
          <w:sz w:val="24"/>
          <w:szCs w:val="24"/>
        </w:rPr>
        <w:t xml:space="preserve"> February</w:t>
      </w:r>
      <w:r>
        <w:rPr>
          <w:sz w:val="24"/>
          <w:szCs w:val="24"/>
        </w:rPr>
        <w:t>, 201</w:t>
      </w:r>
      <w:r w:rsidR="000C7221">
        <w:rPr>
          <w:sz w:val="24"/>
          <w:szCs w:val="24"/>
        </w:rPr>
        <w:t>4</w:t>
      </w:r>
    </w:p>
    <w:p w:rsidR="00567588" w:rsidRDefault="00567588" w:rsidP="00567588">
      <w:pPr>
        <w:spacing w:line="360" w:lineRule="auto"/>
        <w:rPr>
          <w:sz w:val="24"/>
          <w:szCs w:val="24"/>
        </w:rPr>
      </w:pPr>
      <w:r>
        <w:rPr>
          <w:sz w:val="24"/>
          <w:szCs w:val="24"/>
        </w:rPr>
        <w:tab/>
      </w:r>
      <w:r>
        <w:rPr>
          <w:sz w:val="24"/>
          <w:szCs w:val="24"/>
        </w:rPr>
        <w:tab/>
      </w:r>
      <w:r>
        <w:rPr>
          <w:sz w:val="24"/>
          <w:szCs w:val="24"/>
        </w:rPr>
        <w:tab/>
      </w:r>
      <w:r>
        <w:rPr>
          <w:sz w:val="24"/>
          <w:szCs w:val="24"/>
        </w:rPr>
        <w:tab/>
      </w:r>
      <w:r w:rsidR="000E2AB0">
        <w:rPr>
          <w:sz w:val="24"/>
          <w:szCs w:val="24"/>
        </w:rPr>
        <w:t>S</w:t>
      </w:r>
      <w:r>
        <w:rPr>
          <w:sz w:val="24"/>
          <w:szCs w:val="24"/>
        </w:rPr>
        <w:t>ubmitted</w:t>
      </w:r>
      <w:r w:rsidR="00A61CA1">
        <w:rPr>
          <w:sz w:val="24"/>
          <w:szCs w:val="24"/>
        </w:rPr>
        <w:t xml:space="preserve"> by</w:t>
      </w:r>
      <w:r>
        <w:rPr>
          <w:sz w:val="24"/>
          <w:szCs w:val="24"/>
        </w:rPr>
        <w:t>,</w:t>
      </w:r>
    </w:p>
    <w:p w:rsidR="00567588" w:rsidRDefault="00567588" w:rsidP="00567588">
      <w:pPr>
        <w:spacing w:line="360" w:lineRule="auto"/>
        <w:rPr>
          <w:sz w:val="24"/>
          <w:szCs w:val="24"/>
        </w:rPr>
      </w:pPr>
      <w:r>
        <w:rPr>
          <w:sz w:val="24"/>
          <w:szCs w:val="24"/>
        </w:rPr>
        <w:tab/>
      </w:r>
      <w:r>
        <w:rPr>
          <w:sz w:val="24"/>
          <w:szCs w:val="24"/>
        </w:rPr>
        <w:tab/>
      </w:r>
      <w:r>
        <w:rPr>
          <w:sz w:val="24"/>
          <w:szCs w:val="24"/>
        </w:rPr>
        <w:tab/>
      </w:r>
      <w:r>
        <w:rPr>
          <w:sz w:val="24"/>
          <w:szCs w:val="24"/>
        </w:rPr>
        <w:tab/>
        <w:t>______________________</w:t>
      </w:r>
    </w:p>
    <w:p w:rsidR="00567588" w:rsidRDefault="00567588" w:rsidP="00567588">
      <w:pPr>
        <w:spacing w:line="240" w:lineRule="auto"/>
        <w:rPr>
          <w:sz w:val="24"/>
          <w:szCs w:val="24"/>
        </w:rPr>
      </w:pPr>
      <w:r>
        <w:rPr>
          <w:sz w:val="24"/>
          <w:szCs w:val="24"/>
        </w:rPr>
        <w:tab/>
      </w:r>
      <w:r>
        <w:rPr>
          <w:sz w:val="24"/>
          <w:szCs w:val="24"/>
        </w:rPr>
        <w:tab/>
      </w:r>
      <w:r>
        <w:rPr>
          <w:sz w:val="24"/>
          <w:szCs w:val="24"/>
        </w:rPr>
        <w:tab/>
      </w:r>
      <w:r>
        <w:rPr>
          <w:sz w:val="24"/>
          <w:szCs w:val="24"/>
        </w:rPr>
        <w:tab/>
        <w:t>Michael Lauver</w:t>
      </w:r>
    </w:p>
    <w:p w:rsidR="00F003F8" w:rsidRDefault="00567588" w:rsidP="008603A9">
      <w:pPr>
        <w:spacing w:line="240" w:lineRule="auto"/>
        <w:rPr>
          <w:sz w:val="24"/>
          <w:szCs w:val="24"/>
        </w:rPr>
      </w:pPr>
      <w:r>
        <w:rPr>
          <w:sz w:val="24"/>
          <w:szCs w:val="24"/>
        </w:rPr>
        <w:tab/>
      </w:r>
      <w:r>
        <w:rPr>
          <w:sz w:val="24"/>
          <w:szCs w:val="24"/>
        </w:rPr>
        <w:tab/>
      </w:r>
      <w:r>
        <w:rPr>
          <w:sz w:val="24"/>
          <w:szCs w:val="24"/>
        </w:rPr>
        <w:tab/>
      </w:r>
      <w:r>
        <w:rPr>
          <w:sz w:val="24"/>
          <w:szCs w:val="24"/>
        </w:rPr>
        <w:tab/>
        <w:t xml:space="preserve">Member, Seatac Shuttle, LLC. </w:t>
      </w:r>
      <w:r w:rsidR="00723365">
        <w:rPr>
          <w:sz w:val="24"/>
          <w:szCs w:val="24"/>
        </w:rPr>
        <w:t xml:space="preserve">  </w:t>
      </w:r>
      <w:r>
        <w:rPr>
          <w:sz w:val="24"/>
          <w:szCs w:val="24"/>
        </w:rPr>
        <w:t>C-1077</w:t>
      </w:r>
    </w:p>
    <w:p w:rsidR="00015F7E" w:rsidRDefault="00015F7E" w:rsidP="008603A9">
      <w:pPr>
        <w:spacing w:line="240" w:lineRule="auto"/>
        <w:rPr>
          <w:sz w:val="24"/>
          <w:szCs w:val="24"/>
        </w:rPr>
      </w:pPr>
    </w:p>
    <w:p w:rsidR="00015F7E" w:rsidRDefault="00015F7E" w:rsidP="008603A9">
      <w:pPr>
        <w:spacing w:line="240" w:lineRule="auto"/>
        <w:rPr>
          <w:sz w:val="24"/>
          <w:szCs w:val="24"/>
        </w:rPr>
      </w:pPr>
    </w:p>
    <w:p w:rsidR="00015F7E" w:rsidRDefault="00015F7E" w:rsidP="008603A9">
      <w:pPr>
        <w:spacing w:line="240" w:lineRule="auto"/>
        <w:rPr>
          <w:sz w:val="24"/>
          <w:szCs w:val="24"/>
        </w:rPr>
      </w:pPr>
    </w:p>
    <w:p w:rsidR="00015F7E" w:rsidRDefault="00015F7E" w:rsidP="008603A9">
      <w:pPr>
        <w:spacing w:line="240" w:lineRule="auto"/>
        <w:rPr>
          <w:sz w:val="24"/>
          <w:szCs w:val="24"/>
        </w:rPr>
      </w:pPr>
    </w:p>
    <w:p w:rsidR="00015F7E" w:rsidRDefault="00015F7E" w:rsidP="008603A9">
      <w:pPr>
        <w:spacing w:line="240" w:lineRule="auto"/>
        <w:rPr>
          <w:sz w:val="24"/>
          <w:szCs w:val="24"/>
        </w:rPr>
      </w:pPr>
    </w:p>
    <w:p w:rsidR="00015F7E" w:rsidRPr="00015F7E" w:rsidRDefault="00015F7E" w:rsidP="008603A9">
      <w:pPr>
        <w:spacing w:line="240" w:lineRule="auto"/>
        <w:rPr>
          <w:rFonts w:ascii="Times New Roman" w:hAnsi="Times New Roman" w:cs="Times New Roman"/>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15F7E">
        <w:rPr>
          <w:rFonts w:ascii="Times New Roman" w:hAnsi="Times New Roman" w:cs="Times New Roman"/>
          <w:sz w:val="20"/>
          <w:szCs w:val="20"/>
        </w:rPr>
        <w:t>Pg 11</w:t>
      </w:r>
    </w:p>
    <w:sectPr w:rsidR="00015F7E" w:rsidRPr="00015F7E" w:rsidSect="00AB1F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12" w:rsidRDefault="00487112" w:rsidP="00064B48">
      <w:pPr>
        <w:spacing w:after="0" w:line="240" w:lineRule="auto"/>
      </w:pPr>
      <w:r>
        <w:separator/>
      </w:r>
    </w:p>
  </w:endnote>
  <w:endnote w:type="continuationSeparator" w:id="0">
    <w:p w:rsidR="00487112" w:rsidRDefault="00487112" w:rsidP="0006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12" w:rsidRDefault="00487112" w:rsidP="00064B48">
      <w:pPr>
        <w:spacing w:after="0" w:line="240" w:lineRule="auto"/>
      </w:pPr>
      <w:r>
        <w:separator/>
      </w:r>
    </w:p>
  </w:footnote>
  <w:footnote w:type="continuationSeparator" w:id="0">
    <w:p w:rsidR="00487112" w:rsidRDefault="00487112" w:rsidP="00064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80ADF"/>
    <w:multiLevelType w:val="hybridMultilevel"/>
    <w:tmpl w:val="FAC85160"/>
    <w:lvl w:ilvl="0" w:tplc="2870A6C6">
      <w:start w:val="1"/>
      <w:numFmt w:val="decimal"/>
      <w:lvlText w:val="%1"/>
      <w:lvlJc w:val="left"/>
      <w:pPr>
        <w:ind w:left="360" w:hanging="360"/>
      </w:pPr>
      <w:rPr>
        <w:rFonts w:ascii="Times New Roman" w:hAnsi="Times New Roman" w:hint="default"/>
        <w:b w:val="0"/>
        <w:i/>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61"/>
    <w:rsid w:val="00001387"/>
    <w:rsid w:val="00015F7E"/>
    <w:rsid w:val="0001782F"/>
    <w:rsid w:val="00037D63"/>
    <w:rsid w:val="0004116C"/>
    <w:rsid w:val="00064B48"/>
    <w:rsid w:val="000775F9"/>
    <w:rsid w:val="000975A0"/>
    <w:rsid w:val="000B2C92"/>
    <w:rsid w:val="000C307C"/>
    <w:rsid w:val="000C7221"/>
    <w:rsid w:val="000D285A"/>
    <w:rsid w:val="000E2AB0"/>
    <w:rsid w:val="00101262"/>
    <w:rsid w:val="0010203E"/>
    <w:rsid w:val="0010423D"/>
    <w:rsid w:val="00105AC4"/>
    <w:rsid w:val="00121BB4"/>
    <w:rsid w:val="00125469"/>
    <w:rsid w:val="00127867"/>
    <w:rsid w:val="00143CE7"/>
    <w:rsid w:val="001509E4"/>
    <w:rsid w:val="00165C25"/>
    <w:rsid w:val="00175158"/>
    <w:rsid w:val="0019712B"/>
    <w:rsid w:val="001A589F"/>
    <w:rsid w:val="001B02B3"/>
    <w:rsid w:val="001B0947"/>
    <w:rsid w:val="001B097C"/>
    <w:rsid w:val="001C43E8"/>
    <w:rsid w:val="001D003F"/>
    <w:rsid w:val="001E3722"/>
    <w:rsid w:val="0021296E"/>
    <w:rsid w:val="00214115"/>
    <w:rsid w:val="002169E5"/>
    <w:rsid w:val="00223A43"/>
    <w:rsid w:val="00243431"/>
    <w:rsid w:val="00256670"/>
    <w:rsid w:val="002931A0"/>
    <w:rsid w:val="002B5531"/>
    <w:rsid w:val="002C742D"/>
    <w:rsid w:val="002D7D09"/>
    <w:rsid w:val="002E4050"/>
    <w:rsid w:val="002F4C54"/>
    <w:rsid w:val="002F51BB"/>
    <w:rsid w:val="0031757A"/>
    <w:rsid w:val="00320606"/>
    <w:rsid w:val="003455CF"/>
    <w:rsid w:val="0037773C"/>
    <w:rsid w:val="003A2675"/>
    <w:rsid w:val="003C13FC"/>
    <w:rsid w:val="003D238A"/>
    <w:rsid w:val="003F032A"/>
    <w:rsid w:val="003F1289"/>
    <w:rsid w:val="003F5D37"/>
    <w:rsid w:val="003F5E57"/>
    <w:rsid w:val="004127DD"/>
    <w:rsid w:val="004144B6"/>
    <w:rsid w:val="004454C2"/>
    <w:rsid w:val="0048287B"/>
    <w:rsid w:val="00487112"/>
    <w:rsid w:val="004A101A"/>
    <w:rsid w:val="004A2B2A"/>
    <w:rsid w:val="004A7E2A"/>
    <w:rsid w:val="004C6F55"/>
    <w:rsid w:val="004E01A3"/>
    <w:rsid w:val="00510288"/>
    <w:rsid w:val="0054725C"/>
    <w:rsid w:val="00552427"/>
    <w:rsid w:val="00561CEB"/>
    <w:rsid w:val="00564A9B"/>
    <w:rsid w:val="0056607E"/>
    <w:rsid w:val="00567588"/>
    <w:rsid w:val="005B78A7"/>
    <w:rsid w:val="005E2F01"/>
    <w:rsid w:val="006103EC"/>
    <w:rsid w:val="00632AC1"/>
    <w:rsid w:val="0065421A"/>
    <w:rsid w:val="00657DC2"/>
    <w:rsid w:val="0066338B"/>
    <w:rsid w:val="0067048C"/>
    <w:rsid w:val="00682C62"/>
    <w:rsid w:val="006904D6"/>
    <w:rsid w:val="006961A9"/>
    <w:rsid w:val="00697105"/>
    <w:rsid w:val="006A46BE"/>
    <w:rsid w:val="006F3748"/>
    <w:rsid w:val="00722A29"/>
    <w:rsid w:val="00723365"/>
    <w:rsid w:val="00742C61"/>
    <w:rsid w:val="007758DA"/>
    <w:rsid w:val="00781528"/>
    <w:rsid w:val="0079784D"/>
    <w:rsid w:val="007A1A84"/>
    <w:rsid w:val="007A7428"/>
    <w:rsid w:val="007C08B8"/>
    <w:rsid w:val="007F590F"/>
    <w:rsid w:val="00803C53"/>
    <w:rsid w:val="008146B4"/>
    <w:rsid w:val="0081749B"/>
    <w:rsid w:val="00827D08"/>
    <w:rsid w:val="00832138"/>
    <w:rsid w:val="00833070"/>
    <w:rsid w:val="008331B6"/>
    <w:rsid w:val="00845EB9"/>
    <w:rsid w:val="0084730B"/>
    <w:rsid w:val="00855A0A"/>
    <w:rsid w:val="008603A9"/>
    <w:rsid w:val="00884472"/>
    <w:rsid w:val="008A0F01"/>
    <w:rsid w:val="008D0059"/>
    <w:rsid w:val="008E0B80"/>
    <w:rsid w:val="008F277D"/>
    <w:rsid w:val="0094711C"/>
    <w:rsid w:val="00952AFB"/>
    <w:rsid w:val="00970DC6"/>
    <w:rsid w:val="009842F0"/>
    <w:rsid w:val="00986DCF"/>
    <w:rsid w:val="009D5988"/>
    <w:rsid w:val="00A021D1"/>
    <w:rsid w:val="00A02CAD"/>
    <w:rsid w:val="00A211A0"/>
    <w:rsid w:val="00A47C6F"/>
    <w:rsid w:val="00A61CA1"/>
    <w:rsid w:val="00A7179B"/>
    <w:rsid w:val="00A8777A"/>
    <w:rsid w:val="00AB0394"/>
    <w:rsid w:val="00AB1F51"/>
    <w:rsid w:val="00AC4542"/>
    <w:rsid w:val="00AD3C5B"/>
    <w:rsid w:val="00AD76E6"/>
    <w:rsid w:val="00AE3C31"/>
    <w:rsid w:val="00AF39A2"/>
    <w:rsid w:val="00B11015"/>
    <w:rsid w:val="00B139EA"/>
    <w:rsid w:val="00B170FC"/>
    <w:rsid w:val="00B3054A"/>
    <w:rsid w:val="00B94C16"/>
    <w:rsid w:val="00BA0633"/>
    <w:rsid w:val="00BB28A3"/>
    <w:rsid w:val="00BD5C91"/>
    <w:rsid w:val="00BE2B77"/>
    <w:rsid w:val="00BF2948"/>
    <w:rsid w:val="00BF57B6"/>
    <w:rsid w:val="00BF5A6D"/>
    <w:rsid w:val="00C0010D"/>
    <w:rsid w:val="00C00C74"/>
    <w:rsid w:val="00C20064"/>
    <w:rsid w:val="00C24C42"/>
    <w:rsid w:val="00C341BA"/>
    <w:rsid w:val="00C417BF"/>
    <w:rsid w:val="00C521CD"/>
    <w:rsid w:val="00C652B6"/>
    <w:rsid w:val="00C91EF2"/>
    <w:rsid w:val="00C9580B"/>
    <w:rsid w:val="00CA049E"/>
    <w:rsid w:val="00CC25C1"/>
    <w:rsid w:val="00CD127B"/>
    <w:rsid w:val="00D12F27"/>
    <w:rsid w:val="00D267F2"/>
    <w:rsid w:val="00D27766"/>
    <w:rsid w:val="00D33703"/>
    <w:rsid w:val="00D40EA9"/>
    <w:rsid w:val="00DD71BE"/>
    <w:rsid w:val="00DE7A2F"/>
    <w:rsid w:val="00DF20D1"/>
    <w:rsid w:val="00DF462D"/>
    <w:rsid w:val="00E020B7"/>
    <w:rsid w:val="00E025B1"/>
    <w:rsid w:val="00E0357F"/>
    <w:rsid w:val="00E14473"/>
    <w:rsid w:val="00E3196F"/>
    <w:rsid w:val="00E50516"/>
    <w:rsid w:val="00E57154"/>
    <w:rsid w:val="00E83A31"/>
    <w:rsid w:val="00E91A75"/>
    <w:rsid w:val="00E94454"/>
    <w:rsid w:val="00EA0AD0"/>
    <w:rsid w:val="00ED5F37"/>
    <w:rsid w:val="00EF1378"/>
    <w:rsid w:val="00EF5E5D"/>
    <w:rsid w:val="00EF6D02"/>
    <w:rsid w:val="00F003F8"/>
    <w:rsid w:val="00F20B8A"/>
    <w:rsid w:val="00F233EC"/>
    <w:rsid w:val="00F34EB8"/>
    <w:rsid w:val="00F606ED"/>
    <w:rsid w:val="00F60B45"/>
    <w:rsid w:val="00F61D00"/>
    <w:rsid w:val="00F6427F"/>
    <w:rsid w:val="00F65E2E"/>
    <w:rsid w:val="00F851E3"/>
    <w:rsid w:val="00F9555D"/>
    <w:rsid w:val="00FB358E"/>
    <w:rsid w:val="00FD7ACC"/>
    <w:rsid w:val="00FD7E24"/>
    <w:rsid w:val="00FF370E"/>
    <w:rsid w:val="00FF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3722"/>
    <w:pPr>
      <w:spacing w:after="150" w:line="240" w:lineRule="auto"/>
      <w:outlineLvl w:val="0"/>
    </w:pPr>
    <w:rPr>
      <w:rFonts w:ascii="Arial Black" w:eastAsia="Times New Roman" w:hAnsi="Arial Black" w:cs="Times New Roman"/>
      <w:color w:val="000000"/>
      <w:kern w:val="36"/>
      <w:sz w:val="36"/>
      <w:szCs w:val="36"/>
    </w:rPr>
  </w:style>
  <w:style w:type="paragraph" w:styleId="Heading2">
    <w:name w:val="heading 2"/>
    <w:basedOn w:val="Normal"/>
    <w:next w:val="Normal"/>
    <w:link w:val="Heading2Char"/>
    <w:uiPriority w:val="9"/>
    <w:semiHidden/>
    <w:unhideWhenUsed/>
    <w:qFormat/>
    <w:rsid w:val="00D40E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C61"/>
    <w:pPr>
      <w:spacing w:after="0" w:line="240" w:lineRule="auto"/>
    </w:pPr>
  </w:style>
  <w:style w:type="paragraph" w:styleId="FootnoteText">
    <w:name w:val="footnote text"/>
    <w:basedOn w:val="Normal"/>
    <w:link w:val="FootnoteTextChar"/>
    <w:semiHidden/>
    <w:rsid w:val="00064B4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64B48"/>
    <w:rPr>
      <w:rFonts w:ascii="Times New Roman" w:eastAsia="Times New Roman" w:hAnsi="Times New Roman" w:cs="Times New Roman"/>
      <w:sz w:val="20"/>
      <w:szCs w:val="20"/>
    </w:rPr>
  </w:style>
  <w:style w:type="character" w:styleId="FootnoteReference">
    <w:name w:val="footnote reference"/>
    <w:rsid w:val="00064B48"/>
    <w:rPr>
      <w:vertAlign w:val="superscript"/>
    </w:rPr>
  </w:style>
  <w:style w:type="character" w:customStyle="1" w:styleId="Heading1Char">
    <w:name w:val="Heading 1 Char"/>
    <w:basedOn w:val="DefaultParagraphFont"/>
    <w:link w:val="Heading1"/>
    <w:uiPriority w:val="9"/>
    <w:rsid w:val="001E3722"/>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semiHidden/>
    <w:rsid w:val="00D40EA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D40EA9"/>
    <w:rPr>
      <w:color w:val="2B674D"/>
      <w:u w:val="single"/>
    </w:rPr>
  </w:style>
  <w:style w:type="paragraph" w:customStyle="1" w:styleId="Default">
    <w:name w:val="Default"/>
    <w:rsid w:val="004127D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3722"/>
    <w:pPr>
      <w:spacing w:after="150" w:line="240" w:lineRule="auto"/>
      <w:outlineLvl w:val="0"/>
    </w:pPr>
    <w:rPr>
      <w:rFonts w:ascii="Arial Black" w:eastAsia="Times New Roman" w:hAnsi="Arial Black" w:cs="Times New Roman"/>
      <w:color w:val="000000"/>
      <w:kern w:val="36"/>
      <w:sz w:val="36"/>
      <w:szCs w:val="36"/>
    </w:rPr>
  </w:style>
  <w:style w:type="paragraph" w:styleId="Heading2">
    <w:name w:val="heading 2"/>
    <w:basedOn w:val="Normal"/>
    <w:next w:val="Normal"/>
    <w:link w:val="Heading2Char"/>
    <w:uiPriority w:val="9"/>
    <w:semiHidden/>
    <w:unhideWhenUsed/>
    <w:qFormat/>
    <w:rsid w:val="00D40E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C61"/>
    <w:pPr>
      <w:spacing w:after="0" w:line="240" w:lineRule="auto"/>
    </w:pPr>
  </w:style>
  <w:style w:type="paragraph" w:styleId="FootnoteText">
    <w:name w:val="footnote text"/>
    <w:basedOn w:val="Normal"/>
    <w:link w:val="FootnoteTextChar"/>
    <w:semiHidden/>
    <w:rsid w:val="00064B4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64B48"/>
    <w:rPr>
      <w:rFonts w:ascii="Times New Roman" w:eastAsia="Times New Roman" w:hAnsi="Times New Roman" w:cs="Times New Roman"/>
      <w:sz w:val="20"/>
      <w:szCs w:val="20"/>
    </w:rPr>
  </w:style>
  <w:style w:type="character" w:styleId="FootnoteReference">
    <w:name w:val="footnote reference"/>
    <w:rsid w:val="00064B48"/>
    <w:rPr>
      <w:vertAlign w:val="superscript"/>
    </w:rPr>
  </w:style>
  <w:style w:type="character" w:customStyle="1" w:styleId="Heading1Char">
    <w:name w:val="Heading 1 Char"/>
    <w:basedOn w:val="DefaultParagraphFont"/>
    <w:link w:val="Heading1"/>
    <w:uiPriority w:val="9"/>
    <w:rsid w:val="001E3722"/>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semiHidden/>
    <w:rsid w:val="00D40EA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D40EA9"/>
    <w:rPr>
      <w:color w:val="2B674D"/>
      <w:u w:val="single"/>
    </w:rPr>
  </w:style>
  <w:style w:type="paragraph" w:customStyle="1" w:styleId="Default">
    <w:name w:val="Default"/>
    <w:rsid w:val="004127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51038">
      <w:bodyDiv w:val="1"/>
      <w:marLeft w:val="0"/>
      <w:marRight w:val="0"/>
      <w:marTop w:val="0"/>
      <w:marBottom w:val="0"/>
      <w:divBdr>
        <w:top w:val="none" w:sz="0" w:space="0" w:color="auto"/>
        <w:left w:val="none" w:sz="0" w:space="0" w:color="auto"/>
        <w:bottom w:val="none" w:sz="0" w:space="0" w:color="auto"/>
        <w:right w:val="none" w:sz="0" w:space="0" w:color="auto"/>
      </w:divBdr>
      <w:divsChild>
        <w:div w:id="1210796994">
          <w:marLeft w:val="150"/>
          <w:marRight w:val="0"/>
          <w:marTop w:val="0"/>
          <w:marBottom w:val="0"/>
          <w:divBdr>
            <w:top w:val="none" w:sz="0" w:space="0" w:color="auto"/>
            <w:left w:val="none" w:sz="0" w:space="0" w:color="auto"/>
            <w:bottom w:val="none" w:sz="0" w:space="0" w:color="auto"/>
            <w:right w:val="none" w:sz="0" w:space="0" w:color="auto"/>
          </w:divBdr>
          <w:divsChild>
            <w:div w:id="1385987191">
              <w:marLeft w:val="0"/>
              <w:marRight w:val="0"/>
              <w:marTop w:val="0"/>
              <w:marBottom w:val="0"/>
              <w:divBdr>
                <w:top w:val="none" w:sz="0" w:space="0" w:color="auto"/>
                <w:left w:val="none" w:sz="0" w:space="0" w:color="auto"/>
                <w:bottom w:val="none" w:sz="0" w:space="0" w:color="auto"/>
                <w:right w:val="none" w:sz="0" w:space="0" w:color="auto"/>
              </w:divBdr>
            </w:div>
            <w:div w:id="373965296">
              <w:marLeft w:val="0"/>
              <w:marRight w:val="0"/>
              <w:marTop w:val="0"/>
              <w:marBottom w:val="0"/>
              <w:divBdr>
                <w:top w:val="none" w:sz="0" w:space="0" w:color="auto"/>
                <w:left w:val="none" w:sz="0" w:space="0" w:color="auto"/>
                <w:bottom w:val="none" w:sz="0" w:space="0" w:color="auto"/>
                <w:right w:val="none" w:sz="0" w:space="0" w:color="auto"/>
              </w:divBdr>
            </w:div>
            <w:div w:id="10346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089">
      <w:bodyDiv w:val="1"/>
      <w:marLeft w:val="0"/>
      <w:marRight w:val="0"/>
      <w:marTop w:val="0"/>
      <w:marBottom w:val="0"/>
      <w:divBdr>
        <w:top w:val="none" w:sz="0" w:space="0" w:color="auto"/>
        <w:left w:val="none" w:sz="0" w:space="0" w:color="auto"/>
        <w:bottom w:val="none" w:sz="0" w:space="0" w:color="auto"/>
        <w:right w:val="none" w:sz="0" w:space="0" w:color="auto"/>
      </w:divBdr>
      <w:divsChild>
        <w:div w:id="896166179">
          <w:marLeft w:val="150"/>
          <w:marRight w:val="0"/>
          <w:marTop w:val="0"/>
          <w:marBottom w:val="0"/>
          <w:divBdr>
            <w:top w:val="none" w:sz="0" w:space="0" w:color="auto"/>
            <w:left w:val="none" w:sz="0" w:space="0" w:color="auto"/>
            <w:bottom w:val="none" w:sz="0" w:space="0" w:color="auto"/>
            <w:right w:val="none" w:sz="0" w:space="0" w:color="auto"/>
          </w:divBdr>
          <w:divsChild>
            <w:div w:id="9331409">
              <w:marLeft w:val="0"/>
              <w:marRight w:val="0"/>
              <w:marTop w:val="0"/>
              <w:marBottom w:val="0"/>
              <w:divBdr>
                <w:top w:val="none" w:sz="0" w:space="0" w:color="auto"/>
                <w:left w:val="none" w:sz="0" w:space="0" w:color="auto"/>
                <w:bottom w:val="none" w:sz="0" w:space="0" w:color="auto"/>
                <w:right w:val="none" w:sz="0" w:space="0" w:color="auto"/>
              </w:divBdr>
            </w:div>
            <w:div w:id="240605143">
              <w:marLeft w:val="0"/>
              <w:marRight w:val="0"/>
              <w:marTop w:val="0"/>
              <w:marBottom w:val="0"/>
              <w:divBdr>
                <w:top w:val="none" w:sz="0" w:space="0" w:color="auto"/>
                <w:left w:val="none" w:sz="0" w:space="0" w:color="auto"/>
                <w:bottom w:val="none" w:sz="0" w:space="0" w:color="auto"/>
                <w:right w:val="none" w:sz="0" w:space="0" w:color="auto"/>
              </w:divBdr>
            </w:div>
            <w:div w:id="1747340627">
              <w:marLeft w:val="0"/>
              <w:marRight w:val="0"/>
              <w:marTop w:val="0"/>
              <w:marBottom w:val="0"/>
              <w:divBdr>
                <w:top w:val="none" w:sz="0" w:space="0" w:color="auto"/>
                <w:left w:val="none" w:sz="0" w:space="0" w:color="auto"/>
                <w:bottom w:val="none" w:sz="0" w:space="0" w:color="auto"/>
                <w:right w:val="none" w:sz="0" w:space="0" w:color="auto"/>
              </w:divBdr>
            </w:div>
            <w:div w:id="2075155003">
              <w:marLeft w:val="0"/>
              <w:marRight w:val="0"/>
              <w:marTop w:val="0"/>
              <w:marBottom w:val="0"/>
              <w:divBdr>
                <w:top w:val="none" w:sz="0" w:space="0" w:color="auto"/>
                <w:left w:val="none" w:sz="0" w:space="0" w:color="auto"/>
                <w:bottom w:val="none" w:sz="0" w:space="0" w:color="auto"/>
                <w:right w:val="none" w:sz="0" w:space="0" w:color="auto"/>
              </w:divBdr>
            </w:div>
            <w:div w:id="603879699">
              <w:marLeft w:val="0"/>
              <w:marRight w:val="0"/>
              <w:marTop w:val="0"/>
              <w:marBottom w:val="0"/>
              <w:divBdr>
                <w:top w:val="none" w:sz="0" w:space="0" w:color="auto"/>
                <w:left w:val="none" w:sz="0" w:space="0" w:color="auto"/>
                <w:bottom w:val="none" w:sz="0" w:space="0" w:color="auto"/>
                <w:right w:val="none" w:sz="0" w:space="0" w:color="auto"/>
              </w:divBdr>
            </w:div>
            <w:div w:id="2124185042">
              <w:marLeft w:val="0"/>
              <w:marRight w:val="0"/>
              <w:marTop w:val="0"/>
              <w:marBottom w:val="0"/>
              <w:divBdr>
                <w:top w:val="none" w:sz="0" w:space="0" w:color="auto"/>
                <w:left w:val="none" w:sz="0" w:space="0" w:color="auto"/>
                <w:bottom w:val="none" w:sz="0" w:space="0" w:color="auto"/>
                <w:right w:val="none" w:sz="0" w:space="0" w:color="auto"/>
              </w:divBdr>
            </w:div>
            <w:div w:id="93865674">
              <w:marLeft w:val="0"/>
              <w:marRight w:val="0"/>
              <w:marTop w:val="0"/>
              <w:marBottom w:val="0"/>
              <w:divBdr>
                <w:top w:val="none" w:sz="0" w:space="0" w:color="auto"/>
                <w:left w:val="none" w:sz="0" w:space="0" w:color="auto"/>
                <w:bottom w:val="none" w:sz="0" w:space="0" w:color="auto"/>
                <w:right w:val="none" w:sz="0" w:space="0" w:color="auto"/>
              </w:divBdr>
            </w:div>
            <w:div w:id="1381517894">
              <w:marLeft w:val="0"/>
              <w:marRight w:val="0"/>
              <w:marTop w:val="0"/>
              <w:marBottom w:val="0"/>
              <w:divBdr>
                <w:top w:val="none" w:sz="0" w:space="0" w:color="auto"/>
                <w:left w:val="none" w:sz="0" w:space="0" w:color="auto"/>
                <w:bottom w:val="none" w:sz="0" w:space="0" w:color="auto"/>
                <w:right w:val="none" w:sz="0" w:space="0" w:color="auto"/>
              </w:divBdr>
            </w:div>
            <w:div w:id="1971520590">
              <w:marLeft w:val="0"/>
              <w:marRight w:val="0"/>
              <w:marTop w:val="0"/>
              <w:marBottom w:val="0"/>
              <w:divBdr>
                <w:top w:val="none" w:sz="0" w:space="0" w:color="auto"/>
                <w:left w:val="none" w:sz="0" w:space="0" w:color="auto"/>
                <w:bottom w:val="none" w:sz="0" w:space="0" w:color="auto"/>
                <w:right w:val="none" w:sz="0" w:space="0" w:color="auto"/>
              </w:divBdr>
            </w:div>
            <w:div w:id="1079324062">
              <w:marLeft w:val="0"/>
              <w:marRight w:val="0"/>
              <w:marTop w:val="0"/>
              <w:marBottom w:val="0"/>
              <w:divBdr>
                <w:top w:val="none" w:sz="0" w:space="0" w:color="auto"/>
                <w:left w:val="none" w:sz="0" w:space="0" w:color="auto"/>
                <w:bottom w:val="none" w:sz="0" w:space="0" w:color="auto"/>
                <w:right w:val="none" w:sz="0" w:space="0" w:color="auto"/>
              </w:divBdr>
            </w:div>
            <w:div w:id="365718608">
              <w:marLeft w:val="0"/>
              <w:marRight w:val="0"/>
              <w:marTop w:val="0"/>
              <w:marBottom w:val="0"/>
              <w:divBdr>
                <w:top w:val="none" w:sz="0" w:space="0" w:color="auto"/>
                <w:left w:val="none" w:sz="0" w:space="0" w:color="auto"/>
                <w:bottom w:val="none" w:sz="0" w:space="0" w:color="auto"/>
                <w:right w:val="none" w:sz="0" w:space="0" w:color="auto"/>
              </w:divBdr>
            </w:div>
            <w:div w:id="1668747537">
              <w:marLeft w:val="0"/>
              <w:marRight w:val="0"/>
              <w:marTop w:val="0"/>
              <w:marBottom w:val="0"/>
              <w:divBdr>
                <w:top w:val="none" w:sz="0" w:space="0" w:color="auto"/>
                <w:left w:val="none" w:sz="0" w:space="0" w:color="auto"/>
                <w:bottom w:val="none" w:sz="0" w:space="0" w:color="auto"/>
                <w:right w:val="none" w:sz="0" w:space="0" w:color="auto"/>
              </w:divBdr>
            </w:div>
            <w:div w:id="1298292341">
              <w:marLeft w:val="0"/>
              <w:marRight w:val="0"/>
              <w:marTop w:val="0"/>
              <w:marBottom w:val="0"/>
              <w:divBdr>
                <w:top w:val="none" w:sz="0" w:space="0" w:color="auto"/>
                <w:left w:val="none" w:sz="0" w:space="0" w:color="auto"/>
                <w:bottom w:val="none" w:sz="0" w:space="0" w:color="auto"/>
                <w:right w:val="none" w:sz="0" w:space="0" w:color="auto"/>
              </w:divBdr>
            </w:div>
            <w:div w:id="1701006201">
              <w:marLeft w:val="0"/>
              <w:marRight w:val="0"/>
              <w:marTop w:val="0"/>
              <w:marBottom w:val="0"/>
              <w:divBdr>
                <w:top w:val="none" w:sz="0" w:space="0" w:color="auto"/>
                <w:left w:val="none" w:sz="0" w:space="0" w:color="auto"/>
                <w:bottom w:val="none" w:sz="0" w:space="0" w:color="auto"/>
                <w:right w:val="none" w:sz="0" w:space="0" w:color="auto"/>
              </w:divBdr>
            </w:div>
            <w:div w:id="33431435">
              <w:marLeft w:val="0"/>
              <w:marRight w:val="0"/>
              <w:marTop w:val="0"/>
              <w:marBottom w:val="0"/>
              <w:divBdr>
                <w:top w:val="none" w:sz="0" w:space="0" w:color="auto"/>
                <w:left w:val="none" w:sz="0" w:space="0" w:color="auto"/>
                <w:bottom w:val="none" w:sz="0" w:space="0" w:color="auto"/>
                <w:right w:val="none" w:sz="0" w:space="0" w:color="auto"/>
              </w:divBdr>
            </w:div>
            <w:div w:id="988556818">
              <w:marLeft w:val="0"/>
              <w:marRight w:val="0"/>
              <w:marTop w:val="0"/>
              <w:marBottom w:val="0"/>
              <w:divBdr>
                <w:top w:val="none" w:sz="0" w:space="0" w:color="auto"/>
                <w:left w:val="none" w:sz="0" w:space="0" w:color="auto"/>
                <w:bottom w:val="none" w:sz="0" w:space="0" w:color="auto"/>
                <w:right w:val="none" w:sz="0" w:space="0" w:color="auto"/>
              </w:divBdr>
            </w:div>
            <w:div w:id="192963590">
              <w:marLeft w:val="0"/>
              <w:marRight w:val="0"/>
              <w:marTop w:val="0"/>
              <w:marBottom w:val="0"/>
              <w:divBdr>
                <w:top w:val="none" w:sz="0" w:space="0" w:color="auto"/>
                <w:left w:val="none" w:sz="0" w:space="0" w:color="auto"/>
                <w:bottom w:val="none" w:sz="0" w:space="0" w:color="auto"/>
                <w:right w:val="none" w:sz="0" w:space="0" w:color="auto"/>
              </w:divBdr>
            </w:div>
            <w:div w:id="1903713998">
              <w:marLeft w:val="0"/>
              <w:marRight w:val="0"/>
              <w:marTop w:val="0"/>
              <w:marBottom w:val="0"/>
              <w:divBdr>
                <w:top w:val="none" w:sz="0" w:space="0" w:color="auto"/>
                <w:left w:val="none" w:sz="0" w:space="0" w:color="auto"/>
                <w:bottom w:val="none" w:sz="0" w:space="0" w:color="auto"/>
                <w:right w:val="none" w:sz="0" w:space="0" w:color="auto"/>
              </w:divBdr>
            </w:div>
            <w:div w:id="522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92967427FB4A44B36409CCDC0DC288" ma:contentTypeVersion="135" ma:contentTypeDescription="" ma:contentTypeScope="" ma:versionID="3e7015c79d65141e3bd06d11039800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2013-05-07T07:00:00+00:00</OpenedDate>
    <Date1 xmlns="dc463f71-b30c-4ab2-9473-d307f9d35888">2014-02-28T08:00:00+00:00</Date1>
    <IsDocumentOrder xmlns="dc463f71-b30c-4ab2-9473-d307f9d35888" xsi:nil="true"/>
    <IsHighlyConfidential xmlns="dc463f71-b30c-4ab2-9473-d307f9d35888">false</IsHighlyConfidential>
    <CaseCompanyNames xmlns="dc463f71-b30c-4ab2-9473-d307f9d35888">Northwest Smoking &amp; Curing, Inc.</CaseCompanyNames>
    <DocketNumber xmlns="dc463f71-b30c-4ab2-9473-d307f9d35888">130708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212089-F1B5-4E05-A928-BA6BBEB47D69}"/>
</file>

<file path=customXml/itemProps2.xml><?xml version="1.0" encoding="utf-8"?>
<ds:datastoreItem xmlns:ds="http://schemas.openxmlformats.org/officeDocument/2006/customXml" ds:itemID="{AA8E6E3C-E52D-4B93-9BE7-9FE208636C4D}"/>
</file>

<file path=customXml/itemProps3.xml><?xml version="1.0" encoding="utf-8"?>
<ds:datastoreItem xmlns:ds="http://schemas.openxmlformats.org/officeDocument/2006/customXml" ds:itemID="{E67640EA-3B72-4F50-9092-564BEE02D3A1}"/>
</file>

<file path=customXml/itemProps4.xml><?xml version="1.0" encoding="utf-8"?>
<ds:datastoreItem xmlns:ds="http://schemas.openxmlformats.org/officeDocument/2006/customXml" ds:itemID="{8C00896A-4581-41E6-9B09-FE6DB3E4A73F}"/>
</file>

<file path=customXml/itemProps5.xml><?xml version="1.0" encoding="utf-8"?>
<ds:datastoreItem xmlns:ds="http://schemas.openxmlformats.org/officeDocument/2006/customXml" ds:itemID="{448947A9-D603-4A9B-899F-B81EBC1DFE66}"/>
</file>

<file path=docProps/app.xml><?xml version="1.0" encoding="utf-8"?>
<Properties xmlns="http://schemas.openxmlformats.org/officeDocument/2006/extended-properties" xmlns:vt="http://schemas.openxmlformats.org/officeDocument/2006/docPropsVTypes">
  <Template>Normal.dotm</Template>
  <TotalTime>1</TotalTime>
  <Pages>11</Pages>
  <Words>3747</Words>
  <Characters>21363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John Solin</cp:lastModifiedBy>
  <cp:revision>2</cp:revision>
  <cp:lastPrinted>2014-02-21T22:20:00Z</cp:lastPrinted>
  <dcterms:created xsi:type="dcterms:W3CDTF">2014-02-28T20:22:00Z</dcterms:created>
  <dcterms:modified xsi:type="dcterms:W3CDTF">2014-02-28T20:22:00Z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0x0101006E56B4D1795A2E4DB2F0B01679ED314A00F592967427FB4A44B36409CCDC0DC288</vt:lpwstr>
  </property>
  <property fmtid="{D5CDD505-2E9C-101B-9397-08002B2CF9AE}" pid="3" name="_docset_NoMedatataSyncRequired">
    <vt:lpwstr>False</vt:lpwstr>
  </property>
</Properties>
</file>