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03FD71" w14:textId="66B55BC1" w:rsidR="006E3B58" w:rsidRDefault="00154718" w:rsidP="00BE5610">
      <w:bookmarkStart w:id="0" w:name="_GoBack"/>
      <w:bookmarkEnd w:id="0"/>
      <w:r w:rsidRPr="00EB4CE3">
        <w:t xml:space="preserve">Agenda Date: </w:t>
      </w:r>
      <w:r w:rsidRPr="00EB4CE3">
        <w:tab/>
      </w:r>
      <w:r w:rsidRPr="00EB4CE3">
        <w:tab/>
      </w:r>
      <w:r w:rsidR="00ED6543">
        <w:t>September 11</w:t>
      </w:r>
      <w:r w:rsidRPr="00EB4CE3">
        <w:t xml:space="preserve">, </w:t>
      </w:r>
      <w:r w:rsidR="00103755">
        <w:t>201</w:t>
      </w:r>
      <w:r w:rsidR="007A59D5">
        <w:t>4</w:t>
      </w:r>
      <w:r w:rsidR="004456FB">
        <w:tab/>
      </w:r>
      <w:r w:rsidR="004456FB">
        <w:tab/>
      </w:r>
    </w:p>
    <w:p w14:paraId="1F03FD72" w14:textId="13CC284B" w:rsidR="00154718" w:rsidRDefault="00154718" w:rsidP="00BE5610">
      <w:r w:rsidRPr="00EB4CE3">
        <w:t>Item Number</w:t>
      </w:r>
      <w:r w:rsidR="00CE0818">
        <w:t>:</w:t>
      </w:r>
      <w:r w:rsidR="00CE0818">
        <w:tab/>
      </w:r>
      <w:r w:rsidR="00CE0818">
        <w:tab/>
      </w:r>
      <w:r w:rsidR="00C04B51" w:rsidRPr="00C04B51">
        <w:t>A</w:t>
      </w:r>
      <w:r w:rsidR="00047481">
        <w:t>2</w:t>
      </w:r>
      <w:r w:rsidR="00E06470">
        <w:tab/>
      </w:r>
      <w:r w:rsidR="00E06470">
        <w:tab/>
      </w:r>
    </w:p>
    <w:p w14:paraId="1F03FD73" w14:textId="77777777" w:rsidR="006E3B58" w:rsidRPr="00EB4CE3" w:rsidRDefault="006E3B58" w:rsidP="00BE5610"/>
    <w:p w14:paraId="1F03FD74" w14:textId="3C9DDCF7" w:rsidR="00154718" w:rsidRPr="00EB4CE3" w:rsidRDefault="00154718" w:rsidP="00BE5610">
      <w:r w:rsidRPr="00EB4CE3">
        <w:t xml:space="preserve">Docket: </w:t>
      </w:r>
      <w:r w:rsidRPr="00EB4CE3">
        <w:tab/>
      </w:r>
      <w:r w:rsidRPr="00EB4CE3">
        <w:tab/>
        <w:t>UW-</w:t>
      </w:r>
      <w:r w:rsidR="00705164">
        <w:t>1</w:t>
      </w:r>
      <w:r w:rsidR="003C73AC">
        <w:t>10436</w:t>
      </w:r>
    </w:p>
    <w:p w14:paraId="1F03FD75" w14:textId="77777777" w:rsidR="00154718" w:rsidRPr="00EB4CE3" w:rsidRDefault="00A41C23" w:rsidP="00BE5610">
      <w:r w:rsidRPr="00EB4CE3">
        <w:t>Company Name:</w:t>
      </w:r>
      <w:r w:rsidRPr="00EB4CE3">
        <w:tab/>
      </w:r>
      <w:r w:rsidR="00187E0D">
        <w:t>Olympic Water and Sewer, Inc.</w:t>
      </w:r>
    </w:p>
    <w:p w14:paraId="1F03FD76" w14:textId="77777777" w:rsidR="00154718" w:rsidRPr="00EB4CE3" w:rsidRDefault="00154718" w:rsidP="00BE5610"/>
    <w:p w14:paraId="1F03FD77" w14:textId="77777777" w:rsidR="00154718" w:rsidRDefault="00595023" w:rsidP="00BE5610">
      <w:r w:rsidRPr="00EB4CE3">
        <w:t xml:space="preserve">Staff: </w:t>
      </w:r>
      <w:r w:rsidRPr="00EB4CE3">
        <w:tab/>
      </w:r>
      <w:r w:rsidRPr="00EB4CE3">
        <w:tab/>
      </w:r>
      <w:r w:rsidRPr="00EB4CE3">
        <w:tab/>
        <w:t>Jim Ward</w:t>
      </w:r>
      <w:r w:rsidR="00154718" w:rsidRPr="00EB4CE3">
        <w:t>, Regulatory Analyst</w:t>
      </w:r>
    </w:p>
    <w:p w14:paraId="1F03FD78" w14:textId="77777777" w:rsidR="00154718" w:rsidRPr="00EB4CE3" w:rsidRDefault="00103755" w:rsidP="00705164">
      <w:pPr>
        <w:ind w:left="1440" w:firstLine="720"/>
      </w:pPr>
      <w:r>
        <w:t>John Cupp</w:t>
      </w:r>
      <w:r w:rsidR="00154718" w:rsidRPr="00EB4CE3">
        <w:t>, Consumer Protection Staff</w:t>
      </w:r>
    </w:p>
    <w:p w14:paraId="1F03FD79" w14:textId="77777777" w:rsidR="00154718" w:rsidRPr="00EB4CE3" w:rsidRDefault="00154718" w:rsidP="00BE5610"/>
    <w:p w14:paraId="1F03FD7A" w14:textId="77777777" w:rsidR="00154718" w:rsidRPr="00935AF2" w:rsidRDefault="00154718" w:rsidP="00BE5610">
      <w:pPr>
        <w:rPr>
          <w:b/>
          <w:u w:val="single"/>
        </w:rPr>
      </w:pPr>
      <w:r w:rsidRPr="00935AF2">
        <w:rPr>
          <w:b/>
          <w:u w:val="single"/>
        </w:rPr>
        <w:t>Recommendation</w:t>
      </w:r>
      <w:r w:rsidR="0013149D">
        <w:rPr>
          <w:b/>
          <w:u w:val="single"/>
        </w:rPr>
        <w:t>s</w:t>
      </w:r>
    </w:p>
    <w:p w14:paraId="22913972" w14:textId="667A9314" w:rsidR="00010C20" w:rsidRDefault="00010C20" w:rsidP="00010C20">
      <w:pPr>
        <w:widowControl w:val="0"/>
        <w:autoSpaceDE w:val="0"/>
        <w:autoSpaceDN w:val="0"/>
        <w:adjustRightInd w:val="0"/>
        <w:rPr>
          <w:rFonts w:eastAsia="Times New Roman"/>
          <w:color w:val="000000"/>
          <w:lang w:bidi="ar-SA"/>
        </w:rPr>
      </w:pPr>
    </w:p>
    <w:p w14:paraId="38559651" w14:textId="41EE7945" w:rsidR="00010C20" w:rsidRDefault="00010C20" w:rsidP="00010C20">
      <w:pPr>
        <w:numPr>
          <w:ilvl w:val="0"/>
          <w:numId w:val="2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23" w:lineRule="auto"/>
      </w:pPr>
      <w:r>
        <w:t xml:space="preserve">Dismiss the </w:t>
      </w:r>
      <w:r w:rsidRPr="006073C4">
        <w:t>Complaint and Order Suspending the Tariff Revisions filed by</w:t>
      </w:r>
      <w:r>
        <w:t xml:space="preserve"> Olympic Water and Sewer</w:t>
      </w:r>
      <w:r w:rsidRPr="006073C4">
        <w:t xml:space="preserve">, Inc., </w:t>
      </w:r>
      <w:r>
        <w:t>in Docket UW-1</w:t>
      </w:r>
      <w:r w:rsidR="005C112B">
        <w:t>10436</w:t>
      </w:r>
      <w:r>
        <w:t xml:space="preserve"> dated April </w:t>
      </w:r>
      <w:r w:rsidR="005C112B">
        <w:t>10</w:t>
      </w:r>
      <w:r w:rsidRPr="006D62FC">
        <w:t>, 2014.</w:t>
      </w:r>
      <w:r w:rsidRPr="004C73F1">
        <w:t xml:space="preserve"> </w:t>
      </w:r>
    </w:p>
    <w:p w14:paraId="46747B57" w14:textId="77777777" w:rsidR="00010C20" w:rsidRDefault="00010C20" w:rsidP="009249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23" w:lineRule="auto"/>
      </w:pPr>
    </w:p>
    <w:p w14:paraId="7DAC913E" w14:textId="75E73795" w:rsidR="00010C20" w:rsidRDefault="00010C20" w:rsidP="00010C20">
      <w:pPr>
        <w:numPr>
          <w:ilvl w:val="0"/>
          <w:numId w:val="2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23" w:lineRule="auto"/>
      </w:pPr>
      <w:r w:rsidRPr="00AA4488">
        <w:t>Allow the revised rates and tariff revision</w:t>
      </w:r>
      <w:r w:rsidR="005C112B">
        <w:t>s</w:t>
      </w:r>
      <w:r w:rsidRPr="00AA4488">
        <w:t xml:space="preserve"> filed by </w:t>
      </w:r>
      <w:r>
        <w:t>Olympic Water and Sewer, Inc.,</w:t>
      </w:r>
      <w:r w:rsidRPr="00AA4488">
        <w:t xml:space="preserve"> on </w:t>
      </w:r>
      <w:r w:rsidR="009F0695" w:rsidRPr="000734FD">
        <w:t>August 22</w:t>
      </w:r>
      <w:r w:rsidRPr="000734FD">
        <w:t>, 2014</w:t>
      </w:r>
      <w:r>
        <w:t xml:space="preserve">, </w:t>
      </w:r>
      <w:r w:rsidRPr="00AA4488">
        <w:t xml:space="preserve">to become effective </w:t>
      </w:r>
      <w:r w:rsidR="002E0F52">
        <w:t xml:space="preserve">September </w:t>
      </w:r>
      <w:r>
        <w:t>1</w:t>
      </w:r>
      <w:r w:rsidR="00200452">
        <w:t>5</w:t>
      </w:r>
      <w:r w:rsidRPr="00AA4488">
        <w:t>, 201</w:t>
      </w:r>
      <w:r>
        <w:t>4</w:t>
      </w:r>
      <w:r w:rsidRPr="00AA4488">
        <w:t>.</w:t>
      </w:r>
    </w:p>
    <w:p w14:paraId="5B7507C9" w14:textId="77777777" w:rsidR="00D24204" w:rsidRDefault="00D24204" w:rsidP="009249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23" w:lineRule="auto"/>
        <w:ind w:left="720"/>
      </w:pPr>
    </w:p>
    <w:p w14:paraId="435C4B69" w14:textId="358C1E59" w:rsidR="00D24204" w:rsidRDefault="00D24204" w:rsidP="00010C20">
      <w:pPr>
        <w:numPr>
          <w:ilvl w:val="0"/>
          <w:numId w:val="2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23" w:lineRule="auto"/>
      </w:pPr>
      <w:r>
        <w:t>Issue an Order Allowing Deferral of Well No. 17 drilling</w:t>
      </w:r>
      <w:r w:rsidRPr="00AC7006">
        <w:t xml:space="preserve"> </w:t>
      </w:r>
      <w:r>
        <w:t>and partial legal cost to be included in the replacement source of supply for the North Aquifer Well System.</w:t>
      </w:r>
    </w:p>
    <w:p w14:paraId="1F03FD7D" w14:textId="75978D17" w:rsidR="00A271A6" w:rsidRPr="00B1586B" w:rsidRDefault="00A271A6" w:rsidP="004F25D5">
      <w:pPr>
        <w:widowControl w:val="0"/>
        <w:autoSpaceDE w:val="0"/>
        <w:autoSpaceDN w:val="0"/>
        <w:adjustRightInd w:val="0"/>
      </w:pPr>
    </w:p>
    <w:p w14:paraId="1F03FD80" w14:textId="135BA80B" w:rsidR="00154718" w:rsidRPr="00935AF2" w:rsidRDefault="00C37902" w:rsidP="00BE5610">
      <w:pPr>
        <w:rPr>
          <w:b/>
          <w:u w:val="single"/>
        </w:rPr>
      </w:pPr>
      <w:r>
        <w:rPr>
          <w:b/>
          <w:u w:val="single"/>
        </w:rPr>
        <w:t>Background</w:t>
      </w:r>
    </w:p>
    <w:p w14:paraId="1F03FD81" w14:textId="77777777" w:rsidR="00154718" w:rsidRPr="00EB4CE3" w:rsidRDefault="00154718" w:rsidP="00BE5610"/>
    <w:p w14:paraId="1F03FD84" w14:textId="3C2B7893" w:rsidR="00AE0092" w:rsidRPr="007A59D5" w:rsidRDefault="009A04C6" w:rsidP="007A59D5">
      <w:pPr>
        <w:rPr>
          <w:szCs w:val="32"/>
        </w:rPr>
      </w:pPr>
      <w:r>
        <w:rPr>
          <w:szCs w:val="32"/>
        </w:rPr>
        <w:t>Mor</w:t>
      </w:r>
      <w:r w:rsidR="00C21D71">
        <w:rPr>
          <w:szCs w:val="32"/>
        </w:rPr>
        <w:t>e d</w:t>
      </w:r>
      <w:r>
        <w:rPr>
          <w:szCs w:val="32"/>
        </w:rPr>
        <w:t xml:space="preserve">etailed background is available in Staff’s memo of August 28, 2014. </w:t>
      </w:r>
      <w:r w:rsidR="00DD65A6" w:rsidRPr="007A59D5">
        <w:rPr>
          <w:szCs w:val="32"/>
        </w:rPr>
        <w:t xml:space="preserve">On </w:t>
      </w:r>
      <w:r w:rsidR="007A59D5">
        <w:rPr>
          <w:szCs w:val="32"/>
        </w:rPr>
        <w:t>March</w:t>
      </w:r>
      <w:r w:rsidR="00187E0D" w:rsidRPr="007A59D5">
        <w:rPr>
          <w:szCs w:val="32"/>
        </w:rPr>
        <w:t xml:space="preserve"> </w:t>
      </w:r>
      <w:r w:rsidR="009A01B8">
        <w:rPr>
          <w:szCs w:val="32"/>
        </w:rPr>
        <w:t>7</w:t>
      </w:r>
      <w:r w:rsidR="00DD65A6" w:rsidRPr="007A59D5">
        <w:rPr>
          <w:szCs w:val="32"/>
        </w:rPr>
        <w:t xml:space="preserve">, </w:t>
      </w:r>
      <w:r w:rsidR="00705164" w:rsidRPr="007A59D5">
        <w:rPr>
          <w:szCs w:val="32"/>
        </w:rPr>
        <w:t>201</w:t>
      </w:r>
      <w:r w:rsidR="007A59D5">
        <w:rPr>
          <w:szCs w:val="32"/>
        </w:rPr>
        <w:t>4</w:t>
      </w:r>
      <w:r w:rsidR="00DD65A6" w:rsidRPr="007A59D5">
        <w:rPr>
          <w:szCs w:val="32"/>
        </w:rPr>
        <w:t xml:space="preserve">, </w:t>
      </w:r>
      <w:r w:rsidR="00187E0D" w:rsidRPr="007A59D5">
        <w:rPr>
          <w:szCs w:val="32"/>
        </w:rPr>
        <w:t xml:space="preserve">Olympic Water and Sewer, </w:t>
      </w:r>
      <w:r w:rsidR="002A17FD" w:rsidRPr="007A59D5">
        <w:rPr>
          <w:szCs w:val="32"/>
        </w:rPr>
        <w:t>Inc.</w:t>
      </w:r>
      <w:r w:rsidR="006F6487" w:rsidRPr="007A59D5">
        <w:rPr>
          <w:szCs w:val="32"/>
        </w:rPr>
        <w:t xml:space="preserve"> </w:t>
      </w:r>
      <w:r w:rsidR="00DD65A6" w:rsidRPr="007A59D5">
        <w:rPr>
          <w:szCs w:val="32"/>
        </w:rPr>
        <w:t>(</w:t>
      </w:r>
      <w:r w:rsidR="00187E0D" w:rsidRPr="007A59D5">
        <w:rPr>
          <w:szCs w:val="32"/>
        </w:rPr>
        <w:t xml:space="preserve">Olympic </w:t>
      </w:r>
      <w:r w:rsidR="00DD65A6" w:rsidRPr="007A59D5">
        <w:rPr>
          <w:szCs w:val="32"/>
        </w:rPr>
        <w:t>or company</w:t>
      </w:r>
      <w:r w:rsidR="00A201C0" w:rsidRPr="007A59D5">
        <w:rPr>
          <w:szCs w:val="32"/>
        </w:rPr>
        <w:t>)</w:t>
      </w:r>
      <w:r w:rsidR="00BD138F" w:rsidRPr="007A59D5">
        <w:rPr>
          <w:szCs w:val="32"/>
        </w:rPr>
        <w:t>,</w:t>
      </w:r>
      <w:r w:rsidR="00A201C0" w:rsidRPr="007A59D5">
        <w:rPr>
          <w:szCs w:val="32"/>
        </w:rPr>
        <w:t xml:space="preserve"> filed</w:t>
      </w:r>
      <w:r w:rsidR="00DD65A6" w:rsidRPr="007A59D5">
        <w:rPr>
          <w:szCs w:val="32"/>
        </w:rPr>
        <w:t xml:space="preserve"> </w:t>
      </w:r>
      <w:r w:rsidR="00CB1B63" w:rsidRPr="007A59D5">
        <w:rPr>
          <w:szCs w:val="32"/>
        </w:rPr>
        <w:t xml:space="preserve">a </w:t>
      </w:r>
      <w:r w:rsidR="009A01B8">
        <w:rPr>
          <w:szCs w:val="32"/>
        </w:rPr>
        <w:t>p</w:t>
      </w:r>
      <w:r w:rsidR="007A59D5" w:rsidRPr="007A59D5">
        <w:rPr>
          <w:szCs w:val="32"/>
        </w:rPr>
        <w:t xml:space="preserve">roposed general rate increase that would generate $52,124 (7.8 percent) additional annual </w:t>
      </w:r>
      <w:r w:rsidR="007A59D5" w:rsidRPr="007A59D5">
        <w:rPr>
          <w:szCs w:val="32"/>
        </w:rPr>
        <w:lastRenderedPageBreak/>
        <w:t xml:space="preserve">revenue. This </w:t>
      </w:r>
      <w:r w:rsidR="00512774">
        <w:rPr>
          <w:szCs w:val="32"/>
        </w:rPr>
        <w:t xml:space="preserve">general </w:t>
      </w:r>
      <w:r w:rsidR="00D24204">
        <w:rPr>
          <w:szCs w:val="32"/>
        </w:rPr>
        <w:t xml:space="preserve">rate increase is in the form of a </w:t>
      </w:r>
      <w:r w:rsidR="007A59D5" w:rsidRPr="007A59D5">
        <w:rPr>
          <w:szCs w:val="32"/>
        </w:rPr>
        <w:t xml:space="preserve">surcharge </w:t>
      </w:r>
      <w:r w:rsidR="00D24204">
        <w:rPr>
          <w:szCs w:val="32"/>
        </w:rPr>
        <w:t xml:space="preserve">and </w:t>
      </w:r>
      <w:r w:rsidR="007A59D5" w:rsidRPr="007A59D5">
        <w:rPr>
          <w:szCs w:val="32"/>
        </w:rPr>
        <w:t xml:space="preserve">is </w:t>
      </w:r>
      <w:r w:rsidR="00F52F18">
        <w:rPr>
          <w:szCs w:val="32"/>
        </w:rPr>
        <w:t xml:space="preserve">filed </w:t>
      </w:r>
      <w:r w:rsidR="007A59D5" w:rsidRPr="007A59D5">
        <w:rPr>
          <w:szCs w:val="32"/>
        </w:rPr>
        <w:t xml:space="preserve">pursuant to </w:t>
      </w:r>
      <w:r w:rsidR="00C369C1" w:rsidRPr="007A59D5">
        <w:rPr>
          <w:szCs w:val="32"/>
        </w:rPr>
        <w:t xml:space="preserve">Order </w:t>
      </w:r>
      <w:r w:rsidR="00C369C1">
        <w:rPr>
          <w:szCs w:val="32"/>
        </w:rPr>
        <w:t xml:space="preserve">No. </w:t>
      </w:r>
      <w:r w:rsidR="00C369C1" w:rsidRPr="007A59D5">
        <w:rPr>
          <w:szCs w:val="32"/>
        </w:rPr>
        <w:t xml:space="preserve">1 </w:t>
      </w:r>
      <w:r w:rsidR="00C369C1">
        <w:rPr>
          <w:szCs w:val="32"/>
        </w:rPr>
        <w:t xml:space="preserve">issued in docket </w:t>
      </w:r>
      <w:r w:rsidR="007A59D5" w:rsidRPr="007A59D5">
        <w:rPr>
          <w:szCs w:val="32"/>
        </w:rPr>
        <w:t>UW-110436 granting deferral of certain cost</w:t>
      </w:r>
      <w:r w:rsidR="00F52F18">
        <w:rPr>
          <w:szCs w:val="32"/>
        </w:rPr>
        <w:t>s</w:t>
      </w:r>
      <w:r w:rsidR="007A59D5" w:rsidRPr="007A59D5">
        <w:rPr>
          <w:szCs w:val="32"/>
        </w:rPr>
        <w:t xml:space="preserve"> associated with drilling Well </w:t>
      </w:r>
      <w:r w:rsidR="00F52F18">
        <w:rPr>
          <w:szCs w:val="32"/>
        </w:rPr>
        <w:t xml:space="preserve">No. </w:t>
      </w:r>
      <w:r w:rsidR="007A59D5" w:rsidRPr="007A59D5">
        <w:rPr>
          <w:szCs w:val="32"/>
        </w:rPr>
        <w:t>17 discovered in April 2009. Olympic serves 1,608 mixed use customers near Port Ludlow in Jefferson County. The company’s last rate change was effective May 22, 2008.</w:t>
      </w:r>
    </w:p>
    <w:p w14:paraId="1F03FD85" w14:textId="77777777" w:rsidR="00AE0092" w:rsidRDefault="00AE0092" w:rsidP="00951306">
      <w:pPr>
        <w:pStyle w:val="NoSpacing"/>
      </w:pPr>
    </w:p>
    <w:p w14:paraId="678A2815" w14:textId="712F5453" w:rsidR="00655135" w:rsidRDefault="00E01425" w:rsidP="00ED6543">
      <w:pPr>
        <w:pStyle w:val="NoSpacing"/>
      </w:pPr>
      <w:r>
        <w:rPr>
          <w:color w:val="000000"/>
        </w:rPr>
        <w:t xml:space="preserve">On </w:t>
      </w:r>
      <w:r w:rsidR="00715204">
        <w:t>March 7, 2011, Olympic filed a</w:t>
      </w:r>
      <w:r w:rsidR="00C62DC4">
        <w:t xml:space="preserve"> </w:t>
      </w:r>
      <w:r w:rsidR="00715204">
        <w:t xml:space="preserve">petition </w:t>
      </w:r>
      <w:r w:rsidR="00751E73">
        <w:t xml:space="preserve">in </w:t>
      </w:r>
      <w:r w:rsidR="00715204">
        <w:t xml:space="preserve">Docket UW-110436 requesting an </w:t>
      </w:r>
      <w:r w:rsidR="00C62DC4">
        <w:t xml:space="preserve">accounting </w:t>
      </w:r>
      <w:r w:rsidR="00715204">
        <w:t>order authorizing deferred accounting treatment for cost</w:t>
      </w:r>
      <w:r w:rsidR="00715204" w:rsidRPr="00B1586B">
        <w:t xml:space="preserve">s associated with </w:t>
      </w:r>
      <w:r w:rsidR="00F00B7C" w:rsidRPr="00B1586B">
        <w:t>drilling</w:t>
      </w:r>
      <w:r w:rsidR="00F00B7C">
        <w:t xml:space="preserve"> Well </w:t>
      </w:r>
      <w:r w:rsidR="00F52F18">
        <w:t xml:space="preserve">No. </w:t>
      </w:r>
      <w:r w:rsidR="00F00B7C">
        <w:t>17</w:t>
      </w:r>
      <w:r w:rsidR="00F00B7C" w:rsidRPr="00B1586B">
        <w:t xml:space="preserve">, </w:t>
      </w:r>
      <w:r w:rsidR="00F00B7C">
        <w:t xml:space="preserve">and the </w:t>
      </w:r>
      <w:r w:rsidR="00F00B7C" w:rsidRPr="00B1586B">
        <w:t xml:space="preserve">investigation and remediation of </w:t>
      </w:r>
      <w:r w:rsidR="00426C82">
        <w:t>soil</w:t>
      </w:r>
      <w:r w:rsidR="00F00B7C">
        <w:t xml:space="preserve"> contamination </w:t>
      </w:r>
      <w:r w:rsidR="00666EDE">
        <w:t xml:space="preserve">discovered while drilling </w:t>
      </w:r>
      <w:r w:rsidR="00AD4B7F">
        <w:t>that well in April 2009</w:t>
      </w:r>
      <w:r w:rsidR="00CB1B63">
        <w:t>.</w:t>
      </w:r>
      <w:r w:rsidR="00094B8B">
        <w:t xml:space="preserve"> Costs</w:t>
      </w:r>
      <w:r w:rsidR="008B0C20">
        <w:t xml:space="preserve"> </w:t>
      </w:r>
      <w:r w:rsidR="00087D28">
        <w:t>would</w:t>
      </w:r>
      <w:r w:rsidR="008B0C20">
        <w:t xml:space="preserve"> include, but are not limited to, actual well drilling, consulting, engineering, legal fees, testing and other costs associated with </w:t>
      </w:r>
      <w:r w:rsidR="00043899">
        <w:t xml:space="preserve">the </w:t>
      </w:r>
      <w:r w:rsidR="00043899" w:rsidRPr="00B1586B">
        <w:t xml:space="preserve">investigation and remediation of </w:t>
      </w:r>
      <w:r w:rsidR="00043899">
        <w:t xml:space="preserve">soil contamination discovered while drilling </w:t>
      </w:r>
      <w:r w:rsidR="008B0C20">
        <w:t xml:space="preserve">Well </w:t>
      </w:r>
      <w:r w:rsidR="00F52F18">
        <w:t xml:space="preserve">No. </w:t>
      </w:r>
      <w:r w:rsidR="008B0C20">
        <w:t xml:space="preserve">17. </w:t>
      </w:r>
    </w:p>
    <w:p w14:paraId="775ABE85" w14:textId="77777777" w:rsidR="00754A40" w:rsidRDefault="00754A40" w:rsidP="00754A40">
      <w:pPr>
        <w:pStyle w:val="NoSpacing"/>
      </w:pPr>
    </w:p>
    <w:p w14:paraId="588F017B" w14:textId="77777777" w:rsidR="00754A40" w:rsidRDefault="00754A40" w:rsidP="00754A40">
      <w:pPr>
        <w:pStyle w:val="NoSpacing"/>
      </w:pPr>
      <w:r>
        <w:t>On April 10, 2014, the commission suspended the tariff revision pending further investigation.</w:t>
      </w:r>
    </w:p>
    <w:p w14:paraId="0138B3EA" w14:textId="77777777" w:rsidR="00754A40" w:rsidRDefault="00754A40" w:rsidP="00754A40">
      <w:pPr>
        <w:pStyle w:val="NoSpacing"/>
      </w:pPr>
    </w:p>
    <w:p w14:paraId="4C51C154" w14:textId="77777777" w:rsidR="00185D8A" w:rsidRDefault="00655135" w:rsidP="00655135">
      <w:pPr>
        <w:rPr>
          <w:color w:val="000000"/>
          <w:u w:val="single"/>
        </w:rPr>
      </w:pPr>
      <w:r w:rsidRPr="00FE68FC">
        <w:rPr>
          <w:color w:val="000000"/>
          <w:u w:val="single"/>
        </w:rPr>
        <w:t>Cost Recovery</w:t>
      </w:r>
      <w:r w:rsidR="001F7967">
        <w:rPr>
          <w:color w:val="000000"/>
          <w:u w:val="single"/>
        </w:rPr>
        <w:tab/>
      </w:r>
    </w:p>
    <w:p w14:paraId="13871072" w14:textId="77777777" w:rsidR="00185D8A" w:rsidRDefault="00185D8A" w:rsidP="00185D8A"/>
    <w:p w14:paraId="734A6BC1" w14:textId="34B7DDB9" w:rsidR="00C25790" w:rsidRDefault="00C25790" w:rsidP="00C2579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20" w:lineRule="auto"/>
      </w:pPr>
      <w:r>
        <w:t xml:space="preserve">Since </w:t>
      </w:r>
      <w:r w:rsidR="00D24204">
        <w:t xml:space="preserve">the </w:t>
      </w:r>
      <w:r w:rsidR="00B97CF1">
        <w:t xml:space="preserve">April 10, 2014, </w:t>
      </w:r>
      <w:r>
        <w:t xml:space="preserve">the company and customers </w:t>
      </w:r>
      <w:r w:rsidR="00C369C1">
        <w:t xml:space="preserve">met </w:t>
      </w:r>
      <w:r>
        <w:t xml:space="preserve">several </w:t>
      </w:r>
      <w:r w:rsidR="00C369C1">
        <w:t xml:space="preserve">times </w:t>
      </w:r>
      <w:r>
        <w:t xml:space="preserve">to discuss the surcharge filing. Commission staff attended one public meeting with customers held at Port Ludlow. The company </w:t>
      </w:r>
      <w:r w:rsidR="00DB4F48">
        <w:t xml:space="preserve">has reached a </w:t>
      </w:r>
      <w:r>
        <w:t>compromise</w:t>
      </w:r>
      <w:r w:rsidR="00A52DC8">
        <w:t xml:space="preserve"> </w:t>
      </w:r>
      <w:r w:rsidR="00A45AD0">
        <w:t xml:space="preserve">on </w:t>
      </w:r>
      <w:r w:rsidR="00D24204">
        <w:t xml:space="preserve">cost </w:t>
      </w:r>
      <w:r w:rsidR="00A45AD0">
        <w:t xml:space="preserve">recovery </w:t>
      </w:r>
      <w:r w:rsidR="00DB4F48">
        <w:t>with</w:t>
      </w:r>
      <w:r>
        <w:t xml:space="preserve"> the Port Ludlow Village Council</w:t>
      </w:r>
      <w:r w:rsidR="00A52DC8">
        <w:t>.</w:t>
      </w:r>
      <w:r w:rsidR="00A45AD0">
        <w:t xml:space="preserve"> </w:t>
      </w:r>
    </w:p>
    <w:p w14:paraId="0914C10E" w14:textId="77777777" w:rsidR="00C25790" w:rsidRDefault="00C25790" w:rsidP="00C2579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20" w:lineRule="auto"/>
      </w:pPr>
    </w:p>
    <w:p w14:paraId="0A0417A8" w14:textId="25A9C6E1" w:rsidR="00EC2565" w:rsidRDefault="00EC2565" w:rsidP="00C2579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20" w:lineRule="auto"/>
      </w:pPr>
      <w:r>
        <w:t>The following table shows the originally proposed cost</w:t>
      </w:r>
      <w:r w:rsidR="0013379A">
        <w:t xml:space="preserve"> </w:t>
      </w:r>
      <w:r>
        <w:t xml:space="preserve">recovery for well No. 17 with revisions and deferred items that were the product of meetings with stakeholders and </w:t>
      </w:r>
      <w:r w:rsidR="0002431E">
        <w:t>commission</w:t>
      </w:r>
      <w:r>
        <w:t xml:space="preserve"> </w:t>
      </w:r>
      <w:r w:rsidR="0002431E">
        <w:t>s</w:t>
      </w:r>
      <w:r>
        <w:t>taff.</w:t>
      </w:r>
    </w:p>
    <w:p w14:paraId="66B343E9" w14:textId="77777777" w:rsidR="00C369C1" w:rsidRDefault="00C369C1" w:rsidP="00C2579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20" w:lineRule="auto"/>
      </w:pPr>
    </w:p>
    <w:p w14:paraId="065AA4A8" w14:textId="40A55F46" w:rsidR="007557EA" w:rsidRPr="00754A40" w:rsidRDefault="00754A40" w:rsidP="00754A4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20" w:lineRule="auto"/>
        <w:jc w:val="center"/>
        <w:rPr>
          <w:b/>
          <w:u w:val="single"/>
        </w:rPr>
      </w:pPr>
      <w:r w:rsidRPr="00754A40">
        <w:rPr>
          <w:b/>
          <w:u w:val="single"/>
        </w:rPr>
        <w:t>Cost Recovery</w:t>
      </w:r>
    </w:p>
    <w:p w14:paraId="5E6B6AD7" w14:textId="77777777" w:rsidR="007557EA" w:rsidRDefault="007557EA" w:rsidP="00C2579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20" w:lineRule="auto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55"/>
        <w:gridCol w:w="1980"/>
        <w:gridCol w:w="2249"/>
        <w:gridCol w:w="1981"/>
      </w:tblGrid>
      <w:tr w:rsidR="00C25790" w:rsidRPr="009F0695" w14:paraId="55E78359" w14:textId="61555B13" w:rsidTr="007557EA">
        <w:trPr>
          <w:jc w:val="center"/>
        </w:trPr>
        <w:tc>
          <w:tcPr>
            <w:tcW w:w="3055" w:type="dxa"/>
            <w:vAlign w:val="center"/>
          </w:tcPr>
          <w:p w14:paraId="188B2F4D" w14:textId="633716BD" w:rsidR="00C25790" w:rsidRPr="009F0695" w:rsidRDefault="00C25790" w:rsidP="009F0695">
            <w:pPr>
              <w:jc w:val="center"/>
              <w:rPr>
                <w:b/>
              </w:rPr>
            </w:pPr>
            <w:r w:rsidRPr="009F0695">
              <w:rPr>
                <w:b/>
              </w:rPr>
              <w:t>Well No. 17</w:t>
            </w:r>
          </w:p>
        </w:tc>
        <w:tc>
          <w:tcPr>
            <w:tcW w:w="1980" w:type="dxa"/>
            <w:vAlign w:val="center"/>
          </w:tcPr>
          <w:p w14:paraId="2EA26175" w14:textId="70B7C1D5" w:rsidR="00C25790" w:rsidRPr="009F0695" w:rsidRDefault="00C25790" w:rsidP="009F0695">
            <w:pPr>
              <w:jc w:val="center"/>
              <w:rPr>
                <w:b/>
              </w:rPr>
            </w:pPr>
            <w:r w:rsidRPr="009F0695">
              <w:rPr>
                <w:b/>
              </w:rPr>
              <w:t>Proposed</w:t>
            </w:r>
            <w:r w:rsidR="006C65CF">
              <w:rPr>
                <w:b/>
              </w:rPr>
              <w:t xml:space="preserve"> Cost</w:t>
            </w:r>
          </w:p>
        </w:tc>
        <w:tc>
          <w:tcPr>
            <w:tcW w:w="2249" w:type="dxa"/>
            <w:vAlign w:val="center"/>
          </w:tcPr>
          <w:p w14:paraId="2681A018" w14:textId="02222B7B" w:rsidR="00C25790" w:rsidRPr="009F0695" w:rsidRDefault="00C25790" w:rsidP="00B97CF1">
            <w:pPr>
              <w:jc w:val="center"/>
              <w:rPr>
                <w:b/>
              </w:rPr>
            </w:pPr>
            <w:r w:rsidRPr="009F0695">
              <w:rPr>
                <w:b/>
              </w:rPr>
              <w:t>Revised</w:t>
            </w:r>
            <w:r w:rsidR="006C65CF">
              <w:rPr>
                <w:b/>
              </w:rPr>
              <w:t xml:space="preserve"> Cost</w:t>
            </w:r>
          </w:p>
        </w:tc>
        <w:tc>
          <w:tcPr>
            <w:tcW w:w="1981" w:type="dxa"/>
            <w:vAlign w:val="center"/>
          </w:tcPr>
          <w:p w14:paraId="2293C6D7" w14:textId="2A16DD53" w:rsidR="00C25790" w:rsidRPr="009F0695" w:rsidRDefault="00C25790" w:rsidP="009F0695">
            <w:pPr>
              <w:jc w:val="center"/>
              <w:rPr>
                <w:b/>
              </w:rPr>
            </w:pPr>
            <w:r>
              <w:rPr>
                <w:b/>
              </w:rPr>
              <w:t>Deferred</w:t>
            </w:r>
            <w:r w:rsidR="006C65CF">
              <w:rPr>
                <w:b/>
              </w:rPr>
              <w:t xml:space="preserve"> Cost</w:t>
            </w:r>
          </w:p>
        </w:tc>
      </w:tr>
      <w:tr w:rsidR="00C25790" w14:paraId="2E2FB69D" w14:textId="1A3FDEE7" w:rsidTr="007557EA">
        <w:trPr>
          <w:jc w:val="center"/>
        </w:trPr>
        <w:tc>
          <w:tcPr>
            <w:tcW w:w="3055" w:type="dxa"/>
          </w:tcPr>
          <w:p w14:paraId="2DA6C3E0" w14:textId="66544940" w:rsidR="00C25790" w:rsidRDefault="00C25790" w:rsidP="00185D8A">
            <w:r>
              <w:t>Well Drilling</w:t>
            </w:r>
          </w:p>
        </w:tc>
        <w:tc>
          <w:tcPr>
            <w:tcW w:w="1980" w:type="dxa"/>
            <w:vAlign w:val="center"/>
          </w:tcPr>
          <w:p w14:paraId="71B53A58" w14:textId="6334350F" w:rsidR="00C25790" w:rsidRDefault="00C25790" w:rsidP="007557EA">
            <w:pPr>
              <w:jc w:val="center"/>
            </w:pPr>
            <w:r>
              <w:t>$ 31,115</w:t>
            </w:r>
          </w:p>
        </w:tc>
        <w:tc>
          <w:tcPr>
            <w:tcW w:w="2249" w:type="dxa"/>
            <w:vAlign w:val="center"/>
          </w:tcPr>
          <w:p w14:paraId="508C373B" w14:textId="1EE00164" w:rsidR="00C25790" w:rsidRDefault="00C25790" w:rsidP="00826439">
            <w:pPr>
              <w:jc w:val="center"/>
            </w:pPr>
            <w:r>
              <w:t>--</w:t>
            </w:r>
          </w:p>
        </w:tc>
        <w:tc>
          <w:tcPr>
            <w:tcW w:w="1981" w:type="dxa"/>
            <w:vAlign w:val="center"/>
          </w:tcPr>
          <w:p w14:paraId="1F57119F" w14:textId="7860A6E9" w:rsidR="00C25790" w:rsidRDefault="00C25790" w:rsidP="007557EA">
            <w:pPr>
              <w:jc w:val="center"/>
            </w:pPr>
            <w:r>
              <w:t>$ 31,115</w:t>
            </w:r>
          </w:p>
        </w:tc>
      </w:tr>
      <w:tr w:rsidR="00C25790" w14:paraId="520716A3" w14:textId="6A4BC219" w:rsidTr="007557EA">
        <w:trPr>
          <w:jc w:val="center"/>
        </w:trPr>
        <w:tc>
          <w:tcPr>
            <w:tcW w:w="3055" w:type="dxa"/>
          </w:tcPr>
          <w:p w14:paraId="777D7940" w14:textId="77777777" w:rsidR="00C25790" w:rsidRDefault="00C25790" w:rsidP="00185D8A"/>
        </w:tc>
        <w:tc>
          <w:tcPr>
            <w:tcW w:w="1980" w:type="dxa"/>
            <w:vAlign w:val="center"/>
          </w:tcPr>
          <w:p w14:paraId="23A192C0" w14:textId="77777777" w:rsidR="00C25790" w:rsidRDefault="00C25790" w:rsidP="007557EA">
            <w:pPr>
              <w:jc w:val="center"/>
            </w:pPr>
          </w:p>
        </w:tc>
        <w:tc>
          <w:tcPr>
            <w:tcW w:w="2249" w:type="dxa"/>
            <w:vAlign w:val="center"/>
          </w:tcPr>
          <w:p w14:paraId="08878507" w14:textId="77777777" w:rsidR="00C25790" w:rsidRDefault="00C25790" w:rsidP="007557EA">
            <w:pPr>
              <w:jc w:val="center"/>
            </w:pPr>
          </w:p>
        </w:tc>
        <w:tc>
          <w:tcPr>
            <w:tcW w:w="1981" w:type="dxa"/>
            <w:vAlign w:val="center"/>
          </w:tcPr>
          <w:p w14:paraId="776221E7" w14:textId="77777777" w:rsidR="00C25790" w:rsidRDefault="00C25790" w:rsidP="007557EA">
            <w:pPr>
              <w:jc w:val="center"/>
            </w:pPr>
          </w:p>
        </w:tc>
      </w:tr>
      <w:tr w:rsidR="00C25790" w14:paraId="024AD80C" w14:textId="0ABB9F8B" w:rsidTr="007557EA">
        <w:trPr>
          <w:jc w:val="center"/>
        </w:trPr>
        <w:tc>
          <w:tcPr>
            <w:tcW w:w="3055" w:type="dxa"/>
          </w:tcPr>
          <w:p w14:paraId="4C72DE0E" w14:textId="20DE133B" w:rsidR="00C25790" w:rsidRDefault="00C25790" w:rsidP="00185D8A">
            <w:r>
              <w:t>Site Investigation</w:t>
            </w:r>
          </w:p>
        </w:tc>
        <w:tc>
          <w:tcPr>
            <w:tcW w:w="1980" w:type="dxa"/>
            <w:vAlign w:val="center"/>
          </w:tcPr>
          <w:p w14:paraId="6DBD94CD" w14:textId="64E470D7" w:rsidR="00C25790" w:rsidRDefault="00C25790" w:rsidP="007557EA">
            <w:pPr>
              <w:jc w:val="center"/>
            </w:pPr>
            <w:r>
              <w:t>$ 69,844</w:t>
            </w:r>
          </w:p>
        </w:tc>
        <w:tc>
          <w:tcPr>
            <w:tcW w:w="2249" w:type="dxa"/>
            <w:vAlign w:val="center"/>
          </w:tcPr>
          <w:p w14:paraId="1D0274E3" w14:textId="32900B93" w:rsidR="00C25790" w:rsidRDefault="00C25790" w:rsidP="007557EA">
            <w:pPr>
              <w:jc w:val="center"/>
            </w:pPr>
            <w:r>
              <w:t>$ 69,844</w:t>
            </w:r>
          </w:p>
        </w:tc>
        <w:tc>
          <w:tcPr>
            <w:tcW w:w="1981" w:type="dxa"/>
            <w:vAlign w:val="center"/>
          </w:tcPr>
          <w:p w14:paraId="5AE45E74" w14:textId="12A2223D" w:rsidR="00C25790" w:rsidRDefault="00C25790" w:rsidP="00826439">
            <w:pPr>
              <w:jc w:val="center"/>
            </w:pPr>
            <w:r>
              <w:t>--</w:t>
            </w:r>
          </w:p>
        </w:tc>
      </w:tr>
      <w:tr w:rsidR="00C25790" w14:paraId="5756328C" w14:textId="06086282" w:rsidTr="007557EA">
        <w:trPr>
          <w:jc w:val="center"/>
        </w:trPr>
        <w:tc>
          <w:tcPr>
            <w:tcW w:w="3055" w:type="dxa"/>
          </w:tcPr>
          <w:p w14:paraId="0C4F04F3" w14:textId="42B5E4A8" w:rsidR="00C25790" w:rsidRDefault="00C25790" w:rsidP="00185D8A">
            <w:r>
              <w:t>Legal</w:t>
            </w:r>
          </w:p>
        </w:tc>
        <w:tc>
          <w:tcPr>
            <w:tcW w:w="1980" w:type="dxa"/>
            <w:vAlign w:val="center"/>
          </w:tcPr>
          <w:p w14:paraId="4E7DA7C9" w14:textId="2AC9D3A1" w:rsidR="00C25790" w:rsidRDefault="00C25790" w:rsidP="007557EA">
            <w:pPr>
              <w:jc w:val="center"/>
            </w:pPr>
            <w:r>
              <w:t>$ 47,475</w:t>
            </w:r>
          </w:p>
        </w:tc>
        <w:tc>
          <w:tcPr>
            <w:tcW w:w="2249" w:type="dxa"/>
            <w:vAlign w:val="center"/>
          </w:tcPr>
          <w:p w14:paraId="459A9BC2" w14:textId="4748F400" w:rsidR="00C25790" w:rsidRDefault="00C25790" w:rsidP="007557EA">
            <w:pPr>
              <w:jc w:val="center"/>
            </w:pPr>
            <w:r>
              <w:t>$35,606</w:t>
            </w:r>
          </w:p>
        </w:tc>
        <w:tc>
          <w:tcPr>
            <w:tcW w:w="1981" w:type="dxa"/>
            <w:vAlign w:val="center"/>
          </w:tcPr>
          <w:p w14:paraId="0AB7CAF4" w14:textId="59FB75B8" w:rsidR="00C25790" w:rsidRDefault="00C25790" w:rsidP="007557EA">
            <w:pPr>
              <w:jc w:val="center"/>
            </w:pPr>
            <w:r>
              <w:t>$ 11,869</w:t>
            </w:r>
          </w:p>
        </w:tc>
      </w:tr>
      <w:tr w:rsidR="00C25790" w14:paraId="7C314F74" w14:textId="47F1AF2F" w:rsidTr="007557EA">
        <w:trPr>
          <w:jc w:val="center"/>
        </w:trPr>
        <w:tc>
          <w:tcPr>
            <w:tcW w:w="3055" w:type="dxa"/>
          </w:tcPr>
          <w:p w14:paraId="74FC54C9" w14:textId="3217FE7B" w:rsidR="00C25790" w:rsidRDefault="00C25790" w:rsidP="009F0695">
            <w:r>
              <w:t>Notice &amp; Mailing</w:t>
            </w:r>
          </w:p>
        </w:tc>
        <w:tc>
          <w:tcPr>
            <w:tcW w:w="1980" w:type="dxa"/>
            <w:vAlign w:val="center"/>
          </w:tcPr>
          <w:p w14:paraId="0F4DA09A" w14:textId="1BC89411" w:rsidR="00C25790" w:rsidRDefault="00C25790" w:rsidP="007557EA">
            <w:pPr>
              <w:jc w:val="center"/>
            </w:pPr>
            <w:r>
              <w:t>$     788</w:t>
            </w:r>
          </w:p>
        </w:tc>
        <w:tc>
          <w:tcPr>
            <w:tcW w:w="2249" w:type="dxa"/>
            <w:vAlign w:val="center"/>
          </w:tcPr>
          <w:p w14:paraId="3016F7E8" w14:textId="6D31DBE3" w:rsidR="00C25790" w:rsidRDefault="00C25790" w:rsidP="007557EA">
            <w:pPr>
              <w:jc w:val="center"/>
            </w:pPr>
            <w:r>
              <w:t>$     788</w:t>
            </w:r>
          </w:p>
        </w:tc>
        <w:tc>
          <w:tcPr>
            <w:tcW w:w="1981" w:type="dxa"/>
            <w:vAlign w:val="center"/>
          </w:tcPr>
          <w:p w14:paraId="1DDA6EED" w14:textId="71082785" w:rsidR="00C25790" w:rsidRDefault="00C25790" w:rsidP="00826439">
            <w:pPr>
              <w:jc w:val="center"/>
            </w:pPr>
            <w:r>
              <w:t>--</w:t>
            </w:r>
          </w:p>
        </w:tc>
      </w:tr>
      <w:tr w:rsidR="00C25790" w14:paraId="12136D4D" w14:textId="5FDE2D32" w:rsidTr="007557EA">
        <w:trPr>
          <w:jc w:val="center"/>
        </w:trPr>
        <w:tc>
          <w:tcPr>
            <w:tcW w:w="3055" w:type="dxa"/>
          </w:tcPr>
          <w:p w14:paraId="0AC1FC9F" w14:textId="5D8A9244" w:rsidR="00C25790" w:rsidRDefault="00C25790" w:rsidP="00185D8A">
            <w:r>
              <w:t>Utility Tax</w:t>
            </w:r>
          </w:p>
        </w:tc>
        <w:tc>
          <w:tcPr>
            <w:tcW w:w="1980" w:type="dxa"/>
            <w:vAlign w:val="center"/>
          </w:tcPr>
          <w:p w14:paraId="4F050D64" w14:textId="7B6B4EE8" w:rsidR="00C25790" w:rsidRDefault="00C25790" w:rsidP="007557EA">
            <w:pPr>
              <w:jc w:val="center"/>
            </w:pPr>
            <w:r>
              <w:t>$ 4,543</w:t>
            </w:r>
          </w:p>
        </w:tc>
        <w:tc>
          <w:tcPr>
            <w:tcW w:w="2249" w:type="dxa"/>
            <w:vAlign w:val="center"/>
          </w:tcPr>
          <w:p w14:paraId="0FDFA6EC" w14:textId="7897A8C1" w:rsidR="00C25790" w:rsidRDefault="00C25790" w:rsidP="007557EA">
            <w:pPr>
              <w:jc w:val="center"/>
            </w:pPr>
            <w:r>
              <w:t>$  1,737</w:t>
            </w:r>
          </w:p>
        </w:tc>
        <w:tc>
          <w:tcPr>
            <w:tcW w:w="1981" w:type="dxa"/>
            <w:vAlign w:val="center"/>
          </w:tcPr>
          <w:p w14:paraId="6978D2B8" w14:textId="60E0FD58" w:rsidR="00C25790" w:rsidRDefault="00C25790" w:rsidP="00826439">
            <w:pPr>
              <w:jc w:val="center"/>
            </w:pPr>
            <w:r>
              <w:t>--</w:t>
            </w:r>
          </w:p>
        </w:tc>
      </w:tr>
      <w:tr w:rsidR="00C25790" w14:paraId="1D51ED28" w14:textId="5B38CAD6" w:rsidTr="007557EA">
        <w:trPr>
          <w:jc w:val="center"/>
        </w:trPr>
        <w:tc>
          <w:tcPr>
            <w:tcW w:w="3055" w:type="dxa"/>
          </w:tcPr>
          <w:p w14:paraId="0E54D3FB" w14:textId="281A35E3" w:rsidR="00C25790" w:rsidRDefault="00C25790" w:rsidP="00185D8A">
            <w:r>
              <w:t>Interest</w:t>
            </w:r>
          </w:p>
        </w:tc>
        <w:tc>
          <w:tcPr>
            <w:tcW w:w="1980" w:type="dxa"/>
            <w:vAlign w:val="center"/>
          </w:tcPr>
          <w:p w14:paraId="6754EFB7" w14:textId="5EBF26EC" w:rsidR="00C25790" w:rsidRDefault="00C25790" w:rsidP="007557EA">
            <w:pPr>
              <w:jc w:val="center"/>
            </w:pPr>
            <w:r>
              <w:t>$ 13,398</w:t>
            </w:r>
          </w:p>
        </w:tc>
        <w:tc>
          <w:tcPr>
            <w:tcW w:w="2249" w:type="dxa"/>
            <w:vAlign w:val="center"/>
          </w:tcPr>
          <w:p w14:paraId="407D2DC6" w14:textId="1976AB55" w:rsidR="00C25790" w:rsidRDefault="00C25790" w:rsidP="007557EA">
            <w:pPr>
              <w:jc w:val="center"/>
            </w:pPr>
            <w:r>
              <w:t>$   9,534</w:t>
            </w:r>
          </w:p>
        </w:tc>
        <w:tc>
          <w:tcPr>
            <w:tcW w:w="1981" w:type="dxa"/>
            <w:vAlign w:val="center"/>
          </w:tcPr>
          <w:p w14:paraId="2CCA6675" w14:textId="326405B1" w:rsidR="00C25790" w:rsidRDefault="00C25790" w:rsidP="00826439">
            <w:pPr>
              <w:jc w:val="center"/>
            </w:pPr>
            <w:r>
              <w:t>--</w:t>
            </w:r>
          </w:p>
        </w:tc>
      </w:tr>
      <w:tr w:rsidR="00C25790" w14:paraId="2C90D740" w14:textId="6BC973DD" w:rsidTr="007557EA">
        <w:trPr>
          <w:jc w:val="center"/>
        </w:trPr>
        <w:tc>
          <w:tcPr>
            <w:tcW w:w="3055" w:type="dxa"/>
          </w:tcPr>
          <w:p w14:paraId="6B03E468" w14:textId="77777777" w:rsidR="00C25790" w:rsidRDefault="00C25790" w:rsidP="00185D8A"/>
        </w:tc>
        <w:tc>
          <w:tcPr>
            <w:tcW w:w="1980" w:type="dxa"/>
            <w:vAlign w:val="center"/>
          </w:tcPr>
          <w:p w14:paraId="0F5E518F" w14:textId="77777777" w:rsidR="00C25790" w:rsidRDefault="00C25790" w:rsidP="007557EA">
            <w:pPr>
              <w:jc w:val="center"/>
            </w:pPr>
          </w:p>
        </w:tc>
        <w:tc>
          <w:tcPr>
            <w:tcW w:w="2249" w:type="dxa"/>
            <w:vAlign w:val="center"/>
          </w:tcPr>
          <w:p w14:paraId="306BA475" w14:textId="77777777" w:rsidR="00C25790" w:rsidRDefault="00C25790" w:rsidP="007557EA">
            <w:pPr>
              <w:jc w:val="center"/>
            </w:pPr>
          </w:p>
        </w:tc>
        <w:tc>
          <w:tcPr>
            <w:tcW w:w="1981" w:type="dxa"/>
            <w:vAlign w:val="center"/>
          </w:tcPr>
          <w:p w14:paraId="2A6ECB90" w14:textId="77777777" w:rsidR="00C25790" w:rsidRDefault="00C25790" w:rsidP="007557EA">
            <w:pPr>
              <w:jc w:val="center"/>
            </w:pPr>
          </w:p>
        </w:tc>
      </w:tr>
      <w:tr w:rsidR="00C25790" w14:paraId="332A5897" w14:textId="77842AE7" w:rsidTr="007557EA">
        <w:trPr>
          <w:jc w:val="center"/>
        </w:trPr>
        <w:tc>
          <w:tcPr>
            <w:tcW w:w="3055" w:type="dxa"/>
          </w:tcPr>
          <w:p w14:paraId="40596062" w14:textId="449F60A8" w:rsidR="00C25790" w:rsidRDefault="00C25790" w:rsidP="00185D8A">
            <w:r>
              <w:t>Total</w:t>
            </w:r>
          </w:p>
        </w:tc>
        <w:tc>
          <w:tcPr>
            <w:tcW w:w="1980" w:type="dxa"/>
            <w:vAlign w:val="center"/>
          </w:tcPr>
          <w:p w14:paraId="3FD35B0E" w14:textId="66450353" w:rsidR="00C25790" w:rsidRDefault="00C25790" w:rsidP="007557EA">
            <w:pPr>
              <w:jc w:val="center"/>
            </w:pPr>
            <w:r>
              <w:t>$ 165,059</w:t>
            </w:r>
          </w:p>
        </w:tc>
        <w:tc>
          <w:tcPr>
            <w:tcW w:w="2249" w:type="dxa"/>
            <w:vAlign w:val="center"/>
          </w:tcPr>
          <w:p w14:paraId="2A58FE8E" w14:textId="79426D1E" w:rsidR="00C25790" w:rsidRDefault="00C25790" w:rsidP="007557EA">
            <w:pPr>
              <w:jc w:val="center"/>
            </w:pPr>
            <w:r>
              <w:t>$ 117,514</w:t>
            </w:r>
          </w:p>
        </w:tc>
        <w:tc>
          <w:tcPr>
            <w:tcW w:w="1981" w:type="dxa"/>
            <w:vAlign w:val="center"/>
          </w:tcPr>
          <w:p w14:paraId="246EC6B9" w14:textId="439F8699" w:rsidR="00C25790" w:rsidRDefault="00C25790" w:rsidP="007557EA">
            <w:pPr>
              <w:jc w:val="center"/>
            </w:pPr>
            <w:r>
              <w:t>$ 42,983</w:t>
            </w:r>
          </w:p>
        </w:tc>
      </w:tr>
      <w:tr w:rsidR="00B97CF1" w14:paraId="7B565520" w14:textId="77777777" w:rsidTr="007557EA">
        <w:trPr>
          <w:jc w:val="center"/>
        </w:trPr>
        <w:tc>
          <w:tcPr>
            <w:tcW w:w="3055" w:type="dxa"/>
          </w:tcPr>
          <w:p w14:paraId="5A419E5B" w14:textId="77777777" w:rsidR="00B97CF1" w:rsidRDefault="00B97CF1" w:rsidP="00185D8A"/>
        </w:tc>
        <w:tc>
          <w:tcPr>
            <w:tcW w:w="1980" w:type="dxa"/>
          </w:tcPr>
          <w:p w14:paraId="2264E81B" w14:textId="77777777" w:rsidR="00B97CF1" w:rsidRDefault="00B97CF1" w:rsidP="007557EA">
            <w:pPr>
              <w:jc w:val="center"/>
            </w:pPr>
          </w:p>
        </w:tc>
        <w:tc>
          <w:tcPr>
            <w:tcW w:w="2249" w:type="dxa"/>
          </w:tcPr>
          <w:p w14:paraId="14292A47" w14:textId="77777777" w:rsidR="00B97CF1" w:rsidRDefault="00B97CF1" w:rsidP="007557EA">
            <w:pPr>
              <w:jc w:val="center"/>
            </w:pPr>
          </w:p>
        </w:tc>
        <w:tc>
          <w:tcPr>
            <w:tcW w:w="1981" w:type="dxa"/>
          </w:tcPr>
          <w:p w14:paraId="0A47B0CD" w14:textId="77777777" w:rsidR="00B97CF1" w:rsidRDefault="00B97CF1" w:rsidP="00826439">
            <w:pPr>
              <w:jc w:val="center"/>
            </w:pPr>
          </w:p>
        </w:tc>
      </w:tr>
      <w:tr w:rsidR="00C25790" w14:paraId="4E0DB268" w14:textId="48CA62C6" w:rsidTr="007557EA">
        <w:trPr>
          <w:jc w:val="center"/>
        </w:trPr>
        <w:tc>
          <w:tcPr>
            <w:tcW w:w="3055" w:type="dxa"/>
          </w:tcPr>
          <w:p w14:paraId="4B9E754F" w14:textId="73EAD157" w:rsidR="00C25790" w:rsidRDefault="00C25790" w:rsidP="00383576">
            <w:r>
              <w:t xml:space="preserve">Annual </w:t>
            </w:r>
            <w:r w:rsidR="00B97CF1">
              <w:t xml:space="preserve">Surcharge </w:t>
            </w:r>
            <w:r w:rsidR="00D26762">
              <w:t>Amount</w:t>
            </w:r>
          </w:p>
        </w:tc>
        <w:tc>
          <w:tcPr>
            <w:tcW w:w="1980" w:type="dxa"/>
          </w:tcPr>
          <w:p w14:paraId="19074758" w14:textId="78E51C13" w:rsidR="00C25790" w:rsidRDefault="00C25790" w:rsidP="007557EA">
            <w:pPr>
              <w:jc w:val="center"/>
            </w:pPr>
            <w:r>
              <w:t>$  52,124</w:t>
            </w:r>
          </w:p>
        </w:tc>
        <w:tc>
          <w:tcPr>
            <w:tcW w:w="2249" w:type="dxa"/>
          </w:tcPr>
          <w:p w14:paraId="4748C72C" w14:textId="046107D8" w:rsidR="00C25790" w:rsidRDefault="00C25790" w:rsidP="007557EA">
            <w:pPr>
              <w:jc w:val="center"/>
            </w:pPr>
            <w:r>
              <w:t>$  37,110</w:t>
            </w:r>
          </w:p>
        </w:tc>
        <w:tc>
          <w:tcPr>
            <w:tcW w:w="1981" w:type="dxa"/>
          </w:tcPr>
          <w:p w14:paraId="173C2F48" w14:textId="423B2048" w:rsidR="00C25790" w:rsidRDefault="00C25790" w:rsidP="00826439">
            <w:pPr>
              <w:jc w:val="center"/>
            </w:pPr>
            <w:r>
              <w:t>--</w:t>
            </w:r>
          </w:p>
        </w:tc>
      </w:tr>
      <w:tr w:rsidR="00D26762" w14:paraId="384CE430" w14:textId="77777777" w:rsidTr="007557EA">
        <w:trPr>
          <w:jc w:val="center"/>
        </w:trPr>
        <w:tc>
          <w:tcPr>
            <w:tcW w:w="3055" w:type="dxa"/>
          </w:tcPr>
          <w:p w14:paraId="0314EBF8" w14:textId="65984D08" w:rsidR="00D26762" w:rsidRPr="007557EA" w:rsidRDefault="00D26762" w:rsidP="00D26762">
            <w:pPr>
              <w:rPr>
                <w:b/>
              </w:rPr>
            </w:pPr>
            <w:r w:rsidRPr="007557EA">
              <w:rPr>
                <w:b/>
              </w:rPr>
              <w:t>Monthly Surcharge Rate</w:t>
            </w:r>
            <w:r>
              <w:rPr>
                <w:b/>
              </w:rPr>
              <w:t>*</w:t>
            </w:r>
          </w:p>
        </w:tc>
        <w:tc>
          <w:tcPr>
            <w:tcW w:w="1980" w:type="dxa"/>
          </w:tcPr>
          <w:p w14:paraId="54AD4303" w14:textId="4EA74F10" w:rsidR="00D26762" w:rsidRPr="007557EA" w:rsidRDefault="00D26762" w:rsidP="007557EA">
            <w:pPr>
              <w:jc w:val="center"/>
              <w:rPr>
                <w:b/>
              </w:rPr>
            </w:pPr>
            <w:r w:rsidRPr="007557EA">
              <w:rPr>
                <w:b/>
              </w:rPr>
              <w:t>$2.70*</w:t>
            </w:r>
            <w:r w:rsidR="006B69DB">
              <w:rPr>
                <w:b/>
              </w:rPr>
              <w:t>*</w:t>
            </w:r>
          </w:p>
        </w:tc>
        <w:tc>
          <w:tcPr>
            <w:tcW w:w="2249" w:type="dxa"/>
          </w:tcPr>
          <w:p w14:paraId="15F0B398" w14:textId="0390E817" w:rsidR="00D26762" w:rsidRPr="007557EA" w:rsidRDefault="00D26762" w:rsidP="007557EA">
            <w:pPr>
              <w:jc w:val="center"/>
              <w:rPr>
                <w:b/>
              </w:rPr>
            </w:pPr>
            <w:r w:rsidRPr="007557EA">
              <w:rPr>
                <w:b/>
              </w:rPr>
              <w:t>$1.92**</w:t>
            </w:r>
            <w:r w:rsidR="006B69DB">
              <w:rPr>
                <w:b/>
              </w:rPr>
              <w:t>*</w:t>
            </w:r>
          </w:p>
        </w:tc>
        <w:tc>
          <w:tcPr>
            <w:tcW w:w="1981" w:type="dxa"/>
          </w:tcPr>
          <w:p w14:paraId="4E268F1B" w14:textId="77777777" w:rsidR="00D26762" w:rsidRDefault="00D26762" w:rsidP="00D26762">
            <w:pPr>
              <w:jc w:val="center"/>
            </w:pPr>
          </w:p>
        </w:tc>
      </w:tr>
    </w:tbl>
    <w:p w14:paraId="36FCE926" w14:textId="6BB80705" w:rsidR="006B69DB" w:rsidRDefault="006B69DB" w:rsidP="00D26762">
      <w:pPr>
        <w:rPr>
          <w:sz w:val="22"/>
          <w:szCs w:val="22"/>
        </w:rPr>
      </w:pPr>
      <w:r>
        <w:rPr>
          <w:sz w:val="22"/>
          <w:szCs w:val="22"/>
        </w:rPr>
        <w:t xml:space="preserve">* Annual Surcharge Amount ÷ 1,608 </w:t>
      </w:r>
      <w:r w:rsidR="009A04C6">
        <w:rPr>
          <w:sz w:val="22"/>
          <w:szCs w:val="22"/>
        </w:rPr>
        <w:t>customers’</w:t>
      </w:r>
      <w:r>
        <w:rPr>
          <w:sz w:val="22"/>
          <w:szCs w:val="22"/>
        </w:rPr>
        <w:t xml:space="preserve"> ÷12 months</w:t>
      </w:r>
    </w:p>
    <w:p w14:paraId="3CAB8D24" w14:textId="69247493" w:rsidR="00D26762" w:rsidRDefault="00D26762" w:rsidP="00D26762">
      <w:pPr>
        <w:rPr>
          <w:sz w:val="22"/>
          <w:szCs w:val="22"/>
        </w:rPr>
      </w:pPr>
      <w:r w:rsidRPr="009D2A93">
        <w:rPr>
          <w:sz w:val="22"/>
          <w:szCs w:val="22"/>
        </w:rPr>
        <w:t>*</w:t>
      </w:r>
      <w:r w:rsidR="006B69DB">
        <w:rPr>
          <w:sz w:val="22"/>
          <w:szCs w:val="22"/>
        </w:rPr>
        <w:t>*</w:t>
      </w:r>
      <w:r w:rsidRPr="009D2A93">
        <w:rPr>
          <w:sz w:val="22"/>
          <w:szCs w:val="22"/>
        </w:rPr>
        <w:t>Surcharge expire</w:t>
      </w:r>
      <w:r>
        <w:rPr>
          <w:sz w:val="22"/>
          <w:szCs w:val="22"/>
        </w:rPr>
        <w:t>s</w:t>
      </w:r>
      <w:r w:rsidRPr="009D2A93">
        <w:rPr>
          <w:sz w:val="22"/>
          <w:szCs w:val="22"/>
        </w:rPr>
        <w:t xml:space="preserve"> June 30, 2017, or upon recovery of $165,059</w:t>
      </w:r>
      <w:r>
        <w:rPr>
          <w:sz w:val="22"/>
          <w:szCs w:val="22"/>
        </w:rPr>
        <w:t>,</w:t>
      </w:r>
      <w:r w:rsidRPr="009D2A93">
        <w:rPr>
          <w:sz w:val="22"/>
          <w:szCs w:val="22"/>
        </w:rPr>
        <w:t xml:space="preserve"> whichever occurs first.</w:t>
      </w:r>
    </w:p>
    <w:p w14:paraId="1C52760C" w14:textId="0034B130" w:rsidR="00D26762" w:rsidRPr="009D2A93" w:rsidRDefault="00D26762" w:rsidP="00D26762">
      <w:pPr>
        <w:rPr>
          <w:sz w:val="22"/>
          <w:szCs w:val="22"/>
        </w:rPr>
      </w:pPr>
      <w:r>
        <w:rPr>
          <w:sz w:val="22"/>
          <w:szCs w:val="22"/>
        </w:rPr>
        <w:t>**</w:t>
      </w:r>
      <w:r w:rsidR="006B69DB">
        <w:rPr>
          <w:sz w:val="22"/>
          <w:szCs w:val="22"/>
        </w:rPr>
        <w:t>*</w:t>
      </w:r>
      <w:r w:rsidRPr="000F48BF">
        <w:rPr>
          <w:sz w:val="22"/>
          <w:szCs w:val="22"/>
        </w:rPr>
        <w:t xml:space="preserve"> </w:t>
      </w:r>
      <w:r>
        <w:rPr>
          <w:sz w:val="22"/>
          <w:szCs w:val="22"/>
        </w:rPr>
        <w:t>Surcharge expire</w:t>
      </w:r>
      <w:r w:rsidR="008C7933">
        <w:rPr>
          <w:sz w:val="22"/>
          <w:szCs w:val="22"/>
        </w:rPr>
        <w:t>s</w:t>
      </w:r>
      <w:r>
        <w:rPr>
          <w:sz w:val="22"/>
          <w:szCs w:val="22"/>
        </w:rPr>
        <w:t xml:space="preserve"> October 31</w:t>
      </w:r>
      <w:r w:rsidRPr="009D2A93">
        <w:rPr>
          <w:sz w:val="22"/>
          <w:szCs w:val="22"/>
        </w:rPr>
        <w:t>, 2017, or upon recovery of $</w:t>
      </w:r>
      <w:r>
        <w:rPr>
          <w:sz w:val="22"/>
          <w:szCs w:val="22"/>
        </w:rPr>
        <w:t>117,514,</w:t>
      </w:r>
      <w:r w:rsidRPr="009D2A93">
        <w:rPr>
          <w:sz w:val="22"/>
          <w:szCs w:val="22"/>
        </w:rPr>
        <w:t xml:space="preserve"> whichever occurs first.</w:t>
      </w:r>
    </w:p>
    <w:p w14:paraId="62081E21" w14:textId="77777777" w:rsidR="00EC2565" w:rsidRDefault="00EC2565" w:rsidP="00EC256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20" w:lineRule="auto"/>
      </w:pPr>
    </w:p>
    <w:p w14:paraId="0256F57C" w14:textId="77777777" w:rsidR="00EC2565" w:rsidRDefault="00EC2565" w:rsidP="00EC256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20" w:lineRule="auto"/>
      </w:pPr>
      <w:r>
        <w:t>The compromise proposal is:</w:t>
      </w:r>
    </w:p>
    <w:p w14:paraId="5D144759" w14:textId="77777777" w:rsidR="00EC2565" w:rsidRDefault="00EC2565" w:rsidP="00EC256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20" w:lineRule="auto"/>
      </w:pPr>
    </w:p>
    <w:p w14:paraId="6E020F1A" w14:textId="0CC09E34" w:rsidR="00EC2565" w:rsidRDefault="006C65CF" w:rsidP="007557EA">
      <w:pPr>
        <w:pStyle w:val="ListParagraph"/>
        <w:widowControl w:val="0"/>
        <w:numPr>
          <w:ilvl w:val="0"/>
          <w:numId w:val="3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20" w:lineRule="auto"/>
      </w:pPr>
      <w:r>
        <w:t>Well No. 17 drilling cost:  Defer all of the $31,115 cost f</w:t>
      </w:r>
      <w:r w:rsidR="00EC2565">
        <w:t>or future capitalization and recovery associated with a future new water supply source for the North Aquifer service area.</w:t>
      </w:r>
    </w:p>
    <w:p w14:paraId="600A4D42" w14:textId="77777777" w:rsidR="00EC2565" w:rsidRDefault="00EC2565" w:rsidP="00EC256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20" w:lineRule="auto"/>
      </w:pPr>
    </w:p>
    <w:p w14:paraId="0642BDB6" w14:textId="2C8F3B51" w:rsidR="00EC2565" w:rsidRDefault="006C65CF" w:rsidP="007557EA">
      <w:pPr>
        <w:pStyle w:val="ListParagraph"/>
        <w:widowControl w:val="0"/>
        <w:numPr>
          <w:ilvl w:val="0"/>
          <w:numId w:val="3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20" w:lineRule="auto"/>
      </w:pPr>
      <w:r>
        <w:t>Site Investigation cost:  Recover all of the $69,844 in the revised surcharge</w:t>
      </w:r>
      <w:r w:rsidR="00EC2565">
        <w:t>.</w:t>
      </w:r>
    </w:p>
    <w:p w14:paraId="02F07172" w14:textId="77777777" w:rsidR="006C65CF" w:rsidRDefault="006C65CF" w:rsidP="007557EA">
      <w:pPr>
        <w:pStyle w:val="ListParagraph"/>
      </w:pPr>
    </w:p>
    <w:p w14:paraId="41805F22" w14:textId="40427D46" w:rsidR="000B5EC8" w:rsidRDefault="006C65CF" w:rsidP="007557EA">
      <w:pPr>
        <w:pStyle w:val="ListParagraph"/>
        <w:widowControl w:val="0"/>
        <w:numPr>
          <w:ilvl w:val="0"/>
          <w:numId w:val="3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20" w:lineRule="auto"/>
      </w:pPr>
      <w:r>
        <w:t xml:space="preserve">Legal cost: Recover $35,606 (75 percent) in the revised surcharge and defer </w:t>
      </w:r>
      <w:r w:rsidR="00EC2565">
        <w:t xml:space="preserve">$11,869 (25 percent) </w:t>
      </w:r>
      <w:r w:rsidR="000B5EC8" w:rsidRPr="000B5EC8">
        <w:t xml:space="preserve">for future capitalization and </w:t>
      </w:r>
      <w:r w:rsidR="00EC2565">
        <w:t>recovery associated with a future new water supply source for the North Aquifer service area.</w:t>
      </w:r>
    </w:p>
    <w:p w14:paraId="5D13DDD1" w14:textId="77777777" w:rsidR="000B5EC8" w:rsidRDefault="000B5EC8" w:rsidP="0082643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20" w:lineRule="auto"/>
      </w:pPr>
    </w:p>
    <w:p w14:paraId="10B08019" w14:textId="7C7B40E8" w:rsidR="000B5EC8" w:rsidRDefault="000B5EC8" w:rsidP="007557EA">
      <w:pPr>
        <w:pStyle w:val="ListParagraph"/>
        <w:widowControl w:val="0"/>
        <w:numPr>
          <w:ilvl w:val="0"/>
          <w:numId w:val="3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20" w:lineRule="auto"/>
      </w:pPr>
      <w:r>
        <w:t>Notice &amp; Mailing: All costs included in revised surcharge. (No change)</w:t>
      </w:r>
    </w:p>
    <w:p w14:paraId="1F75F4D3" w14:textId="77777777" w:rsidR="000B5EC8" w:rsidRDefault="000B5EC8" w:rsidP="007557EA">
      <w:pPr>
        <w:pStyle w:val="ListParagraph"/>
      </w:pPr>
    </w:p>
    <w:p w14:paraId="5E2EE931" w14:textId="5D3D4B56" w:rsidR="000B5EC8" w:rsidRDefault="000B5EC8" w:rsidP="007557EA">
      <w:pPr>
        <w:pStyle w:val="ListParagraph"/>
        <w:widowControl w:val="0"/>
        <w:numPr>
          <w:ilvl w:val="0"/>
          <w:numId w:val="3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20" w:lineRule="auto"/>
      </w:pPr>
      <w:r>
        <w:t>Utility Tax: Adjusted to apply to revised costs in the revised surcharge.</w:t>
      </w:r>
    </w:p>
    <w:p w14:paraId="37C6B5E8" w14:textId="77777777" w:rsidR="000B5EC8" w:rsidRDefault="000B5EC8" w:rsidP="007557E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20" w:lineRule="auto"/>
      </w:pPr>
    </w:p>
    <w:p w14:paraId="0BA4EF3F" w14:textId="77777777" w:rsidR="000B5EC8" w:rsidRPr="000B5EC8" w:rsidRDefault="000B5EC8" w:rsidP="000B5EC8">
      <w:pPr>
        <w:pStyle w:val="ListParagraph"/>
        <w:numPr>
          <w:ilvl w:val="0"/>
          <w:numId w:val="34"/>
        </w:numPr>
      </w:pPr>
      <w:r>
        <w:t xml:space="preserve">Interest: </w:t>
      </w:r>
      <w:r w:rsidRPr="000B5EC8">
        <w:t>Adjusted to apply to revised costs in the revised surcharge.</w:t>
      </w:r>
    </w:p>
    <w:p w14:paraId="1D6B71EA" w14:textId="77777777" w:rsidR="00EC2565" w:rsidRDefault="00EC2565" w:rsidP="007557EA">
      <w:pPr>
        <w:pStyle w:val="ListParagraph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20" w:lineRule="auto"/>
      </w:pPr>
    </w:p>
    <w:p w14:paraId="3DFDE856" w14:textId="1C0946B7" w:rsidR="00EC2565" w:rsidRDefault="00EC2565" w:rsidP="00EC256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20" w:lineRule="auto"/>
        <w:rPr>
          <w:snapToGrid w:val="0"/>
        </w:rPr>
      </w:pPr>
      <w:r>
        <w:t xml:space="preserve">Total amount in the revised proposal is $117,514 </w:t>
      </w:r>
      <w:r w:rsidR="006C65CF">
        <w:t xml:space="preserve">for the current surcharge </w:t>
      </w:r>
      <w:r>
        <w:t xml:space="preserve">and $42,983 </w:t>
      </w:r>
      <w:r w:rsidR="000B5EC8">
        <w:t xml:space="preserve">deferred </w:t>
      </w:r>
      <w:r>
        <w:t>for future capitalization and recovery associated with a future new water supply source for the North Aquifer service area.</w:t>
      </w:r>
      <w:r w:rsidRPr="000F2A66">
        <w:rPr>
          <w:snapToGrid w:val="0"/>
        </w:rPr>
        <w:t xml:space="preserve"> </w:t>
      </w:r>
    </w:p>
    <w:p w14:paraId="50C70C46" w14:textId="77777777" w:rsidR="00EC2565" w:rsidRDefault="00EC2565" w:rsidP="00EC256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20" w:lineRule="auto"/>
        <w:rPr>
          <w:snapToGrid w:val="0"/>
        </w:rPr>
      </w:pPr>
    </w:p>
    <w:p w14:paraId="7F2EBBE2" w14:textId="0CC1BF5A" w:rsidR="00EC2565" w:rsidRDefault="00EC2565" w:rsidP="00EC256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20" w:lineRule="auto"/>
      </w:pPr>
      <w:r>
        <w:rPr>
          <w:snapToGrid w:val="0"/>
        </w:rPr>
        <w:t xml:space="preserve">The </w:t>
      </w:r>
      <w:r w:rsidR="00D24204">
        <w:rPr>
          <w:snapToGrid w:val="0"/>
        </w:rPr>
        <w:t>revised s</w:t>
      </w:r>
      <w:r>
        <w:rPr>
          <w:snapToGrid w:val="0"/>
        </w:rPr>
        <w:t xml:space="preserve">urcharge </w:t>
      </w:r>
      <w:r w:rsidR="006C65CF">
        <w:rPr>
          <w:snapToGrid w:val="0"/>
        </w:rPr>
        <w:t>would</w:t>
      </w:r>
      <w:r>
        <w:rPr>
          <w:snapToGrid w:val="0"/>
        </w:rPr>
        <w:t xml:space="preserve"> expire October 31, 2017, or upon recovery of $ </w:t>
      </w:r>
      <w:r w:rsidR="004B04A7">
        <w:rPr>
          <w:snapToGrid w:val="0"/>
        </w:rPr>
        <w:t>117,514 whichever occurs first.</w:t>
      </w:r>
      <w:r>
        <w:rPr>
          <w:snapToGrid w:val="0"/>
        </w:rPr>
        <w:t xml:space="preserve"> Cost</w:t>
      </w:r>
      <w:r w:rsidR="006C65CF">
        <w:rPr>
          <w:snapToGrid w:val="0"/>
        </w:rPr>
        <w:t>s</w:t>
      </w:r>
      <w:r>
        <w:rPr>
          <w:snapToGrid w:val="0"/>
        </w:rPr>
        <w:t xml:space="preserve"> include principal, plus interest charges and state excise taxes. </w:t>
      </w:r>
      <w:r w:rsidR="00826439">
        <w:rPr>
          <w:snapToGrid w:val="0"/>
        </w:rPr>
        <w:t xml:space="preserve">Customers could choose to </w:t>
      </w:r>
      <w:r w:rsidR="00826439">
        <w:t xml:space="preserve">pay, </w:t>
      </w:r>
      <w:r>
        <w:t>within 90 days of effective date</w:t>
      </w:r>
      <w:r w:rsidR="00826439">
        <w:t>,</w:t>
      </w:r>
      <w:r>
        <w:t xml:space="preserve"> a one-time </w:t>
      </w:r>
      <w:r w:rsidR="00826439">
        <w:t xml:space="preserve">$67.06 </w:t>
      </w:r>
      <w:r>
        <w:t xml:space="preserve">payment </w:t>
      </w:r>
      <w:r w:rsidR="006C65CF">
        <w:t>to avoid</w:t>
      </w:r>
      <w:r>
        <w:t xml:space="preserve"> interest cost.</w:t>
      </w:r>
    </w:p>
    <w:p w14:paraId="503F1EF5" w14:textId="4B11D664" w:rsidR="009D2A93" w:rsidRPr="002E3E9D" w:rsidRDefault="009D2A93" w:rsidP="009D2A93"/>
    <w:p w14:paraId="0335FC1A" w14:textId="77777777" w:rsidR="00957797" w:rsidRDefault="00957797">
      <w:pPr>
        <w:rPr>
          <w:rFonts w:eastAsia="Times New Roman"/>
          <w:b/>
          <w:u w:val="single"/>
          <w:lang w:bidi="ar-SA"/>
        </w:rPr>
      </w:pPr>
      <w:r>
        <w:rPr>
          <w:rFonts w:eastAsia="Times New Roman"/>
          <w:b/>
          <w:u w:val="single"/>
          <w:lang w:bidi="ar-SA"/>
        </w:rPr>
        <w:br w:type="page"/>
      </w:r>
    </w:p>
    <w:p w14:paraId="553A6D20" w14:textId="4778DFFE" w:rsidR="00664875" w:rsidRDefault="00664875" w:rsidP="0066487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20" w:lineRule="auto"/>
        <w:rPr>
          <w:rFonts w:eastAsia="Times New Roman"/>
          <w:b/>
          <w:u w:val="single"/>
          <w:lang w:bidi="ar-SA"/>
        </w:rPr>
      </w:pPr>
      <w:r w:rsidRPr="00A8749C">
        <w:rPr>
          <w:rFonts w:eastAsia="Times New Roman"/>
          <w:b/>
          <w:u w:val="single"/>
          <w:lang w:bidi="ar-SA"/>
        </w:rPr>
        <w:lastRenderedPageBreak/>
        <w:t xml:space="preserve">Customer Comments </w:t>
      </w:r>
    </w:p>
    <w:p w14:paraId="3D794A9A" w14:textId="77777777" w:rsidR="00664875" w:rsidRPr="00A8749C" w:rsidRDefault="00664875" w:rsidP="0066487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20" w:lineRule="auto"/>
        <w:rPr>
          <w:rFonts w:eastAsia="Times New Roman"/>
          <w:b/>
          <w:u w:val="single"/>
          <w:lang w:bidi="ar-SA"/>
        </w:rPr>
      </w:pPr>
    </w:p>
    <w:p w14:paraId="4B735DA7" w14:textId="3E991441" w:rsidR="00664875" w:rsidRDefault="00664875" w:rsidP="00ED6543">
      <w:pPr>
        <w:rPr>
          <w:color w:val="000000"/>
        </w:rPr>
      </w:pPr>
      <w:r>
        <w:rPr>
          <w:color w:val="000000"/>
        </w:rPr>
        <w:t>On March 07, 2014, the company notified its customers of the proposed surc</w:t>
      </w:r>
      <w:r w:rsidR="00ED6543">
        <w:rPr>
          <w:color w:val="000000"/>
        </w:rPr>
        <w:t>harge by mail. Staff received 51</w:t>
      </w:r>
      <w:r>
        <w:rPr>
          <w:color w:val="000000"/>
        </w:rPr>
        <w:t xml:space="preserve"> comments regarding the proposed surcharge; </w:t>
      </w:r>
      <w:r w:rsidR="00ED6543">
        <w:rPr>
          <w:color w:val="000000"/>
        </w:rPr>
        <w:t>40</w:t>
      </w:r>
      <w:r>
        <w:rPr>
          <w:color w:val="000000"/>
        </w:rPr>
        <w:t xml:space="preserve"> opposed to the surcharge and 11 in favor. </w:t>
      </w:r>
    </w:p>
    <w:p w14:paraId="4A6B636D" w14:textId="77777777" w:rsidR="009A04C6" w:rsidRDefault="009A04C6" w:rsidP="00ED6543">
      <w:pPr>
        <w:rPr>
          <w:color w:val="000000"/>
        </w:rPr>
      </w:pPr>
    </w:p>
    <w:p w14:paraId="14D23739" w14:textId="7FD69B8F" w:rsidR="009A04C6" w:rsidRDefault="009A04C6" w:rsidP="00ED6543">
      <w:pPr>
        <w:rPr>
          <w:color w:val="000000"/>
        </w:rPr>
      </w:pPr>
      <w:r>
        <w:rPr>
          <w:color w:val="000000"/>
        </w:rPr>
        <w:t>During the open meeting of August 28, 2014, several issues were presented</w:t>
      </w:r>
      <w:r w:rsidR="00C369C1">
        <w:rPr>
          <w:color w:val="000000"/>
        </w:rPr>
        <w:t xml:space="preserve"> regarding the </w:t>
      </w:r>
      <w:r>
        <w:rPr>
          <w:color w:val="000000"/>
        </w:rPr>
        <w:t xml:space="preserve">Model Toxic Control Act (MTCA) under RCW 70 and property ownership of the site at 781 Walker Way, Port Ludlow, Washington. </w:t>
      </w:r>
    </w:p>
    <w:p w14:paraId="001932CB" w14:textId="77777777" w:rsidR="009A04C6" w:rsidRDefault="009A04C6" w:rsidP="00ED6543">
      <w:pPr>
        <w:rPr>
          <w:color w:val="000000"/>
        </w:rPr>
      </w:pPr>
    </w:p>
    <w:p w14:paraId="7D527B40" w14:textId="0988670D" w:rsidR="00664875" w:rsidRDefault="009A04C6" w:rsidP="009A04C6">
      <w:r>
        <w:t>Staff has reviewed these issue</w:t>
      </w:r>
      <w:r w:rsidR="00AD4B7F">
        <w:t>s</w:t>
      </w:r>
      <w:r>
        <w:t xml:space="preserve"> and found:</w:t>
      </w:r>
    </w:p>
    <w:p w14:paraId="4A65F5C3" w14:textId="32E9DE3A" w:rsidR="009A04C6" w:rsidRDefault="009A04C6" w:rsidP="009A04C6">
      <w:pPr>
        <w:pStyle w:val="ListParagraph"/>
        <w:numPr>
          <w:ilvl w:val="0"/>
          <w:numId w:val="35"/>
        </w:numPr>
      </w:pPr>
      <w:r>
        <w:t>MTCA</w:t>
      </w:r>
    </w:p>
    <w:p w14:paraId="6B24175B" w14:textId="3B6E3B86" w:rsidR="00754A40" w:rsidRDefault="00754A40" w:rsidP="00754A40">
      <w:pPr>
        <w:pStyle w:val="ListParagraph"/>
        <w:numPr>
          <w:ilvl w:val="0"/>
          <w:numId w:val="36"/>
        </w:numPr>
        <w:ind w:left="1440"/>
      </w:pPr>
      <w:r>
        <w:t>Staff re</w:t>
      </w:r>
      <w:r w:rsidR="003D6F9D">
        <w:t>viewed</w:t>
      </w:r>
      <w:r w:rsidR="003C239D">
        <w:t xml:space="preserve"> RCW 70.105D and WAC 173</w:t>
      </w:r>
    </w:p>
    <w:p w14:paraId="302FF8F2" w14:textId="2EB1ED0E" w:rsidR="003C239D" w:rsidRDefault="003C239D" w:rsidP="00754A40">
      <w:pPr>
        <w:pStyle w:val="ListParagraph"/>
        <w:numPr>
          <w:ilvl w:val="0"/>
          <w:numId w:val="36"/>
        </w:numPr>
        <w:ind w:left="1440"/>
      </w:pPr>
      <w:r>
        <w:t>Under RCW 70.105D.040(1) the following persons are liable with respect to a facility</w:t>
      </w:r>
    </w:p>
    <w:p w14:paraId="0EEE54D5" w14:textId="0897EA54" w:rsidR="003C239D" w:rsidRDefault="003C239D" w:rsidP="003C239D">
      <w:pPr>
        <w:pStyle w:val="ListParagraph"/>
        <w:numPr>
          <w:ilvl w:val="1"/>
          <w:numId w:val="36"/>
        </w:numPr>
      </w:pPr>
      <w:r>
        <w:t>(a) The owner or operator of the facility</w:t>
      </w:r>
      <w:r w:rsidR="00C369C1">
        <w:t xml:space="preserve">. </w:t>
      </w:r>
      <w:r>
        <w:t>Staff interprets th</w:t>
      </w:r>
      <w:r w:rsidR="00C369C1">
        <w:t>at</w:t>
      </w:r>
      <w:r>
        <w:t xml:space="preserve"> to be Olympic Water and Sewer.</w:t>
      </w:r>
    </w:p>
    <w:p w14:paraId="0500AC86" w14:textId="322436BB" w:rsidR="003C239D" w:rsidRDefault="003C239D" w:rsidP="003C239D">
      <w:pPr>
        <w:pStyle w:val="ListParagraph"/>
        <w:numPr>
          <w:ilvl w:val="1"/>
          <w:numId w:val="36"/>
        </w:numPr>
      </w:pPr>
      <w:r>
        <w:t>(b) Any person who owned or operated the facility at the time of disposal or release of the hazardous substances</w:t>
      </w:r>
      <w:r w:rsidR="00C369C1">
        <w:t xml:space="preserve">. </w:t>
      </w:r>
      <w:r>
        <w:t>Staff interprets th</w:t>
      </w:r>
      <w:r w:rsidR="00C369C1">
        <w:t>at</w:t>
      </w:r>
      <w:r>
        <w:t xml:space="preserve"> to be Pope Resources.</w:t>
      </w:r>
    </w:p>
    <w:p w14:paraId="362A0511" w14:textId="32824363" w:rsidR="003C239D" w:rsidRDefault="003C239D" w:rsidP="003C239D">
      <w:pPr>
        <w:pStyle w:val="ListParagraph"/>
        <w:numPr>
          <w:ilvl w:val="1"/>
          <w:numId w:val="36"/>
        </w:numPr>
      </w:pPr>
      <w:r>
        <w:t xml:space="preserve">Under RCW </w:t>
      </w:r>
      <w:r w:rsidR="000247B4">
        <w:t>70.105D.040 (</w:t>
      </w:r>
      <w:r>
        <w:t>2)</w:t>
      </w:r>
      <w:r w:rsidR="006311C1">
        <w:t xml:space="preserve"> Each person who</w:t>
      </w:r>
      <w:r>
        <w:t xml:space="preserve"> is liable under this section is strictly liable, jointly and severall</w:t>
      </w:r>
      <w:r w:rsidR="006311C1">
        <w:t>y</w:t>
      </w:r>
      <w:r>
        <w:t>, for all remedial action costs…</w:t>
      </w:r>
    </w:p>
    <w:p w14:paraId="5A3B19F6" w14:textId="0B93F6CC" w:rsidR="007E674D" w:rsidRDefault="007E674D" w:rsidP="007E674D">
      <w:pPr>
        <w:pStyle w:val="ListParagraph"/>
        <w:numPr>
          <w:ilvl w:val="0"/>
          <w:numId w:val="36"/>
        </w:numPr>
        <w:ind w:left="1440"/>
      </w:pPr>
      <w:r>
        <w:t>MTCA does not determine cost allocation or direct cost responsibility.</w:t>
      </w:r>
    </w:p>
    <w:p w14:paraId="68DFC20B" w14:textId="77777777" w:rsidR="00754A40" w:rsidRDefault="00754A40" w:rsidP="00754A40">
      <w:pPr>
        <w:pStyle w:val="ListParagraph"/>
        <w:ind w:left="1440"/>
      </w:pPr>
    </w:p>
    <w:p w14:paraId="487E5E06" w14:textId="2D28B6F0" w:rsidR="009A04C6" w:rsidRDefault="009A04C6" w:rsidP="009A04C6">
      <w:pPr>
        <w:pStyle w:val="ListParagraph"/>
        <w:numPr>
          <w:ilvl w:val="0"/>
          <w:numId w:val="35"/>
        </w:numPr>
      </w:pPr>
      <w:r>
        <w:t>Property ownership</w:t>
      </w:r>
      <w:r w:rsidR="00754A40">
        <w:t xml:space="preserve"> at 781 Walker Way</w:t>
      </w:r>
    </w:p>
    <w:p w14:paraId="23ED4F42" w14:textId="7A1F1C3B" w:rsidR="00754A40" w:rsidRDefault="00754A40" w:rsidP="00754A40">
      <w:pPr>
        <w:pStyle w:val="ListParagraph"/>
        <w:numPr>
          <w:ilvl w:val="1"/>
          <w:numId w:val="35"/>
        </w:numPr>
      </w:pPr>
      <w:r>
        <w:t>Staff received a brief history from the Jefferson County Assessor’s office that stated in part; the parcel i</w:t>
      </w:r>
      <w:r w:rsidR="00B44914">
        <w:t>n</w:t>
      </w:r>
      <w:r>
        <w:t xml:space="preserve"> question was purchased by Pope Resources in April 1968 from Pope </w:t>
      </w:r>
      <w:r w:rsidR="00B44914">
        <w:t>and</w:t>
      </w:r>
      <w:r>
        <w:t xml:space="preserve"> Talbot. It was then transferred by Quit Claim Deed in 1998 to Pope’s wholly owned subsidy, Olympic Water &amp; Sewer Inc. That is the only ownership/sales for this parcel. </w:t>
      </w:r>
    </w:p>
    <w:p w14:paraId="11963113" w14:textId="5DC8966C" w:rsidR="00754A40" w:rsidRDefault="00754A40" w:rsidP="00754A40">
      <w:pPr>
        <w:pStyle w:val="ListParagraph"/>
        <w:numPr>
          <w:ilvl w:val="1"/>
          <w:numId w:val="35"/>
        </w:numPr>
      </w:pPr>
      <w:r>
        <w:lastRenderedPageBreak/>
        <w:t>Pope Resources was owner in 1990 when USTs were removed.</w:t>
      </w:r>
    </w:p>
    <w:p w14:paraId="3405CE50" w14:textId="466FA71B" w:rsidR="00754A40" w:rsidRDefault="00754A40" w:rsidP="00754A40">
      <w:pPr>
        <w:pStyle w:val="ListParagraph"/>
        <w:numPr>
          <w:ilvl w:val="1"/>
          <w:numId w:val="35"/>
        </w:numPr>
      </w:pPr>
      <w:r>
        <w:t xml:space="preserve">Olympic Water and Sewer was </w:t>
      </w:r>
      <w:r w:rsidR="007E674D">
        <w:t xml:space="preserve">the property </w:t>
      </w:r>
      <w:r>
        <w:t>owner in 2009 when Well No. 17 was drilled.</w:t>
      </w:r>
    </w:p>
    <w:p w14:paraId="10372401" w14:textId="77777777" w:rsidR="007E674D" w:rsidRDefault="007E674D" w:rsidP="009A04C6"/>
    <w:p w14:paraId="50FF2CF0" w14:textId="48A81DDA" w:rsidR="009A04C6" w:rsidRDefault="007E674D" w:rsidP="009A04C6">
      <w:r>
        <w:t>Additionally, staff’s review does not consider the negotiated shared investigation cost and legal expenses to represent a new or modified buy/sell agreement from 2001. Olympic Water and Sewer</w:t>
      </w:r>
      <w:r w:rsidR="00C369C1">
        <w:t>,</w:t>
      </w:r>
      <w:r>
        <w:t xml:space="preserve"> Inc. is a separate corporation and its stock ownership does not automatically shift liabilities to the stock owner.</w:t>
      </w:r>
      <w:r w:rsidR="00806AEC">
        <w:t xml:space="preserve"> Cost recovery for any company can be passed </w:t>
      </w:r>
      <w:r w:rsidR="00AD4B7F">
        <w:t xml:space="preserve">on </w:t>
      </w:r>
      <w:r w:rsidR="00806AEC">
        <w:t xml:space="preserve">to the customers through the price of the product. Olympic Water and Sewer has requested </w:t>
      </w:r>
      <w:r w:rsidR="0002431E">
        <w:t xml:space="preserve">to </w:t>
      </w:r>
      <w:r w:rsidR="00806AEC">
        <w:t>recover</w:t>
      </w:r>
      <w:r w:rsidR="00C369C1">
        <w:t xml:space="preserve"> costs</w:t>
      </w:r>
      <w:r w:rsidR="00806AEC">
        <w:t xml:space="preserve"> through a </w:t>
      </w:r>
      <w:r w:rsidR="00C369C1">
        <w:t>$1.92 monthly sur</w:t>
      </w:r>
      <w:r w:rsidR="00806AEC">
        <w:t>charge for a 38</w:t>
      </w:r>
      <w:r w:rsidR="00AD4B7F">
        <w:t>-</w:t>
      </w:r>
      <w:r w:rsidR="00806AEC">
        <w:t>month period.</w:t>
      </w:r>
    </w:p>
    <w:p w14:paraId="4DCAFEB5" w14:textId="77777777" w:rsidR="007E674D" w:rsidRDefault="007E674D" w:rsidP="009A04C6"/>
    <w:p w14:paraId="1F03FDAF" w14:textId="6E5D68E9" w:rsidR="00B402B4" w:rsidRDefault="00B402B4" w:rsidP="00B402B4">
      <w:pPr>
        <w:rPr>
          <w:b/>
          <w:u w:val="single"/>
        </w:rPr>
      </w:pPr>
      <w:r w:rsidRPr="00935AF2">
        <w:rPr>
          <w:b/>
          <w:u w:val="single"/>
        </w:rPr>
        <w:t xml:space="preserve">Conclusion </w:t>
      </w:r>
    </w:p>
    <w:p w14:paraId="1F03FDB0" w14:textId="77777777" w:rsidR="009270B9" w:rsidRPr="009270B9" w:rsidRDefault="009270B9" w:rsidP="009270B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25" w:lineRule="auto"/>
        <w:rPr>
          <w:rFonts w:eastAsia="Times New Roman"/>
          <w:lang w:bidi="ar-SA"/>
        </w:rPr>
      </w:pPr>
    </w:p>
    <w:p w14:paraId="1F03FDB1" w14:textId="7F1BB87D" w:rsidR="00704124" w:rsidRDefault="00204D11" w:rsidP="00C62D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</w:pPr>
      <w:r>
        <w:rPr>
          <w:rFonts w:eastAsia="Times New Roman"/>
          <w:color w:val="000000"/>
          <w:lang w:bidi="ar-SA"/>
        </w:rPr>
        <w:t xml:space="preserve">The company has filed to </w:t>
      </w:r>
      <w:r w:rsidR="009D2A93">
        <w:rPr>
          <w:rFonts w:eastAsia="Times New Roman"/>
          <w:color w:val="000000"/>
          <w:lang w:bidi="ar-SA"/>
        </w:rPr>
        <w:t>recover costs</w:t>
      </w:r>
      <w:r w:rsidR="00F60EAF">
        <w:rPr>
          <w:rFonts w:eastAsia="Times New Roman"/>
          <w:color w:val="000000"/>
          <w:lang w:bidi="ar-SA"/>
        </w:rPr>
        <w:t>,</w:t>
      </w:r>
      <w:r w:rsidR="009D2A93">
        <w:rPr>
          <w:rFonts w:eastAsia="Times New Roman"/>
          <w:color w:val="000000"/>
          <w:lang w:bidi="ar-SA"/>
        </w:rPr>
        <w:t xml:space="preserve"> </w:t>
      </w:r>
      <w:r w:rsidR="00F60EAF">
        <w:rPr>
          <w:rFonts w:eastAsia="Times New Roman"/>
          <w:color w:val="000000"/>
          <w:lang w:bidi="ar-SA"/>
        </w:rPr>
        <w:t xml:space="preserve">under condition 8a of Order 01, </w:t>
      </w:r>
      <w:r w:rsidR="009D2A93">
        <w:rPr>
          <w:rFonts w:eastAsia="Times New Roman"/>
          <w:color w:val="000000"/>
          <w:lang w:bidi="ar-SA"/>
        </w:rPr>
        <w:t>that were deferred</w:t>
      </w:r>
      <w:r>
        <w:rPr>
          <w:rFonts w:eastAsia="Times New Roman"/>
          <w:color w:val="000000"/>
          <w:lang w:bidi="ar-SA"/>
        </w:rPr>
        <w:t xml:space="preserve"> upon the commission approving the </w:t>
      </w:r>
      <w:r w:rsidR="00F23F28">
        <w:rPr>
          <w:rFonts w:eastAsia="Times New Roman"/>
          <w:color w:val="000000"/>
          <w:lang w:bidi="ar-SA"/>
        </w:rPr>
        <w:t>p</w:t>
      </w:r>
      <w:r>
        <w:rPr>
          <w:rFonts w:eastAsia="Times New Roman"/>
          <w:color w:val="000000"/>
          <w:lang w:bidi="ar-SA"/>
        </w:rPr>
        <w:t xml:space="preserve">etition </w:t>
      </w:r>
      <w:r w:rsidR="00F23F28">
        <w:rPr>
          <w:rFonts w:eastAsia="Times New Roman"/>
          <w:color w:val="000000"/>
          <w:lang w:bidi="ar-SA"/>
        </w:rPr>
        <w:t xml:space="preserve">for accounting order </w:t>
      </w:r>
      <w:r w:rsidR="00DA2FC8">
        <w:rPr>
          <w:rFonts w:eastAsia="Times New Roman"/>
          <w:color w:val="000000"/>
          <w:lang w:bidi="ar-SA"/>
        </w:rPr>
        <w:t>on</w:t>
      </w:r>
      <w:r>
        <w:rPr>
          <w:rFonts w:eastAsia="Times New Roman"/>
          <w:color w:val="000000"/>
          <w:lang w:bidi="ar-SA"/>
        </w:rPr>
        <w:t xml:space="preserve"> </w:t>
      </w:r>
      <w:r w:rsidR="009D2A93">
        <w:rPr>
          <w:rFonts w:eastAsia="Times New Roman"/>
          <w:color w:val="000000"/>
          <w:lang w:bidi="ar-SA"/>
        </w:rPr>
        <w:t>September 17, 2011</w:t>
      </w:r>
      <w:r>
        <w:rPr>
          <w:rFonts w:eastAsia="Times New Roman"/>
          <w:color w:val="000000"/>
          <w:lang w:bidi="ar-SA"/>
        </w:rPr>
        <w:t>.</w:t>
      </w:r>
      <w:r>
        <w:rPr>
          <w:rFonts w:eastAsia="Times New Roman"/>
          <w:lang w:bidi="ar-SA"/>
        </w:rPr>
        <w:t xml:space="preserve"> </w:t>
      </w:r>
    </w:p>
    <w:p w14:paraId="1F03FDB2" w14:textId="77777777" w:rsidR="0011477E" w:rsidRDefault="0011477E" w:rsidP="0011477E"/>
    <w:p w14:paraId="08D361EB" w14:textId="14A84238" w:rsidR="003E1859" w:rsidRDefault="009D2A93" w:rsidP="009D2A93">
      <w:r>
        <w:t>Commission staff has review</w:t>
      </w:r>
      <w:r w:rsidR="00F60EAF">
        <w:t>ed</w:t>
      </w:r>
      <w:r>
        <w:t xml:space="preserve"> the company’s </w:t>
      </w:r>
      <w:r w:rsidR="00F60EAF">
        <w:t xml:space="preserve">filing </w:t>
      </w:r>
      <w:r w:rsidR="00E62DDB">
        <w:t xml:space="preserve">to recover the </w:t>
      </w:r>
      <w:r w:rsidR="00F60EAF">
        <w:t xml:space="preserve">cost of </w:t>
      </w:r>
      <w:r w:rsidR="00E62DDB">
        <w:t xml:space="preserve">drilling </w:t>
      </w:r>
      <w:r w:rsidR="00D84A94">
        <w:t>Well</w:t>
      </w:r>
      <w:r w:rsidR="00F60EAF">
        <w:t xml:space="preserve"> </w:t>
      </w:r>
      <w:r w:rsidR="00F52F18">
        <w:t>No</w:t>
      </w:r>
      <w:r w:rsidR="00185D8A">
        <w:t xml:space="preserve">. </w:t>
      </w:r>
      <w:r w:rsidR="00F60EAF">
        <w:t>17, investigation cost</w:t>
      </w:r>
      <w:r w:rsidR="00DA2FC8">
        <w:t>s</w:t>
      </w:r>
      <w:r w:rsidR="00F60EAF">
        <w:t xml:space="preserve"> after </w:t>
      </w:r>
      <w:r w:rsidR="00DA2FC8">
        <w:t xml:space="preserve">the </w:t>
      </w:r>
      <w:r w:rsidR="00F60EAF">
        <w:t xml:space="preserve">contamination </w:t>
      </w:r>
      <w:r w:rsidR="00DA2FC8">
        <w:t xml:space="preserve">was </w:t>
      </w:r>
      <w:r w:rsidR="00F60EAF">
        <w:t>discovered, legal cost</w:t>
      </w:r>
      <w:r w:rsidR="00DA2FC8">
        <w:t>s</w:t>
      </w:r>
      <w:r w:rsidR="00F60EAF">
        <w:t xml:space="preserve"> for reviews and </w:t>
      </w:r>
      <w:r w:rsidR="00C20CF1">
        <w:t>negotiations</w:t>
      </w:r>
      <w:r w:rsidR="00DA2FC8">
        <w:t>,</w:t>
      </w:r>
      <w:r w:rsidR="00F60EAF">
        <w:t xml:space="preserve"> and </w:t>
      </w:r>
      <w:r w:rsidR="00DA2FC8">
        <w:t xml:space="preserve">the cost of the </w:t>
      </w:r>
      <w:r w:rsidR="00F60EAF">
        <w:t>company</w:t>
      </w:r>
      <w:r w:rsidR="00DA2FC8">
        <w:t xml:space="preserve">’s </w:t>
      </w:r>
      <w:r w:rsidR="00F60EAF">
        <w:t xml:space="preserve">notice </w:t>
      </w:r>
      <w:r w:rsidR="00DA2FC8">
        <w:t>to customers</w:t>
      </w:r>
      <w:r w:rsidR="00F60EAF">
        <w:t xml:space="preserve">. </w:t>
      </w:r>
      <w:r w:rsidR="00DA2FC8">
        <w:t>S</w:t>
      </w:r>
      <w:r w:rsidR="000F48BF">
        <w:t xml:space="preserve">taff </w:t>
      </w:r>
      <w:r w:rsidR="00F1000F">
        <w:t>has also reviewed the compr</w:t>
      </w:r>
      <w:r w:rsidR="00E62DDB">
        <w:t>om</w:t>
      </w:r>
      <w:r w:rsidR="00F1000F">
        <w:t xml:space="preserve">ise </w:t>
      </w:r>
      <w:r w:rsidR="003E1859">
        <w:t>letter</w:t>
      </w:r>
      <w:r w:rsidR="00F1000F">
        <w:t xml:space="preserve"> between the company and the Port Ludlow Village Council in support of the revised filing. </w:t>
      </w:r>
    </w:p>
    <w:p w14:paraId="3EAD23AD" w14:textId="77777777" w:rsidR="003E1859" w:rsidRDefault="003E1859" w:rsidP="009D2A93"/>
    <w:p w14:paraId="5A9B3083" w14:textId="30602BAB" w:rsidR="009D2A93" w:rsidRDefault="00F1000F" w:rsidP="009D2A93">
      <w:r>
        <w:t xml:space="preserve">Staff </w:t>
      </w:r>
      <w:r w:rsidR="005C112B">
        <w:t xml:space="preserve">recommends </w:t>
      </w:r>
      <w:r w:rsidR="00E62DDB">
        <w:t xml:space="preserve">approving the </w:t>
      </w:r>
      <w:r w:rsidR="003E1859">
        <w:t xml:space="preserve">revised filing </w:t>
      </w:r>
      <w:r w:rsidR="00E62DDB">
        <w:t xml:space="preserve">that will </w:t>
      </w:r>
      <w:r w:rsidR="005C112B">
        <w:t>reduc</w:t>
      </w:r>
      <w:r w:rsidR="00E62DDB">
        <w:t>e</w:t>
      </w:r>
      <w:r w:rsidR="000F48BF">
        <w:t xml:space="preserve"> the </w:t>
      </w:r>
      <w:r w:rsidR="00D84A94">
        <w:t>Well</w:t>
      </w:r>
      <w:r w:rsidR="000F48BF">
        <w:t xml:space="preserve"> </w:t>
      </w:r>
      <w:r w:rsidR="00F52F18">
        <w:t xml:space="preserve">No. </w:t>
      </w:r>
      <w:r w:rsidR="000F48BF">
        <w:t xml:space="preserve">17 surcharge from $2.70 </w:t>
      </w:r>
      <w:r w:rsidR="00E62DDB">
        <w:t xml:space="preserve">per month </w:t>
      </w:r>
      <w:r w:rsidR="000F48BF">
        <w:t>to $1.</w:t>
      </w:r>
      <w:r w:rsidR="009F0695">
        <w:t>92</w:t>
      </w:r>
      <w:r w:rsidR="000F48BF">
        <w:t xml:space="preserve"> per month for a period of 38 months.</w:t>
      </w:r>
    </w:p>
    <w:p w14:paraId="1F03FDB6" w14:textId="77777777" w:rsidR="003C73AC" w:rsidRPr="00B1586B" w:rsidRDefault="003C73AC" w:rsidP="003C73A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20" w:lineRule="auto"/>
      </w:pPr>
    </w:p>
    <w:p w14:paraId="1F03FDB7" w14:textId="77777777" w:rsidR="00B402B4" w:rsidRDefault="00B402B4" w:rsidP="00B402B4">
      <w:pPr>
        <w:rPr>
          <w:b/>
          <w:u w:val="single"/>
        </w:rPr>
      </w:pPr>
      <w:r>
        <w:rPr>
          <w:b/>
          <w:u w:val="single"/>
        </w:rPr>
        <w:t>Recommendat</w:t>
      </w:r>
      <w:r w:rsidRPr="00935AF2">
        <w:rPr>
          <w:b/>
          <w:u w:val="single"/>
        </w:rPr>
        <w:t>ion</w:t>
      </w:r>
      <w:r w:rsidR="00CB1B63">
        <w:rPr>
          <w:b/>
          <w:u w:val="single"/>
        </w:rPr>
        <w:t>s</w:t>
      </w:r>
      <w:r w:rsidRPr="00935AF2">
        <w:rPr>
          <w:b/>
          <w:u w:val="single"/>
        </w:rPr>
        <w:t xml:space="preserve"> </w:t>
      </w:r>
    </w:p>
    <w:p w14:paraId="65C87073" w14:textId="77777777" w:rsidR="00664875" w:rsidRDefault="00664875" w:rsidP="00664875">
      <w:pPr>
        <w:widowControl w:val="0"/>
        <w:autoSpaceDE w:val="0"/>
        <w:autoSpaceDN w:val="0"/>
        <w:adjustRightInd w:val="0"/>
        <w:rPr>
          <w:rFonts w:eastAsia="Times New Roman"/>
          <w:color w:val="000000"/>
          <w:lang w:bidi="ar-SA"/>
        </w:rPr>
      </w:pPr>
    </w:p>
    <w:p w14:paraId="558ECD42" w14:textId="77777777" w:rsidR="00664875" w:rsidRDefault="00664875" w:rsidP="00664875">
      <w:pPr>
        <w:numPr>
          <w:ilvl w:val="0"/>
          <w:numId w:val="3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23" w:lineRule="auto"/>
      </w:pPr>
      <w:r>
        <w:lastRenderedPageBreak/>
        <w:t xml:space="preserve">Dismiss the </w:t>
      </w:r>
      <w:r w:rsidRPr="006073C4">
        <w:t>Complaint and Order Suspending the Tariff Revisions filed by</w:t>
      </w:r>
      <w:r>
        <w:t xml:space="preserve"> Olympic Water and Sewer</w:t>
      </w:r>
      <w:r w:rsidRPr="006073C4">
        <w:t xml:space="preserve">, Inc., </w:t>
      </w:r>
      <w:r>
        <w:t>in Docket UW-110436 dated April 10</w:t>
      </w:r>
      <w:r w:rsidRPr="006D62FC">
        <w:t>, 2014.</w:t>
      </w:r>
      <w:r w:rsidRPr="004C73F1">
        <w:t xml:space="preserve"> </w:t>
      </w:r>
    </w:p>
    <w:p w14:paraId="626542E1" w14:textId="77777777" w:rsidR="00664875" w:rsidRDefault="00664875" w:rsidP="0066487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23" w:lineRule="auto"/>
        <w:ind w:left="720"/>
      </w:pPr>
    </w:p>
    <w:p w14:paraId="04548CDD" w14:textId="424C473D" w:rsidR="00D24204" w:rsidRDefault="00664875" w:rsidP="00D24204">
      <w:pPr>
        <w:numPr>
          <w:ilvl w:val="0"/>
          <w:numId w:val="3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23" w:lineRule="auto"/>
      </w:pPr>
      <w:r w:rsidRPr="00AA4488">
        <w:t>Allow the revised rates and tariff revision</w:t>
      </w:r>
      <w:r>
        <w:t>s</w:t>
      </w:r>
      <w:r w:rsidRPr="00AA4488">
        <w:t xml:space="preserve"> filed by </w:t>
      </w:r>
      <w:r>
        <w:t>Olympic Water and Sewer, Inc.,</w:t>
      </w:r>
      <w:r w:rsidRPr="00AA4488">
        <w:t xml:space="preserve"> on </w:t>
      </w:r>
      <w:r w:rsidRPr="002675B9">
        <w:t>August 22, 2014</w:t>
      </w:r>
      <w:r>
        <w:t xml:space="preserve">, </w:t>
      </w:r>
      <w:r w:rsidRPr="00AA4488">
        <w:t xml:space="preserve">to become effective </w:t>
      </w:r>
      <w:r w:rsidR="002E0F52">
        <w:t xml:space="preserve">September </w:t>
      </w:r>
      <w:r>
        <w:t>1</w:t>
      </w:r>
      <w:r w:rsidR="00200452">
        <w:t>5</w:t>
      </w:r>
      <w:r w:rsidRPr="00AA4488">
        <w:t>, 201</w:t>
      </w:r>
      <w:r>
        <w:t>4</w:t>
      </w:r>
      <w:r w:rsidRPr="00AA4488">
        <w:t>.</w:t>
      </w:r>
    </w:p>
    <w:p w14:paraId="24DEC973" w14:textId="77777777" w:rsidR="00D24204" w:rsidRDefault="00D24204" w:rsidP="002675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23" w:lineRule="auto"/>
        <w:ind w:left="720"/>
      </w:pPr>
    </w:p>
    <w:p w14:paraId="22E7C7EB" w14:textId="7D9E7D2E" w:rsidR="00664875" w:rsidRPr="00DC0379" w:rsidRDefault="00D24204" w:rsidP="00E56E06">
      <w:pPr>
        <w:widowControl w:val="0"/>
        <w:numPr>
          <w:ilvl w:val="0"/>
          <w:numId w:val="3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23" w:lineRule="auto"/>
        <w:rPr>
          <w:rFonts w:eastAsia="Times New Roman"/>
          <w:color w:val="000000"/>
          <w:lang w:bidi="ar-SA"/>
        </w:rPr>
      </w:pPr>
      <w:r>
        <w:t>Issue an Order Allowing Deferral of Well No. 17 drilling and partial legal cost to be included in the replacement source of supply for the North Aquifer Well System.</w:t>
      </w:r>
    </w:p>
    <w:sectPr w:rsidR="00664875" w:rsidRPr="00DC0379" w:rsidSect="00F148CB">
      <w:head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D70E78" w14:textId="77777777" w:rsidR="00857489" w:rsidRDefault="00857489" w:rsidP="00BE5610">
      <w:r>
        <w:separator/>
      </w:r>
    </w:p>
  </w:endnote>
  <w:endnote w:type="continuationSeparator" w:id="0">
    <w:p w14:paraId="6E9456D2" w14:textId="77777777" w:rsidR="00857489" w:rsidRDefault="00857489" w:rsidP="00BE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5B6D6" w14:textId="77777777" w:rsidR="00857489" w:rsidRDefault="00857489" w:rsidP="00BE5610">
      <w:r>
        <w:separator/>
      </w:r>
    </w:p>
  </w:footnote>
  <w:footnote w:type="continuationSeparator" w:id="0">
    <w:p w14:paraId="29880B95" w14:textId="77777777" w:rsidR="00857489" w:rsidRDefault="00857489" w:rsidP="00BE5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3FDC2" w14:textId="6222D2F0" w:rsidR="00DB058A" w:rsidRPr="00296F3B" w:rsidRDefault="00DB058A" w:rsidP="00BE5610">
    <w:pPr>
      <w:pStyle w:val="Header"/>
      <w:rPr>
        <w:sz w:val="20"/>
        <w:szCs w:val="20"/>
      </w:rPr>
    </w:pPr>
    <w:r w:rsidRPr="00296F3B">
      <w:rPr>
        <w:sz w:val="20"/>
        <w:szCs w:val="20"/>
      </w:rPr>
      <w:t>Docket</w:t>
    </w:r>
    <w:r>
      <w:rPr>
        <w:sz w:val="20"/>
        <w:szCs w:val="20"/>
      </w:rPr>
      <w:t xml:space="preserve"> UW-110436</w:t>
    </w:r>
  </w:p>
  <w:p w14:paraId="1F03FDC3" w14:textId="6AF28BB9" w:rsidR="00DB058A" w:rsidRPr="00296F3B" w:rsidRDefault="00200452" w:rsidP="00BE5610">
    <w:pPr>
      <w:pStyle w:val="Header"/>
      <w:rPr>
        <w:sz w:val="20"/>
        <w:szCs w:val="20"/>
      </w:rPr>
    </w:pPr>
    <w:r>
      <w:rPr>
        <w:sz w:val="20"/>
        <w:szCs w:val="20"/>
      </w:rPr>
      <w:t>September 11</w:t>
    </w:r>
    <w:r w:rsidR="00DB058A" w:rsidRPr="00296F3B">
      <w:rPr>
        <w:sz w:val="20"/>
        <w:szCs w:val="20"/>
      </w:rPr>
      <w:t>, 201</w:t>
    </w:r>
    <w:r w:rsidR="00DB058A">
      <w:rPr>
        <w:sz w:val="20"/>
        <w:szCs w:val="20"/>
      </w:rPr>
      <w:t>4</w:t>
    </w:r>
  </w:p>
  <w:p w14:paraId="1F03FDC4" w14:textId="77777777" w:rsidR="00DB058A" w:rsidRDefault="00DB058A" w:rsidP="00BE5610">
    <w:pPr>
      <w:pStyle w:val="Header"/>
      <w:rPr>
        <w:sz w:val="20"/>
        <w:szCs w:val="20"/>
      </w:rPr>
    </w:pPr>
    <w:r w:rsidRPr="00296F3B">
      <w:rPr>
        <w:sz w:val="20"/>
        <w:szCs w:val="20"/>
      </w:rPr>
      <w:t xml:space="preserve">Page </w:t>
    </w:r>
    <w:r w:rsidRPr="00296F3B">
      <w:rPr>
        <w:sz w:val="20"/>
        <w:szCs w:val="20"/>
      </w:rPr>
      <w:fldChar w:fldCharType="begin"/>
    </w:r>
    <w:r w:rsidRPr="00296F3B">
      <w:rPr>
        <w:sz w:val="20"/>
        <w:szCs w:val="20"/>
      </w:rPr>
      <w:instrText xml:space="preserve"> PAGE   \* MERGEFORMAT </w:instrText>
    </w:r>
    <w:r w:rsidRPr="00296F3B">
      <w:rPr>
        <w:sz w:val="20"/>
        <w:szCs w:val="20"/>
      </w:rPr>
      <w:fldChar w:fldCharType="separate"/>
    </w:r>
    <w:r w:rsidR="002F0D5A">
      <w:rPr>
        <w:noProof/>
        <w:sz w:val="20"/>
        <w:szCs w:val="20"/>
      </w:rPr>
      <w:t>2</w:t>
    </w:r>
    <w:r w:rsidRPr="00296F3B">
      <w:rPr>
        <w:sz w:val="20"/>
        <w:szCs w:val="20"/>
      </w:rPr>
      <w:fldChar w:fldCharType="end"/>
    </w:r>
  </w:p>
  <w:p w14:paraId="1F03FDC5" w14:textId="77777777" w:rsidR="00DB058A" w:rsidRPr="00296F3B" w:rsidRDefault="00DB058A" w:rsidP="00BE5610">
    <w:pPr>
      <w:pStyle w:val="Header"/>
      <w:rPr>
        <w:sz w:val="20"/>
        <w:szCs w:val="20"/>
      </w:rPr>
    </w:pPr>
  </w:p>
  <w:p w14:paraId="1F03FDC6" w14:textId="77777777" w:rsidR="00DB058A" w:rsidRDefault="00DB058A" w:rsidP="00BE56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">
    <w:nsid w:val="053D1C1A"/>
    <w:multiLevelType w:val="hybridMultilevel"/>
    <w:tmpl w:val="ACC0E514"/>
    <w:lvl w:ilvl="0" w:tplc="E8D82E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67FFD"/>
    <w:multiLevelType w:val="hybridMultilevel"/>
    <w:tmpl w:val="E2CAF0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76EA3"/>
    <w:multiLevelType w:val="hybridMultilevel"/>
    <w:tmpl w:val="7B562C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0775B3A"/>
    <w:multiLevelType w:val="hybridMultilevel"/>
    <w:tmpl w:val="137E20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0010EF"/>
    <w:multiLevelType w:val="hybridMultilevel"/>
    <w:tmpl w:val="E3C0BBA4"/>
    <w:lvl w:ilvl="0" w:tplc="605641F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D3389"/>
    <w:multiLevelType w:val="hybridMultilevel"/>
    <w:tmpl w:val="D9E6CBEE"/>
    <w:lvl w:ilvl="0" w:tplc="272E714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C687E"/>
    <w:multiLevelType w:val="hybridMultilevel"/>
    <w:tmpl w:val="3D9876F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C76F96"/>
    <w:multiLevelType w:val="hybridMultilevel"/>
    <w:tmpl w:val="E3C0BBA4"/>
    <w:lvl w:ilvl="0" w:tplc="605641F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E635A"/>
    <w:multiLevelType w:val="hybridMultilevel"/>
    <w:tmpl w:val="DAD26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645C16"/>
    <w:multiLevelType w:val="hybridMultilevel"/>
    <w:tmpl w:val="F7D092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D9036CE"/>
    <w:multiLevelType w:val="hybridMultilevel"/>
    <w:tmpl w:val="2B4435AA"/>
    <w:lvl w:ilvl="0" w:tplc="C696203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920D46"/>
    <w:multiLevelType w:val="hybridMultilevel"/>
    <w:tmpl w:val="C40A5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371B4A"/>
    <w:multiLevelType w:val="hybridMultilevel"/>
    <w:tmpl w:val="F56CE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D277A8"/>
    <w:multiLevelType w:val="hybridMultilevel"/>
    <w:tmpl w:val="0B529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3B2267"/>
    <w:multiLevelType w:val="hybridMultilevel"/>
    <w:tmpl w:val="69F434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836607"/>
    <w:multiLevelType w:val="hybridMultilevel"/>
    <w:tmpl w:val="14C8832A"/>
    <w:lvl w:ilvl="0" w:tplc="E1F89D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6B2761"/>
    <w:multiLevelType w:val="hybridMultilevel"/>
    <w:tmpl w:val="F924A2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26571F6"/>
    <w:multiLevelType w:val="hybridMultilevel"/>
    <w:tmpl w:val="102A9EC4"/>
    <w:lvl w:ilvl="0" w:tplc="E1F89D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D01203"/>
    <w:multiLevelType w:val="hybridMultilevel"/>
    <w:tmpl w:val="BD70E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FE208C"/>
    <w:multiLevelType w:val="hybridMultilevel"/>
    <w:tmpl w:val="8E5C03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9586B5F"/>
    <w:multiLevelType w:val="hybridMultilevel"/>
    <w:tmpl w:val="E4E6F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53620A"/>
    <w:multiLevelType w:val="hybridMultilevel"/>
    <w:tmpl w:val="C776A72A"/>
    <w:lvl w:ilvl="0" w:tplc="50E4AA6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DFE526B"/>
    <w:multiLevelType w:val="hybridMultilevel"/>
    <w:tmpl w:val="F7D092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EEB4F9A"/>
    <w:multiLevelType w:val="hybridMultilevel"/>
    <w:tmpl w:val="20A474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092993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1EB51A3"/>
    <w:multiLevelType w:val="hybridMultilevel"/>
    <w:tmpl w:val="3AF8BB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4DB6F4D"/>
    <w:multiLevelType w:val="hybridMultilevel"/>
    <w:tmpl w:val="7B562C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68B3150"/>
    <w:multiLevelType w:val="hybridMultilevel"/>
    <w:tmpl w:val="7D18A18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9B51069"/>
    <w:multiLevelType w:val="hybridMultilevel"/>
    <w:tmpl w:val="295859AE"/>
    <w:lvl w:ilvl="0" w:tplc="040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0">
    <w:nsid w:val="6D0B1FC1"/>
    <w:multiLevelType w:val="hybridMultilevel"/>
    <w:tmpl w:val="1632D7CC"/>
    <w:lvl w:ilvl="0" w:tplc="9480980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400C7E"/>
    <w:multiLevelType w:val="hybridMultilevel"/>
    <w:tmpl w:val="202A3F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0F0A6A"/>
    <w:multiLevelType w:val="hybridMultilevel"/>
    <w:tmpl w:val="E3C0BBA4"/>
    <w:lvl w:ilvl="0" w:tplc="605641F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25"/>
  </w:num>
  <w:num w:numId="4">
    <w:abstractNumId w:val="27"/>
  </w:num>
  <w:num w:numId="5">
    <w:abstractNumId w:val="1"/>
  </w:num>
  <w:num w:numId="6">
    <w:abstractNumId w:val="3"/>
  </w:num>
  <w:num w:numId="7">
    <w:abstractNumId w:val="15"/>
  </w:num>
  <w:num w:numId="8">
    <w:abstractNumId w:val="28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2"/>
  </w:num>
  <w:num w:numId="1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23"/>
  </w:num>
  <w:num w:numId="15">
    <w:abstractNumId w:val="10"/>
  </w:num>
  <w:num w:numId="1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0"/>
  </w:num>
  <w:num w:numId="19">
    <w:abstractNumId w:val="22"/>
  </w:num>
  <w:num w:numId="20">
    <w:abstractNumId w:val="9"/>
  </w:num>
  <w:num w:numId="21">
    <w:abstractNumId w:val="32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8"/>
  </w:num>
  <w:num w:numId="25">
    <w:abstractNumId w:val="14"/>
  </w:num>
  <w:num w:numId="26">
    <w:abstractNumId w:val="11"/>
  </w:num>
  <w:num w:numId="27">
    <w:abstractNumId w:val="18"/>
  </w:num>
  <w:num w:numId="28">
    <w:abstractNumId w:val="6"/>
  </w:num>
  <w:num w:numId="29">
    <w:abstractNumId w:val="21"/>
  </w:num>
  <w:num w:numId="30">
    <w:abstractNumId w:val="7"/>
  </w:num>
  <w:num w:numId="31">
    <w:abstractNumId w:val="0"/>
  </w:num>
  <w:num w:numId="32">
    <w:abstractNumId w:val="16"/>
  </w:num>
  <w:num w:numId="33">
    <w:abstractNumId w:val="31"/>
  </w:num>
  <w:num w:numId="34">
    <w:abstractNumId w:val="19"/>
  </w:num>
  <w:num w:numId="35">
    <w:abstractNumId w:val="12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DateAndTime/>
  <w:hideSpellingErrors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718"/>
    <w:rsid w:val="000020C4"/>
    <w:rsid w:val="00005828"/>
    <w:rsid w:val="00010C20"/>
    <w:rsid w:val="00011046"/>
    <w:rsid w:val="00015DD8"/>
    <w:rsid w:val="0002431E"/>
    <w:rsid w:val="000247B4"/>
    <w:rsid w:val="0002774D"/>
    <w:rsid w:val="00030B4E"/>
    <w:rsid w:val="0003714D"/>
    <w:rsid w:val="00043899"/>
    <w:rsid w:val="000458AC"/>
    <w:rsid w:val="00047481"/>
    <w:rsid w:val="0005270D"/>
    <w:rsid w:val="00053628"/>
    <w:rsid w:val="00054CC9"/>
    <w:rsid w:val="00055945"/>
    <w:rsid w:val="000625B1"/>
    <w:rsid w:val="0006481C"/>
    <w:rsid w:val="00066C40"/>
    <w:rsid w:val="0006708E"/>
    <w:rsid w:val="00070C76"/>
    <w:rsid w:val="00070E98"/>
    <w:rsid w:val="00072280"/>
    <w:rsid w:val="000734FD"/>
    <w:rsid w:val="000735CF"/>
    <w:rsid w:val="0008268C"/>
    <w:rsid w:val="00082892"/>
    <w:rsid w:val="00083BC4"/>
    <w:rsid w:val="00083D7B"/>
    <w:rsid w:val="00085451"/>
    <w:rsid w:val="00087D28"/>
    <w:rsid w:val="000908F4"/>
    <w:rsid w:val="000909CD"/>
    <w:rsid w:val="00090B62"/>
    <w:rsid w:val="00091DE4"/>
    <w:rsid w:val="00094B8B"/>
    <w:rsid w:val="00097E35"/>
    <w:rsid w:val="000B0C16"/>
    <w:rsid w:val="000B5EC8"/>
    <w:rsid w:val="000B78DD"/>
    <w:rsid w:val="000C1B0B"/>
    <w:rsid w:val="000C2481"/>
    <w:rsid w:val="000C3CFE"/>
    <w:rsid w:val="000C3D4F"/>
    <w:rsid w:val="000D01D2"/>
    <w:rsid w:val="000D3B16"/>
    <w:rsid w:val="000D3CE0"/>
    <w:rsid w:val="000D6DAF"/>
    <w:rsid w:val="000D706D"/>
    <w:rsid w:val="000E1DFC"/>
    <w:rsid w:val="000E50DD"/>
    <w:rsid w:val="000E640C"/>
    <w:rsid w:val="000E714E"/>
    <w:rsid w:val="000F29ED"/>
    <w:rsid w:val="000F48BF"/>
    <w:rsid w:val="000F5D27"/>
    <w:rsid w:val="000F6251"/>
    <w:rsid w:val="00103755"/>
    <w:rsid w:val="00111EF9"/>
    <w:rsid w:val="00112670"/>
    <w:rsid w:val="0011477E"/>
    <w:rsid w:val="00114B3D"/>
    <w:rsid w:val="0011507C"/>
    <w:rsid w:val="00116BC6"/>
    <w:rsid w:val="00116FB7"/>
    <w:rsid w:val="00117182"/>
    <w:rsid w:val="0012342E"/>
    <w:rsid w:val="00124C0B"/>
    <w:rsid w:val="00126930"/>
    <w:rsid w:val="0013089B"/>
    <w:rsid w:val="00130B3D"/>
    <w:rsid w:val="0013149D"/>
    <w:rsid w:val="0013280A"/>
    <w:rsid w:val="0013379A"/>
    <w:rsid w:val="0013423A"/>
    <w:rsid w:val="00136DD9"/>
    <w:rsid w:val="00140589"/>
    <w:rsid w:val="00141434"/>
    <w:rsid w:val="001423FE"/>
    <w:rsid w:val="00142B36"/>
    <w:rsid w:val="00143CDB"/>
    <w:rsid w:val="0014659D"/>
    <w:rsid w:val="00154718"/>
    <w:rsid w:val="001603B0"/>
    <w:rsid w:val="0016055D"/>
    <w:rsid w:val="0016348F"/>
    <w:rsid w:val="001648E7"/>
    <w:rsid w:val="0016545B"/>
    <w:rsid w:val="00171102"/>
    <w:rsid w:val="00173A9E"/>
    <w:rsid w:val="00173F60"/>
    <w:rsid w:val="00177491"/>
    <w:rsid w:val="001824D0"/>
    <w:rsid w:val="00184151"/>
    <w:rsid w:val="00185D8A"/>
    <w:rsid w:val="00187E0D"/>
    <w:rsid w:val="00190825"/>
    <w:rsid w:val="00191627"/>
    <w:rsid w:val="001A0A16"/>
    <w:rsid w:val="001A1500"/>
    <w:rsid w:val="001A1AA1"/>
    <w:rsid w:val="001C30BF"/>
    <w:rsid w:val="001C438A"/>
    <w:rsid w:val="001C5AB1"/>
    <w:rsid w:val="001C7DFD"/>
    <w:rsid w:val="001D2A48"/>
    <w:rsid w:val="001D2F7A"/>
    <w:rsid w:val="001D4BFC"/>
    <w:rsid w:val="001E0047"/>
    <w:rsid w:val="001E0702"/>
    <w:rsid w:val="001E11F9"/>
    <w:rsid w:val="001E1BE5"/>
    <w:rsid w:val="001F30F9"/>
    <w:rsid w:val="001F3D7A"/>
    <w:rsid w:val="001F465E"/>
    <w:rsid w:val="001F7967"/>
    <w:rsid w:val="00200452"/>
    <w:rsid w:val="002027E0"/>
    <w:rsid w:val="00204D11"/>
    <w:rsid w:val="00205C59"/>
    <w:rsid w:val="00207CDF"/>
    <w:rsid w:val="00212D43"/>
    <w:rsid w:val="0021363E"/>
    <w:rsid w:val="0022116C"/>
    <w:rsid w:val="002218EF"/>
    <w:rsid w:val="00226657"/>
    <w:rsid w:val="002277F9"/>
    <w:rsid w:val="00227DC0"/>
    <w:rsid w:val="00241B80"/>
    <w:rsid w:val="00244A84"/>
    <w:rsid w:val="00260D57"/>
    <w:rsid w:val="002622A8"/>
    <w:rsid w:val="002632B7"/>
    <w:rsid w:val="00266104"/>
    <w:rsid w:val="002675B9"/>
    <w:rsid w:val="00283AD9"/>
    <w:rsid w:val="00285152"/>
    <w:rsid w:val="002863C0"/>
    <w:rsid w:val="00291958"/>
    <w:rsid w:val="00292F9A"/>
    <w:rsid w:val="00294AE3"/>
    <w:rsid w:val="00295745"/>
    <w:rsid w:val="00296F3B"/>
    <w:rsid w:val="002A17FD"/>
    <w:rsid w:val="002A4E8A"/>
    <w:rsid w:val="002A70D7"/>
    <w:rsid w:val="002B5724"/>
    <w:rsid w:val="002C039A"/>
    <w:rsid w:val="002C20B0"/>
    <w:rsid w:val="002C23B9"/>
    <w:rsid w:val="002C6110"/>
    <w:rsid w:val="002C786B"/>
    <w:rsid w:val="002D33FC"/>
    <w:rsid w:val="002E0F52"/>
    <w:rsid w:val="002E50C7"/>
    <w:rsid w:val="002F0BC8"/>
    <w:rsid w:val="002F0D5A"/>
    <w:rsid w:val="002F3890"/>
    <w:rsid w:val="002F70BE"/>
    <w:rsid w:val="00300789"/>
    <w:rsid w:val="00300D92"/>
    <w:rsid w:val="00301106"/>
    <w:rsid w:val="00305DB3"/>
    <w:rsid w:val="00306AE0"/>
    <w:rsid w:val="003219B9"/>
    <w:rsid w:val="00323034"/>
    <w:rsid w:val="00324289"/>
    <w:rsid w:val="00330C32"/>
    <w:rsid w:val="00333221"/>
    <w:rsid w:val="00334A7C"/>
    <w:rsid w:val="00337207"/>
    <w:rsid w:val="00337C05"/>
    <w:rsid w:val="00340C02"/>
    <w:rsid w:val="00354852"/>
    <w:rsid w:val="00355F2E"/>
    <w:rsid w:val="00367ED5"/>
    <w:rsid w:val="00383576"/>
    <w:rsid w:val="00385F54"/>
    <w:rsid w:val="00392579"/>
    <w:rsid w:val="00396F67"/>
    <w:rsid w:val="003A5258"/>
    <w:rsid w:val="003B16ED"/>
    <w:rsid w:val="003B4D1C"/>
    <w:rsid w:val="003B5083"/>
    <w:rsid w:val="003B700C"/>
    <w:rsid w:val="003C166B"/>
    <w:rsid w:val="003C16E8"/>
    <w:rsid w:val="003C239D"/>
    <w:rsid w:val="003C3D03"/>
    <w:rsid w:val="003C4EB8"/>
    <w:rsid w:val="003C639D"/>
    <w:rsid w:val="003C73AC"/>
    <w:rsid w:val="003D0238"/>
    <w:rsid w:val="003D05F8"/>
    <w:rsid w:val="003D1E26"/>
    <w:rsid w:val="003D2276"/>
    <w:rsid w:val="003D25A3"/>
    <w:rsid w:val="003D3146"/>
    <w:rsid w:val="003D6F9D"/>
    <w:rsid w:val="003D717F"/>
    <w:rsid w:val="003D79BC"/>
    <w:rsid w:val="003D7AAF"/>
    <w:rsid w:val="003E1859"/>
    <w:rsid w:val="003E6D45"/>
    <w:rsid w:val="003F0972"/>
    <w:rsid w:val="00405F3D"/>
    <w:rsid w:val="00411F64"/>
    <w:rsid w:val="004246FA"/>
    <w:rsid w:val="00424794"/>
    <w:rsid w:val="00426C82"/>
    <w:rsid w:val="00433FDC"/>
    <w:rsid w:val="004456FB"/>
    <w:rsid w:val="00450175"/>
    <w:rsid w:val="00450267"/>
    <w:rsid w:val="00451AF9"/>
    <w:rsid w:val="0045370F"/>
    <w:rsid w:val="0045498E"/>
    <w:rsid w:val="00454D15"/>
    <w:rsid w:val="00455301"/>
    <w:rsid w:val="00456888"/>
    <w:rsid w:val="00456EC7"/>
    <w:rsid w:val="00457C04"/>
    <w:rsid w:val="004653F7"/>
    <w:rsid w:val="00466174"/>
    <w:rsid w:val="0046632D"/>
    <w:rsid w:val="0046783B"/>
    <w:rsid w:val="00470AE0"/>
    <w:rsid w:val="00472DF2"/>
    <w:rsid w:val="00473720"/>
    <w:rsid w:val="00473A66"/>
    <w:rsid w:val="00473F57"/>
    <w:rsid w:val="00482338"/>
    <w:rsid w:val="004838E1"/>
    <w:rsid w:val="00487BA4"/>
    <w:rsid w:val="00491DD0"/>
    <w:rsid w:val="004944F2"/>
    <w:rsid w:val="00495B71"/>
    <w:rsid w:val="00496744"/>
    <w:rsid w:val="00497530"/>
    <w:rsid w:val="004A5C6A"/>
    <w:rsid w:val="004A691E"/>
    <w:rsid w:val="004A7061"/>
    <w:rsid w:val="004B04A7"/>
    <w:rsid w:val="004B1AA8"/>
    <w:rsid w:val="004B7D5F"/>
    <w:rsid w:val="004C36DF"/>
    <w:rsid w:val="004C5605"/>
    <w:rsid w:val="004D4EF6"/>
    <w:rsid w:val="004D5E19"/>
    <w:rsid w:val="004D736E"/>
    <w:rsid w:val="004D7E01"/>
    <w:rsid w:val="004E0141"/>
    <w:rsid w:val="004E6B8F"/>
    <w:rsid w:val="004F009E"/>
    <w:rsid w:val="004F127E"/>
    <w:rsid w:val="004F25D5"/>
    <w:rsid w:val="00504DB9"/>
    <w:rsid w:val="005123FF"/>
    <w:rsid w:val="00512774"/>
    <w:rsid w:val="005131DE"/>
    <w:rsid w:val="00515B98"/>
    <w:rsid w:val="00527CF8"/>
    <w:rsid w:val="00533DBE"/>
    <w:rsid w:val="00544DDE"/>
    <w:rsid w:val="00552600"/>
    <w:rsid w:val="00552E11"/>
    <w:rsid w:val="005561C1"/>
    <w:rsid w:val="00557E18"/>
    <w:rsid w:val="0056400F"/>
    <w:rsid w:val="005642D2"/>
    <w:rsid w:val="0056751B"/>
    <w:rsid w:val="0057047C"/>
    <w:rsid w:val="005710F7"/>
    <w:rsid w:val="00587079"/>
    <w:rsid w:val="005912C3"/>
    <w:rsid w:val="00591D1D"/>
    <w:rsid w:val="00595023"/>
    <w:rsid w:val="0059540A"/>
    <w:rsid w:val="00596D05"/>
    <w:rsid w:val="00597882"/>
    <w:rsid w:val="005A6C74"/>
    <w:rsid w:val="005A71C6"/>
    <w:rsid w:val="005B4C72"/>
    <w:rsid w:val="005B6246"/>
    <w:rsid w:val="005C112B"/>
    <w:rsid w:val="005C15D1"/>
    <w:rsid w:val="005D4CA4"/>
    <w:rsid w:val="005D7925"/>
    <w:rsid w:val="005F059A"/>
    <w:rsid w:val="005F136C"/>
    <w:rsid w:val="005F51F2"/>
    <w:rsid w:val="005F7D39"/>
    <w:rsid w:val="00603AF9"/>
    <w:rsid w:val="006070AC"/>
    <w:rsid w:val="00616813"/>
    <w:rsid w:val="0062191D"/>
    <w:rsid w:val="0062474A"/>
    <w:rsid w:val="00626264"/>
    <w:rsid w:val="006308C7"/>
    <w:rsid w:val="006311C1"/>
    <w:rsid w:val="00631C8E"/>
    <w:rsid w:val="00640616"/>
    <w:rsid w:val="00641A44"/>
    <w:rsid w:val="00642AC3"/>
    <w:rsid w:val="0064326E"/>
    <w:rsid w:val="006449EA"/>
    <w:rsid w:val="00645A0C"/>
    <w:rsid w:val="00647ECD"/>
    <w:rsid w:val="00654D5A"/>
    <w:rsid w:val="00655135"/>
    <w:rsid w:val="00656E56"/>
    <w:rsid w:val="00661F4F"/>
    <w:rsid w:val="00664875"/>
    <w:rsid w:val="00666EDE"/>
    <w:rsid w:val="006700B0"/>
    <w:rsid w:val="00671E46"/>
    <w:rsid w:val="00672F7B"/>
    <w:rsid w:val="00673B06"/>
    <w:rsid w:val="006830E8"/>
    <w:rsid w:val="00683780"/>
    <w:rsid w:val="0068432F"/>
    <w:rsid w:val="00684C49"/>
    <w:rsid w:val="00695625"/>
    <w:rsid w:val="006A021F"/>
    <w:rsid w:val="006A0AC1"/>
    <w:rsid w:val="006A41EE"/>
    <w:rsid w:val="006A4895"/>
    <w:rsid w:val="006B4513"/>
    <w:rsid w:val="006B495A"/>
    <w:rsid w:val="006B51B8"/>
    <w:rsid w:val="006B69DB"/>
    <w:rsid w:val="006B6D42"/>
    <w:rsid w:val="006B795B"/>
    <w:rsid w:val="006C013C"/>
    <w:rsid w:val="006C3712"/>
    <w:rsid w:val="006C4737"/>
    <w:rsid w:val="006C65CF"/>
    <w:rsid w:val="006C714F"/>
    <w:rsid w:val="006D0B53"/>
    <w:rsid w:val="006D15C2"/>
    <w:rsid w:val="006D22CE"/>
    <w:rsid w:val="006D52E1"/>
    <w:rsid w:val="006E0F8C"/>
    <w:rsid w:val="006E1B69"/>
    <w:rsid w:val="006E3B58"/>
    <w:rsid w:val="006E60BA"/>
    <w:rsid w:val="006F113F"/>
    <w:rsid w:val="006F1BD7"/>
    <w:rsid w:val="006F6487"/>
    <w:rsid w:val="006F6EE1"/>
    <w:rsid w:val="00703C09"/>
    <w:rsid w:val="00704124"/>
    <w:rsid w:val="00704631"/>
    <w:rsid w:val="00705164"/>
    <w:rsid w:val="0071402F"/>
    <w:rsid w:val="00715204"/>
    <w:rsid w:val="00716E8B"/>
    <w:rsid w:val="007207CD"/>
    <w:rsid w:val="007210FE"/>
    <w:rsid w:val="007228E4"/>
    <w:rsid w:val="00724BB0"/>
    <w:rsid w:val="007261E5"/>
    <w:rsid w:val="00727399"/>
    <w:rsid w:val="007335C6"/>
    <w:rsid w:val="00734BC8"/>
    <w:rsid w:val="00737DDC"/>
    <w:rsid w:val="00743A51"/>
    <w:rsid w:val="00746397"/>
    <w:rsid w:val="00751B5E"/>
    <w:rsid w:val="00751E73"/>
    <w:rsid w:val="00754A40"/>
    <w:rsid w:val="00754ED6"/>
    <w:rsid w:val="007557EA"/>
    <w:rsid w:val="00760472"/>
    <w:rsid w:val="007611CF"/>
    <w:rsid w:val="0076679B"/>
    <w:rsid w:val="00767BDD"/>
    <w:rsid w:val="00772F17"/>
    <w:rsid w:val="00773CAD"/>
    <w:rsid w:val="00774275"/>
    <w:rsid w:val="00774540"/>
    <w:rsid w:val="00776D6C"/>
    <w:rsid w:val="00776E58"/>
    <w:rsid w:val="00790302"/>
    <w:rsid w:val="007913E9"/>
    <w:rsid w:val="00794919"/>
    <w:rsid w:val="0079709F"/>
    <w:rsid w:val="007A0BDB"/>
    <w:rsid w:val="007A1DFE"/>
    <w:rsid w:val="007A59D5"/>
    <w:rsid w:val="007B0BE0"/>
    <w:rsid w:val="007B29CE"/>
    <w:rsid w:val="007D55AE"/>
    <w:rsid w:val="007E489C"/>
    <w:rsid w:val="007E5B2C"/>
    <w:rsid w:val="007E674D"/>
    <w:rsid w:val="007E71A3"/>
    <w:rsid w:val="007F13D3"/>
    <w:rsid w:val="007F26EF"/>
    <w:rsid w:val="007F60C5"/>
    <w:rsid w:val="008001DC"/>
    <w:rsid w:val="00800F98"/>
    <w:rsid w:val="0080117F"/>
    <w:rsid w:val="008020A5"/>
    <w:rsid w:val="008037AC"/>
    <w:rsid w:val="00806AEC"/>
    <w:rsid w:val="008111DE"/>
    <w:rsid w:val="008138E1"/>
    <w:rsid w:val="008165AD"/>
    <w:rsid w:val="00816612"/>
    <w:rsid w:val="00816F41"/>
    <w:rsid w:val="00823690"/>
    <w:rsid w:val="00825773"/>
    <w:rsid w:val="00826439"/>
    <w:rsid w:val="00826C0C"/>
    <w:rsid w:val="00826F11"/>
    <w:rsid w:val="00827BE3"/>
    <w:rsid w:val="00832CE0"/>
    <w:rsid w:val="00853B63"/>
    <w:rsid w:val="0085598E"/>
    <w:rsid w:val="00857489"/>
    <w:rsid w:val="008630EA"/>
    <w:rsid w:val="00863543"/>
    <w:rsid w:val="00864F6E"/>
    <w:rsid w:val="0087483A"/>
    <w:rsid w:val="00877282"/>
    <w:rsid w:val="008871CF"/>
    <w:rsid w:val="008A20BF"/>
    <w:rsid w:val="008A350E"/>
    <w:rsid w:val="008A6E88"/>
    <w:rsid w:val="008B0C20"/>
    <w:rsid w:val="008B479D"/>
    <w:rsid w:val="008B4AA0"/>
    <w:rsid w:val="008B52CF"/>
    <w:rsid w:val="008C168F"/>
    <w:rsid w:val="008C1A57"/>
    <w:rsid w:val="008C1E17"/>
    <w:rsid w:val="008C26CE"/>
    <w:rsid w:val="008C4BA7"/>
    <w:rsid w:val="008C7933"/>
    <w:rsid w:val="008C7E6D"/>
    <w:rsid w:val="008D0AAC"/>
    <w:rsid w:val="008E5A4E"/>
    <w:rsid w:val="00901675"/>
    <w:rsid w:val="00901E60"/>
    <w:rsid w:val="00915BD4"/>
    <w:rsid w:val="009206A2"/>
    <w:rsid w:val="009249F4"/>
    <w:rsid w:val="00924E13"/>
    <w:rsid w:val="0092593B"/>
    <w:rsid w:val="00926924"/>
    <w:rsid w:val="009270B9"/>
    <w:rsid w:val="0093048B"/>
    <w:rsid w:val="00934F31"/>
    <w:rsid w:val="00935AF2"/>
    <w:rsid w:val="0094358B"/>
    <w:rsid w:val="009506B9"/>
    <w:rsid w:val="00951306"/>
    <w:rsid w:val="00952AA0"/>
    <w:rsid w:val="00957797"/>
    <w:rsid w:val="00960675"/>
    <w:rsid w:val="00962F41"/>
    <w:rsid w:val="00967F91"/>
    <w:rsid w:val="00973B17"/>
    <w:rsid w:val="009768A1"/>
    <w:rsid w:val="00983416"/>
    <w:rsid w:val="00983543"/>
    <w:rsid w:val="00984AEE"/>
    <w:rsid w:val="009864F6"/>
    <w:rsid w:val="00992790"/>
    <w:rsid w:val="009A01B8"/>
    <w:rsid w:val="009A04C6"/>
    <w:rsid w:val="009B2F83"/>
    <w:rsid w:val="009B5DCE"/>
    <w:rsid w:val="009B696D"/>
    <w:rsid w:val="009C19BB"/>
    <w:rsid w:val="009C440F"/>
    <w:rsid w:val="009C5C3C"/>
    <w:rsid w:val="009D109C"/>
    <w:rsid w:val="009D2A93"/>
    <w:rsid w:val="009D6766"/>
    <w:rsid w:val="009E0D5C"/>
    <w:rsid w:val="009E4F48"/>
    <w:rsid w:val="009F0695"/>
    <w:rsid w:val="009F561B"/>
    <w:rsid w:val="009F6646"/>
    <w:rsid w:val="00A01C65"/>
    <w:rsid w:val="00A0210E"/>
    <w:rsid w:val="00A04699"/>
    <w:rsid w:val="00A06A46"/>
    <w:rsid w:val="00A10E54"/>
    <w:rsid w:val="00A201C0"/>
    <w:rsid w:val="00A26FD3"/>
    <w:rsid w:val="00A271A6"/>
    <w:rsid w:val="00A274A1"/>
    <w:rsid w:val="00A2758F"/>
    <w:rsid w:val="00A32222"/>
    <w:rsid w:val="00A33CC3"/>
    <w:rsid w:val="00A33CED"/>
    <w:rsid w:val="00A41C23"/>
    <w:rsid w:val="00A42E8D"/>
    <w:rsid w:val="00A45AD0"/>
    <w:rsid w:val="00A5145E"/>
    <w:rsid w:val="00A52858"/>
    <w:rsid w:val="00A52DC8"/>
    <w:rsid w:val="00A6009F"/>
    <w:rsid w:val="00A64CC7"/>
    <w:rsid w:val="00A67402"/>
    <w:rsid w:val="00A7048A"/>
    <w:rsid w:val="00A70E29"/>
    <w:rsid w:val="00A726C4"/>
    <w:rsid w:val="00A73C46"/>
    <w:rsid w:val="00A8090E"/>
    <w:rsid w:val="00A813D0"/>
    <w:rsid w:val="00A822CA"/>
    <w:rsid w:val="00A82CAE"/>
    <w:rsid w:val="00A84C2A"/>
    <w:rsid w:val="00A85688"/>
    <w:rsid w:val="00A86F90"/>
    <w:rsid w:val="00A8749C"/>
    <w:rsid w:val="00A902E8"/>
    <w:rsid w:val="00AA2503"/>
    <w:rsid w:val="00AA76F6"/>
    <w:rsid w:val="00AC6F3A"/>
    <w:rsid w:val="00AC7006"/>
    <w:rsid w:val="00AD0599"/>
    <w:rsid w:val="00AD059D"/>
    <w:rsid w:val="00AD0897"/>
    <w:rsid w:val="00AD1824"/>
    <w:rsid w:val="00AD3312"/>
    <w:rsid w:val="00AD3DD8"/>
    <w:rsid w:val="00AD4B7F"/>
    <w:rsid w:val="00AD4B87"/>
    <w:rsid w:val="00AE0092"/>
    <w:rsid w:val="00AE0900"/>
    <w:rsid w:val="00AF1D42"/>
    <w:rsid w:val="00AF5800"/>
    <w:rsid w:val="00AF6B3F"/>
    <w:rsid w:val="00B00171"/>
    <w:rsid w:val="00B03361"/>
    <w:rsid w:val="00B13041"/>
    <w:rsid w:val="00B131E1"/>
    <w:rsid w:val="00B1586B"/>
    <w:rsid w:val="00B33485"/>
    <w:rsid w:val="00B34845"/>
    <w:rsid w:val="00B35380"/>
    <w:rsid w:val="00B360DD"/>
    <w:rsid w:val="00B402B4"/>
    <w:rsid w:val="00B42AD0"/>
    <w:rsid w:val="00B44914"/>
    <w:rsid w:val="00B451F0"/>
    <w:rsid w:val="00B45CF2"/>
    <w:rsid w:val="00B51910"/>
    <w:rsid w:val="00B5220D"/>
    <w:rsid w:val="00B5241C"/>
    <w:rsid w:val="00B55CD3"/>
    <w:rsid w:val="00B56E98"/>
    <w:rsid w:val="00B603AA"/>
    <w:rsid w:val="00B639FC"/>
    <w:rsid w:val="00B644C2"/>
    <w:rsid w:val="00B703A5"/>
    <w:rsid w:val="00B71DC1"/>
    <w:rsid w:val="00B726EF"/>
    <w:rsid w:val="00B7757B"/>
    <w:rsid w:val="00B84E56"/>
    <w:rsid w:val="00B93044"/>
    <w:rsid w:val="00B96622"/>
    <w:rsid w:val="00B97113"/>
    <w:rsid w:val="00B97CF1"/>
    <w:rsid w:val="00BA0EB0"/>
    <w:rsid w:val="00BA3269"/>
    <w:rsid w:val="00BA3D1B"/>
    <w:rsid w:val="00BB2331"/>
    <w:rsid w:val="00BB5E52"/>
    <w:rsid w:val="00BC03F3"/>
    <w:rsid w:val="00BD138F"/>
    <w:rsid w:val="00BD39EF"/>
    <w:rsid w:val="00BE5610"/>
    <w:rsid w:val="00BF2510"/>
    <w:rsid w:val="00C011D5"/>
    <w:rsid w:val="00C02F07"/>
    <w:rsid w:val="00C03AA9"/>
    <w:rsid w:val="00C04668"/>
    <w:rsid w:val="00C04B51"/>
    <w:rsid w:val="00C04FF5"/>
    <w:rsid w:val="00C0624C"/>
    <w:rsid w:val="00C062C0"/>
    <w:rsid w:val="00C07C24"/>
    <w:rsid w:val="00C20CF1"/>
    <w:rsid w:val="00C21D71"/>
    <w:rsid w:val="00C250F7"/>
    <w:rsid w:val="00C25790"/>
    <w:rsid w:val="00C36001"/>
    <w:rsid w:val="00C369C1"/>
    <w:rsid w:val="00C36D30"/>
    <w:rsid w:val="00C37902"/>
    <w:rsid w:val="00C41982"/>
    <w:rsid w:val="00C41B31"/>
    <w:rsid w:val="00C4224C"/>
    <w:rsid w:val="00C42A41"/>
    <w:rsid w:val="00C45EB9"/>
    <w:rsid w:val="00C62DC4"/>
    <w:rsid w:val="00C63026"/>
    <w:rsid w:val="00C647EB"/>
    <w:rsid w:val="00C71EF8"/>
    <w:rsid w:val="00C92705"/>
    <w:rsid w:val="00C9274A"/>
    <w:rsid w:val="00CA04A7"/>
    <w:rsid w:val="00CA22AF"/>
    <w:rsid w:val="00CA3026"/>
    <w:rsid w:val="00CA4357"/>
    <w:rsid w:val="00CA50F7"/>
    <w:rsid w:val="00CA6007"/>
    <w:rsid w:val="00CB0525"/>
    <w:rsid w:val="00CB1B63"/>
    <w:rsid w:val="00CC3EE4"/>
    <w:rsid w:val="00CC4FE2"/>
    <w:rsid w:val="00CD1F0A"/>
    <w:rsid w:val="00CD43F1"/>
    <w:rsid w:val="00CD758B"/>
    <w:rsid w:val="00CE0818"/>
    <w:rsid w:val="00CE1DDD"/>
    <w:rsid w:val="00CE7267"/>
    <w:rsid w:val="00CF0CB9"/>
    <w:rsid w:val="00CF1AA4"/>
    <w:rsid w:val="00CF4EB3"/>
    <w:rsid w:val="00CF66D8"/>
    <w:rsid w:val="00D00B3A"/>
    <w:rsid w:val="00D0403B"/>
    <w:rsid w:val="00D108C7"/>
    <w:rsid w:val="00D10C98"/>
    <w:rsid w:val="00D12988"/>
    <w:rsid w:val="00D12B32"/>
    <w:rsid w:val="00D24204"/>
    <w:rsid w:val="00D26762"/>
    <w:rsid w:val="00D30196"/>
    <w:rsid w:val="00D31072"/>
    <w:rsid w:val="00D31B70"/>
    <w:rsid w:val="00D327D0"/>
    <w:rsid w:val="00D33FD2"/>
    <w:rsid w:val="00D37092"/>
    <w:rsid w:val="00D4166C"/>
    <w:rsid w:val="00D44D58"/>
    <w:rsid w:val="00D47789"/>
    <w:rsid w:val="00D53F2F"/>
    <w:rsid w:val="00D57ADC"/>
    <w:rsid w:val="00D6298E"/>
    <w:rsid w:val="00D62F0D"/>
    <w:rsid w:val="00D65C0A"/>
    <w:rsid w:val="00D662D4"/>
    <w:rsid w:val="00D70105"/>
    <w:rsid w:val="00D7596F"/>
    <w:rsid w:val="00D764C7"/>
    <w:rsid w:val="00D7659F"/>
    <w:rsid w:val="00D7684A"/>
    <w:rsid w:val="00D77A03"/>
    <w:rsid w:val="00D80776"/>
    <w:rsid w:val="00D84A94"/>
    <w:rsid w:val="00D91A35"/>
    <w:rsid w:val="00D96246"/>
    <w:rsid w:val="00D96F9A"/>
    <w:rsid w:val="00DA1B86"/>
    <w:rsid w:val="00DA2FC8"/>
    <w:rsid w:val="00DA64A1"/>
    <w:rsid w:val="00DA75C9"/>
    <w:rsid w:val="00DB058A"/>
    <w:rsid w:val="00DB145D"/>
    <w:rsid w:val="00DB3767"/>
    <w:rsid w:val="00DB46DB"/>
    <w:rsid w:val="00DB4F48"/>
    <w:rsid w:val="00DC0379"/>
    <w:rsid w:val="00DC12EE"/>
    <w:rsid w:val="00DD2A47"/>
    <w:rsid w:val="00DD65A6"/>
    <w:rsid w:val="00DD6714"/>
    <w:rsid w:val="00DE29E0"/>
    <w:rsid w:val="00DF2E8D"/>
    <w:rsid w:val="00E001DD"/>
    <w:rsid w:val="00E01425"/>
    <w:rsid w:val="00E02017"/>
    <w:rsid w:val="00E06470"/>
    <w:rsid w:val="00E16AEF"/>
    <w:rsid w:val="00E21E65"/>
    <w:rsid w:val="00E24838"/>
    <w:rsid w:val="00E256DF"/>
    <w:rsid w:val="00E26DE6"/>
    <w:rsid w:val="00E273D7"/>
    <w:rsid w:val="00E3025E"/>
    <w:rsid w:val="00E3132D"/>
    <w:rsid w:val="00E35D9D"/>
    <w:rsid w:val="00E37996"/>
    <w:rsid w:val="00E4351B"/>
    <w:rsid w:val="00E50A27"/>
    <w:rsid w:val="00E50D5F"/>
    <w:rsid w:val="00E53B48"/>
    <w:rsid w:val="00E56E06"/>
    <w:rsid w:val="00E60353"/>
    <w:rsid w:val="00E6185C"/>
    <w:rsid w:val="00E62DDB"/>
    <w:rsid w:val="00E62E77"/>
    <w:rsid w:val="00E7669C"/>
    <w:rsid w:val="00E76CBF"/>
    <w:rsid w:val="00E80DAA"/>
    <w:rsid w:val="00E8562C"/>
    <w:rsid w:val="00E864B6"/>
    <w:rsid w:val="00E93EB5"/>
    <w:rsid w:val="00E941B2"/>
    <w:rsid w:val="00E96BCC"/>
    <w:rsid w:val="00EA50D0"/>
    <w:rsid w:val="00EA52A5"/>
    <w:rsid w:val="00EB024F"/>
    <w:rsid w:val="00EB3A93"/>
    <w:rsid w:val="00EB41E4"/>
    <w:rsid w:val="00EB4CE3"/>
    <w:rsid w:val="00EB6042"/>
    <w:rsid w:val="00EC2565"/>
    <w:rsid w:val="00EC31F5"/>
    <w:rsid w:val="00EC3B3F"/>
    <w:rsid w:val="00EC4599"/>
    <w:rsid w:val="00EC5118"/>
    <w:rsid w:val="00EC6C2D"/>
    <w:rsid w:val="00ED3FED"/>
    <w:rsid w:val="00ED4CC8"/>
    <w:rsid w:val="00ED6543"/>
    <w:rsid w:val="00EE074C"/>
    <w:rsid w:val="00EE6798"/>
    <w:rsid w:val="00EE7659"/>
    <w:rsid w:val="00EF0944"/>
    <w:rsid w:val="00EF436B"/>
    <w:rsid w:val="00F00111"/>
    <w:rsid w:val="00F00561"/>
    <w:rsid w:val="00F007DA"/>
    <w:rsid w:val="00F00B7C"/>
    <w:rsid w:val="00F1000F"/>
    <w:rsid w:val="00F121C0"/>
    <w:rsid w:val="00F12D5F"/>
    <w:rsid w:val="00F148CB"/>
    <w:rsid w:val="00F167E4"/>
    <w:rsid w:val="00F21B68"/>
    <w:rsid w:val="00F23F28"/>
    <w:rsid w:val="00F27C98"/>
    <w:rsid w:val="00F3018E"/>
    <w:rsid w:val="00F330AF"/>
    <w:rsid w:val="00F35DB6"/>
    <w:rsid w:val="00F40EE9"/>
    <w:rsid w:val="00F435A5"/>
    <w:rsid w:val="00F469E5"/>
    <w:rsid w:val="00F52F18"/>
    <w:rsid w:val="00F541D0"/>
    <w:rsid w:val="00F56219"/>
    <w:rsid w:val="00F57BC4"/>
    <w:rsid w:val="00F60EAF"/>
    <w:rsid w:val="00F66F3E"/>
    <w:rsid w:val="00F700D9"/>
    <w:rsid w:val="00F713A4"/>
    <w:rsid w:val="00F72E59"/>
    <w:rsid w:val="00F7764C"/>
    <w:rsid w:val="00F8306C"/>
    <w:rsid w:val="00F83084"/>
    <w:rsid w:val="00F83144"/>
    <w:rsid w:val="00F87B48"/>
    <w:rsid w:val="00F90612"/>
    <w:rsid w:val="00F92193"/>
    <w:rsid w:val="00F93D9C"/>
    <w:rsid w:val="00F95B8C"/>
    <w:rsid w:val="00F96ED4"/>
    <w:rsid w:val="00FA015B"/>
    <w:rsid w:val="00FA58E0"/>
    <w:rsid w:val="00FB699B"/>
    <w:rsid w:val="00FB741F"/>
    <w:rsid w:val="00FC239F"/>
    <w:rsid w:val="00FC797F"/>
    <w:rsid w:val="00FE2453"/>
    <w:rsid w:val="00FE5608"/>
    <w:rsid w:val="00FF1670"/>
    <w:rsid w:val="00FF2762"/>
    <w:rsid w:val="00FF42B0"/>
    <w:rsid w:val="00FF631E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F03FD71"/>
  <w15:docId w15:val="{5356C6D4-1ACE-4F48-B17C-340D0C42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610"/>
    <w:rPr>
      <w:rFonts w:ascii="Times New Roman" w:hAnsi="Times New Roman"/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03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03B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03B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03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03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03B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03B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03B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03B0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03B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03B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03B0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603B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03B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03B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03B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03B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03B0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1603B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603B0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03B0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1603B0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1603B0"/>
    <w:rPr>
      <w:b/>
      <w:bCs/>
    </w:rPr>
  </w:style>
  <w:style w:type="character" w:styleId="Emphasis">
    <w:name w:val="Emphasis"/>
    <w:basedOn w:val="DefaultParagraphFont"/>
    <w:uiPriority w:val="20"/>
    <w:qFormat/>
    <w:rsid w:val="001603B0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1603B0"/>
    <w:rPr>
      <w:szCs w:val="32"/>
    </w:rPr>
  </w:style>
  <w:style w:type="paragraph" w:styleId="ListParagraph">
    <w:name w:val="List Paragraph"/>
    <w:basedOn w:val="Normal"/>
    <w:uiPriority w:val="34"/>
    <w:qFormat/>
    <w:rsid w:val="001603B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603B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603B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03B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03B0"/>
    <w:rPr>
      <w:b/>
      <w:i/>
      <w:sz w:val="24"/>
    </w:rPr>
  </w:style>
  <w:style w:type="character" w:styleId="SubtleEmphasis">
    <w:name w:val="Subtle Emphasis"/>
    <w:uiPriority w:val="19"/>
    <w:qFormat/>
    <w:rsid w:val="001603B0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1603B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603B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603B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603B0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03B0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B70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00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70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00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0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0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65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D25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25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25A3"/>
    <w:rPr>
      <w:rFonts w:ascii="Times New Roman" w:hAnsi="Times New Roman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25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25A3"/>
    <w:rPr>
      <w:rFonts w:ascii="Times New Roman" w:hAnsi="Times New Roman"/>
      <w:b/>
      <w:bCs/>
      <w:lang w:bidi="en-US"/>
    </w:rPr>
  </w:style>
  <w:style w:type="paragraph" w:styleId="Revision">
    <w:name w:val="Revision"/>
    <w:hidden/>
    <w:uiPriority w:val="99"/>
    <w:semiHidden/>
    <w:rsid w:val="003D25A3"/>
    <w:rPr>
      <w:rFonts w:ascii="Times New Roman" w:hAnsi="Times New Roman"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6C3712"/>
    <w:pPr>
      <w:autoSpaceDE w:val="0"/>
      <w:autoSpaceDN w:val="0"/>
    </w:pPr>
    <w:rPr>
      <w:rFonts w:ascii="Courier" w:eastAsiaTheme="minorHAnsi" w:hAnsi="Courier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3712"/>
    <w:rPr>
      <w:rFonts w:ascii="Courier" w:eastAsiaTheme="minorHAnsi" w:hAnsi="Courier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5135"/>
    <w:rPr>
      <w:rFonts w:ascii="Calibri" w:hAnsi="Calibri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5135"/>
  </w:style>
  <w:style w:type="character" w:styleId="FootnoteReference">
    <w:name w:val="footnote reference"/>
    <w:basedOn w:val="DefaultParagraphFont"/>
    <w:uiPriority w:val="99"/>
    <w:semiHidden/>
    <w:unhideWhenUsed/>
    <w:rsid w:val="006551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6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UW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2011-03-07T08:00:00+00:00</OpenedDate>
    <Date1 xmlns="dc463f71-b30c-4ab2-9473-d307f9d35888">2014-09-11T07:00:00+00:00</Date1>
    <IsDocumentOrder xmlns="dc463f71-b30c-4ab2-9473-d307f9d35888" xsi:nil="true"/>
    <IsHighlyConfidential xmlns="dc463f71-b30c-4ab2-9473-d307f9d35888">false</IsHighlyConfidential>
    <CaseCompanyNames xmlns="dc463f71-b30c-4ab2-9473-d307f9d35888">Olympic Water and Sewer, Inc.</CaseCompanyNames>
    <DocketNumber xmlns="dc463f71-b30c-4ab2-9473-d307f9d35888">110436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FEC27B08A0F96489DD070D119B506F4" ma:contentTypeVersion="143" ma:contentTypeDescription="" ma:contentTypeScope="" ma:versionID="79730e6b1fc1b2e7f082a89e566de63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793C4D-005E-46D0-8042-893FC3E9083B}"/>
</file>

<file path=customXml/itemProps2.xml><?xml version="1.0" encoding="utf-8"?>
<ds:datastoreItem xmlns:ds="http://schemas.openxmlformats.org/officeDocument/2006/customXml" ds:itemID="{45227816-F000-4174-9D2D-0767F5EBBD00}"/>
</file>

<file path=customXml/itemProps3.xml><?xml version="1.0" encoding="utf-8"?>
<ds:datastoreItem xmlns:ds="http://schemas.openxmlformats.org/officeDocument/2006/customXml" ds:itemID="{69A2B954-FF01-4AC3-A890-9CD4ADD13D9B}"/>
</file>

<file path=customXml/itemProps4.xml><?xml version="1.0" encoding="utf-8"?>
<ds:datastoreItem xmlns:ds="http://schemas.openxmlformats.org/officeDocument/2006/customXml" ds:itemID="{79D3D139-2DBC-449A-80D1-61CCCB8629CF}"/>
</file>

<file path=customXml/itemProps5.xml><?xml version="1.0" encoding="utf-8"?>
<ds:datastoreItem xmlns:ds="http://schemas.openxmlformats.org/officeDocument/2006/customXml" ds:itemID="{55B89C35-4DB2-4B11-863A-E32F1BC314F6}"/>
</file>

<file path=customXml/itemProps6.xml><?xml version="1.0" encoding="utf-8"?>
<ds:datastoreItem xmlns:ds="http://schemas.openxmlformats.org/officeDocument/2006/customXml" ds:itemID="{B29C7113-F56A-4BF7-B3AA-81C2764692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Olympic Water and Sewer Memo to dismiss</vt:lpstr>
    </vt:vector>
  </TitlesOfParts>
  <Company>Washington Utilities and Transportation Commission</Company>
  <LinksUpToDate>false</LinksUpToDate>
  <CharactersWithSpaces>7652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Olympic Water and Sewer Memo to dismiss</dc:title>
  <dc:creator>JWard</dc:creator>
  <cp:lastModifiedBy>Wyse, Lisa (UTC)</cp:lastModifiedBy>
  <cp:revision>2</cp:revision>
  <cp:lastPrinted>2014-09-04T14:44:00Z</cp:lastPrinted>
  <dcterms:created xsi:type="dcterms:W3CDTF">2014-09-09T17:06:00Z</dcterms:created>
  <dcterms:modified xsi:type="dcterms:W3CDTF">2014-09-09T17:06:00Z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0x0101006E56B4D1795A2E4DB2F0B01679ED314A00DFEC27B08A0F96489DD070D119B506F4</vt:lpwstr>
  </property>
  <property fmtid="{D5CDD505-2E9C-101B-9397-08002B2CF9AE}" pid="3" name="Item ID">
    <vt:lpwstr>9</vt:lpwstr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docset_NoMedatataSyncRequired">
    <vt:lpwstr>False</vt:lpwstr>
  </property>
</Properties>
</file>