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7.xml" ContentType="application/vnd.openxmlformats-officedocument.drawingml.chart+xml"/>
  <Override PartName="/word/charts/colors7.xml" ContentType="application/vnd.ms-office.chartcolorstyle+xml"/>
  <Override PartName="/word/charts/style7.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8.xml" ContentType="application/vnd.ms-office.chartcolorstyle+xml"/>
  <Override PartName="/word/charts/chart5.xml" ContentType="application/vnd.openxmlformats-officedocument.drawingml.chart+xml"/>
  <Override PartName="/word/charts/colors9.xml" ContentType="application/vnd.ms-office.chartcolorstyle+xml"/>
  <Override PartName="/word/charts/style9.xml" ContentType="application/vnd.ms-office.chartstyle+xml"/>
  <Override PartName="/word/charts/chart9.xml" ContentType="application/vnd.openxmlformats-officedocument.drawingml.chart+xml"/>
  <Override PartName="/word/charts/style8.xml" ContentType="application/vnd.ms-office.chartstyle+xml"/>
  <Override PartName="/word/charts/colors4.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style3.xml" ContentType="application/vnd.ms-office.chartstyle+xml"/>
  <Override PartName="/word/charts/chart3.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1EF27" w14:textId="77777777" w:rsidR="00A37E29" w:rsidRDefault="00B635D6" w:rsidP="004D6D9B">
      <w:pPr>
        <w:jc w:val="center"/>
        <w:rPr>
          <w:rFonts w:ascii="Times New Roman" w:hAnsi="Times New Roman" w:cs="Times New Roman"/>
          <w:sz w:val="72"/>
          <w:szCs w:val="72"/>
        </w:rPr>
      </w:pPr>
      <w:bookmarkStart w:id="0" w:name="_GoBack"/>
      <w:bookmarkEnd w:id="0"/>
      <w:r w:rsidRPr="00B635D6">
        <w:rPr>
          <w:rFonts w:ascii="Times New Roman" w:hAnsi="Times New Roman" w:cs="Times New Roman"/>
          <w:noProof/>
          <w:sz w:val="72"/>
          <w:szCs w:val="72"/>
        </w:rPr>
        <w:drawing>
          <wp:inline distT="0" distB="0" distL="0" distR="0" wp14:anchorId="5521F0B1" wp14:editId="5521F0B2">
            <wp:extent cx="3848431" cy="3848431"/>
            <wp:effectExtent l="0" t="0" r="0" b="0"/>
            <wp:docPr id="2" name="Picture 2" descr="http://images.clipartpanda.com/erosion-clipart-earth-day-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erosion-clipart-earth-day-clip-ar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2692" cy="3862692"/>
                    </a:xfrm>
                    <a:prstGeom prst="rect">
                      <a:avLst/>
                    </a:prstGeom>
                    <a:noFill/>
                    <a:ln>
                      <a:noFill/>
                    </a:ln>
                  </pic:spPr>
                </pic:pic>
              </a:graphicData>
            </a:graphic>
          </wp:inline>
        </w:drawing>
      </w:r>
    </w:p>
    <w:p w14:paraId="5521EF28" w14:textId="77777777" w:rsidR="00D76863" w:rsidRDefault="00D76863" w:rsidP="0002790B">
      <w:pPr>
        <w:jc w:val="center"/>
        <w:rPr>
          <w:rFonts w:ascii="Times New Roman" w:hAnsi="Times New Roman" w:cs="Times New Roman"/>
          <w:sz w:val="36"/>
          <w:szCs w:val="36"/>
        </w:rPr>
      </w:pPr>
      <w:r w:rsidRPr="00D76863">
        <w:rPr>
          <w:rFonts w:ascii="Times New Roman" w:hAnsi="Times New Roman" w:cs="Times New Roman"/>
          <w:noProof/>
          <w:sz w:val="72"/>
          <w:szCs w:val="72"/>
        </w:rPr>
        <w:drawing>
          <wp:inline distT="0" distB="0" distL="0" distR="0" wp14:anchorId="5521F0B3" wp14:editId="5521F0B4">
            <wp:extent cx="3331597" cy="655982"/>
            <wp:effectExtent l="0" t="0" r="2540" b="0"/>
            <wp:docPr id="5" name="Picture 5"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8189" cy="682877"/>
                    </a:xfrm>
                    <a:prstGeom prst="rect">
                      <a:avLst/>
                    </a:prstGeom>
                    <a:noFill/>
                    <a:ln>
                      <a:noFill/>
                    </a:ln>
                  </pic:spPr>
                </pic:pic>
              </a:graphicData>
            </a:graphic>
          </wp:inline>
        </w:drawing>
      </w:r>
    </w:p>
    <w:p w14:paraId="5521EF29" w14:textId="77777777" w:rsidR="0002790B" w:rsidRPr="00C2089A" w:rsidRDefault="004D6D9B" w:rsidP="0002790B">
      <w:pPr>
        <w:jc w:val="center"/>
        <w:rPr>
          <w:rFonts w:ascii="Times New Roman" w:hAnsi="Times New Roman" w:cs="Times New Roman"/>
          <w:sz w:val="36"/>
          <w:szCs w:val="36"/>
        </w:rPr>
      </w:pPr>
      <w:r w:rsidRPr="00C2089A">
        <w:rPr>
          <w:rFonts w:ascii="Times New Roman" w:hAnsi="Times New Roman" w:cs="Times New Roman"/>
          <w:sz w:val="36"/>
          <w:szCs w:val="36"/>
        </w:rPr>
        <w:t xml:space="preserve">Washington </w:t>
      </w:r>
    </w:p>
    <w:p w14:paraId="5521EF2A" w14:textId="77777777" w:rsidR="00A37E29" w:rsidRDefault="0063676F" w:rsidP="004D6D9B">
      <w:pPr>
        <w:jc w:val="center"/>
        <w:rPr>
          <w:rFonts w:ascii="Times New Roman" w:hAnsi="Times New Roman" w:cs="Times New Roman"/>
          <w:sz w:val="36"/>
          <w:szCs w:val="36"/>
        </w:rPr>
      </w:pPr>
      <w:r>
        <w:rPr>
          <w:rFonts w:ascii="Times New Roman" w:hAnsi="Times New Roman" w:cs="Times New Roman"/>
          <w:sz w:val="36"/>
          <w:szCs w:val="36"/>
        </w:rPr>
        <w:t>201</w:t>
      </w:r>
      <w:r w:rsidR="00180365">
        <w:rPr>
          <w:rFonts w:ascii="Times New Roman" w:hAnsi="Times New Roman" w:cs="Times New Roman"/>
          <w:sz w:val="36"/>
          <w:szCs w:val="36"/>
        </w:rPr>
        <w:t>7</w:t>
      </w:r>
      <w:r w:rsidR="004D6D9B" w:rsidRPr="00C2089A">
        <w:rPr>
          <w:rFonts w:ascii="Times New Roman" w:hAnsi="Times New Roman" w:cs="Times New Roman"/>
          <w:sz w:val="36"/>
          <w:szCs w:val="36"/>
        </w:rPr>
        <w:t xml:space="preserve"> </w:t>
      </w:r>
      <w:r w:rsidR="00180365">
        <w:rPr>
          <w:rFonts w:ascii="Times New Roman" w:hAnsi="Times New Roman" w:cs="Times New Roman"/>
          <w:sz w:val="36"/>
          <w:szCs w:val="36"/>
        </w:rPr>
        <w:t xml:space="preserve">Electric </w:t>
      </w:r>
      <w:r w:rsidR="004D6D9B" w:rsidRPr="00C2089A">
        <w:rPr>
          <w:rFonts w:ascii="Times New Roman" w:hAnsi="Times New Roman" w:cs="Times New Roman"/>
          <w:sz w:val="36"/>
          <w:szCs w:val="36"/>
        </w:rPr>
        <w:t xml:space="preserve">Demand-Side Management </w:t>
      </w:r>
    </w:p>
    <w:p w14:paraId="5521EF2B" w14:textId="77777777" w:rsidR="004D6D9B" w:rsidRDefault="005A3645" w:rsidP="004D6D9B">
      <w:pPr>
        <w:jc w:val="center"/>
        <w:rPr>
          <w:rFonts w:ascii="Times New Roman" w:hAnsi="Times New Roman" w:cs="Times New Roman"/>
          <w:sz w:val="36"/>
          <w:szCs w:val="36"/>
        </w:rPr>
      </w:pPr>
      <w:r>
        <w:rPr>
          <w:rFonts w:ascii="Times New Roman" w:hAnsi="Times New Roman" w:cs="Times New Roman"/>
          <w:sz w:val="36"/>
          <w:szCs w:val="36"/>
        </w:rPr>
        <w:t>Annual Conservation Plan</w:t>
      </w:r>
      <w:r w:rsidR="00A37E29">
        <w:rPr>
          <w:rFonts w:ascii="Times New Roman" w:hAnsi="Times New Roman" w:cs="Times New Roman"/>
          <w:sz w:val="36"/>
          <w:szCs w:val="36"/>
        </w:rPr>
        <w:t xml:space="preserve"> (</w:t>
      </w:r>
      <w:r w:rsidR="00B95694">
        <w:rPr>
          <w:rFonts w:ascii="Times New Roman" w:hAnsi="Times New Roman" w:cs="Times New Roman"/>
          <w:sz w:val="36"/>
          <w:szCs w:val="36"/>
        </w:rPr>
        <w:t>ACP</w:t>
      </w:r>
      <w:r w:rsidR="00A37E29">
        <w:rPr>
          <w:rFonts w:ascii="Times New Roman" w:hAnsi="Times New Roman" w:cs="Times New Roman"/>
          <w:sz w:val="36"/>
          <w:szCs w:val="36"/>
        </w:rPr>
        <w:t>)</w:t>
      </w:r>
    </w:p>
    <w:p w14:paraId="5521EF2C" w14:textId="77777777" w:rsidR="004D6D9B" w:rsidRDefault="004D6D9B" w:rsidP="004D6D9B">
      <w:pPr>
        <w:jc w:val="center"/>
        <w:rPr>
          <w:rFonts w:ascii="Times New Roman" w:hAnsi="Times New Roman" w:cs="Times New Roman"/>
          <w:sz w:val="36"/>
          <w:szCs w:val="36"/>
        </w:rPr>
      </w:pPr>
    </w:p>
    <w:p w14:paraId="5521EF2D" w14:textId="77777777" w:rsidR="00B03751" w:rsidRDefault="00B03751" w:rsidP="004D6D9B">
      <w:pPr>
        <w:jc w:val="center"/>
        <w:rPr>
          <w:sz w:val="36"/>
          <w:szCs w:val="36"/>
        </w:rPr>
      </w:pPr>
    </w:p>
    <w:p w14:paraId="5521EF2E" w14:textId="77777777" w:rsidR="004D6D9B" w:rsidRDefault="00F40CD6" w:rsidP="00B635D6">
      <w:pPr>
        <w:ind w:left="6480" w:firstLine="720"/>
        <w:rPr>
          <w:sz w:val="24"/>
          <w:szCs w:val="24"/>
        </w:rPr>
      </w:pPr>
      <w:r>
        <w:rPr>
          <w:sz w:val="24"/>
          <w:szCs w:val="24"/>
        </w:rPr>
        <w:t>Revised 12/16</w:t>
      </w:r>
      <w:r w:rsidR="008C17E5" w:rsidRPr="00B635D6">
        <w:rPr>
          <w:sz w:val="24"/>
          <w:szCs w:val="24"/>
        </w:rPr>
        <w:t>/16</w:t>
      </w:r>
    </w:p>
    <w:p w14:paraId="5521EF2F" w14:textId="77777777" w:rsidR="00B635D6" w:rsidRDefault="00B635D6" w:rsidP="00B635D6">
      <w:pPr>
        <w:ind w:left="6480" w:firstLine="720"/>
        <w:rPr>
          <w:sz w:val="24"/>
          <w:szCs w:val="24"/>
        </w:rPr>
      </w:pPr>
    </w:p>
    <w:p w14:paraId="5521EF30" w14:textId="77777777" w:rsidR="00B635D6" w:rsidRDefault="00B635D6" w:rsidP="00B635D6">
      <w:pPr>
        <w:ind w:left="6480" w:firstLine="720"/>
        <w:rPr>
          <w:sz w:val="24"/>
          <w:szCs w:val="24"/>
        </w:rPr>
      </w:pPr>
    </w:p>
    <w:p w14:paraId="5521EF31" w14:textId="77777777" w:rsidR="0086778E" w:rsidRPr="00BC225A" w:rsidRDefault="0086778E" w:rsidP="0086778E">
      <w:pPr>
        <w:jc w:val="center"/>
        <w:rPr>
          <w:rFonts w:ascii="Times New Roman" w:hAnsi="Times New Roman" w:cs="Times New Roman"/>
          <w:b/>
          <w:sz w:val="24"/>
          <w:szCs w:val="24"/>
          <w:u w:val="single"/>
        </w:rPr>
      </w:pPr>
      <w:r w:rsidRPr="00BC225A">
        <w:rPr>
          <w:rFonts w:ascii="Times New Roman" w:hAnsi="Times New Roman" w:cs="Times New Roman"/>
          <w:b/>
          <w:sz w:val="24"/>
          <w:szCs w:val="24"/>
          <w:u w:val="single"/>
        </w:rPr>
        <w:lastRenderedPageBreak/>
        <w:t>Table of Contents</w:t>
      </w:r>
    </w:p>
    <w:p w14:paraId="5521EF32"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 xml:space="preserve">I. Executive Summary </w:t>
      </w:r>
      <w:r w:rsidRPr="00596E24">
        <w:rPr>
          <w:rFonts w:ascii="Times New Roman" w:hAnsi="Times New Roman" w:cs="Times New Roman"/>
          <w:u w:val="dotted"/>
        </w:rPr>
        <w:tab/>
      </w:r>
      <w:r w:rsidRPr="00596E24">
        <w:rPr>
          <w:rFonts w:ascii="Times New Roman" w:hAnsi="Times New Roman" w:cs="Times New Roman"/>
        </w:rPr>
        <w:t>2</w:t>
      </w:r>
    </w:p>
    <w:p w14:paraId="5521EF33"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 xml:space="preserve">II. Introduction </w:t>
      </w:r>
      <w:r w:rsidRPr="00596E24">
        <w:rPr>
          <w:rFonts w:ascii="Times New Roman" w:hAnsi="Times New Roman" w:cs="Times New Roman"/>
          <w:u w:val="dotted"/>
        </w:rPr>
        <w:tab/>
      </w:r>
      <w:r w:rsidR="00303AD5">
        <w:rPr>
          <w:rFonts w:ascii="Times New Roman" w:hAnsi="Times New Roman" w:cs="Times New Roman"/>
        </w:rPr>
        <w:t>4</w:t>
      </w:r>
    </w:p>
    <w:p w14:paraId="5521EF34"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III. Key Considerations</w:t>
      </w:r>
    </w:p>
    <w:p w14:paraId="5521EF35" w14:textId="77777777" w:rsidR="0086778E" w:rsidRPr="00596E24" w:rsidRDefault="0086778E" w:rsidP="0086778E">
      <w:pPr>
        <w:pStyle w:val="Default"/>
        <w:tabs>
          <w:tab w:val="right" w:pos="8190"/>
        </w:tabs>
        <w:spacing w:after="60"/>
        <w:ind w:left="720"/>
        <w:rPr>
          <w:rFonts w:ascii="Times New Roman" w:hAnsi="Times New Roman" w:cs="Times New Roman"/>
          <w:color w:val="auto"/>
        </w:rPr>
      </w:pPr>
      <w:r w:rsidRPr="00596E24">
        <w:rPr>
          <w:rFonts w:ascii="Times New Roman" w:hAnsi="Times New Roman" w:cs="Times New Roman"/>
          <w:color w:val="auto"/>
        </w:rPr>
        <w:t xml:space="preserve">a. Evaluation, Measurement and Verification Commitments </w:t>
      </w:r>
      <w:r w:rsidRPr="00596E24">
        <w:rPr>
          <w:rFonts w:ascii="Times New Roman" w:hAnsi="Times New Roman" w:cs="Times New Roman"/>
          <w:color w:val="auto"/>
          <w:u w:val="dotted"/>
        </w:rPr>
        <w:tab/>
      </w:r>
      <w:r w:rsidR="00303AD5">
        <w:rPr>
          <w:rFonts w:ascii="Times New Roman" w:hAnsi="Times New Roman" w:cs="Times New Roman"/>
          <w:color w:val="auto"/>
        </w:rPr>
        <w:t>5</w:t>
      </w:r>
    </w:p>
    <w:p w14:paraId="5521EF36" w14:textId="77777777" w:rsidR="0086778E" w:rsidRPr="00596E24" w:rsidRDefault="0086778E" w:rsidP="000E122C">
      <w:pPr>
        <w:pStyle w:val="Default"/>
        <w:tabs>
          <w:tab w:val="right" w:pos="8190"/>
        </w:tabs>
        <w:spacing w:after="60"/>
        <w:ind w:left="720"/>
        <w:rPr>
          <w:rFonts w:ascii="Times New Roman" w:hAnsi="Times New Roman" w:cs="Times New Roman"/>
        </w:rPr>
      </w:pPr>
      <w:r w:rsidRPr="00596E24">
        <w:rPr>
          <w:rFonts w:ascii="Times New Roman" w:hAnsi="Times New Roman" w:cs="Times New Roman"/>
        </w:rPr>
        <w:t xml:space="preserve">b. Cost-Effectiveness Metrics, Methodology and Objectives </w:t>
      </w:r>
      <w:r w:rsidRPr="00596E24">
        <w:rPr>
          <w:rFonts w:ascii="Times New Roman" w:hAnsi="Times New Roman" w:cs="Times New Roman"/>
          <w:u w:val="dotted"/>
        </w:rPr>
        <w:tab/>
      </w:r>
      <w:r w:rsidR="00740E5C">
        <w:rPr>
          <w:rFonts w:ascii="Times New Roman" w:hAnsi="Times New Roman" w:cs="Times New Roman"/>
        </w:rPr>
        <w:t>7</w:t>
      </w:r>
    </w:p>
    <w:p w14:paraId="5521EF37" w14:textId="77777777" w:rsidR="00D239D6" w:rsidRDefault="000E122C" w:rsidP="0086778E">
      <w:pPr>
        <w:pStyle w:val="Default"/>
        <w:tabs>
          <w:tab w:val="right" w:pos="8190"/>
        </w:tabs>
        <w:spacing w:after="60"/>
        <w:ind w:left="720"/>
        <w:rPr>
          <w:rFonts w:ascii="Times New Roman" w:hAnsi="Times New Roman" w:cs="Times New Roman"/>
        </w:rPr>
      </w:pPr>
      <w:r>
        <w:rPr>
          <w:rFonts w:ascii="Times New Roman" w:hAnsi="Times New Roman" w:cs="Times New Roman"/>
        </w:rPr>
        <w:t>c</w:t>
      </w:r>
      <w:r w:rsidR="0086778E" w:rsidRPr="00596E24">
        <w:rPr>
          <w:rFonts w:ascii="Times New Roman" w:hAnsi="Times New Roman" w:cs="Times New Roman"/>
        </w:rPr>
        <w:t xml:space="preserve">. Schedule 90 and 190 Revisions </w:t>
      </w:r>
      <w:r w:rsidR="0086778E" w:rsidRPr="00596E24">
        <w:rPr>
          <w:rFonts w:ascii="Times New Roman" w:hAnsi="Times New Roman" w:cs="Times New Roman"/>
          <w:u w:val="dotted"/>
        </w:rPr>
        <w:tab/>
      </w:r>
      <w:r w:rsidR="00303AD5">
        <w:rPr>
          <w:rFonts w:ascii="Times New Roman" w:hAnsi="Times New Roman" w:cs="Times New Roman"/>
        </w:rPr>
        <w:t>7</w:t>
      </w:r>
    </w:p>
    <w:p w14:paraId="5521EF38" w14:textId="77777777" w:rsidR="0086778E" w:rsidRPr="00596E24" w:rsidRDefault="00D239D6" w:rsidP="0086778E">
      <w:pPr>
        <w:pStyle w:val="Default"/>
        <w:tabs>
          <w:tab w:val="right" w:pos="8190"/>
        </w:tabs>
        <w:spacing w:after="60"/>
        <w:ind w:left="720"/>
        <w:rPr>
          <w:rFonts w:ascii="Times New Roman" w:hAnsi="Times New Roman" w:cs="Times New Roman"/>
        </w:rPr>
      </w:pPr>
      <w:r>
        <w:rPr>
          <w:rFonts w:ascii="Times New Roman" w:hAnsi="Times New Roman" w:cs="Times New Roman"/>
        </w:rPr>
        <w:t>d. Schedule 91 and 191 Revisions</w:t>
      </w:r>
      <w:r>
        <w:rPr>
          <w:rFonts w:ascii="Times New Roman" w:hAnsi="Times New Roman" w:cs="Times New Roman"/>
          <w:u w:val="dotted"/>
        </w:rPr>
        <w:tab/>
      </w:r>
      <w:r w:rsidRPr="00D239D6">
        <w:rPr>
          <w:rFonts w:ascii="Times New Roman" w:hAnsi="Times New Roman" w:cs="Times New Roman"/>
        </w:rPr>
        <w:t>8</w:t>
      </w:r>
      <w:r w:rsidR="0086778E" w:rsidRPr="00596E24">
        <w:rPr>
          <w:rFonts w:ascii="Times New Roman" w:hAnsi="Times New Roman" w:cs="Times New Roman"/>
        </w:rPr>
        <w:tab/>
      </w:r>
    </w:p>
    <w:p w14:paraId="5521EF39" w14:textId="77777777" w:rsidR="0086778E" w:rsidRPr="00596E24" w:rsidRDefault="00D239D6" w:rsidP="0086778E">
      <w:pPr>
        <w:pStyle w:val="Default"/>
        <w:tabs>
          <w:tab w:val="right" w:pos="8190"/>
        </w:tabs>
        <w:spacing w:after="60"/>
        <w:ind w:left="720"/>
        <w:rPr>
          <w:rFonts w:ascii="Times New Roman" w:hAnsi="Times New Roman" w:cs="Times New Roman"/>
        </w:rPr>
      </w:pPr>
      <w:r>
        <w:rPr>
          <w:rFonts w:ascii="Times New Roman" w:hAnsi="Times New Roman" w:cs="Times New Roman"/>
        </w:rPr>
        <w:t>e</w:t>
      </w:r>
      <w:r w:rsidR="0086778E" w:rsidRPr="00596E24">
        <w:rPr>
          <w:rFonts w:ascii="Times New Roman" w:hAnsi="Times New Roman" w:cs="Times New Roman"/>
        </w:rPr>
        <w:t>. Washington EIA Standards for the 201</w:t>
      </w:r>
      <w:r w:rsidR="00B16E8C" w:rsidRPr="00596E24">
        <w:rPr>
          <w:rFonts w:ascii="Times New Roman" w:hAnsi="Times New Roman" w:cs="Times New Roman"/>
        </w:rPr>
        <w:t>6</w:t>
      </w:r>
      <w:r w:rsidR="0086778E" w:rsidRPr="00596E24">
        <w:rPr>
          <w:rFonts w:ascii="Times New Roman" w:hAnsi="Times New Roman" w:cs="Times New Roman"/>
        </w:rPr>
        <w:t>-201</w:t>
      </w:r>
      <w:r w:rsidR="00B16E8C" w:rsidRPr="00596E24">
        <w:rPr>
          <w:rFonts w:ascii="Times New Roman" w:hAnsi="Times New Roman" w:cs="Times New Roman"/>
        </w:rPr>
        <w:t>7</w:t>
      </w:r>
      <w:r w:rsidR="0086778E" w:rsidRPr="00596E24">
        <w:rPr>
          <w:rFonts w:ascii="Times New Roman" w:hAnsi="Times New Roman" w:cs="Times New Roman"/>
        </w:rPr>
        <w:t xml:space="preserve"> Biennium </w:t>
      </w:r>
      <w:r w:rsidR="0086778E" w:rsidRPr="00596E24">
        <w:rPr>
          <w:rFonts w:ascii="Times New Roman" w:hAnsi="Times New Roman" w:cs="Times New Roman"/>
          <w:u w:val="dotted"/>
        </w:rPr>
        <w:tab/>
      </w:r>
      <w:r w:rsidR="00740E5C">
        <w:rPr>
          <w:rFonts w:ascii="Times New Roman" w:hAnsi="Times New Roman" w:cs="Times New Roman"/>
        </w:rPr>
        <w:t>8</w:t>
      </w:r>
    </w:p>
    <w:p w14:paraId="5521EF3A"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 xml:space="preserve">IV. DSM Portfolio overview </w:t>
      </w:r>
    </w:p>
    <w:p w14:paraId="5521EF3B" w14:textId="77777777" w:rsidR="0086778E" w:rsidRPr="00596E24" w:rsidRDefault="0086778E" w:rsidP="0086778E">
      <w:pPr>
        <w:pStyle w:val="Default"/>
        <w:tabs>
          <w:tab w:val="right" w:pos="8190"/>
        </w:tabs>
        <w:spacing w:after="60"/>
        <w:ind w:left="720"/>
        <w:rPr>
          <w:rFonts w:ascii="Times New Roman" w:hAnsi="Times New Roman" w:cs="Times New Roman"/>
        </w:rPr>
      </w:pPr>
      <w:r w:rsidRPr="00596E24">
        <w:rPr>
          <w:rFonts w:ascii="Times New Roman" w:hAnsi="Times New Roman" w:cs="Times New Roman"/>
        </w:rPr>
        <w:t xml:space="preserve">a. Residential Portfolio Overview </w:t>
      </w:r>
      <w:r w:rsidRPr="00596E24">
        <w:rPr>
          <w:rFonts w:ascii="Times New Roman" w:hAnsi="Times New Roman" w:cs="Times New Roman"/>
          <w:u w:val="dotted"/>
        </w:rPr>
        <w:tab/>
      </w:r>
      <w:r w:rsidR="00740E5C">
        <w:rPr>
          <w:rFonts w:ascii="Times New Roman" w:hAnsi="Times New Roman" w:cs="Times New Roman"/>
        </w:rPr>
        <w:t>9</w:t>
      </w:r>
      <w:r w:rsidRPr="00596E24">
        <w:rPr>
          <w:rFonts w:ascii="Times New Roman" w:hAnsi="Times New Roman" w:cs="Times New Roman"/>
        </w:rPr>
        <w:tab/>
      </w:r>
    </w:p>
    <w:p w14:paraId="5521EF3C" w14:textId="77777777" w:rsidR="0086778E" w:rsidRPr="00596E24" w:rsidRDefault="0086778E" w:rsidP="0086778E">
      <w:pPr>
        <w:pStyle w:val="Default"/>
        <w:tabs>
          <w:tab w:val="right" w:pos="8190"/>
        </w:tabs>
        <w:spacing w:after="60"/>
        <w:ind w:left="720"/>
        <w:rPr>
          <w:rFonts w:ascii="Times New Roman" w:hAnsi="Times New Roman" w:cs="Times New Roman"/>
        </w:rPr>
      </w:pPr>
      <w:r w:rsidRPr="00596E24">
        <w:rPr>
          <w:rFonts w:ascii="Times New Roman" w:hAnsi="Times New Roman" w:cs="Times New Roman"/>
        </w:rPr>
        <w:t>b. Low</w:t>
      </w:r>
      <w:r w:rsidR="00760767" w:rsidRPr="00596E24">
        <w:rPr>
          <w:rFonts w:ascii="Times New Roman" w:hAnsi="Times New Roman" w:cs="Times New Roman"/>
        </w:rPr>
        <w:t>-</w:t>
      </w:r>
      <w:r w:rsidRPr="00596E24">
        <w:rPr>
          <w:rFonts w:ascii="Times New Roman" w:hAnsi="Times New Roman" w:cs="Times New Roman"/>
        </w:rPr>
        <w:t xml:space="preserve">Income Portfolio Overview </w:t>
      </w:r>
      <w:r w:rsidRPr="00596E24">
        <w:rPr>
          <w:rFonts w:ascii="Times New Roman" w:hAnsi="Times New Roman" w:cs="Times New Roman"/>
          <w:u w:val="dotted"/>
        </w:rPr>
        <w:tab/>
      </w:r>
      <w:r w:rsidR="00740E5C">
        <w:rPr>
          <w:rFonts w:ascii="Times New Roman" w:hAnsi="Times New Roman" w:cs="Times New Roman"/>
        </w:rPr>
        <w:t>11</w:t>
      </w:r>
      <w:r w:rsidRPr="00596E24">
        <w:rPr>
          <w:rFonts w:ascii="Times New Roman" w:hAnsi="Times New Roman" w:cs="Times New Roman"/>
        </w:rPr>
        <w:t xml:space="preserve"> </w:t>
      </w:r>
      <w:r w:rsidRPr="00596E24">
        <w:rPr>
          <w:rFonts w:ascii="Times New Roman" w:hAnsi="Times New Roman" w:cs="Times New Roman"/>
        </w:rPr>
        <w:tab/>
      </w:r>
    </w:p>
    <w:p w14:paraId="5521EF3D" w14:textId="77777777" w:rsidR="0086778E" w:rsidRPr="00596E24" w:rsidRDefault="0086778E" w:rsidP="0086778E">
      <w:pPr>
        <w:pStyle w:val="Default"/>
        <w:tabs>
          <w:tab w:val="right" w:pos="8190"/>
        </w:tabs>
        <w:spacing w:after="60"/>
        <w:ind w:left="720"/>
        <w:rPr>
          <w:rFonts w:ascii="Times New Roman" w:hAnsi="Times New Roman" w:cs="Times New Roman"/>
        </w:rPr>
      </w:pPr>
      <w:r w:rsidRPr="00596E24">
        <w:rPr>
          <w:rFonts w:ascii="Times New Roman" w:hAnsi="Times New Roman" w:cs="Times New Roman"/>
        </w:rPr>
        <w:t xml:space="preserve">c. Non-Residential Prescriptive Portfolio Overview </w:t>
      </w:r>
      <w:r w:rsidRPr="00596E24">
        <w:rPr>
          <w:rFonts w:ascii="Times New Roman" w:hAnsi="Times New Roman" w:cs="Times New Roman"/>
          <w:u w:val="dotted"/>
        </w:rPr>
        <w:tab/>
      </w:r>
      <w:r w:rsidR="00740E5C">
        <w:rPr>
          <w:rFonts w:ascii="Times New Roman" w:hAnsi="Times New Roman" w:cs="Times New Roman"/>
        </w:rPr>
        <w:t>13</w:t>
      </w:r>
    </w:p>
    <w:p w14:paraId="5521EF3E" w14:textId="77777777" w:rsidR="0086778E" w:rsidRPr="00596E24" w:rsidRDefault="0086778E" w:rsidP="0086778E">
      <w:pPr>
        <w:pStyle w:val="Default"/>
        <w:tabs>
          <w:tab w:val="right" w:pos="8190"/>
        </w:tabs>
        <w:spacing w:after="60"/>
        <w:ind w:left="720"/>
        <w:rPr>
          <w:rFonts w:ascii="Times New Roman" w:hAnsi="Times New Roman" w:cs="Times New Roman"/>
        </w:rPr>
      </w:pPr>
      <w:r w:rsidRPr="00596E24">
        <w:rPr>
          <w:rFonts w:ascii="Times New Roman" w:hAnsi="Times New Roman" w:cs="Times New Roman"/>
        </w:rPr>
        <w:t xml:space="preserve">d. Non-Residential Site-Specific Program Overview </w:t>
      </w:r>
      <w:r w:rsidRPr="00596E24">
        <w:rPr>
          <w:rFonts w:ascii="Times New Roman" w:hAnsi="Times New Roman" w:cs="Times New Roman"/>
          <w:u w:val="dotted"/>
        </w:rPr>
        <w:tab/>
      </w:r>
      <w:r w:rsidR="00740E5C">
        <w:rPr>
          <w:rFonts w:ascii="Times New Roman" w:hAnsi="Times New Roman" w:cs="Times New Roman"/>
        </w:rPr>
        <w:t>13</w:t>
      </w:r>
    </w:p>
    <w:p w14:paraId="5521EF3F" w14:textId="77777777" w:rsidR="0086778E" w:rsidRPr="00596E24" w:rsidRDefault="0086778E" w:rsidP="0086778E">
      <w:pPr>
        <w:pStyle w:val="Default"/>
        <w:tabs>
          <w:tab w:val="right" w:pos="8190"/>
        </w:tabs>
        <w:spacing w:after="60"/>
        <w:ind w:left="720"/>
        <w:rPr>
          <w:rFonts w:ascii="Times New Roman" w:hAnsi="Times New Roman" w:cs="Times New Roman"/>
        </w:rPr>
      </w:pPr>
      <w:r w:rsidRPr="00596E24">
        <w:rPr>
          <w:rFonts w:ascii="Times New Roman" w:hAnsi="Times New Roman" w:cs="Times New Roman"/>
        </w:rPr>
        <w:t xml:space="preserve">e. Regional Market Transformation </w:t>
      </w:r>
      <w:r w:rsidRPr="00596E24">
        <w:rPr>
          <w:rFonts w:ascii="Times New Roman" w:hAnsi="Times New Roman" w:cs="Times New Roman"/>
          <w:u w:val="dotted"/>
        </w:rPr>
        <w:tab/>
      </w:r>
      <w:r w:rsidRPr="00596E24">
        <w:rPr>
          <w:rFonts w:ascii="Times New Roman" w:hAnsi="Times New Roman" w:cs="Times New Roman"/>
        </w:rPr>
        <w:t>1</w:t>
      </w:r>
      <w:r w:rsidR="00740E5C">
        <w:rPr>
          <w:rFonts w:ascii="Times New Roman" w:hAnsi="Times New Roman" w:cs="Times New Roman"/>
        </w:rPr>
        <w:t>4</w:t>
      </w:r>
      <w:r w:rsidRPr="00596E24">
        <w:rPr>
          <w:rFonts w:ascii="Times New Roman" w:hAnsi="Times New Roman" w:cs="Times New Roman"/>
        </w:rPr>
        <w:tab/>
      </w:r>
    </w:p>
    <w:p w14:paraId="5521EF40" w14:textId="77777777" w:rsidR="00303AD5" w:rsidRDefault="00303AD5" w:rsidP="0086778E">
      <w:pPr>
        <w:pStyle w:val="Default"/>
        <w:tabs>
          <w:tab w:val="right" w:pos="8190"/>
        </w:tabs>
        <w:spacing w:after="60"/>
        <w:rPr>
          <w:rFonts w:ascii="Times New Roman" w:hAnsi="Times New Roman" w:cs="Times New Roman"/>
        </w:rPr>
      </w:pPr>
      <w:r>
        <w:rPr>
          <w:rFonts w:ascii="Times New Roman" w:hAnsi="Times New Roman" w:cs="Times New Roman"/>
        </w:rPr>
        <w:t>V. Pilots</w:t>
      </w:r>
    </w:p>
    <w:p w14:paraId="5521EF41" w14:textId="77777777" w:rsidR="00303AD5" w:rsidRDefault="00303AD5" w:rsidP="00303AD5">
      <w:pPr>
        <w:pStyle w:val="Default"/>
        <w:tabs>
          <w:tab w:val="right" w:pos="8190"/>
        </w:tabs>
        <w:spacing w:after="60"/>
        <w:ind w:left="720"/>
        <w:rPr>
          <w:rFonts w:ascii="Times New Roman" w:hAnsi="Times New Roman" w:cs="Times New Roman"/>
        </w:rPr>
      </w:pPr>
      <w:r>
        <w:rPr>
          <w:rFonts w:ascii="Times New Roman" w:hAnsi="Times New Roman" w:cs="Times New Roman"/>
        </w:rPr>
        <w:t>a. Small Business Direct Install Program</w:t>
      </w:r>
      <w:r>
        <w:rPr>
          <w:rFonts w:ascii="Times New Roman" w:hAnsi="Times New Roman" w:cs="Times New Roman"/>
          <w:u w:val="dotted"/>
        </w:rPr>
        <w:tab/>
      </w:r>
      <w:r w:rsidR="00740E5C">
        <w:rPr>
          <w:rFonts w:ascii="Times New Roman" w:hAnsi="Times New Roman" w:cs="Times New Roman"/>
        </w:rPr>
        <w:t>17</w:t>
      </w:r>
    </w:p>
    <w:p w14:paraId="5521EF42" w14:textId="77777777" w:rsidR="00303AD5" w:rsidRDefault="00303AD5" w:rsidP="00303AD5">
      <w:pPr>
        <w:pStyle w:val="Default"/>
        <w:tabs>
          <w:tab w:val="right" w:pos="8190"/>
        </w:tabs>
        <w:spacing w:after="60"/>
        <w:ind w:left="720"/>
        <w:rPr>
          <w:rFonts w:ascii="Times New Roman" w:hAnsi="Times New Roman" w:cs="Times New Roman"/>
        </w:rPr>
      </w:pPr>
      <w:r>
        <w:rPr>
          <w:rFonts w:ascii="Times New Roman" w:hAnsi="Times New Roman" w:cs="Times New Roman"/>
        </w:rPr>
        <w:t>b. Energy Use Index (EUI) New Construction</w:t>
      </w:r>
      <w:r>
        <w:rPr>
          <w:rFonts w:ascii="Times New Roman" w:hAnsi="Times New Roman" w:cs="Times New Roman"/>
          <w:u w:val="dotted"/>
        </w:rPr>
        <w:tab/>
      </w:r>
      <w:r w:rsidR="00740E5C">
        <w:rPr>
          <w:rFonts w:ascii="Times New Roman" w:hAnsi="Times New Roman" w:cs="Times New Roman"/>
        </w:rPr>
        <w:t>17</w:t>
      </w:r>
      <w:r>
        <w:rPr>
          <w:rFonts w:ascii="Times New Roman" w:hAnsi="Times New Roman" w:cs="Times New Roman"/>
        </w:rPr>
        <w:tab/>
      </w:r>
      <w:r>
        <w:rPr>
          <w:rFonts w:ascii="Times New Roman" w:hAnsi="Times New Roman" w:cs="Times New Roman"/>
        </w:rPr>
        <w:tab/>
      </w:r>
    </w:p>
    <w:p w14:paraId="5521EF43"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V</w:t>
      </w:r>
      <w:r w:rsidR="00303AD5">
        <w:rPr>
          <w:rFonts w:ascii="Times New Roman" w:hAnsi="Times New Roman" w:cs="Times New Roman"/>
        </w:rPr>
        <w:t>I</w:t>
      </w:r>
      <w:r w:rsidRPr="00596E24">
        <w:rPr>
          <w:rFonts w:ascii="Times New Roman" w:hAnsi="Times New Roman" w:cs="Times New Roman"/>
        </w:rPr>
        <w:t xml:space="preserve">. </w:t>
      </w:r>
      <w:r w:rsidR="00740E5C" w:rsidRPr="00596E24">
        <w:rPr>
          <w:rFonts w:ascii="Times New Roman" w:hAnsi="Times New Roman" w:cs="Times New Roman"/>
        </w:rPr>
        <w:t>Avista-Specific Methodologies and Analytical Practices</w:t>
      </w:r>
      <w:r w:rsidR="00740E5C">
        <w:rPr>
          <w:rFonts w:ascii="Times New Roman" w:hAnsi="Times New Roman" w:cs="Times New Roman"/>
          <w:u w:val="dotted"/>
        </w:rPr>
        <w:tab/>
      </w:r>
      <w:r w:rsidR="00740E5C" w:rsidRPr="00740E5C">
        <w:rPr>
          <w:rFonts w:ascii="Times New Roman" w:hAnsi="Times New Roman" w:cs="Times New Roman"/>
        </w:rPr>
        <w:t>19</w:t>
      </w:r>
      <w:r w:rsidRPr="00596E24">
        <w:rPr>
          <w:rFonts w:ascii="Times New Roman" w:hAnsi="Times New Roman" w:cs="Times New Roman"/>
        </w:rPr>
        <w:t xml:space="preserve"> </w:t>
      </w:r>
    </w:p>
    <w:p w14:paraId="5521EF44" w14:textId="77777777" w:rsidR="0086778E" w:rsidRPr="00596E24" w:rsidRDefault="00740E5C" w:rsidP="00740E5C">
      <w:pPr>
        <w:pStyle w:val="Default"/>
        <w:tabs>
          <w:tab w:val="right" w:pos="8190"/>
        </w:tabs>
        <w:spacing w:after="60"/>
        <w:rPr>
          <w:rFonts w:ascii="Times New Roman" w:hAnsi="Times New Roman" w:cs="Times New Roman"/>
        </w:rPr>
      </w:pPr>
      <w:r>
        <w:rPr>
          <w:rFonts w:ascii="Times New Roman" w:hAnsi="Times New Roman" w:cs="Times New Roman"/>
        </w:rPr>
        <w:t xml:space="preserve">VII. </w:t>
      </w:r>
      <w:r w:rsidR="0086778E" w:rsidRPr="00596E24">
        <w:rPr>
          <w:rFonts w:ascii="Times New Roman" w:hAnsi="Times New Roman" w:cs="Times New Roman"/>
        </w:rPr>
        <w:t xml:space="preserve">Analytical Review of Measures and Programs </w:t>
      </w:r>
      <w:r w:rsidR="0086778E" w:rsidRPr="00596E24">
        <w:rPr>
          <w:rFonts w:ascii="Times New Roman" w:hAnsi="Times New Roman" w:cs="Times New Roman"/>
          <w:u w:val="dotted"/>
        </w:rPr>
        <w:tab/>
      </w:r>
      <w:r>
        <w:rPr>
          <w:rFonts w:ascii="Times New Roman" w:hAnsi="Times New Roman" w:cs="Times New Roman"/>
        </w:rPr>
        <w:t>21</w:t>
      </w:r>
    </w:p>
    <w:p w14:paraId="5521EF45" w14:textId="77777777" w:rsidR="00740E5C" w:rsidRDefault="00740E5C" w:rsidP="00740E5C">
      <w:pPr>
        <w:pStyle w:val="Default"/>
        <w:tabs>
          <w:tab w:val="right" w:pos="8190"/>
        </w:tabs>
        <w:spacing w:after="60"/>
        <w:rPr>
          <w:rFonts w:ascii="Times New Roman" w:hAnsi="Times New Roman" w:cs="Times New Roman"/>
        </w:rPr>
      </w:pPr>
      <w:r>
        <w:rPr>
          <w:rFonts w:ascii="Times New Roman" w:hAnsi="Times New Roman" w:cs="Times New Roman"/>
        </w:rPr>
        <w:t xml:space="preserve">VIII. </w:t>
      </w:r>
      <w:r w:rsidR="00303AD5">
        <w:rPr>
          <w:rFonts w:ascii="Times New Roman" w:hAnsi="Times New Roman" w:cs="Times New Roman"/>
        </w:rPr>
        <w:t>Sector</w:t>
      </w:r>
      <w:r w:rsidR="0086778E" w:rsidRPr="00596E24">
        <w:rPr>
          <w:rFonts w:ascii="Times New Roman" w:hAnsi="Times New Roman" w:cs="Times New Roman"/>
        </w:rPr>
        <w:t xml:space="preserve"> Cost-Effectiveness Projections and Related Metrics </w:t>
      </w:r>
      <w:r w:rsidR="0086778E" w:rsidRPr="00596E24">
        <w:rPr>
          <w:rFonts w:ascii="Times New Roman" w:hAnsi="Times New Roman" w:cs="Times New Roman"/>
          <w:u w:val="dotted"/>
        </w:rPr>
        <w:tab/>
      </w:r>
      <w:r>
        <w:rPr>
          <w:rFonts w:ascii="Times New Roman" w:hAnsi="Times New Roman" w:cs="Times New Roman"/>
        </w:rPr>
        <w:t>28</w:t>
      </w:r>
    </w:p>
    <w:p w14:paraId="5521EF46" w14:textId="77777777" w:rsidR="00740E5C" w:rsidRDefault="00740E5C" w:rsidP="00740E5C">
      <w:pPr>
        <w:pStyle w:val="Default"/>
        <w:tabs>
          <w:tab w:val="right" w:pos="8190"/>
        </w:tabs>
        <w:spacing w:after="60"/>
        <w:rPr>
          <w:rFonts w:ascii="Times New Roman" w:hAnsi="Times New Roman" w:cs="Times New Roman"/>
        </w:rPr>
      </w:pPr>
      <w:r>
        <w:rPr>
          <w:rFonts w:ascii="Times New Roman" w:hAnsi="Times New Roman" w:cs="Times New Roman"/>
        </w:rPr>
        <w:t xml:space="preserve">IX. </w:t>
      </w:r>
      <w:r w:rsidR="00303AD5">
        <w:rPr>
          <w:rFonts w:ascii="Times New Roman" w:hAnsi="Times New Roman" w:cs="Times New Roman"/>
        </w:rPr>
        <w:t xml:space="preserve">Washington I-937 </w:t>
      </w:r>
      <w:r>
        <w:rPr>
          <w:rFonts w:ascii="Times New Roman" w:hAnsi="Times New Roman" w:cs="Times New Roman"/>
        </w:rPr>
        <w:t xml:space="preserve">Acquisition </w:t>
      </w:r>
      <w:r w:rsidR="0086778E" w:rsidRPr="00596E24">
        <w:rPr>
          <w:rFonts w:ascii="Times New Roman" w:hAnsi="Times New Roman" w:cs="Times New Roman"/>
        </w:rPr>
        <w:t xml:space="preserve">Targets </w:t>
      </w:r>
      <w:r w:rsidR="0086778E" w:rsidRPr="00596E24">
        <w:rPr>
          <w:rFonts w:ascii="Times New Roman" w:hAnsi="Times New Roman" w:cs="Times New Roman"/>
          <w:u w:val="dotted"/>
        </w:rPr>
        <w:tab/>
      </w:r>
      <w:r>
        <w:rPr>
          <w:rFonts w:ascii="Times New Roman" w:hAnsi="Times New Roman" w:cs="Times New Roman"/>
        </w:rPr>
        <w:t>29</w:t>
      </w:r>
    </w:p>
    <w:p w14:paraId="5521EF47" w14:textId="77777777" w:rsidR="0086778E" w:rsidRPr="00596E24" w:rsidRDefault="00740E5C" w:rsidP="00740E5C">
      <w:pPr>
        <w:pStyle w:val="Default"/>
        <w:tabs>
          <w:tab w:val="right" w:pos="8190"/>
        </w:tabs>
        <w:spacing w:after="60"/>
        <w:rPr>
          <w:rFonts w:ascii="Times New Roman" w:hAnsi="Times New Roman" w:cs="Times New Roman"/>
        </w:rPr>
      </w:pPr>
      <w:r>
        <w:rPr>
          <w:rFonts w:ascii="Times New Roman" w:hAnsi="Times New Roman" w:cs="Times New Roman"/>
        </w:rPr>
        <w:t>X</w:t>
      </w:r>
      <w:r w:rsidR="0086778E" w:rsidRPr="00596E24">
        <w:rPr>
          <w:rFonts w:ascii="Times New Roman" w:hAnsi="Times New Roman" w:cs="Times New Roman"/>
        </w:rPr>
        <w:t xml:space="preserve">. </w:t>
      </w:r>
      <w:r>
        <w:rPr>
          <w:rFonts w:ascii="Times New Roman" w:hAnsi="Times New Roman" w:cs="Times New Roman"/>
        </w:rPr>
        <w:t>Summary of 2017 Budget</w:t>
      </w:r>
      <w:r w:rsidR="0086778E" w:rsidRPr="00596E24">
        <w:rPr>
          <w:rFonts w:ascii="Times New Roman" w:hAnsi="Times New Roman" w:cs="Times New Roman"/>
          <w:u w:val="dotted"/>
        </w:rPr>
        <w:tab/>
      </w:r>
      <w:r>
        <w:rPr>
          <w:rFonts w:ascii="Times New Roman" w:hAnsi="Times New Roman" w:cs="Times New Roman"/>
        </w:rPr>
        <w:t>31</w:t>
      </w:r>
      <w:r w:rsidR="0086778E" w:rsidRPr="00596E24">
        <w:rPr>
          <w:rFonts w:ascii="Times New Roman" w:hAnsi="Times New Roman" w:cs="Times New Roman"/>
        </w:rPr>
        <w:tab/>
      </w:r>
    </w:p>
    <w:p w14:paraId="5521EF48" w14:textId="77777777" w:rsidR="0086778E" w:rsidRPr="00596E24" w:rsidRDefault="0086778E" w:rsidP="0086778E">
      <w:pPr>
        <w:pStyle w:val="Default"/>
        <w:tabs>
          <w:tab w:val="right" w:pos="8190"/>
        </w:tabs>
        <w:spacing w:after="60"/>
        <w:rPr>
          <w:rFonts w:asciiTheme="minorHAnsi" w:hAnsiTheme="minorHAnsi" w:cs="Times New Roman"/>
        </w:rPr>
      </w:pPr>
    </w:p>
    <w:p w14:paraId="5521EF49"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Appendix Summary</w:t>
      </w:r>
    </w:p>
    <w:p w14:paraId="5521EF4A"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Appendix A: 201</w:t>
      </w:r>
      <w:r w:rsidR="008B4F20">
        <w:rPr>
          <w:rFonts w:ascii="Times New Roman" w:hAnsi="Times New Roman" w:cs="Times New Roman"/>
        </w:rPr>
        <w:t>7</w:t>
      </w:r>
      <w:r w:rsidRPr="00596E24">
        <w:rPr>
          <w:rFonts w:ascii="Times New Roman" w:hAnsi="Times New Roman" w:cs="Times New Roman"/>
        </w:rPr>
        <w:t xml:space="preserve"> Program Plans</w:t>
      </w:r>
      <w:r w:rsidR="00316D2E">
        <w:rPr>
          <w:rFonts w:ascii="Times New Roman" w:hAnsi="Times New Roman" w:cs="Times New Roman"/>
        </w:rPr>
        <w:t xml:space="preserve"> </w:t>
      </w:r>
    </w:p>
    <w:p w14:paraId="5521EF4B"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Appendix B: 201</w:t>
      </w:r>
      <w:r w:rsidR="008B4F20">
        <w:rPr>
          <w:rFonts w:ascii="Times New Roman" w:hAnsi="Times New Roman" w:cs="Times New Roman"/>
        </w:rPr>
        <w:t>7</w:t>
      </w:r>
      <w:r w:rsidRPr="00596E24">
        <w:rPr>
          <w:rFonts w:ascii="Times New Roman" w:hAnsi="Times New Roman" w:cs="Times New Roman"/>
        </w:rPr>
        <w:t xml:space="preserve"> Evaluation, Measurement and Verification Plan</w:t>
      </w:r>
      <w:r w:rsidRPr="00596E24">
        <w:rPr>
          <w:rFonts w:ascii="Times New Roman" w:hAnsi="Times New Roman" w:cs="Times New Roman"/>
        </w:rPr>
        <w:tab/>
      </w:r>
    </w:p>
    <w:p w14:paraId="5521EF4C"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Appendix C: Summarization of Cost-Effectiveness Methodology</w:t>
      </w:r>
      <w:r w:rsidRPr="00596E24">
        <w:rPr>
          <w:rFonts w:ascii="Times New Roman" w:hAnsi="Times New Roman" w:cs="Times New Roman"/>
        </w:rPr>
        <w:tab/>
      </w:r>
    </w:p>
    <w:p w14:paraId="5521EF4D" w14:textId="77777777" w:rsidR="0086778E" w:rsidRPr="00596E24" w:rsidRDefault="0086778E" w:rsidP="0086778E">
      <w:pPr>
        <w:pStyle w:val="Default"/>
        <w:tabs>
          <w:tab w:val="right" w:pos="8190"/>
        </w:tabs>
        <w:spacing w:after="60"/>
        <w:rPr>
          <w:rFonts w:ascii="Times New Roman" w:hAnsi="Times New Roman" w:cs="Times New Roman"/>
        </w:rPr>
      </w:pPr>
      <w:r w:rsidRPr="00596E24">
        <w:rPr>
          <w:rFonts w:ascii="Times New Roman" w:hAnsi="Times New Roman" w:cs="Times New Roman"/>
        </w:rPr>
        <w:t>Appendix D: Quick Reference Guide to Commonly Used Terms</w:t>
      </w:r>
      <w:r w:rsidRPr="00596E24">
        <w:rPr>
          <w:rFonts w:ascii="Times New Roman" w:hAnsi="Times New Roman" w:cs="Times New Roman"/>
        </w:rPr>
        <w:tab/>
      </w:r>
    </w:p>
    <w:p w14:paraId="5521EF4E" w14:textId="77777777" w:rsidR="004C4204" w:rsidRDefault="0086778E" w:rsidP="004C4204">
      <w:pPr>
        <w:pStyle w:val="Default"/>
        <w:tabs>
          <w:tab w:val="right" w:pos="8190"/>
        </w:tabs>
        <w:spacing w:after="60"/>
        <w:rPr>
          <w:rFonts w:ascii="Times New Roman" w:hAnsi="Times New Roman" w:cs="Times New Roman"/>
        </w:rPr>
      </w:pPr>
      <w:r w:rsidRPr="00316D2E">
        <w:rPr>
          <w:rFonts w:ascii="Times New Roman" w:hAnsi="Times New Roman" w:cs="Times New Roman"/>
        </w:rPr>
        <w:t xml:space="preserve">Appendix E: </w:t>
      </w:r>
      <w:r w:rsidR="003C36D5">
        <w:rPr>
          <w:rFonts w:ascii="Times New Roman" w:hAnsi="Times New Roman" w:cs="Times New Roman"/>
        </w:rPr>
        <w:t>Schedule 90 and 190, Washington and Idaho</w:t>
      </w:r>
      <w:r w:rsidR="00316D2E">
        <w:rPr>
          <w:rFonts w:ascii="Times New Roman" w:hAnsi="Times New Roman" w:cs="Times New Roman"/>
        </w:rPr>
        <w:t xml:space="preserve"> </w:t>
      </w:r>
    </w:p>
    <w:p w14:paraId="5521EF4F" w14:textId="77777777" w:rsidR="00161457" w:rsidRDefault="004C4204" w:rsidP="00161457">
      <w:pPr>
        <w:pStyle w:val="Default"/>
        <w:tabs>
          <w:tab w:val="right" w:pos="8190"/>
        </w:tabs>
        <w:spacing w:after="60"/>
        <w:rPr>
          <w:rFonts w:ascii="Times New Roman" w:hAnsi="Times New Roman" w:cs="Times New Roman"/>
        </w:rPr>
      </w:pPr>
      <w:r w:rsidRPr="004C4204">
        <w:rPr>
          <w:rFonts w:ascii="Times New Roman" w:hAnsi="Times New Roman" w:cs="Times New Roman"/>
        </w:rPr>
        <w:t>Appendix F: Program Summary</w:t>
      </w:r>
    </w:p>
    <w:p w14:paraId="5521EF50" w14:textId="77777777" w:rsidR="00161457" w:rsidRDefault="00161457" w:rsidP="00161457">
      <w:pPr>
        <w:pStyle w:val="Default"/>
        <w:tabs>
          <w:tab w:val="right" w:pos="8190"/>
        </w:tabs>
        <w:spacing w:after="60"/>
        <w:rPr>
          <w:rFonts w:ascii="Times New Roman" w:hAnsi="Times New Roman" w:cs="Times New Roman"/>
        </w:rPr>
      </w:pPr>
      <w:r w:rsidRPr="00161457">
        <w:rPr>
          <w:rFonts w:ascii="Times New Roman" w:hAnsi="Times New Roman" w:cs="Times New Roman"/>
        </w:rPr>
        <w:t>Appendix G: Program Updates</w:t>
      </w:r>
    </w:p>
    <w:p w14:paraId="5521EF51" w14:textId="77777777" w:rsidR="0067517A" w:rsidRPr="00161457" w:rsidRDefault="0067517A" w:rsidP="00161457">
      <w:pPr>
        <w:pStyle w:val="Default"/>
        <w:tabs>
          <w:tab w:val="right" w:pos="8190"/>
        </w:tabs>
        <w:spacing w:after="60"/>
        <w:rPr>
          <w:rFonts w:ascii="Times New Roman" w:hAnsi="Times New Roman" w:cs="Times New Roman"/>
        </w:rPr>
      </w:pPr>
      <w:r>
        <w:rPr>
          <w:rFonts w:ascii="Times New Roman" w:hAnsi="Times New Roman" w:cs="Times New Roman"/>
        </w:rPr>
        <w:t>Appendix H: 2014-2015 Process and Impact Evaluation Recommendations and Statuses</w:t>
      </w:r>
    </w:p>
    <w:p w14:paraId="5521EF52" w14:textId="77777777" w:rsidR="004D6D9B" w:rsidRPr="00CB4102" w:rsidRDefault="004D6D9B" w:rsidP="00CB4102">
      <w:pPr>
        <w:rPr>
          <w:rFonts w:cs="Times New Roman"/>
        </w:rPr>
      </w:pPr>
      <w:r w:rsidRPr="00CB4102">
        <w:rPr>
          <w:rFonts w:cs="Times New Roman"/>
        </w:rPr>
        <w:br w:type="page"/>
      </w:r>
    </w:p>
    <w:p w14:paraId="5521EF53" w14:textId="77777777" w:rsidR="00B13203" w:rsidRPr="00596E24" w:rsidRDefault="00EA2CEB" w:rsidP="00596E24">
      <w:pPr>
        <w:pStyle w:val="ListParagraph"/>
        <w:numPr>
          <w:ilvl w:val="0"/>
          <w:numId w:val="2"/>
        </w:numPr>
        <w:ind w:left="0" w:firstLine="0"/>
        <w:jc w:val="center"/>
        <w:rPr>
          <w:rFonts w:ascii="Times New Roman" w:hAnsi="Times New Roman" w:cs="Times New Roman"/>
          <w:b/>
          <w:sz w:val="24"/>
          <w:szCs w:val="24"/>
          <w:u w:val="single"/>
        </w:rPr>
      </w:pPr>
      <w:r w:rsidRPr="00596E24">
        <w:rPr>
          <w:rFonts w:ascii="Times New Roman" w:hAnsi="Times New Roman" w:cs="Times New Roman"/>
          <w:b/>
          <w:sz w:val="24"/>
          <w:szCs w:val="24"/>
          <w:u w:val="single"/>
        </w:rPr>
        <w:lastRenderedPageBreak/>
        <w:t>EXECUTIVE SUMMARY</w:t>
      </w:r>
    </w:p>
    <w:p w14:paraId="5521EF54" w14:textId="77777777" w:rsidR="00C96214" w:rsidRDefault="00EA2CEB" w:rsidP="00B17B6F">
      <w:pPr>
        <w:pStyle w:val="Default"/>
        <w:spacing w:line="360" w:lineRule="auto"/>
        <w:ind w:firstLine="720"/>
        <w:jc w:val="both"/>
        <w:rPr>
          <w:rFonts w:ascii="Times New Roman" w:hAnsi="Times New Roman" w:cs="Times New Roman"/>
        </w:rPr>
      </w:pPr>
      <w:r>
        <w:rPr>
          <w:rFonts w:ascii="Times New Roman" w:hAnsi="Times New Roman" w:cs="Times New Roman"/>
        </w:rPr>
        <w:t>Avista Utilities’ (Avista or the Company)</w:t>
      </w:r>
      <w:r w:rsidR="00B17B6F">
        <w:rPr>
          <w:rFonts w:ascii="Times New Roman" w:hAnsi="Times New Roman" w:cs="Times New Roman"/>
        </w:rPr>
        <w:t xml:space="preserve"> annual conservation plan (ACR or </w:t>
      </w:r>
      <w:r>
        <w:rPr>
          <w:rFonts w:ascii="Times New Roman" w:hAnsi="Times New Roman" w:cs="Times New Roman"/>
        </w:rPr>
        <w:t xml:space="preserve">the </w:t>
      </w:r>
      <w:r w:rsidR="00B17B6F">
        <w:rPr>
          <w:rFonts w:ascii="Times New Roman" w:hAnsi="Times New Roman" w:cs="Times New Roman"/>
        </w:rPr>
        <w:t>Plan) is provided c</w:t>
      </w:r>
      <w:r w:rsidR="00C96214" w:rsidRPr="00596E24">
        <w:rPr>
          <w:rFonts w:ascii="Times New Roman" w:hAnsi="Times New Roman" w:cs="Times New Roman"/>
        </w:rPr>
        <w:t>o</w:t>
      </w:r>
      <w:r w:rsidR="00760767" w:rsidRPr="00596E24">
        <w:rPr>
          <w:rFonts w:ascii="Times New Roman" w:hAnsi="Times New Roman" w:cs="Times New Roman"/>
        </w:rPr>
        <w:t>nsistent with RCW 19.285.040(1)</w:t>
      </w:r>
      <w:r w:rsidR="00B17B6F">
        <w:rPr>
          <w:rFonts w:ascii="Times New Roman" w:hAnsi="Times New Roman" w:cs="Times New Roman"/>
        </w:rPr>
        <w:t>, WAC 480-109-120(2)</w:t>
      </w:r>
      <w:r w:rsidR="005A1CFB">
        <w:rPr>
          <w:rStyle w:val="FootnoteReference"/>
          <w:rFonts w:ascii="Times New Roman" w:hAnsi="Times New Roman" w:cs="Times New Roman"/>
        </w:rPr>
        <w:footnoteReference w:id="1"/>
      </w:r>
      <w:r w:rsidR="00760767" w:rsidRPr="00596E24">
        <w:rPr>
          <w:rFonts w:ascii="Times New Roman" w:hAnsi="Times New Roman" w:cs="Times New Roman"/>
        </w:rPr>
        <w:t xml:space="preserve"> </w:t>
      </w:r>
      <w:r w:rsidR="00C96214" w:rsidRPr="00596E24">
        <w:rPr>
          <w:rFonts w:ascii="Times New Roman" w:hAnsi="Times New Roman" w:cs="Times New Roman"/>
        </w:rPr>
        <w:t>and requirements outlined in Commission Order</w:t>
      </w:r>
      <w:r w:rsidR="00760767" w:rsidRPr="00596E24">
        <w:rPr>
          <w:rFonts w:ascii="Times New Roman" w:hAnsi="Times New Roman" w:cs="Times New Roman"/>
        </w:rPr>
        <w:t xml:space="preserve"> No. 01 in Docket No. UE-</w:t>
      </w:r>
      <w:r w:rsidR="006E30B0">
        <w:rPr>
          <w:rFonts w:ascii="Times New Roman" w:hAnsi="Times New Roman" w:cs="Times New Roman"/>
        </w:rPr>
        <w:t>152076</w:t>
      </w:r>
      <w:r w:rsidR="006E30B0" w:rsidRPr="00596E24">
        <w:rPr>
          <w:rFonts w:ascii="Times New Roman" w:hAnsi="Times New Roman" w:cs="Times New Roman"/>
        </w:rPr>
        <w:t xml:space="preserve"> </w:t>
      </w:r>
      <w:r w:rsidR="00C96214" w:rsidRPr="00596E24">
        <w:rPr>
          <w:rFonts w:ascii="Times New Roman" w:hAnsi="Times New Roman" w:cs="Times New Roman"/>
        </w:rPr>
        <w:t xml:space="preserve">approving Avista’s </w:t>
      </w:r>
      <w:r w:rsidR="006E30B0" w:rsidRPr="00596E24">
        <w:rPr>
          <w:rFonts w:ascii="Times New Roman" w:hAnsi="Times New Roman" w:cs="Times New Roman"/>
        </w:rPr>
        <w:t>201</w:t>
      </w:r>
      <w:r w:rsidR="006E30B0">
        <w:rPr>
          <w:rFonts w:ascii="Times New Roman" w:hAnsi="Times New Roman" w:cs="Times New Roman"/>
        </w:rPr>
        <w:t>6</w:t>
      </w:r>
      <w:r w:rsidR="00C96214" w:rsidRPr="00596E24">
        <w:rPr>
          <w:rFonts w:ascii="Times New Roman" w:hAnsi="Times New Roman" w:cs="Times New Roman"/>
        </w:rPr>
        <w:t>-201</w:t>
      </w:r>
      <w:r w:rsidR="006E30B0">
        <w:rPr>
          <w:rFonts w:ascii="Times New Roman" w:hAnsi="Times New Roman" w:cs="Times New Roman"/>
        </w:rPr>
        <w:t>7</w:t>
      </w:r>
      <w:r w:rsidR="00C96214" w:rsidRPr="00596E24">
        <w:rPr>
          <w:rFonts w:ascii="Times New Roman" w:hAnsi="Times New Roman" w:cs="Times New Roman"/>
        </w:rPr>
        <w:t xml:space="preserve"> Biennial Co</w:t>
      </w:r>
      <w:r w:rsidR="00760767" w:rsidRPr="00596E24">
        <w:rPr>
          <w:rFonts w:ascii="Times New Roman" w:hAnsi="Times New Roman" w:cs="Times New Roman"/>
        </w:rPr>
        <w:t>nservation Plan with conditions</w:t>
      </w:r>
      <w:r w:rsidR="00C96214" w:rsidRPr="00596E24">
        <w:rPr>
          <w:rFonts w:ascii="Times New Roman" w:hAnsi="Times New Roman" w:cs="Times New Roman"/>
        </w:rPr>
        <w:t xml:space="preserve">. </w:t>
      </w:r>
    </w:p>
    <w:p w14:paraId="5521EF55" w14:textId="77777777" w:rsidR="00820FE2" w:rsidRDefault="00820FE2" w:rsidP="00B17B6F">
      <w:pPr>
        <w:pStyle w:val="Default"/>
        <w:spacing w:line="360" w:lineRule="auto"/>
        <w:ind w:firstLine="720"/>
        <w:jc w:val="both"/>
        <w:rPr>
          <w:rFonts w:ascii="Times New Roman" w:hAnsi="Times New Roman" w:cs="Times New Roman"/>
        </w:rPr>
      </w:pPr>
    </w:p>
    <w:p w14:paraId="5521EF56" w14:textId="77777777" w:rsidR="00B17B6F" w:rsidRDefault="00FE1CAA" w:rsidP="00B17B6F">
      <w:pPr>
        <w:spacing w:after="0" w:line="360" w:lineRule="auto"/>
        <w:ind w:firstLine="720"/>
        <w:jc w:val="both"/>
        <w:rPr>
          <w:rFonts w:ascii="Times New Roman" w:hAnsi="Times New Roman" w:cs="Times New Roman"/>
          <w:sz w:val="24"/>
          <w:szCs w:val="24"/>
        </w:rPr>
      </w:pPr>
      <w:r w:rsidRPr="00B17B6F">
        <w:rPr>
          <w:rFonts w:ascii="Times New Roman" w:hAnsi="Times New Roman" w:cs="Times New Roman"/>
          <w:sz w:val="24"/>
          <w:szCs w:val="24"/>
        </w:rPr>
        <w:t xml:space="preserve"> </w:t>
      </w:r>
      <w:r w:rsidR="0005245F">
        <w:rPr>
          <w:rFonts w:ascii="Times New Roman" w:hAnsi="Times New Roman" w:cs="Times New Roman"/>
          <w:sz w:val="24"/>
          <w:szCs w:val="24"/>
        </w:rPr>
        <w:t xml:space="preserve">Avista chose </w:t>
      </w:r>
      <w:r w:rsidR="0005245F" w:rsidRPr="0005245F">
        <w:rPr>
          <w:rFonts w:ascii="Times New Roman" w:hAnsi="Times New Roman" w:cs="Times New Roman"/>
          <w:sz w:val="24"/>
          <w:szCs w:val="24"/>
        </w:rPr>
        <w:t>to use its 2015 Electric IRP centered on its CPA, as the basis for its 2016-2017 biennial acquisition target</w:t>
      </w:r>
      <w:r w:rsidR="0005245F" w:rsidRPr="0005245F">
        <w:rPr>
          <w:rStyle w:val="FootnoteReference"/>
          <w:rFonts w:ascii="Times New Roman" w:hAnsi="Times New Roman" w:cs="Times New Roman"/>
          <w:sz w:val="24"/>
          <w:szCs w:val="24"/>
        </w:rPr>
        <w:footnoteReference w:id="2"/>
      </w:r>
      <w:r w:rsidR="0005245F" w:rsidRPr="0005245F">
        <w:rPr>
          <w:rFonts w:ascii="Times New Roman" w:hAnsi="Times New Roman" w:cs="Times New Roman"/>
          <w:sz w:val="24"/>
          <w:szCs w:val="24"/>
        </w:rPr>
        <w:t>. Avista intends to acquire</w:t>
      </w:r>
      <w:r w:rsidR="00A42575">
        <w:rPr>
          <w:rFonts w:ascii="Times New Roman" w:hAnsi="Times New Roman" w:cs="Times New Roman"/>
          <w:sz w:val="24"/>
          <w:szCs w:val="24"/>
        </w:rPr>
        <w:t xml:space="preserve"> </w:t>
      </w:r>
      <w:r w:rsidR="00A9493A">
        <w:rPr>
          <w:rFonts w:ascii="Times New Roman" w:hAnsi="Times New Roman" w:cs="Times New Roman"/>
          <w:sz w:val="24"/>
          <w:szCs w:val="24"/>
        </w:rPr>
        <w:t>76,257</w:t>
      </w:r>
      <w:r w:rsidR="0005245F" w:rsidRPr="0005245F">
        <w:rPr>
          <w:rFonts w:ascii="Times New Roman" w:hAnsi="Times New Roman" w:cs="Times New Roman"/>
          <w:sz w:val="24"/>
          <w:szCs w:val="24"/>
        </w:rPr>
        <w:t xml:space="preserve"> MWh of qualifying energy efficiency, which is the pro rata share of the ten-year conservation potential</w:t>
      </w:r>
      <w:r w:rsidR="0005245F" w:rsidRPr="0005245F">
        <w:rPr>
          <w:rStyle w:val="FootnoteReference"/>
          <w:rFonts w:ascii="Times New Roman" w:hAnsi="Times New Roman" w:cs="Times New Roman"/>
          <w:sz w:val="24"/>
          <w:szCs w:val="24"/>
        </w:rPr>
        <w:footnoteReference w:id="3"/>
      </w:r>
      <w:r w:rsidR="0005245F" w:rsidRPr="0005245F">
        <w:rPr>
          <w:rFonts w:ascii="Times New Roman" w:hAnsi="Times New Roman" w:cs="Times New Roman"/>
          <w:sz w:val="24"/>
          <w:szCs w:val="24"/>
        </w:rPr>
        <w:t xml:space="preserve">, during the 2016-2017 biennium in order to fulfill the I-937 and decoupling requirements. Over a ten-year horizon (2016 through 2025), the Company’s CPA </w:t>
      </w:r>
      <w:r w:rsidR="0005245F">
        <w:rPr>
          <w:rFonts w:ascii="Times New Roman" w:hAnsi="Times New Roman" w:cs="Times New Roman"/>
          <w:sz w:val="24"/>
          <w:szCs w:val="24"/>
        </w:rPr>
        <w:t>anticipated</w:t>
      </w:r>
      <w:r w:rsidR="0005245F" w:rsidRPr="0005245F">
        <w:rPr>
          <w:rFonts w:ascii="Times New Roman" w:hAnsi="Times New Roman" w:cs="Times New Roman"/>
          <w:sz w:val="24"/>
          <w:szCs w:val="24"/>
        </w:rPr>
        <w:t xml:space="preserve"> the acquisition of 391,000 MWh. While the pro rata share of the ten year achievable potential is defined as 20%, the result is a savings target of approximately 56% greater than the conservation defined as achievable in both the CPA and the Company’s IRP for the 2016-2017 biennium. </w:t>
      </w:r>
    </w:p>
    <w:p w14:paraId="5521EF57" w14:textId="77777777" w:rsidR="00820FE2" w:rsidRDefault="00820FE2" w:rsidP="00B17B6F">
      <w:pPr>
        <w:spacing w:after="0" w:line="360" w:lineRule="auto"/>
        <w:ind w:firstLine="720"/>
        <w:jc w:val="both"/>
        <w:rPr>
          <w:rFonts w:ascii="Times New Roman" w:hAnsi="Times New Roman" w:cs="Times New Roman"/>
          <w:sz w:val="24"/>
          <w:szCs w:val="24"/>
        </w:rPr>
      </w:pPr>
    </w:p>
    <w:p w14:paraId="5521EF58" w14:textId="77777777" w:rsidR="0005245F" w:rsidRDefault="00EA2CEB" w:rsidP="00B17B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A42575">
        <w:rPr>
          <w:rFonts w:ascii="Times New Roman" w:hAnsi="Times New Roman" w:cs="Times New Roman"/>
          <w:sz w:val="24"/>
          <w:szCs w:val="24"/>
        </w:rPr>
        <w:t>he</w:t>
      </w:r>
      <w:r w:rsidR="00A42575" w:rsidRPr="00596E24">
        <w:rPr>
          <w:rFonts w:ascii="Times New Roman" w:hAnsi="Times New Roman" w:cs="Times New Roman"/>
          <w:sz w:val="24"/>
          <w:szCs w:val="24"/>
        </w:rPr>
        <w:t xml:space="preserve"> 201</w:t>
      </w:r>
      <w:r w:rsidR="00A42575">
        <w:rPr>
          <w:rFonts w:ascii="Times New Roman" w:hAnsi="Times New Roman" w:cs="Times New Roman"/>
          <w:sz w:val="24"/>
          <w:szCs w:val="24"/>
        </w:rPr>
        <w:t>7</w:t>
      </w:r>
      <w:r w:rsidR="00A42575" w:rsidRPr="00596E24">
        <w:rPr>
          <w:rFonts w:ascii="Times New Roman" w:hAnsi="Times New Roman" w:cs="Times New Roman"/>
          <w:sz w:val="24"/>
          <w:szCs w:val="24"/>
        </w:rPr>
        <w:t xml:space="preserve"> </w:t>
      </w:r>
      <w:r>
        <w:rPr>
          <w:rFonts w:ascii="Times New Roman" w:hAnsi="Times New Roman" w:cs="Times New Roman"/>
          <w:sz w:val="24"/>
          <w:szCs w:val="24"/>
        </w:rPr>
        <w:t>Plan represents program modifications the Company is putting in place in order to achieve its</w:t>
      </w:r>
      <w:r w:rsidR="00A42575" w:rsidRPr="00596E24">
        <w:rPr>
          <w:rFonts w:ascii="Times New Roman" w:hAnsi="Times New Roman" w:cs="Times New Roman"/>
          <w:sz w:val="24"/>
          <w:szCs w:val="24"/>
        </w:rPr>
        <w:t xml:space="preserve"> </w:t>
      </w:r>
      <w:r>
        <w:rPr>
          <w:rFonts w:ascii="Times New Roman" w:hAnsi="Times New Roman" w:cs="Times New Roman"/>
          <w:sz w:val="24"/>
          <w:szCs w:val="24"/>
        </w:rPr>
        <w:t>expected eligible acquisition savings of</w:t>
      </w:r>
      <w:r w:rsidR="00A42575" w:rsidRPr="00596E24">
        <w:rPr>
          <w:rFonts w:ascii="Times New Roman" w:hAnsi="Times New Roman" w:cs="Times New Roman"/>
          <w:sz w:val="24"/>
          <w:szCs w:val="24"/>
        </w:rPr>
        <w:t xml:space="preserve"> </w:t>
      </w:r>
      <w:r w:rsidR="00A42575">
        <w:rPr>
          <w:rFonts w:ascii="Times New Roman" w:hAnsi="Times New Roman" w:cs="Times New Roman"/>
          <w:sz w:val="24"/>
          <w:szCs w:val="24"/>
        </w:rPr>
        <w:t>33,</w:t>
      </w:r>
      <w:r w:rsidR="00274430">
        <w:rPr>
          <w:rFonts w:ascii="Times New Roman" w:hAnsi="Times New Roman" w:cs="Times New Roman"/>
          <w:sz w:val="24"/>
          <w:szCs w:val="24"/>
        </w:rPr>
        <w:t xml:space="preserve">124 </w:t>
      </w:r>
      <w:r>
        <w:rPr>
          <w:rFonts w:ascii="Times New Roman" w:hAnsi="Times New Roman" w:cs="Times New Roman"/>
          <w:sz w:val="24"/>
          <w:szCs w:val="24"/>
        </w:rPr>
        <w:t>Megawatt-hours (</w:t>
      </w:r>
      <w:r w:rsidR="00A42575">
        <w:rPr>
          <w:rFonts w:ascii="Times New Roman" w:hAnsi="Times New Roman" w:cs="Times New Roman"/>
          <w:sz w:val="24"/>
          <w:szCs w:val="24"/>
        </w:rPr>
        <w:t>M</w:t>
      </w:r>
      <w:r w:rsidR="00A42575" w:rsidRPr="00596E24">
        <w:rPr>
          <w:rFonts w:ascii="Times New Roman" w:hAnsi="Times New Roman" w:cs="Times New Roman"/>
          <w:sz w:val="24"/>
          <w:szCs w:val="24"/>
        </w:rPr>
        <w:t>Wh</w:t>
      </w:r>
      <w:r>
        <w:rPr>
          <w:rFonts w:ascii="Times New Roman" w:hAnsi="Times New Roman" w:cs="Times New Roman"/>
          <w:sz w:val="24"/>
          <w:szCs w:val="24"/>
        </w:rPr>
        <w:t>)</w:t>
      </w:r>
      <w:r w:rsidR="00A42575" w:rsidRPr="00596E24">
        <w:rPr>
          <w:rFonts w:ascii="Times New Roman" w:hAnsi="Times New Roman" w:cs="Times New Roman"/>
          <w:sz w:val="24"/>
          <w:szCs w:val="24"/>
        </w:rPr>
        <w:t>.</w:t>
      </w:r>
      <w:r w:rsidR="0005245F">
        <w:rPr>
          <w:rFonts w:ascii="Times New Roman" w:hAnsi="Times New Roman" w:cs="Times New Roman"/>
          <w:sz w:val="24"/>
          <w:szCs w:val="24"/>
        </w:rPr>
        <w:t xml:space="preserve"> </w:t>
      </w:r>
      <w:r>
        <w:rPr>
          <w:rFonts w:ascii="Times New Roman" w:hAnsi="Times New Roman" w:cs="Times New Roman"/>
          <w:sz w:val="24"/>
          <w:szCs w:val="24"/>
        </w:rPr>
        <w:t>Avista has planned expenses of</w:t>
      </w:r>
      <w:r w:rsidR="00A42575" w:rsidRPr="00596E24">
        <w:rPr>
          <w:rFonts w:ascii="Times New Roman" w:hAnsi="Times New Roman" w:cs="Times New Roman"/>
          <w:sz w:val="24"/>
          <w:szCs w:val="24"/>
        </w:rPr>
        <w:t xml:space="preserve"> $</w:t>
      </w:r>
      <w:r w:rsidR="00AC4BC0">
        <w:rPr>
          <w:rFonts w:ascii="Times New Roman" w:hAnsi="Times New Roman" w:cs="Times New Roman"/>
          <w:sz w:val="24"/>
          <w:szCs w:val="24"/>
        </w:rPr>
        <w:t>2.7</w:t>
      </w:r>
      <w:r w:rsidR="00A42575" w:rsidRPr="00596E24">
        <w:rPr>
          <w:rFonts w:ascii="Times New Roman" w:hAnsi="Times New Roman" w:cs="Times New Roman"/>
          <w:sz w:val="24"/>
          <w:szCs w:val="24"/>
        </w:rPr>
        <w:t xml:space="preserve"> million of fully loaded labor funding </w:t>
      </w:r>
      <w:r w:rsidR="00A42575">
        <w:rPr>
          <w:rFonts w:ascii="Times New Roman" w:hAnsi="Times New Roman" w:cs="Times New Roman"/>
          <w:sz w:val="24"/>
          <w:szCs w:val="24"/>
        </w:rPr>
        <w:t xml:space="preserve">across electric and </w:t>
      </w:r>
      <w:r>
        <w:rPr>
          <w:rFonts w:ascii="Times New Roman" w:hAnsi="Times New Roman" w:cs="Times New Roman"/>
          <w:sz w:val="24"/>
          <w:szCs w:val="24"/>
        </w:rPr>
        <w:t xml:space="preserve">natural </w:t>
      </w:r>
      <w:r w:rsidR="00A42575">
        <w:rPr>
          <w:rFonts w:ascii="Times New Roman" w:hAnsi="Times New Roman" w:cs="Times New Roman"/>
          <w:sz w:val="24"/>
          <w:szCs w:val="24"/>
        </w:rPr>
        <w:t>gas programs in Washington</w:t>
      </w:r>
      <w:r w:rsidR="00A42575" w:rsidRPr="00596E24">
        <w:rPr>
          <w:rFonts w:ascii="Times New Roman" w:hAnsi="Times New Roman" w:cs="Times New Roman"/>
          <w:sz w:val="24"/>
          <w:szCs w:val="24"/>
        </w:rPr>
        <w:t xml:space="preserve">, a </w:t>
      </w:r>
      <w:r w:rsidR="00A42575">
        <w:rPr>
          <w:rFonts w:ascii="Times New Roman" w:hAnsi="Times New Roman" w:cs="Times New Roman"/>
          <w:sz w:val="24"/>
          <w:szCs w:val="24"/>
        </w:rPr>
        <w:t>13</w:t>
      </w:r>
      <w:r w:rsidR="00A42575" w:rsidRPr="00596E24">
        <w:rPr>
          <w:rFonts w:ascii="Times New Roman" w:hAnsi="Times New Roman" w:cs="Times New Roman"/>
          <w:sz w:val="24"/>
          <w:szCs w:val="24"/>
        </w:rPr>
        <w:t>% increase from the 201</w:t>
      </w:r>
      <w:r w:rsidR="00A42575">
        <w:rPr>
          <w:rFonts w:ascii="Times New Roman" w:hAnsi="Times New Roman" w:cs="Times New Roman"/>
          <w:sz w:val="24"/>
          <w:szCs w:val="24"/>
        </w:rPr>
        <w:t>6</w:t>
      </w:r>
      <w:r w:rsidR="00A42575" w:rsidRPr="00596E24">
        <w:rPr>
          <w:rFonts w:ascii="Times New Roman" w:hAnsi="Times New Roman" w:cs="Times New Roman"/>
          <w:sz w:val="24"/>
          <w:szCs w:val="24"/>
        </w:rPr>
        <w:t xml:space="preserve"> budget.  </w:t>
      </w:r>
      <w:r w:rsidR="00A42575">
        <w:rPr>
          <w:rFonts w:ascii="Times New Roman" w:hAnsi="Times New Roman" w:cs="Times New Roman"/>
          <w:sz w:val="24"/>
          <w:szCs w:val="24"/>
        </w:rPr>
        <w:t>The primary drivers of the increase are: higher percentage of time from account executive labor dedicated to energy efficiency related activities, an additional analyst in the group, salary adjustments and an increase in the estimated labor loadings. The proportion of total utility expenditures returned to customers in the form of direct incentives is 61%.</w:t>
      </w:r>
      <w:r w:rsidR="00274430">
        <w:rPr>
          <w:rFonts w:ascii="Times New Roman" w:hAnsi="Times New Roman" w:cs="Times New Roman"/>
          <w:sz w:val="24"/>
          <w:szCs w:val="24"/>
        </w:rPr>
        <w:t xml:space="preserve"> </w:t>
      </w:r>
      <w:r w:rsidR="00366C8F">
        <w:rPr>
          <w:rFonts w:ascii="Times New Roman" w:hAnsi="Times New Roman" w:cs="Times New Roman"/>
          <w:sz w:val="24"/>
          <w:szCs w:val="24"/>
        </w:rPr>
        <w:t>The 33,124 MWh</w:t>
      </w:r>
      <w:r w:rsidR="00274430">
        <w:rPr>
          <w:rFonts w:ascii="Times New Roman" w:hAnsi="Times New Roman" w:cs="Times New Roman"/>
          <w:sz w:val="24"/>
          <w:szCs w:val="24"/>
        </w:rPr>
        <w:t xml:space="preserve"> is a decrease in the forecasted energy savings from local 2016 forecasted acquisition of 47,712 MWh however when adjusting for the full first year savings associated with Residential Behavior Program</w:t>
      </w:r>
      <w:r w:rsidR="00366C8F">
        <w:rPr>
          <w:rFonts w:ascii="Times New Roman" w:hAnsi="Times New Roman" w:cs="Times New Roman"/>
          <w:sz w:val="24"/>
          <w:szCs w:val="24"/>
        </w:rPr>
        <w:t xml:space="preserve"> (13,100 MWh)</w:t>
      </w:r>
      <w:r w:rsidR="00274430">
        <w:rPr>
          <w:rFonts w:ascii="Times New Roman" w:hAnsi="Times New Roman" w:cs="Times New Roman"/>
          <w:sz w:val="24"/>
          <w:szCs w:val="24"/>
        </w:rPr>
        <w:t xml:space="preserve"> </w:t>
      </w:r>
      <w:r w:rsidR="00366C8F">
        <w:rPr>
          <w:rFonts w:ascii="Times New Roman" w:hAnsi="Times New Roman" w:cs="Times New Roman"/>
          <w:sz w:val="24"/>
          <w:szCs w:val="24"/>
        </w:rPr>
        <w:t xml:space="preserve">the year over year </w:t>
      </w:r>
      <w:r w:rsidR="00366C8F">
        <w:rPr>
          <w:rFonts w:ascii="Times New Roman" w:hAnsi="Times New Roman" w:cs="Times New Roman"/>
          <w:sz w:val="24"/>
          <w:szCs w:val="24"/>
        </w:rPr>
        <w:lastRenderedPageBreak/>
        <w:t>decrease</w:t>
      </w:r>
      <w:r w:rsidR="00CA79B5">
        <w:rPr>
          <w:rFonts w:ascii="Times New Roman" w:hAnsi="Times New Roman" w:cs="Times New Roman"/>
          <w:sz w:val="24"/>
          <w:szCs w:val="24"/>
        </w:rPr>
        <w:t xml:space="preserve"> is</w:t>
      </w:r>
      <w:r w:rsidR="00366C8F">
        <w:rPr>
          <w:rFonts w:ascii="Times New Roman" w:hAnsi="Times New Roman" w:cs="Times New Roman"/>
          <w:sz w:val="24"/>
          <w:szCs w:val="24"/>
        </w:rPr>
        <w:t xml:space="preserve"> 4%. </w:t>
      </w:r>
      <w:r w:rsidR="00CA79B5">
        <w:rPr>
          <w:rFonts w:ascii="Times New Roman" w:hAnsi="Times New Roman" w:cs="Times New Roman"/>
          <w:sz w:val="24"/>
          <w:szCs w:val="24"/>
        </w:rPr>
        <w:t>After the large non-residential capital spending, primarily</w:t>
      </w:r>
      <w:r w:rsidR="00366C8F">
        <w:rPr>
          <w:rFonts w:ascii="Times New Roman" w:hAnsi="Times New Roman" w:cs="Times New Roman"/>
          <w:sz w:val="24"/>
          <w:szCs w:val="24"/>
        </w:rPr>
        <w:t xml:space="preserve"> </w:t>
      </w:r>
      <w:r w:rsidR="00CA79B5">
        <w:rPr>
          <w:rFonts w:ascii="Times New Roman" w:hAnsi="Times New Roman" w:cs="Times New Roman"/>
          <w:sz w:val="24"/>
          <w:szCs w:val="24"/>
        </w:rPr>
        <w:t xml:space="preserve">for </w:t>
      </w:r>
      <w:r w:rsidR="00366C8F">
        <w:rPr>
          <w:rFonts w:ascii="Times New Roman" w:hAnsi="Times New Roman" w:cs="Times New Roman"/>
          <w:sz w:val="24"/>
          <w:szCs w:val="24"/>
        </w:rPr>
        <w:t>non-residential</w:t>
      </w:r>
      <w:r w:rsidR="00CA79B5">
        <w:rPr>
          <w:rFonts w:ascii="Times New Roman" w:hAnsi="Times New Roman" w:cs="Times New Roman"/>
          <w:sz w:val="24"/>
          <w:szCs w:val="24"/>
        </w:rPr>
        <w:t xml:space="preserve"> lighting in 2016, the company is forecasting slightly lower non-residential savings which accounts for the decrease in the forecasts.</w:t>
      </w:r>
    </w:p>
    <w:p w14:paraId="5521EF59" w14:textId="77777777" w:rsidR="00A42575" w:rsidRDefault="00A42575" w:rsidP="00B17B6F">
      <w:pPr>
        <w:spacing w:after="0" w:line="360" w:lineRule="auto"/>
        <w:ind w:firstLine="720"/>
        <w:jc w:val="both"/>
        <w:rPr>
          <w:rFonts w:ascii="Times New Roman" w:hAnsi="Times New Roman" w:cs="Times New Roman"/>
          <w:sz w:val="24"/>
          <w:szCs w:val="24"/>
        </w:rPr>
      </w:pPr>
    </w:p>
    <w:p w14:paraId="5521EF5A" w14:textId="77777777" w:rsidR="00B32BB8" w:rsidRDefault="00B32BB8" w:rsidP="00B32BB8">
      <w:pPr>
        <w:rPr>
          <w:rFonts w:ascii="Times New Roman" w:hAnsi="Times New Roman" w:cs="Times New Roman"/>
          <w:b/>
          <w:sz w:val="24"/>
          <w:szCs w:val="24"/>
          <w:u w:val="single"/>
        </w:rPr>
      </w:pPr>
      <w:r w:rsidRPr="00B32BB8">
        <w:rPr>
          <w:rFonts w:ascii="Times New Roman" w:hAnsi="Times New Roman" w:cs="Times New Roman"/>
          <w:b/>
          <w:sz w:val="24"/>
          <w:szCs w:val="24"/>
          <w:u w:val="single"/>
        </w:rPr>
        <w:t xml:space="preserve">Table 1: </w:t>
      </w:r>
      <w:r w:rsidR="00B95694">
        <w:rPr>
          <w:rFonts w:ascii="Times New Roman" w:hAnsi="Times New Roman" w:cs="Times New Roman"/>
          <w:b/>
          <w:sz w:val="24"/>
          <w:szCs w:val="24"/>
          <w:u w:val="single"/>
        </w:rPr>
        <w:t xml:space="preserve">2017 </w:t>
      </w:r>
      <w:r w:rsidRPr="00B32BB8">
        <w:rPr>
          <w:rFonts w:ascii="Times New Roman" w:hAnsi="Times New Roman" w:cs="Times New Roman"/>
          <w:b/>
          <w:sz w:val="24"/>
          <w:szCs w:val="24"/>
          <w:u w:val="single"/>
        </w:rPr>
        <w:t>Savings and Budget by Sector</w:t>
      </w:r>
      <w:r w:rsidR="00B95694">
        <w:rPr>
          <w:rFonts w:ascii="Times New Roman" w:hAnsi="Times New Roman" w:cs="Times New Roman"/>
          <w:b/>
          <w:sz w:val="24"/>
          <w:szCs w:val="24"/>
          <w:u w:val="single"/>
        </w:rPr>
        <w:t xml:space="preserve"> (w/o NEEA)</w:t>
      </w:r>
      <w:r w:rsidRPr="00B32BB8">
        <w:rPr>
          <w:rFonts w:ascii="Times New Roman" w:hAnsi="Times New Roman" w:cs="Times New Roman"/>
          <w:b/>
          <w:sz w:val="24"/>
          <w:szCs w:val="24"/>
          <w:u w:val="single"/>
        </w:rPr>
        <w:t>:</w:t>
      </w:r>
    </w:p>
    <w:p w14:paraId="5521EF5B" w14:textId="77777777" w:rsidR="00B32BB8" w:rsidRDefault="003D61D1" w:rsidP="00B32BB8">
      <w:pPr>
        <w:jc w:val="center"/>
        <w:rPr>
          <w:rFonts w:ascii="Times New Roman" w:hAnsi="Times New Roman" w:cs="Times New Roman"/>
          <w:b/>
          <w:sz w:val="24"/>
          <w:szCs w:val="24"/>
          <w:u w:val="single"/>
        </w:rPr>
      </w:pPr>
      <w:r w:rsidRPr="00545D64">
        <w:rPr>
          <w:noProof/>
        </w:rPr>
        <w:drawing>
          <wp:inline distT="0" distB="0" distL="0" distR="0" wp14:anchorId="5521F0B5" wp14:editId="5521F0B6">
            <wp:extent cx="3638550" cy="99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990600"/>
                    </a:xfrm>
                    <a:prstGeom prst="rect">
                      <a:avLst/>
                    </a:prstGeom>
                    <a:noFill/>
                    <a:ln>
                      <a:noFill/>
                    </a:ln>
                  </pic:spPr>
                </pic:pic>
              </a:graphicData>
            </a:graphic>
          </wp:inline>
        </w:drawing>
      </w:r>
    </w:p>
    <w:p w14:paraId="5521EF5C" w14:textId="77777777" w:rsidR="00B32BB8" w:rsidRDefault="00B32BB8" w:rsidP="00B32BB8">
      <w:pPr>
        <w:jc w:val="center"/>
        <w:rPr>
          <w:rFonts w:ascii="Times New Roman" w:hAnsi="Times New Roman" w:cs="Times New Roman"/>
          <w:b/>
          <w:sz w:val="24"/>
          <w:szCs w:val="24"/>
          <w:u w:val="single"/>
        </w:rPr>
      </w:pPr>
    </w:p>
    <w:p w14:paraId="5521EF5D" w14:textId="77777777" w:rsidR="003D61D1" w:rsidRPr="00596E24" w:rsidRDefault="003D61D1" w:rsidP="003D61D1">
      <w:pPr>
        <w:rPr>
          <w:rFonts w:ascii="Times New Roman" w:hAnsi="Times New Roman" w:cs="Times New Roman"/>
          <w:b/>
          <w:sz w:val="24"/>
          <w:szCs w:val="24"/>
          <w:u w:val="single"/>
        </w:rPr>
      </w:pPr>
      <w:r w:rsidRPr="00596E24">
        <w:rPr>
          <w:rFonts w:ascii="Times New Roman" w:hAnsi="Times New Roman" w:cs="Times New Roman"/>
          <w:b/>
          <w:sz w:val="24"/>
          <w:szCs w:val="24"/>
          <w:u w:val="single"/>
        </w:rPr>
        <w:t xml:space="preserve">Figure 1: </w:t>
      </w:r>
      <w:r>
        <w:rPr>
          <w:rFonts w:ascii="Times New Roman" w:hAnsi="Times New Roman" w:cs="Times New Roman"/>
          <w:b/>
          <w:sz w:val="24"/>
          <w:szCs w:val="24"/>
          <w:u w:val="single"/>
        </w:rPr>
        <w:t>Portfolio Cost-effectiveness</w:t>
      </w:r>
    </w:p>
    <w:p w14:paraId="5521EF5E" w14:textId="77777777" w:rsidR="00B32BB8" w:rsidRDefault="00B32BB8" w:rsidP="00B32BB8">
      <w:pPr>
        <w:jc w:val="center"/>
        <w:rPr>
          <w:rFonts w:ascii="Times New Roman" w:hAnsi="Times New Roman" w:cs="Times New Roman"/>
          <w:b/>
          <w:sz w:val="24"/>
          <w:szCs w:val="24"/>
          <w:u w:val="single"/>
        </w:rPr>
      </w:pPr>
    </w:p>
    <w:p w14:paraId="5521EF5F" w14:textId="77777777" w:rsidR="00B32BB8" w:rsidRDefault="003D61D1" w:rsidP="00B32BB8">
      <w:pPr>
        <w:jc w:val="center"/>
        <w:rPr>
          <w:rFonts w:ascii="Times New Roman" w:hAnsi="Times New Roman" w:cs="Times New Roman"/>
          <w:b/>
          <w:sz w:val="24"/>
          <w:szCs w:val="24"/>
          <w:u w:val="single"/>
        </w:rPr>
      </w:pPr>
      <w:r>
        <w:rPr>
          <w:noProof/>
        </w:rPr>
        <w:drawing>
          <wp:inline distT="0" distB="0" distL="0" distR="0" wp14:anchorId="5521F0B7" wp14:editId="5521F0B8">
            <wp:extent cx="4572000" cy="27622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21EF60" w14:textId="77777777" w:rsidR="00D239D6" w:rsidRDefault="00D239D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521EF61" w14:textId="77777777" w:rsidR="00DC62A3" w:rsidRPr="0034673F" w:rsidRDefault="00A15608" w:rsidP="00596E24">
      <w:pPr>
        <w:pStyle w:val="ListParagraph"/>
        <w:numPr>
          <w:ilvl w:val="0"/>
          <w:numId w:val="2"/>
        </w:numPr>
        <w:ind w:left="0" w:firstLine="0"/>
        <w:jc w:val="center"/>
        <w:rPr>
          <w:rFonts w:ascii="Times New Roman" w:hAnsi="Times New Roman" w:cs="Times New Roman"/>
          <w:b/>
          <w:sz w:val="24"/>
          <w:szCs w:val="24"/>
          <w:u w:val="single"/>
        </w:rPr>
      </w:pPr>
      <w:r w:rsidRPr="00596E24">
        <w:rPr>
          <w:rFonts w:ascii="Times New Roman" w:hAnsi="Times New Roman" w:cs="Times New Roman"/>
          <w:b/>
          <w:sz w:val="24"/>
          <w:szCs w:val="24"/>
          <w:u w:val="single"/>
        </w:rPr>
        <w:lastRenderedPageBreak/>
        <w:t>INTRODUCTION</w:t>
      </w:r>
    </w:p>
    <w:p w14:paraId="5521EF62" w14:textId="77777777" w:rsidR="00EA2CEB" w:rsidRPr="00EA2CEB" w:rsidRDefault="00EA2CEB" w:rsidP="00A15608">
      <w:pPr>
        <w:suppressAutoHyphens/>
        <w:spacing w:after="0" w:line="360" w:lineRule="auto"/>
        <w:ind w:firstLine="630"/>
        <w:jc w:val="both"/>
        <w:rPr>
          <w:rFonts w:ascii="Times New Roman" w:hAnsi="Times New Roman" w:cs="Times New Roman"/>
          <w:bCs/>
        </w:rPr>
      </w:pPr>
      <w:r w:rsidRPr="00EA2CEB">
        <w:rPr>
          <w:rFonts w:ascii="Times New Roman" w:hAnsi="Times New Roman" w:cs="Times New Roman"/>
          <w:sz w:val="24"/>
          <w:szCs w:val="24"/>
        </w:rPr>
        <w:t>The Company’s approach to energy efficiency is based on two key principles.  The first is to pursue all cost-effective kilowatt hours and therms by offering financial incentives for most energy saving measures with a simple financial payback of over one year.  The second key principle is to use the most effective “mechanism” to deliver energy efficiency services to customers.  These mechanisms are varied and include 1) prescriptive programs (or “standard offers” such as high efficiency appliance rebates), 2) site-specific or “customized” analyses at customer premises, 3) “market transformational,” or regional, efforts with other utilities, 4) low-income weatherization services through local Community Action Agencies, 5) low-cost/no-cost advice through a multi-channel communication effort, and 6) support for cost-effective appliance standards and building codes.</w:t>
      </w:r>
      <w:r w:rsidRPr="00EA2CEB">
        <w:rPr>
          <w:rFonts w:ascii="Times New Roman" w:hAnsi="Times New Roman" w:cs="Times New Roman"/>
          <w:bCs/>
        </w:rPr>
        <w:t xml:space="preserve"> </w:t>
      </w:r>
    </w:p>
    <w:p w14:paraId="5521EF63" w14:textId="77777777" w:rsidR="00820FE2" w:rsidRDefault="00EA2CEB" w:rsidP="00A15608">
      <w:pPr>
        <w:pStyle w:val="Default"/>
        <w:spacing w:line="360" w:lineRule="auto"/>
        <w:ind w:firstLine="630"/>
        <w:jc w:val="both"/>
        <w:rPr>
          <w:rFonts w:ascii="Times New Roman" w:hAnsi="Times New Roman" w:cs="Times New Roman"/>
        </w:rPr>
      </w:pPr>
      <w:r w:rsidRPr="00B17B6F">
        <w:rPr>
          <w:rFonts w:ascii="Times New Roman" w:hAnsi="Times New Roman" w:cs="Times New Roman"/>
        </w:rPr>
        <w:t xml:space="preserve">This </w:t>
      </w:r>
      <w:r>
        <w:rPr>
          <w:rFonts w:ascii="Times New Roman" w:hAnsi="Times New Roman" w:cs="Times New Roman"/>
        </w:rPr>
        <w:t>annual conservation plan</w:t>
      </w:r>
      <w:r w:rsidRPr="00B17B6F">
        <w:rPr>
          <w:rFonts w:ascii="Times New Roman" w:hAnsi="Times New Roman" w:cs="Times New Roman"/>
        </w:rPr>
        <w:t xml:space="preserve"> is intended to be a continuous planning process. The Company is committed to maintain and enhance meaningful stakeholder involvement within this process. Over the course of the following year, revisions and updates to the plan are to be expected as part of adaptively managing the DSM portfolio.</w:t>
      </w:r>
      <w:r w:rsidR="00A15608">
        <w:rPr>
          <w:rFonts w:ascii="Times New Roman" w:hAnsi="Times New Roman" w:cs="Times New Roman"/>
        </w:rPr>
        <w:t xml:space="preserve"> </w:t>
      </w:r>
    </w:p>
    <w:p w14:paraId="5521EF64" w14:textId="77777777" w:rsidR="00DC62A3" w:rsidRPr="00596E24" w:rsidRDefault="00DC62A3" w:rsidP="00A15608">
      <w:pPr>
        <w:pStyle w:val="Default"/>
        <w:spacing w:line="360" w:lineRule="auto"/>
        <w:ind w:firstLine="630"/>
        <w:jc w:val="both"/>
        <w:rPr>
          <w:rFonts w:ascii="Times New Roman" w:hAnsi="Times New Roman" w:cs="Times New Roman"/>
        </w:rPr>
      </w:pPr>
      <w:r w:rsidRPr="00596E24">
        <w:rPr>
          <w:rFonts w:ascii="Times New Roman" w:hAnsi="Times New Roman" w:cs="Times New Roman"/>
        </w:rPr>
        <w:t xml:space="preserve">The Company’s programs are delivered across a full customer spectrum. Virtually all customers have had the opportunity to participate and a great many have directly benefited from the program offerings. All customers have indirectly benefited through enhanced cost-efficiencies as a result of this portfolio approach. </w:t>
      </w:r>
    </w:p>
    <w:p w14:paraId="5521EF65" w14:textId="77777777" w:rsidR="00DC62A3" w:rsidRPr="00465C34" w:rsidRDefault="00DC62A3" w:rsidP="00A9493A">
      <w:pPr>
        <w:pStyle w:val="Default"/>
        <w:spacing w:line="360" w:lineRule="auto"/>
        <w:ind w:firstLine="720"/>
        <w:jc w:val="both"/>
        <w:rPr>
          <w:rFonts w:ascii="Times New Roman" w:hAnsi="Times New Roman" w:cs="Times New Roman"/>
          <w:color w:val="auto"/>
        </w:rPr>
      </w:pPr>
      <w:r w:rsidRPr="00465C34">
        <w:rPr>
          <w:rFonts w:ascii="Times New Roman" w:hAnsi="Times New Roman" w:cs="Times New Roman"/>
          <w:color w:val="auto"/>
        </w:rPr>
        <w:t xml:space="preserve">The business planning process builds upon the electric and natural gas Integrated Resource Plan (IRP) and Conservation Potential Assessment (CPA) processes. These processes are an overall resource planning process completed every two years that integrate energy efficiency and generation resources into a preferred resource scenario. It is the purpose of the business plan to create an operational strategy for reaching the aggregate targets identified within the IRP in a manner that is cost-effective and with due consideration to all aspects of customer value. </w:t>
      </w:r>
    </w:p>
    <w:p w14:paraId="5521EF66" w14:textId="77777777" w:rsidR="00DC62A3" w:rsidRPr="00465C34" w:rsidRDefault="00DC62A3" w:rsidP="00A9493A">
      <w:pPr>
        <w:pStyle w:val="Default"/>
        <w:spacing w:line="360" w:lineRule="auto"/>
        <w:ind w:firstLine="720"/>
        <w:jc w:val="both"/>
        <w:rPr>
          <w:rFonts w:ascii="Times New Roman" w:hAnsi="Times New Roman" w:cs="Times New Roman"/>
          <w:color w:val="auto"/>
        </w:rPr>
      </w:pPr>
      <w:r w:rsidRPr="00465C34">
        <w:rPr>
          <w:rFonts w:ascii="Times New Roman" w:hAnsi="Times New Roman" w:cs="Times New Roman"/>
          <w:color w:val="auto"/>
        </w:rPr>
        <w:t xml:space="preserve">The annual planning process also leads to the identification of infrastructure and support needs such as: </w:t>
      </w:r>
    </w:p>
    <w:p w14:paraId="5521EF67" w14:textId="77777777" w:rsidR="00DC62A3" w:rsidRPr="00465C34" w:rsidRDefault="00DC62A3" w:rsidP="00596E24">
      <w:pPr>
        <w:pStyle w:val="Default"/>
        <w:numPr>
          <w:ilvl w:val="0"/>
          <w:numId w:val="20"/>
        </w:numPr>
        <w:spacing w:after="87"/>
        <w:rPr>
          <w:rFonts w:ascii="Times New Roman" w:hAnsi="Times New Roman" w:cs="Times New Roman"/>
          <w:color w:val="auto"/>
        </w:rPr>
      </w:pPr>
      <w:r w:rsidRPr="00465C34">
        <w:rPr>
          <w:rFonts w:ascii="Times New Roman" w:hAnsi="Times New Roman" w:cs="Times New Roman"/>
          <w:color w:val="auto"/>
        </w:rPr>
        <w:t>defining the necessary labor com</w:t>
      </w:r>
      <w:r w:rsidR="00760767" w:rsidRPr="00465C34">
        <w:rPr>
          <w:rFonts w:ascii="Times New Roman" w:hAnsi="Times New Roman" w:cs="Times New Roman"/>
          <w:color w:val="auto"/>
        </w:rPr>
        <w:t>plement</w:t>
      </w:r>
      <w:r w:rsidRPr="00465C34">
        <w:rPr>
          <w:rFonts w:ascii="Times New Roman" w:hAnsi="Times New Roman" w:cs="Times New Roman"/>
          <w:color w:val="auto"/>
        </w:rPr>
        <w:t xml:space="preserve"> </w:t>
      </w:r>
    </w:p>
    <w:p w14:paraId="5521EF68" w14:textId="77777777" w:rsidR="00DC62A3" w:rsidRPr="00465C34" w:rsidRDefault="00DC62A3" w:rsidP="00596E24">
      <w:pPr>
        <w:pStyle w:val="Default"/>
        <w:numPr>
          <w:ilvl w:val="0"/>
          <w:numId w:val="20"/>
        </w:numPr>
        <w:spacing w:after="87"/>
        <w:rPr>
          <w:rFonts w:ascii="Times New Roman" w:hAnsi="Times New Roman" w:cs="Times New Roman"/>
          <w:color w:val="auto"/>
        </w:rPr>
      </w:pPr>
      <w:r w:rsidRPr="00465C34">
        <w:rPr>
          <w:rFonts w:ascii="Times New Roman" w:hAnsi="Times New Roman" w:cs="Times New Roman"/>
          <w:color w:val="auto"/>
        </w:rPr>
        <w:t>es</w:t>
      </w:r>
      <w:r w:rsidR="00760767" w:rsidRPr="00465C34">
        <w:rPr>
          <w:rFonts w:ascii="Times New Roman" w:hAnsi="Times New Roman" w:cs="Times New Roman"/>
          <w:color w:val="auto"/>
        </w:rPr>
        <w:t>tablishment of an annual budget</w:t>
      </w:r>
      <w:r w:rsidRPr="00465C34">
        <w:rPr>
          <w:rFonts w:ascii="Times New Roman" w:hAnsi="Times New Roman" w:cs="Times New Roman"/>
          <w:color w:val="auto"/>
        </w:rPr>
        <w:t xml:space="preserve"> </w:t>
      </w:r>
    </w:p>
    <w:p w14:paraId="5521EF69" w14:textId="77777777" w:rsidR="00DC62A3" w:rsidRPr="00465C34" w:rsidRDefault="00DC62A3" w:rsidP="00596E24">
      <w:pPr>
        <w:pStyle w:val="Default"/>
        <w:numPr>
          <w:ilvl w:val="0"/>
          <w:numId w:val="20"/>
        </w:numPr>
        <w:spacing w:after="87"/>
        <w:rPr>
          <w:rFonts w:ascii="Times New Roman" w:hAnsi="Times New Roman" w:cs="Times New Roman"/>
          <w:color w:val="auto"/>
        </w:rPr>
      </w:pPr>
      <w:r w:rsidRPr="00465C34">
        <w:rPr>
          <w:rFonts w:ascii="Times New Roman" w:hAnsi="Times New Roman" w:cs="Times New Roman"/>
          <w:color w:val="auto"/>
        </w:rPr>
        <w:t>review of and modification to the measurement, evaluati</w:t>
      </w:r>
      <w:r w:rsidR="00760767" w:rsidRPr="00465C34">
        <w:rPr>
          <w:rFonts w:ascii="Times New Roman" w:hAnsi="Times New Roman" w:cs="Times New Roman"/>
          <w:color w:val="auto"/>
        </w:rPr>
        <w:t>on and verification (EM&amp;V) plan</w:t>
      </w:r>
      <w:r w:rsidRPr="00465C34">
        <w:rPr>
          <w:rFonts w:ascii="Times New Roman" w:hAnsi="Times New Roman" w:cs="Times New Roman"/>
          <w:color w:val="auto"/>
        </w:rPr>
        <w:t xml:space="preserve"> </w:t>
      </w:r>
    </w:p>
    <w:p w14:paraId="5521EF6A" w14:textId="77777777" w:rsidR="00DC62A3" w:rsidRPr="00465C34" w:rsidRDefault="00DC62A3" w:rsidP="00596E24">
      <w:pPr>
        <w:pStyle w:val="Default"/>
        <w:numPr>
          <w:ilvl w:val="0"/>
          <w:numId w:val="20"/>
        </w:numPr>
        <w:spacing w:after="87"/>
        <w:rPr>
          <w:rFonts w:ascii="Times New Roman" w:hAnsi="Times New Roman" w:cs="Times New Roman"/>
          <w:color w:val="auto"/>
        </w:rPr>
      </w:pPr>
      <w:r w:rsidRPr="00465C34">
        <w:rPr>
          <w:rFonts w:ascii="Times New Roman" w:hAnsi="Times New Roman" w:cs="Times New Roman"/>
          <w:color w:val="auto"/>
        </w:rPr>
        <w:lastRenderedPageBreak/>
        <w:t>identifi</w:t>
      </w:r>
      <w:r w:rsidR="00760767" w:rsidRPr="00465C34">
        <w:rPr>
          <w:rFonts w:ascii="Times New Roman" w:hAnsi="Times New Roman" w:cs="Times New Roman"/>
          <w:color w:val="auto"/>
        </w:rPr>
        <w:t xml:space="preserve">cation of outreach requirements </w:t>
      </w:r>
      <w:r w:rsidRPr="00465C34">
        <w:rPr>
          <w:rFonts w:ascii="Times New Roman" w:hAnsi="Times New Roman" w:cs="Times New Roman"/>
          <w:color w:val="auto"/>
        </w:rPr>
        <w:t xml:space="preserve"> </w:t>
      </w:r>
    </w:p>
    <w:p w14:paraId="5521EF6B" w14:textId="77777777" w:rsidR="00DC62A3" w:rsidRPr="00465C34" w:rsidRDefault="00DC62A3" w:rsidP="00596E24">
      <w:pPr>
        <w:pStyle w:val="Default"/>
        <w:numPr>
          <w:ilvl w:val="0"/>
          <w:numId w:val="20"/>
        </w:numPr>
        <w:rPr>
          <w:rFonts w:ascii="Times New Roman" w:hAnsi="Times New Roman" w:cs="Times New Roman"/>
          <w:color w:val="auto"/>
        </w:rPr>
      </w:pPr>
      <w:r w:rsidRPr="00465C34">
        <w:rPr>
          <w:rFonts w:ascii="Times New Roman" w:hAnsi="Times New Roman" w:cs="Times New Roman"/>
          <w:color w:val="auto"/>
        </w:rPr>
        <w:t>organization of a market</w:t>
      </w:r>
      <w:r w:rsidR="00465C34">
        <w:rPr>
          <w:rFonts w:ascii="Times New Roman" w:hAnsi="Times New Roman" w:cs="Times New Roman"/>
          <w:color w:val="auto"/>
        </w:rPr>
        <w:t>able customer-facing portfolio</w:t>
      </w:r>
    </w:p>
    <w:p w14:paraId="5521EF6C" w14:textId="77777777" w:rsidR="00DC62A3" w:rsidRPr="00596E24" w:rsidRDefault="00DC62A3" w:rsidP="00596E24">
      <w:pPr>
        <w:pStyle w:val="Default"/>
        <w:rPr>
          <w:rFonts w:ascii="Times New Roman" w:hAnsi="Times New Roman" w:cs="Times New Roman"/>
        </w:rPr>
      </w:pPr>
    </w:p>
    <w:p w14:paraId="5521EF6D" w14:textId="77777777" w:rsidR="00DC62A3" w:rsidRDefault="00DC62A3" w:rsidP="00A9493A">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budgetary projections established within the business plan are applied in a separate mid-year process to revise the DSM tariff rider funding mechanisms contained within the Schedule 91 electric and Schedule 191 natural gas tariffs. The tariff rider surcharges are periodically adjusted with the objective </w:t>
      </w:r>
      <w:r w:rsidR="00760767" w:rsidRPr="00596E24">
        <w:rPr>
          <w:rFonts w:ascii="Times New Roman" w:hAnsi="Times New Roman" w:cs="Times New Roman"/>
          <w:sz w:val="24"/>
          <w:szCs w:val="24"/>
        </w:rPr>
        <w:t>of moving these balances toward</w:t>
      </w:r>
      <w:r w:rsidRPr="00596E24">
        <w:rPr>
          <w:rFonts w:ascii="Times New Roman" w:hAnsi="Times New Roman" w:cs="Times New Roman"/>
          <w:sz w:val="24"/>
          <w:szCs w:val="24"/>
        </w:rPr>
        <w:t xml:space="preserve"> zero.</w:t>
      </w:r>
    </w:p>
    <w:p w14:paraId="5521EF6E" w14:textId="77777777" w:rsidR="003D61D1" w:rsidRPr="00596E24" w:rsidRDefault="00A9493A" w:rsidP="00A9493A">
      <w:pPr>
        <w:spacing w:after="0" w:line="360" w:lineRule="auto"/>
        <w:ind w:firstLine="720"/>
        <w:jc w:val="both"/>
        <w:rPr>
          <w:rFonts w:ascii="Times New Roman" w:hAnsi="Times New Roman" w:cs="Times New Roman"/>
          <w:sz w:val="24"/>
          <w:szCs w:val="24"/>
        </w:rPr>
      </w:pPr>
      <w:r>
        <w:rPr>
          <w:rFonts w:ascii="Times New Roman" w:hAnsi="Times New Roman"/>
          <w:sz w:val="24"/>
          <w:szCs w:val="24"/>
        </w:rPr>
        <w:t>The C</w:t>
      </w:r>
      <w:r w:rsidR="003D61D1">
        <w:rPr>
          <w:rFonts w:ascii="Times New Roman" w:hAnsi="Times New Roman"/>
          <w:sz w:val="24"/>
          <w:szCs w:val="24"/>
        </w:rPr>
        <w:t xml:space="preserve">ompany is also </w:t>
      </w:r>
      <w:r>
        <w:rPr>
          <w:rFonts w:ascii="Times New Roman" w:hAnsi="Times New Roman"/>
          <w:sz w:val="24"/>
          <w:szCs w:val="24"/>
        </w:rPr>
        <w:t xml:space="preserve">exploring </w:t>
      </w:r>
      <w:r w:rsidR="003D61D1">
        <w:rPr>
          <w:rFonts w:ascii="Times New Roman" w:hAnsi="Times New Roman"/>
          <w:sz w:val="24"/>
          <w:szCs w:val="24"/>
        </w:rPr>
        <w:t>on-bill repayment options for our customers that could be available in the last half of 2017. This project is being worked on concurrently with other corporate Information Technology projects outside of DSM which could cause the actual implementation timing to vary.</w:t>
      </w:r>
    </w:p>
    <w:p w14:paraId="5521EF6F" w14:textId="77777777" w:rsidR="00287C6E" w:rsidRDefault="00A15608" w:rsidP="00596E24">
      <w:pPr>
        <w:pStyle w:val="ListParagraph"/>
        <w:numPr>
          <w:ilvl w:val="0"/>
          <w:numId w:val="2"/>
        </w:numPr>
        <w:ind w:left="0" w:firstLine="0"/>
        <w:jc w:val="center"/>
        <w:rPr>
          <w:rFonts w:ascii="Times New Roman" w:hAnsi="Times New Roman" w:cs="Times New Roman"/>
          <w:b/>
          <w:sz w:val="24"/>
          <w:szCs w:val="24"/>
          <w:u w:val="single"/>
        </w:rPr>
      </w:pPr>
      <w:r w:rsidRPr="00596E24">
        <w:rPr>
          <w:rFonts w:ascii="Times New Roman" w:hAnsi="Times New Roman" w:cs="Times New Roman"/>
          <w:b/>
          <w:sz w:val="24"/>
          <w:szCs w:val="24"/>
          <w:u w:val="single"/>
        </w:rPr>
        <w:t>KEY CONSIDERATIONS</w:t>
      </w:r>
    </w:p>
    <w:p w14:paraId="5521EF70" w14:textId="77777777" w:rsidR="00820FE2" w:rsidRPr="00316D2E" w:rsidRDefault="00820FE2" w:rsidP="00820FE2">
      <w:pPr>
        <w:pStyle w:val="ListParagraph"/>
        <w:ind w:left="0"/>
        <w:rPr>
          <w:rFonts w:ascii="Times New Roman" w:hAnsi="Times New Roman" w:cs="Times New Roman"/>
          <w:b/>
          <w:sz w:val="24"/>
          <w:szCs w:val="24"/>
          <w:u w:val="single"/>
        </w:rPr>
      </w:pPr>
    </w:p>
    <w:p w14:paraId="5521EF71" w14:textId="77777777" w:rsidR="00B13203" w:rsidRPr="00596E24" w:rsidRDefault="0063676F" w:rsidP="00596E24">
      <w:pPr>
        <w:rPr>
          <w:rFonts w:ascii="Times New Roman" w:hAnsi="Times New Roman" w:cs="Times New Roman"/>
          <w:b/>
          <w:sz w:val="24"/>
          <w:szCs w:val="24"/>
          <w:u w:val="single"/>
        </w:rPr>
      </w:pPr>
      <w:r w:rsidRPr="00596E24">
        <w:rPr>
          <w:rFonts w:ascii="Times New Roman" w:hAnsi="Times New Roman" w:cs="Times New Roman"/>
          <w:b/>
          <w:sz w:val="24"/>
          <w:szCs w:val="24"/>
          <w:u w:val="single"/>
        </w:rPr>
        <w:t xml:space="preserve">Evaluation, Measurement and Verification </w:t>
      </w:r>
      <w:r w:rsidR="00820FE2">
        <w:rPr>
          <w:rFonts w:ascii="Times New Roman" w:hAnsi="Times New Roman" w:cs="Times New Roman"/>
          <w:b/>
          <w:sz w:val="24"/>
          <w:szCs w:val="24"/>
          <w:u w:val="single"/>
        </w:rPr>
        <w:t xml:space="preserve">(EM&amp;V) </w:t>
      </w:r>
      <w:r w:rsidRPr="00596E24">
        <w:rPr>
          <w:rFonts w:ascii="Times New Roman" w:hAnsi="Times New Roman" w:cs="Times New Roman"/>
          <w:b/>
          <w:sz w:val="24"/>
          <w:szCs w:val="24"/>
          <w:u w:val="single"/>
        </w:rPr>
        <w:t>Commitments</w:t>
      </w:r>
    </w:p>
    <w:p w14:paraId="5521EF72" w14:textId="77777777" w:rsidR="00DC62A3" w:rsidRPr="00596E24" w:rsidRDefault="00DC62A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Within its DSM portfolio, Avista incorporates EM&amp;V activities to validate and report verified energy savings related to its energy efficiency measures and programs. EM&amp;V protocols serve to represent comprehensive analyses and assessments necessary to supply useful information to management and stakeholders that adequately identifies the acquisition of energy efficiency attributable to Avista’s DSM Programs</w:t>
      </w:r>
      <w:r w:rsidR="00820FE2">
        <w:rPr>
          <w:rFonts w:ascii="Times New Roman" w:hAnsi="Times New Roman" w:cs="Times New Roman"/>
          <w:sz w:val="24"/>
          <w:szCs w:val="24"/>
        </w:rPr>
        <w:t>,</w:t>
      </w:r>
      <w:r w:rsidRPr="00596E24">
        <w:rPr>
          <w:rFonts w:ascii="Times New Roman" w:hAnsi="Times New Roman" w:cs="Times New Roman"/>
          <w:sz w:val="24"/>
          <w:szCs w:val="24"/>
        </w:rPr>
        <w:t xml:space="preserve"> as well as potential process improvements necessary to improve operations both internally and for customers. EM&amp;V includes Impact, Process, and Market analyses, and taken as a whole</w:t>
      </w:r>
      <w:r w:rsidR="00760767" w:rsidRPr="00596E24">
        <w:rPr>
          <w:rFonts w:ascii="Times New Roman" w:hAnsi="Times New Roman" w:cs="Times New Roman"/>
          <w:sz w:val="24"/>
          <w:szCs w:val="24"/>
        </w:rPr>
        <w:t>,</w:t>
      </w:r>
      <w:r w:rsidRPr="00596E24">
        <w:rPr>
          <w:rFonts w:ascii="Times New Roman" w:hAnsi="Times New Roman" w:cs="Times New Roman"/>
          <w:sz w:val="24"/>
          <w:szCs w:val="24"/>
        </w:rPr>
        <w:t xml:space="preserve"> are analogous with other industry standard terms such as Portfolio Evaluation or Program Evaluation.</w:t>
      </w:r>
    </w:p>
    <w:p w14:paraId="5521EF73" w14:textId="77777777" w:rsidR="00DC62A3" w:rsidRPr="00596E24" w:rsidRDefault="00DC62A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A primary responsibility of Avista’s EM&amp;V resources is to support the ongoing activities of the third-party EM&amp;V consultants and evaluators performing the various analyses required to substantiate the conservation acquisition, determine ma</w:t>
      </w:r>
      <w:r w:rsidR="00760767" w:rsidRPr="00596E24">
        <w:rPr>
          <w:rFonts w:ascii="Times New Roman" w:hAnsi="Times New Roman" w:cs="Times New Roman"/>
          <w:sz w:val="24"/>
          <w:szCs w:val="24"/>
        </w:rPr>
        <w:t xml:space="preserve">rket saturation and </w:t>
      </w:r>
      <w:r w:rsidR="004B3476" w:rsidRPr="00596E24">
        <w:rPr>
          <w:rFonts w:ascii="Times New Roman" w:hAnsi="Times New Roman" w:cs="Times New Roman"/>
          <w:sz w:val="24"/>
          <w:szCs w:val="24"/>
        </w:rPr>
        <w:t>penetration and</w:t>
      </w:r>
      <w:r w:rsidRPr="00596E24">
        <w:rPr>
          <w:rFonts w:ascii="Times New Roman" w:hAnsi="Times New Roman" w:cs="Times New Roman"/>
          <w:sz w:val="24"/>
          <w:szCs w:val="24"/>
        </w:rPr>
        <w:t xml:space="preserve"> process evaluations. The </w:t>
      </w:r>
      <w:r w:rsidR="001B6705" w:rsidRPr="00596E24">
        <w:rPr>
          <w:rFonts w:ascii="Times New Roman" w:hAnsi="Times New Roman" w:cs="Times New Roman"/>
          <w:sz w:val="24"/>
          <w:szCs w:val="24"/>
        </w:rPr>
        <w:t>201</w:t>
      </w:r>
      <w:r w:rsidR="001B6705">
        <w:rPr>
          <w:rFonts w:ascii="Times New Roman" w:hAnsi="Times New Roman" w:cs="Times New Roman"/>
          <w:sz w:val="24"/>
          <w:szCs w:val="24"/>
        </w:rPr>
        <w:t>7</w:t>
      </w:r>
      <w:r w:rsidR="001B6705"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EM&amp;V budget provides for third-party EM&amp;V services that provide an evaluation of </w:t>
      </w:r>
      <w:r w:rsidR="001B6705" w:rsidRPr="00596E24">
        <w:rPr>
          <w:rFonts w:ascii="Times New Roman" w:hAnsi="Times New Roman" w:cs="Times New Roman"/>
          <w:sz w:val="24"/>
          <w:szCs w:val="24"/>
        </w:rPr>
        <w:t>201</w:t>
      </w:r>
      <w:r w:rsidR="00E41C38">
        <w:rPr>
          <w:rFonts w:ascii="Times New Roman" w:hAnsi="Times New Roman" w:cs="Times New Roman"/>
          <w:sz w:val="24"/>
          <w:szCs w:val="24"/>
        </w:rPr>
        <w:t>7</w:t>
      </w:r>
      <w:r w:rsidR="001B6705"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program year portfolio, along with consolidating these findings with results obtained for </w:t>
      </w:r>
      <w:r w:rsidR="001B6705" w:rsidRPr="00596E24">
        <w:rPr>
          <w:rFonts w:ascii="Times New Roman" w:hAnsi="Times New Roman" w:cs="Times New Roman"/>
          <w:sz w:val="24"/>
          <w:szCs w:val="24"/>
        </w:rPr>
        <w:t>201</w:t>
      </w:r>
      <w:r w:rsidR="00E41C38">
        <w:rPr>
          <w:rFonts w:ascii="Times New Roman" w:hAnsi="Times New Roman" w:cs="Times New Roman"/>
          <w:sz w:val="24"/>
          <w:szCs w:val="24"/>
        </w:rPr>
        <w:t>6</w:t>
      </w:r>
      <w:r w:rsidR="001B6705"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for reporting requirements associated with the Energy Independence Act (EIA) biennium. </w:t>
      </w:r>
    </w:p>
    <w:p w14:paraId="5521EF74" w14:textId="77777777" w:rsidR="00DC62A3" w:rsidRPr="00596E24" w:rsidRDefault="00DC62A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To support planning and reporting requirements, several guiding EM&amp;V documents are maintained and published. This includes the Avista EM&amp;V</w:t>
      </w:r>
      <w:r w:rsidR="00760767" w:rsidRPr="00596E24">
        <w:rPr>
          <w:rFonts w:ascii="Times New Roman" w:hAnsi="Times New Roman" w:cs="Times New Roman"/>
          <w:sz w:val="24"/>
          <w:szCs w:val="24"/>
        </w:rPr>
        <w:t xml:space="preserve"> Framework, an annual EM&amp;V Plan</w:t>
      </w:r>
      <w:r w:rsidRPr="00596E24">
        <w:rPr>
          <w:rFonts w:ascii="Times New Roman" w:hAnsi="Times New Roman" w:cs="Times New Roman"/>
          <w:sz w:val="24"/>
          <w:szCs w:val="24"/>
        </w:rPr>
        <w:t xml:space="preserve"> and EM&amp;V contributions within other DSM and Avista corporate publications. Program-specific </w:t>
      </w:r>
      <w:r w:rsidRPr="00596E24">
        <w:rPr>
          <w:rFonts w:ascii="Times New Roman" w:hAnsi="Times New Roman" w:cs="Times New Roman"/>
          <w:sz w:val="24"/>
          <w:szCs w:val="24"/>
        </w:rPr>
        <w:lastRenderedPageBreak/>
        <w:t>EM&amp;V plans are created as required to inform and benefit the DSM activities. These documents are reviewed and updated as necessary, serving to improve the processes and protocols for energy eff</w:t>
      </w:r>
      <w:r w:rsidR="00760767" w:rsidRPr="00596E24">
        <w:rPr>
          <w:rFonts w:ascii="Times New Roman" w:hAnsi="Times New Roman" w:cs="Times New Roman"/>
          <w:sz w:val="24"/>
          <w:szCs w:val="24"/>
        </w:rPr>
        <w:t>iciency measurement, evaluation</w:t>
      </w:r>
      <w:r w:rsidRPr="00596E24">
        <w:rPr>
          <w:rFonts w:ascii="Times New Roman" w:hAnsi="Times New Roman" w:cs="Times New Roman"/>
          <w:sz w:val="24"/>
          <w:szCs w:val="24"/>
        </w:rPr>
        <w:t xml:space="preserve"> and verification.</w:t>
      </w:r>
    </w:p>
    <w:p w14:paraId="5521EF75" w14:textId="77777777" w:rsidR="00DC62A3" w:rsidRPr="00596E24" w:rsidRDefault="00DC62A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EM&amp;V efforts will also be applied to evaluating emerging technologies and applications in consideration of potential inclusion in the Company’s energy efficiency portfolio. </w:t>
      </w:r>
      <w:r w:rsidR="00A017FB">
        <w:rPr>
          <w:rFonts w:ascii="Times New Roman" w:hAnsi="Times New Roman" w:cs="Times New Roman"/>
          <w:sz w:val="24"/>
          <w:szCs w:val="24"/>
        </w:rPr>
        <w:t xml:space="preserve">In the Electric Portfolio, </w:t>
      </w:r>
      <w:r w:rsidRPr="00596E24">
        <w:rPr>
          <w:rFonts w:ascii="Times New Roman" w:hAnsi="Times New Roman" w:cs="Times New Roman"/>
          <w:sz w:val="24"/>
          <w:szCs w:val="24"/>
        </w:rPr>
        <w:t>Avista may spend up to 10 percent of its conservation budget on programs whose savings im</w:t>
      </w:r>
      <w:r w:rsidR="00760767" w:rsidRPr="00596E24">
        <w:rPr>
          <w:rFonts w:ascii="Times New Roman" w:hAnsi="Times New Roman" w:cs="Times New Roman"/>
          <w:sz w:val="24"/>
          <w:szCs w:val="24"/>
        </w:rPr>
        <w:t>pact have not yet been measured</w:t>
      </w:r>
      <w:r w:rsidRPr="00596E24">
        <w:rPr>
          <w:rFonts w:ascii="Times New Roman" w:hAnsi="Times New Roman" w:cs="Times New Roman"/>
          <w:sz w:val="24"/>
          <w:szCs w:val="24"/>
        </w:rPr>
        <w:t xml:space="preserve"> if the overall portfolio of conservation passes the </w:t>
      </w:r>
      <w:r w:rsidR="00F802BA">
        <w:rPr>
          <w:rFonts w:ascii="Times New Roman" w:hAnsi="Times New Roman" w:cs="Times New Roman"/>
          <w:sz w:val="24"/>
          <w:szCs w:val="24"/>
        </w:rPr>
        <w:t xml:space="preserve">applicable cost-effectiveness </w:t>
      </w:r>
      <w:r w:rsidRPr="00596E24">
        <w:rPr>
          <w:rFonts w:ascii="Times New Roman" w:hAnsi="Times New Roman" w:cs="Times New Roman"/>
          <w:sz w:val="24"/>
          <w:szCs w:val="24"/>
        </w:rPr>
        <w:t xml:space="preserve"> test. These programs may inclu</w:t>
      </w:r>
      <w:r w:rsidR="00760767" w:rsidRPr="00596E24">
        <w:rPr>
          <w:rFonts w:ascii="Times New Roman" w:hAnsi="Times New Roman" w:cs="Times New Roman"/>
          <w:sz w:val="24"/>
          <w:szCs w:val="24"/>
        </w:rPr>
        <w:t>de educational, behavior change</w:t>
      </w:r>
      <w:r w:rsidRPr="00596E24">
        <w:rPr>
          <w:rFonts w:ascii="Times New Roman" w:hAnsi="Times New Roman" w:cs="Times New Roman"/>
          <w:sz w:val="24"/>
          <w:szCs w:val="24"/>
        </w:rPr>
        <w:t xml:space="preserve"> and other types of investigatory projects. Specific activities can include product and application document reviews, development of formal evaluation plans, field studies, data c</w:t>
      </w:r>
      <w:r w:rsidR="00760767" w:rsidRPr="00596E24">
        <w:rPr>
          <w:rFonts w:ascii="Times New Roman" w:hAnsi="Times New Roman" w:cs="Times New Roman"/>
          <w:sz w:val="24"/>
          <w:szCs w:val="24"/>
        </w:rPr>
        <w:t>ollection, statistical analysis</w:t>
      </w:r>
      <w:r w:rsidRPr="00596E24">
        <w:rPr>
          <w:rFonts w:ascii="Times New Roman" w:hAnsi="Times New Roman" w:cs="Times New Roman"/>
          <w:sz w:val="24"/>
          <w:szCs w:val="24"/>
        </w:rPr>
        <w:t xml:space="preserve"> and solicitation of user feedback.</w:t>
      </w:r>
    </w:p>
    <w:p w14:paraId="5521EF76" w14:textId="77777777" w:rsidR="00DC62A3" w:rsidRPr="00596E24" w:rsidRDefault="00DC62A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Avista and its customers benefit from regional activities and resources in the energy efficiency and conservation domain. To engage with and contribute to regional efforts, Avista staff has </w:t>
      </w:r>
      <w:r w:rsidR="005A5EC6" w:rsidRPr="00596E24">
        <w:rPr>
          <w:rFonts w:ascii="Times New Roman" w:hAnsi="Times New Roman" w:cs="Times New Roman"/>
          <w:sz w:val="24"/>
          <w:szCs w:val="24"/>
        </w:rPr>
        <w:t xml:space="preserve">a </w:t>
      </w:r>
      <w:r w:rsidR="00820FE2">
        <w:rPr>
          <w:rFonts w:ascii="Times New Roman" w:hAnsi="Times New Roman" w:cs="Times New Roman"/>
          <w:sz w:val="24"/>
          <w:szCs w:val="24"/>
        </w:rPr>
        <w:t>v</w:t>
      </w:r>
      <w:r w:rsidRPr="00596E24">
        <w:rPr>
          <w:rFonts w:ascii="Times New Roman" w:hAnsi="Times New Roman" w:cs="Times New Roman"/>
          <w:sz w:val="24"/>
          <w:szCs w:val="24"/>
        </w:rPr>
        <w:t>oting</w:t>
      </w:r>
      <w:r w:rsidR="00820FE2">
        <w:rPr>
          <w:rFonts w:ascii="Times New Roman" w:hAnsi="Times New Roman" w:cs="Times New Roman"/>
          <w:sz w:val="24"/>
          <w:szCs w:val="24"/>
        </w:rPr>
        <w:t>,</w:t>
      </w:r>
      <w:r w:rsidRPr="00596E24">
        <w:rPr>
          <w:rFonts w:ascii="Times New Roman" w:hAnsi="Times New Roman" w:cs="Times New Roman"/>
          <w:sz w:val="24"/>
          <w:szCs w:val="24"/>
        </w:rPr>
        <w:t xml:space="preserve"> </w:t>
      </w:r>
      <w:r w:rsidR="00DE67A0" w:rsidRPr="00596E24">
        <w:rPr>
          <w:rFonts w:ascii="Times New Roman" w:hAnsi="Times New Roman" w:cs="Times New Roman"/>
          <w:sz w:val="24"/>
          <w:szCs w:val="24"/>
        </w:rPr>
        <w:t xml:space="preserve">and </w:t>
      </w:r>
      <w:r w:rsidR="00925B3E">
        <w:rPr>
          <w:rFonts w:ascii="Times New Roman" w:hAnsi="Times New Roman" w:cs="Times New Roman"/>
          <w:sz w:val="24"/>
          <w:szCs w:val="24"/>
        </w:rPr>
        <w:t xml:space="preserve">a second member of the Avista staff </w:t>
      </w:r>
      <w:r w:rsidR="00FC2859">
        <w:rPr>
          <w:rFonts w:ascii="Times New Roman" w:hAnsi="Times New Roman" w:cs="Times New Roman"/>
          <w:sz w:val="24"/>
          <w:szCs w:val="24"/>
        </w:rPr>
        <w:t xml:space="preserve">is a </w:t>
      </w:r>
      <w:r w:rsidR="00820FE2">
        <w:rPr>
          <w:rFonts w:ascii="Times New Roman" w:hAnsi="Times New Roman" w:cs="Times New Roman"/>
          <w:sz w:val="24"/>
          <w:szCs w:val="24"/>
        </w:rPr>
        <w:t>c</w:t>
      </w:r>
      <w:r w:rsidR="00DE67A0" w:rsidRPr="00596E24">
        <w:rPr>
          <w:rFonts w:ascii="Times New Roman" w:hAnsi="Times New Roman" w:cs="Times New Roman"/>
          <w:sz w:val="24"/>
          <w:szCs w:val="24"/>
        </w:rPr>
        <w:t xml:space="preserve">orresponding </w:t>
      </w:r>
      <w:r w:rsidR="00820FE2">
        <w:rPr>
          <w:rFonts w:ascii="Times New Roman" w:hAnsi="Times New Roman" w:cs="Times New Roman"/>
          <w:sz w:val="24"/>
          <w:szCs w:val="24"/>
        </w:rPr>
        <w:t>m</w:t>
      </w:r>
      <w:r w:rsidRPr="00596E24">
        <w:rPr>
          <w:rFonts w:ascii="Times New Roman" w:hAnsi="Times New Roman" w:cs="Times New Roman"/>
          <w:sz w:val="24"/>
          <w:szCs w:val="24"/>
        </w:rPr>
        <w:t xml:space="preserve">ember role on the Regional Technical Forum (RTF) that serves as an advisory committee to the </w:t>
      </w:r>
      <w:r w:rsidR="00E41C38">
        <w:rPr>
          <w:rFonts w:ascii="Times New Roman" w:hAnsi="Times New Roman" w:cs="Times New Roman"/>
          <w:sz w:val="24"/>
          <w:szCs w:val="24"/>
        </w:rPr>
        <w:t>Northwest Power and Conservation Council (</w:t>
      </w:r>
      <w:r w:rsidRPr="00596E24">
        <w:rPr>
          <w:rFonts w:ascii="Times New Roman" w:hAnsi="Times New Roman" w:cs="Times New Roman"/>
          <w:sz w:val="24"/>
          <w:szCs w:val="24"/>
        </w:rPr>
        <w:t>NPCC</w:t>
      </w:r>
      <w:r w:rsidR="00E41C38">
        <w:rPr>
          <w:rFonts w:ascii="Times New Roman" w:hAnsi="Times New Roman" w:cs="Times New Roman"/>
          <w:sz w:val="24"/>
          <w:szCs w:val="24"/>
        </w:rPr>
        <w:t>)</w:t>
      </w:r>
      <w:r w:rsidRPr="00596E24">
        <w:rPr>
          <w:rFonts w:ascii="Times New Roman" w:hAnsi="Times New Roman" w:cs="Times New Roman"/>
          <w:sz w:val="24"/>
          <w:szCs w:val="24"/>
        </w:rPr>
        <w:t>. The RTF is a primary source of information relating to the standardization of energy savings and measurement processes for electric applications in the Pacific Northwest. This knowledge base provides energy efficiency data, metrics,</w:t>
      </w:r>
      <w:r w:rsidR="005A5EC6" w:rsidRPr="00596E24">
        <w:rPr>
          <w:rFonts w:ascii="Times New Roman" w:hAnsi="Times New Roman" w:cs="Times New Roman"/>
          <w:sz w:val="24"/>
          <w:szCs w:val="24"/>
        </w:rPr>
        <w:t xml:space="preserve"> non-energy benefits</w:t>
      </w:r>
      <w:r w:rsidRPr="00596E24">
        <w:rPr>
          <w:rFonts w:ascii="Times New Roman" w:hAnsi="Times New Roman" w:cs="Times New Roman"/>
          <w:sz w:val="24"/>
          <w:szCs w:val="24"/>
        </w:rPr>
        <w:t xml:space="preserve"> and references that are suitable for inclusion in Avista’s TRM relating to acquisition planning and reporting. </w:t>
      </w:r>
      <w:r w:rsidR="0066551C">
        <w:rPr>
          <w:rFonts w:ascii="Times New Roman" w:hAnsi="Times New Roman" w:cs="Times New Roman"/>
          <w:sz w:val="24"/>
          <w:szCs w:val="24"/>
        </w:rPr>
        <w:t>Additional regional activates include engagement with other Northwest utilities and the Northwest Energy Efficiency Alliance (NEEA) in various pilot projects or subcommittee evaluations. Portions of the energy efficiency savings acquired through NEEA’s programs within the region are attributable to Avista’s portfolio.</w:t>
      </w:r>
    </w:p>
    <w:p w14:paraId="5521EF77" w14:textId="77777777" w:rsidR="00E64EF1" w:rsidRDefault="00DC62A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Avista’s commitment to the critical role of EM&amp;V is supported by the Company’s continued focus on the development of best practices for its processes and reporting. Application of the principles of the International Performance Measurement and Verification Protocol serves as the guidelines for measurement and verification plans applied to Avista programs. Additionally, the recent compilation of EM&amp;V protocols released under the U.S. Department of Energy’s Uniform Methods Project will be considered and applied where possible to support consistency and credibility of the reported results. The verification of a statistically significant number of projects is often extrapolated to verify and perform impact analysis on complete programs within </w:t>
      </w:r>
      <w:r w:rsidRPr="00596E24">
        <w:rPr>
          <w:rFonts w:ascii="Times New Roman" w:hAnsi="Times New Roman" w:cs="Times New Roman"/>
          <w:sz w:val="24"/>
          <w:szCs w:val="24"/>
        </w:rPr>
        <w:lastRenderedPageBreak/>
        <w:t>reasonable standards of rigor and degree of conservatism. This process serves to insure Avista will manage its DSM portfolio in a manner consistent with utility and public interests.</w:t>
      </w:r>
    </w:p>
    <w:p w14:paraId="5521EF78" w14:textId="77777777" w:rsidR="00820FE2" w:rsidRPr="00596E24" w:rsidRDefault="00820FE2" w:rsidP="00A15608">
      <w:pPr>
        <w:spacing w:after="0" w:line="360" w:lineRule="auto"/>
        <w:ind w:firstLine="720"/>
        <w:jc w:val="both"/>
        <w:rPr>
          <w:rFonts w:ascii="Times New Roman" w:hAnsi="Times New Roman" w:cs="Times New Roman"/>
          <w:sz w:val="24"/>
          <w:szCs w:val="24"/>
        </w:rPr>
      </w:pPr>
    </w:p>
    <w:p w14:paraId="5521EF79" w14:textId="77777777" w:rsidR="004B5D23" w:rsidRPr="00596E24" w:rsidRDefault="0063676F" w:rsidP="00A15608">
      <w:pPr>
        <w:spacing w:after="0" w:line="360" w:lineRule="auto"/>
        <w:rPr>
          <w:rFonts w:ascii="Times New Roman" w:hAnsi="Times New Roman" w:cs="Times New Roman"/>
          <w:b/>
          <w:sz w:val="24"/>
          <w:szCs w:val="24"/>
          <w:u w:val="single"/>
        </w:rPr>
      </w:pPr>
      <w:r w:rsidRPr="00596E24">
        <w:rPr>
          <w:rFonts w:ascii="Times New Roman" w:hAnsi="Times New Roman" w:cs="Times New Roman"/>
          <w:b/>
          <w:sz w:val="24"/>
          <w:szCs w:val="24"/>
          <w:u w:val="single"/>
        </w:rPr>
        <w:t>Cost-Effectiveness Metrics, Methodology and Objectives</w:t>
      </w:r>
    </w:p>
    <w:p w14:paraId="5521EF7A" w14:textId="77777777" w:rsidR="008A53FD" w:rsidRPr="00596E24" w:rsidRDefault="00A9493A" w:rsidP="00A156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w:t>
      </w:r>
      <w:r w:rsidR="00FA7D4C" w:rsidRPr="00596E24">
        <w:rPr>
          <w:rFonts w:ascii="Times New Roman" w:hAnsi="Times New Roman" w:cs="Times New Roman"/>
          <w:sz w:val="24"/>
          <w:szCs w:val="24"/>
        </w:rPr>
        <w:t>ompany</w:t>
      </w:r>
      <w:r w:rsidR="00C62181" w:rsidRPr="00596E24">
        <w:rPr>
          <w:rFonts w:ascii="Times New Roman" w:hAnsi="Times New Roman" w:cs="Times New Roman"/>
          <w:sz w:val="24"/>
          <w:szCs w:val="24"/>
        </w:rPr>
        <w:t>’s</w:t>
      </w:r>
      <w:r w:rsidR="00FA7D4C" w:rsidRPr="00596E24">
        <w:rPr>
          <w:rFonts w:ascii="Times New Roman" w:hAnsi="Times New Roman" w:cs="Times New Roman"/>
          <w:sz w:val="24"/>
          <w:szCs w:val="24"/>
        </w:rPr>
        <w:t xml:space="preserve"> planning approach aims to </w:t>
      </w:r>
      <w:r w:rsidR="00C62181" w:rsidRPr="00596E24">
        <w:rPr>
          <w:rFonts w:ascii="Times New Roman" w:hAnsi="Times New Roman" w:cs="Times New Roman"/>
          <w:sz w:val="24"/>
          <w:szCs w:val="24"/>
        </w:rPr>
        <w:t>maximize cost effective conservation</w:t>
      </w:r>
      <w:r w:rsidR="00833AB4" w:rsidRPr="00596E24">
        <w:rPr>
          <w:rFonts w:ascii="Times New Roman" w:hAnsi="Times New Roman" w:cs="Times New Roman"/>
          <w:sz w:val="24"/>
          <w:szCs w:val="24"/>
        </w:rPr>
        <w:t xml:space="preserve"> acquired</w:t>
      </w:r>
      <w:r w:rsidR="00C62181" w:rsidRPr="00596E24">
        <w:rPr>
          <w:rFonts w:ascii="Times New Roman" w:hAnsi="Times New Roman" w:cs="Times New Roman"/>
          <w:sz w:val="24"/>
          <w:szCs w:val="24"/>
        </w:rPr>
        <w:t xml:space="preserve"> by analyzing </w:t>
      </w:r>
      <w:r w:rsidR="00833AB4" w:rsidRPr="00596E24">
        <w:rPr>
          <w:rFonts w:ascii="Times New Roman" w:hAnsi="Times New Roman" w:cs="Times New Roman"/>
          <w:sz w:val="24"/>
          <w:szCs w:val="24"/>
        </w:rPr>
        <w:t>the cost effectiveness of each segment (Residential, C</w:t>
      </w:r>
      <w:r w:rsidR="0066551C">
        <w:rPr>
          <w:rFonts w:ascii="Times New Roman" w:hAnsi="Times New Roman" w:cs="Times New Roman"/>
          <w:sz w:val="24"/>
          <w:szCs w:val="24"/>
        </w:rPr>
        <w:t>ommercial/Industrial and Low Income</w:t>
      </w:r>
      <w:r w:rsidR="00833AB4" w:rsidRPr="00596E24">
        <w:rPr>
          <w:rFonts w:ascii="Times New Roman" w:hAnsi="Times New Roman" w:cs="Times New Roman"/>
          <w:sz w:val="24"/>
          <w:szCs w:val="24"/>
        </w:rPr>
        <w:t>) and how the measures within the programs contribute to the cost effectiveness of th</w:t>
      </w:r>
      <w:r w:rsidR="00C23FC5" w:rsidRPr="00596E24">
        <w:rPr>
          <w:rFonts w:ascii="Times New Roman" w:hAnsi="Times New Roman" w:cs="Times New Roman"/>
          <w:sz w:val="24"/>
          <w:szCs w:val="24"/>
        </w:rPr>
        <w:t>at</w:t>
      </w:r>
      <w:r w:rsidR="00833AB4" w:rsidRPr="00596E24">
        <w:rPr>
          <w:rFonts w:ascii="Times New Roman" w:hAnsi="Times New Roman" w:cs="Times New Roman"/>
          <w:sz w:val="24"/>
          <w:szCs w:val="24"/>
        </w:rPr>
        <w:t xml:space="preserve"> segment</w:t>
      </w:r>
      <w:r w:rsidR="00C23FC5" w:rsidRPr="00596E24">
        <w:rPr>
          <w:rFonts w:ascii="Times New Roman" w:hAnsi="Times New Roman" w:cs="Times New Roman"/>
          <w:sz w:val="24"/>
          <w:szCs w:val="24"/>
        </w:rPr>
        <w:t xml:space="preserve"> and eventually the individual portfolios</w:t>
      </w:r>
      <w:r w:rsidR="00833AB4" w:rsidRPr="00596E24">
        <w:rPr>
          <w:rFonts w:ascii="Times New Roman" w:hAnsi="Times New Roman" w:cs="Times New Roman"/>
          <w:sz w:val="24"/>
          <w:szCs w:val="24"/>
        </w:rPr>
        <w:t>.</w:t>
      </w:r>
      <w:r w:rsidR="00923B46" w:rsidRPr="00596E24">
        <w:rPr>
          <w:rFonts w:ascii="Times New Roman" w:hAnsi="Times New Roman" w:cs="Times New Roman"/>
          <w:sz w:val="24"/>
          <w:szCs w:val="24"/>
        </w:rPr>
        <w:t xml:space="preserve"> </w:t>
      </w:r>
      <w:r w:rsidR="008A53FD" w:rsidRPr="00596E24">
        <w:rPr>
          <w:rFonts w:ascii="Times New Roman" w:hAnsi="Times New Roman" w:cs="Times New Roman"/>
          <w:sz w:val="24"/>
          <w:szCs w:val="24"/>
        </w:rPr>
        <w:t>Non-energy benefits</w:t>
      </w:r>
      <w:r w:rsidR="002F5C81">
        <w:rPr>
          <w:rFonts w:ascii="Times New Roman" w:hAnsi="Times New Roman" w:cs="Times New Roman"/>
          <w:sz w:val="24"/>
          <w:szCs w:val="24"/>
        </w:rPr>
        <w:t xml:space="preserve"> (NEBs)</w:t>
      </w:r>
      <w:r w:rsidR="008A53FD" w:rsidRPr="00596E24">
        <w:rPr>
          <w:rFonts w:ascii="Times New Roman" w:hAnsi="Times New Roman" w:cs="Times New Roman"/>
          <w:sz w:val="24"/>
          <w:szCs w:val="24"/>
        </w:rPr>
        <w:t xml:space="preserve"> are </w:t>
      </w:r>
      <w:r w:rsidR="00776656" w:rsidRPr="00596E24">
        <w:rPr>
          <w:rFonts w:ascii="Times New Roman" w:hAnsi="Times New Roman" w:cs="Times New Roman"/>
          <w:sz w:val="24"/>
          <w:szCs w:val="24"/>
        </w:rPr>
        <w:t>a common topic of discussion in many ene</w:t>
      </w:r>
      <w:r w:rsidR="005D382C">
        <w:rPr>
          <w:rFonts w:ascii="Times New Roman" w:hAnsi="Times New Roman" w:cs="Times New Roman"/>
          <w:sz w:val="24"/>
          <w:szCs w:val="24"/>
        </w:rPr>
        <w:t>rgy evaluation circles and the C</w:t>
      </w:r>
      <w:r w:rsidR="00776656" w:rsidRPr="00596E24">
        <w:rPr>
          <w:rFonts w:ascii="Times New Roman" w:hAnsi="Times New Roman" w:cs="Times New Roman"/>
          <w:sz w:val="24"/>
          <w:szCs w:val="24"/>
        </w:rPr>
        <w:t>ompany is appreciative of the valuable work the RTF has done to quant</w:t>
      </w:r>
      <w:r w:rsidR="00820FE2">
        <w:rPr>
          <w:rFonts w:ascii="Times New Roman" w:hAnsi="Times New Roman" w:cs="Times New Roman"/>
          <w:sz w:val="24"/>
          <w:szCs w:val="24"/>
        </w:rPr>
        <w:t>ify NEBs for the region. In this</w:t>
      </w:r>
      <w:r w:rsidR="00A017FB" w:rsidRPr="00596E24">
        <w:rPr>
          <w:rFonts w:ascii="Times New Roman" w:hAnsi="Times New Roman" w:cs="Times New Roman"/>
          <w:sz w:val="24"/>
          <w:szCs w:val="24"/>
        </w:rPr>
        <w:t xml:space="preserve"> </w:t>
      </w:r>
      <w:r w:rsidR="00820FE2">
        <w:rPr>
          <w:rFonts w:ascii="Times New Roman" w:hAnsi="Times New Roman" w:cs="Times New Roman"/>
          <w:sz w:val="24"/>
          <w:szCs w:val="24"/>
        </w:rPr>
        <w:t>P</w:t>
      </w:r>
      <w:r w:rsidR="00776656" w:rsidRPr="00596E24">
        <w:rPr>
          <w:rFonts w:ascii="Times New Roman" w:hAnsi="Times New Roman" w:cs="Times New Roman"/>
          <w:sz w:val="24"/>
          <w:szCs w:val="24"/>
        </w:rPr>
        <w:t>lan where NEBs are calculated and the delivery method is consistent with what is required by the RTF the calculated NEBs were included in the appropriate cost effectiveness tests (</w:t>
      </w:r>
      <w:r w:rsidR="002F5C81">
        <w:rPr>
          <w:rFonts w:ascii="Times New Roman" w:hAnsi="Times New Roman" w:cs="Times New Roman"/>
          <w:sz w:val="24"/>
          <w:szCs w:val="24"/>
        </w:rPr>
        <w:t>Total Resource Costs and Participant Cost Test</w:t>
      </w:r>
      <w:r w:rsidR="00776656" w:rsidRPr="00596E24">
        <w:rPr>
          <w:rFonts w:ascii="Times New Roman" w:hAnsi="Times New Roman" w:cs="Times New Roman"/>
          <w:sz w:val="24"/>
          <w:szCs w:val="24"/>
        </w:rPr>
        <w:t>). Since the RTF does not currently have UES or NEB values for commercial lighting a similar methodology was used to calculate</w:t>
      </w:r>
      <w:r w:rsidR="00C510EB" w:rsidRPr="00596E24">
        <w:rPr>
          <w:rFonts w:ascii="Times New Roman" w:hAnsi="Times New Roman" w:cs="Times New Roman"/>
          <w:sz w:val="24"/>
          <w:szCs w:val="24"/>
        </w:rPr>
        <w:t xml:space="preserve"> the NEB value of efficient lighting measures that have longer measure lives tha</w:t>
      </w:r>
      <w:r w:rsidR="005D382C">
        <w:rPr>
          <w:rFonts w:ascii="Times New Roman" w:hAnsi="Times New Roman" w:cs="Times New Roman"/>
          <w:sz w:val="24"/>
          <w:szCs w:val="24"/>
        </w:rPr>
        <w:t>n the baseline technology. The C</w:t>
      </w:r>
      <w:r w:rsidR="00C510EB" w:rsidRPr="00596E24">
        <w:rPr>
          <w:rFonts w:ascii="Times New Roman" w:hAnsi="Times New Roman" w:cs="Times New Roman"/>
          <w:sz w:val="24"/>
          <w:szCs w:val="24"/>
        </w:rPr>
        <w:t>ompany will continue to follow and participate in RTF activities around NEBs and w</w:t>
      </w:r>
      <w:r w:rsidR="00760767" w:rsidRPr="00596E24">
        <w:rPr>
          <w:rFonts w:ascii="Times New Roman" w:hAnsi="Times New Roman" w:cs="Times New Roman"/>
          <w:sz w:val="24"/>
          <w:szCs w:val="24"/>
        </w:rPr>
        <w:t>ill</w:t>
      </w:r>
      <w:r w:rsidR="00C510EB" w:rsidRPr="00596E24">
        <w:rPr>
          <w:rFonts w:ascii="Times New Roman" w:hAnsi="Times New Roman" w:cs="Times New Roman"/>
          <w:sz w:val="24"/>
          <w:szCs w:val="24"/>
        </w:rPr>
        <w:t xml:space="preserve"> include</w:t>
      </w:r>
      <w:r w:rsidR="00760767" w:rsidRPr="00596E24">
        <w:rPr>
          <w:rFonts w:ascii="Times New Roman" w:hAnsi="Times New Roman" w:cs="Times New Roman"/>
          <w:sz w:val="24"/>
          <w:szCs w:val="24"/>
        </w:rPr>
        <w:t xml:space="preserve"> NEBs</w:t>
      </w:r>
      <w:r w:rsidR="00C510EB" w:rsidRPr="00596E24">
        <w:rPr>
          <w:rFonts w:ascii="Times New Roman" w:hAnsi="Times New Roman" w:cs="Times New Roman"/>
          <w:sz w:val="24"/>
          <w:szCs w:val="24"/>
        </w:rPr>
        <w:t xml:space="preserve"> in the cost effectiveness calculation if appropriate.</w:t>
      </w:r>
    </w:p>
    <w:p w14:paraId="5521EF7B" w14:textId="77777777" w:rsidR="00287C6E" w:rsidRDefault="00B96A1B"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Details regarding how Avista applies the</w:t>
      </w:r>
      <w:r w:rsidR="00C23FC5" w:rsidRPr="00596E24">
        <w:rPr>
          <w:rFonts w:ascii="Times New Roman" w:hAnsi="Times New Roman" w:cs="Times New Roman"/>
          <w:sz w:val="24"/>
          <w:szCs w:val="24"/>
        </w:rPr>
        <w:t xml:space="preserve"> avoided costs and</w:t>
      </w:r>
      <w:r w:rsidRPr="00596E24">
        <w:rPr>
          <w:rFonts w:ascii="Times New Roman" w:hAnsi="Times New Roman" w:cs="Times New Roman"/>
          <w:sz w:val="24"/>
          <w:szCs w:val="24"/>
        </w:rPr>
        <w:t xml:space="preserve"> cost-effectiveness methodolog</w:t>
      </w:r>
      <w:r w:rsidR="00C23FC5" w:rsidRPr="00596E24">
        <w:rPr>
          <w:rFonts w:ascii="Times New Roman" w:hAnsi="Times New Roman" w:cs="Times New Roman"/>
          <w:sz w:val="24"/>
          <w:szCs w:val="24"/>
        </w:rPr>
        <w:t>ies</w:t>
      </w:r>
      <w:r w:rsidRPr="00596E24">
        <w:rPr>
          <w:rFonts w:ascii="Times New Roman" w:hAnsi="Times New Roman" w:cs="Times New Roman"/>
          <w:sz w:val="24"/>
          <w:szCs w:val="24"/>
        </w:rPr>
        <w:t xml:space="preserve"> to the estimation of the </w:t>
      </w:r>
      <w:r w:rsidR="00A017FB" w:rsidRPr="00596E24">
        <w:rPr>
          <w:rFonts w:ascii="Times New Roman" w:hAnsi="Times New Roman" w:cs="Times New Roman"/>
          <w:sz w:val="24"/>
          <w:szCs w:val="24"/>
        </w:rPr>
        <w:t>201</w:t>
      </w:r>
      <w:r w:rsidR="00A017FB">
        <w:rPr>
          <w:rFonts w:ascii="Times New Roman" w:hAnsi="Times New Roman" w:cs="Times New Roman"/>
          <w:sz w:val="24"/>
          <w:szCs w:val="24"/>
        </w:rPr>
        <w:t>7</w:t>
      </w:r>
      <w:r w:rsidR="00A017FB"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portfolio are contained in Appendix C to this </w:t>
      </w:r>
      <w:r w:rsidR="00820FE2">
        <w:rPr>
          <w:rFonts w:ascii="Times New Roman" w:hAnsi="Times New Roman" w:cs="Times New Roman"/>
          <w:sz w:val="24"/>
          <w:szCs w:val="24"/>
        </w:rPr>
        <w:t>Plan</w:t>
      </w:r>
      <w:r w:rsidRPr="00596E24">
        <w:rPr>
          <w:rFonts w:ascii="Times New Roman" w:hAnsi="Times New Roman" w:cs="Times New Roman"/>
          <w:sz w:val="24"/>
          <w:szCs w:val="24"/>
        </w:rPr>
        <w:t xml:space="preserve">.  The results of the TRC and </w:t>
      </w:r>
      <w:r w:rsidR="002F5C81">
        <w:rPr>
          <w:rFonts w:ascii="Times New Roman" w:hAnsi="Times New Roman" w:cs="Times New Roman"/>
          <w:sz w:val="24"/>
          <w:szCs w:val="24"/>
        </w:rPr>
        <w:t>Utility Cost Test (UCT)</w:t>
      </w:r>
      <w:r w:rsidR="002F5C81"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tests are summarized by program and portfolio in </w:t>
      </w:r>
      <w:r w:rsidR="00316D2E">
        <w:rPr>
          <w:rFonts w:ascii="Times New Roman" w:hAnsi="Times New Roman" w:cs="Times New Roman"/>
          <w:sz w:val="24"/>
          <w:szCs w:val="24"/>
        </w:rPr>
        <w:t>Appendix A.</w:t>
      </w:r>
    </w:p>
    <w:p w14:paraId="5521EF7C" w14:textId="77777777" w:rsidR="00A9493A" w:rsidRPr="00CA2317" w:rsidRDefault="00A9493A" w:rsidP="00A15608">
      <w:pPr>
        <w:spacing w:after="0" w:line="360" w:lineRule="auto"/>
        <w:ind w:firstLine="720"/>
        <w:jc w:val="both"/>
        <w:rPr>
          <w:rFonts w:ascii="Times New Roman" w:hAnsi="Times New Roman" w:cs="Times New Roman"/>
        </w:rPr>
      </w:pPr>
    </w:p>
    <w:p w14:paraId="5521EF7D" w14:textId="77777777" w:rsidR="00976C1F" w:rsidRPr="00596E24" w:rsidRDefault="0063676F" w:rsidP="00A15608">
      <w:pPr>
        <w:spacing w:after="0" w:line="360" w:lineRule="auto"/>
        <w:rPr>
          <w:rFonts w:ascii="Times New Roman" w:hAnsi="Times New Roman" w:cs="Times New Roman"/>
          <w:b/>
          <w:sz w:val="24"/>
          <w:szCs w:val="24"/>
          <w:u w:val="single"/>
        </w:rPr>
      </w:pPr>
      <w:r w:rsidRPr="00596E24">
        <w:rPr>
          <w:rFonts w:ascii="Times New Roman" w:hAnsi="Times New Roman" w:cs="Times New Roman"/>
          <w:b/>
          <w:sz w:val="24"/>
          <w:szCs w:val="24"/>
          <w:u w:val="single"/>
        </w:rPr>
        <w:t>Schedule 90 and 190 Revisions</w:t>
      </w:r>
    </w:p>
    <w:p w14:paraId="5521EF7E" w14:textId="77777777" w:rsidR="00A9493A" w:rsidRDefault="00902479" w:rsidP="00A15608">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Avista’s electric DSM operations are governed by Schedule 90 tariff requirements and natural gas DSM operations are governed by Schedule 190. These tariffs</w:t>
      </w:r>
      <w:r w:rsidR="001F7C5C" w:rsidRPr="00596E24">
        <w:rPr>
          <w:rFonts w:ascii="Times New Roman" w:hAnsi="Times New Roman" w:cs="Times New Roman"/>
          <w:color w:val="auto"/>
        </w:rPr>
        <w:t xml:space="preserve"> </w:t>
      </w:r>
      <w:r w:rsidRPr="00596E24">
        <w:rPr>
          <w:rFonts w:ascii="Times New Roman" w:hAnsi="Times New Roman" w:cs="Times New Roman"/>
          <w:color w:val="auto"/>
        </w:rPr>
        <w:t xml:space="preserve">(attached within Appendix E) detail the eligibility and allowable funding that the Company provides for energy efficiency measures. Though the tariff allows for considerable flexibility in how programs are designed and delivered and accommodates a degree of flexibility around incentives for prescriptive programs subject to reasonable justification, there remains the occasional need to modify the tariff to meet current and future market conditions and opportunities. </w:t>
      </w:r>
      <w:r w:rsidR="005D382C">
        <w:rPr>
          <w:rFonts w:ascii="Times New Roman" w:hAnsi="Times New Roman" w:cs="Times New Roman"/>
          <w:color w:val="auto"/>
        </w:rPr>
        <w:t>The C</w:t>
      </w:r>
      <w:r w:rsidR="0090331C">
        <w:rPr>
          <w:rFonts w:ascii="Times New Roman" w:hAnsi="Times New Roman" w:cs="Times New Roman"/>
          <w:color w:val="auto"/>
        </w:rPr>
        <w:t>ompany is not currently planning any revisions to schedule</w:t>
      </w:r>
      <w:r w:rsidR="00820FE2">
        <w:rPr>
          <w:rFonts w:ascii="Times New Roman" w:hAnsi="Times New Roman" w:cs="Times New Roman"/>
          <w:color w:val="auto"/>
        </w:rPr>
        <w:t>s</w:t>
      </w:r>
      <w:r w:rsidR="0090331C">
        <w:rPr>
          <w:rFonts w:ascii="Times New Roman" w:hAnsi="Times New Roman" w:cs="Times New Roman"/>
          <w:color w:val="auto"/>
        </w:rPr>
        <w:t xml:space="preserve"> 90 or 190 tariffs.</w:t>
      </w:r>
      <w:r w:rsidR="005D382C">
        <w:rPr>
          <w:rFonts w:ascii="Times New Roman" w:hAnsi="Times New Roman" w:cs="Times New Roman"/>
          <w:color w:val="auto"/>
        </w:rPr>
        <w:t xml:space="preserve"> </w:t>
      </w:r>
    </w:p>
    <w:p w14:paraId="5521EF7F" w14:textId="77777777" w:rsidR="00A9493A" w:rsidRPr="00A15608" w:rsidRDefault="00A9493A" w:rsidP="00A15608">
      <w:pPr>
        <w:pStyle w:val="Default"/>
        <w:spacing w:line="360" w:lineRule="auto"/>
        <w:jc w:val="both"/>
        <w:rPr>
          <w:rFonts w:ascii="Times New Roman" w:hAnsi="Times New Roman" w:cs="Times New Roman"/>
          <w:b/>
          <w:color w:val="auto"/>
          <w:u w:val="single"/>
        </w:rPr>
      </w:pPr>
      <w:r w:rsidRPr="00A9493A">
        <w:rPr>
          <w:rFonts w:ascii="Times New Roman" w:hAnsi="Times New Roman" w:cs="Times New Roman"/>
          <w:b/>
          <w:color w:val="auto"/>
          <w:u w:val="single"/>
        </w:rPr>
        <w:lastRenderedPageBreak/>
        <w:t>Schedule 91 and 191 Revisions</w:t>
      </w:r>
    </w:p>
    <w:p w14:paraId="5521EF80" w14:textId="77777777" w:rsidR="00A9493A" w:rsidRDefault="00A9493A" w:rsidP="00A15608">
      <w:pPr>
        <w:pStyle w:val="Default"/>
        <w:spacing w:line="360" w:lineRule="auto"/>
        <w:jc w:val="both"/>
        <w:rPr>
          <w:rFonts w:ascii="Times New Roman" w:hAnsi="Times New Roman" w:cs="Times New Roman"/>
          <w:color w:val="auto"/>
        </w:rPr>
      </w:pPr>
      <w:r>
        <w:rPr>
          <w:rFonts w:ascii="Times New Roman" w:hAnsi="Times New Roman" w:cs="Times New Roman"/>
          <w:color w:val="auto"/>
        </w:rPr>
        <w:tab/>
        <w:t xml:space="preserve">The Company is currently monitoring the balance in both the electric and natural gas tariff riders. As of the end of November, the </w:t>
      </w:r>
      <w:r w:rsidR="00F8382D">
        <w:rPr>
          <w:rFonts w:ascii="Times New Roman" w:hAnsi="Times New Roman" w:cs="Times New Roman"/>
          <w:color w:val="auto"/>
        </w:rPr>
        <w:t xml:space="preserve">negatives (underfunded) </w:t>
      </w:r>
      <w:r w:rsidR="00820FE2">
        <w:rPr>
          <w:rFonts w:ascii="Times New Roman" w:hAnsi="Times New Roman" w:cs="Times New Roman"/>
          <w:color w:val="auto"/>
        </w:rPr>
        <w:t>balances were</w:t>
      </w:r>
      <w:r>
        <w:rPr>
          <w:rFonts w:ascii="Times New Roman" w:hAnsi="Times New Roman" w:cs="Times New Roman"/>
          <w:color w:val="auto"/>
        </w:rPr>
        <w:t xml:space="preserve"> </w:t>
      </w:r>
      <w:r w:rsidR="00F8382D">
        <w:rPr>
          <w:rFonts w:ascii="Times New Roman" w:hAnsi="Times New Roman" w:cs="Times New Roman"/>
          <w:color w:val="auto"/>
        </w:rPr>
        <w:t>$5.7 million electric and $1.5 million natural gas</w:t>
      </w:r>
      <w:r>
        <w:rPr>
          <w:rFonts w:ascii="Times New Roman" w:hAnsi="Times New Roman" w:cs="Times New Roman"/>
          <w:color w:val="auto"/>
        </w:rPr>
        <w:t>. WAC 480-100-130(2) requires the utility to file on or before June 1</w:t>
      </w:r>
      <w:r w:rsidRPr="00A9493A">
        <w:rPr>
          <w:rFonts w:ascii="Times New Roman" w:hAnsi="Times New Roman" w:cs="Times New Roman"/>
          <w:color w:val="auto"/>
          <w:vertAlign w:val="superscript"/>
        </w:rPr>
        <w:t>st</w:t>
      </w:r>
      <w:r>
        <w:rPr>
          <w:rFonts w:ascii="Times New Roman" w:hAnsi="Times New Roman" w:cs="Times New Roman"/>
          <w:color w:val="auto"/>
        </w:rPr>
        <w:t xml:space="preserve"> every year to “true up” the rider balance with an August 1</w:t>
      </w:r>
      <w:r w:rsidRPr="00A9493A">
        <w:rPr>
          <w:rFonts w:ascii="Times New Roman" w:hAnsi="Times New Roman" w:cs="Times New Roman"/>
          <w:color w:val="auto"/>
          <w:vertAlign w:val="superscript"/>
        </w:rPr>
        <w:t>st</w:t>
      </w:r>
      <w:r>
        <w:rPr>
          <w:rFonts w:ascii="Times New Roman" w:hAnsi="Times New Roman" w:cs="Times New Roman"/>
          <w:color w:val="auto"/>
        </w:rPr>
        <w:t xml:space="preserve"> effective date.  As we continue to monitor the balances, the Company may, with the guidance of its Advisory Group </w:t>
      </w:r>
      <w:r w:rsidR="00820FE2">
        <w:rPr>
          <w:rFonts w:ascii="Times New Roman" w:hAnsi="Times New Roman" w:cs="Times New Roman"/>
          <w:color w:val="auto"/>
        </w:rPr>
        <w:t>propose</w:t>
      </w:r>
      <w:r>
        <w:rPr>
          <w:rFonts w:ascii="Times New Roman" w:hAnsi="Times New Roman" w:cs="Times New Roman"/>
          <w:color w:val="auto"/>
        </w:rPr>
        <w:t xml:space="preserve"> to file a true up earlier than June 1</w:t>
      </w:r>
      <w:r w:rsidRPr="00A9493A">
        <w:rPr>
          <w:rFonts w:ascii="Times New Roman" w:hAnsi="Times New Roman" w:cs="Times New Roman"/>
          <w:color w:val="auto"/>
          <w:vertAlign w:val="superscript"/>
        </w:rPr>
        <w:t>st</w:t>
      </w:r>
      <w:r>
        <w:rPr>
          <w:rFonts w:ascii="Times New Roman" w:hAnsi="Times New Roman" w:cs="Times New Roman"/>
          <w:color w:val="auto"/>
        </w:rPr>
        <w:t xml:space="preserve">. </w:t>
      </w:r>
    </w:p>
    <w:p w14:paraId="5521EF81" w14:textId="77777777" w:rsidR="00D239D6" w:rsidRDefault="00D239D6" w:rsidP="00A15608">
      <w:pPr>
        <w:pStyle w:val="Default"/>
        <w:spacing w:line="360" w:lineRule="auto"/>
        <w:jc w:val="both"/>
        <w:rPr>
          <w:rFonts w:ascii="Times New Roman" w:hAnsi="Times New Roman" w:cs="Times New Roman"/>
          <w:color w:val="auto"/>
        </w:rPr>
      </w:pPr>
    </w:p>
    <w:p w14:paraId="5521EF82" w14:textId="77777777" w:rsidR="00A558DA" w:rsidRDefault="00A558DA" w:rsidP="00A15608">
      <w:pPr>
        <w:spacing w:after="0" w:line="360" w:lineRule="auto"/>
        <w:jc w:val="both"/>
        <w:rPr>
          <w:rFonts w:ascii="Times New Roman" w:hAnsi="Times New Roman" w:cs="Times New Roman"/>
          <w:b/>
          <w:sz w:val="24"/>
          <w:szCs w:val="24"/>
          <w:u w:val="single"/>
        </w:rPr>
      </w:pPr>
      <w:r w:rsidRPr="00A558DA">
        <w:rPr>
          <w:rFonts w:ascii="Times New Roman" w:hAnsi="Times New Roman" w:cs="Times New Roman"/>
          <w:b/>
          <w:sz w:val="24"/>
          <w:szCs w:val="24"/>
          <w:u w:val="single"/>
        </w:rPr>
        <w:t>Washington Energy Independence Act Standards for the 201</w:t>
      </w:r>
      <w:r>
        <w:rPr>
          <w:rFonts w:ascii="Times New Roman" w:hAnsi="Times New Roman" w:cs="Times New Roman"/>
          <w:b/>
          <w:sz w:val="24"/>
          <w:szCs w:val="24"/>
          <w:u w:val="single"/>
        </w:rPr>
        <w:t>6</w:t>
      </w:r>
      <w:r w:rsidRPr="00A558DA">
        <w:rPr>
          <w:rFonts w:ascii="Times New Roman" w:hAnsi="Times New Roman" w:cs="Times New Roman"/>
          <w:b/>
          <w:sz w:val="24"/>
          <w:szCs w:val="24"/>
          <w:u w:val="single"/>
        </w:rPr>
        <w:t>-201</w:t>
      </w:r>
      <w:r>
        <w:rPr>
          <w:rFonts w:ascii="Times New Roman" w:hAnsi="Times New Roman" w:cs="Times New Roman"/>
          <w:b/>
          <w:sz w:val="24"/>
          <w:szCs w:val="24"/>
          <w:u w:val="single"/>
        </w:rPr>
        <w:t>7</w:t>
      </w:r>
      <w:r w:rsidRPr="00A558DA">
        <w:rPr>
          <w:rFonts w:ascii="Times New Roman" w:hAnsi="Times New Roman" w:cs="Times New Roman"/>
          <w:b/>
          <w:sz w:val="24"/>
          <w:szCs w:val="24"/>
          <w:u w:val="single"/>
        </w:rPr>
        <w:t xml:space="preserve"> Biennium</w:t>
      </w:r>
    </w:p>
    <w:p w14:paraId="5521EF83" w14:textId="77777777" w:rsidR="00A558DA" w:rsidRPr="00BC225A" w:rsidRDefault="00A558DA" w:rsidP="00A15608">
      <w:pPr>
        <w:spacing w:after="0" w:line="360" w:lineRule="auto"/>
        <w:ind w:firstLine="720"/>
        <w:jc w:val="both"/>
        <w:rPr>
          <w:rFonts w:ascii="Times New Roman" w:hAnsi="Times New Roman" w:cs="Times New Roman"/>
          <w:sz w:val="24"/>
          <w:szCs w:val="24"/>
        </w:rPr>
      </w:pPr>
      <w:r w:rsidRPr="00BC225A">
        <w:rPr>
          <w:rFonts w:ascii="Times New Roman" w:hAnsi="Times New Roman" w:cs="Times New Roman"/>
          <w:sz w:val="24"/>
          <w:szCs w:val="24"/>
        </w:rPr>
        <w:t xml:space="preserve">Washington </w:t>
      </w:r>
      <w:r>
        <w:rPr>
          <w:rFonts w:ascii="Times New Roman" w:hAnsi="Times New Roman" w:cs="Times New Roman"/>
          <w:sz w:val="24"/>
          <w:szCs w:val="24"/>
        </w:rPr>
        <w:t xml:space="preserve">Energy Independence Act (EIA) </w:t>
      </w:r>
      <w:r w:rsidRPr="00BC225A">
        <w:rPr>
          <w:rFonts w:ascii="Times New Roman" w:hAnsi="Times New Roman" w:cs="Times New Roman"/>
          <w:sz w:val="24"/>
          <w:szCs w:val="24"/>
        </w:rPr>
        <w:t>requirements establish a minimum electric acquisition standard for conservation resources for each designated biennium.  The acquisition requirement can be met with local DSM programs, distribution efficiency acquisition or reductions in generation parasit</w:t>
      </w:r>
      <w:r>
        <w:rPr>
          <w:rFonts w:ascii="Times New Roman" w:hAnsi="Times New Roman" w:cs="Times New Roman"/>
          <w:sz w:val="24"/>
          <w:szCs w:val="24"/>
        </w:rPr>
        <w:t xml:space="preserve">ic load. </w:t>
      </w:r>
      <w:r w:rsidRPr="00BC225A">
        <w:rPr>
          <w:rFonts w:ascii="Times New Roman" w:hAnsi="Times New Roman" w:cs="Times New Roman"/>
          <w:sz w:val="24"/>
          <w:szCs w:val="24"/>
        </w:rPr>
        <w:t>Fuel efficiency efforts (electric to natural gas conversions) and acquisition attributed to Avista through regional market transformation have been excluded from the acquisition target and are not an eligible measure towards achieving that target.</w:t>
      </w:r>
    </w:p>
    <w:p w14:paraId="5521EF84" w14:textId="77777777" w:rsidR="00A558DA" w:rsidRPr="00BC225A" w:rsidRDefault="00A558DA" w:rsidP="00A15608">
      <w:pPr>
        <w:spacing w:after="0" w:line="360" w:lineRule="auto"/>
        <w:ind w:firstLine="720"/>
        <w:jc w:val="both"/>
        <w:rPr>
          <w:rFonts w:ascii="Times New Roman" w:hAnsi="Times New Roman" w:cs="Times New Roman"/>
          <w:sz w:val="24"/>
          <w:szCs w:val="24"/>
        </w:rPr>
      </w:pPr>
      <w:r w:rsidRPr="00BC225A">
        <w:rPr>
          <w:rFonts w:ascii="Times New Roman" w:hAnsi="Times New Roman" w:cs="Times New Roman"/>
          <w:sz w:val="24"/>
          <w:szCs w:val="24"/>
        </w:rPr>
        <w:t xml:space="preserve">For the </w:t>
      </w:r>
      <w:r>
        <w:rPr>
          <w:rFonts w:ascii="Times New Roman" w:hAnsi="Times New Roman" w:cs="Times New Roman"/>
          <w:sz w:val="24"/>
          <w:szCs w:val="24"/>
        </w:rPr>
        <w:t>2016</w:t>
      </w:r>
      <w:r w:rsidR="000D3BEB">
        <w:rPr>
          <w:rFonts w:ascii="Times New Roman" w:hAnsi="Times New Roman" w:cs="Times New Roman"/>
          <w:sz w:val="24"/>
          <w:szCs w:val="24"/>
        </w:rPr>
        <w:t>-</w:t>
      </w:r>
      <w:r>
        <w:rPr>
          <w:rFonts w:ascii="Times New Roman" w:hAnsi="Times New Roman" w:cs="Times New Roman"/>
          <w:sz w:val="24"/>
          <w:szCs w:val="24"/>
        </w:rPr>
        <w:t>2017</w:t>
      </w:r>
      <w:r w:rsidRPr="00BC225A">
        <w:rPr>
          <w:rFonts w:ascii="Times New Roman" w:hAnsi="Times New Roman" w:cs="Times New Roman"/>
          <w:sz w:val="24"/>
          <w:szCs w:val="24"/>
        </w:rPr>
        <w:t xml:space="preserve"> biennium</w:t>
      </w:r>
      <w:r w:rsidR="00820FE2">
        <w:rPr>
          <w:rFonts w:ascii="Times New Roman" w:hAnsi="Times New Roman" w:cs="Times New Roman"/>
          <w:sz w:val="24"/>
          <w:szCs w:val="24"/>
        </w:rPr>
        <w:t>,</w:t>
      </w:r>
      <w:r w:rsidRPr="00BC225A">
        <w:rPr>
          <w:rFonts w:ascii="Times New Roman" w:hAnsi="Times New Roman" w:cs="Times New Roman"/>
          <w:sz w:val="24"/>
          <w:szCs w:val="24"/>
        </w:rPr>
        <w:t xml:space="preserve"> the aggregate conservation acquisition requirement is </w:t>
      </w:r>
      <w:r w:rsidR="00C77C06">
        <w:rPr>
          <w:rFonts w:ascii="Times New Roman" w:hAnsi="Times New Roman" w:cs="Times New Roman"/>
          <w:sz w:val="24"/>
          <w:szCs w:val="24"/>
        </w:rPr>
        <w:t>76,257</w:t>
      </w:r>
      <w:r w:rsidRPr="00BC225A">
        <w:rPr>
          <w:rFonts w:ascii="Times New Roman" w:hAnsi="Times New Roman" w:cs="Times New Roman"/>
          <w:sz w:val="24"/>
          <w:szCs w:val="24"/>
        </w:rPr>
        <w:t xml:space="preserve"> MWh</w:t>
      </w:r>
      <w:r w:rsidRPr="00095CDF">
        <w:rPr>
          <w:rFonts w:ascii="Times New Roman" w:hAnsi="Times New Roman" w:cs="Times New Roman"/>
          <w:sz w:val="24"/>
          <w:szCs w:val="24"/>
        </w:rPr>
        <w:t xml:space="preserve">.  </w:t>
      </w:r>
      <w:r>
        <w:rPr>
          <w:rFonts w:ascii="Times New Roman" w:hAnsi="Times New Roman" w:cs="Times New Roman"/>
          <w:sz w:val="24"/>
          <w:szCs w:val="24"/>
        </w:rPr>
        <w:t>As part of the General Rate Case Settlement Agreement in Docket Nos. UE-140188 and UG-140189, the Company agreed, in consideration for receiving a full electric decoupling mechanism,</w:t>
      </w:r>
      <w:r w:rsidRPr="00095CDF">
        <w:rPr>
          <w:rFonts w:ascii="Times New Roman" w:hAnsi="Times New Roman" w:cs="Times New Roman"/>
          <w:sz w:val="24"/>
          <w:szCs w:val="24"/>
        </w:rPr>
        <w:t xml:space="preserve"> to increase its electric energy conservation achievement by 5% over the conservation target approved by the Commission, beginning with the 201</w:t>
      </w:r>
      <w:r>
        <w:rPr>
          <w:rFonts w:ascii="Times New Roman" w:hAnsi="Times New Roman" w:cs="Times New Roman"/>
          <w:sz w:val="24"/>
          <w:szCs w:val="24"/>
        </w:rPr>
        <w:t>6</w:t>
      </w:r>
      <w:r w:rsidRPr="00095CDF">
        <w:rPr>
          <w:rFonts w:ascii="Times New Roman" w:hAnsi="Times New Roman" w:cs="Times New Roman"/>
          <w:sz w:val="24"/>
          <w:szCs w:val="24"/>
        </w:rPr>
        <w:t>-201</w:t>
      </w:r>
      <w:r>
        <w:rPr>
          <w:rFonts w:ascii="Times New Roman" w:hAnsi="Times New Roman" w:cs="Times New Roman"/>
          <w:sz w:val="24"/>
          <w:szCs w:val="24"/>
        </w:rPr>
        <w:t>7</w:t>
      </w:r>
      <w:r w:rsidRPr="00095CDF">
        <w:rPr>
          <w:rFonts w:ascii="Times New Roman" w:hAnsi="Times New Roman" w:cs="Times New Roman"/>
          <w:sz w:val="24"/>
          <w:szCs w:val="24"/>
        </w:rPr>
        <w:t xml:space="preserve"> biennial target.</w:t>
      </w:r>
      <w:r>
        <w:rPr>
          <w:rFonts w:ascii="Times New Roman" w:hAnsi="Times New Roman" w:cs="Times New Roman"/>
          <w:sz w:val="24"/>
          <w:szCs w:val="24"/>
        </w:rPr>
        <w:t xml:space="preserve"> </w:t>
      </w:r>
      <w:r w:rsidRPr="00BC225A">
        <w:rPr>
          <w:rFonts w:ascii="Times New Roman" w:hAnsi="Times New Roman" w:cs="Times New Roman"/>
          <w:sz w:val="24"/>
          <w:szCs w:val="24"/>
        </w:rPr>
        <w:t>The scope of the DSM Business Plan covers the majority of the acquisition eli</w:t>
      </w:r>
      <w:r w:rsidR="00820FE2">
        <w:rPr>
          <w:rFonts w:ascii="Times New Roman" w:hAnsi="Times New Roman" w:cs="Times New Roman"/>
          <w:sz w:val="24"/>
          <w:szCs w:val="24"/>
        </w:rPr>
        <w:t>gible to achieve this target however,</w:t>
      </w:r>
      <w:r w:rsidRPr="00BC225A">
        <w:rPr>
          <w:rFonts w:ascii="Times New Roman" w:hAnsi="Times New Roman" w:cs="Times New Roman"/>
          <w:sz w:val="24"/>
          <w:szCs w:val="24"/>
        </w:rPr>
        <w:t xml:space="preserve"> does not include efficiencies achieved through distribution or generation facilities.  </w:t>
      </w:r>
    </w:p>
    <w:p w14:paraId="5521EF85" w14:textId="77777777" w:rsidR="005B2F50" w:rsidRDefault="00A558DA" w:rsidP="00A15608">
      <w:pPr>
        <w:spacing w:after="0" w:line="360" w:lineRule="auto"/>
        <w:ind w:firstLine="720"/>
        <w:jc w:val="both"/>
        <w:rPr>
          <w:rFonts w:ascii="Times New Roman" w:hAnsi="Times New Roman" w:cs="Times New Roman"/>
          <w:sz w:val="24"/>
          <w:szCs w:val="24"/>
        </w:rPr>
      </w:pPr>
      <w:r w:rsidRPr="00BC225A">
        <w:rPr>
          <w:rFonts w:ascii="Times New Roman" w:hAnsi="Times New Roman" w:cs="Times New Roman"/>
          <w:sz w:val="24"/>
          <w:szCs w:val="24"/>
        </w:rPr>
        <w:t xml:space="preserve">Since the Washington </w:t>
      </w:r>
      <w:r>
        <w:rPr>
          <w:rFonts w:ascii="Times New Roman" w:hAnsi="Times New Roman" w:cs="Times New Roman"/>
          <w:sz w:val="24"/>
          <w:szCs w:val="24"/>
        </w:rPr>
        <w:t>EIA</w:t>
      </w:r>
      <w:r w:rsidRPr="00BC225A">
        <w:rPr>
          <w:rFonts w:ascii="Times New Roman" w:hAnsi="Times New Roman" w:cs="Times New Roman"/>
          <w:sz w:val="24"/>
          <w:szCs w:val="24"/>
        </w:rPr>
        <w:t xml:space="preserve"> target was established bas</w:t>
      </w:r>
      <w:r>
        <w:rPr>
          <w:rFonts w:ascii="Times New Roman" w:hAnsi="Times New Roman" w:cs="Times New Roman"/>
          <w:sz w:val="24"/>
          <w:szCs w:val="24"/>
        </w:rPr>
        <w:t>ed upon Northwest Power and Conservation</w:t>
      </w:r>
      <w:r w:rsidRPr="00BC225A">
        <w:rPr>
          <w:rFonts w:ascii="Times New Roman" w:hAnsi="Times New Roman" w:cs="Times New Roman"/>
          <w:sz w:val="24"/>
          <w:szCs w:val="24"/>
        </w:rPr>
        <w:t xml:space="preserve"> Council methodologies and the Council’s RTF </w:t>
      </w:r>
      <w:r w:rsidR="00820FE2">
        <w:rPr>
          <w:rFonts w:ascii="Times New Roman" w:hAnsi="Times New Roman" w:cs="Times New Roman"/>
          <w:sz w:val="24"/>
          <w:szCs w:val="24"/>
        </w:rPr>
        <w:t>Unit Energy Savings (</w:t>
      </w:r>
      <w:r w:rsidRPr="00BC225A">
        <w:rPr>
          <w:rFonts w:ascii="Times New Roman" w:hAnsi="Times New Roman" w:cs="Times New Roman"/>
          <w:sz w:val="24"/>
          <w:szCs w:val="24"/>
        </w:rPr>
        <w:t>UES</w:t>
      </w:r>
      <w:r w:rsidR="00820FE2">
        <w:rPr>
          <w:rFonts w:ascii="Times New Roman" w:hAnsi="Times New Roman" w:cs="Times New Roman"/>
          <w:sz w:val="24"/>
          <w:szCs w:val="24"/>
        </w:rPr>
        <w:t>)</w:t>
      </w:r>
      <w:r>
        <w:rPr>
          <w:rFonts w:ascii="Times New Roman" w:hAnsi="Times New Roman" w:cs="Times New Roman"/>
          <w:sz w:val="24"/>
          <w:szCs w:val="24"/>
        </w:rPr>
        <w:t>,</w:t>
      </w:r>
      <w:r w:rsidRPr="00BC225A">
        <w:rPr>
          <w:rFonts w:ascii="Times New Roman" w:hAnsi="Times New Roman" w:cs="Times New Roman"/>
          <w:sz w:val="24"/>
          <w:szCs w:val="24"/>
        </w:rPr>
        <w:t xml:space="preserve"> those same methodologies and savings are employed, to the extent possible, in measuring the savings eligible to achieve that target.  The planning effort has, with a few isolated exceptions, adopted the same approach so as to generate the best prediction of how 201</w:t>
      </w:r>
      <w:r w:rsidR="00D23DC4">
        <w:rPr>
          <w:rFonts w:ascii="Times New Roman" w:hAnsi="Times New Roman" w:cs="Times New Roman"/>
          <w:sz w:val="24"/>
          <w:szCs w:val="24"/>
        </w:rPr>
        <w:t>6</w:t>
      </w:r>
      <w:r w:rsidRPr="00BC225A">
        <w:rPr>
          <w:rFonts w:ascii="Times New Roman" w:hAnsi="Times New Roman" w:cs="Times New Roman"/>
          <w:sz w:val="24"/>
          <w:szCs w:val="24"/>
        </w:rPr>
        <w:t xml:space="preserve"> portfolio performance will be retrospectively measured.  The use of RTF UES also assists in the management </w:t>
      </w:r>
      <w:r w:rsidR="00820FE2">
        <w:rPr>
          <w:rFonts w:ascii="Times New Roman" w:hAnsi="Times New Roman" w:cs="Times New Roman"/>
          <w:sz w:val="24"/>
          <w:szCs w:val="24"/>
        </w:rPr>
        <w:t>of the Company’s EM&amp;V</w:t>
      </w:r>
      <w:r w:rsidRPr="00BC225A">
        <w:rPr>
          <w:rFonts w:ascii="Times New Roman" w:hAnsi="Times New Roman" w:cs="Times New Roman"/>
          <w:sz w:val="24"/>
          <w:szCs w:val="24"/>
        </w:rPr>
        <w:t xml:space="preserve"> expense by </w:t>
      </w:r>
      <w:r w:rsidR="005B2F50">
        <w:rPr>
          <w:rFonts w:ascii="Times New Roman" w:hAnsi="Times New Roman" w:cs="Times New Roman"/>
          <w:sz w:val="24"/>
          <w:szCs w:val="24"/>
        </w:rPr>
        <w:t xml:space="preserve">reducing the expenses associated with impact evaluation. However, the relationship between the regional utilities and the RTF is a symbiotic one and any </w:t>
      </w:r>
      <w:r w:rsidR="00141005">
        <w:rPr>
          <w:rFonts w:ascii="Times New Roman" w:hAnsi="Times New Roman" w:cs="Times New Roman"/>
          <w:sz w:val="24"/>
          <w:szCs w:val="24"/>
        </w:rPr>
        <w:t xml:space="preserve">impact </w:t>
      </w:r>
      <w:r w:rsidR="00141005">
        <w:rPr>
          <w:rFonts w:ascii="Times New Roman" w:hAnsi="Times New Roman" w:cs="Times New Roman"/>
          <w:sz w:val="24"/>
          <w:szCs w:val="24"/>
        </w:rPr>
        <w:lastRenderedPageBreak/>
        <w:t>evaluations</w:t>
      </w:r>
      <w:r w:rsidR="005B2F50">
        <w:rPr>
          <w:rFonts w:ascii="Times New Roman" w:hAnsi="Times New Roman" w:cs="Times New Roman"/>
          <w:sz w:val="24"/>
          <w:szCs w:val="24"/>
        </w:rPr>
        <w:t xml:space="preserve"> performed on a current RTF measure will be shared with the RTF to help improve the quality of the regional deemed UES.</w:t>
      </w:r>
    </w:p>
    <w:p w14:paraId="5521EF86" w14:textId="77777777" w:rsidR="00820FE2" w:rsidRDefault="00820FE2">
      <w:pPr>
        <w:rPr>
          <w:rFonts w:ascii="Times New Roman" w:hAnsi="Times New Roman" w:cs="Times New Roman"/>
          <w:sz w:val="24"/>
          <w:szCs w:val="24"/>
        </w:rPr>
      </w:pPr>
    </w:p>
    <w:p w14:paraId="5521EF87" w14:textId="77777777" w:rsidR="007E3759" w:rsidRPr="00CA2317" w:rsidRDefault="00A15608" w:rsidP="00596E24">
      <w:pPr>
        <w:pStyle w:val="ListParagraph"/>
        <w:numPr>
          <w:ilvl w:val="0"/>
          <w:numId w:val="2"/>
        </w:numPr>
        <w:jc w:val="center"/>
        <w:rPr>
          <w:rFonts w:ascii="Times New Roman" w:hAnsi="Times New Roman" w:cs="Times New Roman"/>
          <w:b/>
          <w:sz w:val="24"/>
          <w:szCs w:val="24"/>
          <w:u w:val="single"/>
        </w:rPr>
      </w:pPr>
      <w:r w:rsidRPr="00596E24">
        <w:rPr>
          <w:rFonts w:ascii="Times New Roman" w:hAnsi="Times New Roman" w:cs="Times New Roman"/>
          <w:b/>
          <w:sz w:val="24"/>
          <w:szCs w:val="24"/>
          <w:u w:val="single"/>
        </w:rPr>
        <w:t>DSM PORTFOLIO OVERVIEW</w:t>
      </w:r>
    </w:p>
    <w:p w14:paraId="5521EF88" w14:textId="77777777" w:rsidR="00820FE2" w:rsidRDefault="00820FE2" w:rsidP="00596E24">
      <w:pPr>
        <w:rPr>
          <w:rFonts w:ascii="Times New Roman" w:hAnsi="Times New Roman" w:cs="Times New Roman"/>
          <w:b/>
          <w:sz w:val="24"/>
          <w:szCs w:val="24"/>
          <w:u w:val="single"/>
        </w:rPr>
      </w:pPr>
    </w:p>
    <w:p w14:paraId="5521EF89" w14:textId="77777777" w:rsidR="0063676F" w:rsidRPr="00596E24" w:rsidRDefault="0063676F" w:rsidP="00596E24">
      <w:pPr>
        <w:rPr>
          <w:rFonts w:ascii="Times New Roman" w:hAnsi="Times New Roman" w:cs="Times New Roman"/>
          <w:b/>
          <w:sz w:val="24"/>
          <w:szCs w:val="24"/>
          <w:u w:val="single"/>
        </w:rPr>
      </w:pPr>
      <w:r w:rsidRPr="00596E24">
        <w:rPr>
          <w:rFonts w:ascii="Times New Roman" w:hAnsi="Times New Roman" w:cs="Times New Roman"/>
          <w:b/>
          <w:sz w:val="24"/>
          <w:szCs w:val="24"/>
          <w:u w:val="single"/>
        </w:rPr>
        <w:t>Residential Portfolio Overview</w:t>
      </w:r>
    </w:p>
    <w:p w14:paraId="5521EF8A" w14:textId="77777777" w:rsidR="00765EBA" w:rsidRPr="00150141" w:rsidRDefault="00765EBA" w:rsidP="00A15608">
      <w:pPr>
        <w:pStyle w:val="Default"/>
        <w:spacing w:line="360" w:lineRule="auto"/>
        <w:ind w:firstLine="720"/>
        <w:jc w:val="both"/>
        <w:rPr>
          <w:rFonts w:ascii="Times New Roman" w:hAnsi="Times New Roman" w:cs="Times New Roman"/>
          <w:color w:val="auto"/>
        </w:rPr>
      </w:pPr>
      <w:r w:rsidRPr="00150141">
        <w:rPr>
          <w:rFonts w:ascii="Times New Roman" w:hAnsi="Times New Roman" w:cs="Times New Roman"/>
          <w:color w:val="auto"/>
        </w:rPr>
        <w:t>The Company’s residential portfolio is composed of several approaches to engage and encourage customers to consider energy efficiency improvements within their home. Prescriptive rebate programs are the main component of the portfolio, augmented by a variety of oth</w:t>
      </w:r>
      <w:r w:rsidR="00A76716" w:rsidRPr="00150141">
        <w:rPr>
          <w:rFonts w:ascii="Times New Roman" w:hAnsi="Times New Roman" w:cs="Times New Roman"/>
          <w:color w:val="auto"/>
        </w:rPr>
        <w:t>er interventions. These include</w:t>
      </w:r>
      <w:r w:rsidRPr="00150141">
        <w:rPr>
          <w:rFonts w:ascii="Times New Roman" w:hAnsi="Times New Roman" w:cs="Times New Roman"/>
          <w:color w:val="auto"/>
        </w:rPr>
        <w:t xml:space="preserve"> upstream buy-down of low-cost lighting and water saving measures, select distribution of low-cost lighting and weatherization materials, direct-install programs and a multi-faceted, multichannel outreach and customer engagement effort. </w:t>
      </w:r>
    </w:p>
    <w:p w14:paraId="5521EF8B" w14:textId="77777777" w:rsidR="00CA2317" w:rsidRPr="00150141" w:rsidRDefault="00CA2317" w:rsidP="00A15608">
      <w:pPr>
        <w:pStyle w:val="Default"/>
        <w:spacing w:line="360" w:lineRule="auto"/>
        <w:jc w:val="both"/>
        <w:rPr>
          <w:rFonts w:ascii="Times New Roman" w:hAnsi="Times New Roman" w:cs="Times New Roman"/>
          <w:color w:val="auto"/>
        </w:rPr>
      </w:pPr>
    </w:p>
    <w:p w14:paraId="5521EF8C" w14:textId="77777777" w:rsidR="00765EBA" w:rsidRPr="00150141" w:rsidRDefault="00765EBA" w:rsidP="00A15608">
      <w:pPr>
        <w:pStyle w:val="Default"/>
        <w:spacing w:line="360" w:lineRule="auto"/>
        <w:ind w:firstLine="720"/>
        <w:jc w:val="both"/>
        <w:rPr>
          <w:rFonts w:ascii="Times New Roman" w:hAnsi="Times New Roman" w:cs="Times New Roman"/>
          <w:color w:val="auto"/>
        </w:rPr>
      </w:pPr>
      <w:r w:rsidRPr="00150141">
        <w:rPr>
          <w:rFonts w:ascii="Times New Roman" w:hAnsi="Times New Roman" w:cs="Times New Roman"/>
          <w:color w:val="auto"/>
        </w:rPr>
        <w:t xml:space="preserve">Prescriptive rebate programs use financial incentives to encourage customers to adopt qualifying energy efficiency measures. Customers must complete installation and apply for a rebate, submitting proper proof of purchase, installation and/or other documentation to Avista, typically within 90 days from project completion. Customers can submit this form in hard copy and several prescriptive measures are also available to submit online at </w:t>
      </w:r>
      <w:hyperlink r:id="rId16" w:history="1">
        <w:r w:rsidRPr="00150141">
          <w:rPr>
            <w:rStyle w:val="Hyperlink"/>
            <w:rFonts w:ascii="Times New Roman" w:hAnsi="Times New Roman" w:cs="Times New Roman"/>
          </w:rPr>
          <w:t>www.avistautilities.com</w:t>
        </w:r>
      </w:hyperlink>
      <w:r w:rsidRPr="00150141">
        <w:rPr>
          <w:rFonts w:ascii="Times New Roman" w:hAnsi="Times New Roman" w:cs="Times New Roman"/>
          <w:color w:val="auto"/>
        </w:rPr>
        <w:t xml:space="preserve">. </w:t>
      </w:r>
    </w:p>
    <w:p w14:paraId="5521EF8D" w14:textId="77777777" w:rsidR="00765EBA" w:rsidRPr="00150141" w:rsidRDefault="00765EBA" w:rsidP="00A15608">
      <w:pPr>
        <w:pStyle w:val="Default"/>
        <w:spacing w:line="360" w:lineRule="auto"/>
        <w:jc w:val="both"/>
        <w:rPr>
          <w:rFonts w:ascii="Times New Roman" w:hAnsi="Times New Roman" w:cs="Times New Roman"/>
          <w:color w:val="auto"/>
        </w:rPr>
      </w:pPr>
    </w:p>
    <w:p w14:paraId="5521EF8E" w14:textId="77777777" w:rsidR="00765EBA" w:rsidRPr="00150141" w:rsidRDefault="00765EBA" w:rsidP="00A15608">
      <w:pPr>
        <w:pStyle w:val="Default"/>
        <w:spacing w:line="360" w:lineRule="auto"/>
        <w:ind w:firstLine="720"/>
        <w:jc w:val="both"/>
        <w:rPr>
          <w:rFonts w:ascii="Times New Roman" w:hAnsi="Times New Roman" w:cs="Times New Roman"/>
          <w:color w:val="auto"/>
        </w:rPr>
      </w:pPr>
      <w:r w:rsidRPr="00150141">
        <w:rPr>
          <w:rFonts w:ascii="Times New Roman" w:hAnsi="Times New Roman" w:cs="Times New Roman"/>
          <w:color w:val="auto"/>
        </w:rPr>
        <w:t xml:space="preserve">Residential prescriptive programs typically cover single family homes up to a four-plex. For multifamily situations (five-plex or larger), owners/developers may choose to treat the entire complex with an efficiency improvement. In these unique cases, the projects are treated as a commercial project and are evaluated within the site-specific portfolio or the prescriptive commercial windows and insulation program. </w:t>
      </w:r>
    </w:p>
    <w:p w14:paraId="5521EF8F" w14:textId="77777777" w:rsidR="00765EBA" w:rsidRPr="00150141" w:rsidRDefault="00765EBA" w:rsidP="00A15608">
      <w:pPr>
        <w:pStyle w:val="Default"/>
        <w:spacing w:line="360" w:lineRule="auto"/>
        <w:jc w:val="both"/>
        <w:rPr>
          <w:rFonts w:ascii="Times New Roman" w:hAnsi="Times New Roman" w:cs="Times New Roman"/>
          <w:color w:val="auto"/>
        </w:rPr>
      </w:pPr>
    </w:p>
    <w:p w14:paraId="5521EF90" w14:textId="77777777" w:rsidR="00765EBA" w:rsidRPr="00150141" w:rsidRDefault="00AE7B22" w:rsidP="00A15608">
      <w:pPr>
        <w:pStyle w:val="Default"/>
        <w:spacing w:line="360" w:lineRule="auto"/>
        <w:ind w:firstLine="720"/>
        <w:jc w:val="both"/>
        <w:rPr>
          <w:rFonts w:ascii="Times New Roman" w:hAnsi="Times New Roman" w:cs="Times New Roman"/>
          <w:color w:val="auto"/>
        </w:rPr>
      </w:pPr>
      <w:r w:rsidRPr="00150141">
        <w:rPr>
          <w:rFonts w:ascii="Times New Roman" w:hAnsi="Times New Roman" w:cs="Times New Roman"/>
          <w:color w:val="auto"/>
        </w:rPr>
        <w:t>In the past</w:t>
      </w:r>
      <w:r w:rsidR="00A76716" w:rsidRPr="00150141">
        <w:rPr>
          <w:rFonts w:ascii="Times New Roman" w:hAnsi="Times New Roman" w:cs="Times New Roman"/>
          <w:color w:val="auto"/>
        </w:rPr>
        <w:t>,</w:t>
      </w:r>
      <w:r w:rsidRPr="00150141">
        <w:rPr>
          <w:rFonts w:ascii="Times New Roman" w:hAnsi="Times New Roman" w:cs="Times New Roman"/>
          <w:color w:val="auto"/>
        </w:rPr>
        <w:t xml:space="preserve"> </w:t>
      </w:r>
      <w:r w:rsidR="00765EBA" w:rsidRPr="00150141">
        <w:rPr>
          <w:rFonts w:ascii="Times New Roman" w:hAnsi="Times New Roman" w:cs="Times New Roman"/>
          <w:color w:val="auto"/>
        </w:rPr>
        <w:t>Avista</w:t>
      </w:r>
      <w:r w:rsidRPr="00150141">
        <w:rPr>
          <w:rFonts w:ascii="Times New Roman" w:hAnsi="Times New Roman" w:cs="Times New Roman"/>
          <w:color w:val="auto"/>
        </w:rPr>
        <w:t xml:space="preserve"> has</w:t>
      </w:r>
      <w:r w:rsidR="00765EBA" w:rsidRPr="00150141">
        <w:rPr>
          <w:rFonts w:ascii="Times New Roman" w:hAnsi="Times New Roman" w:cs="Times New Roman"/>
          <w:color w:val="auto"/>
        </w:rPr>
        <w:t xml:space="preserve"> offer</w:t>
      </w:r>
      <w:r w:rsidRPr="00150141">
        <w:rPr>
          <w:rFonts w:ascii="Times New Roman" w:hAnsi="Times New Roman" w:cs="Times New Roman"/>
          <w:color w:val="auto"/>
        </w:rPr>
        <w:t>ed</w:t>
      </w:r>
      <w:r w:rsidR="00765EBA" w:rsidRPr="00150141">
        <w:rPr>
          <w:rFonts w:ascii="Times New Roman" w:hAnsi="Times New Roman" w:cs="Times New Roman"/>
          <w:color w:val="auto"/>
        </w:rPr>
        <w:t xml:space="preserve"> other programs delivered to residential customers through third-party contractors. These include refrigerator and freezer recycling, the manufactured home duct sealing program and regional manufacturer buy-downs for small devices such as compact fluorescent lamps, LEDs and showerheads. </w:t>
      </w:r>
      <w:r w:rsidRPr="00150141">
        <w:rPr>
          <w:rFonts w:ascii="Times New Roman" w:hAnsi="Times New Roman" w:cs="Times New Roman"/>
          <w:color w:val="auto"/>
        </w:rPr>
        <w:t xml:space="preserve">Avista is planning to continue offering regional </w:t>
      </w:r>
      <w:r w:rsidRPr="00150141">
        <w:rPr>
          <w:rFonts w:ascii="Times New Roman" w:hAnsi="Times New Roman" w:cs="Times New Roman"/>
          <w:color w:val="auto"/>
        </w:rPr>
        <w:lastRenderedPageBreak/>
        <w:t xml:space="preserve">manufacturer buy-downs in </w:t>
      </w:r>
      <w:r w:rsidR="000D3BEB" w:rsidRPr="00150141">
        <w:rPr>
          <w:rFonts w:ascii="Times New Roman" w:hAnsi="Times New Roman" w:cs="Times New Roman"/>
          <w:color w:val="auto"/>
        </w:rPr>
        <w:t xml:space="preserve">2017 </w:t>
      </w:r>
      <w:r w:rsidRPr="00150141">
        <w:rPr>
          <w:rFonts w:ascii="Times New Roman" w:hAnsi="Times New Roman" w:cs="Times New Roman"/>
          <w:color w:val="auto"/>
        </w:rPr>
        <w:t xml:space="preserve">and is evaluating the possibility of a residential </w:t>
      </w:r>
      <w:r w:rsidR="000D3BEB" w:rsidRPr="00150141">
        <w:rPr>
          <w:rFonts w:ascii="Times New Roman" w:hAnsi="Times New Roman" w:cs="Times New Roman"/>
          <w:color w:val="auto"/>
        </w:rPr>
        <w:t>request by mail kit.</w:t>
      </w:r>
    </w:p>
    <w:p w14:paraId="5521EF91" w14:textId="77777777" w:rsidR="00CA2317" w:rsidRDefault="00820FE2" w:rsidP="00A15608">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A</w:t>
      </w:r>
      <w:r w:rsidR="00765EBA" w:rsidRPr="00596E24">
        <w:rPr>
          <w:rFonts w:ascii="Times New Roman" w:hAnsi="Times New Roman" w:cs="Times New Roman"/>
          <w:color w:val="auto"/>
        </w:rPr>
        <w:t xml:space="preserve"> measure-by-measure evaluation of the incremental contribut</w:t>
      </w:r>
      <w:r>
        <w:rPr>
          <w:rFonts w:ascii="Times New Roman" w:hAnsi="Times New Roman" w:cs="Times New Roman"/>
          <w:color w:val="auto"/>
        </w:rPr>
        <w:t>ion to the TRC</w:t>
      </w:r>
      <w:r w:rsidR="00765EBA" w:rsidRPr="00596E24">
        <w:rPr>
          <w:rFonts w:ascii="Times New Roman" w:hAnsi="Times New Roman" w:cs="Times New Roman"/>
          <w:color w:val="auto"/>
        </w:rPr>
        <w:t xml:space="preserve"> test cost-effectiveness of the portfolio is the primary guidance in reaching decisions regarding eligibility for measure</w:t>
      </w:r>
      <w:r>
        <w:rPr>
          <w:rFonts w:ascii="Times New Roman" w:hAnsi="Times New Roman" w:cs="Times New Roman"/>
          <w:color w:val="auto"/>
        </w:rPr>
        <w:t xml:space="preserve">s. For natural gas, the </w:t>
      </w:r>
      <w:r w:rsidR="00765EBA" w:rsidRPr="00596E24">
        <w:rPr>
          <w:rFonts w:ascii="Times New Roman" w:hAnsi="Times New Roman" w:cs="Times New Roman"/>
          <w:color w:val="auto"/>
        </w:rPr>
        <w:t xml:space="preserve">UCT is also applied. In the event that a previously offered measure is no longer cost-effective, a transition plan is initiated to equitably treat customers who were in or about to commit to participating in the program. Typically a minimum 90-day notice is provided prior to the termination of the program. </w:t>
      </w:r>
    </w:p>
    <w:p w14:paraId="5521EF92" w14:textId="77777777" w:rsidR="0063676F" w:rsidRDefault="00765EBA" w:rsidP="00A15608">
      <w:pPr>
        <w:pStyle w:val="Default"/>
        <w:spacing w:line="360" w:lineRule="auto"/>
        <w:ind w:firstLine="720"/>
        <w:jc w:val="both"/>
        <w:rPr>
          <w:rFonts w:ascii="Times New Roman" w:hAnsi="Times New Roman" w:cs="Times New Roman"/>
        </w:rPr>
      </w:pPr>
      <w:r w:rsidRPr="00596E24">
        <w:rPr>
          <w:rFonts w:ascii="Times New Roman" w:hAnsi="Times New Roman" w:cs="Times New Roman"/>
        </w:rPr>
        <w:t>Residential programs have a strong presence and coordination with regional efforts, such as those offered by the Northwest Energy Efficiency Alliance (NEEA). Currently there are significant regional efforts active in the markets for ENERGY STAR homes, consumer e</w:t>
      </w:r>
      <w:r w:rsidR="00A76716" w:rsidRPr="00596E24">
        <w:rPr>
          <w:rFonts w:ascii="Times New Roman" w:hAnsi="Times New Roman" w:cs="Times New Roman"/>
        </w:rPr>
        <w:t>lectronics, ductless heat pumps</w:t>
      </w:r>
      <w:r w:rsidRPr="00596E24">
        <w:rPr>
          <w:rFonts w:ascii="Times New Roman" w:hAnsi="Times New Roman" w:cs="Times New Roman"/>
        </w:rPr>
        <w:t xml:space="preserve"> and standard improvements for new heat pump water heating technologies. Avista has offered local rebates in support of many of the NEEA market transformation ventures and will continue to do so where opportunities for local leveraging of these programs are cost-effective options.</w:t>
      </w:r>
    </w:p>
    <w:p w14:paraId="5521EF93" w14:textId="77777777" w:rsidR="000E11D4" w:rsidRPr="000E11D4" w:rsidRDefault="000E11D4" w:rsidP="00A15608">
      <w:pPr>
        <w:pStyle w:val="Default"/>
        <w:spacing w:line="360" w:lineRule="auto"/>
        <w:ind w:firstLine="720"/>
        <w:jc w:val="both"/>
        <w:rPr>
          <w:rFonts w:ascii="Times New Roman" w:hAnsi="Times New Roman" w:cs="Times New Roman"/>
        </w:rPr>
      </w:pPr>
      <w:r w:rsidRPr="000E11D4">
        <w:rPr>
          <w:rFonts w:ascii="Times New Roman" w:hAnsi="Times New Roman" w:cs="Times New Roman"/>
        </w:rPr>
        <w:t>Manufactured Homes are an important customer segment</w:t>
      </w:r>
      <w:r>
        <w:rPr>
          <w:rFonts w:ascii="Times New Roman" w:hAnsi="Times New Roman" w:cs="Times New Roman"/>
        </w:rPr>
        <w:t xml:space="preserve"> within the residential portfolio</w:t>
      </w:r>
      <w:r w:rsidRPr="000E11D4">
        <w:rPr>
          <w:rFonts w:ascii="Times New Roman" w:hAnsi="Times New Roman" w:cs="Times New Roman"/>
        </w:rPr>
        <w:t xml:space="preserve"> and one that is included in many of our 2017 program offerings. We provide incentives through our </w:t>
      </w:r>
      <w:r w:rsidR="00820FE2" w:rsidRPr="00596E24">
        <w:rPr>
          <w:rFonts w:ascii="Times New Roman" w:hAnsi="Times New Roman" w:cs="Times New Roman"/>
        </w:rPr>
        <w:t>ENERGY STAR</w:t>
      </w:r>
      <w:r w:rsidRPr="000E11D4">
        <w:rPr>
          <w:rFonts w:ascii="Times New Roman" w:hAnsi="Times New Roman" w:cs="Times New Roman"/>
        </w:rPr>
        <w:t xml:space="preserve"> Homes incentive for Eco-Rated manufactured homes. We are launching a ductless heat pump incentive and heat pump water heater incentive that offers manufactured homes additional options especially when natural gas is not available. We continue to experience positive results in the manufactured home market with our electric to natural gas furnace incentive. We also have experienced similar positive results from our electric to natural gas water heater conversion incentive. We also offer high efficiency natural gas incentives for qualifying furnaces and tankless water heaters. </w:t>
      </w:r>
      <w:r w:rsidR="00820FE2">
        <w:rPr>
          <w:rFonts w:ascii="Times New Roman" w:hAnsi="Times New Roman" w:cs="Times New Roman"/>
        </w:rPr>
        <w:t>E</w:t>
      </w:r>
      <w:r w:rsidRPr="000E11D4">
        <w:rPr>
          <w:rFonts w:ascii="Times New Roman" w:hAnsi="Times New Roman" w:cs="Times New Roman"/>
        </w:rPr>
        <w:t>xisting manufactured homes without natural gas are also eligible to apply for excess construction allowance contributions towards the cost (after DSM) for qualifying natural gas water heater and high efficiency natural gas furnaces.</w:t>
      </w:r>
    </w:p>
    <w:p w14:paraId="5521EF94" w14:textId="77777777" w:rsidR="000E11D4" w:rsidRDefault="000E11D4" w:rsidP="00A15608">
      <w:pPr>
        <w:pStyle w:val="Default"/>
        <w:spacing w:line="360" w:lineRule="auto"/>
        <w:ind w:firstLine="720"/>
        <w:jc w:val="both"/>
        <w:rPr>
          <w:rFonts w:ascii="Times New Roman" w:hAnsi="Times New Roman" w:cs="Times New Roman"/>
        </w:rPr>
      </w:pPr>
      <w:r w:rsidRPr="000E11D4">
        <w:rPr>
          <w:rFonts w:ascii="Times New Roman" w:hAnsi="Times New Roman" w:cs="Times New Roman"/>
        </w:rPr>
        <w:t xml:space="preserve">These are just some highlights of continued efforts to focus on and serve manufactured homes along with stick built residential dwellings.  Avista recently completed a comprehensive, direct install program treating manufactured homes and delivering $2.4 million in duct sealing and repair. UCONS was the contractor that delivered this treatment that they worked with the WSU-Energy Extension to propose for eastern Washington and Avista customers. While Manufactured </w:t>
      </w:r>
      <w:r w:rsidRPr="000E11D4">
        <w:rPr>
          <w:rFonts w:ascii="Times New Roman" w:hAnsi="Times New Roman" w:cs="Times New Roman"/>
        </w:rPr>
        <w:lastRenderedPageBreak/>
        <w:t xml:space="preserve">Homes now have a comparable </w:t>
      </w:r>
      <w:r w:rsidR="008568B3" w:rsidRPr="00596E24">
        <w:rPr>
          <w:rFonts w:ascii="Times New Roman" w:hAnsi="Times New Roman" w:cs="Times New Roman"/>
        </w:rPr>
        <w:t>ENERGY STAR</w:t>
      </w:r>
      <w:r w:rsidRPr="000E11D4">
        <w:rPr>
          <w:rFonts w:ascii="Times New Roman" w:hAnsi="Times New Roman" w:cs="Times New Roman"/>
        </w:rPr>
        <w:t xml:space="preserve"> rating in Eco-Rated, Avista was an early adopter in recognizing the cost-effective savings and offering </w:t>
      </w:r>
      <w:r w:rsidR="008568B3" w:rsidRPr="00596E24">
        <w:rPr>
          <w:rFonts w:ascii="Times New Roman" w:hAnsi="Times New Roman" w:cs="Times New Roman"/>
        </w:rPr>
        <w:t>ENERGY STAR</w:t>
      </w:r>
      <w:r w:rsidRPr="000E11D4">
        <w:rPr>
          <w:rFonts w:ascii="Times New Roman" w:hAnsi="Times New Roman" w:cs="Times New Roman"/>
        </w:rPr>
        <w:t xml:space="preserve"> home incentives to manufactured homes. As another example of Avista’s efforts that may benefit manufactured housing, Avista provides $2.7 million annually to contracted Community Action Partner (CAP) agencies to treat and improve income-qualified homes. Customers in manufactured homes are an area of focus where the CAPs bring a wealth of experience and expertise to assist these customers.</w:t>
      </w:r>
    </w:p>
    <w:p w14:paraId="5521EF95" w14:textId="77777777" w:rsidR="008568B3" w:rsidRPr="000E11D4" w:rsidRDefault="008568B3" w:rsidP="00A15608">
      <w:pPr>
        <w:pStyle w:val="Default"/>
        <w:spacing w:line="360" w:lineRule="auto"/>
        <w:ind w:firstLine="720"/>
        <w:jc w:val="both"/>
        <w:rPr>
          <w:rFonts w:ascii="Times New Roman" w:hAnsi="Times New Roman" w:cs="Times New Roman"/>
        </w:rPr>
      </w:pPr>
    </w:p>
    <w:p w14:paraId="5521EF96" w14:textId="77777777" w:rsidR="00765EBA" w:rsidRPr="00596E24" w:rsidRDefault="0063676F" w:rsidP="00CA2317">
      <w:pPr>
        <w:rPr>
          <w:rFonts w:ascii="Times New Roman" w:hAnsi="Times New Roman" w:cs="Times New Roman"/>
        </w:rPr>
      </w:pPr>
      <w:r w:rsidRPr="00596E24">
        <w:rPr>
          <w:rFonts w:ascii="Times New Roman" w:hAnsi="Times New Roman" w:cs="Times New Roman"/>
          <w:b/>
          <w:sz w:val="24"/>
          <w:szCs w:val="24"/>
          <w:u w:val="single"/>
        </w:rPr>
        <w:t>Low Income Portfolio Overview</w:t>
      </w:r>
    </w:p>
    <w:p w14:paraId="5521EF97" w14:textId="77777777" w:rsidR="0063676F" w:rsidRDefault="00765EBA" w:rsidP="00A15608">
      <w:pPr>
        <w:pStyle w:val="Default"/>
        <w:spacing w:line="360" w:lineRule="auto"/>
        <w:ind w:firstLine="720"/>
        <w:jc w:val="both"/>
        <w:rPr>
          <w:rFonts w:ascii="Times New Roman" w:hAnsi="Times New Roman" w:cs="Times New Roman"/>
        </w:rPr>
      </w:pPr>
      <w:r w:rsidRPr="00596E24">
        <w:rPr>
          <w:rFonts w:ascii="Times New Roman" w:hAnsi="Times New Roman" w:cs="Times New Roman"/>
        </w:rPr>
        <w:t>The Company utilizes the infrastructure of s</w:t>
      </w:r>
      <w:r w:rsidR="00C16966">
        <w:rPr>
          <w:rFonts w:ascii="Times New Roman" w:hAnsi="Times New Roman" w:cs="Times New Roman"/>
        </w:rPr>
        <w:t>even</w:t>
      </w:r>
      <w:r w:rsidRPr="00596E24">
        <w:rPr>
          <w:rFonts w:ascii="Times New Roman" w:hAnsi="Times New Roman" w:cs="Times New Roman"/>
        </w:rPr>
        <w:t xml:space="preserve"> Community Action Partner (CAP) agencies to deliver low income energy efficiency programs. The CAPs have the ability to income-qualify customers and have access to a variety of funding resources, including Avista funding, which can be applied to meet customer needs. The s</w:t>
      </w:r>
      <w:r w:rsidR="00C16966">
        <w:rPr>
          <w:rFonts w:ascii="Times New Roman" w:hAnsi="Times New Roman" w:cs="Times New Roman"/>
        </w:rPr>
        <w:t>even</w:t>
      </w:r>
      <w:r w:rsidRPr="00596E24">
        <w:rPr>
          <w:rFonts w:ascii="Times New Roman" w:hAnsi="Times New Roman" w:cs="Times New Roman"/>
        </w:rPr>
        <w:t xml:space="preserve"> agencies serving Avista’s entire Washington service territory receive an aggregate annual funding of $2,000,000. The distribution of these funds is </w:t>
      </w:r>
      <w:r w:rsidR="00AC4BC0">
        <w:rPr>
          <w:rFonts w:ascii="Times New Roman" w:hAnsi="Times New Roman" w:cs="Times New Roman"/>
        </w:rPr>
        <w:t>represented in the table below:</w:t>
      </w:r>
    </w:p>
    <w:p w14:paraId="5521EF98" w14:textId="77777777" w:rsidR="00CA2317" w:rsidRPr="00CA2317" w:rsidRDefault="00CA2317" w:rsidP="00150141">
      <w:pPr>
        <w:pStyle w:val="Default"/>
        <w:jc w:val="both"/>
        <w:rPr>
          <w:rFonts w:ascii="Times New Roman" w:hAnsi="Times New Roman" w:cs="Times New Roman"/>
        </w:rPr>
      </w:pPr>
    </w:p>
    <w:p w14:paraId="5521EF99" w14:textId="77777777" w:rsidR="00765EBA" w:rsidRPr="00CA2317" w:rsidRDefault="00765EBA" w:rsidP="00596E24">
      <w:pPr>
        <w:rPr>
          <w:rFonts w:ascii="Times New Roman" w:hAnsi="Times New Roman" w:cs="Times New Roman"/>
          <w:b/>
          <w:sz w:val="24"/>
          <w:szCs w:val="24"/>
          <w:u w:val="single"/>
        </w:rPr>
      </w:pPr>
      <w:r w:rsidRPr="00CA2317">
        <w:rPr>
          <w:rFonts w:ascii="Times New Roman" w:hAnsi="Times New Roman" w:cs="Times New Roman"/>
          <w:b/>
          <w:sz w:val="24"/>
          <w:szCs w:val="24"/>
          <w:u w:val="single"/>
        </w:rPr>
        <w:t xml:space="preserve">Table </w:t>
      </w:r>
      <w:r w:rsidR="00533D34">
        <w:rPr>
          <w:rFonts w:ascii="Times New Roman" w:hAnsi="Times New Roman" w:cs="Times New Roman"/>
          <w:b/>
          <w:sz w:val="24"/>
          <w:szCs w:val="24"/>
          <w:u w:val="single"/>
        </w:rPr>
        <w:t>2</w:t>
      </w:r>
      <w:r w:rsidRPr="00CA2317">
        <w:rPr>
          <w:rFonts w:ascii="Times New Roman" w:hAnsi="Times New Roman" w:cs="Times New Roman"/>
          <w:b/>
          <w:sz w:val="24"/>
          <w:szCs w:val="24"/>
          <w:u w:val="single"/>
        </w:rPr>
        <w:t>: 2016 Low Income Funding by CAP Agency</w:t>
      </w:r>
    </w:p>
    <w:tbl>
      <w:tblPr>
        <w:tblStyle w:val="TableGrid"/>
        <w:tblW w:w="0" w:type="auto"/>
        <w:tblLook w:val="04A0" w:firstRow="1" w:lastRow="0" w:firstColumn="1" w:lastColumn="0" w:noHBand="0" w:noVBand="1"/>
      </w:tblPr>
      <w:tblGrid>
        <w:gridCol w:w="3192"/>
        <w:gridCol w:w="3192"/>
        <w:gridCol w:w="2550"/>
      </w:tblGrid>
      <w:tr w:rsidR="00765EBA" w:rsidRPr="00596E24" w14:paraId="5521EF9D" w14:textId="77777777" w:rsidTr="00765EBA">
        <w:tc>
          <w:tcPr>
            <w:tcW w:w="3192" w:type="dxa"/>
          </w:tcPr>
          <w:p w14:paraId="5521EF9A" w14:textId="77777777" w:rsidR="00765EBA" w:rsidRPr="00596E24" w:rsidRDefault="00765EBA" w:rsidP="00596E24">
            <w:pPr>
              <w:pStyle w:val="TableParagraph"/>
              <w:kinsoku w:val="0"/>
              <w:overflowPunct w:val="0"/>
              <w:spacing w:line="269" w:lineRule="exact"/>
              <w:ind w:left="102"/>
            </w:pPr>
            <w:r w:rsidRPr="00596E24">
              <w:t>CAP A</w:t>
            </w:r>
            <w:r w:rsidRPr="00596E24">
              <w:rPr>
                <w:spacing w:val="-3"/>
              </w:rPr>
              <w:t>g</w:t>
            </w:r>
            <w:r w:rsidRPr="00596E24">
              <w:rPr>
                <w:spacing w:val="-1"/>
              </w:rPr>
              <w:t>e</w:t>
            </w:r>
            <w:r w:rsidRPr="00596E24">
              <w:rPr>
                <w:spacing w:val="2"/>
              </w:rPr>
              <w:t>n</w:t>
            </w:r>
            <w:r w:rsidRPr="00596E24">
              <w:rPr>
                <w:spacing w:val="3"/>
              </w:rPr>
              <w:t>c</w:t>
            </w:r>
            <w:r w:rsidRPr="00596E24">
              <w:t>y</w:t>
            </w:r>
          </w:p>
        </w:tc>
        <w:tc>
          <w:tcPr>
            <w:tcW w:w="3192" w:type="dxa"/>
          </w:tcPr>
          <w:p w14:paraId="5521EF9B" w14:textId="77777777" w:rsidR="00765EBA" w:rsidRPr="00596E24" w:rsidRDefault="00765EBA" w:rsidP="00596E24">
            <w:pPr>
              <w:pStyle w:val="TableParagraph"/>
              <w:kinsoku w:val="0"/>
              <w:overflowPunct w:val="0"/>
              <w:spacing w:line="269" w:lineRule="exact"/>
              <w:ind w:left="102"/>
            </w:pPr>
            <w:r w:rsidRPr="00596E24">
              <w:t>Counti</w:t>
            </w:r>
            <w:r w:rsidRPr="00596E24">
              <w:rPr>
                <w:spacing w:val="-1"/>
              </w:rPr>
              <w:t>e</w:t>
            </w:r>
            <w:r w:rsidRPr="00596E24">
              <w:t>s S</w:t>
            </w:r>
            <w:r w:rsidRPr="00596E24">
              <w:rPr>
                <w:spacing w:val="-1"/>
              </w:rPr>
              <w:t>e</w:t>
            </w:r>
            <w:r w:rsidRPr="00596E24">
              <w:t>rv</w:t>
            </w:r>
            <w:r w:rsidRPr="00596E24">
              <w:rPr>
                <w:spacing w:val="-2"/>
              </w:rPr>
              <w:t>e</w:t>
            </w:r>
            <w:r w:rsidRPr="00596E24">
              <w:t>d</w:t>
            </w:r>
          </w:p>
        </w:tc>
        <w:tc>
          <w:tcPr>
            <w:tcW w:w="2550" w:type="dxa"/>
          </w:tcPr>
          <w:p w14:paraId="5521EF9C" w14:textId="77777777" w:rsidR="00765EBA" w:rsidRPr="00596E24" w:rsidRDefault="00765EBA" w:rsidP="00596E24">
            <w:pPr>
              <w:pStyle w:val="TableParagraph"/>
              <w:kinsoku w:val="0"/>
              <w:overflowPunct w:val="0"/>
              <w:spacing w:line="269" w:lineRule="exact"/>
              <w:ind w:left="102"/>
            </w:pPr>
            <w:r w:rsidRPr="00596E24">
              <w:rPr>
                <w:spacing w:val="-2"/>
              </w:rPr>
              <w:t>F</w:t>
            </w:r>
            <w:r w:rsidRPr="00596E24">
              <w:t>unding Alloc</w:t>
            </w:r>
            <w:r w:rsidRPr="00596E24">
              <w:rPr>
                <w:spacing w:val="-2"/>
              </w:rPr>
              <w:t>a</w:t>
            </w:r>
            <w:r w:rsidRPr="00596E24">
              <w:t>tion</w:t>
            </w:r>
          </w:p>
        </w:tc>
      </w:tr>
      <w:tr w:rsidR="00765EBA" w:rsidRPr="00596E24" w14:paraId="5521EFA1" w14:textId="77777777" w:rsidTr="00765EBA">
        <w:tc>
          <w:tcPr>
            <w:tcW w:w="3192" w:type="dxa"/>
          </w:tcPr>
          <w:p w14:paraId="5521EF9E" w14:textId="77777777" w:rsidR="00765EBA" w:rsidRPr="00596E24" w:rsidRDefault="00765EBA" w:rsidP="00596E24">
            <w:pPr>
              <w:pStyle w:val="TableParagraph"/>
              <w:kinsoku w:val="0"/>
              <w:overflowPunct w:val="0"/>
              <w:spacing w:line="269" w:lineRule="exact"/>
              <w:ind w:left="102"/>
            </w:pPr>
            <w:r w:rsidRPr="00596E24">
              <w:t>SN</w:t>
            </w:r>
            <w:r w:rsidRPr="00596E24">
              <w:rPr>
                <w:spacing w:val="-1"/>
              </w:rPr>
              <w:t>A</w:t>
            </w:r>
            <w:r w:rsidRPr="00596E24">
              <w:t>P</w:t>
            </w:r>
          </w:p>
        </w:tc>
        <w:tc>
          <w:tcPr>
            <w:tcW w:w="3192" w:type="dxa"/>
          </w:tcPr>
          <w:p w14:paraId="5521EF9F" w14:textId="77777777" w:rsidR="00765EBA" w:rsidRPr="00596E24" w:rsidRDefault="00765EBA" w:rsidP="00596E24">
            <w:pPr>
              <w:pStyle w:val="TableParagraph"/>
              <w:kinsoku w:val="0"/>
              <w:overflowPunct w:val="0"/>
              <w:spacing w:line="269" w:lineRule="exact"/>
              <w:ind w:left="102"/>
            </w:pPr>
            <w:r w:rsidRPr="00596E24">
              <w:t>Spok</w:t>
            </w:r>
            <w:r w:rsidRPr="00596E24">
              <w:rPr>
                <w:spacing w:val="-1"/>
              </w:rPr>
              <w:t>a</w:t>
            </w:r>
            <w:r w:rsidRPr="00596E24">
              <w:t>ne</w:t>
            </w:r>
          </w:p>
        </w:tc>
        <w:tc>
          <w:tcPr>
            <w:tcW w:w="2550" w:type="dxa"/>
            <w:vAlign w:val="center"/>
          </w:tcPr>
          <w:p w14:paraId="5521EFA0" w14:textId="77777777" w:rsidR="00765EBA" w:rsidRPr="00596E24" w:rsidRDefault="00765EBA" w:rsidP="00596E24">
            <w:pPr>
              <w:pStyle w:val="TableParagraph"/>
              <w:kinsoku w:val="0"/>
              <w:overflowPunct w:val="0"/>
              <w:spacing w:line="269" w:lineRule="exact"/>
              <w:ind w:left="1254"/>
            </w:pPr>
            <w:r w:rsidRPr="00596E24">
              <w:t>$1,335,000</w:t>
            </w:r>
          </w:p>
        </w:tc>
      </w:tr>
      <w:tr w:rsidR="00765EBA" w:rsidRPr="00596E24" w14:paraId="5521EFA6" w14:textId="77777777" w:rsidTr="00765EBA">
        <w:tc>
          <w:tcPr>
            <w:tcW w:w="3192" w:type="dxa"/>
          </w:tcPr>
          <w:p w14:paraId="5521EFA2" w14:textId="77777777" w:rsidR="00765EBA" w:rsidRPr="00596E24" w:rsidRDefault="00765EBA" w:rsidP="00596E24">
            <w:pPr>
              <w:pStyle w:val="TableParagraph"/>
              <w:kinsoku w:val="0"/>
              <w:overflowPunct w:val="0"/>
              <w:spacing w:line="269" w:lineRule="exact"/>
              <w:ind w:left="102"/>
            </w:pPr>
            <w:r w:rsidRPr="00596E24">
              <w:t>Ru</w:t>
            </w:r>
            <w:r w:rsidRPr="00596E24">
              <w:rPr>
                <w:spacing w:val="-1"/>
              </w:rPr>
              <w:t>ra</w:t>
            </w:r>
            <w:r w:rsidRPr="00596E24">
              <w:t>l R</w:t>
            </w:r>
            <w:r w:rsidRPr="00596E24">
              <w:rPr>
                <w:spacing w:val="-1"/>
              </w:rPr>
              <w:t>e</w:t>
            </w:r>
            <w:r w:rsidRPr="00596E24">
              <w:t>sour</w:t>
            </w:r>
            <w:r w:rsidRPr="00596E24">
              <w:rPr>
                <w:spacing w:val="-2"/>
              </w:rPr>
              <w:t>c</w:t>
            </w:r>
            <w:r w:rsidRPr="00596E24">
              <w:rPr>
                <w:spacing w:val="-1"/>
              </w:rPr>
              <w:t>e</w:t>
            </w:r>
            <w:r w:rsidRPr="00596E24">
              <w:t>s</w:t>
            </w:r>
            <w:r w:rsidR="00C16966">
              <w:t xml:space="preserve"> (Spokane Indian Housing Authority - $20,000)</w:t>
            </w:r>
          </w:p>
        </w:tc>
        <w:tc>
          <w:tcPr>
            <w:tcW w:w="3192" w:type="dxa"/>
          </w:tcPr>
          <w:p w14:paraId="5521EFA3" w14:textId="77777777" w:rsidR="00765EBA" w:rsidRPr="00596E24" w:rsidRDefault="00765EBA" w:rsidP="00596E24">
            <w:pPr>
              <w:pStyle w:val="TableParagraph"/>
              <w:kinsoku w:val="0"/>
              <w:overflowPunct w:val="0"/>
              <w:spacing w:line="269" w:lineRule="exact"/>
              <w:ind w:left="102"/>
            </w:pPr>
            <w:r w:rsidRPr="00596E24">
              <w:rPr>
                <w:spacing w:val="-2"/>
              </w:rPr>
              <w:t>F</w:t>
            </w:r>
            <w:r w:rsidRPr="00596E24">
              <w:rPr>
                <w:spacing w:val="-1"/>
              </w:rPr>
              <w:t>e</w:t>
            </w:r>
            <w:r w:rsidRPr="00596E24">
              <w:rPr>
                <w:spacing w:val="1"/>
              </w:rPr>
              <w:t>r</w:t>
            </w:r>
            <w:r w:rsidRPr="00596E24">
              <w:rPr>
                <w:spacing w:val="3"/>
              </w:rPr>
              <w:t>r</w:t>
            </w:r>
            <w:r w:rsidRPr="00596E24">
              <w:rPr>
                <w:spacing w:val="-5"/>
              </w:rPr>
              <w:t>y</w:t>
            </w:r>
            <w:r w:rsidRPr="00596E24">
              <w:t>,</w:t>
            </w:r>
            <w:r w:rsidRPr="00596E24">
              <w:rPr>
                <w:spacing w:val="2"/>
              </w:rPr>
              <w:t xml:space="preserve"> </w:t>
            </w:r>
            <w:r w:rsidRPr="00596E24">
              <w:rPr>
                <w:spacing w:val="-6"/>
              </w:rPr>
              <w:t>L</w:t>
            </w:r>
            <w:r w:rsidRPr="00596E24">
              <w:rPr>
                <w:spacing w:val="2"/>
              </w:rPr>
              <w:t>i</w:t>
            </w:r>
            <w:r w:rsidRPr="00596E24">
              <w:t>n</w:t>
            </w:r>
            <w:r w:rsidRPr="00596E24">
              <w:rPr>
                <w:spacing w:val="-1"/>
              </w:rPr>
              <w:t>c</w:t>
            </w:r>
            <w:r w:rsidRPr="00596E24">
              <w:t xml:space="preserve">oln, </w:t>
            </w:r>
            <w:r w:rsidRPr="00596E24">
              <w:rPr>
                <w:spacing w:val="1"/>
              </w:rPr>
              <w:t>P</w:t>
            </w:r>
            <w:r w:rsidRPr="00596E24">
              <w:rPr>
                <w:spacing w:val="-1"/>
              </w:rPr>
              <w:t>e</w:t>
            </w:r>
            <w:r w:rsidRPr="00596E24">
              <w:t>nd Or</w:t>
            </w:r>
            <w:r w:rsidRPr="00596E24">
              <w:rPr>
                <w:spacing w:val="1"/>
              </w:rPr>
              <w:t>e</w:t>
            </w:r>
            <w:r w:rsidRPr="00596E24">
              <w:t>ille,</w:t>
            </w:r>
          </w:p>
          <w:p w14:paraId="5521EFA4" w14:textId="77777777" w:rsidR="00765EBA" w:rsidRPr="00596E24" w:rsidRDefault="00765EBA" w:rsidP="00596E24">
            <w:pPr>
              <w:pStyle w:val="TableParagraph"/>
              <w:kinsoku w:val="0"/>
              <w:overflowPunct w:val="0"/>
              <w:spacing w:before="41"/>
              <w:ind w:left="102"/>
            </w:pPr>
            <w:r w:rsidRPr="00596E24">
              <w:t>Stev</w:t>
            </w:r>
            <w:r w:rsidRPr="00596E24">
              <w:rPr>
                <w:spacing w:val="-2"/>
              </w:rPr>
              <w:t>e</w:t>
            </w:r>
            <w:r w:rsidRPr="00596E24">
              <w:t>ns</w:t>
            </w:r>
          </w:p>
        </w:tc>
        <w:tc>
          <w:tcPr>
            <w:tcW w:w="2550" w:type="dxa"/>
            <w:vAlign w:val="center"/>
          </w:tcPr>
          <w:p w14:paraId="5521EFA5" w14:textId="77777777" w:rsidR="00765EBA" w:rsidRPr="00596E24" w:rsidRDefault="00765EBA" w:rsidP="00596E24">
            <w:pPr>
              <w:pStyle w:val="TableParagraph"/>
              <w:kinsoku w:val="0"/>
              <w:overflowPunct w:val="0"/>
              <w:spacing w:line="269" w:lineRule="exact"/>
              <w:ind w:left="1434"/>
            </w:pPr>
            <w:r w:rsidRPr="00596E24">
              <w:t>$194,000</w:t>
            </w:r>
          </w:p>
        </w:tc>
      </w:tr>
      <w:tr w:rsidR="00765EBA" w:rsidRPr="00596E24" w14:paraId="5521EFAB" w14:textId="77777777" w:rsidTr="00765EBA">
        <w:tc>
          <w:tcPr>
            <w:tcW w:w="3192" w:type="dxa"/>
          </w:tcPr>
          <w:p w14:paraId="5521EFA7" w14:textId="77777777" w:rsidR="00765EBA" w:rsidRPr="00596E24" w:rsidRDefault="00765EBA" w:rsidP="00596E24">
            <w:pPr>
              <w:pStyle w:val="TableParagraph"/>
              <w:kinsoku w:val="0"/>
              <w:overflowPunct w:val="0"/>
              <w:spacing w:line="272" w:lineRule="exact"/>
              <w:ind w:left="102"/>
            </w:pPr>
            <w:r w:rsidRPr="00596E24">
              <w:t>Communi</w:t>
            </w:r>
            <w:r w:rsidRPr="00596E24">
              <w:rPr>
                <w:spacing w:val="3"/>
              </w:rPr>
              <w:t>t</w:t>
            </w:r>
            <w:r w:rsidRPr="00596E24">
              <w:t>y</w:t>
            </w:r>
            <w:r w:rsidRPr="00596E24">
              <w:rPr>
                <w:spacing w:val="-8"/>
              </w:rPr>
              <w:t xml:space="preserve"> </w:t>
            </w:r>
            <w:r w:rsidRPr="00596E24">
              <w:t>A</w:t>
            </w:r>
            <w:r w:rsidRPr="00596E24">
              <w:rPr>
                <w:spacing w:val="-2"/>
              </w:rPr>
              <w:t>c</w:t>
            </w:r>
            <w:r w:rsidRPr="00596E24">
              <w:t>tion Cen</w:t>
            </w:r>
            <w:r w:rsidRPr="00596E24">
              <w:rPr>
                <w:spacing w:val="2"/>
              </w:rPr>
              <w:t>t</w:t>
            </w:r>
            <w:r w:rsidRPr="00596E24">
              <w:rPr>
                <w:spacing w:val="-1"/>
              </w:rPr>
              <w:t>e</w:t>
            </w:r>
            <w:r w:rsidRPr="00596E24">
              <w:t>r</w:t>
            </w:r>
          </w:p>
          <w:p w14:paraId="5521EFA8" w14:textId="77777777" w:rsidR="00765EBA" w:rsidRPr="00596E24" w:rsidRDefault="00765EBA" w:rsidP="00596E24">
            <w:pPr>
              <w:pStyle w:val="TableParagraph"/>
              <w:kinsoku w:val="0"/>
              <w:overflowPunct w:val="0"/>
              <w:spacing w:before="41"/>
              <w:ind w:left="102"/>
            </w:pPr>
            <w:r w:rsidRPr="00596E24">
              <w:rPr>
                <w:spacing w:val="1"/>
              </w:rPr>
              <w:t>W</w:t>
            </w:r>
            <w:r w:rsidRPr="00596E24">
              <w:t>hitman Coun</w:t>
            </w:r>
            <w:r w:rsidRPr="00596E24">
              <w:rPr>
                <w:spacing w:val="2"/>
              </w:rPr>
              <w:t>t</w:t>
            </w:r>
            <w:r w:rsidRPr="00596E24">
              <w:t>y</w:t>
            </w:r>
          </w:p>
        </w:tc>
        <w:tc>
          <w:tcPr>
            <w:tcW w:w="3192" w:type="dxa"/>
          </w:tcPr>
          <w:p w14:paraId="5521EFA9" w14:textId="77777777" w:rsidR="00765EBA" w:rsidRPr="00596E24" w:rsidRDefault="00765EBA" w:rsidP="00596E24">
            <w:pPr>
              <w:pStyle w:val="TableParagraph"/>
              <w:kinsoku w:val="0"/>
              <w:overflowPunct w:val="0"/>
              <w:spacing w:line="272" w:lineRule="exact"/>
              <w:ind w:left="102"/>
            </w:pPr>
            <w:r w:rsidRPr="00596E24">
              <w:rPr>
                <w:spacing w:val="1"/>
              </w:rPr>
              <w:t>W</w:t>
            </w:r>
            <w:r w:rsidRPr="00596E24">
              <w:t>hitman</w:t>
            </w:r>
          </w:p>
        </w:tc>
        <w:tc>
          <w:tcPr>
            <w:tcW w:w="2550" w:type="dxa"/>
            <w:vAlign w:val="center"/>
          </w:tcPr>
          <w:p w14:paraId="5521EFAA" w14:textId="77777777" w:rsidR="00765EBA" w:rsidRPr="00596E24" w:rsidRDefault="00765EBA" w:rsidP="00596E24">
            <w:pPr>
              <w:pStyle w:val="TableParagraph"/>
              <w:kinsoku w:val="0"/>
              <w:overflowPunct w:val="0"/>
              <w:spacing w:line="272" w:lineRule="exact"/>
              <w:ind w:left="1434"/>
            </w:pPr>
            <w:r w:rsidRPr="00596E24">
              <w:t>$146,000</w:t>
            </w:r>
          </w:p>
        </w:tc>
      </w:tr>
      <w:tr w:rsidR="00765EBA" w:rsidRPr="00596E24" w14:paraId="5521EFB0" w14:textId="77777777" w:rsidTr="00765EBA">
        <w:tc>
          <w:tcPr>
            <w:tcW w:w="3192" w:type="dxa"/>
          </w:tcPr>
          <w:p w14:paraId="5521EFAC" w14:textId="77777777" w:rsidR="00765EBA" w:rsidRPr="00596E24" w:rsidRDefault="00765EBA" w:rsidP="00596E24">
            <w:pPr>
              <w:pStyle w:val="TableParagraph"/>
              <w:kinsoku w:val="0"/>
              <w:overflowPunct w:val="0"/>
              <w:spacing w:line="269" w:lineRule="exact"/>
              <w:ind w:left="102"/>
            </w:pPr>
            <w:r w:rsidRPr="00596E24">
              <w:t>Oppo</w:t>
            </w:r>
            <w:r w:rsidRPr="00596E24">
              <w:rPr>
                <w:spacing w:val="-2"/>
              </w:rPr>
              <w:t>r</w:t>
            </w:r>
            <w:r w:rsidRPr="00596E24">
              <w:t>tuniti</w:t>
            </w:r>
            <w:r w:rsidRPr="00596E24">
              <w:rPr>
                <w:spacing w:val="-1"/>
              </w:rPr>
              <w:t>e</w:t>
            </w:r>
            <w:r w:rsidRPr="00596E24">
              <w:t>s</w:t>
            </w:r>
            <w:r w:rsidRPr="00596E24">
              <w:rPr>
                <w:spacing w:val="2"/>
              </w:rPr>
              <w:t xml:space="preserve"> </w:t>
            </w:r>
            <w:r w:rsidRPr="00596E24">
              <w:rPr>
                <w:spacing w:val="-6"/>
              </w:rPr>
              <w:t>I</w:t>
            </w:r>
            <w:r w:rsidRPr="00596E24">
              <w:t>ndustri</w:t>
            </w:r>
            <w:r w:rsidRPr="00596E24">
              <w:rPr>
                <w:spacing w:val="-2"/>
              </w:rPr>
              <w:t>a</w:t>
            </w:r>
            <w:r w:rsidRPr="00596E24">
              <w:t>l</w:t>
            </w:r>
            <w:r w:rsidRPr="00596E24">
              <w:rPr>
                <w:spacing w:val="3"/>
              </w:rPr>
              <w:t>i</w:t>
            </w:r>
            <w:r w:rsidRPr="00596E24">
              <w:rPr>
                <w:spacing w:val="1"/>
              </w:rPr>
              <w:t>z</w:t>
            </w:r>
            <w:r w:rsidRPr="00596E24">
              <w:rPr>
                <w:spacing w:val="-1"/>
              </w:rPr>
              <w:t>a</w:t>
            </w:r>
            <w:r w:rsidRPr="00596E24">
              <w:t>tion</w:t>
            </w:r>
          </w:p>
          <w:p w14:paraId="5521EFAD" w14:textId="77777777" w:rsidR="00765EBA" w:rsidRPr="00596E24" w:rsidRDefault="00765EBA" w:rsidP="00596E24">
            <w:pPr>
              <w:pStyle w:val="TableParagraph"/>
              <w:kinsoku w:val="0"/>
              <w:overflowPunct w:val="0"/>
              <w:spacing w:before="41"/>
              <w:ind w:left="102"/>
            </w:pPr>
            <w:r w:rsidRPr="00596E24">
              <w:t>Coun</w:t>
            </w:r>
            <w:r w:rsidRPr="00596E24">
              <w:rPr>
                <w:spacing w:val="-1"/>
              </w:rPr>
              <w:t>c</w:t>
            </w:r>
            <w:r w:rsidRPr="00596E24">
              <w:t>il</w:t>
            </w:r>
          </w:p>
        </w:tc>
        <w:tc>
          <w:tcPr>
            <w:tcW w:w="3192" w:type="dxa"/>
          </w:tcPr>
          <w:p w14:paraId="5521EFAE" w14:textId="77777777" w:rsidR="00765EBA" w:rsidRPr="00596E24" w:rsidRDefault="00765EBA" w:rsidP="00596E24">
            <w:pPr>
              <w:pStyle w:val="TableParagraph"/>
              <w:kinsoku w:val="0"/>
              <w:overflowPunct w:val="0"/>
              <w:spacing w:line="269" w:lineRule="exact"/>
              <w:ind w:left="102"/>
            </w:pPr>
            <w:r w:rsidRPr="00596E24">
              <w:t>Ad</w:t>
            </w:r>
            <w:r w:rsidRPr="00596E24">
              <w:rPr>
                <w:spacing w:val="-2"/>
              </w:rPr>
              <w:t>a</w:t>
            </w:r>
            <w:r w:rsidRPr="00596E24">
              <w:t>ms, Gr</w:t>
            </w:r>
            <w:r w:rsidRPr="00596E24">
              <w:rPr>
                <w:spacing w:val="-2"/>
              </w:rPr>
              <w:t>a</w:t>
            </w:r>
            <w:r w:rsidRPr="00596E24">
              <w:t>nt</w:t>
            </w:r>
          </w:p>
        </w:tc>
        <w:tc>
          <w:tcPr>
            <w:tcW w:w="2550" w:type="dxa"/>
            <w:vAlign w:val="center"/>
          </w:tcPr>
          <w:p w14:paraId="5521EFAF" w14:textId="77777777" w:rsidR="00765EBA" w:rsidRPr="00596E24" w:rsidRDefault="00765EBA" w:rsidP="00596E24">
            <w:pPr>
              <w:pStyle w:val="TableParagraph"/>
              <w:kinsoku w:val="0"/>
              <w:overflowPunct w:val="0"/>
              <w:spacing w:line="269" w:lineRule="exact"/>
              <w:ind w:left="1554"/>
            </w:pPr>
            <w:r w:rsidRPr="00596E24">
              <w:t>$75,000</w:t>
            </w:r>
          </w:p>
        </w:tc>
      </w:tr>
      <w:tr w:rsidR="00765EBA" w:rsidRPr="00596E24" w14:paraId="5521EFB5" w14:textId="77777777" w:rsidTr="00765EBA">
        <w:tc>
          <w:tcPr>
            <w:tcW w:w="3192" w:type="dxa"/>
          </w:tcPr>
          <w:p w14:paraId="5521EFB1" w14:textId="77777777" w:rsidR="00765EBA" w:rsidRPr="00596E24" w:rsidRDefault="00765EBA" w:rsidP="00596E24">
            <w:pPr>
              <w:pStyle w:val="TableParagraph"/>
              <w:kinsoku w:val="0"/>
              <w:overflowPunct w:val="0"/>
              <w:spacing w:line="269" w:lineRule="exact"/>
              <w:ind w:left="102"/>
            </w:pPr>
            <w:r w:rsidRPr="00596E24">
              <w:rPr>
                <w:spacing w:val="1"/>
              </w:rPr>
              <w:t>W</w:t>
            </w:r>
            <w:r w:rsidRPr="00596E24">
              <w:rPr>
                <w:spacing w:val="-1"/>
              </w:rPr>
              <w:t>a</w:t>
            </w:r>
            <w:r w:rsidRPr="00596E24">
              <w:t>shin</w:t>
            </w:r>
            <w:r w:rsidRPr="00596E24">
              <w:rPr>
                <w:spacing w:val="-2"/>
              </w:rPr>
              <w:t>g</w:t>
            </w:r>
            <w:r w:rsidRPr="00596E24">
              <w:t>ton Go</w:t>
            </w:r>
            <w:r w:rsidRPr="00596E24">
              <w:rPr>
                <w:spacing w:val="1"/>
              </w:rPr>
              <w:t>r</w:t>
            </w:r>
            <w:r w:rsidRPr="00596E24">
              <w:rPr>
                <w:spacing w:val="-3"/>
              </w:rPr>
              <w:t>g</w:t>
            </w:r>
            <w:r w:rsidRPr="00596E24">
              <w:t>e</w:t>
            </w:r>
            <w:r w:rsidRPr="00596E24">
              <w:rPr>
                <w:spacing w:val="-1"/>
              </w:rPr>
              <w:t xml:space="preserve"> </w:t>
            </w:r>
            <w:r w:rsidRPr="00596E24">
              <w:rPr>
                <w:spacing w:val="1"/>
              </w:rPr>
              <w:t>A</w:t>
            </w:r>
            <w:r w:rsidRPr="00596E24">
              <w:rPr>
                <w:spacing w:val="-1"/>
              </w:rPr>
              <w:t>c</w:t>
            </w:r>
            <w:r w:rsidRPr="00596E24">
              <w:t>tion</w:t>
            </w:r>
          </w:p>
          <w:p w14:paraId="5521EFB2" w14:textId="77777777" w:rsidR="00765EBA" w:rsidRPr="00596E24" w:rsidRDefault="00765EBA" w:rsidP="00596E24">
            <w:pPr>
              <w:pStyle w:val="TableParagraph"/>
              <w:kinsoku w:val="0"/>
              <w:overflowPunct w:val="0"/>
              <w:spacing w:before="41"/>
              <w:ind w:left="102"/>
            </w:pPr>
            <w:r w:rsidRPr="00596E24">
              <w:t>Pro</w:t>
            </w:r>
            <w:r w:rsidRPr="00596E24">
              <w:rPr>
                <w:spacing w:val="-4"/>
              </w:rPr>
              <w:t>g</w:t>
            </w:r>
            <w:r w:rsidRPr="00596E24">
              <w:rPr>
                <w:spacing w:val="1"/>
              </w:rPr>
              <w:t>r</w:t>
            </w:r>
            <w:r w:rsidRPr="00596E24">
              <w:rPr>
                <w:spacing w:val="-1"/>
              </w:rPr>
              <w:t>a</w:t>
            </w:r>
            <w:r w:rsidRPr="00596E24">
              <w:t>ms</w:t>
            </w:r>
          </w:p>
        </w:tc>
        <w:tc>
          <w:tcPr>
            <w:tcW w:w="3192" w:type="dxa"/>
          </w:tcPr>
          <w:p w14:paraId="5521EFB3" w14:textId="77777777" w:rsidR="00765EBA" w:rsidRPr="00596E24" w:rsidRDefault="00765EBA" w:rsidP="00596E24">
            <w:pPr>
              <w:pStyle w:val="TableParagraph"/>
              <w:kinsoku w:val="0"/>
              <w:overflowPunct w:val="0"/>
              <w:spacing w:line="269" w:lineRule="exact"/>
              <w:ind w:left="102"/>
            </w:pPr>
            <w:r w:rsidRPr="00596E24">
              <w:t>Klickitat, Sk</w:t>
            </w:r>
            <w:r w:rsidRPr="00596E24">
              <w:rPr>
                <w:spacing w:val="-1"/>
              </w:rPr>
              <w:t>a</w:t>
            </w:r>
            <w:r w:rsidRPr="00596E24">
              <w:t>mania</w:t>
            </w:r>
          </w:p>
        </w:tc>
        <w:tc>
          <w:tcPr>
            <w:tcW w:w="2550" w:type="dxa"/>
            <w:vAlign w:val="center"/>
          </w:tcPr>
          <w:p w14:paraId="5521EFB4" w14:textId="77777777" w:rsidR="00765EBA" w:rsidRPr="00596E24" w:rsidRDefault="00765EBA" w:rsidP="00596E24">
            <w:pPr>
              <w:pStyle w:val="TableParagraph"/>
              <w:kinsoku w:val="0"/>
              <w:overflowPunct w:val="0"/>
              <w:spacing w:line="269" w:lineRule="exact"/>
              <w:ind w:left="1554"/>
            </w:pPr>
            <w:r w:rsidRPr="00596E24">
              <w:t>$10,000</w:t>
            </w:r>
          </w:p>
        </w:tc>
      </w:tr>
      <w:tr w:rsidR="00765EBA" w:rsidRPr="00596E24" w14:paraId="5521EFBA" w14:textId="77777777" w:rsidTr="00765EBA">
        <w:tc>
          <w:tcPr>
            <w:tcW w:w="3192" w:type="dxa"/>
          </w:tcPr>
          <w:p w14:paraId="5521EFB6" w14:textId="77777777" w:rsidR="00765EBA" w:rsidRPr="00596E24" w:rsidRDefault="00765EBA" w:rsidP="00596E24">
            <w:pPr>
              <w:pStyle w:val="TableParagraph"/>
              <w:kinsoku w:val="0"/>
              <w:overflowPunct w:val="0"/>
              <w:spacing w:line="269" w:lineRule="exact"/>
              <w:ind w:left="102"/>
            </w:pPr>
            <w:r w:rsidRPr="00596E24">
              <w:t>Communi</w:t>
            </w:r>
            <w:r w:rsidRPr="00596E24">
              <w:rPr>
                <w:spacing w:val="3"/>
              </w:rPr>
              <w:t>t</w:t>
            </w:r>
            <w:r w:rsidRPr="00596E24">
              <w:t>y</w:t>
            </w:r>
            <w:r w:rsidRPr="00596E24">
              <w:rPr>
                <w:spacing w:val="-8"/>
              </w:rPr>
              <w:t xml:space="preserve"> </w:t>
            </w:r>
            <w:r w:rsidRPr="00596E24">
              <w:t>A</w:t>
            </w:r>
            <w:r w:rsidRPr="00596E24">
              <w:rPr>
                <w:spacing w:val="-2"/>
              </w:rPr>
              <w:t>c</w:t>
            </w:r>
            <w:r w:rsidRPr="00596E24">
              <w:t>tion P</w:t>
            </w:r>
            <w:r w:rsidRPr="00596E24">
              <w:rPr>
                <w:spacing w:val="-1"/>
              </w:rPr>
              <w:t>a</w:t>
            </w:r>
            <w:r w:rsidRPr="00596E24">
              <w:t>rt</w:t>
            </w:r>
            <w:r w:rsidRPr="00596E24">
              <w:rPr>
                <w:spacing w:val="1"/>
              </w:rPr>
              <w:t>n</w:t>
            </w:r>
            <w:r w:rsidRPr="00596E24">
              <w:rPr>
                <w:spacing w:val="-1"/>
              </w:rPr>
              <w:t>e</w:t>
            </w:r>
            <w:r w:rsidRPr="00596E24">
              <w:t>rship</w:t>
            </w:r>
          </w:p>
          <w:p w14:paraId="5521EFB7" w14:textId="77777777" w:rsidR="00765EBA" w:rsidRPr="00596E24" w:rsidRDefault="00765EBA" w:rsidP="00596E24">
            <w:pPr>
              <w:pStyle w:val="TableParagraph"/>
              <w:kinsoku w:val="0"/>
              <w:overflowPunct w:val="0"/>
              <w:spacing w:before="3"/>
              <w:ind w:left="102"/>
            </w:pPr>
            <w:r w:rsidRPr="00596E24">
              <w:rPr>
                <w:spacing w:val="1"/>
              </w:rPr>
              <w:t>(</w:t>
            </w:r>
            <w:r w:rsidRPr="00596E24">
              <w:rPr>
                <w:spacing w:val="-3"/>
              </w:rPr>
              <w:t>L</w:t>
            </w:r>
            <w:r w:rsidRPr="00596E24">
              <w:rPr>
                <w:spacing w:val="-1"/>
              </w:rPr>
              <w:t>e</w:t>
            </w:r>
            <w:r w:rsidRPr="00596E24">
              <w:t>wiston)</w:t>
            </w:r>
          </w:p>
        </w:tc>
        <w:tc>
          <w:tcPr>
            <w:tcW w:w="3192" w:type="dxa"/>
          </w:tcPr>
          <w:p w14:paraId="5521EFB8" w14:textId="77777777" w:rsidR="00765EBA" w:rsidRPr="00596E24" w:rsidRDefault="00765EBA" w:rsidP="00596E24">
            <w:pPr>
              <w:pStyle w:val="TableParagraph"/>
              <w:kinsoku w:val="0"/>
              <w:overflowPunct w:val="0"/>
              <w:spacing w:line="269" w:lineRule="exact"/>
              <w:ind w:left="102"/>
            </w:pPr>
            <w:r w:rsidRPr="00596E24">
              <w:t>Asotin</w:t>
            </w:r>
          </w:p>
        </w:tc>
        <w:tc>
          <w:tcPr>
            <w:tcW w:w="2550" w:type="dxa"/>
            <w:vAlign w:val="center"/>
          </w:tcPr>
          <w:p w14:paraId="5521EFB9" w14:textId="77777777" w:rsidR="00765EBA" w:rsidRPr="00596E24" w:rsidRDefault="00765EBA" w:rsidP="00596E24">
            <w:pPr>
              <w:pStyle w:val="TableParagraph"/>
              <w:kinsoku w:val="0"/>
              <w:overflowPunct w:val="0"/>
              <w:spacing w:line="269" w:lineRule="exact"/>
              <w:ind w:left="1434"/>
            </w:pPr>
            <w:r w:rsidRPr="00596E24">
              <w:t>$240,000</w:t>
            </w:r>
          </w:p>
        </w:tc>
      </w:tr>
    </w:tbl>
    <w:p w14:paraId="5521EFBB" w14:textId="77777777" w:rsidR="00765EBA" w:rsidRDefault="00765EBA" w:rsidP="00596E24">
      <w:pPr>
        <w:rPr>
          <w:rFonts w:ascii="Times New Roman" w:hAnsi="Times New Roman" w:cs="Times New Roman"/>
          <w:sz w:val="24"/>
          <w:szCs w:val="24"/>
          <w:u w:val="single"/>
        </w:rPr>
      </w:pPr>
    </w:p>
    <w:p w14:paraId="5521EFBC" w14:textId="77777777" w:rsidR="008568B3" w:rsidRDefault="008568B3" w:rsidP="00596E24">
      <w:pPr>
        <w:rPr>
          <w:rFonts w:ascii="Times New Roman" w:hAnsi="Times New Roman" w:cs="Times New Roman"/>
          <w:sz w:val="24"/>
          <w:szCs w:val="24"/>
          <w:u w:val="single"/>
        </w:rPr>
      </w:pPr>
    </w:p>
    <w:p w14:paraId="5521EFBD" w14:textId="77777777" w:rsidR="00D239D6" w:rsidRPr="00596E24" w:rsidRDefault="00D239D6" w:rsidP="00596E24">
      <w:pPr>
        <w:rPr>
          <w:rFonts w:ascii="Times New Roman" w:hAnsi="Times New Roman" w:cs="Times New Roman"/>
          <w:sz w:val="24"/>
          <w:szCs w:val="24"/>
          <w:u w:val="single"/>
        </w:rPr>
      </w:pPr>
    </w:p>
    <w:p w14:paraId="5521EFBE" w14:textId="77777777" w:rsidR="00765EBA" w:rsidRPr="008568B3" w:rsidRDefault="008568B3" w:rsidP="008568B3">
      <w:pPr>
        <w:spacing w:after="0" w:line="360" w:lineRule="auto"/>
        <w:ind w:firstLine="720"/>
        <w:jc w:val="both"/>
        <w:rPr>
          <w:rFonts w:ascii="Times New Roman" w:hAnsi="Times New Roman" w:cs="Times New Roman"/>
          <w:sz w:val="24"/>
          <w:szCs w:val="24"/>
        </w:rPr>
      </w:pPr>
      <w:r w:rsidRPr="008568B3">
        <w:rPr>
          <w:rFonts w:ascii="Times New Roman" w:hAnsi="Times New Roman" w:cs="Times New Roman"/>
          <w:sz w:val="24"/>
          <w:szCs w:val="24"/>
        </w:rPr>
        <w:lastRenderedPageBreak/>
        <w:t>T</w:t>
      </w:r>
      <w:r w:rsidR="00765EBA" w:rsidRPr="008568B3">
        <w:rPr>
          <w:rFonts w:ascii="Times New Roman" w:hAnsi="Times New Roman" w:cs="Times New Roman"/>
          <w:sz w:val="24"/>
          <w:szCs w:val="24"/>
        </w:rPr>
        <w:t xml:space="preserve">he agencies may spend their annual allocated funds on either electric or natural gas efficiency measures at their discretion as long as the home demonstrates a minimum level of the Avista fuel for space heating use. </w:t>
      </w:r>
      <w:r w:rsidRPr="008568B3">
        <w:rPr>
          <w:rFonts w:ascii="Times New Roman" w:hAnsi="Times New Roman" w:cs="Times New Roman"/>
          <w:sz w:val="24"/>
          <w:szCs w:val="24"/>
        </w:rPr>
        <w:t>Agencies</w:t>
      </w:r>
      <w:r w:rsidR="00765EBA" w:rsidRPr="008568B3">
        <w:rPr>
          <w:rFonts w:ascii="Times New Roman" w:hAnsi="Times New Roman" w:cs="Times New Roman"/>
          <w:sz w:val="24"/>
          <w:szCs w:val="24"/>
        </w:rPr>
        <w:t xml:space="preserve"> have included in their annual funding a 15% reimbursement for administrative costs. Health and safety measures may also be completed with the amount spent on these improvements not to exceed 15% of the agency’s total annual contract amount. </w:t>
      </w:r>
    </w:p>
    <w:p w14:paraId="5521EFBF" w14:textId="77777777" w:rsidR="00765EBA" w:rsidRPr="008568B3" w:rsidRDefault="00CC27E8" w:rsidP="008568B3">
      <w:pPr>
        <w:spacing w:after="0" w:line="360" w:lineRule="auto"/>
        <w:ind w:firstLine="720"/>
        <w:jc w:val="both"/>
        <w:rPr>
          <w:rFonts w:ascii="Times New Roman" w:hAnsi="Times New Roman" w:cs="Times New Roman"/>
          <w:sz w:val="24"/>
          <w:szCs w:val="24"/>
        </w:rPr>
      </w:pPr>
      <w:r w:rsidRPr="008568B3">
        <w:rPr>
          <w:rFonts w:ascii="Times New Roman" w:hAnsi="Times New Roman" w:cs="Times New Roman"/>
          <w:sz w:val="24"/>
          <w:szCs w:val="24"/>
        </w:rPr>
        <w:t xml:space="preserve">The list of measures offered is derived from the Department of Commerce’s Weatherization Manual. </w:t>
      </w:r>
      <w:r w:rsidR="00765EBA" w:rsidRPr="008568B3">
        <w:rPr>
          <w:rFonts w:ascii="Times New Roman" w:hAnsi="Times New Roman" w:cs="Times New Roman"/>
          <w:sz w:val="24"/>
          <w:szCs w:val="24"/>
        </w:rPr>
        <w:t>To guide the agency toward projects that are most beneficial for the Company’s energy efficiency efforts,</w:t>
      </w:r>
      <w:r w:rsidR="005835C0" w:rsidRPr="008568B3">
        <w:rPr>
          <w:rFonts w:ascii="Times New Roman" w:hAnsi="Times New Roman" w:cs="Times New Roman"/>
          <w:sz w:val="24"/>
          <w:szCs w:val="24"/>
        </w:rPr>
        <w:t xml:space="preserve"> </w:t>
      </w:r>
      <w:r w:rsidR="00765EBA" w:rsidRPr="008568B3">
        <w:rPr>
          <w:rFonts w:ascii="Times New Roman" w:hAnsi="Times New Roman" w:cs="Times New Roman"/>
          <w:sz w:val="24"/>
          <w:szCs w:val="24"/>
        </w:rPr>
        <w:t>an “Approved” list of measures is provided that allows for full reimbursement</w:t>
      </w:r>
      <w:r w:rsidR="005855F4" w:rsidRPr="008568B3">
        <w:rPr>
          <w:rFonts w:ascii="Times New Roman" w:hAnsi="Times New Roman" w:cs="Times New Roman"/>
          <w:sz w:val="24"/>
          <w:szCs w:val="24"/>
        </w:rPr>
        <w:t>. Measures reimbursed at 100%</w:t>
      </w:r>
      <w:r w:rsidR="00765EBA" w:rsidRPr="008568B3">
        <w:rPr>
          <w:rFonts w:ascii="Times New Roman" w:hAnsi="Times New Roman" w:cs="Times New Roman"/>
          <w:sz w:val="24"/>
          <w:szCs w:val="24"/>
        </w:rPr>
        <w:t xml:space="preserve"> have a Total Resource Cost (TRC) of 1</w:t>
      </w:r>
      <w:r w:rsidR="002B03E7" w:rsidRPr="008568B3">
        <w:rPr>
          <w:rFonts w:ascii="Times New Roman" w:hAnsi="Times New Roman" w:cs="Times New Roman"/>
          <w:sz w:val="24"/>
          <w:szCs w:val="24"/>
        </w:rPr>
        <w:t>.0</w:t>
      </w:r>
      <w:r w:rsidR="00765EBA" w:rsidRPr="008568B3">
        <w:rPr>
          <w:rFonts w:ascii="Times New Roman" w:hAnsi="Times New Roman" w:cs="Times New Roman"/>
          <w:sz w:val="24"/>
          <w:szCs w:val="24"/>
        </w:rPr>
        <w:t xml:space="preserve"> or better</w:t>
      </w:r>
      <w:r w:rsidR="00443D51" w:rsidRPr="008568B3">
        <w:rPr>
          <w:rFonts w:ascii="Times New Roman" w:hAnsi="Times New Roman" w:cs="Times New Roman"/>
          <w:sz w:val="24"/>
          <w:szCs w:val="24"/>
        </w:rPr>
        <w:t>. P</w:t>
      </w:r>
      <w:r w:rsidR="005855F4" w:rsidRPr="008568B3">
        <w:rPr>
          <w:rFonts w:ascii="Times New Roman" w:hAnsi="Times New Roman" w:cs="Times New Roman"/>
          <w:sz w:val="24"/>
          <w:szCs w:val="24"/>
        </w:rPr>
        <w:t>er WAC</w:t>
      </w:r>
      <w:r w:rsidR="00443D51" w:rsidRPr="008568B3">
        <w:rPr>
          <w:rFonts w:ascii="Times New Roman" w:hAnsi="Times New Roman" w:cs="Times New Roman"/>
          <w:sz w:val="24"/>
          <w:szCs w:val="24"/>
        </w:rPr>
        <w:t xml:space="preserve"> </w:t>
      </w:r>
      <w:r w:rsidR="008568B3">
        <w:rPr>
          <w:rFonts w:ascii="Times New Roman" w:hAnsi="Times New Roman" w:cs="Times New Roman"/>
          <w:sz w:val="24"/>
          <w:szCs w:val="24"/>
        </w:rPr>
        <w:t>480-109-100(</w:t>
      </w:r>
      <w:r w:rsidR="005855F4" w:rsidRPr="008568B3">
        <w:rPr>
          <w:rFonts w:ascii="Times New Roman" w:hAnsi="Times New Roman" w:cs="Times New Roman"/>
          <w:sz w:val="24"/>
          <w:szCs w:val="24"/>
        </w:rPr>
        <w:t>10</w:t>
      </w:r>
      <w:r w:rsidR="008568B3">
        <w:rPr>
          <w:rFonts w:ascii="Times New Roman" w:hAnsi="Times New Roman" w:cs="Times New Roman"/>
          <w:sz w:val="24"/>
          <w:szCs w:val="24"/>
        </w:rPr>
        <w:t>)</w:t>
      </w:r>
      <w:r w:rsidR="005855F4" w:rsidRPr="008568B3">
        <w:rPr>
          <w:rFonts w:ascii="Times New Roman" w:hAnsi="Times New Roman" w:cs="Times New Roman"/>
          <w:sz w:val="24"/>
          <w:szCs w:val="24"/>
        </w:rPr>
        <w:t>(a)</w:t>
      </w:r>
      <w:r w:rsidR="00443D51" w:rsidRPr="008568B3">
        <w:rPr>
          <w:rFonts w:ascii="Times New Roman" w:hAnsi="Times New Roman" w:cs="Times New Roman"/>
          <w:sz w:val="24"/>
          <w:szCs w:val="24"/>
        </w:rPr>
        <w:t>, measures identified through the priority list in the Weatherization Manual are considered cost-effective</w:t>
      </w:r>
      <w:r w:rsidR="00765EBA" w:rsidRPr="008568B3">
        <w:rPr>
          <w:rFonts w:ascii="Times New Roman" w:hAnsi="Times New Roman" w:cs="Times New Roman"/>
          <w:sz w:val="24"/>
          <w:szCs w:val="24"/>
        </w:rPr>
        <w:t>. For efficiency measures with a TRC less than 1</w:t>
      </w:r>
      <w:r w:rsidR="002B03E7" w:rsidRPr="008568B3">
        <w:rPr>
          <w:rFonts w:ascii="Times New Roman" w:hAnsi="Times New Roman" w:cs="Times New Roman"/>
          <w:sz w:val="24"/>
          <w:szCs w:val="24"/>
        </w:rPr>
        <w:t>.0</w:t>
      </w:r>
      <w:r w:rsidR="00443D51" w:rsidRPr="008568B3">
        <w:rPr>
          <w:rFonts w:ascii="Times New Roman" w:hAnsi="Times New Roman" w:cs="Times New Roman"/>
          <w:sz w:val="24"/>
          <w:szCs w:val="24"/>
        </w:rPr>
        <w:t xml:space="preserve"> and not included on the priority list</w:t>
      </w:r>
      <w:r w:rsidR="00A76716" w:rsidRPr="008568B3">
        <w:rPr>
          <w:rFonts w:ascii="Times New Roman" w:hAnsi="Times New Roman" w:cs="Times New Roman"/>
          <w:sz w:val="24"/>
          <w:szCs w:val="24"/>
        </w:rPr>
        <w:t>,</w:t>
      </w:r>
      <w:r w:rsidR="00765EBA" w:rsidRPr="008568B3">
        <w:rPr>
          <w:rFonts w:ascii="Times New Roman" w:hAnsi="Times New Roman" w:cs="Times New Roman"/>
          <w:sz w:val="24"/>
          <w:szCs w:val="24"/>
        </w:rPr>
        <w:t xml:space="preserve"> a “Rebate” that is equal to the Company’s avoided cost of energy is provided as the reimbursement to the Agency. </w:t>
      </w:r>
    </w:p>
    <w:p w14:paraId="5521EFC0" w14:textId="77777777" w:rsidR="008568B3" w:rsidRDefault="00765EBA" w:rsidP="008568B3">
      <w:pPr>
        <w:spacing w:after="0" w:line="360" w:lineRule="auto"/>
        <w:ind w:firstLine="720"/>
        <w:jc w:val="both"/>
        <w:rPr>
          <w:rFonts w:ascii="Times New Roman" w:hAnsi="Times New Roman" w:cs="Times New Roman"/>
          <w:sz w:val="24"/>
          <w:szCs w:val="24"/>
        </w:rPr>
      </w:pPr>
      <w:r w:rsidRPr="008568B3">
        <w:rPr>
          <w:rFonts w:ascii="Times New Roman" w:hAnsi="Times New Roman" w:cs="Times New Roman"/>
          <w:sz w:val="24"/>
          <w:szCs w:val="24"/>
        </w:rPr>
        <w:t>Both the “Approved” and “Rebate” lists are made available to the agencies during the contracting process so they are aware of the eligible measures and the designated amounts if applicable. Should the Agency have an efficiency opportunity that is not on the “Rebate” list, the Company will review each project individually to determine an appropriate funding amount. The agencies may choose to utilize their Health and Safety allotment towards covering the full cost of the “Rebate” measure if they do not have other funding sources to fill in the difference.</w:t>
      </w:r>
      <w:r w:rsidR="00C16966" w:rsidRPr="008568B3">
        <w:rPr>
          <w:rFonts w:ascii="Times New Roman" w:hAnsi="Times New Roman" w:cs="Times New Roman"/>
          <w:sz w:val="24"/>
          <w:szCs w:val="24"/>
        </w:rPr>
        <w:t xml:space="preserve"> In 2017 some measures, particularly weatherization, have decreased</w:t>
      </w:r>
      <w:r w:rsidR="00443D51" w:rsidRPr="008568B3">
        <w:rPr>
          <w:rFonts w:ascii="Times New Roman" w:hAnsi="Times New Roman" w:cs="Times New Roman"/>
          <w:sz w:val="24"/>
          <w:szCs w:val="24"/>
        </w:rPr>
        <w:t xml:space="preserve"> TRCs below 1.0, however, most are included on the Weatherization Manual priority list </w:t>
      </w:r>
      <w:r w:rsidR="001909FF" w:rsidRPr="008568B3">
        <w:rPr>
          <w:rFonts w:ascii="Times New Roman" w:hAnsi="Times New Roman" w:cs="Times New Roman"/>
          <w:sz w:val="24"/>
          <w:szCs w:val="24"/>
        </w:rPr>
        <w:t xml:space="preserve">and therefore reimbursed at 100%. </w:t>
      </w:r>
      <w:r w:rsidR="00CC27E8" w:rsidRPr="008568B3">
        <w:rPr>
          <w:rFonts w:ascii="Times New Roman" w:hAnsi="Times New Roman" w:cs="Times New Roman"/>
          <w:sz w:val="24"/>
          <w:szCs w:val="24"/>
        </w:rPr>
        <w:t xml:space="preserve">    </w:t>
      </w:r>
    </w:p>
    <w:p w14:paraId="5521EFC1" w14:textId="77777777" w:rsidR="00CC27E8" w:rsidRDefault="00E21FC5" w:rsidP="008568B3">
      <w:pPr>
        <w:spacing w:after="0" w:line="360" w:lineRule="auto"/>
        <w:ind w:firstLine="720"/>
        <w:jc w:val="both"/>
        <w:rPr>
          <w:rFonts w:ascii="Times New Roman" w:hAnsi="Times New Roman" w:cs="Times New Roman"/>
          <w:sz w:val="24"/>
          <w:szCs w:val="24"/>
        </w:rPr>
      </w:pPr>
      <w:r w:rsidRPr="008568B3">
        <w:rPr>
          <w:rFonts w:ascii="Times New Roman" w:hAnsi="Times New Roman" w:cs="Times New Roman"/>
          <w:sz w:val="24"/>
          <w:szCs w:val="24"/>
        </w:rPr>
        <w:t>The Company is aware that there is concern about declining particip</w:t>
      </w:r>
      <w:r w:rsidR="002B03E7" w:rsidRPr="008568B3">
        <w:rPr>
          <w:rFonts w:ascii="Times New Roman" w:hAnsi="Times New Roman" w:cs="Times New Roman"/>
          <w:sz w:val="24"/>
          <w:szCs w:val="24"/>
        </w:rPr>
        <w:t>ation in Low-Income programs however,</w:t>
      </w:r>
      <w:r w:rsidRPr="008568B3">
        <w:rPr>
          <w:rFonts w:ascii="Times New Roman" w:hAnsi="Times New Roman" w:cs="Times New Roman"/>
          <w:sz w:val="24"/>
          <w:szCs w:val="24"/>
        </w:rPr>
        <w:t xml:space="preserve"> we believe that this has been primarily driven by higher costs per weatherized household over the same fixed amount of Low-Income funds available. An actual participant goal would be difficult to determine given that the number of treated homes depends upon the depth and cost of weatherization required by the participating homes as well as the other non-utility funds available to the CAP agencies in any given year. </w:t>
      </w:r>
    </w:p>
    <w:p w14:paraId="5521EFC2" w14:textId="77777777" w:rsidR="00D239D6" w:rsidRDefault="00D239D6" w:rsidP="008568B3">
      <w:pPr>
        <w:spacing w:after="0" w:line="360" w:lineRule="auto"/>
        <w:ind w:firstLine="720"/>
        <w:jc w:val="both"/>
        <w:rPr>
          <w:rFonts w:ascii="Times New Roman" w:hAnsi="Times New Roman" w:cs="Times New Roman"/>
          <w:sz w:val="24"/>
          <w:szCs w:val="24"/>
        </w:rPr>
      </w:pPr>
    </w:p>
    <w:p w14:paraId="5521EFC3" w14:textId="77777777" w:rsidR="00D239D6" w:rsidRDefault="00D239D6" w:rsidP="008568B3">
      <w:pPr>
        <w:spacing w:after="0" w:line="360" w:lineRule="auto"/>
        <w:ind w:firstLine="720"/>
        <w:jc w:val="both"/>
        <w:rPr>
          <w:rFonts w:ascii="Times New Roman" w:hAnsi="Times New Roman" w:cs="Times New Roman"/>
          <w:sz w:val="24"/>
          <w:szCs w:val="24"/>
        </w:rPr>
      </w:pPr>
    </w:p>
    <w:p w14:paraId="5521EFC4" w14:textId="77777777" w:rsidR="00D239D6" w:rsidRPr="008568B3" w:rsidRDefault="00D239D6" w:rsidP="008568B3">
      <w:pPr>
        <w:spacing w:after="0" w:line="360" w:lineRule="auto"/>
        <w:ind w:firstLine="720"/>
        <w:jc w:val="both"/>
        <w:rPr>
          <w:rFonts w:ascii="Times New Roman" w:hAnsi="Times New Roman" w:cs="Times New Roman"/>
          <w:sz w:val="24"/>
          <w:szCs w:val="24"/>
        </w:rPr>
      </w:pPr>
    </w:p>
    <w:p w14:paraId="5521EFC5" w14:textId="77777777" w:rsidR="0063676F" w:rsidRPr="00596E24" w:rsidRDefault="0063676F" w:rsidP="00596E24">
      <w:pPr>
        <w:rPr>
          <w:rFonts w:ascii="Times New Roman" w:hAnsi="Times New Roman" w:cs="Times New Roman"/>
          <w:b/>
          <w:sz w:val="24"/>
          <w:szCs w:val="24"/>
          <w:u w:val="single"/>
        </w:rPr>
      </w:pPr>
      <w:r w:rsidRPr="00596E24">
        <w:rPr>
          <w:rFonts w:ascii="Times New Roman" w:hAnsi="Times New Roman" w:cs="Times New Roman"/>
          <w:b/>
          <w:sz w:val="24"/>
          <w:szCs w:val="24"/>
          <w:u w:val="single"/>
        </w:rPr>
        <w:lastRenderedPageBreak/>
        <w:t>Non-Residential Prescriptive Program Overview</w:t>
      </w:r>
    </w:p>
    <w:p w14:paraId="5521EFC6" w14:textId="77777777" w:rsidR="00D43CE6" w:rsidRPr="00596E24" w:rsidRDefault="00D43CE6" w:rsidP="00A15608">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 xml:space="preserve">The nonresidential energy efficiency market is delivered through a combination of prescriptive and site-specific offerings. Any measure not offered through a prescriptive program is automatically eligible for treatment through the site-specific program, subject to the criteria for participation in that program. Prescriptive paths for the nonresidential market are preferred for measures that are relatively homogenous in scope and uniform in their energy efficiency characteristics. </w:t>
      </w:r>
    </w:p>
    <w:p w14:paraId="5521EFC7" w14:textId="77777777" w:rsidR="0063676F" w:rsidRPr="00D239D6" w:rsidRDefault="00D43CE6" w:rsidP="00D239D6">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 xml:space="preserve">Prescriptive paths do not require pre-project contracting, as the site-specific program does, and thus lend themselves to streamlined administrative and marketing efforts. </w:t>
      </w:r>
      <w:r w:rsidRPr="00596E24">
        <w:rPr>
          <w:rFonts w:ascii="Times New Roman" w:hAnsi="Times New Roman" w:cs="Times New Roman"/>
        </w:rPr>
        <w:t>Incentives are established for these prescriptive programs by applying the incentive formula contained within Schedules 90 and 190 to a prototypical installation. Actual costs and savings are tracked, reported and available to the third-party impact evaluator. Many but not all of the prescriptive measures utilize RTF UES.</w:t>
      </w:r>
    </w:p>
    <w:p w14:paraId="5521EFC8" w14:textId="77777777" w:rsidR="00A15608" w:rsidRPr="00596E24" w:rsidRDefault="00A15608" w:rsidP="00A15608">
      <w:pPr>
        <w:spacing w:after="0" w:line="360" w:lineRule="auto"/>
        <w:ind w:firstLine="720"/>
        <w:jc w:val="both"/>
        <w:rPr>
          <w:rFonts w:ascii="Times New Roman" w:hAnsi="Times New Roman" w:cs="Times New Roman"/>
          <w:sz w:val="24"/>
          <w:szCs w:val="24"/>
        </w:rPr>
      </w:pPr>
    </w:p>
    <w:p w14:paraId="5521EFC9" w14:textId="77777777" w:rsidR="0063676F" w:rsidRPr="00596E24" w:rsidRDefault="0063676F" w:rsidP="00596E24">
      <w:pPr>
        <w:rPr>
          <w:rFonts w:ascii="Times New Roman" w:hAnsi="Times New Roman" w:cs="Times New Roman"/>
          <w:b/>
          <w:sz w:val="24"/>
          <w:szCs w:val="24"/>
          <w:u w:val="single"/>
        </w:rPr>
      </w:pPr>
      <w:r w:rsidRPr="00596E24">
        <w:rPr>
          <w:rFonts w:ascii="Times New Roman" w:hAnsi="Times New Roman" w:cs="Times New Roman"/>
          <w:b/>
          <w:sz w:val="24"/>
          <w:szCs w:val="24"/>
          <w:u w:val="single"/>
        </w:rPr>
        <w:t>Non-Residential Site-Specific Program Overview</w:t>
      </w:r>
    </w:p>
    <w:p w14:paraId="5521EFCA" w14:textId="77777777" w:rsidR="0063676F" w:rsidRPr="00596E24" w:rsidRDefault="00E9747E"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Avista offers nonresidential customers the opportunity to propose any energy efficiency project with documentable energy savings (except for those eligible for a prescriptive offering) for a technical review and potential incentive through the site-specific program. Multifamily residential developments may also be treated through the site-specific program when all or a large number of the residences and common areas are treated. The determination of incentive eligibility is based upon the projects individual characteristics as they apply to the Company’s Washington electric Schedule 90 or natural gas Schedule 190 tariffs. The Company has established written processes and procedures to guide the consistent calculation of project incentives. Among other tools, the Company maintains an Excel model (Dual Fuel Incentive Calculator or DFIC) to perform these calculations and conducts technical and administrative checks known as the “Top Sheets.”</w:t>
      </w:r>
    </w:p>
    <w:p w14:paraId="5521EFCB" w14:textId="77777777" w:rsidR="00A15608" w:rsidRPr="00D239D6" w:rsidRDefault="00E9747E" w:rsidP="00D239D6">
      <w:pPr>
        <w:autoSpaceDE w:val="0"/>
        <w:autoSpaceDN w:val="0"/>
        <w:adjustRightInd w:val="0"/>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site-specific program has historically been one of the more cost-effective portions of the DSM portfolio, as well as generating a substantial share of the energy savings. The year-to-year program performance can be somewhat variable due to the timing of large projects. </w:t>
      </w:r>
      <w:r w:rsidR="005D382C">
        <w:rPr>
          <w:rFonts w:ascii="Times New Roman" w:hAnsi="Times New Roman" w:cs="Times New Roman"/>
          <w:sz w:val="24"/>
          <w:szCs w:val="24"/>
        </w:rPr>
        <w:t>If the C</w:t>
      </w:r>
      <w:r w:rsidR="00612740">
        <w:rPr>
          <w:rFonts w:ascii="Times New Roman" w:hAnsi="Times New Roman" w:cs="Times New Roman"/>
          <w:sz w:val="24"/>
          <w:szCs w:val="24"/>
        </w:rPr>
        <w:t xml:space="preserve">ompany falls short of the conservation target over the next two </w:t>
      </w:r>
      <w:r w:rsidR="005D382C">
        <w:rPr>
          <w:rFonts w:ascii="Times New Roman" w:hAnsi="Times New Roman" w:cs="Times New Roman"/>
          <w:sz w:val="24"/>
          <w:szCs w:val="24"/>
        </w:rPr>
        <w:t>biennium’s</w:t>
      </w:r>
      <w:r w:rsidR="00612740">
        <w:rPr>
          <w:rFonts w:ascii="Times New Roman" w:hAnsi="Times New Roman" w:cs="Times New Roman"/>
          <w:sz w:val="24"/>
          <w:szCs w:val="24"/>
        </w:rPr>
        <w:t xml:space="preserve"> u</w:t>
      </w:r>
      <w:r w:rsidR="00B31169">
        <w:rPr>
          <w:rFonts w:ascii="Times New Roman" w:hAnsi="Times New Roman" w:cs="Times New Roman"/>
          <w:sz w:val="24"/>
          <w:szCs w:val="24"/>
        </w:rPr>
        <w:t>nder WAC-109-100(3)(c)(ii)</w:t>
      </w:r>
      <w:r w:rsidR="008568B3">
        <w:rPr>
          <w:rFonts w:ascii="Times New Roman" w:hAnsi="Times New Roman" w:cs="Times New Roman"/>
          <w:sz w:val="24"/>
          <w:szCs w:val="24"/>
        </w:rPr>
        <w:t>,</w:t>
      </w:r>
      <w:r w:rsidR="00670738">
        <w:rPr>
          <w:rFonts w:ascii="Times New Roman" w:hAnsi="Times New Roman" w:cs="Times New Roman"/>
          <w:sz w:val="24"/>
          <w:szCs w:val="24"/>
        </w:rPr>
        <w:t xml:space="preserve"> five percent of the shortfall can come from excess conservation at a single large </w:t>
      </w:r>
      <w:r w:rsidR="00670738">
        <w:rPr>
          <w:rFonts w:ascii="Times New Roman" w:hAnsi="Times New Roman" w:cs="Times New Roman"/>
          <w:sz w:val="24"/>
          <w:szCs w:val="24"/>
        </w:rPr>
        <w:lastRenderedPageBreak/>
        <w:t>facility, which would require additional tracking of savings for those facilities that have loads greater than 5 aMW.</w:t>
      </w:r>
    </w:p>
    <w:p w14:paraId="5521EFCC" w14:textId="77777777" w:rsidR="00E9747E" w:rsidRPr="00596E24" w:rsidRDefault="00E9747E" w:rsidP="00A15608">
      <w:pPr>
        <w:spacing w:after="0" w:line="360" w:lineRule="auto"/>
        <w:ind w:firstLine="634"/>
        <w:jc w:val="both"/>
        <w:rPr>
          <w:rFonts w:ascii="Times New Roman" w:hAnsi="Times New Roman" w:cs="Times New Roman"/>
          <w:sz w:val="24"/>
          <w:szCs w:val="24"/>
        </w:rPr>
      </w:pPr>
      <w:r w:rsidRPr="00596E24">
        <w:rPr>
          <w:rFonts w:ascii="Times New Roman" w:hAnsi="Times New Roman" w:cs="Times New Roman"/>
          <w:sz w:val="24"/>
          <w:szCs w:val="24"/>
        </w:rPr>
        <w:t>Implementation improvements</w:t>
      </w:r>
      <w:r w:rsidR="007232D5" w:rsidRPr="00596E24">
        <w:rPr>
          <w:rFonts w:ascii="Times New Roman" w:hAnsi="Times New Roman" w:cs="Times New Roman"/>
          <w:sz w:val="24"/>
          <w:szCs w:val="24"/>
        </w:rPr>
        <w:t xml:space="preserve"> recently completed</w:t>
      </w:r>
      <w:r w:rsidRPr="00596E24">
        <w:rPr>
          <w:rFonts w:ascii="Times New Roman" w:hAnsi="Times New Roman" w:cs="Times New Roman"/>
          <w:sz w:val="24"/>
          <w:szCs w:val="24"/>
        </w:rPr>
        <w:t xml:space="preserve"> that will have a positive impact on the site-specific program include:</w:t>
      </w:r>
    </w:p>
    <w:p w14:paraId="5521EFCD" w14:textId="77777777" w:rsidR="00E9747E" w:rsidRPr="008568B3" w:rsidRDefault="00E9747E" w:rsidP="008568B3">
      <w:pPr>
        <w:pStyle w:val="ListParagraph"/>
        <w:numPr>
          <w:ilvl w:val="0"/>
          <w:numId w:val="28"/>
        </w:numPr>
        <w:rPr>
          <w:rFonts w:ascii="Times New Roman" w:hAnsi="Times New Roman" w:cs="Times New Roman"/>
          <w:sz w:val="24"/>
          <w:szCs w:val="24"/>
        </w:rPr>
      </w:pPr>
      <w:r w:rsidRPr="008568B3">
        <w:rPr>
          <w:rFonts w:ascii="Times New Roman" w:hAnsi="Times New Roman" w:cs="Times New Roman"/>
          <w:sz w:val="24"/>
          <w:szCs w:val="24"/>
        </w:rPr>
        <w:t xml:space="preserve">Revisions to the site-specific program implementation processes to improve clarity and promote the timely movement of projects through the pipeline. </w:t>
      </w:r>
    </w:p>
    <w:p w14:paraId="5521EFCE" w14:textId="77777777" w:rsidR="00E9747E" w:rsidRPr="008568B3" w:rsidRDefault="00E9747E" w:rsidP="008568B3">
      <w:pPr>
        <w:pStyle w:val="ListParagraph"/>
        <w:numPr>
          <w:ilvl w:val="0"/>
          <w:numId w:val="28"/>
        </w:numPr>
        <w:rPr>
          <w:rFonts w:ascii="Times New Roman" w:hAnsi="Times New Roman" w:cs="Times New Roman"/>
          <w:sz w:val="24"/>
          <w:szCs w:val="24"/>
        </w:rPr>
      </w:pPr>
      <w:r w:rsidRPr="008568B3">
        <w:rPr>
          <w:rFonts w:ascii="Times New Roman" w:hAnsi="Times New Roman" w:cs="Times New Roman"/>
          <w:sz w:val="24"/>
          <w:szCs w:val="24"/>
        </w:rPr>
        <w:t>The establishment of three checklists (or “Top Sheets”), one to review the energy efficiency evaluation r</w:t>
      </w:r>
      <w:r w:rsidR="007232D5" w:rsidRPr="008568B3">
        <w:rPr>
          <w:rFonts w:ascii="Times New Roman" w:hAnsi="Times New Roman" w:cs="Times New Roman"/>
          <w:sz w:val="24"/>
          <w:szCs w:val="24"/>
        </w:rPr>
        <w:t>eport, one prior to contracting</w:t>
      </w:r>
      <w:r w:rsidRPr="008568B3">
        <w:rPr>
          <w:rFonts w:ascii="Times New Roman" w:hAnsi="Times New Roman" w:cs="Times New Roman"/>
          <w:sz w:val="24"/>
          <w:szCs w:val="24"/>
        </w:rPr>
        <w:t xml:space="preserve"> and a final one prior to the payment of the incentive, in order to ensure consistent documentation and treatment of each project as it progresses through these processes towards completion.</w:t>
      </w:r>
    </w:p>
    <w:p w14:paraId="5521EFCF" w14:textId="77777777" w:rsidR="00A15608" w:rsidRDefault="00A15608" w:rsidP="00150141">
      <w:pPr>
        <w:autoSpaceDE w:val="0"/>
        <w:autoSpaceDN w:val="0"/>
        <w:adjustRightInd w:val="0"/>
        <w:spacing w:after="0"/>
        <w:ind w:firstLine="720"/>
        <w:jc w:val="both"/>
        <w:rPr>
          <w:rFonts w:ascii="Times New Roman" w:hAnsi="Times New Roman" w:cs="Times New Roman"/>
          <w:sz w:val="24"/>
          <w:szCs w:val="24"/>
        </w:rPr>
      </w:pPr>
    </w:p>
    <w:p w14:paraId="5521EFD0" w14:textId="77777777" w:rsidR="008568B3" w:rsidRPr="00596E24" w:rsidRDefault="00E9747E" w:rsidP="00D239D6">
      <w:pPr>
        <w:autoSpaceDE w:val="0"/>
        <w:autoSpaceDN w:val="0"/>
        <w:adjustRightInd w:val="0"/>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Program marketing relies heavily upon the Account Executive infrastructure and commercial and industrial energy efficiency outreach. Outreach includes print advertising, customer newsletters, customer meetings and vendor outreach. Account Executives have actively managed accounts, but are also available to any customer based upon the geographic location or industry, and serves as their liaison for all energy needs. A portion of the Account Executives effort is expended on coordinating the customer involvement in both the site-specific and prescriptive energy efficiency programs. The program delivery and engineering teams perform additional outreach to customer groups and support of the program marketing, as well as serving their functions within the program implementation process. Additionally, customers can utilize web tools for automated benchmarking of their energy services or an on-line energy audit using Avista Business Energy Advisor. </w:t>
      </w:r>
    </w:p>
    <w:p w14:paraId="5521EFD1" w14:textId="77777777" w:rsidR="00E9747E" w:rsidRDefault="00E9747E"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The site-specific program savings can be difficult to predict due to large projects with long sales cycles. General economy shift</w:t>
      </w:r>
      <w:r w:rsidR="007232D5" w:rsidRPr="00596E24">
        <w:rPr>
          <w:rFonts w:ascii="Times New Roman" w:hAnsi="Times New Roman" w:cs="Times New Roman"/>
          <w:sz w:val="24"/>
          <w:szCs w:val="24"/>
        </w:rPr>
        <w:t>s</w:t>
      </w:r>
      <w:r w:rsidRPr="00596E24">
        <w:rPr>
          <w:rFonts w:ascii="Times New Roman" w:hAnsi="Times New Roman" w:cs="Times New Roman"/>
          <w:sz w:val="24"/>
          <w:szCs w:val="24"/>
        </w:rPr>
        <w:t xml:space="preserve"> may also impact customer willingness to fund efficiency improvements. Increases in process and eligibility complexity, increases in customer costs to participate beyond the </w:t>
      </w:r>
      <w:r w:rsidR="007232D5" w:rsidRPr="00596E24">
        <w:rPr>
          <w:rFonts w:ascii="Times New Roman" w:hAnsi="Times New Roman" w:cs="Times New Roman"/>
          <w:sz w:val="24"/>
          <w:szCs w:val="24"/>
        </w:rPr>
        <w:t>capital investment</w:t>
      </w:r>
      <w:r w:rsidRPr="00596E24">
        <w:rPr>
          <w:rFonts w:ascii="Times New Roman" w:hAnsi="Times New Roman" w:cs="Times New Roman"/>
          <w:sz w:val="24"/>
          <w:szCs w:val="24"/>
        </w:rPr>
        <w:t xml:space="preserve"> and costs for post measurement activities are kept in mind and managed in order to continue to successfully engage customers.</w:t>
      </w:r>
    </w:p>
    <w:p w14:paraId="5521EFD2" w14:textId="77777777" w:rsidR="00D239D6" w:rsidRDefault="00D239D6" w:rsidP="00A15608">
      <w:pPr>
        <w:spacing w:after="0" w:line="360" w:lineRule="auto"/>
        <w:ind w:firstLine="720"/>
        <w:jc w:val="both"/>
        <w:rPr>
          <w:rFonts w:ascii="Times New Roman" w:hAnsi="Times New Roman" w:cs="Times New Roman"/>
          <w:sz w:val="24"/>
          <w:szCs w:val="24"/>
        </w:rPr>
      </w:pPr>
    </w:p>
    <w:p w14:paraId="5521EFD3" w14:textId="77777777" w:rsidR="0063676F" w:rsidRPr="00596E24" w:rsidRDefault="0063676F" w:rsidP="00596E24">
      <w:pPr>
        <w:rPr>
          <w:rFonts w:ascii="Times New Roman" w:hAnsi="Times New Roman" w:cs="Times New Roman"/>
          <w:b/>
          <w:sz w:val="24"/>
          <w:szCs w:val="24"/>
          <w:u w:val="single"/>
        </w:rPr>
      </w:pPr>
      <w:r w:rsidRPr="00596E24">
        <w:rPr>
          <w:rFonts w:ascii="Times New Roman" w:hAnsi="Times New Roman" w:cs="Times New Roman"/>
          <w:b/>
          <w:sz w:val="24"/>
          <w:szCs w:val="24"/>
          <w:u w:val="single"/>
        </w:rPr>
        <w:t>Regional Market Transformation</w:t>
      </w:r>
    </w:p>
    <w:p w14:paraId="5521EFD4" w14:textId="77777777" w:rsidR="007D3B16" w:rsidRDefault="007D3B1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Avista’s local DSM portfolio seeks to influence the decision of customer towards the purchase of cost-effective energy efficiency products and services through a combination of incentives, awareness and addressing barriers to adoption.  The local DSM portfolio is intended to </w:t>
      </w:r>
      <w:r w:rsidRPr="00596E24">
        <w:rPr>
          <w:rFonts w:ascii="Times New Roman" w:hAnsi="Times New Roman" w:cs="Times New Roman"/>
          <w:sz w:val="24"/>
          <w:szCs w:val="24"/>
        </w:rPr>
        <w:lastRenderedPageBreak/>
        <w:t>be permanent in nature with the understanding that the specific programs and eligibility criteria will be revised over time in recognition of the changing marketplace, technologies and economics.  Though these efforts can, and to a degree do, create permanent changes in how our customers make energy choices, it is generally not feasible for Avista to design local programs so as to influence markets that are often regional or national in scale.</w:t>
      </w:r>
    </w:p>
    <w:p w14:paraId="5521EFD5" w14:textId="77777777" w:rsidR="007D3B16" w:rsidRDefault="007D3B1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Market transformation is an alternate approach to those markets and are defined interventions occurring for a finite period of time, utilizing strategically selected approaches to influence the energy market (customer, trade allies, manufacturers or combinations thereof) followed by an exit strategy.  Successful market transformations permanently change the trajectory of markets in favor of more cost-effective energy efficiency choices, well beyond the termination of the active intervention.</w:t>
      </w:r>
    </w:p>
    <w:p w14:paraId="5521EFD6" w14:textId="77777777" w:rsidR="008568B3" w:rsidRDefault="007D3B1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Electric utilities within the northwest came together in 1997 to establish and fund a cooperative effort geared towards sustaining market transformation on a regional basis with sufficient scale and diversity to deliver a portfolio capable of delivering a cost-effective electric efficiency resource.  That organization, NEEA, </w:t>
      </w:r>
      <w:r w:rsidR="00B92FF9">
        <w:rPr>
          <w:rFonts w:ascii="Times New Roman" w:hAnsi="Times New Roman" w:cs="Times New Roman"/>
          <w:sz w:val="24"/>
          <w:szCs w:val="24"/>
        </w:rPr>
        <w:t>entered</w:t>
      </w:r>
      <w:r w:rsidRPr="00596E24">
        <w:rPr>
          <w:rFonts w:ascii="Times New Roman" w:hAnsi="Times New Roman" w:cs="Times New Roman"/>
          <w:sz w:val="24"/>
          <w:szCs w:val="24"/>
        </w:rPr>
        <w:t xml:space="preserve"> its fifth funding cycle during 2015.  Avista has been an active and funding participant of this collaborative effort since the beginning.  Over that period of time, NEEA has delivered to Avista and the region some of the most cost-effective electric efficiency resources within </w:t>
      </w:r>
      <w:r w:rsidR="007232D5" w:rsidRPr="00596E24">
        <w:rPr>
          <w:rFonts w:ascii="Times New Roman" w:hAnsi="Times New Roman" w:cs="Times New Roman"/>
          <w:sz w:val="24"/>
          <w:szCs w:val="24"/>
        </w:rPr>
        <w:t>the</w:t>
      </w:r>
      <w:r w:rsidRPr="00596E24">
        <w:rPr>
          <w:rFonts w:ascii="Times New Roman" w:hAnsi="Times New Roman" w:cs="Times New Roman"/>
          <w:sz w:val="24"/>
          <w:szCs w:val="24"/>
        </w:rPr>
        <w:t xml:space="preserve"> overall portfolio.  Avista has committed to continuing to be part of NEEA for this fifth funding cycle encompassing the 2015-2019 period (inclusive). </w:t>
      </w:r>
    </w:p>
    <w:p w14:paraId="5521EFD7" w14:textId="77777777" w:rsidR="007D3B16" w:rsidRDefault="007D3B1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It is recognized that the future NEEA portfolio may not be as cost-effective as the past.  NEEA’s very successful residential lighting efforts, and many other ventures, are difficult to replicate.  Nevertheless, there is little doubt that there are cost-effective opportunities that can only be achieved, or that are best achieved, through a regionally cooperative effort. Avista has a high degree of confidence that the NEEA portfolio will succeed, and that Avista’s Washington and Idaho customers continue to benefit from these efforts.</w:t>
      </w:r>
    </w:p>
    <w:p w14:paraId="5521EFD8" w14:textId="77777777" w:rsidR="007D3B16" w:rsidRDefault="007D3B1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For </w:t>
      </w:r>
      <w:r w:rsidR="009927F9" w:rsidRPr="00596E24">
        <w:rPr>
          <w:rFonts w:ascii="Times New Roman" w:hAnsi="Times New Roman" w:cs="Times New Roman"/>
          <w:sz w:val="24"/>
          <w:szCs w:val="24"/>
        </w:rPr>
        <w:t>201</w:t>
      </w:r>
      <w:r w:rsidR="009927F9">
        <w:rPr>
          <w:rFonts w:ascii="Times New Roman" w:hAnsi="Times New Roman" w:cs="Times New Roman"/>
          <w:sz w:val="24"/>
          <w:szCs w:val="24"/>
        </w:rPr>
        <w:t>7</w:t>
      </w:r>
      <w:r w:rsidR="00150141">
        <w:rPr>
          <w:rFonts w:ascii="Times New Roman" w:hAnsi="Times New Roman" w:cs="Times New Roman"/>
          <w:sz w:val="24"/>
          <w:szCs w:val="24"/>
        </w:rPr>
        <w:t>,</w:t>
      </w:r>
      <w:r w:rsidR="009927F9"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the </w:t>
      </w:r>
      <w:r w:rsidR="00150141">
        <w:rPr>
          <w:rFonts w:ascii="Times New Roman" w:hAnsi="Times New Roman" w:cs="Times New Roman"/>
          <w:sz w:val="24"/>
          <w:szCs w:val="24"/>
        </w:rPr>
        <w:t>C</w:t>
      </w:r>
      <w:r w:rsidRPr="00596E24">
        <w:rPr>
          <w:rFonts w:ascii="Times New Roman" w:hAnsi="Times New Roman" w:cs="Times New Roman"/>
          <w:sz w:val="24"/>
          <w:szCs w:val="24"/>
        </w:rPr>
        <w:t>ompany’s portion of NEEA’s Electric budget is expected to be about $1,400,000 and $</w:t>
      </w:r>
      <w:r w:rsidR="009927F9">
        <w:rPr>
          <w:rFonts w:ascii="Times New Roman" w:hAnsi="Times New Roman" w:cs="Times New Roman"/>
          <w:sz w:val="24"/>
          <w:szCs w:val="24"/>
        </w:rPr>
        <w:t>718,782</w:t>
      </w:r>
      <w:r w:rsidRPr="00596E24">
        <w:rPr>
          <w:rFonts w:ascii="Times New Roman" w:hAnsi="Times New Roman" w:cs="Times New Roman"/>
          <w:sz w:val="24"/>
          <w:szCs w:val="24"/>
        </w:rPr>
        <w:t xml:space="preserve"> for Washington and Idaho respectively.</w:t>
      </w:r>
    </w:p>
    <w:p w14:paraId="5521EFD9" w14:textId="77777777" w:rsidR="007D3B16" w:rsidRDefault="007D3B1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For more than a decade regional natural gas utilities, including dual-fuel utilities currently participating in NEEA in their electric role, have prompted discussions of the potential for incorporating natural gas efficiency into NEEA’s mission.  </w:t>
      </w:r>
      <w:r w:rsidR="00F846B6">
        <w:rPr>
          <w:rFonts w:ascii="Times New Roman" w:hAnsi="Times New Roman" w:cs="Times New Roman"/>
          <w:sz w:val="24"/>
          <w:szCs w:val="24"/>
        </w:rPr>
        <w:t xml:space="preserve">Discussions </w:t>
      </w:r>
      <w:r w:rsidRPr="00596E24">
        <w:rPr>
          <w:rFonts w:ascii="Times New Roman" w:hAnsi="Times New Roman" w:cs="Times New Roman"/>
          <w:sz w:val="24"/>
          <w:szCs w:val="24"/>
        </w:rPr>
        <w:t xml:space="preserve">led to a formal proposal </w:t>
      </w:r>
      <w:r w:rsidRPr="00596E24">
        <w:rPr>
          <w:rFonts w:ascii="Times New Roman" w:hAnsi="Times New Roman" w:cs="Times New Roman"/>
          <w:sz w:val="24"/>
          <w:szCs w:val="24"/>
        </w:rPr>
        <w:lastRenderedPageBreak/>
        <w:t>to the NEEA Board of Directors for establishing a separately funded natural gas market transform</w:t>
      </w:r>
      <w:r w:rsidR="00F846B6">
        <w:rPr>
          <w:rFonts w:ascii="Times New Roman" w:hAnsi="Times New Roman" w:cs="Times New Roman"/>
          <w:sz w:val="24"/>
          <w:szCs w:val="24"/>
        </w:rPr>
        <w:t xml:space="preserve">ation portfolio.  The Board </w:t>
      </w:r>
      <w:r w:rsidRPr="00596E24">
        <w:rPr>
          <w:rFonts w:ascii="Times New Roman" w:hAnsi="Times New Roman" w:cs="Times New Roman"/>
          <w:sz w:val="24"/>
          <w:szCs w:val="24"/>
        </w:rPr>
        <w:t>approved this proposal</w:t>
      </w:r>
      <w:r w:rsidR="00F846B6">
        <w:rPr>
          <w:rFonts w:ascii="Times New Roman" w:hAnsi="Times New Roman" w:cs="Times New Roman"/>
          <w:sz w:val="24"/>
          <w:szCs w:val="24"/>
        </w:rPr>
        <w:t>.</w:t>
      </w:r>
    </w:p>
    <w:p w14:paraId="5521EFDA" w14:textId="77777777" w:rsidR="007D3B16" w:rsidRDefault="007D3B1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At present</w:t>
      </w:r>
      <w:r w:rsidR="007232D5"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approximately </w:t>
      </w:r>
      <w:r w:rsidR="007E27F9">
        <w:rPr>
          <w:rFonts w:ascii="Times New Roman" w:hAnsi="Times New Roman" w:cs="Times New Roman"/>
          <w:sz w:val="24"/>
          <w:szCs w:val="24"/>
        </w:rPr>
        <w:t>five-sevenths</w:t>
      </w:r>
      <w:r w:rsidRPr="00596E24">
        <w:rPr>
          <w:rFonts w:ascii="Times New Roman" w:hAnsi="Times New Roman" w:cs="Times New Roman"/>
          <w:sz w:val="24"/>
          <w:szCs w:val="24"/>
        </w:rPr>
        <w:t xml:space="preserve"> of the eligible natural gas utility funding</w:t>
      </w:r>
      <w:r w:rsidR="007E27F9">
        <w:rPr>
          <w:rFonts w:ascii="Times New Roman" w:hAnsi="Times New Roman" w:cs="Times New Roman"/>
          <w:sz w:val="24"/>
          <w:szCs w:val="24"/>
        </w:rPr>
        <w:t xml:space="preserve"> (of the 7 northwest gas utilities</w:t>
      </w:r>
      <w:r w:rsidR="008568B3">
        <w:rPr>
          <w:rFonts w:ascii="Times New Roman" w:hAnsi="Times New Roman" w:cs="Times New Roman"/>
          <w:sz w:val="24"/>
          <w:szCs w:val="24"/>
        </w:rPr>
        <w:t>,</w:t>
      </w:r>
      <w:r w:rsidR="007E27F9">
        <w:rPr>
          <w:rFonts w:ascii="Times New Roman" w:hAnsi="Times New Roman" w:cs="Times New Roman"/>
          <w:sz w:val="24"/>
          <w:szCs w:val="24"/>
        </w:rPr>
        <w:t xml:space="preserve"> Intermountain Gas and Northwestern are not currently funding partners)  </w:t>
      </w:r>
      <w:r w:rsidRPr="00596E24">
        <w:rPr>
          <w:rFonts w:ascii="Times New Roman" w:hAnsi="Times New Roman" w:cs="Times New Roman"/>
          <w:sz w:val="24"/>
          <w:szCs w:val="24"/>
        </w:rPr>
        <w:t xml:space="preserve"> within the </w:t>
      </w:r>
      <w:r w:rsidR="007232D5" w:rsidRPr="00596E24">
        <w:rPr>
          <w:rFonts w:ascii="Times New Roman" w:hAnsi="Times New Roman" w:cs="Times New Roman"/>
          <w:sz w:val="24"/>
          <w:szCs w:val="24"/>
        </w:rPr>
        <w:t>N</w:t>
      </w:r>
      <w:r w:rsidRPr="00596E24">
        <w:rPr>
          <w:rFonts w:ascii="Times New Roman" w:hAnsi="Times New Roman" w:cs="Times New Roman"/>
          <w:sz w:val="24"/>
          <w:szCs w:val="24"/>
        </w:rPr>
        <w:t xml:space="preserve">orthwest have committed to funding the NEEA effort.  This is a significantly lower proportion of eligible funding than the electric NEEA efforts have experienced over the years.  Despite this funding relationship, Avista believes that the benefits to Avista customers will exceed Avista funding requirements.  </w:t>
      </w:r>
      <w:r w:rsidR="008568B3">
        <w:rPr>
          <w:rFonts w:ascii="Times New Roman" w:hAnsi="Times New Roman" w:cs="Times New Roman"/>
          <w:sz w:val="24"/>
          <w:szCs w:val="24"/>
        </w:rPr>
        <w:t>It is anticipated</w:t>
      </w:r>
      <w:r w:rsidRPr="00596E24">
        <w:rPr>
          <w:rFonts w:ascii="Times New Roman" w:hAnsi="Times New Roman" w:cs="Times New Roman"/>
          <w:sz w:val="24"/>
          <w:szCs w:val="24"/>
        </w:rPr>
        <w:t xml:space="preserve"> that a combination of early successes and the opportunity to engage regulators in discussions of cost-effectiveness and cost recovery mechanisms will lead to higher levels of participation by eligible funders.  Though this may take some time, the Company believes this to be an important opportunity to create a long-term means of addressing regional natural </w:t>
      </w:r>
      <w:r w:rsidR="005D382C">
        <w:rPr>
          <w:rFonts w:ascii="Times New Roman" w:hAnsi="Times New Roman" w:cs="Times New Roman"/>
          <w:sz w:val="24"/>
          <w:szCs w:val="24"/>
        </w:rPr>
        <w:t>gas market transformation. The C</w:t>
      </w:r>
      <w:r w:rsidRPr="00596E24">
        <w:rPr>
          <w:rFonts w:ascii="Times New Roman" w:hAnsi="Times New Roman" w:cs="Times New Roman"/>
          <w:sz w:val="24"/>
          <w:szCs w:val="24"/>
        </w:rPr>
        <w:t>ompany’s portion of NEEA’s Natural Gas budget is expected to be $395,939 in Washington and $</w:t>
      </w:r>
      <w:r w:rsidR="009927F9">
        <w:rPr>
          <w:rFonts w:ascii="Times New Roman" w:hAnsi="Times New Roman" w:cs="Times New Roman"/>
          <w:sz w:val="24"/>
          <w:szCs w:val="24"/>
        </w:rPr>
        <w:t>200,000</w:t>
      </w:r>
      <w:r w:rsidRPr="00596E24">
        <w:rPr>
          <w:rFonts w:ascii="Times New Roman" w:hAnsi="Times New Roman" w:cs="Times New Roman"/>
          <w:sz w:val="24"/>
          <w:szCs w:val="24"/>
        </w:rPr>
        <w:t xml:space="preserve"> in Idaho.</w:t>
      </w:r>
    </w:p>
    <w:p w14:paraId="5521EFDB" w14:textId="77777777" w:rsidR="0063676F" w:rsidRDefault="007D3B16" w:rsidP="00A15608">
      <w:pPr>
        <w:spacing w:after="0" w:line="360" w:lineRule="auto"/>
        <w:ind w:firstLine="720"/>
        <w:jc w:val="both"/>
        <w:rPr>
          <w:rFonts w:ascii="Times New Roman" w:hAnsi="Times New Roman" w:cs="Times New Roman"/>
          <w:sz w:val="24"/>
          <w:szCs w:val="24"/>
        </w:rPr>
      </w:pPr>
      <w:r w:rsidRPr="00F846B6">
        <w:rPr>
          <w:rFonts w:ascii="Times New Roman" w:hAnsi="Times New Roman" w:cs="Times New Roman"/>
          <w:sz w:val="24"/>
          <w:szCs w:val="24"/>
        </w:rPr>
        <w:t>The NEEA funding requirements are incorporated within the budget but are considered to be supplementary expenditures outside of the scope of the current year’s local portfolio. The NEEA portfolio has not been incorporated within either the acquisition projection or the cost-effectiveness of the 201</w:t>
      </w:r>
      <w:r w:rsidR="00B92FF9">
        <w:rPr>
          <w:rFonts w:ascii="Times New Roman" w:hAnsi="Times New Roman" w:cs="Times New Roman"/>
          <w:sz w:val="24"/>
          <w:szCs w:val="24"/>
        </w:rPr>
        <w:t>7</w:t>
      </w:r>
      <w:r w:rsidRPr="00F846B6">
        <w:rPr>
          <w:rFonts w:ascii="Times New Roman" w:hAnsi="Times New Roman" w:cs="Times New Roman"/>
          <w:sz w:val="24"/>
          <w:szCs w:val="24"/>
        </w:rPr>
        <w:t xml:space="preserve"> local portfolio developed within this Plan.    </w:t>
      </w:r>
    </w:p>
    <w:p w14:paraId="5521EFDC" w14:textId="77777777" w:rsidR="008568B3" w:rsidRDefault="008568B3" w:rsidP="00150141">
      <w:pPr>
        <w:ind w:firstLine="720"/>
        <w:jc w:val="both"/>
        <w:rPr>
          <w:rFonts w:ascii="Times New Roman" w:hAnsi="Times New Roman" w:cs="Times New Roman"/>
          <w:sz w:val="24"/>
          <w:szCs w:val="24"/>
        </w:rPr>
      </w:pPr>
    </w:p>
    <w:p w14:paraId="5521EFDD" w14:textId="77777777" w:rsidR="00083EA0" w:rsidRPr="00150141" w:rsidRDefault="008568B3" w:rsidP="008568B3">
      <w:pPr>
        <w:pStyle w:val="ListParagraph"/>
        <w:numPr>
          <w:ilvl w:val="0"/>
          <w:numId w:val="2"/>
        </w:numPr>
        <w:ind w:left="0" w:firstLine="0"/>
        <w:jc w:val="center"/>
        <w:rPr>
          <w:rFonts w:ascii="Times New Roman" w:hAnsi="Times New Roman" w:cs="Times New Roman"/>
          <w:b/>
          <w:sz w:val="24"/>
          <w:szCs w:val="24"/>
          <w:u w:val="single"/>
        </w:rPr>
      </w:pPr>
      <w:r w:rsidRPr="00150141">
        <w:rPr>
          <w:rFonts w:ascii="Times New Roman" w:hAnsi="Times New Roman" w:cs="Times New Roman"/>
          <w:b/>
          <w:sz w:val="24"/>
          <w:szCs w:val="24"/>
          <w:u w:val="single"/>
        </w:rPr>
        <w:t>PILOT PROJECTS</w:t>
      </w:r>
    </w:p>
    <w:p w14:paraId="5521EFDE" w14:textId="77777777" w:rsidR="00083EA0" w:rsidRDefault="00083EA0" w:rsidP="00F63E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86CF5">
        <w:rPr>
          <w:rFonts w:ascii="Times New Roman" w:hAnsi="Times New Roman" w:cs="Times New Roman"/>
          <w:sz w:val="24"/>
          <w:szCs w:val="24"/>
        </w:rPr>
        <w:t>A</w:t>
      </w:r>
      <w:r w:rsidR="00E86CF5" w:rsidRPr="00E86CF5">
        <w:rPr>
          <w:rFonts w:ascii="Times New Roman" w:hAnsi="Times New Roman" w:cs="Times New Roman"/>
          <w:sz w:val="24"/>
          <w:szCs w:val="24"/>
        </w:rPr>
        <w:t>s described in WAC 480-109-100(1)(c)</w:t>
      </w:r>
      <w:r w:rsidR="00E86CF5">
        <w:rPr>
          <w:rFonts w:ascii="Times New Roman" w:hAnsi="Times New Roman" w:cs="Times New Roman"/>
          <w:sz w:val="24"/>
          <w:szCs w:val="24"/>
        </w:rPr>
        <w:t xml:space="preserve">, </w:t>
      </w:r>
      <w:r w:rsidR="00E86CF5" w:rsidRPr="00E86CF5">
        <w:rPr>
          <w:rFonts w:ascii="Times New Roman" w:hAnsi="Times New Roman" w:cs="Times New Roman"/>
          <w:sz w:val="24"/>
          <w:szCs w:val="24"/>
        </w:rPr>
        <w:t>utilities must engage in adaptive management of conservation portfolios, to ensure that portfolios appropriately respond to changing market conditions during a biennium.  Adaptive management of a conservation portfolio includes conducting pilot programs of new technologies or new approaches to engage customers in conservation.</w:t>
      </w:r>
      <w:r w:rsidR="004C1576" w:rsidRPr="00E86CF5">
        <w:rPr>
          <w:rFonts w:ascii="Times New Roman" w:hAnsi="Times New Roman" w:cs="Times New Roman"/>
          <w:sz w:val="24"/>
          <w:szCs w:val="24"/>
        </w:rPr>
        <w:t xml:space="preserve"> </w:t>
      </w:r>
    </w:p>
    <w:p w14:paraId="5521EFDF" w14:textId="77777777" w:rsidR="00E86CF5" w:rsidRDefault="00E86CF5" w:rsidP="00F63E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Avista is continuously evaluating new technologies and new approaches as it </w:t>
      </w:r>
      <w:r w:rsidRPr="00B17B6F">
        <w:rPr>
          <w:rFonts w:ascii="Times New Roman" w:hAnsi="Times New Roman" w:cs="Times New Roman"/>
          <w:sz w:val="24"/>
          <w:szCs w:val="24"/>
        </w:rPr>
        <w:t>pursue</w:t>
      </w:r>
      <w:r>
        <w:rPr>
          <w:rFonts w:ascii="Times New Roman" w:hAnsi="Times New Roman" w:cs="Times New Roman"/>
          <w:sz w:val="24"/>
          <w:szCs w:val="24"/>
        </w:rPr>
        <w:t>s</w:t>
      </w:r>
      <w:r w:rsidRPr="00B17B6F">
        <w:rPr>
          <w:rFonts w:ascii="Times New Roman" w:hAnsi="Times New Roman" w:cs="Times New Roman"/>
          <w:sz w:val="24"/>
          <w:szCs w:val="24"/>
        </w:rPr>
        <w:t xml:space="preserve"> all cost-effective kilowatt hours and therms</w:t>
      </w:r>
      <w:r>
        <w:rPr>
          <w:rFonts w:ascii="Times New Roman" w:hAnsi="Times New Roman" w:cs="Times New Roman"/>
          <w:sz w:val="24"/>
          <w:szCs w:val="24"/>
        </w:rPr>
        <w:t>, one way is through piloting programs.</w:t>
      </w:r>
      <w:r w:rsidR="00F63E8B">
        <w:rPr>
          <w:rFonts w:ascii="Times New Roman" w:hAnsi="Times New Roman" w:cs="Times New Roman"/>
          <w:sz w:val="24"/>
          <w:szCs w:val="24"/>
        </w:rPr>
        <w:t xml:space="preserve"> The following prog</w:t>
      </w:r>
      <w:r w:rsidR="008568B3">
        <w:rPr>
          <w:rFonts w:ascii="Times New Roman" w:hAnsi="Times New Roman" w:cs="Times New Roman"/>
          <w:sz w:val="24"/>
          <w:szCs w:val="24"/>
        </w:rPr>
        <w:t>rams are examples for our 2017 P</w:t>
      </w:r>
      <w:r w:rsidR="00F63E8B">
        <w:rPr>
          <w:rFonts w:ascii="Times New Roman" w:hAnsi="Times New Roman" w:cs="Times New Roman"/>
          <w:sz w:val="24"/>
          <w:szCs w:val="24"/>
        </w:rPr>
        <w:t>lan.</w:t>
      </w:r>
    </w:p>
    <w:p w14:paraId="5521EFE0" w14:textId="77777777" w:rsidR="00D239D6" w:rsidRDefault="00D239D6" w:rsidP="00B0767D">
      <w:pPr>
        <w:jc w:val="both"/>
        <w:rPr>
          <w:rFonts w:ascii="Times New Roman" w:hAnsi="Times New Roman" w:cs="Times New Roman"/>
          <w:b/>
          <w:sz w:val="24"/>
          <w:szCs w:val="24"/>
          <w:u w:val="single"/>
        </w:rPr>
      </w:pPr>
    </w:p>
    <w:p w14:paraId="5521EFE1" w14:textId="77777777" w:rsidR="00D239D6" w:rsidRDefault="00D239D6" w:rsidP="00B0767D">
      <w:pPr>
        <w:jc w:val="both"/>
        <w:rPr>
          <w:rFonts w:ascii="Times New Roman" w:hAnsi="Times New Roman" w:cs="Times New Roman"/>
          <w:b/>
          <w:sz w:val="24"/>
          <w:szCs w:val="24"/>
          <w:u w:val="single"/>
        </w:rPr>
      </w:pPr>
    </w:p>
    <w:p w14:paraId="5521EFE2" w14:textId="77777777" w:rsidR="00D239D6" w:rsidRPr="00D239D6" w:rsidRDefault="00D239D6" w:rsidP="00B0767D">
      <w:pPr>
        <w:jc w:val="both"/>
        <w:rPr>
          <w:rFonts w:ascii="Times New Roman" w:hAnsi="Times New Roman" w:cs="Times New Roman"/>
          <w:b/>
          <w:sz w:val="24"/>
          <w:szCs w:val="24"/>
          <w:u w:val="single"/>
        </w:rPr>
      </w:pPr>
    </w:p>
    <w:p w14:paraId="5521EFE3" w14:textId="77777777" w:rsidR="00A15608" w:rsidRDefault="00F63E8B" w:rsidP="00B0767D">
      <w:pPr>
        <w:jc w:val="both"/>
        <w:rPr>
          <w:rFonts w:ascii="Times New Roman" w:hAnsi="Times New Roman" w:cs="Times New Roman"/>
          <w:b/>
          <w:sz w:val="24"/>
          <w:szCs w:val="24"/>
        </w:rPr>
      </w:pPr>
      <w:r w:rsidRPr="00F63E8B">
        <w:rPr>
          <w:rFonts w:ascii="Times New Roman" w:hAnsi="Times New Roman" w:cs="Times New Roman"/>
          <w:b/>
          <w:sz w:val="24"/>
          <w:szCs w:val="24"/>
          <w:u w:val="single"/>
        </w:rPr>
        <w:lastRenderedPageBreak/>
        <w:t>Small Business Direct Install Program</w:t>
      </w:r>
      <w:r w:rsidR="00A15608">
        <w:rPr>
          <w:rFonts w:ascii="Times New Roman" w:hAnsi="Times New Roman" w:cs="Times New Roman"/>
          <w:b/>
          <w:sz w:val="24"/>
          <w:szCs w:val="24"/>
        </w:rPr>
        <w:t xml:space="preserve"> </w:t>
      </w:r>
    </w:p>
    <w:p w14:paraId="5521EFE4" w14:textId="77777777" w:rsidR="00F63E8B" w:rsidRPr="00083EA0" w:rsidRDefault="00B0767D" w:rsidP="00A15608">
      <w:pPr>
        <w:spacing w:after="0" w:line="360" w:lineRule="auto"/>
        <w:ind w:firstLine="720"/>
        <w:jc w:val="both"/>
        <w:rPr>
          <w:rFonts w:ascii="Times New Roman" w:hAnsi="Times New Roman" w:cs="Times New Roman"/>
          <w:sz w:val="24"/>
          <w:szCs w:val="24"/>
        </w:rPr>
      </w:pPr>
      <w:r w:rsidRPr="00083EA0">
        <w:rPr>
          <w:rFonts w:ascii="Times New Roman" w:hAnsi="Times New Roman" w:cs="Times New Roman"/>
          <w:sz w:val="24"/>
          <w:szCs w:val="24"/>
        </w:rPr>
        <w:t xml:space="preserve">Avista presented the </w:t>
      </w:r>
      <w:r>
        <w:rPr>
          <w:rFonts w:ascii="Times New Roman" w:hAnsi="Times New Roman" w:cs="Times New Roman"/>
          <w:sz w:val="24"/>
          <w:szCs w:val="24"/>
        </w:rPr>
        <w:t xml:space="preserve">small business direct install program </w:t>
      </w:r>
      <w:r w:rsidRPr="00083EA0">
        <w:rPr>
          <w:rFonts w:ascii="Times New Roman" w:hAnsi="Times New Roman" w:cs="Times New Roman"/>
          <w:sz w:val="24"/>
          <w:szCs w:val="24"/>
        </w:rPr>
        <w:t>pilot idea to</w:t>
      </w:r>
      <w:r>
        <w:rPr>
          <w:rFonts w:ascii="Times New Roman" w:hAnsi="Times New Roman" w:cs="Times New Roman"/>
          <w:sz w:val="24"/>
          <w:szCs w:val="24"/>
        </w:rPr>
        <w:t xml:space="preserve"> its</w:t>
      </w:r>
      <w:r w:rsidRPr="00083EA0">
        <w:rPr>
          <w:rFonts w:ascii="Times New Roman" w:hAnsi="Times New Roman" w:cs="Times New Roman"/>
          <w:sz w:val="24"/>
          <w:szCs w:val="24"/>
        </w:rPr>
        <w:t xml:space="preserve"> Advisory group </w:t>
      </w:r>
      <w:r>
        <w:rPr>
          <w:rFonts w:ascii="Times New Roman" w:hAnsi="Times New Roman" w:cs="Times New Roman"/>
          <w:sz w:val="24"/>
          <w:szCs w:val="24"/>
        </w:rPr>
        <w:t>for input prior to</w:t>
      </w:r>
      <w:r w:rsidRPr="00083EA0">
        <w:rPr>
          <w:rFonts w:ascii="Times New Roman" w:hAnsi="Times New Roman" w:cs="Times New Roman"/>
          <w:sz w:val="24"/>
          <w:szCs w:val="24"/>
        </w:rPr>
        <w:t xml:space="preserve"> proceeding through an update and a webinar.  The pilot </w:t>
      </w:r>
      <w:r>
        <w:rPr>
          <w:rFonts w:ascii="Times New Roman" w:hAnsi="Times New Roman" w:cs="Times New Roman"/>
          <w:sz w:val="24"/>
          <w:szCs w:val="24"/>
        </w:rPr>
        <w:t>began</w:t>
      </w:r>
      <w:r w:rsidRPr="00083EA0">
        <w:rPr>
          <w:rFonts w:ascii="Times New Roman" w:hAnsi="Times New Roman" w:cs="Times New Roman"/>
          <w:sz w:val="24"/>
          <w:szCs w:val="24"/>
        </w:rPr>
        <w:t xml:space="preserve"> in August</w:t>
      </w:r>
      <w:r>
        <w:rPr>
          <w:rFonts w:ascii="Times New Roman" w:hAnsi="Times New Roman" w:cs="Times New Roman"/>
          <w:sz w:val="24"/>
          <w:szCs w:val="24"/>
        </w:rPr>
        <w:t xml:space="preserve"> 2016 starting with a meeting that included Avista, </w:t>
      </w:r>
      <w:r w:rsidRPr="00083EA0">
        <w:rPr>
          <w:rFonts w:ascii="Times New Roman" w:hAnsi="Times New Roman" w:cs="Times New Roman"/>
          <w:sz w:val="24"/>
          <w:szCs w:val="24"/>
        </w:rPr>
        <w:t xml:space="preserve">SBW </w:t>
      </w:r>
      <w:r>
        <w:rPr>
          <w:rFonts w:ascii="Times New Roman" w:hAnsi="Times New Roman" w:cs="Times New Roman"/>
          <w:sz w:val="24"/>
          <w:szCs w:val="24"/>
        </w:rPr>
        <w:t>Consulting LLC</w:t>
      </w:r>
      <w:r w:rsidRPr="00083EA0">
        <w:rPr>
          <w:rFonts w:ascii="Times New Roman" w:hAnsi="Times New Roman" w:cs="Times New Roman"/>
          <w:sz w:val="24"/>
          <w:szCs w:val="24"/>
        </w:rPr>
        <w:t xml:space="preserve"> </w:t>
      </w:r>
      <w:r>
        <w:rPr>
          <w:rFonts w:ascii="Times New Roman" w:hAnsi="Times New Roman" w:cs="Times New Roman"/>
          <w:sz w:val="24"/>
          <w:szCs w:val="24"/>
        </w:rPr>
        <w:t xml:space="preserve">(SBW or Consultant), and </w:t>
      </w:r>
      <w:r w:rsidRPr="00083EA0">
        <w:rPr>
          <w:rFonts w:ascii="Times New Roman" w:hAnsi="Times New Roman" w:cs="Times New Roman"/>
          <w:sz w:val="24"/>
          <w:szCs w:val="24"/>
        </w:rPr>
        <w:t>Spokane City code officials to discuss what could be done in a retrofit,</w:t>
      </w:r>
      <w:r>
        <w:rPr>
          <w:rFonts w:ascii="Times New Roman" w:hAnsi="Times New Roman" w:cs="Times New Roman"/>
          <w:sz w:val="24"/>
          <w:szCs w:val="24"/>
        </w:rPr>
        <w:t xml:space="preserve"> and what projects</w:t>
      </w:r>
      <w:r w:rsidRPr="00083EA0">
        <w:rPr>
          <w:rFonts w:ascii="Times New Roman" w:hAnsi="Times New Roman" w:cs="Times New Roman"/>
          <w:sz w:val="24"/>
          <w:szCs w:val="24"/>
        </w:rPr>
        <w:t xml:space="preserve"> needed building permits and/or corrections of earlier problems.  </w:t>
      </w:r>
    </w:p>
    <w:p w14:paraId="5521EFE5" w14:textId="77777777" w:rsidR="00F63E8B" w:rsidRPr="00083EA0" w:rsidRDefault="00A37E29" w:rsidP="00A15608">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The</w:t>
      </w:r>
      <w:r w:rsidR="00A15608">
        <w:rPr>
          <w:rFonts w:ascii="Times New Roman" w:hAnsi="Times New Roman" w:cs="Times New Roman"/>
          <w:sz w:val="24"/>
          <w:szCs w:val="24"/>
        </w:rPr>
        <w:t xml:space="preserve"> pilot i</w:t>
      </w:r>
      <w:r>
        <w:rPr>
          <w:rFonts w:ascii="Times New Roman" w:hAnsi="Times New Roman" w:cs="Times New Roman"/>
          <w:sz w:val="24"/>
          <w:szCs w:val="24"/>
        </w:rPr>
        <w:t>s</w:t>
      </w:r>
      <w:r w:rsidR="00F63E8B" w:rsidRPr="00083EA0">
        <w:rPr>
          <w:rFonts w:ascii="Times New Roman" w:hAnsi="Times New Roman" w:cs="Times New Roman"/>
          <w:sz w:val="24"/>
          <w:szCs w:val="24"/>
        </w:rPr>
        <w:t xml:space="preserve"> designed </w:t>
      </w:r>
      <w:r w:rsidR="00F63E8B">
        <w:rPr>
          <w:rFonts w:ascii="Times New Roman" w:hAnsi="Times New Roman" w:cs="Times New Roman"/>
          <w:sz w:val="24"/>
          <w:szCs w:val="24"/>
        </w:rPr>
        <w:t>for</w:t>
      </w:r>
      <w:r w:rsidR="00F63E8B" w:rsidRPr="00083EA0">
        <w:rPr>
          <w:rFonts w:ascii="Times New Roman" w:hAnsi="Times New Roman" w:cs="Times New Roman"/>
          <w:sz w:val="24"/>
          <w:szCs w:val="24"/>
        </w:rPr>
        <w:t xml:space="preserve"> businesses that had less than 20 fluorescent fixtures, with a limit of performing 50 customer conversions to ascertain the costs to the customers.  Avista </w:t>
      </w:r>
      <w:r w:rsidR="00F63E8B">
        <w:rPr>
          <w:rFonts w:ascii="Times New Roman" w:hAnsi="Times New Roman" w:cs="Times New Roman"/>
          <w:sz w:val="24"/>
          <w:szCs w:val="24"/>
        </w:rPr>
        <w:t>contracted with</w:t>
      </w:r>
      <w:r>
        <w:rPr>
          <w:rFonts w:ascii="Times New Roman" w:hAnsi="Times New Roman" w:cs="Times New Roman"/>
          <w:sz w:val="24"/>
          <w:szCs w:val="24"/>
        </w:rPr>
        <w:t xml:space="preserve"> SBW</w:t>
      </w:r>
      <w:r w:rsidR="00F63E8B">
        <w:rPr>
          <w:rFonts w:ascii="Times New Roman" w:hAnsi="Times New Roman" w:cs="Times New Roman"/>
          <w:sz w:val="24"/>
          <w:szCs w:val="24"/>
        </w:rPr>
        <w:t xml:space="preserve">, </w:t>
      </w:r>
      <w:r w:rsidR="00F63E8B" w:rsidRPr="00083EA0">
        <w:rPr>
          <w:rFonts w:ascii="Times New Roman" w:hAnsi="Times New Roman" w:cs="Times New Roman"/>
          <w:sz w:val="24"/>
          <w:szCs w:val="24"/>
        </w:rPr>
        <w:t xml:space="preserve">who had </w:t>
      </w:r>
      <w:r w:rsidR="00F63E8B">
        <w:rPr>
          <w:rFonts w:ascii="Times New Roman" w:hAnsi="Times New Roman" w:cs="Times New Roman"/>
          <w:sz w:val="24"/>
          <w:szCs w:val="24"/>
        </w:rPr>
        <w:t>experience in this area and</w:t>
      </w:r>
      <w:r w:rsidR="00F63E8B" w:rsidRPr="00083EA0">
        <w:rPr>
          <w:rFonts w:ascii="Times New Roman" w:hAnsi="Times New Roman" w:cs="Times New Roman"/>
          <w:sz w:val="24"/>
          <w:szCs w:val="24"/>
        </w:rPr>
        <w:t xml:space="preserve"> already had a contract in place with a local electric contractor to perform the work.  </w:t>
      </w:r>
      <w:r w:rsidR="00B0767D">
        <w:rPr>
          <w:rFonts w:ascii="Times New Roman" w:hAnsi="Times New Roman" w:cs="Times New Roman"/>
          <w:sz w:val="24"/>
          <w:szCs w:val="24"/>
        </w:rPr>
        <w:t xml:space="preserve">The pilot includes </w:t>
      </w:r>
      <w:r w:rsidR="00F63E8B" w:rsidRPr="00083EA0">
        <w:rPr>
          <w:rFonts w:ascii="Times New Roman" w:hAnsi="Times New Roman" w:cs="Times New Roman"/>
          <w:sz w:val="24"/>
          <w:szCs w:val="24"/>
        </w:rPr>
        <w:t>the following:</w:t>
      </w:r>
    </w:p>
    <w:p w14:paraId="5521EFE6" w14:textId="77777777" w:rsidR="00F63E8B" w:rsidRPr="00083EA0" w:rsidRDefault="00F63E8B" w:rsidP="00F63E8B">
      <w:pPr>
        <w:pStyle w:val="ListParagraph"/>
        <w:numPr>
          <w:ilvl w:val="0"/>
          <w:numId w:val="27"/>
        </w:numPr>
        <w:spacing w:after="160" w:line="259" w:lineRule="auto"/>
        <w:jc w:val="both"/>
        <w:rPr>
          <w:rFonts w:ascii="Times New Roman" w:hAnsi="Times New Roman" w:cs="Times New Roman"/>
          <w:sz w:val="24"/>
          <w:szCs w:val="24"/>
        </w:rPr>
      </w:pPr>
      <w:r w:rsidRPr="00083EA0">
        <w:rPr>
          <w:rFonts w:ascii="Times New Roman" w:hAnsi="Times New Roman" w:cs="Times New Roman"/>
          <w:sz w:val="24"/>
          <w:szCs w:val="24"/>
        </w:rPr>
        <w:t>Audit and retrofit up to 50 small and medium electric customers (“Pilot Customers”), within the Spokane County area, who have T8 and T12 retrofit opportunities (using commercially reasonable efforts to target a 50/50 split), with fixtures approved and funded by Avista (“Avista Fixtures”).</w:t>
      </w:r>
    </w:p>
    <w:p w14:paraId="5521EFE7" w14:textId="77777777" w:rsidR="00F63E8B" w:rsidRPr="00083EA0" w:rsidRDefault="00F63E8B" w:rsidP="00F63E8B">
      <w:pPr>
        <w:pStyle w:val="ListParagraph"/>
        <w:numPr>
          <w:ilvl w:val="0"/>
          <w:numId w:val="27"/>
        </w:numPr>
        <w:spacing w:after="160" w:line="259" w:lineRule="auto"/>
        <w:jc w:val="both"/>
        <w:rPr>
          <w:rFonts w:ascii="Times New Roman" w:hAnsi="Times New Roman" w:cs="Times New Roman"/>
          <w:sz w:val="24"/>
          <w:szCs w:val="24"/>
        </w:rPr>
      </w:pPr>
      <w:r w:rsidRPr="00083EA0">
        <w:rPr>
          <w:rFonts w:ascii="Times New Roman" w:hAnsi="Times New Roman" w:cs="Times New Roman"/>
          <w:sz w:val="24"/>
          <w:szCs w:val="24"/>
        </w:rPr>
        <w:t>Retrofit no more than 20 Avista Fixtures per Pilot Customer.</w:t>
      </w:r>
    </w:p>
    <w:p w14:paraId="5521EFE8" w14:textId="77777777" w:rsidR="00F63E8B" w:rsidRPr="00083EA0" w:rsidRDefault="00F63E8B" w:rsidP="00F63E8B">
      <w:pPr>
        <w:pStyle w:val="ListParagraph"/>
        <w:numPr>
          <w:ilvl w:val="0"/>
          <w:numId w:val="27"/>
        </w:numPr>
        <w:spacing w:after="160" w:line="259" w:lineRule="auto"/>
        <w:jc w:val="both"/>
        <w:rPr>
          <w:rFonts w:ascii="Times New Roman" w:hAnsi="Times New Roman" w:cs="Times New Roman"/>
          <w:sz w:val="24"/>
          <w:szCs w:val="24"/>
        </w:rPr>
      </w:pPr>
      <w:r w:rsidRPr="00083EA0">
        <w:rPr>
          <w:rFonts w:ascii="Times New Roman" w:hAnsi="Times New Roman" w:cs="Times New Roman"/>
          <w:sz w:val="24"/>
          <w:szCs w:val="24"/>
        </w:rPr>
        <w:t>Include 12 previous participants under the Agreement to help understand how the Pilot can be marketed, successfully. In addition to selecting 50 Pilot Customers, Consultant shall select 25 “alternate” customers to replace customers who opt to not participate in the Pilot. Consultant shall endeavor to select Pilot Customers diverse in business type, age and size.</w:t>
      </w:r>
    </w:p>
    <w:p w14:paraId="5521EFE9" w14:textId="77777777" w:rsidR="00A15608" w:rsidRDefault="00F63E8B" w:rsidP="00A15608">
      <w:pPr>
        <w:spacing w:after="0" w:line="360" w:lineRule="auto"/>
        <w:ind w:firstLine="720"/>
        <w:jc w:val="both"/>
        <w:rPr>
          <w:rFonts w:ascii="Times New Roman" w:hAnsi="Times New Roman" w:cs="Times New Roman"/>
          <w:sz w:val="24"/>
          <w:szCs w:val="24"/>
        </w:rPr>
      </w:pPr>
      <w:r w:rsidRPr="00083EA0">
        <w:rPr>
          <w:rFonts w:ascii="Times New Roman" w:hAnsi="Times New Roman" w:cs="Times New Roman"/>
          <w:sz w:val="24"/>
          <w:szCs w:val="24"/>
        </w:rPr>
        <w:t>Avista contact</w:t>
      </w:r>
      <w:r w:rsidR="00B0767D">
        <w:rPr>
          <w:rFonts w:ascii="Times New Roman" w:hAnsi="Times New Roman" w:cs="Times New Roman"/>
          <w:sz w:val="24"/>
          <w:szCs w:val="24"/>
        </w:rPr>
        <w:t>s the</w:t>
      </w:r>
      <w:r w:rsidRPr="00083EA0">
        <w:rPr>
          <w:rFonts w:ascii="Times New Roman" w:hAnsi="Times New Roman" w:cs="Times New Roman"/>
          <w:sz w:val="24"/>
          <w:szCs w:val="24"/>
        </w:rPr>
        <w:t xml:space="preserve"> customers identified by the Consultant to determine if </w:t>
      </w:r>
      <w:r w:rsidR="00B0767D">
        <w:rPr>
          <w:rFonts w:ascii="Times New Roman" w:hAnsi="Times New Roman" w:cs="Times New Roman"/>
          <w:sz w:val="24"/>
          <w:szCs w:val="24"/>
        </w:rPr>
        <w:t>they would</w:t>
      </w:r>
      <w:r w:rsidRPr="00083EA0">
        <w:rPr>
          <w:rFonts w:ascii="Times New Roman" w:hAnsi="Times New Roman" w:cs="Times New Roman"/>
          <w:sz w:val="24"/>
          <w:szCs w:val="24"/>
        </w:rPr>
        <w:t xml:space="preserve"> agree to participate in the Pilot, and </w:t>
      </w:r>
      <w:r w:rsidR="00B0767D">
        <w:rPr>
          <w:rFonts w:ascii="Times New Roman" w:hAnsi="Times New Roman" w:cs="Times New Roman"/>
          <w:sz w:val="24"/>
          <w:szCs w:val="24"/>
        </w:rPr>
        <w:t>then</w:t>
      </w:r>
      <w:r w:rsidRPr="00083EA0">
        <w:rPr>
          <w:rFonts w:ascii="Times New Roman" w:hAnsi="Times New Roman" w:cs="Times New Roman"/>
          <w:sz w:val="24"/>
          <w:szCs w:val="24"/>
        </w:rPr>
        <w:t xml:space="preserve"> notify the Consultant of the customer’s decision to opt in or out.</w:t>
      </w:r>
      <w:r w:rsidR="00B0767D">
        <w:rPr>
          <w:rFonts w:ascii="Times New Roman" w:hAnsi="Times New Roman" w:cs="Times New Roman"/>
          <w:sz w:val="24"/>
          <w:szCs w:val="24"/>
        </w:rPr>
        <w:t xml:space="preserve"> </w:t>
      </w:r>
      <w:r w:rsidRPr="00083EA0">
        <w:rPr>
          <w:rFonts w:ascii="Times New Roman" w:hAnsi="Times New Roman" w:cs="Times New Roman"/>
          <w:sz w:val="24"/>
          <w:szCs w:val="24"/>
        </w:rPr>
        <w:t>Avista pay</w:t>
      </w:r>
      <w:r w:rsidR="00B0767D">
        <w:rPr>
          <w:rFonts w:ascii="Times New Roman" w:hAnsi="Times New Roman" w:cs="Times New Roman"/>
          <w:sz w:val="24"/>
          <w:szCs w:val="24"/>
        </w:rPr>
        <w:t>s the</w:t>
      </w:r>
      <w:r w:rsidRPr="00083EA0">
        <w:rPr>
          <w:rFonts w:ascii="Times New Roman" w:hAnsi="Times New Roman" w:cs="Times New Roman"/>
          <w:sz w:val="24"/>
          <w:szCs w:val="24"/>
        </w:rPr>
        <w:t xml:space="preserve"> Consultant for the Pilot Services on a time, materials and expenses basis.</w:t>
      </w:r>
    </w:p>
    <w:p w14:paraId="5521EFEA" w14:textId="77777777" w:rsidR="00F63E8B" w:rsidRDefault="00F63E8B" w:rsidP="00A15608">
      <w:pPr>
        <w:spacing w:after="0" w:line="360" w:lineRule="auto"/>
        <w:ind w:firstLine="720"/>
        <w:jc w:val="both"/>
        <w:rPr>
          <w:rFonts w:ascii="Times New Roman" w:hAnsi="Times New Roman" w:cs="Times New Roman"/>
          <w:sz w:val="24"/>
          <w:szCs w:val="24"/>
        </w:rPr>
      </w:pPr>
      <w:r w:rsidRPr="00083EA0">
        <w:rPr>
          <w:rFonts w:ascii="Times New Roman" w:hAnsi="Times New Roman" w:cs="Times New Roman"/>
          <w:sz w:val="24"/>
          <w:szCs w:val="24"/>
        </w:rPr>
        <w:t>The electrical contractor performed audits on the qualifying customers and sent those specifications to Avista for approval.  The contractor will finish installing all of the measures in January of 2017.  The direction of incentive versus direct install will be determined after getting all</w:t>
      </w:r>
      <w:r w:rsidR="00A37E29">
        <w:rPr>
          <w:rFonts w:ascii="Times New Roman" w:hAnsi="Times New Roman" w:cs="Times New Roman"/>
          <w:sz w:val="24"/>
          <w:szCs w:val="24"/>
        </w:rPr>
        <w:t xml:space="preserve"> of the data from the pilot.  The</w:t>
      </w:r>
      <w:r w:rsidRPr="00083EA0">
        <w:rPr>
          <w:rFonts w:ascii="Times New Roman" w:hAnsi="Times New Roman" w:cs="Times New Roman"/>
          <w:sz w:val="24"/>
          <w:szCs w:val="24"/>
        </w:rPr>
        <w:t xml:space="preserve"> overview budget </w:t>
      </w:r>
      <w:r w:rsidR="00A37E29">
        <w:rPr>
          <w:rFonts w:ascii="Times New Roman" w:hAnsi="Times New Roman" w:cs="Times New Roman"/>
          <w:sz w:val="24"/>
          <w:szCs w:val="24"/>
        </w:rPr>
        <w:t>for this program is $263,460.</w:t>
      </w:r>
    </w:p>
    <w:p w14:paraId="5521EFEB" w14:textId="77777777" w:rsidR="00A15608" w:rsidRPr="00E86CF5" w:rsidRDefault="00A15608" w:rsidP="00A15608">
      <w:pPr>
        <w:spacing w:after="0" w:line="360" w:lineRule="auto"/>
        <w:ind w:firstLine="720"/>
        <w:jc w:val="both"/>
        <w:rPr>
          <w:rFonts w:ascii="Times New Roman" w:hAnsi="Times New Roman" w:cs="Times New Roman"/>
          <w:sz w:val="24"/>
          <w:szCs w:val="24"/>
        </w:rPr>
      </w:pPr>
    </w:p>
    <w:p w14:paraId="5521EFEC" w14:textId="77777777" w:rsidR="00A15608" w:rsidRDefault="00083EA0" w:rsidP="00083EA0">
      <w:pPr>
        <w:jc w:val="both"/>
        <w:rPr>
          <w:rFonts w:ascii="Times New Roman" w:hAnsi="Times New Roman" w:cs="Times New Roman"/>
          <w:b/>
          <w:sz w:val="24"/>
          <w:szCs w:val="24"/>
        </w:rPr>
      </w:pPr>
      <w:r w:rsidRPr="00F63E8B">
        <w:rPr>
          <w:rFonts w:ascii="Times New Roman" w:hAnsi="Times New Roman" w:cs="Times New Roman"/>
          <w:b/>
          <w:sz w:val="24"/>
          <w:szCs w:val="24"/>
          <w:u w:val="single"/>
        </w:rPr>
        <w:t xml:space="preserve">Energy Use Index (EUI) New Construction </w:t>
      </w:r>
    </w:p>
    <w:p w14:paraId="5521EFED" w14:textId="77777777" w:rsidR="00083EA0" w:rsidRPr="00F63E8B" w:rsidRDefault="00A37E29" w:rsidP="00A15608">
      <w:pPr>
        <w:spacing w:after="0" w:line="360" w:lineRule="auto"/>
        <w:ind w:firstLine="720"/>
        <w:jc w:val="both"/>
        <w:rPr>
          <w:rFonts w:ascii="Times New Roman" w:hAnsi="Times New Roman" w:cs="Times New Roman"/>
          <w:b/>
          <w:sz w:val="24"/>
          <w:szCs w:val="24"/>
          <w:u w:val="single"/>
        </w:rPr>
      </w:pPr>
      <w:r w:rsidRPr="00083EA0">
        <w:rPr>
          <w:rFonts w:ascii="Times New Roman" w:hAnsi="Times New Roman" w:cs="Times New Roman"/>
          <w:sz w:val="24"/>
          <w:szCs w:val="24"/>
        </w:rPr>
        <w:t xml:space="preserve">Avista presented </w:t>
      </w:r>
      <w:r>
        <w:rPr>
          <w:rFonts w:ascii="Times New Roman" w:hAnsi="Times New Roman" w:cs="Times New Roman"/>
          <w:sz w:val="24"/>
          <w:szCs w:val="24"/>
        </w:rPr>
        <w:t xml:space="preserve">this pilot concept to its Advisory Group in the Fall and Winter meetings. </w:t>
      </w:r>
      <w:r w:rsidR="00083EA0" w:rsidRPr="00F63E8B">
        <w:rPr>
          <w:rFonts w:ascii="Times New Roman" w:hAnsi="Times New Roman" w:cs="Times New Roman"/>
          <w:sz w:val="24"/>
          <w:szCs w:val="24"/>
        </w:rPr>
        <w:t>The</w:t>
      </w:r>
      <w:r w:rsidR="00083EA0" w:rsidRPr="00083EA0">
        <w:rPr>
          <w:rFonts w:ascii="Times New Roman" w:hAnsi="Times New Roman" w:cs="Times New Roman"/>
          <w:sz w:val="24"/>
          <w:szCs w:val="24"/>
        </w:rPr>
        <w:t xml:space="preserve"> proposed incentive program would use a buildings Energy Usage Index (EUI) to determine potential incentives. Traditionally incentives for new construction </w:t>
      </w:r>
      <w:r>
        <w:rPr>
          <w:rFonts w:ascii="Times New Roman" w:hAnsi="Times New Roman" w:cs="Times New Roman"/>
          <w:sz w:val="24"/>
          <w:szCs w:val="24"/>
        </w:rPr>
        <w:t>are</w:t>
      </w:r>
      <w:r w:rsidR="00083EA0" w:rsidRPr="00083EA0">
        <w:rPr>
          <w:rFonts w:ascii="Times New Roman" w:hAnsi="Times New Roman" w:cs="Times New Roman"/>
          <w:sz w:val="24"/>
          <w:szCs w:val="24"/>
        </w:rPr>
        <w:t xml:space="preserve"> looked at on a measure by measure basis, HVAC equipment efficiency, lighting power density improvement, better insulation etc. This type of evaluation treats a building as a grouping systems and not as a single </w:t>
      </w:r>
      <w:r w:rsidR="00083EA0" w:rsidRPr="00083EA0">
        <w:rPr>
          <w:rFonts w:ascii="Times New Roman" w:hAnsi="Times New Roman" w:cs="Times New Roman"/>
          <w:sz w:val="24"/>
          <w:szCs w:val="24"/>
        </w:rPr>
        <w:lastRenderedPageBreak/>
        <w:t xml:space="preserve">system comprised of many components. The purpose of this pilot is to look at a building as a singular system, and the components all work together to make the building as efficient as possible. We hope to encourage owners, architects, and engineers, to design buildings that operate as efficiently as possible and to look at how all the components that make up the building work together and how to optimize those interactions. </w:t>
      </w:r>
    </w:p>
    <w:p w14:paraId="5521EFEE" w14:textId="77777777" w:rsidR="00083EA0" w:rsidRPr="00083EA0" w:rsidRDefault="00A37E29" w:rsidP="00083EA0">
      <w:pPr>
        <w:jc w:val="both"/>
        <w:rPr>
          <w:rFonts w:ascii="Times New Roman" w:hAnsi="Times New Roman" w:cs="Times New Roman"/>
          <w:sz w:val="24"/>
          <w:szCs w:val="24"/>
        </w:rPr>
      </w:pPr>
      <w:r>
        <w:rPr>
          <w:rFonts w:ascii="Times New Roman" w:hAnsi="Times New Roman" w:cs="Times New Roman"/>
          <w:sz w:val="24"/>
          <w:szCs w:val="24"/>
        </w:rPr>
        <w:t>The following are components of the pilot</w:t>
      </w:r>
      <w:r w:rsidR="00083EA0" w:rsidRPr="00083EA0">
        <w:rPr>
          <w:rFonts w:ascii="Times New Roman" w:hAnsi="Times New Roman" w:cs="Times New Roman"/>
          <w:sz w:val="24"/>
          <w:szCs w:val="24"/>
        </w:rPr>
        <w:t>:</w:t>
      </w:r>
    </w:p>
    <w:p w14:paraId="5521EFEF"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Avista must be made aware of the proposed project before it goes in to design phase.</w:t>
      </w:r>
    </w:p>
    <w:p w14:paraId="5521EFF0"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Avista must be invited to any pre-design meetings, design charrett</w:t>
      </w:r>
      <w:r w:rsidR="00B20C41">
        <w:rPr>
          <w:rFonts w:ascii="Times New Roman" w:hAnsi="Times New Roman" w:cs="Times New Roman"/>
          <w:sz w:val="24"/>
          <w:szCs w:val="24"/>
        </w:rPr>
        <w:t>e</w:t>
      </w:r>
      <w:r w:rsidRPr="00083EA0">
        <w:rPr>
          <w:rFonts w:ascii="Times New Roman" w:hAnsi="Times New Roman" w:cs="Times New Roman"/>
          <w:sz w:val="24"/>
          <w:szCs w:val="24"/>
        </w:rPr>
        <w:t>s, etc.</w:t>
      </w:r>
    </w:p>
    <w:p w14:paraId="5521EFF1"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 xml:space="preserve">The building owner must commit to reducing the buildings EUI by at least 10%. </w:t>
      </w:r>
    </w:p>
    <w:p w14:paraId="5521EFF2"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A detailed bid for a code compliant building and the proposed building must be provided. Cost per square foot bids will not be accepted. A detailed bid will break down the building costs in the major energy saving areas: shell, lighting, HVAC, controls.  (Costs will only be collected during the pilot, incentives will be based on EUI reduction only)</w:t>
      </w:r>
    </w:p>
    <w:p w14:paraId="5521EFF3"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 xml:space="preserve">We encourage the designers to look at the building as one complete system and to therefore optimize all building components to increase the efficiency of the entire building. At a minimum the building design must include substantial beyond code upgrades in at least two major building components. Those components could be; HVAC, Lighting, shell, refrigeration, building automation controls. </w:t>
      </w:r>
    </w:p>
    <w:p w14:paraId="5521EFF4"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 xml:space="preserve">Building owners would ideally contact Avista ahead of selecting the design team. This would allow Avista and the owner to discuss energy use targets. The targets could then be set before the design team is selected, this would allow the Architect and Engineers to bid the project appropriately. </w:t>
      </w:r>
    </w:p>
    <w:p w14:paraId="5521EFF5"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The architects would be the second line of contact for this program. If we cannot reach the owners directly we would promote this program to the architects in the area. They would then pass the information to the owner. The architects would also be charged with driving the design to meet the energy requirements set by the owner.</w:t>
      </w:r>
    </w:p>
    <w:p w14:paraId="5521EFF6" w14:textId="77777777" w:rsidR="00083EA0" w:rsidRPr="00083EA0" w:rsidRDefault="00083EA0" w:rsidP="00083EA0">
      <w:pPr>
        <w:pStyle w:val="ListParagraph"/>
        <w:numPr>
          <w:ilvl w:val="0"/>
          <w:numId w:val="23"/>
        </w:numPr>
        <w:jc w:val="both"/>
        <w:rPr>
          <w:rFonts w:ascii="Times New Roman" w:hAnsi="Times New Roman" w:cs="Times New Roman"/>
          <w:sz w:val="24"/>
          <w:szCs w:val="24"/>
        </w:rPr>
      </w:pPr>
      <w:r w:rsidRPr="00083EA0">
        <w:rPr>
          <w:rFonts w:ascii="Times New Roman" w:hAnsi="Times New Roman" w:cs="Times New Roman"/>
          <w:sz w:val="24"/>
          <w:szCs w:val="24"/>
        </w:rPr>
        <w:t>The design engineers will be directly responsible for the majority of the potential energy savings. High efficiency HVAC, building automation, lighting design, on site renewables, passive ventilation systems, etc. are all systems that may be implemented to meet the owner’s goals.</w:t>
      </w:r>
    </w:p>
    <w:p w14:paraId="5521EFF7" w14:textId="77777777" w:rsidR="00083EA0" w:rsidRPr="00083EA0" w:rsidRDefault="00083EA0" w:rsidP="00083EA0">
      <w:pPr>
        <w:jc w:val="both"/>
        <w:rPr>
          <w:rFonts w:ascii="Times New Roman" w:hAnsi="Times New Roman" w:cs="Times New Roman"/>
          <w:sz w:val="24"/>
          <w:szCs w:val="24"/>
        </w:rPr>
      </w:pPr>
      <w:r w:rsidRPr="00083EA0">
        <w:rPr>
          <w:rFonts w:ascii="Times New Roman" w:hAnsi="Times New Roman" w:cs="Times New Roman"/>
          <w:sz w:val="24"/>
          <w:szCs w:val="24"/>
        </w:rPr>
        <w:t>Incentive Levels:</w:t>
      </w:r>
    </w:p>
    <w:p w14:paraId="5521EFF8" w14:textId="77777777" w:rsidR="00083EA0" w:rsidRPr="00083EA0" w:rsidRDefault="00083EA0" w:rsidP="00083EA0">
      <w:pPr>
        <w:pStyle w:val="ListParagraph"/>
        <w:numPr>
          <w:ilvl w:val="0"/>
          <w:numId w:val="24"/>
        </w:numPr>
        <w:jc w:val="both"/>
        <w:rPr>
          <w:rFonts w:ascii="Times New Roman" w:hAnsi="Times New Roman" w:cs="Times New Roman"/>
          <w:sz w:val="24"/>
          <w:szCs w:val="24"/>
        </w:rPr>
      </w:pPr>
      <w:r w:rsidRPr="00083EA0">
        <w:rPr>
          <w:rFonts w:ascii="Times New Roman" w:hAnsi="Times New Roman" w:cs="Times New Roman"/>
          <w:sz w:val="24"/>
          <w:szCs w:val="24"/>
        </w:rPr>
        <w:t>A building that successfully reduces its EUI by 50% would earn the maximum incentive level, $6/Therm and $0.40/kWh.</w:t>
      </w:r>
    </w:p>
    <w:p w14:paraId="5521EFF9" w14:textId="77777777" w:rsidR="00083EA0" w:rsidRPr="00083EA0" w:rsidRDefault="00083EA0" w:rsidP="00083EA0">
      <w:pPr>
        <w:pStyle w:val="ListParagraph"/>
        <w:numPr>
          <w:ilvl w:val="0"/>
          <w:numId w:val="24"/>
        </w:numPr>
        <w:jc w:val="both"/>
        <w:rPr>
          <w:rFonts w:ascii="Times New Roman" w:hAnsi="Times New Roman" w:cs="Times New Roman"/>
          <w:sz w:val="24"/>
          <w:szCs w:val="24"/>
        </w:rPr>
      </w:pPr>
      <w:r w:rsidRPr="00083EA0">
        <w:rPr>
          <w:rFonts w:ascii="Times New Roman" w:hAnsi="Times New Roman" w:cs="Times New Roman"/>
          <w:sz w:val="24"/>
          <w:szCs w:val="24"/>
        </w:rPr>
        <w:t xml:space="preserve">A 25% EUI reduction would earn our standard incentive level, $3/Therm and $0.20/kWh. </w:t>
      </w:r>
    </w:p>
    <w:p w14:paraId="5521EFFA" w14:textId="77777777" w:rsidR="00083EA0" w:rsidRPr="00083EA0" w:rsidRDefault="00083EA0" w:rsidP="00083EA0">
      <w:pPr>
        <w:pStyle w:val="ListParagraph"/>
        <w:numPr>
          <w:ilvl w:val="0"/>
          <w:numId w:val="24"/>
        </w:numPr>
        <w:jc w:val="both"/>
        <w:rPr>
          <w:rFonts w:ascii="Times New Roman" w:hAnsi="Times New Roman" w:cs="Times New Roman"/>
          <w:sz w:val="24"/>
          <w:szCs w:val="24"/>
        </w:rPr>
      </w:pPr>
      <w:r w:rsidRPr="00083EA0">
        <w:rPr>
          <w:rFonts w:ascii="Times New Roman" w:hAnsi="Times New Roman" w:cs="Times New Roman"/>
          <w:sz w:val="24"/>
          <w:szCs w:val="24"/>
        </w:rPr>
        <w:lastRenderedPageBreak/>
        <w:t>To determine incentive levels we will multiply the maximum incentive level by twice the percentage that the EUI is reduced.</w:t>
      </w:r>
    </w:p>
    <w:p w14:paraId="5521EFFB" w14:textId="77777777" w:rsidR="00083EA0" w:rsidRPr="00083EA0" w:rsidRDefault="00083EA0" w:rsidP="00083EA0">
      <w:pPr>
        <w:pStyle w:val="ListParagraph"/>
        <w:ind w:left="1080"/>
        <w:jc w:val="both"/>
        <w:rPr>
          <w:rFonts w:ascii="Times New Roman" w:hAnsi="Times New Roman" w:cs="Times New Roman"/>
          <w:sz w:val="24"/>
          <w:szCs w:val="24"/>
        </w:rPr>
      </w:pPr>
      <w:r w:rsidRPr="00083EA0">
        <w:rPr>
          <w:rFonts w:ascii="Times New Roman" w:hAnsi="Times New Roman" w:cs="Times New Roman"/>
          <w:sz w:val="24"/>
          <w:szCs w:val="24"/>
        </w:rPr>
        <w:t>-Example: 2*25% * $6/Therm = $3/Therm</w:t>
      </w:r>
    </w:p>
    <w:p w14:paraId="5521EFFC" w14:textId="77777777" w:rsidR="00083EA0" w:rsidRPr="00083EA0" w:rsidRDefault="00083EA0" w:rsidP="00A15608">
      <w:pPr>
        <w:spacing w:after="0" w:line="360" w:lineRule="auto"/>
        <w:ind w:firstLine="720"/>
        <w:jc w:val="both"/>
        <w:rPr>
          <w:rFonts w:ascii="Times New Roman" w:hAnsi="Times New Roman" w:cs="Times New Roman"/>
          <w:sz w:val="24"/>
          <w:szCs w:val="24"/>
        </w:rPr>
      </w:pPr>
      <w:r w:rsidRPr="00083EA0">
        <w:rPr>
          <w:rFonts w:ascii="Times New Roman" w:hAnsi="Times New Roman" w:cs="Times New Roman"/>
          <w:sz w:val="24"/>
          <w:szCs w:val="24"/>
        </w:rPr>
        <w:t xml:space="preserve">For </w:t>
      </w:r>
      <w:r w:rsidR="00A37E29">
        <w:rPr>
          <w:rFonts w:ascii="Times New Roman" w:hAnsi="Times New Roman" w:cs="Times New Roman"/>
          <w:sz w:val="24"/>
          <w:szCs w:val="24"/>
        </w:rPr>
        <w:t xml:space="preserve">purposes of </w:t>
      </w:r>
      <w:r w:rsidRPr="00083EA0">
        <w:rPr>
          <w:rFonts w:ascii="Times New Roman" w:hAnsi="Times New Roman" w:cs="Times New Roman"/>
          <w:sz w:val="24"/>
          <w:szCs w:val="24"/>
        </w:rPr>
        <w:t>the pilot</w:t>
      </w:r>
      <w:r w:rsidR="00A37E29">
        <w:rPr>
          <w:rFonts w:ascii="Times New Roman" w:hAnsi="Times New Roman" w:cs="Times New Roman"/>
          <w:sz w:val="24"/>
          <w:szCs w:val="24"/>
        </w:rPr>
        <w:t>,</w:t>
      </w:r>
      <w:r w:rsidRPr="00083EA0">
        <w:rPr>
          <w:rFonts w:ascii="Times New Roman" w:hAnsi="Times New Roman" w:cs="Times New Roman"/>
          <w:sz w:val="24"/>
          <w:szCs w:val="24"/>
        </w:rPr>
        <w:t xml:space="preserve"> we would like to </w:t>
      </w:r>
      <w:r w:rsidR="00A37E29">
        <w:rPr>
          <w:rFonts w:ascii="Times New Roman" w:hAnsi="Times New Roman" w:cs="Times New Roman"/>
          <w:sz w:val="24"/>
          <w:szCs w:val="24"/>
        </w:rPr>
        <w:t>have</w:t>
      </w:r>
      <w:r w:rsidRPr="00083EA0">
        <w:rPr>
          <w:rFonts w:ascii="Times New Roman" w:hAnsi="Times New Roman" w:cs="Times New Roman"/>
          <w:sz w:val="24"/>
          <w:szCs w:val="24"/>
        </w:rPr>
        <w:t xml:space="preserve"> a minimum of three projects. Each project would be tracked from the initial design phase through the end </w:t>
      </w:r>
      <w:r w:rsidR="00A37E29">
        <w:rPr>
          <w:rFonts w:ascii="Times New Roman" w:hAnsi="Times New Roman" w:cs="Times New Roman"/>
          <w:sz w:val="24"/>
          <w:szCs w:val="24"/>
        </w:rPr>
        <w:t>of construction. A</w:t>
      </w:r>
      <w:r w:rsidRPr="00083EA0">
        <w:rPr>
          <w:rFonts w:ascii="Times New Roman" w:hAnsi="Times New Roman" w:cs="Times New Roman"/>
          <w:sz w:val="24"/>
          <w:szCs w:val="24"/>
        </w:rPr>
        <w:t xml:space="preserve"> one year</w:t>
      </w:r>
      <w:r w:rsidR="00A37E29">
        <w:rPr>
          <w:rFonts w:ascii="Times New Roman" w:hAnsi="Times New Roman" w:cs="Times New Roman"/>
          <w:sz w:val="24"/>
          <w:szCs w:val="24"/>
        </w:rPr>
        <w:t xml:space="preserve"> performance period would begin, and i</w:t>
      </w:r>
      <w:r w:rsidRPr="00083EA0">
        <w:rPr>
          <w:rFonts w:ascii="Times New Roman" w:hAnsi="Times New Roman" w:cs="Times New Roman"/>
          <w:sz w:val="24"/>
          <w:szCs w:val="24"/>
        </w:rPr>
        <w:t>ncentives would be paid at the end of the performance period.</w:t>
      </w:r>
    </w:p>
    <w:p w14:paraId="5521EFFD" w14:textId="77777777" w:rsidR="00083EA0" w:rsidRPr="00083EA0" w:rsidRDefault="00083EA0" w:rsidP="00A15608">
      <w:pPr>
        <w:spacing w:after="0" w:line="360" w:lineRule="auto"/>
        <w:ind w:firstLine="720"/>
        <w:jc w:val="both"/>
        <w:rPr>
          <w:rFonts w:ascii="Times New Roman" w:hAnsi="Times New Roman" w:cs="Times New Roman"/>
          <w:sz w:val="24"/>
          <w:szCs w:val="24"/>
        </w:rPr>
      </w:pPr>
      <w:r w:rsidRPr="00083EA0">
        <w:rPr>
          <w:rFonts w:ascii="Times New Roman" w:hAnsi="Times New Roman" w:cs="Times New Roman"/>
          <w:sz w:val="24"/>
          <w:szCs w:val="24"/>
        </w:rPr>
        <w:t xml:space="preserve">Building baseline EUI values will be determined through </w:t>
      </w:r>
      <w:r w:rsidR="00A37E29">
        <w:rPr>
          <w:rFonts w:ascii="Times New Roman" w:hAnsi="Times New Roman" w:cs="Times New Roman"/>
          <w:sz w:val="24"/>
          <w:szCs w:val="24"/>
        </w:rPr>
        <w:t>Department of Energy’s</w:t>
      </w:r>
      <w:r w:rsidRPr="00083EA0">
        <w:rPr>
          <w:rFonts w:ascii="Times New Roman" w:hAnsi="Times New Roman" w:cs="Times New Roman"/>
          <w:sz w:val="24"/>
          <w:szCs w:val="24"/>
        </w:rPr>
        <w:t xml:space="preserve"> Commercial Building Benchmark EUI for New Construction. An energy model of the baseline building will be created to determine what percentage of the building energy use is attributable to gas and electric. This is b</w:t>
      </w:r>
      <w:r w:rsidR="00A37E29">
        <w:rPr>
          <w:rFonts w:ascii="Times New Roman" w:hAnsi="Times New Roman" w:cs="Times New Roman"/>
          <w:sz w:val="24"/>
          <w:szCs w:val="24"/>
        </w:rPr>
        <w:t>e used to determine claimable kWh</w:t>
      </w:r>
      <w:r w:rsidRPr="00083EA0">
        <w:rPr>
          <w:rFonts w:ascii="Times New Roman" w:hAnsi="Times New Roman" w:cs="Times New Roman"/>
          <w:sz w:val="24"/>
          <w:szCs w:val="24"/>
        </w:rPr>
        <w:t xml:space="preserve"> and Therm savings as well as incentives.</w:t>
      </w:r>
    </w:p>
    <w:p w14:paraId="5521EFFE" w14:textId="77777777" w:rsidR="00083EA0" w:rsidRDefault="00083EA0" w:rsidP="00A15608">
      <w:pPr>
        <w:spacing w:after="0" w:line="360" w:lineRule="auto"/>
        <w:ind w:firstLine="720"/>
        <w:jc w:val="both"/>
        <w:rPr>
          <w:rFonts w:ascii="Times New Roman" w:hAnsi="Times New Roman" w:cs="Times New Roman"/>
          <w:sz w:val="24"/>
          <w:szCs w:val="24"/>
        </w:rPr>
      </w:pPr>
      <w:r w:rsidRPr="00083EA0">
        <w:rPr>
          <w:rFonts w:ascii="Times New Roman" w:hAnsi="Times New Roman" w:cs="Times New Roman"/>
          <w:sz w:val="24"/>
          <w:szCs w:val="24"/>
        </w:rPr>
        <w:t>Costs would only be collected during the pilot, incentives would be based on EUI reduction only. At the end of the pilot</w:t>
      </w:r>
      <w:r w:rsidR="00A37E29">
        <w:rPr>
          <w:rFonts w:ascii="Times New Roman" w:hAnsi="Times New Roman" w:cs="Times New Roman"/>
          <w:sz w:val="24"/>
          <w:szCs w:val="24"/>
        </w:rPr>
        <w:t>,</w:t>
      </w:r>
      <w:r w:rsidRPr="00083EA0">
        <w:rPr>
          <w:rFonts w:ascii="Times New Roman" w:hAnsi="Times New Roman" w:cs="Times New Roman"/>
          <w:sz w:val="24"/>
          <w:szCs w:val="24"/>
        </w:rPr>
        <w:t xml:space="preserve"> we would look at how the costs vary between the baseline and proposed buildings and develop a plan on how we would calculated appropriate incremental costs.</w:t>
      </w:r>
      <w:r w:rsidR="00A15608">
        <w:rPr>
          <w:rFonts w:ascii="Times New Roman" w:hAnsi="Times New Roman" w:cs="Times New Roman"/>
          <w:sz w:val="24"/>
          <w:szCs w:val="24"/>
        </w:rPr>
        <w:t xml:space="preserve"> </w:t>
      </w:r>
      <w:r w:rsidRPr="00083EA0">
        <w:rPr>
          <w:rFonts w:ascii="Times New Roman" w:hAnsi="Times New Roman" w:cs="Times New Roman"/>
          <w:sz w:val="24"/>
          <w:szCs w:val="24"/>
        </w:rPr>
        <w:t>This pilot should not cost any more to operate from a labor and administration standpoint.  The incentive costs will be dependent on the size of the facility and the capability of the facility to lower their EUI.  These incentive costs would be borne in 2018, 2019 and/or 2020 based on normal new construction time lines.</w:t>
      </w:r>
    </w:p>
    <w:p w14:paraId="5521EFFF" w14:textId="77777777" w:rsidR="00083EA0" w:rsidRDefault="00083EA0" w:rsidP="00083EA0">
      <w:pPr>
        <w:jc w:val="both"/>
        <w:rPr>
          <w:rFonts w:ascii="Times New Roman" w:hAnsi="Times New Roman" w:cs="Times New Roman"/>
          <w:sz w:val="24"/>
          <w:szCs w:val="24"/>
        </w:rPr>
      </w:pPr>
    </w:p>
    <w:p w14:paraId="5521F000" w14:textId="77777777" w:rsidR="008568B3" w:rsidRPr="008568B3" w:rsidRDefault="008568B3" w:rsidP="008568B3">
      <w:pPr>
        <w:pStyle w:val="ListParagraph"/>
        <w:numPr>
          <w:ilvl w:val="0"/>
          <w:numId w:val="2"/>
        </w:numPr>
        <w:ind w:left="0" w:firstLine="0"/>
        <w:jc w:val="center"/>
        <w:rPr>
          <w:rFonts w:ascii="Times New Roman" w:hAnsi="Times New Roman" w:cs="Times New Roman"/>
          <w:b/>
          <w:sz w:val="24"/>
          <w:szCs w:val="24"/>
          <w:u w:val="single"/>
        </w:rPr>
      </w:pPr>
      <w:r w:rsidRPr="008568B3">
        <w:rPr>
          <w:rFonts w:ascii="Times New Roman" w:hAnsi="Times New Roman" w:cs="Times New Roman"/>
          <w:b/>
          <w:sz w:val="24"/>
          <w:szCs w:val="24"/>
          <w:u w:val="single"/>
        </w:rPr>
        <w:t>AVISTA-SPECIFIC METHODOLOGIES AND ANALYTICAL PRACTICES</w:t>
      </w:r>
    </w:p>
    <w:p w14:paraId="5521F001" w14:textId="77777777" w:rsidR="007C65C8" w:rsidRPr="00596E24" w:rsidRDefault="007C65C8" w:rsidP="00596E24">
      <w:pPr>
        <w:rPr>
          <w:rFonts w:ascii="Times New Roman" w:hAnsi="Times New Roman" w:cs="Times New Roman"/>
          <w:sz w:val="24"/>
          <w:szCs w:val="24"/>
        </w:rPr>
      </w:pPr>
    </w:p>
    <w:p w14:paraId="5521F002" w14:textId="77777777" w:rsidR="003E1629" w:rsidRPr="00596E24" w:rsidRDefault="0084511C" w:rsidP="00A15608">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Over time</w:t>
      </w:r>
      <w:r w:rsidR="007232D5" w:rsidRPr="00596E24">
        <w:rPr>
          <w:rFonts w:ascii="Times New Roman" w:hAnsi="Times New Roman" w:cs="Times New Roman"/>
          <w:color w:val="auto"/>
        </w:rPr>
        <w:t>,</w:t>
      </w:r>
      <w:r w:rsidRPr="00596E24">
        <w:rPr>
          <w:rFonts w:ascii="Times New Roman" w:hAnsi="Times New Roman" w:cs="Times New Roman"/>
          <w:color w:val="auto"/>
        </w:rPr>
        <w:t xml:space="preserve"> Avista has evolved approaches to calculating the various metrics applied within the planning effort to the needs of our portfolio and regulation.  Care has been taken to ensure that these approaches are consistent with the intent of the Northwest Power </w:t>
      </w:r>
      <w:r w:rsidR="00F846B6">
        <w:rPr>
          <w:rFonts w:ascii="Times New Roman" w:hAnsi="Times New Roman" w:cs="Times New Roman"/>
          <w:color w:val="auto"/>
        </w:rPr>
        <w:t>and Conservation</w:t>
      </w:r>
      <w:r w:rsidRPr="00596E24">
        <w:rPr>
          <w:rFonts w:ascii="Times New Roman" w:hAnsi="Times New Roman" w:cs="Times New Roman"/>
          <w:color w:val="auto"/>
        </w:rPr>
        <w:t xml:space="preserve"> Council methodologies for the analysis of DSM</w:t>
      </w:r>
      <w:r w:rsidR="008568B3">
        <w:rPr>
          <w:rFonts w:ascii="Times New Roman" w:hAnsi="Times New Roman" w:cs="Times New Roman"/>
          <w:color w:val="auto"/>
        </w:rPr>
        <w:t>,</w:t>
      </w:r>
      <w:r w:rsidR="007232D5" w:rsidRPr="00596E24">
        <w:rPr>
          <w:rFonts w:ascii="Times New Roman" w:hAnsi="Times New Roman" w:cs="Times New Roman"/>
          <w:color w:val="auto"/>
        </w:rPr>
        <w:t xml:space="preserve"> </w:t>
      </w:r>
      <w:r w:rsidR="003E1629" w:rsidRPr="00596E24">
        <w:rPr>
          <w:rFonts w:ascii="Times New Roman" w:hAnsi="Times New Roman" w:cs="Times New Roman"/>
          <w:color w:val="auto"/>
        </w:rPr>
        <w:t xml:space="preserve">Avista completes an Annual DSM Report in the spring of each year based upon a retrospective review of </w:t>
      </w:r>
      <w:r w:rsidR="003E1629" w:rsidRPr="00596E24">
        <w:rPr>
          <w:rFonts w:ascii="Times New Roman" w:hAnsi="Times New Roman" w:cs="Times New Roman"/>
          <w:color w:val="auto"/>
          <w:u w:val="single"/>
        </w:rPr>
        <w:t>actual</w:t>
      </w:r>
      <w:r w:rsidR="003E1629" w:rsidRPr="00596E24">
        <w:rPr>
          <w:rFonts w:ascii="Times New Roman" w:hAnsi="Times New Roman" w:cs="Times New Roman"/>
          <w:color w:val="auto"/>
        </w:rPr>
        <w:t xml:space="preserve"> results from the prior year.  This process includes the calculation of each of the four basic standard practice tests (summarized in Appendix B).  For planning purposes</w:t>
      </w:r>
      <w:r w:rsidR="007232D5" w:rsidRPr="00596E24">
        <w:rPr>
          <w:rFonts w:ascii="Times New Roman" w:hAnsi="Times New Roman" w:cs="Times New Roman"/>
          <w:color w:val="auto"/>
        </w:rPr>
        <w:t>,</w:t>
      </w:r>
      <w:r w:rsidR="003E1629" w:rsidRPr="00596E24">
        <w:rPr>
          <w:rFonts w:ascii="Times New Roman" w:hAnsi="Times New Roman" w:cs="Times New Roman"/>
          <w:color w:val="auto"/>
        </w:rPr>
        <w:t xml:space="preserve"> the focus is upon the TRC and UCT test since that is the basis for optimizing the portfolio for the reason</w:t>
      </w:r>
      <w:r w:rsidR="00412CCA" w:rsidRPr="00596E24">
        <w:rPr>
          <w:rFonts w:ascii="Times New Roman" w:hAnsi="Times New Roman" w:cs="Times New Roman"/>
          <w:color w:val="auto"/>
        </w:rPr>
        <w:t xml:space="preserve">s previously explained, and therefore the explanation of Avista’s methodologies focus upon those two tests.  Historically we have found that, absent </w:t>
      </w:r>
      <w:r w:rsidR="00412CCA" w:rsidRPr="00596E24">
        <w:rPr>
          <w:rFonts w:ascii="Times New Roman" w:hAnsi="Times New Roman" w:cs="Times New Roman"/>
          <w:color w:val="auto"/>
        </w:rPr>
        <w:lastRenderedPageBreak/>
        <w:t>significant mid-year changes in the portfolio, the planning est</w:t>
      </w:r>
      <w:r w:rsidR="008568B3">
        <w:rPr>
          <w:rFonts w:ascii="Times New Roman" w:hAnsi="Times New Roman" w:cs="Times New Roman"/>
          <w:color w:val="auto"/>
        </w:rPr>
        <w:t>imate matches reasonably close</w:t>
      </w:r>
      <w:r w:rsidR="00412CCA" w:rsidRPr="00596E24">
        <w:rPr>
          <w:rFonts w:ascii="Times New Roman" w:hAnsi="Times New Roman" w:cs="Times New Roman"/>
          <w:color w:val="auto"/>
        </w:rPr>
        <w:t xml:space="preserve"> to the actual results. </w:t>
      </w:r>
    </w:p>
    <w:p w14:paraId="5521F003" w14:textId="77777777" w:rsidR="0020741F" w:rsidRPr="00596E24" w:rsidRDefault="00412CCA" w:rsidP="00A15608">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 xml:space="preserve">Avista’s DSM portfolios are built from the bottom up, starting with the identification of prospective efficiency measures based upon the previous CPA and augmented with other specific opportunities as necessary.  Since CPA’s are only performed every two years, and since the inputs to the CPA are locked many months in advance of filing the IRP itself, there is considerable time for movement in these inputs and the development of other opportunities.  </w:t>
      </w:r>
      <w:r w:rsidR="0020741F" w:rsidRPr="00596E24">
        <w:rPr>
          <w:rFonts w:ascii="Times New Roman" w:hAnsi="Times New Roman" w:cs="Times New Roman"/>
          <w:color w:val="auto"/>
        </w:rPr>
        <w:t>The calculation of portfolio cost-effectiveness excludes costs that are unrelated to the local DSM portfolio in that particular year.  Those excluded costs, termed “supplemental” costs in Avista’s calculations, include:</w:t>
      </w:r>
    </w:p>
    <w:p w14:paraId="5521F004" w14:textId="77777777" w:rsidR="00412CCA" w:rsidRDefault="0020741F" w:rsidP="00150141">
      <w:pPr>
        <w:pStyle w:val="Default"/>
        <w:numPr>
          <w:ilvl w:val="0"/>
          <w:numId w:val="16"/>
        </w:numPr>
        <w:ind w:left="749"/>
        <w:jc w:val="both"/>
        <w:rPr>
          <w:rFonts w:ascii="Times New Roman" w:hAnsi="Times New Roman" w:cs="Times New Roman"/>
          <w:color w:val="auto"/>
        </w:rPr>
      </w:pPr>
      <w:r w:rsidRPr="00596E24">
        <w:rPr>
          <w:rFonts w:ascii="Times New Roman" w:hAnsi="Times New Roman" w:cs="Times New Roman"/>
          <w:color w:val="auto"/>
        </w:rPr>
        <w:t>The funding associated with regional programs (NEEA)</w:t>
      </w:r>
    </w:p>
    <w:p w14:paraId="5521F005" w14:textId="77777777" w:rsidR="001C47EC" w:rsidRPr="00596E24" w:rsidRDefault="001C47EC" w:rsidP="00150141">
      <w:pPr>
        <w:pStyle w:val="Default"/>
        <w:numPr>
          <w:ilvl w:val="0"/>
          <w:numId w:val="16"/>
        </w:numPr>
        <w:ind w:left="749"/>
        <w:jc w:val="both"/>
        <w:rPr>
          <w:rFonts w:ascii="Times New Roman" w:hAnsi="Times New Roman" w:cs="Times New Roman"/>
          <w:color w:val="auto"/>
        </w:rPr>
      </w:pPr>
      <w:r>
        <w:rPr>
          <w:rFonts w:ascii="Times New Roman" w:hAnsi="Times New Roman" w:cs="Times New Roman"/>
          <w:color w:val="auto"/>
        </w:rPr>
        <w:t>Cost to perform conservation potential assessment studies</w:t>
      </w:r>
    </w:p>
    <w:p w14:paraId="5521F006" w14:textId="77777777" w:rsidR="009927F9" w:rsidRPr="00596E24" w:rsidRDefault="009927F9" w:rsidP="00150141">
      <w:pPr>
        <w:pStyle w:val="Default"/>
        <w:ind w:left="749"/>
        <w:jc w:val="both"/>
        <w:rPr>
          <w:rFonts w:ascii="Times New Roman" w:hAnsi="Times New Roman" w:cs="Times New Roman"/>
          <w:color w:val="auto"/>
        </w:rPr>
      </w:pPr>
    </w:p>
    <w:p w14:paraId="5521F007" w14:textId="77777777" w:rsidR="00A46403" w:rsidRPr="00596E24" w:rsidRDefault="00A46403" w:rsidP="00A15608">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 xml:space="preserve">Individual measures are aggregated into programs composed of similar measures.  At the program </w:t>
      </w:r>
      <w:r w:rsidR="00596E24" w:rsidRPr="00596E24">
        <w:rPr>
          <w:rFonts w:ascii="Times New Roman" w:hAnsi="Times New Roman" w:cs="Times New Roman"/>
          <w:color w:val="auto"/>
        </w:rPr>
        <w:t>level, non</w:t>
      </w:r>
      <w:r w:rsidRPr="00596E24">
        <w:rPr>
          <w:rFonts w:ascii="Times New Roman" w:hAnsi="Times New Roman" w:cs="Times New Roman"/>
          <w:color w:val="auto"/>
        </w:rPr>
        <w:t xml:space="preserve">-incentive portfolio costs are allocated based upon direct assignment to the extent possible and based upon a programs share of portfolio </w:t>
      </w:r>
      <w:r w:rsidR="009927F9">
        <w:rPr>
          <w:rFonts w:ascii="Times New Roman" w:hAnsi="Times New Roman" w:cs="Times New Roman"/>
          <w:color w:val="auto"/>
        </w:rPr>
        <w:t>avoided cost value</w:t>
      </w:r>
      <w:r w:rsidRPr="00596E24">
        <w:rPr>
          <w:rFonts w:ascii="Times New Roman" w:hAnsi="Times New Roman" w:cs="Times New Roman"/>
          <w:color w:val="auto"/>
        </w:rPr>
        <w:t xml:space="preserve"> acquisition where that is not possible.  The result is a program-level TRC and UCT cost-effectiveness analysis that incorporates all of these allocated costs.  The approach of ensuring that all costs are allocated at the program level is based upon feedback from previous Avista business planning efforts asserting that programs are generally sufficiently large </w:t>
      </w:r>
      <w:r w:rsidR="007232D5" w:rsidRPr="00596E24">
        <w:rPr>
          <w:rFonts w:ascii="Times New Roman" w:hAnsi="Times New Roman" w:cs="Times New Roman"/>
          <w:color w:val="auto"/>
        </w:rPr>
        <w:t xml:space="preserve">and </w:t>
      </w:r>
      <w:r w:rsidRPr="00596E24">
        <w:rPr>
          <w:rFonts w:ascii="Times New Roman" w:hAnsi="Times New Roman" w:cs="Times New Roman"/>
          <w:color w:val="auto"/>
        </w:rPr>
        <w:t>that the addition or deletion should be significant enough to lead to a resizing of portfolio infrastructure cost.</w:t>
      </w:r>
    </w:p>
    <w:p w14:paraId="5521F008" w14:textId="77777777" w:rsidR="00097A38" w:rsidRPr="00596E24" w:rsidRDefault="00097A38" w:rsidP="00A15608">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Since the costs and benefits associated with the adoption of a measure may accrue over time</w:t>
      </w:r>
      <w:r w:rsidR="007232D5" w:rsidRPr="00596E24">
        <w:rPr>
          <w:rFonts w:ascii="Times New Roman" w:hAnsi="Times New Roman" w:cs="Times New Roman"/>
          <w:color w:val="auto"/>
        </w:rPr>
        <w:t>,</w:t>
      </w:r>
      <w:r w:rsidRPr="00596E24">
        <w:rPr>
          <w:rFonts w:ascii="Times New Roman" w:hAnsi="Times New Roman" w:cs="Times New Roman"/>
          <w:color w:val="auto"/>
        </w:rPr>
        <w:t xml:space="preserve"> it is necessary to establish a discount rate.  Future costs and benefits are discounted to the present value and compared for cost-effectiveness purposes.  Generally</w:t>
      </w:r>
      <w:r w:rsidR="007232D5" w:rsidRPr="00596E24">
        <w:rPr>
          <w:rFonts w:ascii="Times New Roman" w:hAnsi="Times New Roman" w:cs="Times New Roman"/>
          <w:color w:val="auto"/>
        </w:rPr>
        <w:t>,</w:t>
      </w:r>
      <w:r w:rsidRPr="00596E24">
        <w:rPr>
          <w:rFonts w:ascii="Times New Roman" w:hAnsi="Times New Roman" w:cs="Times New Roman"/>
          <w:color w:val="auto"/>
        </w:rPr>
        <w:t xml:space="preserve"> energy and non-energy benefits accrue over the measure life and costs are incurred up-front.  </w:t>
      </w:r>
      <w:r w:rsidR="00C63CDC" w:rsidRPr="00596E24">
        <w:rPr>
          <w:rFonts w:ascii="Times New Roman" w:hAnsi="Times New Roman" w:cs="Times New Roman"/>
          <w:color w:val="auto"/>
        </w:rPr>
        <w:t>During the late summer of 2016</w:t>
      </w:r>
      <w:r w:rsidR="007232D5" w:rsidRPr="00596E24">
        <w:rPr>
          <w:rFonts w:ascii="Times New Roman" w:hAnsi="Times New Roman" w:cs="Times New Roman"/>
          <w:color w:val="auto"/>
        </w:rPr>
        <w:t>,</w:t>
      </w:r>
      <w:r w:rsidR="005D382C">
        <w:rPr>
          <w:rFonts w:ascii="Times New Roman" w:hAnsi="Times New Roman" w:cs="Times New Roman"/>
          <w:color w:val="auto"/>
        </w:rPr>
        <w:t xml:space="preserve"> the C</w:t>
      </w:r>
      <w:r w:rsidR="00C63CDC" w:rsidRPr="00596E24">
        <w:rPr>
          <w:rFonts w:ascii="Times New Roman" w:hAnsi="Times New Roman" w:cs="Times New Roman"/>
          <w:color w:val="auto"/>
        </w:rPr>
        <w:t>ompany presented to the Advisory Group a proposal to use a real weighted average cost of capital instead of a nominal figure. This suggestion received positive feedback</w:t>
      </w:r>
      <w:r w:rsidR="007232D5" w:rsidRPr="00596E24">
        <w:rPr>
          <w:rFonts w:ascii="Times New Roman" w:hAnsi="Times New Roman" w:cs="Times New Roman"/>
          <w:color w:val="auto"/>
        </w:rPr>
        <w:t>,</w:t>
      </w:r>
      <w:r w:rsidR="00C63CDC" w:rsidRPr="00596E24">
        <w:rPr>
          <w:rFonts w:ascii="Times New Roman" w:hAnsi="Times New Roman" w:cs="Times New Roman"/>
          <w:color w:val="auto"/>
        </w:rPr>
        <w:t xml:space="preserve"> </w:t>
      </w:r>
      <w:r w:rsidR="00511903">
        <w:rPr>
          <w:rFonts w:ascii="Times New Roman" w:hAnsi="Times New Roman" w:cs="Times New Roman"/>
          <w:color w:val="auto"/>
        </w:rPr>
        <w:t>therefore</w:t>
      </w:r>
      <w:r w:rsidR="00C63CDC" w:rsidRPr="00596E24">
        <w:rPr>
          <w:rFonts w:ascii="Times New Roman" w:hAnsi="Times New Roman" w:cs="Times New Roman"/>
          <w:color w:val="auto"/>
        </w:rPr>
        <w:t xml:space="preserve"> a real discount rate of 4.</w:t>
      </w:r>
      <w:r w:rsidR="009927F9">
        <w:rPr>
          <w:rFonts w:ascii="Times New Roman" w:hAnsi="Times New Roman" w:cs="Times New Roman"/>
          <w:color w:val="auto"/>
        </w:rPr>
        <w:t>41</w:t>
      </w:r>
      <w:r w:rsidR="00C63CDC" w:rsidRPr="00596E24">
        <w:rPr>
          <w:rFonts w:ascii="Times New Roman" w:hAnsi="Times New Roman" w:cs="Times New Roman"/>
          <w:color w:val="auto"/>
        </w:rPr>
        <w:t xml:space="preserve">% was used as the discount rate for the </w:t>
      </w:r>
      <w:r w:rsidR="009927F9" w:rsidRPr="00596E24">
        <w:rPr>
          <w:rFonts w:ascii="Times New Roman" w:hAnsi="Times New Roman" w:cs="Times New Roman"/>
          <w:color w:val="auto"/>
        </w:rPr>
        <w:t>201</w:t>
      </w:r>
      <w:r w:rsidR="009927F9">
        <w:rPr>
          <w:rFonts w:ascii="Times New Roman" w:hAnsi="Times New Roman" w:cs="Times New Roman"/>
          <w:color w:val="auto"/>
        </w:rPr>
        <w:t>7</w:t>
      </w:r>
      <w:r w:rsidR="009927F9" w:rsidRPr="00596E24">
        <w:rPr>
          <w:rFonts w:ascii="Times New Roman" w:hAnsi="Times New Roman" w:cs="Times New Roman"/>
          <w:color w:val="auto"/>
        </w:rPr>
        <w:t xml:space="preserve"> </w:t>
      </w:r>
      <w:r w:rsidR="00511903">
        <w:rPr>
          <w:rFonts w:ascii="Times New Roman" w:hAnsi="Times New Roman" w:cs="Times New Roman"/>
          <w:color w:val="auto"/>
        </w:rPr>
        <w:t>P</w:t>
      </w:r>
      <w:r w:rsidR="00C63CDC" w:rsidRPr="00596E24">
        <w:rPr>
          <w:rFonts w:ascii="Times New Roman" w:hAnsi="Times New Roman" w:cs="Times New Roman"/>
          <w:color w:val="auto"/>
        </w:rPr>
        <w:t>lan based upon a nominal WACC of 6.</w:t>
      </w:r>
      <w:r w:rsidR="009927F9">
        <w:rPr>
          <w:rFonts w:ascii="Times New Roman" w:hAnsi="Times New Roman" w:cs="Times New Roman"/>
          <w:color w:val="auto"/>
        </w:rPr>
        <w:t>39</w:t>
      </w:r>
      <w:r w:rsidR="00C63CDC" w:rsidRPr="00596E24">
        <w:rPr>
          <w:rFonts w:ascii="Times New Roman" w:hAnsi="Times New Roman" w:cs="Times New Roman"/>
          <w:color w:val="auto"/>
        </w:rPr>
        <w:t>%.</w:t>
      </w:r>
    </w:p>
    <w:p w14:paraId="5521F009" w14:textId="77777777" w:rsidR="00412CCA" w:rsidRPr="00596E24" w:rsidRDefault="006E497E" w:rsidP="00A15608">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The calculation of the TRC test benefits</w:t>
      </w:r>
      <w:r w:rsidR="007232D5" w:rsidRPr="00596E24">
        <w:rPr>
          <w:rFonts w:ascii="Times New Roman" w:hAnsi="Times New Roman" w:cs="Times New Roman"/>
          <w:color w:val="auto"/>
        </w:rPr>
        <w:t xml:space="preserve">, to be consistent with Northwest Power </w:t>
      </w:r>
      <w:r w:rsidR="00F846B6">
        <w:rPr>
          <w:rFonts w:ascii="Times New Roman" w:hAnsi="Times New Roman" w:cs="Times New Roman"/>
          <w:color w:val="auto"/>
        </w:rPr>
        <w:t>and Conservation</w:t>
      </w:r>
      <w:r w:rsidR="007232D5" w:rsidRPr="00596E24">
        <w:rPr>
          <w:rFonts w:ascii="Times New Roman" w:hAnsi="Times New Roman" w:cs="Times New Roman"/>
          <w:color w:val="auto"/>
        </w:rPr>
        <w:t xml:space="preserve"> Council methodologies</w:t>
      </w:r>
      <w:r w:rsidR="004B3476" w:rsidRPr="00596E24">
        <w:rPr>
          <w:rFonts w:ascii="Times New Roman" w:hAnsi="Times New Roman" w:cs="Times New Roman"/>
          <w:color w:val="auto"/>
        </w:rPr>
        <w:t>, include</w:t>
      </w:r>
      <w:r w:rsidR="007232D5" w:rsidRPr="00596E24">
        <w:rPr>
          <w:rFonts w:ascii="Times New Roman" w:hAnsi="Times New Roman" w:cs="Times New Roman"/>
          <w:color w:val="auto"/>
        </w:rPr>
        <w:t xml:space="preserve"> </w:t>
      </w:r>
      <w:r w:rsidRPr="00596E24">
        <w:rPr>
          <w:rFonts w:ascii="Times New Roman" w:hAnsi="Times New Roman" w:cs="Times New Roman"/>
          <w:color w:val="auto"/>
        </w:rPr>
        <w:t xml:space="preserve">an assessment of non-energy impacts (both benefits and costs) accruing to the customer.  These impacts most frequently include maintenance cost, </w:t>
      </w:r>
      <w:r w:rsidRPr="00596E24">
        <w:rPr>
          <w:rFonts w:ascii="Times New Roman" w:hAnsi="Times New Roman" w:cs="Times New Roman"/>
          <w:color w:val="auto"/>
        </w:rPr>
        <w:lastRenderedPageBreak/>
        <w:t xml:space="preserve">water and sewer savings and (in the case of the low income program) inclusion of the cost of providing base case end-use equipment as part of a fully funded measure and the value of health and human safety funding (on a dollar-for-dollar basis).  </w:t>
      </w:r>
    </w:p>
    <w:p w14:paraId="5521F00A" w14:textId="77777777" w:rsidR="008744A7" w:rsidRDefault="00C63CDC" w:rsidP="00511903">
      <w:pPr>
        <w:pStyle w:val="Default"/>
        <w:spacing w:line="360" w:lineRule="auto"/>
        <w:ind w:firstLine="720"/>
        <w:jc w:val="both"/>
        <w:rPr>
          <w:rFonts w:ascii="Times New Roman" w:hAnsi="Times New Roman" w:cs="Times New Roman"/>
          <w:color w:val="auto"/>
        </w:rPr>
      </w:pPr>
      <w:r w:rsidRPr="00596E24">
        <w:rPr>
          <w:rFonts w:ascii="Times New Roman" w:hAnsi="Times New Roman" w:cs="Times New Roman"/>
          <w:color w:val="auto"/>
        </w:rPr>
        <w:t>For purposes of calculating TRC cost-effectiveness</w:t>
      </w:r>
      <w:r w:rsidR="007232D5" w:rsidRPr="00596E24">
        <w:rPr>
          <w:rFonts w:ascii="Times New Roman" w:hAnsi="Times New Roman" w:cs="Times New Roman"/>
          <w:color w:val="auto"/>
        </w:rPr>
        <w:t>,</w:t>
      </w:r>
      <w:r w:rsidRPr="00596E24">
        <w:rPr>
          <w:rFonts w:ascii="Times New Roman" w:hAnsi="Times New Roman" w:cs="Times New Roman"/>
          <w:color w:val="auto"/>
        </w:rPr>
        <w:t xml:space="preserve"> any funding obtained from outside of Avista’s customer population (generally through tax credits or state or federal administered programs) are not considered to be TRC costs.  These are regarded as imported funds and, from the perspective of Avista’s customer population appropriate to the TRC test, are not costs born by our customers.  Co-funding of efficiency measures from state and federal programs for low</w:t>
      </w:r>
      <w:r w:rsidR="007232D5" w:rsidRPr="00596E24">
        <w:rPr>
          <w:rFonts w:ascii="Times New Roman" w:hAnsi="Times New Roman" w:cs="Times New Roman"/>
          <w:color w:val="auto"/>
        </w:rPr>
        <w:t>-</w:t>
      </w:r>
      <w:r w:rsidRPr="00596E24">
        <w:rPr>
          <w:rFonts w:ascii="Times New Roman" w:hAnsi="Times New Roman" w:cs="Times New Roman"/>
          <w:color w:val="auto"/>
        </w:rPr>
        <w:t>income programs applicable to a home that is also being treated with Avista funding is not incorporated within the program cost.  This is consistent with permitting tax credits to offset customer incremental cost as described within the California Standard Practice Manu</w:t>
      </w:r>
      <w:r w:rsidR="00511903">
        <w:rPr>
          <w:rFonts w:ascii="Times New Roman" w:hAnsi="Times New Roman" w:cs="Times New Roman"/>
          <w:color w:val="auto"/>
        </w:rPr>
        <w:t xml:space="preserve">al description of the TRC test. </w:t>
      </w:r>
      <w:r w:rsidRPr="00596E24">
        <w:rPr>
          <w:rFonts w:ascii="Times New Roman" w:hAnsi="Times New Roman" w:cs="Times New Roman"/>
          <w:color w:val="auto"/>
        </w:rPr>
        <w:t>A more in-depth explanation of these analytical practices is contained in Appendix B.</w:t>
      </w:r>
    </w:p>
    <w:p w14:paraId="5521F00B" w14:textId="77777777" w:rsidR="00150141" w:rsidRDefault="00150141" w:rsidP="00150141">
      <w:pPr>
        <w:pStyle w:val="Default"/>
        <w:spacing w:after="200" w:line="276" w:lineRule="auto"/>
        <w:jc w:val="both"/>
        <w:rPr>
          <w:rFonts w:ascii="Times New Roman" w:hAnsi="Times New Roman" w:cs="Times New Roman"/>
          <w:color w:val="auto"/>
        </w:rPr>
      </w:pPr>
    </w:p>
    <w:p w14:paraId="5521F00C" w14:textId="77777777" w:rsidR="00BA3EED" w:rsidRPr="003A4FA2" w:rsidRDefault="003A4FA2" w:rsidP="003A4FA2">
      <w:pPr>
        <w:pStyle w:val="ListParagraph"/>
        <w:numPr>
          <w:ilvl w:val="0"/>
          <w:numId w:val="2"/>
        </w:numPr>
        <w:ind w:left="0" w:firstLine="0"/>
        <w:jc w:val="center"/>
        <w:rPr>
          <w:rFonts w:ascii="Times New Roman" w:hAnsi="Times New Roman" w:cs="Times New Roman"/>
          <w:b/>
          <w:sz w:val="24"/>
          <w:szCs w:val="24"/>
          <w:u w:val="single"/>
        </w:rPr>
      </w:pPr>
      <w:r w:rsidRPr="003A4FA2">
        <w:rPr>
          <w:rFonts w:ascii="Times New Roman" w:hAnsi="Times New Roman" w:cs="Times New Roman"/>
          <w:b/>
          <w:sz w:val="24"/>
          <w:szCs w:val="24"/>
          <w:u w:val="single"/>
        </w:rPr>
        <w:t>AN</w:t>
      </w:r>
      <w:r>
        <w:rPr>
          <w:rFonts w:ascii="Times New Roman" w:hAnsi="Times New Roman" w:cs="Times New Roman"/>
          <w:b/>
          <w:sz w:val="24"/>
          <w:szCs w:val="24"/>
          <w:u w:val="single"/>
        </w:rPr>
        <w:t>ALYTICAL REVIEW OF MEASURES BY PROGRAM</w:t>
      </w:r>
    </w:p>
    <w:p w14:paraId="5521F00D" w14:textId="77777777" w:rsidR="00C63CDC" w:rsidRPr="00596E24" w:rsidRDefault="00C63CDC"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annual planning process begins with a “blank slate” approach to maximizing the value of the DSM portfolio to customers.  The process ends when the portfolio meets, or comes as close as possible to meeting, the desired objectives.  Within this section is a summary of the composition and performance of the planned </w:t>
      </w:r>
      <w:r w:rsidR="00295EDB" w:rsidRPr="00596E24">
        <w:rPr>
          <w:rFonts w:ascii="Times New Roman" w:hAnsi="Times New Roman" w:cs="Times New Roman"/>
          <w:sz w:val="24"/>
          <w:szCs w:val="24"/>
        </w:rPr>
        <w:t>201</w:t>
      </w:r>
      <w:r w:rsidR="00295EDB">
        <w:rPr>
          <w:rFonts w:ascii="Times New Roman" w:hAnsi="Times New Roman" w:cs="Times New Roman"/>
          <w:sz w:val="24"/>
          <w:szCs w:val="24"/>
        </w:rPr>
        <w:t>7</w:t>
      </w:r>
      <w:r w:rsidR="00295EDB"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portfolio. </w:t>
      </w:r>
    </w:p>
    <w:p w14:paraId="5521F00E" w14:textId="77777777" w:rsidR="00C63CDC" w:rsidRPr="00596E24" w:rsidRDefault="00C63CDC"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Decisions when incorporating a measure within a program being offered to customers were primarily, but not exclusively</w:t>
      </w:r>
      <w:r w:rsidR="007232D5" w:rsidRPr="00596E24">
        <w:rPr>
          <w:rFonts w:ascii="Times New Roman" w:hAnsi="Times New Roman" w:cs="Times New Roman"/>
          <w:sz w:val="24"/>
          <w:szCs w:val="24"/>
        </w:rPr>
        <w:t>,</w:t>
      </w:r>
      <w:r w:rsidRPr="00596E24">
        <w:rPr>
          <w:rFonts w:ascii="Times New Roman" w:hAnsi="Times New Roman" w:cs="Times New Roman"/>
          <w:sz w:val="24"/>
          <w:szCs w:val="24"/>
        </w:rPr>
        <w:t xml:space="preserve"> made upon the contribution of each individual measure to the</w:t>
      </w:r>
      <w:r w:rsidR="00A27474" w:rsidRPr="00596E24">
        <w:rPr>
          <w:rFonts w:ascii="Times New Roman" w:hAnsi="Times New Roman" w:cs="Times New Roman"/>
          <w:sz w:val="24"/>
          <w:szCs w:val="24"/>
        </w:rPr>
        <w:t xml:space="preserve"> portfolio cost-effectiveness. </w:t>
      </w:r>
      <w:r w:rsidRPr="00596E24">
        <w:rPr>
          <w:rFonts w:ascii="Times New Roman" w:hAnsi="Times New Roman" w:cs="Times New Roman"/>
          <w:sz w:val="24"/>
          <w:szCs w:val="24"/>
        </w:rPr>
        <w:t>Factors other than cost-effectiveness that were considered in the measure status include consistency with other measures, the incentive relative to both the incremental and total customer cost, the marketability and expected customer satisfaction of the measure and the element of uncertainty surrounding all of the inputs to the planning process.</w:t>
      </w:r>
    </w:p>
    <w:p w14:paraId="5521F00F" w14:textId="77777777" w:rsidR="00C63CDC" w:rsidRPr="00596E24" w:rsidRDefault="00C63CDC" w:rsidP="00A15608">
      <w:pPr>
        <w:spacing w:after="0" w:line="360" w:lineRule="auto"/>
        <w:jc w:val="both"/>
        <w:rPr>
          <w:rFonts w:ascii="Times New Roman" w:hAnsi="Times New Roman" w:cs="Times New Roman"/>
          <w:sz w:val="24"/>
          <w:szCs w:val="24"/>
        </w:rPr>
      </w:pPr>
      <w:r w:rsidRPr="00596E24">
        <w:rPr>
          <w:rFonts w:ascii="Times New Roman" w:hAnsi="Times New Roman" w:cs="Times New Roman"/>
          <w:sz w:val="24"/>
          <w:szCs w:val="24"/>
        </w:rPr>
        <w:t>For purposes of reviewing the contributions of these programs, the portfolio has been categorized as follows:</w:t>
      </w:r>
    </w:p>
    <w:p w14:paraId="5521F010" w14:textId="77777777" w:rsidR="00C63CDC" w:rsidRPr="00596E24" w:rsidRDefault="00C63CDC" w:rsidP="00596E24">
      <w:pPr>
        <w:pStyle w:val="ListParagraph"/>
        <w:numPr>
          <w:ilvl w:val="0"/>
          <w:numId w:val="12"/>
        </w:numPr>
        <w:rPr>
          <w:rFonts w:ascii="Times New Roman" w:hAnsi="Times New Roman" w:cs="Times New Roman"/>
          <w:sz w:val="24"/>
          <w:szCs w:val="24"/>
        </w:rPr>
      </w:pPr>
      <w:r w:rsidRPr="00596E24">
        <w:rPr>
          <w:rFonts w:ascii="Times New Roman" w:hAnsi="Times New Roman" w:cs="Times New Roman"/>
          <w:sz w:val="24"/>
          <w:szCs w:val="24"/>
        </w:rPr>
        <w:t>Residential prescriptive programs</w:t>
      </w:r>
    </w:p>
    <w:p w14:paraId="5521F011" w14:textId="77777777" w:rsidR="00A27474" w:rsidRPr="00596E24" w:rsidRDefault="00A27474" w:rsidP="00596E24">
      <w:pPr>
        <w:pStyle w:val="ListParagraph"/>
        <w:numPr>
          <w:ilvl w:val="0"/>
          <w:numId w:val="12"/>
        </w:numPr>
        <w:rPr>
          <w:rFonts w:ascii="Times New Roman" w:hAnsi="Times New Roman" w:cs="Times New Roman"/>
          <w:sz w:val="24"/>
          <w:szCs w:val="24"/>
        </w:rPr>
      </w:pPr>
      <w:r w:rsidRPr="00596E24">
        <w:rPr>
          <w:rFonts w:ascii="Times New Roman" w:hAnsi="Times New Roman" w:cs="Times New Roman"/>
          <w:sz w:val="24"/>
          <w:szCs w:val="24"/>
        </w:rPr>
        <w:t>Residential fuel conversions</w:t>
      </w:r>
    </w:p>
    <w:p w14:paraId="5521F012" w14:textId="77777777" w:rsidR="00C63CDC" w:rsidRPr="00596E24" w:rsidRDefault="00C63CDC" w:rsidP="00596E24">
      <w:pPr>
        <w:pStyle w:val="ListParagraph"/>
        <w:numPr>
          <w:ilvl w:val="0"/>
          <w:numId w:val="12"/>
        </w:numPr>
        <w:rPr>
          <w:rFonts w:ascii="Times New Roman" w:hAnsi="Times New Roman" w:cs="Times New Roman"/>
          <w:sz w:val="24"/>
          <w:szCs w:val="24"/>
        </w:rPr>
      </w:pPr>
      <w:r w:rsidRPr="00596E24">
        <w:rPr>
          <w:rFonts w:ascii="Times New Roman" w:hAnsi="Times New Roman" w:cs="Times New Roman"/>
          <w:sz w:val="24"/>
          <w:szCs w:val="24"/>
        </w:rPr>
        <w:t>Low income programs</w:t>
      </w:r>
    </w:p>
    <w:p w14:paraId="5521F013" w14:textId="77777777" w:rsidR="00A27474" w:rsidRPr="00596E24" w:rsidRDefault="00A27474" w:rsidP="00596E24">
      <w:pPr>
        <w:pStyle w:val="ListParagraph"/>
        <w:numPr>
          <w:ilvl w:val="0"/>
          <w:numId w:val="12"/>
        </w:numPr>
        <w:rPr>
          <w:rFonts w:ascii="Times New Roman" w:hAnsi="Times New Roman" w:cs="Times New Roman"/>
          <w:sz w:val="24"/>
          <w:szCs w:val="24"/>
        </w:rPr>
      </w:pPr>
      <w:r w:rsidRPr="00596E24">
        <w:rPr>
          <w:rFonts w:ascii="Times New Roman" w:hAnsi="Times New Roman" w:cs="Times New Roman"/>
          <w:sz w:val="24"/>
          <w:szCs w:val="24"/>
        </w:rPr>
        <w:t xml:space="preserve">Low income </w:t>
      </w:r>
      <w:r w:rsidR="00DD2B47" w:rsidRPr="00596E24">
        <w:rPr>
          <w:rFonts w:ascii="Times New Roman" w:hAnsi="Times New Roman" w:cs="Times New Roman"/>
          <w:sz w:val="24"/>
          <w:szCs w:val="24"/>
        </w:rPr>
        <w:t>fuel conversions</w:t>
      </w:r>
    </w:p>
    <w:p w14:paraId="5521F014" w14:textId="77777777" w:rsidR="00D23DC4" w:rsidRDefault="00C63CDC" w:rsidP="00D23DC4">
      <w:pPr>
        <w:pStyle w:val="ListParagraph"/>
        <w:numPr>
          <w:ilvl w:val="0"/>
          <w:numId w:val="12"/>
        </w:numPr>
        <w:rPr>
          <w:rFonts w:ascii="Times New Roman" w:hAnsi="Times New Roman" w:cs="Times New Roman"/>
          <w:sz w:val="24"/>
          <w:szCs w:val="24"/>
        </w:rPr>
      </w:pPr>
      <w:r w:rsidRPr="00596E24">
        <w:rPr>
          <w:rFonts w:ascii="Times New Roman" w:hAnsi="Times New Roman" w:cs="Times New Roman"/>
          <w:sz w:val="24"/>
          <w:szCs w:val="24"/>
        </w:rPr>
        <w:t>Nonresidential programs</w:t>
      </w:r>
    </w:p>
    <w:p w14:paraId="5521F015" w14:textId="77777777" w:rsidR="00C60966" w:rsidRPr="00596E24" w:rsidRDefault="00C60966" w:rsidP="00596E24">
      <w:pPr>
        <w:pStyle w:val="ListParagraph"/>
        <w:rPr>
          <w:rFonts w:ascii="Times New Roman" w:hAnsi="Times New Roman" w:cs="Times New Roman"/>
          <w:sz w:val="24"/>
          <w:szCs w:val="24"/>
        </w:rPr>
      </w:pPr>
    </w:p>
    <w:p w14:paraId="5521F016" w14:textId="77777777" w:rsidR="00C60966" w:rsidRPr="00CA2317" w:rsidRDefault="00C60966" w:rsidP="00596E24">
      <w:pPr>
        <w:rPr>
          <w:rFonts w:ascii="Times New Roman" w:hAnsi="Times New Roman" w:cs="Times New Roman"/>
          <w:b/>
          <w:sz w:val="24"/>
          <w:szCs w:val="24"/>
          <w:u w:val="single"/>
        </w:rPr>
      </w:pPr>
      <w:r w:rsidRPr="00CA2317">
        <w:rPr>
          <w:rFonts w:ascii="Times New Roman" w:hAnsi="Times New Roman" w:cs="Times New Roman"/>
          <w:b/>
          <w:sz w:val="24"/>
          <w:szCs w:val="24"/>
          <w:u w:val="single"/>
        </w:rPr>
        <w:lastRenderedPageBreak/>
        <w:t>Residential prescriptive portfolio</w:t>
      </w:r>
    </w:p>
    <w:p w14:paraId="5521F017" w14:textId="77777777" w:rsidR="006155B0" w:rsidRPr="00596E24" w:rsidRDefault="006155B0"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Since the residential portfolio is composed of large numbers of individual customers, the approach is almost exclusively prescriptive in nature.  Programs are offered with defined eligibility criteria</w:t>
      </w:r>
      <w:r w:rsidR="007232D5" w:rsidRPr="00596E24">
        <w:rPr>
          <w:rFonts w:ascii="Times New Roman" w:hAnsi="Times New Roman" w:cs="Times New Roman"/>
          <w:sz w:val="24"/>
          <w:szCs w:val="24"/>
        </w:rPr>
        <w:t>,</w:t>
      </w:r>
      <w:r w:rsidRPr="00596E24">
        <w:rPr>
          <w:rFonts w:ascii="Times New Roman" w:hAnsi="Times New Roman" w:cs="Times New Roman"/>
          <w:sz w:val="24"/>
          <w:szCs w:val="24"/>
        </w:rPr>
        <w:t xml:space="preserve"> and customers meeting those criteria receive a pre-determined rebate.  Customers are not required to notify the Company prior to their purchase or installation.</w:t>
      </w:r>
    </w:p>
    <w:p w14:paraId="5521F018" w14:textId="77777777" w:rsidR="006155B0" w:rsidRPr="00596E24" w:rsidRDefault="006155B0" w:rsidP="00596E24">
      <w:pPr>
        <w:rPr>
          <w:rFonts w:ascii="Times New Roman" w:hAnsi="Times New Roman" w:cs="Times New Roman"/>
          <w:sz w:val="24"/>
          <w:szCs w:val="24"/>
        </w:rPr>
      </w:pPr>
      <w:r w:rsidRPr="00596E24">
        <w:rPr>
          <w:rFonts w:ascii="Times New Roman" w:hAnsi="Times New Roman" w:cs="Times New Roman"/>
          <w:sz w:val="24"/>
          <w:szCs w:val="24"/>
        </w:rPr>
        <w:t xml:space="preserve">The planning process separated the residential programs into </w:t>
      </w:r>
      <w:r w:rsidR="00295EDB">
        <w:rPr>
          <w:rFonts w:ascii="Times New Roman" w:hAnsi="Times New Roman" w:cs="Times New Roman"/>
          <w:sz w:val="24"/>
          <w:szCs w:val="24"/>
        </w:rPr>
        <w:t>5</w:t>
      </w:r>
      <w:r w:rsidR="00295EDB" w:rsidRPr="00596E24">
        <w:rPr>
          <w:rFonts w:ascii="Times New Roman" w:hAnsi="Times New Roman" w:cs="Times New Roman"/>
          <w:sz w:val="24"/>
          <w:szCs w:val="24"/>
        </w:rPr>
        <w:t xml:space="preserve"> </w:t>
      </w:r>
      <w:r w:rsidRPr="00596E24">
        <w:rPr>
          <w:rFonts w:ascii="Times New Roman" w:hAnsi="Times New Roman" w:cs="Times New Roman"/>
          <w:sz w:val="24"/>
          <w:szCs w:val="24"/>
        </w:rPr>
        <w:t>individual programs:</w:t>
      </w:r>
    </w:p>
    <w:p w14:paraId="5521F019" w14:textId="77777777" w:rsidR="006155B0" w:rsidRDefault="00295EDB" w:rsidP="00596E2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Home Energy Reports</w:t>
      </w:r>
    </w:p>
    <w:p w14:paraId="5521F01A" w14:textId="77777777" w:rsidR="00CA718D" w:rsidRPr="00596E24" w:rsidRDefault="00CA718D" w:rsidP="00596E2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Residential Prescriptive</w:t>
      </w:r>
    </w:p>
    <w:p w14:paraId="5521F01B" w14:textId="77777777" w:rsidR="006155B0" w:rsidRPr="00596E24" w:rsidRDefault="00295EDB" w:rsidP="00596E2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Residential Request by Mail Kit</w:t>
      </w:r>
    </w:p>
    <w:p w14:paraId="5521F01C" w14:textId="77777777" w:rsidR="00AA7D8B" w:rsidRPr="00596E24" w:rsidRDefault="00AA7D8B" w:rsidP="00596E24">
      <w:pPr>
        <w:pStyle w:val="ListParagraph"/>
        <w:numPr>
          <w:ilvl w:val="0"/>
          <w:numId w:val="13"/>
        </w:numPr>
        <w:rPr>
          <w:rFonts w:ascii="Times New Roman" w:hAnsi="Times New Roman" w:cs="Times New Roman"/>
          <w:sz w:val="24"/>
          <w:szCs w:val="24"/>
        </w:rPr>
      </w:pPr>
      <w:r w:rsidRPr="00596E24">
        <w:rPr>
          <w:rFonts w:ascii="Times New Roman" w:hAnsi="Times New Roman" w:cs="Times New Roman"/>
          <w:sz w:val="24"/>
          <w:szCs w:val="24"/>
        </w:rPr>
        <w:t>Residential Fuel Conversions</w:t>
      </w:r>
    </w:p>
    <w:p w14:paraId="5521F01D" w14:textId="77777777" w:rsidR="006155B0" w:rsidRPr="00596E24" w:rsidRDefault="006155B0" w:rsidP="00596E24">
      <w:pPr>
        <w:pStyle w:val="ListParagraph"/>
        <w:numPr>
          <w:ilvl w:val="0"/>
          <w:numId w:val="13"/>
        </w:numPr>
        <w:rPr>
          <w:rFonts w:ascii="Times New Roman" w:hAnsi="Times New Roman" w:cs="Times New Roman"/>
          <w:sz w:val="24"/>
          <w:szCs w:val="24"/>
        </w:rPr>
      </w:pPr>
      <w:r w:rsidRPr="00596E24">
        <w:rPr>
          <w:rFonts w:ascii="Times New Roman" w:hAnsi="Times New Roman" w:cs="Times New Roman"/>
          <w:sz w:val="24"/>
          <w:szCs w:val="24"/>
        </w:rPr>
        <w:t>Simple Steps S</w:t>
      </w:r>
      <w:r w:rsidR="007232D5" w:rsidRPr="00596E24">
        <w:rPr>
          <w:rFonts w:ascii="Times New Roman" w:hAnsi="Times New Roman" w:cs="Times New Roman"/>
          <w:sz w:val="24"/>
          <w:szCs w:val="24"/>
        </w:rPr>
        <w:t>mart</w:t>
      </w:r>
      <w:r w:rsidRPr="00596E24">
        <w:rPr>
          <w:rFonts w:ascii="Times New Roman" w:hAnsi="Times New Roman" w:cs="Times New Roman"/>
          <w:sz w:val="24"/>
          <w:szCs w:val="24"/>
        </w:rPr>
        <w:t xml:space="preserve"> Savings</w:t>
      </w:r>
    </w:p>
    <w:p w14:paraId="5521F01E" w14:textId="77777777" w:rsidR="006155B0" w:rsidRPr="00596E24" w:rsidRDefault="006155B0"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w:t>
      </w:r>
      <w:r w:rsidR="00295EDB">
        <w:rPr>
          <w:rFonts w:ascii="Times New Roman" w:hAnsi="Times New Roman" w:cs="Times New Roman"/>
          <w:sz w:val="24"/>
          <w:szCs w:val="24"/>
        </w:rPr>
        <w:t>Home Energy Reports</w:t>
      </w:r>
      <w:r w:rsidRPr="00596E24">
        <w:rPr>
          <w:rFonts w:ascii="Times New Roman" w:hAnsi="Times New Roman" w:cs="Times New Roman"/>
          <w:sz w:val="24"/>
          <w:szCs w:val="24"/>
        </w:rPr>
        <w:t xml:space="preserve"> program is a </w:t>
      </w:r>
      <w:r w:rsidR="002D139C">
        <w:rPr>
          <w:rFonts w:ascii="Times New Roman" w:hAnsi="Times New Roman" w:cs="Times New Roman"/>
          <w:sz w:val="24"/>
          <w:szCs w:val="24"/>
        </w:rPr>
        <w:t>continuation</w:t>
      </w:r>
      <w:r w:rsidRPr="00596E24">
        <w:rPr>
          <w:rFonts w:ascii="Times New Roman" w:hAnsi="Times New Roman" w:cs="Times New Roman"/>
          <w:sz w:val="24"/>
          <w:szCs w:val="24"/>
        </w:rPr>
        <w:t xml:space="preserve"> of the previous Opower program that started in </w:t>
      </w:r>
      <w:r w:rsidR="002D139C">
        <w:rPr>
          <w:rFonts w:ascii="Times New Roman" w:hAnsi="Times New Roman" w:cs="Times New Roman"/>
          <w:sz w:val="24"/>
          <w:szCs w:val="24"/>
        </w:rPr>
        <w:t>2013, with a new customer treatment and control refill that occurred in early 2016</w:t>
      </w:r>
      <w:r w:rsidR="0086778E" w:rsidRPr="00596E24">
        <w:rPr>
          <w:rFonts w:ascii="Times New Roman" w:hAnsi="Times New Roman" w:cs="Times New Roman"/>
          <w:sz w:val="24"/>
          <w:szCs w:val="24"/>
        </w:rPr>
        <w:t xml:space="preserve">. </w:t>
      </w:r>
      <w:r w:rsidR="004A7D65">
        <w:rPr>
          <w:rFonts w:ascii="Times New Roman" w:hAnsi="Times New Roman" w:cs="Times New Roman"/>
          <w:sz w:val="24"/>
          <w:szCs w:val="24"/>
        </w:rPr>
        <w:t>The program savings will</w:t>
      </w:r>
      <w:r w:rsidR="003A4FA2">
        <w:rPr>
          <w:rFonts w:ascii="Times New Roman" w:hAnsi="Times New Roman" w:cs="Times New Roman"/>
          <w:sz w:val="24"/>
          <w:szCs w:val="24"/>
        </w:rPr>
        <w:t xml:space="preserve"> be analyzed as an agreed upon two-</w:t>
      </w:r>
      <w:r w:rsidR="004A7D65">
        <w:rPr>
          <w:rFonts w:ascii="Times New Roman" w:hAnsi="Times New Roman" w:cs="Times New Roman"/>
          <w:sz w:val="24"/>
          <w:szCs w:val="24"/>
        </w:rPr>
        <w:t>year measure life</w:t>
      </w:r>
      <w:r w:rsidR="000179DB">
        <w:rPr>
          <w:rFonts w:ascii="Times New Roman" w:hAnsi="Times New Roman" w:cs="Times New Roman"/>
          <w:sz w:val="24"/>
          <w:szCs w:val="24"/>
        </w:rPr>
        <w:t xml:space="preserve"> to align with the biennium</w:t>
      </w:r>
      <w:r w:rsidR="004A7D65">
        <w:rPr>
          <w:rFonts w:ascii="Times New Roman" w:hAnsi="Times New Roman" w:cs="Times New Roman"/>
          <w:sz w:val="24"/>
          <w:szCs w:val="24"/>
        </w:rPr>
        <w:t>.</w:t>
      </w:r>
      <w:r w:rsidR="0057404B">
        <w:rPr>
          <w:rFonts w:ascii="Times New Roman" w:hAnsi="Times New Roman" w:cs="Times New Roman"/>
          <w:sz w:val="24"/>
          <w:szCs w:val="24"/>
        </w:rPr>
        <w:t xml:space="preserve"> Since 2017 is the second year of the biennium</w:t>
      </w:r>
      <w:r w:rsidR="003A4FA2">
        <w:rPr>
          <w:rFonts w:ascii="Times New Roman" w:hAnsi="Times New Roman" w:cs="Times New Roman"/>
          <w:sz w:val="24"/>
          <w:szCs w:val="24"/>
        </w:rPr>
        <w:t>,</w:t>
      </w:r>
      <w:r w:rsidR="0057404B">
        <w:rPr>
          <w:rFonts w:ascii="Times New Roman" w:hAnsi="Times New Roman" w:cs="Times New Roman"/>
          <w:sz w:val="24"/>
          <w:szCs w:val="24"/>
        </w:rPr>
        <w:t xml:space="preserve"> only incremental changes (positive or negative) count towards savings acquisition.</w:t>
      </w:r>
      <w:r w:rsidR="0086778E" w:rsidRPr="00596E24">
        <w:rPr>
          <w:rFonts w:ascii="Times New Roman" w:hAnsi="Times New Roman" w:cs="Times New Roman"/>
          <w:sz w:val="24"/>
          <w:szCs w:val="24"/>
        </w:rPr>
        <w:t xml:space="preserve"> Additional program information can be found in Appendix A.</w:t>
      </w:r>
    </w:p>
    <w:p w14:paraId="5521F01F" w14:textId="77777777" w:rsidR="00A86FBC" w:rsidRPr="00596E24" w:rsidRDefault="00AA7D8B"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All weatherization</w:t>
      </w:r>
      <w:r w:rsidR="00075AA1" w:rsidRPr="00596E24">
        <w:rPr>
          <w:rFonts w:ascii="Times New Roman" w:hAnsi="Times New Roman" w:cs="Times New Roman"/>
          <w:sz w:val="24"/>
          <w:szCs w:val="24"/>
        </w:rPr>
        <w:t xml:space="preserve">, </w:t>
      </w:r>
      <w:r w:rsidR="0057404B">
        <w:rPr>
          <w:rFonts w:ascii="Times New Roman" w:hAnsi="Times New Roman" w:cs="Times New Roman"/>
          <w:sz w:val="24"/>
          <w:szCs w:val="24"/>
        </w:rPr>
        <w:t>thermostats, heat pump water heaters</w:t>
      </w:r>
      <w:r w:rsidR="00075AA1" w:rsidRPr="00596E24">
        <w:rPr>
          <w:rFonts w:ascii="Times New Roman" w:hAnsi="Times New Roman" w:cs="Times New Roman"/>
          <w:sz w:val="24"/>
          <w:szCs w:val="24"/>
        </w:rPr>
        <w:t xml:space="preserve"> and heating/cooling equipment were analyzed under a single program</w:t>
      </w:r>
      <w:r w:rsidR="00D1425F" w:rsidRPr="00596E24">
        <w:rPr>
          <w:rFonts w:ascii="Times New Roman" w:hAnsi="Times New Roman" w:cs="Times New Roman"/>
          <w:sz w:val="24"/>
          <w:szCs w:val="24"/>
        </w:rPr>
        <w:t xml:space="preserve"> but measure level cost effectiveness can be found in Appendix A.</w:t>
      </w:r>
    </w:p>
    <w:p w14:paraId="5521F020" w14:textId="77777777" w:rsidR="00144406" w:rsidRDefault="00144406"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The Simple Steps, Smart Savings is an upstream buy down program and includes residential lighting, shower heads and washing machines.</w:t>
      </w:r>
    </w:p>
    <w:p w14:paraId="5521F021" w14:textId="77777777" w:rsidR="006155B0" w:rsidRDefault="00CA718D" w:rsidP="003A4FA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request by mail energy efficiency kit is not currently a budgeted item but will continue to be analyzed further with the Advisory Group.</w:t>
      </w:r>
      <w:r w:rsidR="003A4FA2">
        <w:rPr>
          <w:rFonts w:ascii="Times New Roman" w:hAnsi="Times New Roman" w:cs="Times New Roman"/>
          <w:sz w:val="24"/>
          <w:szCs w:val="24"/>
        </w:rPr>
        <w:t xml:space="preserve"> </w:t>
      </w:r>
      <w:r w:rsidR="006155B0" w:rsidRPr="00596E24">
        <w:rPr>
          <w:rFonts w:ascii="Times New Roman" w:hAnsi="Times New Roman" w:cs="Times New Roman"/>
          <w:sz w:val="24"/>
          <w:szCs w:val="24"/>
        </w:rPr>
        <w:t>The program-by-program cost-effectiveness of the portfolio is graphically represented in the figure below:</w:t>
      </w:r>
    </w:p>
    <w:p w14:paraId="5521F022" w14:textId="77777777" w:rsidR="003A4FA2" w:rsidRDefault="003A4FA2" w:rsidP="003A4FA2">
      <w:pPr>
        <w:spacing w:after="0" w:line="360" w:lineRule="auto"/>
        <w:ind w:firstLine="720"/>
        <w:jc w:val="both"/>
        <w:rPr>
          <w:rFonts w:ascii="Times New Roman" w:hAnsi="Times New Roman" w:cs="Times New Roman"/>
          <w:sz w:val="24"/>
          <w:szCs w:val="24"/>
        </w:rPr>
      </w:pPr>
    </w:p>
    <w:p w14:paraId="5521F023" w14:textId="77777777" w:rsidR="00D239D6" w:rsidRDefault="00D239D6" w:rsidP="003A4FA2">
      <w:pPr>
        <w:spacing w:after="0" w:line="360" w:lineRule="auto"/>
        <w:ind w:firstLine="720"/>
        <w:jc w:val="both"/>
        <w:rPr>
          <w:rFonts w:ascii="Times New Roman" w:hAnsi="Times New Roman" w:cs="Times New Roman"/>
          <w:sz w:val="24"/>
          <w:szCs w:val="24"/>
        </w:rPr>
      </w:pPr>
    </w:p>
    <w:p w14:paraId="5521F024" w14:textId="77777777" w:rsidR="00D239D6" w:rsidRDefault="00D239D6" w:rsidP="003A4FA2">
      <w:pPr>
        <w:spacing w:after="0" w:line="360" w:lineRule="auto"/>
        <w:ind w:firstLine="720"/>
        <w:jc w:val="both"/>
        <w:rPr>
          <w:rFonts w:ascii="Times New Roman" w:hAnsi="Times New Roman" w:cs="Times New Roman"/>
          <w:sz w:val="24"/>
          <w:szCs w:val="24"/>
        </w:rPr>
      </w:pPr>
    </w:p>
    <w:p w14:paraId="5521F025" w14:textId="77777777" w:rsidR="00D239D6" w:rsidRDefault="00D239D6" w:rsidP="003A4FA2">
      <w:pPr>
        <w:spacing w:after="0" w:line="360" w:lineRule="auto"/>
        <w:ind w:firstLine="720"/>
        <w:jc w:val="both"/>
        <w:rPr>
          <w:rFonts w:ascii="Times New Roman" w:hAnsi="Times New Roman" w:cs="Times New Roman"/>
          <w:sz w:val="24"/>
          <w:szCs w:val="24"/>
        </w:rPr>
      </w:pPr>
    </w:p>
    <w:p w14:paraId="5521F026" w14:textId="77777777" w:rsidR="00D239D6" w:rsidRDefault="00D239D6" w:rsidP="003A4FA2">
      <w:pPr>
        <w:spacing w:after="0" w:line="360" w:lineRule="auto"/>
        <w:ind w:firstLine="720"/>
        <w:jc w:val="both"/>
        <w:rPr>
          <w:rFonts w:ascii="Times New Roman" w:hAnsi="Times New Roman" w:cs="Times New Roman"/>
          <w:sz w:val="24"/>
          <w:szCs w:val="24"/>
        </w:rPr>
      </w:pPr>
    </w:p>
    <w:p w14:paraId="5521F027" w14:textId="77777777" w:rsidR="00D239D6" w:rsidRPr="00596E24" w:rsidRDefault="00D239D6" w:rsidP="003A4FA2">
      <w:pPr>
        <w:spacing w:after="0" w:line="360" w:lineRule="auto"/>
        <w:ind w:firstLine="720"/>
        <w:jc w:val="both"/>
        <w:rPr>
          <w:rFonts w:ascii="Times New Roman" w:hAnsi="Times New Roman" w:cs="Times New Roman"/>
          <w:sz w:val="24"/>
          <w:szCs w:val="24"/>
        </w:rPr>
      </w:pPr>
    </w:p>
    <w:p w14:paraId="5521F028" w14:textId="77777777" w:rsidR="00EE476B" w:rsidRPr="00596E24" w:rsidRDefault="0035504F" w:rsidP="00596E24">
      <w:pPr>
        <w:rPr>
          <w:rFonts w:ascii="Times New Roman" w:hAnsi="Times New Roman" w:cs="Times New Roman"/>
          <w:sz w:val="24"/>
          <w:szCs w:val="24"/>
          <w:u w:val="single"/>
        </w:rPr>
      </w:pPr>
      <w:r w:rsidRPr="00CA2317">
        <w:rPr>
          <w:rFonts w:ascii="Times New Roman" w:hAnsi="Times New Roman" w:cs="Times New Roman"/>
          <w:b/>
          <w:sz w:val="24"/>
          <w:szCs w:val="24"/>
          <w:u w:val="single"/>
        </w:rPr>
        <w:lastRenderedPageBreak/>
        <w:t xml:space="preserve">Figure </w:t>
      </w:r>
      <w:r w:rsidR="00CA2317">
        <w:rPr>
          <w:rFonts w:ascii="Times New Roman" w:hAnsi="Times New Roman" w:cs="Times New Roman"/>
          <w:b/>
          <w:sz w:val="24"/>
          <w:szCs w:val="24"/>
          <w:u w:val="single"/>
        </w:rPr>
        <w:t>2</w:t>
      </w:r>
      <w:r w:rsidRPr="00CA2317">
        <w:rPr>
          <w:rFonts w:ascii="Times New Roman" w:hAnsi="Times New Roman" w:cs="Times New Roman"/>
          <w:b/>
          <w:sz w:val="24"/>
          <w:szCs w:val="24"/>
          <w:u w:val="single"/>
        </w:rPr>
        <w:t xml:space="preserve">:  </w:t>
      </w:r>
      <w:r w:rsidR="00144406" w:rsidRPr="00CA2317">
        <w:rPr>
          <w:rFonts w:ascii="Times New Roman" w:hAnsi="Times New Roman" w:cs="Times New Roman"/>
          <w:b/>
          <w:sz w:val="24"/>
          <w:szCs w:val="24"/>
          <w:u w:val="single"/>
        </w:rPr>
        <w:t>Residential Programs Cost-Effectiveness</w:t>
      </w:r>
    </w:p>
    <w:p w14:paraId="5521F029" w14:textId="77777777" w:rsidR="00E64989" w:rsidRDefault="00150141" w:rsidP="00F5285D">
      <w:pPr>
        <w:jc w:val="center"/>
        <w:rPr>
          <w:noProof/>
        </w:rPr>
      </w:pPr>
      <w:r>
        <w:rPr>
          <w:noProof/>
        </w:rPr>
        <w:drawing>
          <wp:inline distT="0" distB="0" distL="0" distR="0" wp14:anchorId="5521F0B9" wp14:editId="5521F0BA">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21F02A" w14:textId="77777777" w:rsidR="00150141" w:rsidRDefault="00150141" w:rsidP="00F5285D">
      <w:pPr>
        <w:jc w:val="center"/>
        <w:rPr>
          <w:rFonts w:cs="Times New Roman"/>
        </w:rPr>
      </w:pPr>
    </w:p>
    <w:p w14:paraId="5521F02B" w14:textId="77777777" w:rsidR="00E64989" w:rsidRPr="00CA2317" w:rsidRDefault="004E5E34" w:rsidP="00596E24">
      <w:pPr>
        <w:rPr>
          <w:rFonts w:ascii="Times New Roman" w:hAnsi="Times New Roman" w:cs="Times New Roman"/>
          <w:b/>
          <w:sz w:val="24"/>
          <w:szCs w:val="24"/>
          <w:u w:val="single"/>
        </w:rPr>
      </w:pPr>
      <w:r w:rsidRPr="00CA2317">
        <w:rPr>
          <w:rFonts w:ascii="Times New Roman" w:hAnsi="Times New Roman" w:cs="Times New Roman"/>
          <w:b/>
          <w:sz w:val="24"/>
          <w:szCs w:val="24"/>
          <w:u w:val="single"/>
        </w:rPr>
        <w:t xml:space="preserve">Low </w:t>
      </w:r>
      <w:r w:rsidR="00C76B69" w:rsidRPr="00CA2317">
        <w:rPr>
          <w:rFonts w:ascii="Times New Roman" w:hAnsi="Times New Roman" w:cs="Times New Roman"/>
          <w:b/>
          <w:sz w:val="24"/>
          <w:szCs w:val="24"/>
          <w:u w:val="single"/>
        </w:rPr>
        <w:t>i</w:t>
      </w:r>
      <w:r w:rsidRPr="00CA2317">
        <w:rPr>
          <w:rFonts w:ascii="Times New Roman" w:hAnsi="Times New Roman" w:cs="Times New Roman"/>
          <w:b/>
          <w:sz w:val="24"/>
          <w:szCs w:val="24"/>
          <w:u w:val="single"/>
        </w:rPr>
        <w:t xml:space="preserve">ncome </w:t>
      </w:r>
    </w:p>
    <w:p w14:paraId="5521F02C" w14:textId="77777777" w:rsidR="00272873" w:rsidRPr="00596E24" w:rsidRDefault="0027287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Avista’s low income programs are offered in a cooperative effort with Community Action Partner (CAP) agencies under annual contract to Avista.  The funding contracts allow for considerable flexibility for the CAP to deliver to each individual low</w:t>
      </w:r>
      <w:r w:rsidR="00B569E9" w:rsidRPr="00596E24">
        <w:rPr>
          <w:rFonts w:ascii="Times New Roman" w:hAnsi="Times New Roman" w:cs="Times New Roman"/>
          <w:sz w:val="24"/>
          <w:szCs w:val="24"/>
        </w:rPr>
        <w:t>-</w:t>
      </w:r>
      <w:r w:rsidRPr="00596E24">
        <w:rPr>
          <w:rFonts w:ascii="Times New Roman" w:hAnsi="Times New Roman" w:cs="Times New Roman"/>
          <w:sz w:val="24"/>
          <w:szCs w:val="24"/>
        </w:rPr>
        <w:t xml:space="preserve">income client a mix of measures customized to that particular home.  For purposes of establishing a projection of program performance for </w:t>
      </w:r>
      <w:r w:rsidR="00711927" w:rsidRPr="00596E24">
        <w:rPr>
          <w:rFonts w:ascii="Times New Roman" w:hAnsi="Times New Roman" w:cs="Times New Roman"/>
          <w:sz w:val="24"/>
          <w:szCs w:val="24"/>
        </w:rPr>
        <w:t>201</w:t>
      </w:r>
      <w:r w:rsidR="005D7280">
        <w:rPr>
          <w:rFonts w:ascii="Times New Roman" w:hAnsi="Times New Roman" w:cs="Times New Roman"/>
          <w:sz w:val="24"/>
          <w:szCs w:val="24"/>
        </w:rPr>
        <w:t>7</w:t>
      </w:r>
      <w:r w:rsidRPr="00596E24">
        <w:rPr>
          <w:rFonts w:ascii="Times New Roman" w:hAnsi="Times New Roman" w:cs="Times New Roman"/>
          <w:sz w:val="24"/>
          <w:szCs w:val="24"/>
        </w:rPr>
        <w:t>, Avista has defined 27 electric and natural gas measures available to Washington</w:t>
      </w:r>
      <w:r w:rsidR="00357176">
        <w:rPr>
          <w:rFonts w:ascii="Times New Roman" w:hAnsi="Times New Roman" w:cs="Times New Roman"/>
          <w:sz w:val="24"/>
          <w:szCs w:val="24"/>
        </w:rPr>
        <w:t xml:space="preserve"> </w:t>
      </w:r>
      <w:r w:rsidRPr="00596E24">
        <w:rPr>
          <w:rFonts w:ascii="Times New Roman" w:hAnsi="Times New Roman" w:cs="Times New Roman"/>
          <w:sz w:val="24"/>
          <w:szCs w:val="24"/>
        </w:rPr>
        <w:t>CAPs.  Additionally, the CAP is permitted to expend up to 15% of their funding on health and safety measures on homes receiving Avista-funded treatment.  CAP agencies may charge Avista up to 15% of the total installed cost of the measures for reimbursement of administrative costs.</w:t>
      </w:r>
    </w:p>
    <w:p w14:paraId="5521F02D" w14:textId="77777777" w:rsidR="00272873" w:rsidRPr="00596E24" w:rsidRDefault="00272873" w:rsidP="003A4FA2">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Avista’s projected funding for each of the measure installations is limited to the present value of the energy savings, with exceptions provided for measures</w:t>
      </w:r>
      <w:r w:rsidR="001909FF">
        <w:rPr>
          <w:rFonts w:ascii="Times New Roman" w:hAnsi="Times New Roman" w:cs="Times New Roman"/>
          <w:sz w:val="24"/>
          <w:szCs w:val="24"/>
        </w:rPr>
        <w:t xml:space="preserve"> that have a TRC of 1.0 or greater and those measures on the Weatherization Manual priority list</w:t>
      </w:r>
      <w:r w:rsidRPr="00596E24">
        <w:rPr>
          <w:rFonts w:ascii="Times New Roman" w:hAnsi="Times New Roman" w:cs="Times New Roman"/>
          <w:sz w:val="24"/>
          <w:szCs w:val="24"/>
        </w:rPr>
        <w:t xml:space="preserve">.  Consequently, the </w:t>
      </w:r>
      <w:r w:rsidR="001909FF">
        <w:rPr>
          <w:rFonts w:ascii="Times New Roman" w:hAnsi="Times New Roman" w:cs="Times New Roman"/>
          <w:sz w:val="24"/>
          <w:szCs w:val="24"/>
        </w:rPr>
        <w:t xml:space="preserve">vast majority of measures are covered at 100% reimbursement. If a </w:t>
      </w:r>
      <w:r w:rsidRPr="00596E24">
        <w:rPr>
          <w:rFonts w:ascii="Times New Roman" w:hAnsi="Times New Roman" w:cs="Times New Roman"/>
          <w:sz w:val="24"/>
          <w:szCs w:val="24"/>
        </w:rPr>
        <w:t>CAP encounter</w:t>
      </w:r>
      <w:r w:rsidR="001909FF">
        <w:rPr>
          <w:rFonts w:ascii="Times New Roman" w:hAnsi="Times New Roman" w:cs="Times New Roman"/>
          <w:sz w:val="24"/>
          <w:szCs w:val="24"/>
        </w:rPr>
        <w:t>s</w:t>
      </w:r>
      <w:r w:rsidRPr="00596E24">
        <w:rPr>
          <w:rFonts w:ascii="Times New Roman" w:hAnsi="Times New Roman" w:cs="Times New Roman"/>
          <w:sz w:val="24"/>
          <w:szCs w:val="24"/>
        </w:rPr>
        <w:t xml:space="preserve"> a measure which they intend to pursue that is not fully funded</w:t>
      </w:r>
      <w:r w:rsidR="003A4FA2">
        <w:rPr>
          <w:rFonts w:ascii="Times New Roman" w:hAnsi="Times New Roman" w:cs="Times New Roman"/>
          <w:sz w:val="24"/>
          <w:szCs w:val="24"/>
        </w:rPr>
        <w:t>,</w:t>
      </w:r>
      <w:r w:rsidRPr="00596E24">
        <w:rPr>
          <w:rFonts w:ascii="Times New Roman" w:hAnsi="Times New Roman" w:cs="Times New Roman"/>
          <w:sz w:val="24"/>
          <w:szCs w:val="24"/>
        </w:rPr>
        <w:t xml:space="preserve"> the CAP can either use Avista health and safety funds or use non-Avista funding to complete the funding of the measure.  Avista does not include the application of non-Avista co-funding for the installation of energy measures as a cost for purposes</w:t>
      </w:r>
      <w:r w:rsidR="003A4FA2">
        <w:rPr>
          <w:rFonts w:ascii="Times New Roman" w:hAnsi="Times New Roman" w:cs="Times New Roman"/>
          <w:sz w:val="24"/>
          <w:szCs w:val="24"/>
        </w:rPr>
        <w:t xml:space="preserve"> </w:t>
      </w:r>
      <w:r w:rsidR="003A4FA2">
        <w:rPr>
          <w:rFonts w:ascii="Times New Roman" w:hAnsi="Times New Roman" w:cs="Times New Roman"/>
          <w:sz w:val="24"/>
          <w:szCs w:val="24"/>
        </w:rPr>
        <w:lastRenderedPageBreak/>
        <w:t xml:space="preserve">of calculating the TRC test.  </w:t>
      </w:r>
      <w:r w:rsidRPr="00596E24">
        <w:rPr>
          <w:rFonts w:ascii="Times New Roman" w:hAnsi="Times New Roman" w:cs="Times New Roman"/>
          <w:sz w:val="24"/>
          <w:szCs w:val="24"/>
        </w:rPr>
        <w:t>Avista defines two major non-energy benefits uniquely applicable to the low income program.  These are:</w:t>
      </w:r>
    </w:p>
    <w:p w14:paraId="5521F02E" w14:textId="77777777" w:rsidR="00272873" w:rsidRPr="00596E24" w:rsidRDefault="00272873" w:rsidP="00150141">
      <w:pPr>
        <w:pStyle w:val="ListParagraph"/>
        <w:numPr>
          <w:ilvl w:val="0"/>
          <w:numId w:val="14"/>
        </w:numPr>
        <w:jc w:val="both"/>
        <w:rPr>
          <w:rFonts w:ascii="Times New Roman" w:hAnsi="Times New Roman" w:cs="Times New Roman"/>
          <w:sz w:val="24"/>
          <w:szCs w:val="24"/>
        </w:rPr>
      </w:pPr>
      <w:r w:rsidRPr="00596E24">
        <w:rPr>
          <w:rFonts w:ascii="Times New Roman" w:hAnsi="Times New Roman" w:cs="Times New Roman"/>
          <w:sz w:val="24"/>
          <w:szCs w:val="24"/>
        </w:rPr>
        <w:t>End-use non-energy benefit - CAPs fund the entire cost of the installation of the measure in a customer home, not just the incremental cost of the higher efficiency value.  To maintain consistency with how the utility is invoiced and with programmatic budgets, the Company includes the full invoiced cost within the TRC test.  However, the energy efficiency value of the measure corresponds only to the incremental cost of the efficiency measure.  Thus, Avista values the cost associated with the baseline end-use as a non-energy benefit being provided to the customer.</w:t>
      </w:r>
    </w:p>
    <w:p w14:paraId="5521F02F" w14:textId="77777777" w:rsidR="00272873" w:rsidRPr="00596E24" w:rsidRDefault="00272873" w:rsidP="00150141">
      <w:pPr>
        <w:pStyle w:val="ListParagraph"/>
        <w:numPr>
          <w:ilvl w:val="0"/>
          <w:numId w:val="14"/>
        </w:numPr>
        <w:jc w:val="both"/>
        <w:rPr>
          <w:rFonts w:ascii="Times New Roman" w:hAnsi="Times New Roman" w:cs="Times New Roman"/>
          <w:sz w:val="24"/>
          <w:szCs w:val="24"/>
        </w:rPr>
      </w:pPr>
      <w:r w:rsidRPr="00596E24">
        <w:rPr>
          <w:rFonts w:ascii="Times New Roman" w:hAnsi="Times New Roman" w:cs="Times New Roman"/>
          <w:sz w:val="24"/>
          <w:szCs w:val="24"/>
        </w:rPr>
        <w:t>Health and safety non-energy benefit - The 15% health and safety allowance permitted under the Company’s funding contracts with the CAP is assumed to create, on a dollar-for-dollar basis, a quantifiable non-energy benefit.  It is assumed that the CAP would only make these investments in an individually reviewed home if the benefits were equal, or in excess of, the cost.  Therefore, Avista recognizes a non-energy benefit for health and safety expenses that is equal to the amount expended.</w:t>
      </w:r>
    </w:p>
    <w:p w14:paraId="5521F030" w14:textId="77777777" w:rsidR="00272873" w:rsidRPr="00596E24" w:rsidRDefault="0027287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Other non-energy benefits associated with individual measures are quantified and included within the low income portfolio analysis in a similar manner to any other measure within the Avista DSM portfolio.  </w:t>
      </w:r>
    </w:p>
    <w:p w14:paraId="5521F031" w14:textId="77777777" w:rsidR="00272873" w:rsidRPr="00596E24" w:rsidRDefault="0027287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UCT is calculated based upon the authorized expenditure of Avista funds, whereas the TRC cost is based upon the cost of the installation without regard to how that cost is paid.  Since the authorized expenditures for a measure are potentially less than the full cost, due to the cap on funding available for most measures at the value of the energy savings, the portfolio UCT costs are lower than the TRC cost.  Both the UCT and TRC costs include all assigned and allocated non-incentive utility costs.  </w:t>
      </w:r>
    </w:p>
    <w:p w14:paraId="5521F032" w14:textId="77777777" w:rsidR="00272873" w:rsidRPr="00596E24" w:rsidRDefault="00272873"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Since there are often multiple measures installed at the same time, and these measure packages frequently consist of similar measures, it is statistically difficult to separately the individual measure savings.  As a result, Avista has developed adjusted engineering estimates of UES for this program that align with actual impact evaluations for participating homes.  While there is confidence that the homes achieved a certain level of savings; it is difficult to determine an individual measures contribution to the energy savings.</w:t>
      </w:r>
    </w:p>
    <w:p w14:paraId="5521F033" w14:textId="77777777" w:rsidR="00C76B69" w:rsidRDefault="00272873" w:rsidP="00A15608">
      <w:pPr>
        <w:spacing w:after="0" w:line="360" w:lineRule="auto"/>
        <w:ind w:firstLine="720"/>
        <w:rPr>
          <w:rFonts w:ascii="Times New Roman" w:hAnsi="Times New Roman" w:cs="Times New Roman"/>
          <w:sz w:val="24"/>
          <w:szCs w:val="24"/>
        </w:rPr>
      </w:pPr>
      <w:r w:rsidRPr="00596E24">
        <w:rPr>
          <w:rFonts w:ascii="Times New Roman" w:hAnsi="Times New Roman" w:cs="Times New Roman"/>
          <w:sz w:val="24"/>
          <w:szCs w:val="24"/>
        </w:rPr>
        <w:t xml:space="preserve">Fuel conversions are not included in the I-937 acquisition target </w:t>
      </w:r>
      <w:r w:rsidR="00B569E9" w:rsidRPr="00596E24">
        <w:rPr>
          <w:rFonts w:ascii="Times New Roman" w:hAnsi="Times New Roman" w:cs="Times New Roman"/>
          <w:sz w:val="24"/>
          <w:szCs w:val="24"/>
        </w:rPr>
        <w:t>therefore</w:t>
      </w:r>
      <w:r w:rsidRPr="00596E24">
        <w:rPr>
          <w:rFonts w:ascii="Times New Roman" w:hAnsi="Times New Roman" w:cs="Times New Roman"/>
          <w:sz w:val="24"/>
          <w:szCs w:val="24"/>
        </w:rPr>
        <w:t xml:space="preserve"> Low Income Fuel Conversion in Washington is analyzed separately. </w:t>
      </w:r>
    </w:p>
    <w:p w14:paraId="5521F034" w14:textId="77777777" w:rsidR="00A15608" w:rsidRDefault="00A15608" w:rsidP="00A15608">
      <w:pPr>
        <w:spacing w:after="0" w:line="360" w:lineRule="auto"/>
        <w:ind w:firstLine="720"/>
        <w:rPr>
          <w:rFonts w:ascii="Times New Roman" w:hAnsi="Times New Roman" w:cs="Times New Roman"/>
          <w:sz w:val="24"/>
          <w:szCs w:val="24"/>
        </w:rPr>
      </w:pPr>
    </w:p>
    <w:p w14:paraId="5521F035" w14:textId="77777777" w:rsidR="00D239D6" w:rsidRDefault="00D239D6" w:rsidP="00A15608">
      <w:pPr>
        <w:spacing w:after="0" w:line="360" w:lineRule="auto"/>
        <w:ind w:firstLine="720"/>
        <w:rPr>
          <w:rFonts w:ascii="Times New Roman" w:hAnsi="Times New Roman" w:cs="Times New Roman"/>
          <w:sz w:val="24"/>
          <w:szCs w:val="24"/>
        </w:rPr>
      </w:pPr>
    </w:p>
    <w:p w14:paraId="5521F036" w14:textId="77777777" w:rsidR="004E5E34" w:rsidRPr="00CA2317" w:rsidRDefault="00C76B69" w:rsidP="00596E24">
      <w:pPr>
        <w:rPr>
          <w:rFonts w:ascii="Times New Roman" w:hAnsi="Times New Roman" w:cs="Times New Roman"/>
          <w:b/>
          <w:sz w:val="24"/>
          <w:szCs w:val="24"/>
          <w:u w:val="single"/>
        </w:rPr>
      </w:pPr>
      <w:r w:rsidRPr="00CA2317">
        <w:rPr>
          <w:rFonts w:ascii="Times New Roman" w:hAnsi="Times New Roman" w:cs="Times New Roman"/>
          <w:b/>
          <w:sz w:val="24"/>
          <w:szCs w:val="24"/>
          <w:u w:val="single"/>
        </w:rPr>
        <w:lastRenderedPageBreak/>
        <w:t xml:space="preserve">Figure </w:t>
      </w:r>
      <w:r w:rsidR="00CA2317" w:rsidRPr="00CA2317">
        <w:rPr>
          <w:rFonts w:ascii="Times New Roman" w:hAnsi="Times New Roman" w:cs="Times New Roman"/>
          <w:b/>
          <w:sz w:val="24"/>
          <w:szCs w:val="24"/>
          <w:u w:val="single"/>
        </w:rPr>
        <w:t>3</w:t>
      </w:r>
      <w:r w:rsidRPr="00CA2317">
        <w:rPr>
          <w:rFonts w:ascii="Times New Roman" w:hAnsi="Times New Roman" w:cs="Times New Roman"/>
          <w:b/>
          <w:sz w:val="24"/>
          <w:szCs w:val="24"/>
          <w:u w:val="single"/>
        </w:rPr>
        <w:t xml:space="preserve">:  </w:t>
      </w:r>
      <w:r w:rsidR="00BF7F69" w:rsidRPr="00CA2317">
        <w:rPr>
          <w:rFonts w:ascii="Times New Roman" w:hAnsi="Times New Roman" w:cs="Times New Roman"/>
          <w:b/>
          <w:sz w:val="24"/>
          <w:szCs w:val="24"/>
          <w:u w:val="single"/>
        </w:rPr>
        <w:t xml:space="preserve">WA </w:t>
      </w:r>
      <w:r w:rsidRPr="00CA2317">
        <w:rPr>
          <w:rFonts w:ascii="Times New Roman" w:hAnsi="Times New Roman" w:cs="Times New Roman"/>
          <w:b/>
          <w:sz w:val="24"/>
          <w:szCs w:val="24"/>
          <w:u w:val="single"/>
        </w:rPr>
        <w:t xml:space="preserve">Low income </w:t>
      </w:r>
      <w:r w:rsidR="00272873" w:rsidRPr="00CA2317">
        <w:rPr>
          <w:rFonts w:ascii="Times New Roman" w:hAnsi="Times New Roman" w:cs="Times New Roman"/>
          <w:b/>
          <w:sz w:val="24"/>
          <w:szCs w:val="24"/>
          <w:u w:val="single"/>
        </w:rPr>
        <w:t>cost-effectiveness</w:t>
      </w:r>
    </w:p>
    <w:p w14:paraId="5521F037" w14:textId="77777777" w:rsidR="00E93966" w:rsidRPr="00596E24" w:rsidRDefault="00150141" w:rsidP="00F5285D">
      <w:pPr>
        <w:jc w:val="center"/>
        <w:rPr>
          <w:rFonts w:ascii="Times New Roman" w:hAnsi="Times New Roman" w:cs="Times New Roman"/>
          <w:u w:val="single"/>
        </w:rPr>
      </w:pPr>
      <w:r>
        <w:rPr>
          <w:noProof/>
        </w:rPr>
        <w:drawing>
          <wp:inline distT="0" distB="0" distL="0" distR="0" wp14:anchorId="5521F0BB" wp14:editId="5521F0BC">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21F038" w14:textId="77777777" w:rsidR="003A4FA2" w:rsidRDefault="003A4FA2" w:rsidP="00596E24">
      <w:pPr>
        <w:rPr>
          <w:rFonts w:ascii="Times New Roman" w:hAnsi="Times New Roman" w:cs="Times New Roman"/>
          <w:b/>
          <w:sz w:val="24"/>
          <w:szCs w:val="24"/>
          <w:u w:val="single"/>
        </w:rPr>
      </w:pPr>
    </w:p>
    <w:p w14:paraId="5521F039" w14:textId="77777777" w:rsidR="00C76B69" w:rsidRPr="00CA2317" w:rsidRDefault="00C76B69" w:rsidP="00596E24">
      <w:pPr>
        <w:rPr>
          <w:rFonts w:ascii="Times New Roman" w:hAnsi="Times New Roman" w:cs="Times New Roman"/>
          <w:b/>
          <w:sz w:val="24"/>
          <w:szCs w:val="24"/>
          <w:u w:val="single"/>
        </w:rPr>
      </w:pPr>
      <w:r w:rsidRPr="00CA2317">
        <w:rPr>
          <w:rFonts w:ascii="Times New Roman" w:hAnsi="Times New Roman" w:cs="Times New Roman"/>
          <w:b/>
          <w:sz w:val="24"/>
          <w:szCs w:val="24"/>
          <w:u w:val="single"/>
        </w:rPr>
        <w:t>Non-residential prescriptive programs</w:t>
      </w:r>
    </w:p>
    <w:p w14:paraId="5521F03A" w14:textId="77777777" w:rsidR="00BF7F69" w:rsidRDefault="00BF7F69" w:rsidP="00A15608">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Nonresidential prescriptive programs are similar to residential prescriptive programs in that they do not require a pre-installation contract and offer a fixed incentive amount for eligible measures.  Measures offered through prescriptive programs are evaluated based upon the typical application of that measure by program participants.  Measures that are eligible through the prescriptive program are not eligible for the otherwise all-inclusive site-specific program.  Prescriptive measures are generally limited to those that are low cost, offer relatively homogenous performance across the spectrum of likely applications and would not significantly benefit from a more customized approach.</w:t>
      </w:r>
    </w:p>
    <w:p w14:paraId="5521F03B" w14:textId="77777777" w:rsidR="003A4FA2" w:rsidRPr="00596E24" w:rsidRDefault="003A4FA2" w:rsidP="00A15608">
      <w:pPr>
        <w:spacing w:after="0" w:line="360" w:lineRule="auto"/>
        <w:ind w:firstLine="720"/>
        <w:jc w:val="both"/>
        <w:rPr>
          <w:rFonts w:ascii="Times New Roman" w:hAnsi="Times New Roman" w:cs="Times New Roman"/>
          <w:sz w:val="24"/>
          <w:szCs w:val="24"/>
        </w:rPr>
      </w:pPr>
    </w:p>
    <w:p w14:paraId="5521F03C" w14:textId="77777777" w:rsidR="00BF7F69" w:rsidRPr="00596E24" w:rsidRDefault="00BF7F69" w:rsidP="00596E24">
      <w:pPr>
        <w:rPr>
          <w:rFonts w:ascii="Times New Roman" w:hAnsi="Times New Roman" w:cs="Times New Roman"/>
          <w:sz w:val="24"/>
          <w:szCs w:val="24"/>
        </w:rPr>
      </w:pPr>
      <w:r w:rsidRPr="00596E24">
        <w:rPr>
          <w:rFonts w:ascii="Times New Roman" w:hAnsi="Times New Roman" w:cs="Times New Roman"/>
          <w:sz w:val="24"/>
          <w:szCs w:val="24"/>
        </w:rPr>
        <w:t xml:space="preserve">The </w:t>
      </w:r>
      <w:r w:rsidR="005647A4" w:rsidRPr="00596E24">
        <w:rPr>
          <w:rFonts w:ascii="Times New Roman" w:hAnsi="Times New Roman" w:cs="Times New Roman"/>
          <w:sz w:val="24"/>
          <w:szCs w:val="24"/>
        </w:rPr>
        <w:t>201</w:t>
      </w:r>
      <w:r w:rsidR="005647A4">
        <w:rPr>
          <w:rFonts w:ascii="Times New Roman" w:hAnsi="Times New Roman" w:cs="Times New Roman"/>
          <w:sz w:val="24"/>
          <w:szCs w:val="24"/>
        </w:rPr>
        <w:t>7</w:t>
      </w:r>
      <w:r w:rsidR="005647A4"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portfolio is expected to consist of </w:t>
      </w:r>
      <w:r w:rsidR="00E82365" w:rsidRPr="00596E24">
        <w:rPr>
          <w:rFonts w:ascii="Times New Roman" w:hAnsi="Times New Roman" w:cs="Times New Roman"/>
          <w:sz w:val="24"/>
          <w:szCs w:val="24"/>
        </w:rPr>
        <w:t>ten</w:t>
      </w:r>
      <w:r w:rsidR="00B569E9" w:rsidRPr="00596E24">
        <w:rPr>
          <w:rFonts w:ascii="Times New Roman" w:hAnsi="Times New Roman" w:cs="Times New Roman"/>
          <w:sz w:val="24"/>
          <w:szCs w:val="24"/>
        </w:rPr>
        <w:t xml:space="preserve"> </w:t>
      </w:r>
      <w:r w:rsidR="00CF59F0" w:rsidRPr="00596E24">
        <w:rPr>
          <w:rFonts w:ascii="Times New Roman" w:hAnsi="Times New Roman" w:cs="Times New Roman"/>
          <w:sz w:val="24"/>
          <w:szCs w:val="24"/>
        </w:rPr>
        <w:t>prescriptive programs</w:t>
      </w:r>
      <w:r w:rsidRPr="00596E24">
        <w:rPr>
          <w:rFonts w:ascii="Times New Roman" w:hAnsi="Times New Roman" w:cs="Times New Roman"/>
          <w:sz w:val="24"/>
          <w:szCs w:val="24"/>
        </w:rPr>
        <w:t xml:space="preserve"> listed below:  </w:t>
      </w:r>
    </w:p>
    <w:p w14:paraId="5521F03D"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EnergySmart Grocer</w:t>
      </w:r>
    </w:p>
    <w:p w14:paraId="5521F03E"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Food Service Equipment</w:t>
      </w:r>
    </w:p>
    <w:p w14:paraId="5521F03F"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Green Motors</w:t>
      </w:r>
    </w:p>
    <w:p w14:paraId="5521F040"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Motor Control HVAC (VFD)</w:t>
      </w:r>
    </w:p>
    <w:p w14:paraId="5521F041"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Non-residential interior lighting</w:t>
      </w:r>
    </w:p>
    <w:p w14:paraId="5521F042"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Non-residential exterior lighting</w:t>
      </w:r>
    </w:p>
    <w:p w14:paraId="5521F043"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Prescriptive Shell</w:t>
      </w:r>
    </w:p>
    <w:p w14:paraId="5521F044" w14:textId="77777777" w:rsidR="00BF7F69" w:rsidRPr="00596E24" w:rsidRDefault="00BF7F69"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lastRenderedPageBreak/>
        <w:t>AirGuardian</w:t>
      </w:r>
    </w:p>
    <w:p w14:paraId="5521F045" w14:textId="77777777" w:rsidR="00CF59F0" w:rsidRPr="00596E24" w:rsidRDefault="00CF59F0"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Small Business Direct Install/Audits</w:t>
      </w:r>
    </w:p>
    <w:p w14:paraId="5521F046" w14:textId="77777777" w:rsidR="00E82365" w:rsidRPr="00596E24" w:rsidRDefault="00E82365" w:rsidP="00596E24">
      <w:pPr>
        <w:pStyle w:val="ListParagraph"/>
        <w:numPr>
          <w:ilvl w:val="0"/>
          <w:numId w:val="15"/>
        </w:numPr>
        <w:rPr>
          <w:rFonts w:ascii="Times New Roman" w:hAnsi="Times New Roman" w:cs="Times New Roman"/>
          <w:sz w:val="24"/>
          <w:szCs w:val="24"/>
        </w:rPr>
      </w:pPr>
      <w:r w:rsidRPr="00596E24">
        <w:rPr>
          <w:rFonts w:ascii="Times New Roman" w:hAnsi="Times New Roman" w:cs="Times New Roman"/>
          <w:sz w:val="24"/>
          <w:szCs w:val="24"/>
        </w:rPr>
        <w:t>Fleet Heat</w:t>
      </w:r>
    </w:p>
    <w:p w14:paraId="5521F047" w14:textId="77777777" w:rsidR="00BF7F69" w:rsidRPr="00596E24" w:rsidRDefault="00CF59F0" w:rsidP="00A15608">
      <w:pPr>
        <w:spacing w:after="0" w:line="360" w:lineRule="auto"/>
        <w:ind w:firstLine="630"/>
        <w:jc w:val="both"/>
        <w:rPr>
          <w:rFonts w:ascii="Times New Roman" w:hAnsi="Times New Roman" w:cs="Times New Roman"/>
          <w:sz w:val="24"/>
          <w:szCs w:val="24"/>
        </w:rPr>
      </w:pPr>
      <w:r w:rsidRPr="00596E24">
        <w:rPr>
          <w:rFonts w:ascii="Times New Roman" w:hAnsi="Times New Roman" w:cs="Times New Roman"/>
          <w:sz w:val="24"/>
          <w:szCs w:val="24"/>
        </w:rPr>
        <w:t>Four</w:t>
      </w:r>
      <w:r w:rsidR="00BF7F69" w:rsidRPr="00596E24">
        <w:rPr>
          <w:rFonts w:ascii="Times New Roman" w:hAnsi="Times New Roman" w:cs="Times New Roman"/>
          <w:sz w:val="24"/>
          <w:szCs w:val="24"/>
        </w:rPr>
        <w:t xml:space="preserve"> of the programs (EnergySmart Grocer</w:t>
      </w:r>
      <w:r w:rsidRPr="00596E24">
        <w:rPr>
          <w:rFonts w:ascii="Times New Roman" w:hAnsi="Times New Roman" w:cs="Times New Roman"/>
          <w:sz w:val="24"/>
          <w:szCs w:val="24"/>
        </w:rPr>
        <w:t xml:space="preserve">, Air Guardian, Small Business Direct </w:t>
      </w:r>
      <w:r w:rsidR="00FD70E9" w:rsidRPr="00596E24">
        <w:rPr>
          <w:rFonts w:ascii="Times New Roman" w:hAnsi="Times New Roman" w:cs="Times New Roman"/>
          <w:sz w:val="24"/>
          <w:szCs w:val="24"/>
        </w:rPr>
        <w:t>Install</w:t>
      </w:r>
      <w:r w:rsidR="00BF7F69" w:rsidRPr="00596E24">
        <w:rPr>
          <w:rFonts w:ascii="Times New Roman" w:hAnsi="Times New Roman" w:cs="Times New Roman"/>
          <w:sz w:val="24"/>
          <w:szCs w:val="24"/>
        </w:rPr>
        <w:t xml:space="preserve"> and Green Motors) are offered to customers through third-party implementation staff (</w:t>
      </w:r>
      <w:r w:rsidRPr="00596E24">
        <w:rPr>
          <w:rFonts w:ascii="Times New Roman" w:hAnsi="Times New Roman" w:cs="Times New Roman"/>
          <w:sz w:val="24"/>
          <w:szCs w:val="24"/>
        </w:rPr>
        <w:t>ClearResult, Ensave, SBW</w:t>
      </w:r>
      <w:r w:rsidR="00FD70E9">
        <w:rPr>
          <w:rFonts w:ascii="Times New Roman" w:hAnsi="Times New Roman" w:cs="Times New Roman"/>
          <w:sz w:val="24"/>
          <w:szCs w:val="24"/>
        </w:rPr>
        <w:t xml:space="preserve"> Consulting, Inc.</w:t>
      </w:r>
      <w:r w:rsidR="00BF7F69" w:rsidRPr="00596E24">
        <w:rPr>
          <w:rFonts w:ascii="Times New Roman" w:hAnsi="Times New Roman" w:cs="Times New Roman"/>
          <w:sz w:val="24"/>
          <w:szCs w:val="24"/>
        </w:rPr>
        <w:t xml:space="preserve"> and Green Motors Practices Group respectively) while the other </w:t>
      </w:r>
      <w:r w:rsidRPr="00596E24">
        <w:rPr>
          <w:rFonts w:ascii="Times New Roman" w:hAnsi="Times New Roman" w:cs="Times New Roman"/>
          <w:sz w:val="24"/>
          <w:szCs w:val="24"/>
        </w:rPr>
        <w:t>seven</w:t>
      </w:r>
      <w:r w:rsidR="00BF7F69" w:rsidRPr="00596E24">
        <w:rPr>
          <w:rFonts w:ascii="Times New Roman" w:hAnsi="Times New Roman" w:cs="Times New Roman"/>
          <w:sz w:val="24"/>
          <w:szCs w:val="24"/>
        </w:rPr>
        <w:t xml:space="preserve"> programs are fielded by Avista DSM staff.  </w:t>
      </w:r>
    </w:p>
    <w:p w14:paraId="5521F048" w14:textId="77777777" w:rsidR="003A4FA2" w:rsidRPr="00D23DC4" w:rsidRDefault="00BF7F69" w:rsidP="003A4FA2">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Quantifiable non-energy benefits are included in the TRC calculation including, but not limited to, reductions in maintenance, water, and sewer and non-utility energy costs.  All assigned and allocated non-incentive utility costs have been incorporated into the cost-effectiveness calculation.</w:t>
      </w:r>
    </w:p>
    <w:p w14:paraId="5521F049" w14:textId="77777777" w:rsidR="00C76B69" w:rsidRPr="00EB1498" w:rsidRDefault="00C76B69" w:rsidP="00596E24">
      <w:pPr>
        <w:rPr>
          <w:rFonts w:ascii="Times New Roman" w:hAnsi="Times New Roman" w:cs="Times New Roman"/>
          <w:b/>
          <w:sz w:val="24"/>
          <w:szCs w:val="24"/>
          <w:u w:val="single"/>
        </w:rPr>
      </w:pPr>
      <w:r w:rsidRPr="00CA2317">
        <w:rPr>
          <w:rFonts w:ascii="Times New Roman" w:hAnsi="Times New Roman" w:cs="Times New Roman"/>
          <w:b/>
          <w:sz w:val="24"/>
          <w:szCs w:val="24"/>
          <w:u w:val="single"/>
        </w:rPr>
        <w:t xml:space="preserve">Figure </w:t>
      </w:r>
      <w:r w:rsidR="00CA2317" w:rsidRPr="00CA2317">
        <w:rPr>
          <w:rFonts w:ascii="Times New Roman" w:hAnsi="Times New Roman" w:cs="Times New Roman"/>
          <w:b/>
          <w:sz w:val="24"/>
          <w:szCs w:val="24"/>
          <w:u w:val="single"/>
        </w:rPr>
        <w:t>4</w:t>
      </w:r>
      <w:r w:rsidRPr="00CA2317">
        <w:rPr>
          <w:rFonts w:ascii="Times New Roman" w:hAnsi="Times New Roman" w:cs="Times New Roman"/>
          <w:b/>
          <w:sz w:val="24"/>
          <w:szCs w:val="24"/>
          <w:u w:val="single"/>
        </w:rPr>
        <w:t xml:space="preserve">:  </w:t>
      </w:r>
      <w:r w:rsidR="00FE1E59" w:rsidRPr="00CA2317">
        <w:rPr>
          <w:rFonts w:ascii="Times New Roman" w:hAnsi="Times New Roman" w:cs="Times New Roman"/>
          <w:b/>
          <w:sz w:val="24"/>
          <w:szCs w:val="24"/>
          <w:u w:val="single"/>
        </w:rPr>
        <w:t xml:space="preserve">WA </w:t>
      </w:r>
      <w:r w:rsidRPr="00CA2317">
        <w:rPr>
          <w:rFonts w:ascii="Times New Roman" w:hAnsi="Times New Roman" w:cs="Times New Roman"/>
          <w:b/>
          <w:sz w:val="24"/>
          <w:szCs w:val="24"/>
          <w:u w:val="single"/>
        </w:rPr>
        <w:t xml:space="preserve">Non-residential prescriptive </w:t>
      </w:r>
      <w:r w:rsidR="00FE1E59" w:rsidRPr="00CA2317">
        <w:rPr>
          <w:rFonts w:ascii="Times New Roman" w:hAnsi="Times New Roman" w:cs="Times New Roman"/>
          <w:b/>
          <w:sz w:val="24"/>
          <w:szCs w:val="24"/>
          <w:u w:val="single"/>
        </w:rPr>
        <w:t>programs cost-effectiveness</w:t>
      </w:r>
    </w:p>
    <w:p w14:paraId="5521F04A" w14:textId="77777777" w:rsidR="00D23DC4" w:rsidRPr="000174C3" w:rsidRDefault="00150141" w:rsidP="00F5285D">
      <w:pPr>
        <w:jc w:val="center"/>
        <w:rPr>
          <w:rFonts w:ascii="Times New Roman" w:hAnsi="Times New Roman" w:cs="Times New Roman"/>
        </w:rPr>
      </w:pPr>
      <w:r>
        <w:rPr>
          <w:noProof/>
        </w:rPr>
        <w:drawing>
          <wp:inline distT="0" distB="0" distL="0" distR="0" wp14:anchorId="5521F0BD" wp14:editId="5521F0BE">
            <wp:extent cx="5381625" cy="29813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21F04B" w14:textId="77777777" w:rsidR="00E64989" w:rsidRPr="00CA2317" w:rsidRDefault="00C76B69" w:rsidP="00596E24">
      <w:pPr>
        <w:rPr>
          <w:rFonts w:ascii="Times New Roman" w:hAnsi="Times New Roman" w:cs="Times New Roman"/>
          <w:b/>
          <w:sz w:val="24"/>
          <w:szCs w:val="24"/>
          <w:u w:val="single"/>
        </w:rPr>
      </w:pPr>
      <w:r w:rsidRPr="00CA2317">
        <w:rPr>
          <w:rFonts w:ascii="Times New Roman" w:hAnsi="Times New Roman" w:cs="Times New Roman"/>
          <w:b/>
          <w:sz w:val="24"/>
          <w:szCs w:val="24"/>
          <w:u w:val="single"/>
        </w:rPr>
        <w:t>Site-</w:t>
      </w:r>
      <w:r w:rsidR="004966B8" w:rsidRPr="00CA2317">
        <w:rPr>
          <w:rFonts w:ascii="Times New Roman" w:hAnsi="Times New Roman" w:cs="Times New Roman"/>
          <w:b/>
          <w:sz w:val="24"/>
          <w:szCs w:val="24"/>
          <w:u w:val="single"/>
        </w:rPr>
        <w:t>specific program</w:t>
      </w:r>
    </w:p>
    <w:p w14:paraId="5521F04C" w14:textId="77777777" w:rsidR="00BD5174" w:rsidRPr="00596E24" w:rsidRDefault="00BD5174" w:rsidP="003A4FA2">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Avista’s site-specific program has historically been one of the largest and frequently one of the more cost-effective programs.  Any measure with documentable and verifiable energy savings that is not otherwise covered by a prescriptive program is eligible for the site-specific program.  The all-encompassing nature of the program has led to the participation of a number of projects that would not otherwise have been incorporated within the portfolio.</w:t>
      </w:r>
    </w:p>
    <w:p w14:paraId="5521F04D" w14:textId="77777777" w:rsidR="00BD5174" w:rsidRPr="00596E24" w:rsidRDefault="000F670B" w:rsidP="003A4FA2">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lastRenderedPageBreak/>
        <w:t>For planning purposes</w:t>
      </w:r>
      <w:r w:rsidR="00B569E9" w:rsidRPr="00596E24">
        <w:rPr>
          <w:rFonts w:ascii="Times New Roman" w:hAnsi="Times New Roman" w:cs="Times New Roman"/>
          <w:sz w:val="24"/>
          <w:szCs w:val="24"/>
        </w:rPr>
        <w:t>,</w:t>
      </w:r>
      <w:r w:rsidRPr="00596E24">
        <w:rPr>
          <w:rFonts w:ascii="Times New Roman" w:hAnsi="Times New Roman" w:cs="Times New Roman"/>
          <w:sz w:val="24"/>
          <w:szCs w:val="24"/>
        </w:rPr>
        <w:t xml:space="preserve"> t</w:t>
      </w:r>
      <w:r w:rsidR="00BD5174" w:rsidRPr="00596E24">
        <w:rPr>
          <w:rFonts w:ascii="Times New Roman" w:hAnsi="Times New Roman" w:cs="Times New Roman"/>
          <w:sz w:val="24"/>
          <w:szCs w:val="24"/>
        </w:rPr>
        <w:t>he program cost-effectiveness calculations were based off of the structure of the proposed revisions to schedule 90 and 190.</w:t>
      </w:r>
      <w:r w:rsidRPr="00596E24">
        <w:rPr>
          <w:rFonts w:ascii="Times New Roman" w:hAnsi="Times New Roman" w:cs="Times New Roman"/>
          <w:sz w:val="24"/>
          <w:szCs w:val="24"/>
        </w:rPr>
        <w:t xml:space="preserve"> Estimated customer incremental cost per kWh and therm was calculated by taking the year to date </w:t>
      </w:r>
      <w:r w:rsidR="000D0C42" w:rsidRPr="00596E24">
        <w:rPr>
          <w:rFonts w:ascii="Times New Roman" w:hAnsi="Times New Roman" w:cs="Times New Roman"/>
          <w:sz w:val="24"/>
          <w:szCs w:val="24"/>
        </w:rPr>
        <w:t>201</w:t>
      </w:r>
      <w:r w:rsidR="000D0C42">
        <w:rPr>
          <w:rFonts w:ascii="Times New Roman" w:hAnsi="Times New Roman" w:cs="Times New Roman"/>
          <w:sz w:val="24"/>
          <w:szCs w:val="24"/>
        </w:rPr>
        <w:t>6</w:t>
      </w:r>
      <w:r w:rsidR="000D0C42" w:rsidRPr="00596E24">
        <w:rPr>
          <w:rFonts w:ascii="Times New Roman" w:hAnsi="Times New Roman" w:cs="Times New Roman"/>
          <w:sz w:val="24"/>
          <w:szCs w:val="24"/>
        </w:rPr>
        <w:t xml:space="preserve"> </w:t>
      </w:r>
      <w:r w:rsidRPr="00596E24">
        <w:rPr>
          <w:rFonts w:ascii="Times New Roman" w:hAnsi="Times New Roman" w:cs="Times New Roman"/>
          <w:sz w:val="24"/>
          <w:szCs w:val="24"/>
        </w:rPr>
        <w:t>non-conversion site specific projects with a simple payback less than 15 years</w:t>
      </w:r>
      <w:r w:rsidR="00917308" w:rsidRPr="00596E24">
        <w:rPr>
          <w:rFonts w:ascii="Times New Roman" w:hAnsi="Times New Roman" w:cs="Times New Roman"/>
          <w:sz w:val="24"/>
          <w:szCs w:val="24"/>
        </w:rPr>
        <w:t xml:space="preserve"> and weighting by </w:t>
      </w:r>
      <w:r w:rsidR="000D0C42">
        <w:rPr>
          <w:rFonts w:ascii="Times New Roman" w:hAnsi="Times New Roman" w:cs="Times New Roman"/>
          <w:sz w:val="24"/>
          <w:szCs w:val="24"/>
        </w:rPr>
        <w:t>value of avoided costs.</w:t>
      </w:r>
    </w:p>
    <w:p w14:paraId="5521F04E" w14:textId="77777777" w:rsidR="00C81F1C" w:rsidRPr="00E41ADC" w:rsidRDefault="00C901C4" w:rsidP="00624E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w:t>
      </w:r>
      <w:r w:rsidR="0008599E" w:rsidRPr="00596E24">
        <w:rPr>
          <w:rFonts w:ascii="Times New Roman" w:hAnsi="Times New Roman" w:cs="Times New Roman"/>
          <w:sz w:val="24"/>
          <w:szCs w:val="24"/>
        </w:rPr>
        <w:t xml:space="preserve">ompany does expect some site specific conversion projects to occur in </w:t>
      </w:r>
      <w:r w:rsidR="000D0C42" w:rsidRPr="00596E24">
        <w:rPr>
          <w:rFonts w:ascii="Times New Roman" w:hAnsi="Times New Roman" w:cs="Times New Roman"/>
          <w:sz w:val="24"/>
          <w:szCs w:val="24"/>
        </w:rPr>
        <w:t>201</w:t>
      </w:r>
      <w:r w:rsidR="000D0C42">
        <w:rPr>
          <w:rFonts w:ascii="Times New Roman" w:hAnsi="Times New Roman" w:cs="Times New Roman"/>
          <w:sz w:val="24"/>
          <w:szCs w:val="24"/>
        </w:rPr>
        <w:t>7</w:t>
      </w:r>
      <w:r w:rsidR="0008599E" w:rsidRPr="00596E24">
        <w:rPr>
          <w:rFonts w:ascii="Times New Roman" w:hAnsi="Times New Roman" w:cs="Times New Roman"/>
          <w:sz w:val="24"/>
          <w:szCs w:val="24"/>
        </w:rPr>
        <w:t>, however the size and scope of those projects are very difficult to estimate</w:t>
      </w:r>
      <w:r w:rsidR="00B569E9" w:rsidRPr="00596E24">
        <w:rPr>
          <w:rFonts w:ascii="Times New Roman" w:hAnsi="Times New Roman" w:cs="Times New Roman"/>
          <w:sz w:val="24"/>
          <w:szCs w:val="24"/>
        </w:rPr>
        <w:t>,</w:t>
      </w:r>
      <w:r w:rsidR="0008599E" w:rsidRPr="00596E24">
        <w:rPr>
          <w:rFonts w:ascii="Times New Roman" w:hAnsi="Times New Roman" w:cs="Times New Roman"/>
          <w:sz w:val="24"/>
          <w:szCs w:val="24"/>
        </w:rPr>
        <w:t xml:space="preserve"> and so actual estimates have not been included.</w:t>
      </w:r>
    </w:p>
    <w:p w14:paraId="5521F04F" w14:textId="77777777" w:rsidR="00C76B69" w:rsidRPr="00EB1498" w:rsidRDefault="00C76B69" w:rsidP="00596E24">
      <w:pPr>
        <w:rPr>
          <w:rFonts w:ascii="Times New Roman" w:hAnsi="Times New Roman" w:cs="Times New Roman"/>
          <w:b/>
          <w:sz w:val="24"/>
          <w:szCs w:val="24"/>
          <w:u w:val="single"/>
        </w:rPr>
      </w:pPr>
      <w:r w:rsidRPr="00EB1498">
        <w:rPr>
          <w:rFonts w:ascii="Times New Roman" w:hAnsi="Times New Roman" w:cs="Times New Roman"/>
          <w:b/>
          <w:sz w:val="24"/>
          <w:szCs w:val="24"/>
          <w:u w:val="single"/>
        </w:rPr>
        <w:t xml:space="preserve">Figure </w:t>
      </w:r>
      <w:r w:rsidR="000B70A2">
        <w:rPr>
          <w:rFonts w:ascii="Times New Roman" w:hAnsi="Times New Roman" w:cs="Times New Roman"/>
          <w:b/>
          <w:sz w:val="24"/>
          <w:szCs w:val="24"/>
          <w:u w:val="single"/>
        </w:rPr>
        <w:t>5</w:t>
      </w:r>
      <w:r w:rsidRPr="00EB1498">
        <w:rPr>
          <w:rFonts w:ascii="Times New Roman" w:hAnsi="Times New Roman" w:cs="Times New Roman"/>
          <w:b/>
          <w:sz w:val="24"/>
          <w:szCs w:val="24"/>
          <w:u w:val="single"/>
        </w:rPr>
        <w:t xml:space="preserve">:  Site-Specific </w:t>
      </w:r>
      <w:r w:rsidR="004966B8" w:rsidRPr="00EB1498">
        <w:rPr>
          <w:rFonts w:ascii="Times New Roman" w:hAnsi="Times New Roman" w:cs="Times New Roman"/>
          <w:b/>
          <w:sz w:val="24"/>
          <w:szCs w:val="24"/>
          <w:u w:val="single"/>
        </w:rPr>
        <w:t>p</w:t>
      </w:r>
      <w:r w:rsidRPr="00EB1498">
        <w:rPr>
          <w:rFonts w:ascii="Times New Roman" w:hAnsi="Times New Roman" w:cs="Times New Roman"/>
          <w:b/>
          <w:sz w:val="24"/>
          <w:szCs w:val="24"/>
          <w:u w:val="single"/>
        </w:rPr>
        <w:t xml:space="preserve">rogram </w:t>
      </w:r>
      <w:r w:rsidR="0008599E" w:rsidRPr="00EB1498">
        <w:rPr>
          <w:rFonts w:ascii="Times New Roman" w:hAnsi="Times New Roman" w:cs="Times New Roman"/>
          <w:b/>
          <w:sz w:val="24"/>
          <w:szCs w:val="24"/>
          <w:u w:val="single"/>
        </w:rPr>
        <w:t>WA/ID Cost-effectiveness</w:t>
      </w:r>
    </w:p>
    <w:p w14:paraId="5521F050" w14:textId="77777777" w:rsidR="00E64989" w:rsidRPr="00596E24" w:rsidRDefault="00C901C4" w:rsidP="00F5285D">
      <w:pPr>
        <w:jc w:val="center"/>
        <w:rPr>
          <w:rFonts w:ascii="Times New Roman" w:hAnsi="Times New Roman" w:cs="Times New Roman"/>
        </w:rPr>
      </w:pPr>
      <w:r>
        <w:rPr>
          <w:noProof/>
        </w:rPr>
        <w:drawing>
          <wp:inline distT="0" distB="0" distL="0" distR="0" wp14:anchorId="5521F0BF" wp14:editId="5521F0C0">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21F051" w14:textId="77777777" w:rsidR="003A4FA2" w:rsidRDefault="003A4FA2" w:rsidP="00C901C4">
      <w:pPr>
        <w:jc w:val="center"/>
        <w:rPr>
          <w:rFonts w:ascii="Times New Roman" w:hAnsi="Times New Roman" w:cs="Times New Roman"/>
          <w:b/>
          <w:sz w:val="24"/>
          <w:szCs w:val="24"/>
          <w:u w:val="single"/>
        </w:rPr>
      </w:pPr>
    </w:p>
    <w:p w14:paraId="5521F052" w14:textId="77777777" w:rsidR="003A4FA2" w:rsidRDefault="003A4FA2" w:rsidP="00C901C4">
      <w:pPr>
        <w:jc w:val="center"/>
        <w:rPr>
          <w:rFonts w:ascii="Times New Roman" w:hAnsi="Times New Roman" w:cs="Times New Roman"/>
          <w:b/>
          <w:sz w:val="24"/>
          <w:szCs w:val="24"/>
          <w:u w:val="single"/>
        </w:rPr>
      </w:pPr>
    </w:p>
    <w:p w14:paraId="5521F053" w14:textId="77777777" w:rsidR="003A4FA2" w:rsidRDefault="003A4FA2" w:rsidP="00C901C4">
      <w:pPr>
        <w:jc w:val="center"/>
        <w:rPr>
          <w:rFonts w:ascii="Times New Roman" w:hAnsi="Times New Roman" w:cs="Times New Roman"/>
          <w:b/>
          <w:sz w:val="24"/>
          <w:szCs w:val="24"/>
          <w:u w:val="single"/>
        </w:rPr>
      </w:pPr>
    </w:p>
    <w:p w14:paraId="5521F054" w14:textId="77777777" w:rsidR="00D239D6" w:rsidRDefault="00D239D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521F055" w14:textId="77777777" w:rsidR="00D60834" w:rsidRPr="003A4FA2" w:rsidRDefault="003A4FA2" w:rsidP="003A4FA2">
      <w:pPr>
        <w:pStyle w:val="ListParagraph"/>
        <w:numPr>
          <w:ilvl w:val="0"/>
          <w:numId w:val="2"/>
        </w:numPr>
        <w:ind w:left="0" w:firstLine="0"/>
        <w:jc w:val="center"/>
        <w:rPr>
          <w:rFonts w:ascii="Times New Roman" w:hAnsi="Times New Roman" w:cs="Times New Roman"/>
          <w:b/>
          <w:sz w:val="24"/>
          <w:szCs w:val="24"/>
        </w:rPr>
      </w:pPr>
      <w:r w:rsidRPr="003A4FA2">
        <w:rPr>
          <w:rFonts w:ascii="Times New Roman" w:hAnsi="Times New Roman" w:cs="Times New Roman"/>
          <w:b/>
          <w:sz w:val="24"/>
          <w:szCs w:val="24"/>
          <w:u w:val="single"/>
        </w:rPr>
        <w:lastRenderedPageBreak/>
        <w:t>SECTOR COST-EFFECTIVENESS PROJECTIONS AND RELATED METRICS</w:t>
      </w:r>
    </w:p>
    <w:p w14:paraId="5521F056" w14:textId="77777777" w:rsidR="00647AD2" w:rsidRDefault="00647AD2" w:rsidP="00596E24">
      <w:pPr>
        <w:rPr>
          <w:rFonts w:ascii="Times New Roman" w:hAnsi="Times New Roman" w:cs="Times New Roman"/>
          <w:b/>
          <w:sz w:val="24"/>
          <w:szCs w:val="24"/>
          <w:u w:val="single"/>
        </w:rPr>
      </w:pPr>
    </w:p>
    <w:p w14:paraId="5521F057" w14:textId="77777777" w:rsidR="00B52ED4" w:rsidRPr="00533D34" w:rsidRDefault="00D94912" w:rsidP="00596E24">
      <w:pPr>
        <w:rPr>
          <w:rFonts w:ascii="Times New Roman" w:hAnsi="Times New Roman" w:cs="Times New Roman"/>
          <w:b/>
          <w:u w:val="single"/>
        </w:rPr>
      </w:pPr>
      <w:r w:rsidRPr="00533D34">
        <w:rPr>
          <w:rFonts w:ascii="Times New Roman" w:hAnsi="Times New Roman" w:cs="Times New Roman"/>
          <w:b/>
          <w:sz w:val="24"/>
          <w:szCs w:val="24"/>
          <w:u w:val="single"/>
        </w:rPr>
        <w:t>Figure</w:t>
      </w:r>
      <w:r w:rsidR="00F666E1" w:rsidRPr="00533D34">
        <w:rPr>
          <w:rFonts w:ascii="Times New Roman" w:hAnsi="Times New Roman" w:cs="Times New Roman"/>
          <w:b/>
          <w:sz w:val="24"/>
          <w:szCs w:val="24"/>
          <w:u w:val="single"/>
        </w:rPr>
        <w:t xml:space="preserve"> </w:t>
      </w:r>
      <w:r w:rsidR="000B70A2">
        <w:rPr>
          <w:rFonts w:ascii="Times New Roman" w:hAnsi="Times New Roman" w:cs="Times New Roman"/>
          <w:b/>
          <w:sz w:val="24"/>
          <w:szCs w:val="24"/>
          <w:u w:val="single"/>
        </w:rPr>
        <w:t>6</w:t>
      </w:r>
      <w:r w:rsidR="00F666E1" w:rsidRPr="00533D34">
        <w:rPr>
          <w:rFonts w:ascii="Times New Roman" w:hAnsi="Times New Roman" w:cs="Times New Roman"/>
          <w:b/>
          <w:sz w:val="24"/>
          <w:szCs w:val="24"/>
          <w:u w:val="single"/>
        </w:rPr>
        <w:t xml:space="preserve">:  </w:t>
      </w:r>
      <w:r w:rsidR="00D60834" w:rsidRPr="00533D34">
        <w:rPr>
          <w:rFonts w:ascii="Times New Roman" w:hAnsi="Times New Roman" w:cs="Times New Roman"/>
          <w:b/>
          <w:sz w:val="24"/>
          <w:szCs w:val="24"/>
          <w:u w:val="single"/>
        </w:rPr>
        <w:t xml:space="preserve">Sector </w:t>
      </w:r>
      <w:r w:rsidR="00F666E1" w:rsidRPr="00533D34">
        <w:rPr>
          <w:rFonts w:ascii="Times New Roman" w:hAnsi="Times New Roman" w:cs="Times New Roman"/>
          <w:b/>
          <w:sz w:val="24"/>
          <w:szCs w:val="24"/>
          <w:u w:val="single"/>
        </w:rPr>
        <w:t xml:space="preserve">portfolio </w:t>
      </w:r>
      <w:r w:rsidR="00C31B4D" w:rsidRPr="00533D34">
        <w:rPr>
          <w:rFonts w:ascii="Times New Roman" w:hAnsi="Times New Roman" w:cs="Times New Roman"/>
          <w:b/>
          <w:sz w:val="24"/>
          <w:szCs w:val="24"/>
          <w:u w:val="single"/>
        </w:rPr>
        <w:t>cost-</w:t>
      </w:r>
      <w:r w:rsidR="005564DF" w:rsidRPr="00533D34">
        <w:rPr>
          <w:rFonts w:ascii="Times New Roman" w:hAnsi="Times New Roman" w:cs="Times New Roman"/>
          <w:b/>
          <w:sz w:val="24"/>
          <w:szCs w:val="24"/>
          <w:u w:val="single"/>
        </w:rPr>
        <w:t>effectiveness</w:t>
      </w:r>
    </w:p>
    <w:p w14:paraId="5521F058" w14:textId="77777777" w:rsidR="005564DF" w:rsidRDefault="00C901C4" w:rsidP="00F5285D">
      <w:pPr>
        <w:jc w:val="center"/>
        <w:rPr>
          <w:rFonts w:ascii="Times New Roman" w:hAnsi="Times New Roman" w:cs="Times New Roman"/>
        </w:rPr>
      </w:pPr>
      <w:r>
        <w:rPr>
          <w:noProof/>
        </w:rPr>
        <w:drawing>
          <wp:inline distT="0" distB="0" distL="0" distR="0" wp14:anchorId="5521F0C1" wp14:editId="5521F0C2">
            <wp:extent cx="4460682" cy="2727297"/>
            <wp:effectExtent l="0" t="0" r="16510"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21F059" w14:textId="77777777" w:rsidR="00624EEA" w:rsidRDefault="00624EEA" w:rsidP="00533D34">
      <w:pPr>
        <w:rPr>
          <w:rFonts w:ascii="Times New Roman" w:hAnsi="Times New Roman" w:cs="Times New Roman"/>
          <w:b/>
          <w:sz w:val="24"/>
          <w:szCs w:val="24"/>
          <w:u w:val="single"/>
        </w:rPr>
      </w:pPr>
    </w:p>
    <w:p w14:paraId="5521F05A" w14:textId="77777777" w:rsidR="00624EEA" w:rsidRDefault="00624EEA" w:rsidP="00533D34">
      <w:pPr>
        <w:rPr>
          <w:rFonts w:ascii="Times New Roman" w:hAnsi="Times New Roman" w:cs="Times New Roman"/>
          <w:b/>
          <w:sz w:val="24"/>
          <w:szCs w:val="24"/>
          <w:u w:val="single"/>
        </w:rPr>
      </w:pPr>
    </w:p>
    <w:p w14:paraId="5521F05B" w14:textId="77777777" w:rsidR="00533D34" w:rsidRPr="00533D34" w:rsidRDefault="00533D34" w:rsidP="00533D34">
      <w:pPr>
        <w:rPr>
          <w:rFonts w:ascii="Times New Roman" w:hAnsi="Times New Roman" w:cs="Times New Roman"/>
          <w:b/>
          <w:u w:val="single"/>
        </w:rPr>
      </w:pPr>
      <w:r w:rsidRPr="00533D34">
        <w:rPr>
          <w:rFonts w:ascii="Times New Roman" w:hAnsi="Times New Roman" w:cs="Times New Roman"/>
          <w:b/>
          <w:sz w:val="24"/>
          <w:szCs w:val="24"/>
          <w:u w:val="single"/>
        </w:rPr>
        <w:t xml:space="preserve">Figure </w:t>
      </w:r>
      <w:r w:rsidR="000B70A2">
        <w:rPr>
          <w:rFonts w:ascii="Times New Roman" w:hAnsi="Times New Roman" w:cs="Times New Roman"/>
          <w:b/>
          <w:sz w:val="24"/>
          <w:szCs w:val="24"/>
          <w:u w:val="single"/>
        </w:rPr>
        <w:t>7</w:t>
      </w:r>
      <w:r w:rsidRPr="00533D34">
        <w:rPr>
          <w:rFonts w:ascii="Times New Roman" w:hAnsi="Times New Roman" w:cs="Times New Roman"/>
          <w:b/>
          <w:sz w:val="24"/>
          <w:szCs w:val="24"/>
          <w:u w:val="single"/>
        </w:rPr>
        <w:t xml:space="preserve">:  Sector portfolio </w:t>
      </w:r>
      <w:r>
        <w:rPr>
          <w:rFonts w:ascii="Times New Roman" w:hAnsi="Times New Roman" w:cs="Times New Roman"/>
          <w:b/>
          <w:sz w:val="24"/>
          <w:szCs w:val="24"/>
          <w:u w:val="single"/>
        </w:rPr>
        <w:t>savings</w:t>
      </w:r>
    </w:p>
    <w:p w14:paraId="5521F05C" w14:textId="77777777" w:rsidR="00B52ED4" w:rsidRDefault="00C901C4" w:rsidP="00533D34">
      <w:pPr>
        <w:jc w:val="center"/>
        <w:rPr>
          <w:rFonts w:ascii="Times New Roman" w:hAnsi="Times New Roman" w:cs="Times New Roman"/>
        </w:rPr>
      </w:pPr>
      <w:r>
        <w:rPr>
          <w:noProof/>
        </w:rPr>
        <w:drawing>
          <wp:inline distT="0" distB="0" distL="0" distR="0" wp14:anchorId="5521F0C3" wp14:editId="5521F0C4">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21F05D" w14:textId="77777777" w:rsidR="00533D34" w:rsidRDefault="00533D34" w:rsidP="00533D34">
      <w:pPr>
        <w:jc w:val="center"/>
        <w:rPr>
          <w:rFonts w:ascii="Times New Roman" w:hAnsi="Times New Roman" w:cs="Times New Roman"/>
        </w:rPr>
      </w:pPr>
    </w:p>
    <w:p w14:paraId="5521F05E" w14:textId="77777777" w:rsidR="00533D34" w:rsidRPr="00533D34" w:rsidRDefault="00533D34" w:rsidP="00533D34">
      <w:pPr>
        <w:rPr>
          <w:rFonts w:ascii="Times New Roman" w:hAnsi="Times New Roman" w:cs="Times New Roman"/>
          <w:b/>
          <w:u w:val="single"/>
        </w:rPr>
      </w:pPr>
      <w:r w:rsidRPr="00533D34">
        <w:rPr>
          <w:rFonts w:ascii="Times New Roman" w:hAnsi="Times New Roman" w:cs="Times New Roman"/>
          <w:b/>
          <w:sz w:val="24"/>
          <w:szCs w:val="24"/>
          <w:u w:val="single"/>
        </w:rPr>
        <w:lastRenderedPageBreak/>
        <w:t xml:space="preserve">Figure </w:t>
      </w:r>
      <w:r>
        <w:rPr>
          <w:rFonts w:ascii="Times New Roman" w:hAnsi="Times New Roman" w:cs="Times New Roman"/>
          <w:b/>
          <w:sz w:val="24"/>
          <w:szCs w:val="24"/>
          <w:u w:val="single"/>
        </w:rPr>
        <w:t>8</w:t>
      </w:r>
      <w:r w:rsidRPr="00533D34">
        <w:rPr>
          <w:rFonts w:ascii="Times New Roman" w:hAnsi="Times New Roman" w:cs="Times New Roman"/>
          <w:b/>
          <w:sz w:val="24"/>
          <w:szCs w:val="24"/>
          <w:u w:val="single"/>
        </w:rPr>
        <w:t xml:space="preserve">:  Sector portfolio </w:t>
      </w:r>
      <w:r>
        <w:rPr>
          <w:rFonts w:ascii="Times New Roman" w:hAnsi="Times New Roman" w:cs="Times New Roman"/>
          <w:b/>
          <w:sz w:val="24"/>
          <w:szCs w:val="24"/>
          <w:u w:val="single"/>
        </w:rPr>
        <w:t>budget</w:t>
      </w:r>
    </w:p>
    <w:p w14:paraId="5521F05F" w14:textId="77777777" w:rsidR="00533D34" w:rsidRPr="00596E24" w:rsidRDefault="00C901C4" w:rsidP="00533D34">
      <w:pPr>
        <w:jc w:val="center"/>
        <w:rPr>
          <w:rFonts w:ascii="Times New Roman" w:hAnsi="Times New Roman" w:cs="Times New Roman"/>
        </w:rPr>
      </w:pPr>
      <w:r>
        <w:rPr>
          <w:noProof/>
        </w:rPr>
        <w:drawing>
          <wp:inline distT="0" distB="0" distL="0" distR="0" wp14:anchorId="5521F0C5" wp14:editId="5521F0C6">
            <wp:extent cx="4852988" cy="3228976"/>
            <wp:effectExtent l="0" t="0" r="508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21F060" w14:textId="77777777" w:rsidR="00624EEA" w:rsidRDefault="00624EEA" w:rsidP="00596E24">
      <w:pPr>
        <w:rPr>
          <w:rFonts w:ascii="Times New Roman" w:hAnsi="Times New Roman" w:cs="Times New Roman"/>
          <w:b/>
          <w:sz w:val="24"/>
          <w:szCs w:val="24"/>
          <w:u w:val="single"/>
        </w:rPr>
      </w:pPr>
    </w:p>
    <w:p w14:paraId="5521F061" w14:textId="77777777" w:rsidR="00624EEA" w:rsidRDefault="00624EEA" w:rsidP="00596E24">
      <w:pPr>
        <w:rPr>
          <w:rFonts w:ascii="Times New Roman" w:hAnsi="Times New Roman" w:cs="Times New Roman"/>
          <w:b/>
          <w:sz w:val="24"/>
          <w:szCs w:val="24"/>
          <w:u w:val="single"/>
        </w:rPr>
      </w:pPr>
    </w:p>
    <w:p w14:paraId="5521F062" w14:textId="77777777" w:rsidR="00624EEA" w:rsidRDefault="00624EEA" w:rsidP="00596E24">
      <w:pPr>
        <w:rPr>
          <w:rFonts w:ascii="Times New Roman" w:hAnsi="Times New Roman" w:cs="Times New Roman"/>
          <w:b/>
          <w:sz w:val="24"/>
          <w:szCs w:val="24"/>
          <w:u w:val="single"/>
        </w:rPr>
      </w:pPr>
    </w:p>
    <w:p w14:paraId="5521F063" w14:textId="77777777" w:rsidR="00656666" w:rsidRPr="00647AD2" w:rsidRDefault="00647AD2" w:rsidP="00647AD2">
      <w:pPr>
        <w:pStyle w:val="ListParagraph"/>
        <w:numPr>
          <w:ilvl w:val="0"/>
          <w:numId w:val="2"/>
        </w:numPr>
        <w:ind w:left="0" w:firstLine="0"/>
        <w:jc w:val="center"/>
        <w:rPr>
          <w:rFonts w:ascii="Times New Roman" w:hAnsi="Times New Roman" w:cs="Times New Roman"/>
          <w:b/>
          <w:sz w:val="24"/>
          <w:szCs w:val="24"/>
          <w:u w:val="single"/>
        </w:rPr>
      </w:pPr>
      <w:r w:rsidRPr="00647AD2">
        <w:rPr>
          <w:rFonts w:ascii="Times New Roman" w:hAnsi="Times New Roman" w:cs="Times New Roman"/>
          <w:b/>
          <w:sz w:val="24"/>
          <w:szCs w:val="24"/>
          <w:u w:val="single"/>
        </w:rPr>
        <w:t>WASHINGTON I-937 ACQUISITION TARGET</w:t>
      </w:r>
    </w:p>
    <w:p w14:paraId="5521F064" w14:textId="77777777" w:rsidR="00647AD2" w:rsidRDefault="00647AD2" w:rsidP="00624EEA">
      <w:pPr>
        <w:spacing w:after="0" w:line="360" w:lineRule="auto"/>
        <w:ind w:firstLine="720"/>
        <w:jc w:val="both"/>
        <w:rPr>
          <w:rFonts w:ascii="Times New Roman" w:hAnsi="Times New Roman" w:cs="Times New Roman"/>
          <w:sz w:val="24"/>
          <w:szCs w:val="24"/>
        </w:rPr>
      </w:pPr>
    </w:p>
    <w:p w14:paraId="5521F065" w14:textId="77777777" w:rsidR="00101070" w:rsidRDefault="00064A02" w:rsidP="00624EEA">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w:t>
      </w:r>
      <w:r w:rsidR="00D94912" w:rsidRPr="00596E24">
        <w:rPr>
          <w:rFonts w:ascii="Times New Roman" w:hAnsi="Times New Roman" w:cs="Times New Roman"/>
          <w:sz w:val="24"/>
          <w:szCs w:val="24"/>
        </w:rPr>
        <w:t>2016/2017</w:t>
      </w:r>
      <w:r w:rsidRPr="00596E24">
        <w:rPr>
          <w:rFonts w:ascii="Times New Roman" w:hAnsi="Times New Roman" w:cs="Times New Roman"/>
          <w:sz w:val="24"/>
          <w:szCs w:val="24"/>
        </w:rPr>
        <w:t xml:space="preserve"> Washington I-937 </w:t>
      </w:r>
      <w:r w:rsidR="003733C0" w:rsidRPr="00596E24">
        <w:rPr>
          <w:rFonts w:ascii="Times New Roman" w:hAnsi="Times New Roman" w:cs="Times New Roman"/>
          <w:sz w:val="24"/>
          <w:szCs w:val="24"/>
        </w:rPr>
        <w:t xml:space="preserve">local DSM acquisition target for the biennium is expected to be </w:t>
      </w:r>
      <w:r w:rsidR="00C10ACF">
        <w:rPr>
          <w:rFonts w:ascii="Times New Roman" w:hAnsi="Times New Roman" w:cs="Times New Roman"/>
          <w:sz w:val="24"/>
          <w:szCs w:val="24"/>
        </w:rPr>
        <w:t>76,267 MWh</w:t>
      </w:r>
      <w:r w:rsidR="003733C0" w:rsidRPr="00596E24">
        <w:rPr>
          <w:rFonts w:ascii="Times New Roman" w:hAnsi="Times New Roman" w:cs="Times New Roman"/>
          <w:sz w:val="24"/>
          <w:szCs w:val="24"/>
        </w:rPr>
        <w:t xml:space="preserve"> for 2016/2017. </w:t>
      </w:r>
      <w:r w:rsidR="00852AF0">
        <w:rPr>
          <w:rFonts w:ascii="Times New Roman" w:hAnsi="Times New Roman" w:cs="Times New Roman"/>
          <w:sz w:val="24"/>
          <w:szCs w:val="24"/>
        </w:rPr>
        <w:t>To fulfill</w:t>
      </w:r>
      <w:r w:rsidR="000F585C">
        <w:rPr>
          <w:rFonts w:ascii="Times New Roman" w:hAnsi="Times New Roman" w:cs="Times New Roman"/>
          <w:sz w:val="24"/>
          <w:szCs w:val="24"/>
        </w:rPr>
        <w:t xml:space="preserve"> the </w:t>
      </w:r>
      <w:r w:rsidR="00852AF0">
        <w:rPr>
          <w:rFonts w:ascii="Times New Roman" w:hAnsi="Times New Roman" w:cs="Times New Roman"/>
          <w:sz w:val="24"/>
          <w:szCs w:val="24"/>
        </w:rPr>
        <w:t>total biennium conservation target the</w:t>
      </w:r>
      <w:r w:rsidR="003733C0" w:rsidRPr="00596E24">
        <w:rPr>
          <w:rFonts w:ascii="Times New Roman" w:hAnsi="Times New Roman" w:cs="Times New Roman"/>
          <w:sz w:val="24"/>
          <w:szCs w:val="24"/>
        </w:rPr>
        <w:t xml:space="preserve"> </w:t>
      </w:r>
      <w:r w:rsidR="008C1F13" w:rsidRPr="00596E24">
        <w:rPr>
          <w:rFonts w:ascii="Times New Roman" w:hAnsi="Times New Roman" w:cs="Times New Roman"/>
          <w:sz w:val="24"/>
          <w:szCs w:val="24"/>
        </w:rPr>
        <w:t>201</w:t>
      </w:r>
      <w:r w:rsidR="008C1F13">
        <w:rPr>
          <w:rFonts w:ascii="Times New Roman" w:hAnsi="Times New Roman" w:cs="Times New Roman"/>
          <w:sz w:val="24"/>
          <w:szCs w:val="24"/>
        </w:rPr>
        <w:t>7</w:t>
      </w:r>
      <w:r w:rsidR="008C1F13" w:rsidRPr="00596E24">
        <w:rPr>
          <w:rFonts w:ascii="Times New Roman" w:hAnsi="Times New Roman" w:cs="Times New Roman"/>
          <w:sz w:val="24"/>
          <w:szCs w:val="24"/>
        </w:rPr>
        <w:t xml:space="preserve"> </w:t>
      </w:r>
      <w:r w:rsidR="003733C0" w:rsidRPr="00596E24">
        <w:rPr>
          <w:rFonts w:ascii="Times New Roman" w:hAnsi="Times New Roman" w:cs="Times New Roman"/>
          <w:sz w:val="24"/>
          <w:szCs w:val="24"/>
        </w:rPr>
        <w:t xml:space="preserve">business plan’s expected eligible acquisition is </w:t>
      </w:r>
      <w:r w:rsidR="00C10ACF">
        <w:rPr>
          <w:rFonts w:ascii="Times New Roman" w:hAnsi="Times New Roman" w:cs="Times New Roman"/>
          <w:sz w:val="24"/>
          <w:szCs w:val="24"/>
        </w:rPr>
        <w:t>33,124 MWh</w:t>
      </w:r>
      <w:r w:rsidR="003733C0" w:rsidRPr="00596E24">
        <w:rPr>
          <w:rFonts w:ascii="Times New Roman" w:hAnsi="Times New Roman" w:cs="Times New Roman"/>
          <w:sz w:val="24"/>
          <w:szCs w:val="24"/>
        </w:rPr>
        <w:t>.</w:t>
      </w:r>
    </w:p>
    <w:p w14:paraId="5521F066" w14:textId="77777777" w:rsidR="00647AD2" w:rsidRDefault="00647AD2" w:rsidP="00596E24">
      <w:pPr>
        <w:rPr>
          <w:rFonts w:ascii="Times New Roman" w:hAnsi="Times New Roman" w:cs="Times New Roman"/>
          <w:b/>
          <w:sz w:val="24"/>
          <w:szCs w:val="24"/>
          <w:u w:val="single"/>
        </w:rPr>
      </w:pPr>
    </w:p>
    <w:p w14:paraId="5521F067" w14:textId="77777777" w:rsidR="00647AD2" w:rsidRDefault="00647AD2" w:rsidP="00596E24">
      <w:pPr>
        <w:rPr>
          <w:rFonts w:ascii="Times New Roman" w:hAnsi="Times New Roman" w:cs="Times New Roman"/>
          <w:b/>
          <w:sz w:val="24"/>
          <w:szCs w:val="24"/>
          <w:u w:val="single"/>
        </w:rPr>
      </w:pPr>
    </w:p>
    <w:p w14:paraId="5521F068" w14:textId="77777777" w:rsidR="00647AD2" w:rsidRDefault="00647AD2" w:rsidP="00596E24">
      <w:pPr>
        <w:rPr>
          <w:rFonts w:ascii="Times New Roman" w:hAnsi="Times New Roman" w:cs="Times New Roman"/>
          <w:b/>
          <w:sz w:val="24"/>
          <w:szCs w:val="24"/>
          <w:u w:val="single"/>
        </w:rPr>
      </w:pPr>
    </w:p>
    <w:p w14:paraId="5521F069" w14:textId="77777777" w:rsidR="00647AD2" w:rsidRDefault="00647AD2" w:rsidP="00596E24">
      <w:pPr>
        <w:rPr>
          <w:rFonts w:ascii="Times New Roman" w:hAnsi="Times New Roman" w:cs="Times New Roman"/>
          <w:b/>
          <w:sz w:val="24"/>
          <w:szCs w:val="24"/>
          <w:u w:val="single"/>
        </w:rPr>
      </w:pPr>
    </w:p>
    <w:p w14:paraId="5521F06A" w14:textId="77777777" w:rsidR="00647AD2" w:rsidRDefault="00647AD2" w:rsidP="00596E24">
      <w:pPr>
        <w:rPr>
          <w:rFonts w:ascii="Times New Roman" w:hAnsi="Times New Roman" w:cs="Times New Roman"/>
          <w:b/>
          <w:sz w:val="24"/>
          <w:szCs w:val="24"/>
          <w:u w:val="single"/>
        </w:rPr>
      </w:pPr>
    </w:p>
    <w:p w14:paraId="5521F06B" w14:textId="77777777" w:rsidR="00647AD2" w:rsidRDefault="00647AD2" w:rsidP="00596E24">
      <w:pPr>
        <w:rPr>
          <w:rFonts w:ascii="Times New Roman" w:hAnsi="Times New Roman" w:cs="Times New Roman"/>
          <w:b/>
          <w:sz w:val="24"/>
          <w:szCs w:val="24"/>
          <w:u w:val="single"/>
        </w:rPr>
      </w:pPr>
    </w:p>
    <w:p w14:paraId="5521F06C" w14:textId="77777777" w:rsidR="00533D34" w:rsidRPr="00533D34" w:rsidRDefault="00533D34" w:rsidP="00596E24">
      <w:pPr>
        <w:rPr>
          <w:rFonts w:ascii="Times New Roman" w:hAnsi="Times New Roman" w:cs="Times New Roman"/>
          <w:b/>
          <w:sz w:val="24"/>
          <w:szCs w:val="24"/>
          <w:u w:val="single"/>
        </w:rPr>
      </w:pPr>
      <w:r w:rsidRPr="00533D34">
        <w:rPr>
          <w:rFonts w:ascii="Times New Roman" w:hAnsi="Times New Roman" w:cs="Times New Roman"/>
          <w:b/>
          <w:sz w:val="24"/>
          <w:szCs w:val="24"/>
          <w:u w:val="single"/>
        </w:rPr>
        <w:lastRenderedPageBreak/>
        <w:t>Table 3: Washington I-937 Goal</w:t>
      </w:r>
    </w:p>
    <w:tbl>
      <w:tblPr>
        <w:tblW w:w="5380" w:type="dxa"/>
        <w:tblInd w:w="1980" w:type="dxa"/>
        <w:tblLook w:val="04A0" w:firstRow="1" w:lastRow="0" w:firstColumn="1" w:lastColumn="0" w:noHBand="0" w:noVBand="1"/>
      </w:tblPr>
      <w:tblGrid>
        <w:gridCol w:w="3880"/>
        <w:gridCol w:w="1500"/>
      </w:tblGrid>
      <w:tr w:rsidR="00B30D9D" w:rsidRPr="00B30D9D" w14:paraId="5521F06F" w14:textId="77777777" w:rsidTr="00B30D9D">
        <w:trPr>
          <w:trHeight w:val="300"/>
        </w:trPr>
        <w:tc>
          <w:tcPr>
            <w:tcW w:w="388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521F06D"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Savings Category</w:t>
            </w:r>
          </w:p>
        </w:tc>
        <w:tc>
          <w:tcPr>
            <w:tcW w:w="1500" w:type="dxa"/>
            <w:tcBorders>
              <w:top w:val="single" w:sz="8" w:space="0" w:color="auto"/>
              <w:left w:val="nil"/>
              <w:bottom w:val="single" w:sz="4" w:space="0" w:color="auto"/>
              <w:right w:val="single" w:sz="8" w:space="0" w:color="auto"/>
            </w:tcBorders>
            <w:shd w:val="clear" w:color="000000" w:fill="FFFFFF"/>
            <w:noWrap/>
            <w:vAlign w:val="bottom"/>
            <w:hideMark/>
          </w:tcPr>
          <w:p w14:paraId="5521F06E"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Savings (MWh)</w:t>
            </w:r>
          </w:p>
        </w:tc>
      </w:tr>
      <w:tr w:rsidR="00B30D9D" w:rsidRPr="00B30D9D" w14:paraId="5521F072" w14:textId="77777777" w:rsidTr="00B30D9D">
        <w:trPr>
          <w:trHeight w:val="600"/>
        </w:trPr>
        <w:tc>
          <w:tcPr>
            <w:tcW w:w="3880" w:type="dxa"/>
            <w:tcBorders>
              <w:top w:val="nil"/>
              <w:left w:val="single" w:sz="8" w:space="0" w:color="auto"/>
              <w:bottom w:val="single" w:sz="4" w:space="0" w:color="auto"/>
              <w:right w:val="single" w:sz="4" w:space="0" w:color="auto"/>
            </w:tcBorders>
            <w:shd w:val="clear" w:color="000000" w:fill="FFFFFF"/>
            <w:vAlign w:val="bottom"/>
            <w:hideMark/>
          </w:tcPr>
          <w:p w14:paraId="5521F070"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Avista Proposed Biennial Conservation Target (Subject to Penalties)</w:t>
            </w:r>
          </w:p>
        </w:tc>
        <w:tc>
          <w:tcPr>
            <w:tcW w:w="1500" w:type="dxa"/>
            <w:tcBorders>
              <w:top w:val="nil"/>
              <w:left w:val="nil"/>
              <w:bottom w:val="single" w:sz="4" w:space="0" w:color="auto"/>
              <w:right w:val="single" w:sz="8" w:space="0" w:color="auto"/>
            </w:tcBorders>
            <w:shd w:val="clear" w:color="000000" w:fill="FFFFFF"/>
            <w:noWrap/>
            <w:vAlign w:val="bottom"/>
            <w:hideMark/>
          </w:tcPr>
          <w:p w14:paraId="5521F071"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                 72,626 </w:t>
            </w:r>
          </w:p>
        </w:tc>
      </w:tr>
      <w:tr w:rsidR="00B30D9D" w:rsidRPr="00B30D9D" w14:paraId="5521F075" w14:textId="77777777" w:rsidTr="00B30D9D">
        <w:trPr>
          <w:trHeight w:val="315"/>
        </w:trPr>
        <w:tc>
          <w:tcPr>
            <w:tcW w:w="3880" w:type="dxa"/>
            <w:tcBorders>
              <w:top w:val="nil"/>
              <w:left w:val="single" w:sz="8" w:space="0" w:color="auto"/>
              <w:bottom w:val="double" w:sz="6" w:space="0" w:color="auto"/>
              <w:right w:val="single" w:sz="4" w:space="0" w:color="auto"/>
            </w:tcBorders>
            <w:shd w:val="clear" w:color="000000" w:fill="FFFFFF"/>
            <w:noWrap/>
            <w:vAlign w:val="bottom"/>
            <w:hideMark/>
          </w:tcPr>
          <w:p w14:paraId="5521F073"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Plus NEEA Projection</w:t>
            </w:r>
          </w:p>
        </w:tc>
        <w:tc>
          <w:tcPr>
            <w:tcW w:w="1500" w:type="dxa"/>
            <w:tcBorders>
              <w:top w:val="nil"/>
              <w:left w:val="nil"/>
              <w:bottom w:val="double" w:sz="6" w:space="0" w:color="auto"/>
              <w:right w:val="single" w:sz="8" w:space="0" w:color="auto"/>
            </w:tcBorders>
            <w:shd w:val="clear" w:color="000000" w:fill="FFFFFF"/>
            <w:noWrap/>
            <w:vAlign w:val="bottom"/>
            <w:hideMark/>
          </w:tcPr>
          <w:p w14:paraId="5521F074"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                    6,220 </w:t>
            </w:r>
          </w:p>
        </w:tc>
      </w:tr>
      <w:tr w:rsidR="00B30D9D" w:rsidRPr="00B30D9D" w14:paraId="5521F078" w14:textId="77777777" w:rsidTr="00B30D9D">
        <w:trPr>
          <w:trHeight w:val="315"/>
        </w:trPr>
        <w:tc>
          <w:tcPr>
            <w:tcW w:w="3880" w:type="dxa"/>
            <w:tcBorders>
              <w:top w:val="nil"/>
              <w:left w:val="single" w:sz="8" w:space="0" w:color="auto"/>
              <w:bottom w:val="single" w:sz="4" w:space="0" w:color="auto"/>
              <w:right w:val="single" w:sz="4" w:space="0" w:color="auto"/>
            </w:tcBorders>
            <w:shd w:val="clear" w:color="000000" w:fill="FFFFFF"/>
            <w:noWrap/>
            <w:vAlign w:val="bottom"/>
            <w:hideMark/>
          </w:tcPr>
          <w:p w14:paraId="5521F076"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Total EIA Commitment</w:t>
            </w:r>
          </w:p>
        </w:tc>
        <w:tc>
          <w:tcPr>
            <w:tcW w:w="1500" w:type="dxa"/>
            <w:tcBorders>
              <w:top w:val="nil"/>
              <w:left w:val="nil"/>
              <w:bottom w:val="single" w:sz="4" w:space="0" w:color="auto"/>
              <w:right w:val="single" w:sz="8" w:space="0" w:color="auto"/>
            </w:tcBorders>
            <w:shd w:val="clear" w:color="000000" w:fill="FFFFFF"/>
            <w:noWrap/>
            <w:vAlign w:val="bottom"/>
            <w:hideMark/>
          </w:tcPr>
          <w:p w14:paraId="5521F077"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                 78,846 </w:t>
            </w:r>
          </w:p>
        </w:tc>
      </w:tr>
      <w:tr w:rsidR="00B30D9D" w:rsidRPr="00B30D9D" w14:paraId="5521F07B" w14:textId="77777777" w:rsidTr="00B30D9D">
        <w:trPr>
          <w:trHeight w:val="315"/>
        </w:trPr>
        <w:tc>
          <w:tcPr>
            <w:tcW w:w="3880" w:type="dxa"/>
            <w:tcBorders>
              <w:top w:val="nil"/>
              <w:left w:val="single" w:sz="8" w:space="0" w:color="auto"/>
              <w:bottom w:val="double" w:sz="6" w:space="0" w:color="auto"/>
              <w:right w:val="single" w:sz="4" w:space="0" w:color="auto"/>
            </w:tcBorders>
            <w:shd w:val="clear" w:color="000000" w:fill="FFFFFF"/>
            <w:noWrap/>
            <w:vAlign w:val="bottom"/>
            <w:hideMark/>
          </w:tcPr>
          <w:p w14:paraId="5521F079"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Plus Decoupling Commitment (5%)</w:t>
            </w:r>
          </w:p>
        </w:tc>
        <w:tc>
          <w:tcPr>
            <w:tcW w:w="1500" w:type="dxa"/>
            <w:tcBorders>
              <w:top w:val="nil"/>
              <w:left w:val="nil"/>
              <w:bottom w:val="double" w:sz="6" w:space="0" w:color="auto"/>
              <w:right w:val="single" w:sz="8" w:space="0" w:color="auto"/>
            </w:tcBorders>
            <w:shd w:val="clear" w:color="000000" w:fill="FFFFFF"/>
            <w:noWrap/>
            <w:vAlign w:val="bottom"/>
            <w:hideMark/>
          </w:tcPr>
          <w:p w14:paraId="5521F07A"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                    3,631 </w:t>
            </w:r>
          </w:p>
        </w:tc>
      </w:tr>
      <w:tr w:rsidR="00B30D9D" w:rsidRPr="00B30D9D" w14:paraId="5521F07E" w14:textId="77777777" w:rsidTr="00B30D9D">
        <w:trPr>
          <w:trHeight w:val="315"/>
        </w:trPr>
        <w:tc>
          <w:tcPr>
            <w:tcW w:w="3880" w:type="dxa"/>
            <w:tcBorders>
              <w:top w:val="nil"/>
              <w:left w:val="single" w:sz="8" w:space="0" w:color="auto"/>
              <w:bottom w:val="single" w:sz="4" w:space="0" w:color="auto"/>
              <w:right w:val="single" w:sz="4" w:space="0" w:color="auto"/>
            </w:tcBorders>
            <w:shd w:val="clear" w:color="000000" w:fill="FFFFFF"/>
            <w:noWrap/>
            <w:vAlign w:val="bottom"/>
            <w:hideMark/>
          </w:tcPr>
          <w:p w14:paraId="5521F07C"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Total Conservation Commitment</w:t>
            </w:r>
          </w:p>
        </w:tc>
        <w:tc>
          <w:tcPr>
            <w:tcW w:w="1500" w:type="dxa"/>
            <w:tcBorders>
              <w:top w:val="nil"/>
              <w:left w:val="nil"/>
              <w:bottom w:val="single" w:sz="4" w:space="0" w:color="auto"/>
              <w:right w:val="single" w:sz="8" w:space="0" w:color="auto"/>
            </w:tcBorders>
            <w:shd w:val="clear" w:color="000000" w:fill="FFFFFF"/>
            <w:noWrap/>
            <w:vAlign w:val="bottom"/>
            <w:hideMark/>
          </w:tcPr>
          <w:p w14:paraId="5521F07D"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                 82,477 </w:t>
            </w:r>
          </w:p>
        </w:tc>
      </w:tr>
      <w:tr w:rsidR="00B30D9D" w:rsidRPr="00B30D9D" w14:paraId="5521F081" w14:textId="77777777" w:rsidTr="00B30D9D">
        <w:trPr>
          <w:trHeight w:val="315"/>
        </w:trPr>
        <w:tc>
          <w:tcPr>
            <w:tcW w:w="3880" w:type="dxa"/>
            <w:tcBorders>
              <w:top w:val="nil"/>
              <w:left w:val="single" w:sz="8" w:space="0" w:color="auto"/>
              <w:bottom w:val="double" w:sz="6" w:space="0" w:color="auto"/>
              <w:right w:val="single" w:sz="4" w:space="0" w:color="auto"/>
            </w:tcBorders>
            <w:shd w:val="clear" w:color="000000" w:fill="FFFFFF"/>
            <w:noWrap/>
            <w:vAlign w:val="bottom"/>
            <w:hideMark/>
          </w:tcPr>
          <w:p w14:paraId="5521F07F"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Less NEEA Projection </w:t>
            </w:r>
          </w:p>
        </w:tc>
        <w:tc>
          <w:tcPr>
            <w:tcW w:w="1500" w:type="dxa"/>
            <w:tcBorders>
              <w:top w:val="nil"/>
              <w:left w:val="nil"/>
              <w:bottom w:val="double" w:sz="6" w:space="0" w:color="auto"/>
              <w:right w:val="single" w:sz="8" w:space="0" w:color="auto"/>
            </w:tcBorders>
            <w:shd w:val="clear" w:color="000000" w:fill="FFFFFF"/>
            <w:noWrap/>
            <w:vAlign w:val="bottom"/>
            <w:hideMark/>
          </w:tcPr>
          <w:p w14:paraId="5521F080"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                 (6,220)</w:t>
            </w:r>
          </w:p>
        </w:tc>
      </w:tr>
      <w:tr w:rsidR="00B30D9D" w:rsidRPr="00B30D9D" w14:paraId="5521F084" w14:textId="77777777" w:rsidTr="00B30D9D">
        <w:trPr>
          <w:trHeight w:val="330"/>
        </w:trPr>
        <w:tc>
          <w:tcPr>
            <w:tcW w:w="3880" w:type="dxa"/>
            <w:tcBorders>
              <w:top w:val="nil"/>
              <w:left w:val="single" w:sz="8" w:space="0" w:color="auto"/>
              <w:bottom w:val="single" w:sz="8" w:space="0" w:color="auto"/>
              <w:right w:val="single" w:sz="4" w:space="0" w:color="auto"/>
            </w:tcBorders>
            <w:shd w:val="clear" w:color="000000" w:fill="FFFFFF"/>
            <w:noWrap/>
            <w:vAlign w:val="bottom"/>
            <w:hideMark/>
          </w:tcPr>
          <w:p w14:paraId="5521F082"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Total Local DSM Conservation </w:t>
            </w:r>
          </w:p>
        </w:tc>
        <w:tc>
          <w:tcPr>
            <w:tcW w:w="1500" w:type="dxa"/>
            <w:tcBorders>
              <w:top w:val="nil"/>
              <w:left w:val="nil"/>
              <w:bottom w:val="single" w:sz="8" w:space="0" w:color="auto"/>
              <w:right w:val="single" w:sz="8" w:space="0" w:color="auto"/>
            </w:tcBorders>
            <w:shd w:val="clear" w:color="000000" w:fill="FFFFFF"/>
            <w:noWrap/>
            <w:vAlign w:val="bottom"/>
            <w:hideMark/>
          </w:tcPr>
          <w:p w14:paraId="5521F083" w14:textId="77777777" w:rsidR="00B30D9D" w:rsidRPr="00B30D9D" w:rsidRDefault="00B30D9D" w:rsidP="00B30D9D">
            <w:pPr>
              <w:spacing w:after="0" w:line="240" w:lineRule="auto"/>
              <w:jc w:val="center"/>
              <w:rPr>
                <w:rFonts w:ascii="Calibri" w:eastAsia="Times New Roman" w:hAnsi="Calibri" w:cs="Times New Roman"/>
                <w:b/>
                <w:bCs/>
                <w:color w:val="000000"/>
              </w:rPr>
            </w:pPr>
            <w:r w:rsidRPr="00B30D9D">
              <w:rPr>
                <w:rFonts w:ascii="Calibri" w:eastAsia="Times New Roman" w:hAnsi="Calibri" w:cs="Times New Roman"/>
                <w:b/>
                <w:bCs/>
                <w:color w:val="000000"/>
              </w:rPr>
              <w:t xml:space="preserve">                 76,257 </w:t>
            </w:r>
          </w:p>
        </w:tc>
      </w:tr>
    </w:tbl>
    <w:p w14:paraId="5521F085" w14:textId="77777777" w:rsidR="00B30D9D" w:rsidRPr="00AA785F" w:rsidRDefault="00B30D9D" w:rsidP="00B30D9D">
      <w:pPr>
        <w:jc w:val="center"/>
        <w:rPr>
          <w:rFonts w:ascii="Times New Roman" w:hAnsi="Times New Roman" w:cs="Times New Roman"/>
          <w:sz w:val="24"/>
          <w:szCs w:val="24"/>
        </w:rPr>
      </w:pPr>
    </w:p>
    <w:p w14:paraId="5521F086" w14:textId="77777777" w:rsidR="00526570" w:rsidRPr="00EB1498" w:rsidRDefault="00526570" w:rsidP="00596E24">
      <w:pPr>
        <w:rPr>
          <w:rFonts w:ascii="Times New Roman" w:hAnsi="Times New Roman" w:cs="Times New Roman"/>
          <w:b/>
          <w:sz w:val="24"/>
          <w:szCs w:val="24"/>
          <w:u w:val="single"/>
        </w:rPr>
      </w:pPr>
      <w:r w:rsidRPr="00EB1498">
        <w:rPr>
          <w:rFonts w:ascii="Times New Roman" w:hAnsi="Times New Roman" w:cs="Times New Roman"/>
          <w:b/>
          <w:sz w:val="24"/>
          <w:szCs w:val="24"/>
          <w:u w:val="single"/>
        </w:rPr>
        <w:t xml:space="preserve">Figure </w:t>
      </w:r>
      <w:r w:rsidR="000B70A2">
        <w:rPr>
          <w:rFonts w:ascii="Times New Roman" w:hAnsi="Times New Roman" w:cs="Times New Roman"/>
          <w:b/>
          <w:sz w:val="24"/>
          <w:szCs w:val="24"/>
          <w:u w:val="single"/>
        </w:rPr>
        <w:t>9</w:t>
      </w:r>
      <w:r w:rsidRPr="00EB1498">
        <w:rPr>
          <w:rFonts w:ascii="Times New Roman" w:hAnsi="Times New Roman" w:cs="Times New Roman"/>
          <w:b/>
          <w:sz w:val="24"/>
          <w:szCs w:val="24"/>
          <w:u w:val="single"/>
        </w:rPr>
        <w:t xml:space="preserve">: Local I-937 Target (2016/2017) vs. </w:t>
      </w:r>
      <w:r w:rsidR="00AB2AB6" w:rsidRPr="00EB1498">
        <w:rPr>
          <w:rFonts w:ascii="Times New Roman" w:hAnsi="Times New Roman" w:cs="Times New Roman"/>
          <w:b/>
          <w:sz w:val="24"/>
          <w:szCs w:val="24"/>
          <w:u w:val="single"/>
        </w:rPr>
        <w:t>201</w:t>
      </w:r>
      <w:r w:rsidR="00AB2AB6">
        <w:rPr>
          <w:rFonts w:ascii="Times New Roman" w:hAnsi="Times New Roman" w:cs="Times New Roman"/>
          <w:b/>
          <w:sz w:val="24"/>
          <w:szCs w:val="24"/>
          <w:u w:val="single"/>
        </w:rPr>
        <w:t>7</w:t>
      </w:r>
      <w:r w:rsidR="00AB2AB6" w:rsidRPr="00EB1498">
        <w:rPr>
          <w:rFonts w:ascii="Times New Roman" w:hAnsi="Times New Roman" w:cs="Times New Roman"/>
          <w:b/>
          <w:sz w:val="24"/>
          <w:szCs w:val="24"/>
          <w:u w:val="single"/>
        </w:rPr>
        <w:t xml:space="preserve"> </w:t>
      </w:r>
      <w:r w:rsidRPr="00EB1498">
        <w:rPr>
          <w:rFonts w:ascii="Times New Roman" w:hAnsi="Times New Roman" w:cs="Times New Roman"/>
          <w:b/>
          <w:sz w:val="24"/>
          <w:szCs w:val="24"/>
          <w:u w:val="single"/>
        </w:rPr>
        <w:t>WA I-937 Goal</w:t>
      </w:r>
    </w:p>
    <w:p w14:paraId="5521F087" w14:textId="77777777" w:rsidR="0006140D" w:rsidRDefault="00C10ACF" w:rsidP="00F5285D">
      <w:pPr>
        <w:jc w:val="center"/>
        <w:rPr>
          <w:rFonts w:ascii="Times New Roman" w:hAnsi="Times New Roman" w:cs="Times New Roman"/>
          <w:b/>
          <w:sz w:val="24"/>
          <w:szCs w:val="24"/>
          <w:u w:val="single"/>
        </w:rPr>
      </w:pPr>
      <w:r>
        <w:rPr>
          <w:noProof/>
        </w:rPr>
        <w:drawing>
          <wp:inline distT="0" distB="0" distL="0" distR="0" wp14:anchorId="5521F0C7" wp14:editId="5521F0C8">
            <wp:extent cx="4657725" cy="28575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21F088" w14:textId="77777777" w:rsidR="00647AD2" w:rsidRDefault="00647AD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521F089" w14:textId="77777777" w:rsidR="00BA3EED" w:rsidRPr="00647AD2" w:rsidRDefault="00647AD2" w:rsidP="00647AD2">
      <w:pPr>
        <w:pStyle w:val="ListParagraph"/>
        <w:numPr>
          <w:ilvl w:val="0"/>
          <w:numId w:val="2"/>
        </w:numPr>
        <w:ind w:left="0" w:firstLine="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SUMMARY OF 2017 BUDGET</w:t>
      </w:r>
    </w:p>
    <w:p w14:paraId="5521F08A" w14:textId="77777777" w:rsidR="00480EDD" w:rsidRPr="00596E24" w:rsidRDefault="006814D8" w:rsidP="00624EEA">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Labor expenditures</w:t>
      </w:r>
      <w:r w:rsidR="0034437D">
        <w:rPr>
          <w:rFonts w:ascii="Times New Roman" w:hAnsi="Times New Roman" w:cs="Times New Roman"/>
          <w:sz w:val="24"/>
          <w:szCs w:val="24"/>
        </w:rPr>
        <w:t>, which includes salaries and all loaded benefits,</w:t>
      </w:r>
      <w:r w:rsidRPr="00596E24">
        <w:rPr>
          <w:rFonts w:ascii="Times New Roman" w:hAnsi="Times New Roman" w:cs="Times New Roman"/>
          <w:sz w:val="24"/>
          <w:szCs w:val="24"/>
        </w:rPr>
        <w:t xml:space="preserve"> account for about </w:t>
      </w:r>
      <w:r w:rsidR="009C06F9">
        <w:rPr>
          <w:rFonts w:ascii="Times New Roman" w:hAnsi="Times New Roman" w:cs="Times New Roman"/>
          <w:sz w:val="24"/>
          <w:szCs w:val="24"/>
        </w:rPr>
        <w:t>50</w:t>
      </w:r>
      <w:r w:rsidR="00480EDD" w:rsidRPr="00596E24">
        <w:rPr>
          <w:rFonts w:ascii="Times New Roman" w:hAnsi="Times New Roman" w:cs="Times New Roman"/>
          <w:sz w:val="24"/>
          <w:szCs w:val="24"/>
        </w:rPr>
        <w:t>%</w:t>
      </w:r>
      <w:r w:rsidRPr="00596E24">
        <w:rPr>
          <w:rFonts w:ascii="Times New Roman" w:hAnsi="Times New Roman" w:cs="Times New Roman"/>
          <w:sz w:val="24"/>
          <w:szCs w:val="24"/>
        </w:rPr>
        <w:t xml:space="preserve"> of the Company’s non-incentive utility cost (excluding supplemental costs)</w:t>
      </w:r>
      <w:r w:rsidR="0034437D">
        <w:rPr>
          <w:rFonts w:ascii="Times New Roman" w:hAnsi="Times New Roman" w:cs="Times New Roman"/>
          <w:sz w:val="24"/>
          <w:szCs w:val="24"/>
        </w:rPr>
        <w:t xml:space="preserve"> which is a slight decline from the 52% in the 2016 Annual Conservation Plan</w:t>
      </w:r>
      <w:r w:rsidRPr="00596E24">
        <w:rPr>
          <w:rFonts w:ascii="Times New Roman" w:hAnsi="Times New Roman" w:cs="Times New Roman"/>
          <w:sz w:val="24"/>
          <w:szCs w:val="24"/>
        </w:rPr>
        <w:t xml:space="preserve">.  Projections of expected labor requirements by job classification are made by managers within the DSM team.  These projections are then applied to the average salary for each such classification and labor overheads are applied.  </w:t>
      </w:r>
    </w:p>
    <w:p w14:paraId="5521F08B" w14:textId="77777777" w:rsidR="006814D8" w:rsidRPr="00596E24" w:rsidRDefault="00B22BBD" w:rsidP="00624E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006814D8" w:rsidRPr="00596E24">
        <w:rPr>
          <w:rFonts w:ascii="Times New Roman" w:hAnsi="Times New Roman" w:cs="Times New Roman"/>
          <w:sz w:val="24"/>
          <w:szCs w:val="24"/>
        </w:rPr>
        <w:t>abor is allocated to a class of programs it is done on the basis of the</w:t>
      </w:r>
      <w:r w:rsidR="00480EDD" w:rsidRPr="00596E24">
        <w:rPr>
          <w:rFonts w:ascii="Times New Roman" w:hAnsi="Times New Roman" w:cs="Times New Roman"/>
          <w:sz w:val="24"/>
          <w:szCs w:val="24"/>
        </w:rPr>
        <w:t xml:space="preserve"> weighted</w:t>
      </w:r>
      <w:r w:rsidR="006814D8" w:rsidRPr="00596E24">
        <w:rPr>
          <w:rFonts w:ascii="Times New Roman" w:hAnsi="Times New Roman" w:cs="Times New Roman"/>
          <w:sz w:val="24"/>
          <w:szCs w:val="24"/>
        </w:rPr>
        <w:t xml:space="preserve"> </w:t>
      </w:r>
      <w:r w:rsidR="00B80F86">
        <w:rPr>
          <w:rFonts w:ascii="Times New Roman" w:hAnsi="Times New Roman" w:cs="Times New Roman"/>
          <w:sz w:val="24"/>
          <w:szCs w:val="24"/>
        </w:rPr>
        <w:t>value of benefits the program brings to the overall portfolio</w:t>
      </w:r>
      <w:r w:rsidR="006814D8" w:rsidRPr="00596E24">
        <w:rPr>
          <w:rFonts w:ascii="Times New Roman" w:hAnsi="Times New Roman" w:cs="Times New Roman"/>
          <w:sz w:val="24"/>
          <w:szCs w:val="24"/>
        </w:rPr>
        <w:t xml:space="preserve">.  </w:t>
      </w:r>
    </w:p>
    <w:p w14:paraId="5521F08C" w14:textId="77777777" w:rsidR="00B22BBD" w:rsidRPr="00D661BD" w:rsidRDefault="006814D8" w:rsidP="00624EEA">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expectations in </w:t>
      </w:r>
      <w:r w:rsidR="00B80F86" w:rsidRPr="00596E24">
        <w:rPr>
          <w:rFonts w:ascii="Times New Roman" w:hAnsi="Times New Roman" w:cs="Times New Roman"/>
          <w:sz w:val="24"/>
          <w:szCs w:val="24"/>
        </w:rPr>
        <w:t>201</w:t>
      </w:r>
      <w:r w:rsidR="00B80F86">
        <w:rPr>
          <w:rFonts w:ascii="Times New Roman" w:hAnsi="Times New Roman" w:cs="Times New Roman"/>
          <w:sz w:val="24"/>
          <w:szCs w:val="24"/>
        </w:rPr>
        <w:t>7</w:t>
      </w:r>
      <w:r w:rsidR="00B80F86" w:rsidRPr="00596E24">
        <w:rPr>
          <w:rFonts w:ascii="Times New Roman" w:hAnsi="Times New Roman" w:cs="Times New Roman"/>
          <w:sz w:val="24"/>
          <w:szCs w:val="24"/>
        </w:rPr>
        <w:t xml:space="preserve"> </w:t>
      </w:r>
      <w:r w:rsidRPr="00596E24">
        <w:rPr>
          <w:rFonts w:ascii="Times New Roman" w:hAnsi="Times New Roman" w:cs="Times New Roman"/>
          <w:sz w:val="24"/>
          <w:szCs w:val="24"/>
        </w:rPr>
        <w:t>indicate that $3.</w:t>
      </w:r>
      <w:r w:rsidR="009C06F9">
        <w:rPr>
          <w:rFonts w:ascii="Times New Roman" w:hAnsi="Times New Roman" w:cs="Times New Roman"/>
          <w:sz w:val="24"/>
          <w:szCs w:val="24"/>
        </w:rPr>
        <w:t>8</w:t>
      </w:r>
      <w:r w:rsidR="009C06F9" w:rsidRPr="00596E24">
        <w:rPr>
          <w:rFonts w:ascii="Times New Roman" w:hAnsi="Times New Roman" w:cs="Times New Roman"/>
          <w:sz w:val="24"/>
          <w:szCs w:val="24"/>
        </w:rPr>
        <w:t xml:space="preserve"> </w:t>
      </w:r>
      <w:r w:rsidRPr="00596E24">
        <w:rPr>
          <w:rFonts w:ascii="Times New Roman" w:hAnsi="Times New Roman" w:cs="Times New Roman"/>
          <w:sz w:val="24"/>
          <w:szCs w:val="24"/>
        </w:rPr>
        <w:t xml:space="preserve">million of fully loaded labor funding </w:t>
      </w:r>
      <w:r w:rsidR="005F6A06">
        <w:rPr>
          <w:rFonts w:ascii="Times New Roman" w:hAnsi="Times New Roman" w:cs="Times New Roman"/>
          <w:sz w:val="24"/>
          <w:szCs w:val="24"/>
        </w:rPr>
        <w:t>across electric and gas programs in both Washington and Idaho</w:t>
      </w:r>
      <w:r w:rsidR="005F6A06" w:rsidRPr="00596E24">
        <w:rPr>
          <w:rFonts w:ascii="Times New Roman" w:hAnsi="Times New Roman" w:cs="Times New Roman"/>
          <w:sz w:val="24"/>
          <w:szCs w:val="24"/>
        </w:rPr>
        <w:t xml:space="preserve"> </w:t>
      </w:r>
      <w:r w:rsidRPr="00596E24">
        <w:rPr>
          <w:rFonts w:ascii="Times New Roman" w:hAnsi="Times New Roman" w:cs="Times New Roman"/>
          <w:sz w:val="24"/>
          <w:szCs w:val="24"/>
        </w:rPr>
        <w:t>will be required</w:t>
      </w:r>
      <w:r w:rsidR="00B7686E" w:rsidRPr="00596E24">
        <w:rPr>
          <w:rFonts w:ascii="Times New Roman" w:hAnsi="Times New Roman" w:cs="Times New Roman"/>
          <w:sz w:val="24"/>
          <w:szCs w:val="24"/>
        </w:rPr>
        <w:t xml:space="preserve">, a </w:t>
      </w:r>
      <w:r w:rsidR="009C06F9">
        <w:rPr>
          <w:rFonts w:ascii="Times New Roman" w:hAnsi="Times New Roman" w:cs="Times New Roman"/>
          <w:sz w:val="24"/>
          <w:szCs w:val="24"/>
        </w:rPr>
        <w:t>13</w:t>
      </w:r>
      <w:r w:rsidR="00B7686E" w:rsidRPr="00596E24">
        <w:rPr>
          <w:rFonts w:ascii="Times New Roman" w:hAnsi="Times New Roman" w:cs="Times New Roman"/>
          <w:sz w:val="24"/>
          <w:szCs w:val="24"/>
        </w:rPr>
        <w:t xml:space="preserve">% </w:t>
      </w:r>
      <w:r w:rsidR="00480EDD" w:rsidRPr="00596E24">
        <w:rPr>
          <w:rFonts w:ascii="Times New Roman" w:hAnsi="Times New Roman" w:cs="Times New Roman"/>
          <w:sz w:val="24"/>
          <w:szCs w:val="24"/>
        </w:rPr>
        <w:t>increase</w:t>
      </w:r>
      <w:r w:rsidR="00B7686E" w:rsidRPr="00596E24">
        <w:rPr>
          <w:rFonts w:ascii="Times New Roman" w:hAnsi="Times New Roman" w:cs="Times New Roman"/>
          <w:sz w:val="24"/>
          <w:szCs w:val="24"/>
        </w:rPr>
        <w:t xml:space="preserve"> from the </w:t>
      </w:r>
      <w:r w:rsidR="009C06F9" w:rsidRPr="00596E24">
        <w:rPr>
          <w:rFonts w:ascii="Times New Roman" w:hAnsi="Times New Roman" w:cs="Times New Roman"/>
          <w:sz w:val="24"/>
          <w:szCs w:val="24"/>
        </w:rPr>
        <w:t>201</w:t>
      </w:r>
      <w:r w:rsidR="009C06F9">
        <w:rPr>
          <w:rFonts w:ascii="Times New Roman" w:hAnsi="Times New Roman" w:cs="Times New Roman"/>
          <w:sz w:val="24"/>
          <w:szCs w:val="24"/>
        </w:rPr>
        <w:t>6</w:t>
      </w:r>
      <w:r w:rsidR="009C06F9" w:rsidRPr="00596E24">
        <w:rPr>
          <w:rFonts w:ascii="Times New Roman" w:hAnsi="Times New Roman" w:cs="Times New Roman"/>
          <w:sz w:val="24"/>
          <w:szCs w:val="24"/>
        </w:rPr>
        <w:t xml:space="preserve"> </w:t>
      </w:r>
      <w:r w:rsidR="00B7686E" w:rsidRPr="00596E24">
        <w:rPr>
          <w:rFonts w:ascii="Times New Roman" w:hAnsi="Times New Roman" w:cs="Times New Roman"/>
          <w:sz w:val="24"/>
          <w:szCs w:val="24"/>
        </w:rPr>
        <w:t xml:space="preserve">budget.  This amount will fund </w:t>
      </w:r>
      <w:r w:rsidR="009C06F9">
        <w:rPr>
          <w:rFonts w:ascii="Times New Roman" w:hAnsi="Times New Roman" w:cs="Times New Roman"/>
          <w:sz w:val="24"/>
          <w:szCs w:val="24"/>
        </w:rPr>
        <w:t>24.5</w:t>
      </w:r>
      <w:r w:rsidRPr="00596E24">
        <w:rPr>
          <w:rFonts w:ascii="Times New Roman" w:hAnsi="Times New Roman" w:cs="Times New Roman"/>
          <w:sz w:val="24"/>
          <w:szCs w:val="24"/>
        </w:rPr>
        <w:t xml:space="preserve"> FTE spread across </w:t>
      </w:r>
      <w:r w:rsidR="009C06F9" w:rsidRPr="00596E24">
        <w:rPr>
          <w:rFonts w:ascii="Times New Roman" w:hAnsi="Times New Roman" w:cs="Times New Roman"/>
          <w:sz w:val="24"/>
          <w:szCs w:val="24"/>
        </w:rPr>
        <w:t>3</w:t>
      </w:r>
      <w:r w:rsidR="009C06F9">
        <w:rPr>
          <w:rFonts w:ascii="Times New Roman" w:hAnsi="Times New Roman" w:cs="Times New Roman"/>
          <w:sz w:val="24"/>
          <w:szCs w:val="24"/>
        </w:rPr>
        <w:t>1</w:t>
      </w:r>
      <w:r w:rsidR="009C06F9" w:rsidRPr="00596E24">
        <w:rPr>
          <w:rFonts w:ascii="Times New Roman" w:hAnsi="Times New Roman" w:cs="Times New Roman"/>
          <w:sz w:val="24"/>
          <w:szCs w:val="24"/>
        </w:rPr>
        <w:t xml:space="preserve"> </w:t>
      </w:r>
      <w:r w:rsidRPr="00596E24">
        <w:rPr>
          <w:rFonts w:ascii="Times New Roman" w:hAnsi="Times New Roman" w:cs="Times New Roman"/>
          <w:sz w:val="24"/>
          <w:szCs w:val="24"/>
        </w:rPr>
        <w:t>different individuals</w:t>
      </w:r>
      <w:r w:rsidR="00BC4333">
        <w:rPr>
          <w:rFonts w:ascii="Times New Roman" w:hAnsi="Times New Roman" w:cs="Times New Roman"/>
          <w:sz w:val="24"/>
          <w:szCs w:val="24"/>
        </w:rPr>
        <w:t xml:space="preserve"> compared to 22.7 FTE spread across 30 individuals in 2016</w:t>
      </w:r>
      <w:r w:rsidRPr="00596E24">
        <w:rPr>
          <w:rFonts w:ascii="Times New Roman" w:hAnsi="Times New Roman" w:cs="Times New Roman"/>
          <w:sz w:val="24"/>
          <w:szCs w:val="24"/>
        </w:rPr>
        <w:t>.</w:t>
      </w:r>
      <w:r w:rsidR="00D661BD">
        <w:rPr>
          <w:rFonts w:ascii="Times New Roman" w:hAnsi="Times New Roman" w:cs="Times New Roman"/>
          <w:sz w:val="24"/>
          <w:szCs w:val="24"/>
        </w:rPr>
        <w:t xml:space="preserve"> The primary drivers of the increase are: higher percentage of time from account executive labor dedicated to energy efficiency related activities, an additional analyst in the group, salary adjustments and an increase in the estimated labor loadings.</w:t>
      </w:r>
      <w:r w:rsidRPr="00596E24">
        <w:rPr>
          <w:rFonts w:ascii="Times New Roman" w:hAnsi="Times New Roman" w:cs="Times New Roman"/>
          <w:sz w:val="24"/>
          <w:szCs w:val="24"/>
        </w:rPr>
        <w:t xml:space="preserve">  </w:t>
      </w:r>
    </w:p>
    <w:p w14:paraId="5521F08D" w14:textId="77777777" w:rsidR="00BA3EED" w:rsidRPr="00596E24" w:rsidRDefault="000D6436" w:rsidP="00596E24">
      <w:pPr>
        <w:rPr>
          <w:rFonts w:ascii="Times New Roman" w:hAnsi="Times New Roman" w:cs="Times New Roman"/>
          <w:b/>
          <w:sz w:val="24"/>
          <w:szCs w:val="24"/>
          <w:u w:val="single"/>
        </w:rPr>
      </w:pPr>
      <w:r w:rsidRPr="00596E24">
        <w:rPr>
          <w:rFonts w:ascii="Times New Roman" w:hAnsi="Times New Roman" w:cs="Times New Roman"/>
          <w:b/>
          <w:sz w:val="24"/>
          <w:szCs w:val="24"/>
          <w:u w:val="single"/>
        </w:rPr>
        <w:t xml:space="preserve">Overall </w:t>
      </w:r>
      <w:r w:rsidR="00BA3EED" w:rsidRPr="00596E24">
        <w:rPr>
          <w:rFonts w:ascii="Times New Roman" w:hAnsi="Times New Roman" w:cs="Times New Roman"/>
          <w:b/>
          <w:sz w:val="24"/>
          <w:szCs w:val="24"/>
          <w:u w:val="single"/>
        </w:rPr>
        <w:t>DSM Budget Projections</w:t>
      </w:r>
    </w:p>
    <w:p w14:paraId="5521F08E" w14:textId="77777777" w:rsidR="00A97208" w:rsidRPr="00596E24" w:rsidRDefault="00A97208" w:rsidP="00624EEA">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Based upon all of the preceding planning</w:t>
      </w:r>
      <w:r w:rsidR="00F3683D" w:rsidRPr="00596E24">
        <w:rPr>
          <w:rFonts w:ascii="Times New Roman" w:hAnsi="Times New Roman" w:cs="Times New Roman"/>
          <w:sz w:val="24"/>
          <w:szCs w:val="24"/>
        </w:rPr>
        <w:t>,</w:t>
      </w:r>
      <w:r w:rsidRPr="00596E24">
        <w:rPr>
          <w:rFonts w:ascii="Times New Roman" w:hAnsi="Times New Roman" w:cs="Times New Roman"/>
          <w:sz w:val="24"/>
          <w:szCs w:val="24"/>
        </w:rPr>
        <w:t xml:space="preserve"> a compilation of the total DSM budget is assembled at the completion of the planning process.  The placement of the budget compilation at the close of the process is consistent with Avista’s commitment to achieve all cost-effective DSM and to maximize the value of the portfolio without budgetary constraints.  This process assumes that prudently incurred expenditures will be fully recoverable through the DSM tariff rider and that revisions in the tariff rider surcharge will be sufficiently timely so as to maintain a materially neutral tariff rider balance.  Thus the budget is a product of the planning process and not a planning objective.</w:t>
      </w:r>
    </w:p>
    <w:p w14:paraId="5521F08F" w14:textId="77777777" w:rsidR="00D23DC4" w:rsidRPr="004A7D65" w:rsidRDefault="00CE32AE" w:rsidP="00624EEA">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The overall 201</w:t>
      </w:r>
      <w:r w:rsidR="00FD70E9">
        <w:rPr>
          <w:rFonts w:ascii="Times New Roman" w:hAnsi="Times New Roman" w:cs="Times New Roman"/>
          <w:sz w:val="24"/>
          <w:szCs w:val="24"/>
        </w:rPr>
        <w:t>7</w:t>
      </w:r>
      <w:r w:rsidRPr="00596E24">
        <w:rPr>
          <w:rFonts w:ascii="Times New Roman" w:hAnsi="Times New Roman" w:cs="Times New Roman"/>
          <w:sz w:val="24"/>
          <w:szCs w:val="24"/>
        </w:rPr>
        <w:t xml:space="preserve"> budget projection is summarized below.  The table includes (separately) elements of the DSM budget that have been designated as “supplemental” to indicate that they are unrelated to the current year operations and are not included in the cost-effectiveness calculation.</w:t>
      </w:r>
    </w:p>
    <w:p w14:paraId="5521F090" w14:textId="77777777" w:rsidR="00DD3C7F" w:rsidRDefault="00DD3C7F" w:rsidP="00596E24">
      <w:pPr>
        <w:rPr>
          <w:rFonts w:ascii="Times New Roman" w:hAnsi="Times New Roman" w:cs="Times New Roman"/>
          <w:b/>
          <w:sz w:val="24"/>
          <w:szCs w:val="24"/>
          <w:u w:val="single"/>
        </w:rPr>
      </w:pPr>
    </w:p>
    <w:p w14:paraId="5521F091" w14:textId="77777777" w:rsidR="00624EEA" w:rsidRDefault="00624EEA" w:rsidP="00596E24">
      <w:pPr>
        <w:rPr>
          <w:rFonts w:ascii="Times New Roman" w:hAnsi="Times New Roman" w:cs="Times New Roman"/>
          <w:b/>
          <w:sz w:val="24"/>
          <w:szCs w:val="24"/>
          <w:u w:val="single"/>
        </w:rPr>
      </w:pPr>
    </w:p>
    <w:p w14:paraId="5521F092" w14:textId="77777777" w:rsidR="00624EEA" w:rsidRDefault="00624EEA" w:rsidP="00596E24">
      <w:pPr>
        <w:rPr>
          <w:rFonts w:ascii="Times New Roman" w:hAnsi="Times New Roman" w:cs="Times New Roman"/>
          <w:b/>
          <w:sz w:val="24"/>
          <w:szCs w:val="24"/>
          <w:u w:val="single"/>
        </w:rPr>
      </w:pPr>
    </w:p>
    <w:p w14:paraId="5521F093" w14:textId="77777777" w:rsidR="00A97208" w:rsidRPr="00EB1498" w:rsidRDefault="00CE32AE" w:rsidP="00596E24">
      <w:pPr>
        <w:rPr>
          <w:rFonts w:ascii="Times New Roman" w:hAnsi="Times New Roman" w:cs="Times New Roman"/>
          <w:b/>
          <w:sz w:val="24"/>
          <w:szCs w:val="24"/>
          <w:u w:val="single"/>
        </w:rPr>
      </w:pPr>
      <w:r w:rsidRPr="00EB1498">
        <w:rPr>
          <w:rFonts w:ascii="Times New Roman" w:hAnsi="Times New Roman" w:cs="Times New Roman"/>
          <w:b/>
          <w:sz w:val="24"/>
          <w:szCs w:val="24"/>
          <w:u w:val="single"/>
        </w:rPr>
        <w:lastRenderedPageBreak/>
        <w:t xml:space="preserve">Table </w:t>
      </w:r>
      <w:r w:rsidR="00533D34">
        <w:rPr>
          <w:rFonts w:ascii="Times New Roman" w:hAnsi="Times New Roman" w:cs="Times New Roman"/>
          <w:b/>
          <w:sz w:val="24"/>
          <w:szCs w:val="24"/>
          <w:u w:val="single"/>
        </w:rPr>
        <w:t>4</w:t>
      </w:r>
      <w:r w:rsidRPr="00EB1498">
        <w:rPr>
          <w:rFonts w:ascii="Times New Roman" w:hAnsi="Times New Roman" w:cs="Times New Roman"/>
          <w:b/>
          <w:sz w:val="24"/>
          <w:szCs w:val="24"/>
          <w:u w:val="single"/>
        </w:rPr>
        <w:t>:  Summary of the 201</w:t>
      </w:r>
      <w:r w:rsidR="00FD70E9">
        <w:rPr>
          <w:rFonts w:ascii="Times New Roman" w:hAnsi="Times New Roman" w:cs="Times New Roman"/>
          <w:b/>
          <w:sz w:val="24"/>
          <w:szCs w:val="24"/>
          <w:u w:val="single"/>
        </w:rPr>
        <w:t>7</w:t>
      </w:r>
      <w:r w:rsidRPr="00EB1498">
        <w:rPr>
          <w:rFonts w:ascii="Times New Roman" w:hAnsi="Times New Roman" w:cs="Times New Roman"/>
          <w:b/>
          <w:sz w:val="24"/>
          <w:szCs w:val="24"/>
          <w:u w:val="single"/>
        </w:rPr>
        <w:t xml:space="preserve"> DSM budget</w:t>
      </w:r>
    </w:p>
    <w:p w14:paraId="5521F094" w14:textId="77777777" w:rsidR="00CE32AE" w:rsidRPr="00596E24" w:rsidRDefault="00C901C4" w:rsidP="00596E24">
      <w:pPr>
        <w:rPr>
          <w:rFonts w:ascii="Times New Roman" w:hAnsi="Times New Roman" w:cs="Times New Roman"/>
        </w:rPr>
      </w:pPr>
      <w:r w:rsidRPr="008009CF">
        <w:rPr>
          <w:noProof/>
        </w:rPr>
        <w:drawing>
          <wp:inline distT="0" distB="0" distL="0" distR="0" wp14:anchorId="5521F0C9" wp14:editId="5521F0CA">
            <wp:extent cx="5924550" cy="116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1162050"/>
                    </a:xfrm>
                    <a:prstGeom prst="rect">
                      <a:avLst/>
                    </a:prstGeom>
                    <a:noFill/>
                    <a:ln>
                      <a:noFill/>
                    </a:ln>
                  </pic:spPr>
                </pic:pic>
              </a:graphicData>
            </a:graphic>
          </wp:inline>
        </w:drawing>
      </w:r>
    </w:p>
    <w:p w14:paraId="5521F095" w14:textId="77777777" w:rsidR="00C901C4" w:rsidRDefault="00C901C4" w:rsidP="00C901C4">
      <w:pPr>
        <w:ind w:firstLine="720"/>
        <w:jc w:val="both"/>
        <w:rPr>
          <w:rFonts w:ascii="Times New Roman" w:hAnsi="Times New Roman" w:cs="Times New Roman"/>
          <w:sz w:val="24"/>
          <w:szCs w:val="24"/>
        </w:rPr>
      </w:pPr>
    </w:p>
    <w:p w14:paraId="5521F096" w14:textId="77777777" w:rsidR="00EB1498" w:rsidRDefault="00FB7216" w:rsidP="005D382C">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 xml:space="preserve">The Company </w:t>
      </w:r>
      <w:r w:rsidR="00C901C4">
        <w:rPr>
          <w:rFonts w:ascii="Times New Roman" w:hAnsi="Times New Roman" w:cs="Times New Roman"/>
          <w:sz w:val="24"/>
          <w:szCs w:val="24"/>
        </w:rPr>
        <w:t>continues to track</w:t>
      </w:r>
      <w:r w:rsidRPr="00596E24">
        <w:rPr>
          <w:rFonts w:ascii="Times New Roman" w:hAnsi="Times New Roman" w:cs="Times New Roman"/>
          <w:sz w:val="24"/>
          <w:szCs w:val="24"/>
        </w:rPr>
        <w:t xml:space="preserve"> the proportion of total utility expenditures returned to customers in the form of direct incentives as a metric to</w:t>
      </w:r>
      <w:r w:rsidR="007F343F" w:rsidRPr="00596E24">
        <w:rPr>
          <w:rFonts w:ascii="Times New Roman" w:hAnsi="Times New Roman" w:cs="Times New Roman"/>
          <w:sz w:val="24"/>
          <w:szCs w:val="24"/>
        </w:rPr>
        <w:t xml:space="preserve"> </w:t>
      </w:r>
      <w:r w:rsidRPr="00596E24">
        <w:rPr>
          <w:rFonts w:ascii="Times New Roman" w:hAnsi="Times New Roman" w:cs="Times New Roman"/>
          <w:sz w:val="24"/>
          <w:szCs w:val="24"/>
        </w:rPr>
        <w:t>guide the Company towards improved administr</w:t>
      </w:r>
      <w:r w:rsidR="007F343F" w:rsidRPr="00596E24">
        <w:rPr>
          <w:rFonts w:ascii="Times New Roman" w:hAnsi="Times New Roman" w:cs="Times New Roman"/>
          <w:sz w:val="24"/>
          <w:szCs w:val="24"/>
        </w:rPr>
        <w:t>ative efficiencies.  The table below shows these proportions by i</w:t>
      </w:r>
      <w:r w:rsidR="009B6055">
        <w:rPr>
          <w:rFonts w:ascii="Times New Roman" w:hAnsi="Times New Roman" w:cs="Times New Roman"/>
          <w:sz w:val="24"/>
          <w:szCs w:val="24"/>
        </w:rPr>
        <w:t>ndividual portfolio.</w:t>
      </w:r>
    </w:p>
    <w:p w14:paraId="5521F097" w14:textId="77777777" w:rsidR="00C901C4" w:rsidRDefault="00C901C4" w:rsidP="00596E24">
      <w:pPr>
        <w:spacing w:after="0" w:line="240" w:lineRule="auto"/>
        <w:rPr>
          <w:rFonts w:ascii="Times New Roman" w:hAnsi="Times New Roman" w:cs="Times New Roman"/>
          <w:b/>
          <w:sz w:val="24"/>
          <w:szCs w:val="24"/>
          <w:u w:val="single"/>
        </w:rPr>
      </w:pPr>
    </w:p>
    <w:p w14:paraId="5521F098" w14:textId="77777777" w:rsidR="00CE32AE" w:rsidRPr="00EB1498" w:rsidRDefault="00CE32AE" w:rsidP="00596E24">
      <w:pPr>
        <w:spacing w:after="0" w:line="240" w:lineRule="auto"/>
        <w:rPr>
          <w:rFonts w:ascii="Times New Roman" w:hAnsi="Times New Roman" w:cs="Times New Roman"/>
          <w:b/>
          <w:sz w:val="24"/>
          <w:szCs w:val="24"/>
          <w:u w:val="single"/>
        </w:rPr>
      </w:pPr>
      <w:r w:rsidRPr="00EB1498">
        <w:rPr>
          <w:rFonts w:ascii="Times New Roman" w:hAnsi="Times New Roman" w:cs="Times New Roman"/>
          <w:b/>
          <w:sz w:val="24"/>
          <w:szCs w:val="24"/>
          <w:u w:val="single"/>
        </w:rPr>
        <w:t xml:space="preserve">Table </w:t>
      </w:r>
      <w:r w:rsidR="00533D34">
        <w:rPr>
          <w:rFonts w:ascii="Times New Roman" w:hAnsi="Times New Roman" w:cs="Times New Roman"/>
          <w:b/>
          <w:sz w:val="24"/>
          <w:szCs w:val="24"/>
          <w:u w:val="single"/>
        </w:rPr>
        <w:t>5</w:t>
      </w:r>
      <w:r w:rsidRPr="00EB1498">
        <w:rPr>
          <w:rFonts w:ascii="Times New Roman" w:hAnsi="Times New Roman" w:cs="Times New Roman"/>
          <w:b/>
          <w:sz w:val="24"/>
          <w:szCs w:val="24"/>
          <w:u w:val="single"/>
        </w:rPr>
        <w:t>:  Proportion of funds returned to customer through direct incentives</w:t>
      </w:r>
    </w:p>
    <w:p w14:paraId="5521F099" w14:textId="77777777" w:rsidR="005714AF" w:rsidRPr="00596E24" w:rsidRDefault="005714AF" w:rsidP="00596E24">
      <w:pPr>
        <w:spacing w:after="0" w:line="240" w:lineRule="auto"/>
        <w:rPr>
          <w:rFonts w:ascii="Times New Roman" w:hAnsi="Times New Roman" w:cs="Times New Roman"/>
          <w:sz w:val="24"/>
          <w:szCs w:val="24"/>
          <w:u w:val="single"/>
        </w:rPr>
      </w:pPr>
    </w:p>
    <w:p w14:paraId="5521F09A" w14:textId="77777777" w:rsidR="007F343F" w:rsidRPr="00596E24" w:rsidRDefault="00C901C4" w:rsidP="00F5285D">
      <w:pPr>
        <w:tabs>
          <w:tab w:val="right" w:pos="3150"/>
          <w:tab w:val="center" w:pos="4140"/>
          <w:tab w:val="center" w:pos="5400"/>
          <w:tab w:val="center" w:pos="6840"/>
          <w:tab w:val="center" w:pos="8100"/>
        </w:tabs>
        <w:spacing w:after="0" w:line="240" w:lineRule="auto"/>
        <w:jc w:val="center"/>
        <w:rPr>
          <w:rFonts w:ascii="Times New Roman" w:hAnsi="Times New Roman" w:cs="Times New Roman"/>
          <w:sz w:val="24"/>
          <w:szCs w:val="24"/>
        </w:rPr>
      </w:pPr>
      <w:r w:rsidRPr="008009CF">
        <w:rPr>
          <w:noProof/>
        </w:rPr>
        <w:drawing>
          <wp:inline distT="0" distB="0" distL="0" distR="0" wp14:anchorId="5521F0CB" wp14:editId="5521F0CC">
            <wp:extent cx="3924300" cy="400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400050"/>
                    </a:xfrm>
                    <a:prstGeom prst="rect">
                      <a:avLst/>
                    </a:prstGeom>
                    <a:noFill/>
                    <a:ln>
                      <a:noFill/>
                    </a:ln>
                  </pic:spPr>
                </pic:pic>
              </a:graphicData>
            </a:graphic>
          </wp:inline>
        </w:drawing>
      </w:r>
    </w:p>
    <w:p w14:paraId="5521F09B" w14:textId="77777777" w:rsidR="007F343F" w:rsidRPr="00596E24" w:rsidRDefault="007F343F" w:rsidP="00C901C4">
      <w:pPr>
        <w:tabs>
          <w:tab w:val="right" w:pos="3150"/>
          <w:tab w:val="decimal" w:pos="4230"/>
          <w:tab w:val="decimal" w:pos="5490"/>
          <w:tab w:val="decimal" w:pos="6930"/>
          <w:tab w:val="decimal" w:pos="8190"/>
        </w:tabs>
        <w:spacing w:after="0" w:line="240" w:lineRule="auto"/>
        <w:jc w:val="both"/>
        <w:rPr>
          <w:rFonts w:ascii="Times New Roman" w:hAnsi="Times New Roman" w:cs="Times New Roman"/>
          <w:sz w:val="24"/>
          <w:szCs w:val="24"/>
        </w:rPr>
      </w:pPr>
    </w:p>
    <w:p w14:paraId="5521F09C" w14:textId="77777777" w:rsidR="00533D34" w:rsidRDefault="007F343F" w:rsidP="005D382C">
      <w:pPr>
        <w:spacing w:after="0" w:line="360" w:lineRule="auto"/>
        <w:ind w:firstLine="720"/>
        <w:jc w:val="both"/>
        <w:rPr>
          <w:rFonts w:ascii="Times New Roman" w:hAnsi="Times New Roman" w:cs="Times New Roman"/>
          <w:sz w:val="24"/>
          <w:szCs w:val="24"/>
        </w:rPr>
      </w:pPr>
      <w:r w:rsidRPr="00596E24">
        <w:rPr>
          <w:rFonts w:ascii="Times New Roman" w:hAnsi="Times New Roman" w:cs="Times New Roman"/>
          <w:sz w:val="24"/>
          <w:szCs w:val="24"/>
        </w:rPr>
        <w:t>The program-by-program detail</w:t>
      </w:r>
      <w:r w:rsidR="00F3683D" w:rsidRPr="00596E24">
        <w:rPr>
          <w:rFonts w:ascii="Times New Roman" w:hAnsi="Times New Roman" w:cs="Times New Roman"/>
          <w:sz w:val="24"/>
          <w:szCs w:val="24"/>
        </w:rPr>
        <w:t>s</w:t>
      </w:r>
      <w:r w:rsidRPr="00596E24">
        <w:rPr>
          <w:rFonts w:ascii="Times New Roman" w:hAnsi="Times New Roman" w:cs="Times New Roman"/>
          <w:sz w:val="24"/>
          <w:szCs w:val="24"/>
        </w:rPr>
        <w:t xml:space="preserve"> of the expected incentive expenditures are provided in greater detail below.  The incentives are clearly highly correlated to program throughput and energy acquisition</w:t>
      </w:r>
      <w:r w:rsidR="00701695" w:rsidRPr="00596E24">
        <w:rPr>
          <w:rFonts w:ascii="Times New Roman" w:hAnsi="Times New Roman" w:cs="Times New Roman"/>
          <w:sz w:val="24"/>
          <w:szCs w:val="24"/>
        </w:rPr>
        <w:t>.</w:t>
      </w:r>
    </w:p>
    <w:p w14:paraId="5521F09D" w14:textId="77777777" w:rsidR="00624EEA" w:rsidRDefault="00624EEA" w:rsidP="00596E24">
      <w:pPr>
        <w:rPr>
          <w:rFonts w:ascii="Times New Roman" w:hAnsi="Times New Roman" w:cs="Times New Roman"/>
          <w:b/>
          <w:sz w:val="24"/>
          <w:szCs w:val="24"/>
          <w:u w:val="single"/>
        </w:rPr>
      </w:pPr>
    </w:p>
    <w:p w14:paraId="5521F09E" w14:textId="77777777" w:rsidR="00624EEA" w:rsidRDefault="00624EEA" w:rsidP="00596E24">
      <w:pPr>
        <w:rPr>
          <w:rFonts w:ascii="Times New Roman" w:hAnsi="Times New Roman" w:cs="Times New Roman"/>
          <w:b/>
          <w:sz w:val="24"/>
          <w:szCs w:val="24"/>
          <w:u w:val="single"/>
        </w:rPr>
      </w:pPr>
    </w:p>
    <w:p w14:paraId="5521F09F" w14:textId="77777777" w:rsidR="00624EEA" w:rsidRDefault="00624EEA" w:rsidP="00596E24">
      <w:pPr>
        <w:rPr>
          <w:rFonts w:ascii="Times New Roman" w:hAnsi="Times New Roman" w:cs="Times New Roman"/>
          <w:b/>
          <w:sz w:val="24"/>
          <w:szCs w:val="24"/>
          <w:u w:val="single"/>
        </w:rPr>
      </w:pPr>
    </w:p>
    <w:p w14:paraId="5521F0A0" w14:textId="77777777" w:rsidR="00624EEA" w:rsidRDefault="00624EEA" w:rsidP="00596E24">
      <w:pPr>
        <w:rPr>
          <w:rFonts w:ascii="Times New Roman" w:hAnsi="Times New Roman" w:cs="Times New Roman"/>
          <w:b/>
          <w:sz w:val="24"/>
          <w:szCs w:val="24"/>
          <w:u w:val="single"/>
        </w:rPr>
      </w:pPr>
    </w:p>
    <w:p w14:paraId="5521F0A1" w14:textId="77777777" w:rsidR="00624EEA" w:rsidRDefault="00624EEA" w:rsidP="00596E24">
      <w:pPr>
        <w:rPr>
          <w:rFonts w:ascii="Times New Roman" w:hAnsi="Times New Roman" w:cs="Times New Roman"/>
          <w:b/>
          <w:sz w:val="24"/>
          <w:szCs w:val="24"/>
          <w:u w:val="single"/>
        </w:rPr>
      </w:pPr>
    </w:p>
    <w:p w14:paraId="5521F0A2" w14:textId="77777777" w:rsidR="00624EEA" w:rsidRDefault="00624EEA" w:rsidP="00596E24">
      <w:pPr>
        <w:rPr>
          <w:rFonts w:ascii="Times New Roman" w:hAnsi="Times New Roman" w:cs="Times New Roman"/>
          <w:b/>
          <w:sz w:val="24"/>
          <w:szCs w:val="24"/>
          <w:u w:val="single"/>
        </w:rPr>
      </w:pPr>
    </w:p>
    <w:p w14:paraId="5521F0A3" w14:textId="77777777" w:rsidR="00624EEA" w:rsidRDefault="00624EEA" w:rsidP="00596E24">
      <w:pPr>
        <w:rPr>
          <w:rFonts w:ascii="Times New Roman" w:hAnsi="Times New Roman" w:cs="Times New Roman"/>
          <w:b/>
          <w:sz w:val="24"/>
          <w:szCs w:val="24"/>
          <w:u w:val="single"/>
        </w:rPr>
      </w:pPr>
    </w:p>
    <w:p w14:paraId="5521F0A4" w14:textId="77777777" w:rsidR="00624EEA" w:rsidRDefault="00624EEA" w:rsidP="00596E24">
      <w:pPr>
        <w:rPr>
          <w:rFonts w:ascii="Times New Roman" w:hAnsi="Times New Roman" w:cs="Times New Roman"/>
          <w:b/>
          <w:sz w:val="24"/>
          <w:szCs w:val="24"/>
          <w:u w:val="single"/>
        </w:rPr>
      </w:pPr>
    </w:p>
    <w:p w14:paraId="5521F0A5" w14:textId="77777777" w:rsidR="00624EEA" w:rsidRDefault="00624EEA" w:rsidP="00596E24">
      <w:pPr>
        <w:rPr>
          <w:rFonts w:ascii="Times New Roman" w:hAnsi="Times New Roman" w:cs="Times New Roman"/>
          <w:b/>
          <w:sz w:val="24"/>
          <w:szCs w:val="24"/>
          <w:u w:val="single"/>
        </w:rPr>
      </w:pPr>
    </w:p>
    <w:p w14:paraId="5521F0A6" w14:textId="77777777" w:rsidR="00624EEA" w:rsidRDefault="00624EEA" w:rsidP="00596E24">
      <w:pPr>
        <w:rPr>
          <w:rFonts w:ascii="Times New Roman" w:hAnsi="Times New Roman" w:cs="Times New Roman"/>
          <w:b/>
          <w:sz w:val="24"/>
          <w:szCs w:val="24"/>
          <w:u w:val="single"/>
        </w:rPr>
      </w:pPr>
    </w:p>
    <w:p w14:paraId="5521F0A7" w14:textId="77777777" w:rsidR="00624EEA" w:rsidRDefault="00624EEA" w:rsidP="00596E24">
      <w:pPr>
        <w:rPr>
          <w:rFonts w:ascii="Times New Roman" w:hAnsi="Times New Roman" w:cs="Times New Roman"/>
          <w:b/>
          <w:sz w:val="24"/>
          <w:szCs w:val="24"/>
          <w:u w:val="single"/>
        </w:rPr>
      </w:pPr>
    </w:p>
    <w:p w14:paraId="5521F0A8" w14:textId="77777777" w:rsidR="00CE32AE" w:rsidRPr="00EB1498" w:rsidRDefault="00CE32AE" w:rsidP="00596E24">
      <w:pPr>
        <w:rPr>
          <w:rFonts w:ascii="Times New Roman" w:hAnsi="Times New Roman" w:cs="Times New Roman"/>
          <w:sz w:val="24"/>
          <w:szCs w:val="24"/>
          <w:u w:val="single"/>
        </w:rPr>
      </w:pPr>
      <w:r w:rsidRPr="00EB1498">
        <w:rPr>
          <w:rFonts w:ascii="Times New Roman" w:hAnsi="Times New Roman" w:cs="Times New Roman"/>
          <w:b/>
          <w:sz w:val="24"/>
          <w:szCs w:val="24"/>
          <w:u w:val="single"/>
        </w:rPr>
        <w:lastRenderedPageBreak/>
        <w:t xml:space="preserve">Table </w:t>
      </w:r>
      <w:r w:rsidR="00533D34">
        <w:rPr>
          <w:rFonts w:ascii="Times New Roman" w:hAnsi="Times New Roman" w:cs="Times New Roman"/>
          <w:b/>
          <w:sz w:val="24"/>
          <w:szCs w:val="24"/>
          <w:u w:val="single"/>
        </w:rPr>
        <w:t>6</w:t>
      </w:r>
      <w:r w:rsidRPr="00EB1498">
        <w:rPr>
          <w:rFonts w:ascii="Times New Roman" w:hAnsi="Times New Roman" w:cs="Times New Roman"/>
          <w:b/>
          <w:sz w:val="24"/>
          <w:szCs w:val="24"/>
          <w:u w:val="single"/>
        </w:rPr>
        <w:t>:  Customer direct incentive expenditure detail</w:t>
      </w:r>
    </w:p>
    <w:p w14:paraId="5521F0A9" w14:textId="77777777" w:rsidR="00CE32AE" w:rsidRDefault="00C901C4" w:rsidP="00F5285D">
      <w:pPr>
        <w:jc w:val="center"/>
        <w:rPr>
          <w:rFonts w:cs="Times New Roman"/>
        </w:rPr>
      </w:pPr>
      <w:r w:rsidRPr="008009CF">
        <w:rPr>
          <w:noProof/>
        </w:rPr>
        <w:drawing>
          <wp:inline distT="0" distB="0" distL="0" distR="0" wp14:anchorId="5521F0CD" wp14:editId="5521F0CE">
            <wp:extent cx="3924300" cy="5810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5810250"/>
                    </a:xfrm>
                    <a:prstGeom prst="rect">
                      <a:avLst/>
                    </a:prstGeom>
                    <a:noFill/>
                    <a:ln>
                      <a:noFill/>
                    </a:ln>
                  </pic:spPr>
                </pic:pic>
              </a:graphicData>
            </a:graphic>
          </wp:inline>
        </w:drawing>
      </w:r>
    </w:p>
    <w:p w14:paraId="5521F0AA" w14:textId="77777777" w:rsidR="00BD2273" w:rsidRDefault="00BD2273" w:rsidP="00F5285D">
      <w:pPr>
        <w:jc w:val="center"/>
        <w:rPr>
          <w:rFonts w:cs="Times New Roman"/>
        </w:rPr>
      </w:pPr>
    </w:p>
    <w:p w14:paraId="5521F0AB" w14:textId="77777777" w:rsidR="00D0374A" w:rsidRDefault="00362FC3" w:rsidP="005D382C">
      <w:pPr>
        <w:spacing w:after="0" w:line="360" w:lineRule="auto"/>
        <w:ind w:firstLine="720"/>
        <w:jc w:val="both"/>
        <w:rPr>
          <w:rFonts w:ascii="Times New Roman" w:hAnsi="Times New Roman" w:cs="Times New Roman"/>
          <w:sz w:val="24"/>
          <w:szCs w:val="24"/>
        </w:rPr>
      </w:pPr>
      <w:r w:rsidRPr="00EB1498">
        <w:rPr>
          <w:rFonts w:ascii="Times New Roman" w:hAnsi="Times New Roman" w:cs="Times New Roman"/>
          <w:sz w:val="24"/>
          <w:szCs w:val="24"/>
        </w:rPr>
        <w:t xml:space="preserve">The non-incentive expense, including both non-supplemental and supplemental expenditures, is detailed to a lower level of aggregation and broken out by portfolio in the table below. </w:t>
      </w:r>
      <w:r w:rsidR="00970BAC">
        <w:rPr>
          <w:rFonts w:ascii="Times New Roman" w:hAnsi="Times New Roman" w:cs="Times New Roman"/>
          <w:sz w:val="24"/>
          <w:szCs w:val="24"/>
        </w:rPr>
        <w:t>The allocation of these expenses is allocated by the percentage of value provided by each program</w:t>
      </w:r>
      <w:r w:rsidRPr="00EB1498">
        <w:rPr>
          <w:rFonts w:ascii="Times New Roman" w:hAnsi="Times New Roman" w:cs="Times New Roman"/>
          <w:sz w:val="24"/>
          <w:szCs w:val="24"/>
        </w:rPr>
        <w:t>.  The policy regarding assigning costs is based upon the source of the requirement or justification for the expense and the portfolio benefiting from the outcome of that expense</w:t>
      </w:r>
      <w:r w:rsidR="004A7D65">
        <w:rPr>
          <w:rFonts w:ascii="Times New Roman" w:hAnsi="Times New Roman" w:cs="Times New Roman"/>
          <w:sz w:val="24"/>
          <w:szCs w:val="24"/>
        </w:rPr>
        <w:t>.</w:t>
      </w:r>
    </w:p>
    <w:p w14:paraId="5521F0AC" w14:textId="77777777" w:rsidR="00970BAC" w:rsidRDefault="00970BAC" w:rsidP="00A558DA">
      <w:pPr>
        <w:spacing w:after="0" w:line="240" w:lineRule="auto"/>
        <w:rPr>
          <w:rFonts w:ascii="Times New Roman" w:eastAsia="Times New Roman" w:hAnsi="Times New Roman" w:cs="Times New Roman"/>
          <w:b/>
          <w:bCs/>
          <w:color w:val="000000"/>
          <w:sz w:val="24"/>
          <w:szCs w:val="24"/>
          <w:u w:val="single"/>
        </w:rPr>
      </w:pPr>
    </w:p>
    <w:p w14:paraId="5521F0AD" w14:textId="77777777" w:rsidR="00C901C4" w:rsidRDefault="00C901C4" w:rsidP="00A558DA">
      <w:pPr>
        <w:spacing w:after="0" w:line="240" w:lineRule="auto"/>
        <w:rPr>
          <w:rFonts w:ascii="Times New Roman" w:eastAsia="Times New Roman" w:hAnsi="Times New Roman" w:cs="Times New Roman"/>
          <w:b/>
          <w:bCs/>
          <w:color w:val="000000"/>
          <w:sz w:val="24"/>
          <w:szCs w:val="24"/>
          <w:u w:val="single"/>
        </w:rPr>
      </w:pPr>
    </w:p>
    <w:p w14:paraId="5521F0AE" w14:textId="77777777" w:rsidR="00A558DA" w:rsidRDefault="00A558DA" w:rsidP="00A558DA">
      <w:pPr>
        <w:spacing w:after="0" w:line="240" w:lineRule="auto"/>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Table </w:t>
      </w:r>
      <w:r w:rsidR="00533D34">
        <w:rPr>
          <w:rFonts w:ascii="Times New Roman" w:eastAsia="Times New Roman" w:hAnsi="Times New Roman" w:cs="Times New Roman"/>
          <w:b/>
          <w:bCs/>
          <w:color w:val="000000"/>
          <w:sz w:val="24"/>
          <w:szCs w:val="24"/>
          <w:u w:val="single"/>
        </w:rPr>
        <w:t>7</w:t>
      </w:r>
      <w:r>
        <w:rPr>
          <w:rFonts w:ascii="Times New Roman" w:eastAsia="Times New Roman" w:hAnsi="Times New Roman" w:cs="Times New Roman"/>
          <w:b/>
          <w:bCs/>
          <w:color w:val="000000"/>
          <w:sz w:val="24"/>
          <w:szCs w:val="24"/>
          <w:u w:val="single"/>
        </w:rPr>
        <w:t>: Non-Incentive Utility Expense Detail</w:t>
      </w:r>
    </w:p>
    <w:p w14:paraId="5521F0AF" w14:textId="77777777" w:rsidR="00F46660" w:rsidRPr="00CB4102" w:rsidRDefault="00C901C4" w:rsidP="00CB4102">
      <w:pPr>
        <w:jc w:val="both"/>
        <w:rPr>
          <w:rFonts w:cs="Times New Roman"/>
        </w:rPr>
      </w:pPr>
      <w:r w:rsidRPr="006449B5">
        <w:rPr>
          <w:noProof/>
        </w:rPr>
        <w:drawing>
          <wp:inline distT="0" distB="0" distL="0" distR="0" wp14:anchorId="5521F0CF" wp14:editId="5521F0D0">
            <wp:extent cx="5925185" cy="2896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185" cy="2896870"/>
                    </a:xfrm>
                    <a:prstGeom prst="rect">
                      <a:avLst/>
                    </a:prstGeom>
                    <a:noFill/>
                    <a:ln>
                      <a:noFill/>
                    </a:ln>
                  </pic:spPr>
                </pic:pic>
              </a:graphicData>
            </a:graphic>
          </wp:inline>
        </w:drawing>
      </w:r>
    </w:p>
    <w:p w14:paraId="5521F0B0" w14:textId="77777777" w:rsidR="00BA3EED" w:rsidRPr="00CB4102" w:rsidRDefault="00BA3EED" w:rsidP="00CB4102">
      <w:pPr>
        <w:jc w:val="both"/>
        <w:rPr>
          <w:rFonts w:cs="Times New Roman"/>
        </w:rPr>
      </w:pPr>
    </w:p>
    <w:sectPr w:rsidR="00BA3EED" w:rsidRPr="00CB4102" w:rsidSect="00250B90">
      <w:footerReference w:type="defaul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1F0D3" w14:textId="77777777" w:rsidR="000211D8" w:rsidRDefault="000211D8" w:rsidP="007C2031">
      <w:pPr>
        <w:spacing w:after="0" w:line="240" w:lineRule="auto"/>
      </w:pPr>
      <w:r>
        <w:separator/>
      </w:r>
    </w:p>
  </w:endnote>
  <w:endnote w:type="continuationSeparator" w:id="0">
    <w:p w14:paraId="5521F0D4" w14:textId="77777777" w:rsidR="000211D8" w:rsidRDefault="000211D8" w:rsidP="007C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1F0D5" w14:textId="77777777" w:rsidR="00820FE2" w:rsidRDefault="00820FE2">
    <w:pPr>
      <w:pStyle w:val="Footer"/>
      <w:pBdr>
        <w:top w:val="thinThickSmallGap" w:sz="24" w:space="1" w:color="622423" w:themeColor="accent2" w:themeShade="7F"/>
      </w:pBdr>
      <w:rPr>
        <w:rFonts w:asciiTheme="majorHAnsi" w:hAnsiTheme="majorHAnsi"/>
      </w:rPr>
    </w:pPr>
    <w:r>
      <w:rPr>
        <w:rFonts w:asciiTheme="majorHAnsi" w:hAnsiTheme="majorHAnsi"/>
      </w:rPr>
      <w:t>2017 Annual Conservation Plan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0C1EF6" w:rsidRPr="000C1EF6">
      <w:rPr>
        <w:rFonts w:asciiTheme="majorHAnsi" w:hAnsiTheme="majorHAnsi"/>
        <w:noProof/>
      </w:rPr>
      <w:t>2</w:t>
    </w:r>
    <w:r>
      <w:rPr>
        <w:rFonts w:asciiTheme="majorHAnsi" w:hAnsiTheme="majorHAnsi"/>
        <w:noProof/>
      </w:rPr>
      <w:fldChar w:fldCharType="end"/>
    </w:r>
  </w:p>
  <w:p w14:paraId="5521F0D6" w14:textId="77777777" w:rsidR="00820FE2" w:rsidRDefault="00820F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1F0D1" w14:textId="77777777" w:rsidR="000211D8" w:rsidRDefault="000211D8" w:rsidP="007C2031">
      <w:pPr>
        <w:spacing w:after="0" w:line="240" w:lineRule="auto"/>
      </w:pPr>
      <w:r>
        <w:separator/>
      </w:r>
    </w:p>
  </w:footnote>
  <w:footnote w:type="continuationSeparator" w:id="0">
    <w:p w14:paraId="5521F0D2" w14:textId="77777777" w:rsidR="000211D8" w:rsidRDefault="000211D8" w:rsidP="007C2031">
      <w:pPr>
        <w:spacing w:after="0" w:line="240" w:lineRule="auto"/>
      </w:pPr>
      <w:r>
        <w:continuationSeparator/>
      </w:r>
    </w:p>
  </w:footnote>
  <w:footnote w:id="1">
    <w:p w14:paraId="5521F0D7" w14:textId="77777777" w:rsidR="00820FE2" w:rsidRPr="0005245F" w:rsidRDefault="00820FE2">
      <w:pPr>
        <w:pStyle w:val="FootnoteText"/>
        <w:rPr>
          <w:rFonts w:ascii="Times New Roman" w:hAnsi="Times New Roman" w:cs="Times New Roman"/>
        </w:rPr>
      </w:pPr>
      <w:r w:rsidRPr="0005245F">
        <w:rPr>
          <w:rStyle w:val="FootnoteReference"/>
          <w:rFonts w:ascii="Times New Roman" w:hAnsi="Times New Roman" w:cs="Times New Roman"/>
        </w:rPr>
        <w:footnoteRef/>
      </w:r>
      <w:r w:rsidRPr="0005245F">
        <w:rPr>
          <w:rFonts w:ascii="Times New Roman" w:hAnsi="Times New Roman" w:cs="Times New Roman"/>
        </w:rPr>
        <w:t xml:space="preserve"> On or before November 15th of each even-numbered year, a utility must file with the commission, in the same docket as its current biennial conservation plan, an annual conservation plan containing any changes to program details and annual budget.</w:t>
      </w:r>
    </w:p>
  </w:footnote>
  <w:footnote w:id="2">
    <w:p w14:paraId="5521F0D8" w14:textId="77777777" w:rsidR="00820FE2" w:rsidRPr="0005245F" w:rsidRDefault="00820FE2" w:rsidP="0005245F">
      <w:pPr>
        <w:pStyle w:val="FootnoteText"/>
        <w:jc w:val="both"/>
        <w:rPr>
          <w:rFonts w:ascii="Times New Roman" w:hAnsi="Times New Roman" w:cs="Times New Roman"/>
        </w:rPr>
      </w:pPr>
      <w:r w:rsidRPr="0005245F">
        <w:rPr>
          <w:rStyle w:val="FootnoteReference"/>
          <w:rFonts w:ascii="Times New Roman" w:hAnsi="Times New Roman" w:cs="Times New Roman"/>
        </w:rPr>
        <w:footnoteRef/>
      </w:r>
      <w:r w:rsidRPr="0005245F">
        <w:rPr>
          <w:rFonts w:ascii="Times New Roman" w:hAnsi="Times New Roman" w:cs="Times New Roman"/>
        </w:rPr>
        <w:t xml:space="preserve"> WAC 480-109-100(2)(b) This projection must be derived from the utility's most recent IRP, including any information learned in its subsequent resource acquisition process, or the utility must document the reasons for any differences. When developing this projection, utilities must use methodologies that are consistent with those used in the Northwest Conservation and Electric Power Plan.</w:t>
      </w:r>
    </w:p>
  </w:footnote>
  <w:footnote w:id="3">
    <w:p w14:paraId="5521F0D9" w14:textId="77777777" w:rsidR="00820FE2" w:rsidRPr="0005245F" w:rsidRDefault="00820FE2" w:rsidP="0005245F">
      <w:pPr>
        <w:pStyle w:val="FootnoteText"/>
        <w:jc w:val="both"/>
        <w:rPr>
          <w:rFonts w:ascii="Times New Roman" w:hAnsi="Times New Roman" w:cs="Times New Roman"/>
        </w:rPr>
      </w:pPr>
      <w:r w:rsidRPr="0005245F">
        <w:rPr>
          <w:rStyle w:val="FootnoteReference"/>
          <w:rFonts w:ascii="Times New Roman" w:hAnsi="Times New Roman" w:cs="Times New Roman"/>
        </w:rPr>
        <w:footnoteRef/>
      </w:r>
      <w:r w:rsidRPr="0005245F">
        <w:rPr>
          <w:rFonts w:ascii="Times New Roman" w:hAnsi="Times New Roman" w:cs="Times New Roman"/>
        </w:rPr>
        <w:t xml:space="preserve"> WAC 480-109-100(3)(b) The biennial conservation target must be no lower than a pro rata share of the utility's ten-year conservation potential.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hanging="360"/>
      </w:pPr>
      <w:rPr>
        <w:rFonts w:ascii="Arial" w:hAnsi="Arial" w:cs="Arial"/>
        <w:b/>
        <w:bCs/>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1565C2A"/>
    <w:multiLevelType w:val="hybridMultilevel"/>
    <w:tmpl w:val="E21042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7F4652"/>
    <w:multiLevelType w:val="hybridMultilevel"/>
    <w:tmpl w:val="6DA01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C6671"/>
    <w:multiLevelType w:val="hybridMultilevel"/>
    <w:tmpl w:val="6A82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9740C"/>
    <w:multiLevelType w:val="hybridMultilevel"/>
    <w:tmpl w:val="CF185392"/>
    <w:lvl w:ilvl="0" w:tplc="31FC0CC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35684"/>
    <w:multiLevelType w:val="hybridMultilevel"/>
    <w:tmpl w:val="9AAE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80EE2"/>
    <w:multiLevelType w:val="hybridMultilevel"/>
    <w:tmpl w:val="87D8D174"/>
    <w:lvl w:ilvl="0" w:tplc="F56828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F49E1"/>
    <w:multiLevelType w:val="hybridMultilevel"/>
    <w:tmpl w:val="F80C89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A608CB"/>
    <w:multiLevelType w:val="hybridMultilevel"/>
    <w:tmpl w:val="E940E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E3119A"/>
    <w:multiLevelType w:val="hybridMultilevel"/>
    <w:tmpl w:val="D978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07C2D"/>
    <w:multiLevelType w:val="hybridMultilevel"/>
    <w:tmpl w:val="4A2CE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B18B5"/>
    <w:multiLevelType w:val="hybridMultilevel"/>
    <w:tmpl w:val="FDD0B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D5584B"/>
    <w:multiLevelType w:val="hybridMultilevel"/>
    <w:tmpl w:val="067E6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131667"/>
    <w:multiLevelType w:val="hybridMultilevel"/>
    <w:tmpl w:val="3488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76B28"/>
    <w:multiLevelType w:val="hybridMultilevel"/>
    <w:tmpl w:val="D4BA960E"/>
    <w:lvl w:ilvl="0" w:tplc="4F085D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F62CB"/>
    <w:multiLevelType w:val="hybridMultilevel"/>
    <w:tmpl w:val="CA8C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729B5"/>
    <w:multiLevelType w:val="hybridMultilevel"/>
    <w:tmpl w:val="485AF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517BF2"/>
    <w:multiLevelType w:val="hybridMultilevel"/>
    <w:tmpl w:val="9BC8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7B33E0"/>
    <w:multiLevelType w:val="hybridMultilevel"/>
    <w:tmpl w:val="B34A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561C23"/>
    <w:multiLevelType w:val="hybridMultilevel"/>
    <w:tmpl w:val="5AAE5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463C3"/>
    <w:multiLevelType w:val="hybridMultilevel"/>
    <w:tmpl w:val="E7DE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42F57"/>
    <w:multiLevelType w:val="hybridMultilevel"/>
    <w:tmpl w:val="D4BA960E"/>
    <w:lvl w:ilvl="0" w:tplc="4F085D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C4023"/>
    <w:multiLevelType w:val="hybridMultilevel"/>
    <w:tmpl w:val="73B0888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 w15:restartNumberingAfterBreak="0">
    <w:nsid w:val="4CB32F3E"/>
    <w:multiLevelType w:val="hybridMultilevel"/>
    <w:tmpl w:val="EA544BBA"/>
    <w:lvl w:ilvl="0" w:tplc="99B8C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3325F2"/>
    <w:multiLevelType w:val="hybridMultilevel"/>
    <w:tmpl w:val="8FC05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075C15"/>
    <w:multiLevelType w:val="hybridMultilevel"/>
    <w:tmpl w:val="B1F0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420309"/>
    <w:multiLevelType w:val="hybridMultilevel"/>
    <w:tmpl w:val="25D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5459FD"/>
    <w:multiLevelType w:val="hybridMultilevel"/>
    <w:tmpl w:val="07B6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8"/>
  </w:num>
  <w:num w:numId="4">
    <w:abstractNumId w:val="19"/>
  </w:num>
  <w:num w:numId="5">
    <w:abstractNumId w:val="21"/>
  </w:num>
  <w:num w:numId="6">
    <w:abstractNumId w:val="13"/>
  </w:num>
  <w:num w:numId="7">
    <w:abstractNumId w:val="20"/>
  </w:num>
  <w:num w:numId="8">
    <w:abstractNumId w:val="11"/>
  </w:num>
  <w:num w:numId="9">
    <w:abstractNumId w:val="0"/>
  </w:num>
  <w:num w:numId="10">
    <w:abstractNumId w:val="24"/>
  </w:num>
  <w:num w:numId="11">
    <w:abstractNumId w:val="23"/>
  </w:num>
  <w:num w:numId="12">
    <w:abstractNumId w:val="15"/>
  </w:num>
  <w:num w:numId="13">
    <w:abstractNumId w:val="5"/>
  </w:num>
  <w:num w:numId="14">
    <w:abstractNumId w:val="2"/>
  </w:num>
  <w:num w:numId="15">
    <w:abstractNumId w:val="27"/>
  </w:num>
  <w:num w:numId="16">
    <w:abstractNumId w:val="22"/>
  </w:num>
  <w:num w:numId="17">
    <w:abstractNumId w:val="12"/>
  </w:num>
  <w:num w:numId="18">
    <w:abstractNumId w:val="25"/>
  </w:num>
  <w:num w:numId="19">
    <w:abstractNumId w:val="6"/>
  </w:num>
  <w:num w:numId="20">
    <w:abstractNumId w:val="26"/>
  </w:num>
  <w:num w:numId="21">
    <w:abstractNumId w:val="10"/>
  </w:num>
  <w:num w:numId="22">
    <w:abstractNumId w:val="18"/>
  </w:num>
  <w:num w:numId="23">
    <w:abstractNumId w:val="7"/>
  </w:num>
  <w:num w:numId="24">
    <w:abstractNumId w:val="1"/>
  </w:num>
  <w:num w:numId="25">
    <w:abstractNumId w:val="16"/>
  </w:num>
  <w:num w:numId="26">
    <w:abstractNumId w:val="3"/>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D9B"/>
    <w:rsid w:val="00004FA8"/>
    <w:rsid w:val="00014067"/>
    <w:rsid w:val="00014993"/>
    <w:rsid w:val="00016DA3"/>
    <w:rsid w:val="000174C3"/>
    <w:rsid w:val="000179DB"/>
    <w:rsid w:val="000211D8"/>
    <w:rsid w:val="0002790B"/>
    <w:rsid w:val="00044563"/>
    <w:rsid w:val="00044E02"/>
    <w:rsid w:val="0005245F"/>
    <w:rsid w:val="00057A94"/>
    <w:rsid w:val="0006140D"/>
    <w:rsid w:val="00064A02"/>
    <w:rsid w:val="00064AF3"/>
    <w:rsid w:val="000670CF"/>
    <w:rsid w:val="00070006"/>
    <w:rsid w:val="00075AA1"/>
    <w:rsid w:val="000827CE"/>
    <w:rsid w:val="0008386C"/>
    <w:rsid w:val="00083EA0"/>
    <w:rsid w:val="00085541"/>
    <w:rsid w:val="0008599E"/>
    <w:rsid w:val="000945C3"/>
    <w:rsid w:val="00097A38"/>
    <w:rsid w:val="000A04D4"/>
    <w:rsid w:val="000A778B"/>
    <w:rsid w:val="000B303C"/>
    <w:rsid w:val="000B6B41"/>
    <w:rsid w:val="000B70A2"/>
    <w:rsid w:val="000C1EF6"/>
    <w:rsid w:val="000D0C42"/>
    <w:rsid w:val="000D3BEB"/>
    <w:rsid w:val="000D6436"/>
    <w:rsid w:val="000E11D4"/>
    <w:rsid w:val="000E122C"/>
    <w:rsid w:val="000E1968"/>
    <w:rsid w:val="000F12A9"/>
    <w:rsid w:val="000F585C"/>
    <w:rsid w:val="000F670B"/>
    <w:rsid w:val="000F6D20"/>
    <w:rsid w:val="00101070"/>
    <w:rsid w:val="00105BF6"/>
    <w:rsid w:val="00106A18"/>
    <w:rsid w:val="00110E2C"/>
    <w:rsid w:val="00115ADF"/>
    <w:rsid w:val="001224F5"/>
    <w:rsid w:val="001313B5"/>
    <w:rsid w:val="001332D9"/>
    <w:rsid w:val="001346D3"/>
    <w:rsid w:val="00137A36"/>
    <w:rsid w:val="00141005"/>
    <w:rsid w:val="00141FAD"/>
    <w:rsid w:val="00142400"/>
    <w:rsid w:val="00144406"/>
    <w:rsid w:val="00146A2A"/>
    <w:rsid w:val="00150141"/>
    <w:rsid w:val="00157B78"/>
    <w:rsid w:val="00161457"/>
    <w:rsid w:val="001621BE"/>
    <w:rsid w:val="00163A86"/>
    <w:rsid w:val="00167222"/>
    <w:rsid w:val="00171538"/>
    <w:rsid w:val="00174B4C"/>
    <w:rsid w:val="00180365"/>
    <w:rsid w:val="001851EE"/>
    <w:rsid w:val="001909FF"/>
    <w:rsid w:val="00194F5A"/>
    <w:rsid w:val="001A1C38"/>
    <w:rsid w:val="001B1E68"/>
    <w:rsid w:val="001B3107"/>
    <w:rsid w:val="001B4145"/>
    <w:rsid w:val="001B4709"/>
    <w:rsid w:val="001B4CCB"/>
    <w:rsid w:val="001B6705"/>
    <w:rsid w:val="001C07D5"/>
    <w:rsid w:val="001C2AAF"/>
    <w:rsid w:val="001C47EC"/>
    <w:rsid w:val="001C7B22"/>
    <w:rsid w:val="001D6FB3"/>
    <w:rsid w:val="001E28B7"/>
    <w:rsid w:val="001E5718"/>
    <w:rsid w:val="001F1D3B"/>
    <w:rsid w:val="001F2AC9"/>
    <w:rsid w:val="001F3764"/>
    <w:rsid w:val="001F7C5C"/>
    <w:rsid w:val="0020741F"/>
    <w:rsid w:val="00212596"/>
    <w:rsid w:val="00217DB6"/>
    <w:rsid w:val="00220639"/>
    <w:rsid w:val="002219C5"/>
    <w:rsid w:val="0022310B"/>
    <w:rsid w:val="002304F1"/>
    <w:rsid w:val="0023126F"/>
    <w:rsid w:val="00234652"/>
    <w:rsid w:val="00236663"/>
    <w:rsid w:val="00236DD0"/>
    <w:rsid w:val="00237CA4"/>
    <w:rsid w:val="0024068D"/>
    <w:rsid w:val="00250B90"/>
    <w:rsid w:val="00252C72"/>
    <w:rsid w:val="00255492"/>
    <w:rsid w:val="00271661"/>
    <w:rsid w:val="00272873"/>
    <w:rsid w:val="00272893"/>
    <w:rsid w:val="00274430"/>
    <w:rsid w:val="002747BC"/>
    <w:rsid w:val="00276D08"/>
    <w:rsid w:val="00283142"/>
    <w:rsid w:val="00285D08"/>
    <w:rsid w:val="00287C6E"/>
    <w:rsid w:val="00291306"/>
    <w:rsid w:val="00292CD3"/>
    <w:rsid w:val="00294882"/>
    <w:rsid w:val="00294B2F"/>
    <w:rsid w:val="00295EDB"/>
    <w:rsid w:val="002A19C0"/>
    <w:rsid w:val="002A303E"/>
    <w:rsid w:val="002A3592"/>
    <w:rsid w:val="002B03E7"/>
    <w:rsid w:val="002B11CD"/>
    <w:rsid w:val="002B39A1"/>
    <w:rsid w:val="002B68B5"/>
    <w:rsid w:val="002B7DAB"/>
    <w:rsid w:val="002C1B81"/>
    <w:rsid w:val="002C1F53"/>
    <w:rsid w:val="002C68B0"/>
    <w:rsid w:val="002D139C"/>
    <w:rsid w:val="002D2321"/>
    <w:rsid w:val="002D3D98"/>
    <w:rsid w:val="002E0DA2"/>
    <w:rsid w:val="002F5C81"/>
    <w:rsid w:val="002F6658"/>
    <w:rsid w:val="00303AD5"/>
    <w:rsid w:val="003101F2"/>
    <w:rsid w:val="00313DAA"/>
    <w:rsid w:val="00316D2E"/>
    <w:rsid w:val="00324BB1"/>
    <w:rsid w:val="00327E2C"/>
    <w:rsid w:val="00333504"/>
    <w:rsid w:val="00340200"/>
    <w:rsid w:val="00343466"/>
    <w:rsid w:val="0034437D"/>
    <w:rsid w:val="00344B21"/>
    <w:rsid w:val="00345F09"/>
    <w:rsid w:val="003462C4"/>
    <w:rsid w:val="0034673F"/>
    <w:rsid w:val="003472C3"/>
    <w:rsid w:val="0035504F"/>
    <w:rsid w:val="00356FC0"/>
    <w:rsid w:val="00357176"/>
    <w:rsid w:val="00362FC3"/>
    <w:rsid w:val="00366C8F"/>
    <w:rsid w:val="00367D58"/>
    <w:rsid w:val="00367DB3"/>
    <w:rsid w:val="00370AC9"/>
    <w:rsid w:val="003733C0"/>
    <w:rsid w:val="003753B1"/>
    <w:rsid w:val="00392DCB"/>
    <w:rsid w:val="003A26E3"/>
    <w:rsid w:val="003A4FA2"/>
    <w:rsid w:val="003B082D"/>
    <w:rsid w:val="003B7D38"/>
    <w:rsid w:val="003B7DB0"/>
    <w:rsid w:val="003C36D5"/>
    <w:rsid w:val="003D39B9"/>
    <w:rsid w:val="003D61D1"/>
    <w:rsid w:val="003E1629"/>
    <w:rsid w:val="003F025B"/>
    <w:rsid w:val="00402FB5"/>
    <w:rsid w:val="00412CCA"/>
    <w:rsid w:val="004144C7"/>
    <w:rsid w:val="004213AD"/>
    <w:rsid w:val="004222BA"/>
    <w:rsid w:val="00423898"/>
    <w:rsid w:val="004253EE"/>
    <w:rsid w:val="004272A9"/>
    <w:rsid w:val="00443D51"/>
    <w:rsid w:val="0045621A"/>
    <w:rsid w:val="00465C34"/>
    <w:rsid w:val="004666A0"/>
    <w:rsid w:val="004669A4"/>
    <w:rsid w:val="004714AB"/>
    <w:rsid w:val="0047182A"/>
    <w:rsid w:val="00480ACB"/>
    <w:rsid w:val="00480EDD"/>
    <w:rsid w:val="00482A82"/>
    <w:rsid w:val="00491BB9"/>
    <w:rsid w:val="004966B8"/>
    <w:rsid w:val="004971A6"/>
    <w:rsid w:val="00497202"/>
    <w:rsid w:val="004A6124"/>
    <w:rsid w:val="004A7D65"/>
    <w:rsid w:val="004B00EE"/>
    <w:rsid w:val="004B3476"/>
    <w:rsid w:val="004B5D23"/>
    <w:rsid w:val="004C0D39"/>
    <w:rsid w:val="004C1576"/>
    <w:rsid w:val="004C243E"/>
    <w:rsid w:val="004C25BF"/>
    <w:rsid w:val="004C26CE"/>
    <w:rsid w:val="004C4204"/>
    <w:rsid w:val="004D6D9B"/>
    <w:rsid w:val="004D74A1"/>
    <w:rsid w:val="004E0119"/>
    <w:rsid w:val="004E2B86"/>
    <w:rsid w:val="004E358E"/>
    <w:rsid w:val="004E3AA5"/>
    <w:rsid w:val="004E5E34"/>
    <w:rsid w:val="004F1E2E"/>
    <w:rsid w:val="004F5F6A"/>
    <w:rsid w:val="004F7277"/>
    <w:rsid w:val="005005EE"/>
    <w:rsid w:val="005005F8"/>
    <w:rsid w:val="00504F2B"/>
    <w:rsid w:val="00505E36"/>
    <w:rsid w:val="0051108E"/>
    <w:rsid w:val="00511903"/>
    <w:rsid w:val="00521A75"/>
    <w:rsid w:val="005250AB"/>
    <w:rsid w:val="00526570"/>
    <w:rsid w:val="00531EB0"/>
    <w:rsid w:val="00533D34"/>
    <w:rsid w:val="00541513"/>
    <w:rsid w:val="005433E4"/>
    <w:rsid w:val="005564DF"/>
    <w:rsid w:val="00563528"/>
    <w:rsid w:val="00564581"/>
    <w:rsid w:val="005647A4"/>
    <w:rsid w:val="005714AF"/>
    <w:rsid w:val="0057404B"/>
    <w:rsid w:val="005835C0"/>
    <w:rsid w:val="005855F4"/>
    <w:rsid w:val="00596E24"/>
    <w:rsid w:val="005A0782"/>
    <w:rsid w:val="005A1CFB"/>
    <w:rsid w:val="005A351F"/>
    <w:rsid w:val="005A3645"/>
    <w:rsid w:val="005A5011"/>
    <w:rsid w:val="005A5EC6"/>
    <w:rsid w:val="005B2F50"/>
    <w:rsid w:val="005B385E"/>
    <w:rsid w:val="005C258D"/>
    <w:rsid w:val="005C2F29"/>
    <w:rsid w:val="005C4CB0"/>
    <w:rsid w:val="005C63DA"/>
    <w:rsid w:val="005D0246"/>
    <w:rsid w:val="005D382C"/>
    <w:rsid w:val="005D7280"/>
    <w:rsid w:val="005E1491"/>
    <w:rsid w:val="005E2D49"/>
    <w:rsid w:val="005F4F95"/>
    <w:rsid w:val="005F63DB"/>
    <w:rsid w:val="005F6A06"/>
    <w:rsid w:val="005F7B10"/>
    <w:rsid w:val="00612740"/>
    <w:rsid w:val="00613219"/>
    <w:rsid w:val="006133F0"/>
    <w:rsid w:val="006155B0"/>
    <w:rsid w:val="00617981"/>
    <w:rsid w:val="0062025D"/>
    <w:rsid w:val="00624961"/>
    <w:rsid w:val="00624EEA"/>
    <w:rsid w:val="00630772"/>
    <w:rsid w:val="00632A63"/>
    <w:rsid w:val="00636713"/>
    <w:rsid w:val="0063676F"/>
    <w:rsid w:val="006416AD"/>
    <w:rsid w:val="006449B5"/>
    <w:rsid w:val="00647AD2"/>
    <w:rsid w:val="00651859"/>
    <w:rsid w:val="00653C7D"/>
    <w:rsid w:val="00656666"/>
    <w:rsid w:val="0066551C"/>
    <w:rsid w:val="00666030"/>
    <w:rsid w:val="00670738"/>
    <w:rsid w:val="006710C8"/>
    <w:rsid w:val="0067517A"/>
    <w:rsid w:val="006814D8"/>
    <w:rsid w:val="00685F0C"/>
    <w:rsid w:val="006868FE"/>
    <w:rsid w:val="00687454"/>
    <w:rsid w:val="006933B9"/>
    <w:rsid w:val="006940DC"/>
    <w:rsid w:val="006A0D11"/>
    <w:rsid w:val="006A231F"/>
    <w:rsid w:val="006A4519"/>
    <w:rsid w:val="006B3EAB"/>
    <w:rsid w:val="006B4E71"/>
    <w:rsid w:val="006B6488"/>
    <w:rsid w:val="006C3A87"/>
    <w:rsid w:val="006C6CE9"/>
    <w:rsid w:val="006C7FA6"/>
    <w:rsid w:val="006D25B0"/>
    <w:rsid w:val="006E0627"/>
    <w:rsid w:val="006E30B0"/>
    <w:rsid w:val="006E497E"/>
    <w:rsid w:val="006F1BD9"/>
    <w:rsid w:val="006F2226"/>
    <w:rsid w:val="006F566C"/>
    <w:rsid w:val="00701695"/>
    <w:rsid w:val="00702A06"/>
    <w:rsid w:val="00706E2E"/>
    <w:rsid w:val="007100C2"/>
    <w:rsid w:val="00711927"/>
    <w:rsid w:val="00711D7C"/>
    <w:rsid w:val="00721488"/>
    <w:rsid w:val="007232D5"/>
    <w:rsid w:val="00723970"/>
    <w:rsid w:val="00727857"/>
    <w:rsid w:val="007300BA"/>
    <w:rsid w:val="00734078"/>
    <w:rsid w:val="00740E5C"/>
    <w:rsid w:val="00742E59"/>
    <w:rsid w:val="00743EE5"/>
    <w:rsid w:val="00744F89"/>
    <w:rsid w:val="00747A93"/>
    <w:rsid w:val="00752799"/>
    <w:rsid w:val="00760767"/>
    <w:rsid w:val="00761B7A"/>
    <w:rsid w:val="007621F3"/>
    <w:rsid w:val="00763F70"/>
    <w:rsid w:val="00765EBA"/>
    <w:rsid w:val="00767528"/>
    <w:rsid w:val="00776656"/>
    <w:rsid w:val="0078538D"/>
    <w:rsid w:val="00792CA2"/>
    <w:rsid w:val="00797352"/>
    <w:rsid w:val="007A1C70"/>
    <w:rsid w:val="007A3B81"/>
    <w:rsid w:val="007B0389"/>
    <w:rsid w:val="007C2031"/>
    <w:rsid w:val="007C5201"/>
    <w:rsid w:val="007C65C8"/>
    <w:rsid w:val="007D3B16"/>
    <w:rsid w:val="007E27F9"/>
    <w:rsid w:val="007E2E8D"/>
    <w:rsid w:val="007E3759"/>
    <w:rsid w:val="007E7C30"/>
    <w:rsid w:val="007F343F"/>
    <w:rsid w:val="007F7887"/>
    <w:rsid w:val="00802094"/>
    <w:rsid w:val="008025CB"/>
    <w:rsid w:val="008027F3"/>
    <w:rsid w:val="0080574E"/>
    <w:rsid w:val="00806020"/>
    <w:rsid w:val="008066E9"/>
    <w:rsid w:val="008113C2"/>
    <w:rsid w:val="00816805"/>
    <w:rsid w:val="00820FE2"/>
    <w:rsid w:val="0082474D"/>
    <w:rsid w:val="008252D5"/>
    <w:rsid w:val="00826D16"/>
    <w:rsid w:val="00831F1C"/>
    <w:rsid w:val="00833AB4"/>
    <w:rsid w:val="00833BC4"/>
    <w:rsid w:val="00834338"/>
    <w:rsid w:val="00837CD5"/>
    <w:rsid w:val="0084511C"/>
    <w:rsid w:val="008451EA"/>
    <w:rsid w:val="00850922"/>
    <w:rsid w:val="00852AF0"/>
    <w:rsid w:val="008568B3"/>
    <w:rsid w:val="00857C7C"/>
    <w:rsid w:val="008660BE"/>
    <w:rsid w:val="0086778E"/>
    <w:rsid w:val="008744A7"/>
    <w:rsid w:val="008748E1"/>
    <w:rsid w:val="008A3DF0"/>
    <w:rsid w:val="008A53FD"/>
    <w:rsid w:val="008A5BC7"/>
    <w:rsid w:val="008A6BBF"/>
    <w:rsid w:val="008B3EFC"/>
    <w:rsid w:val="008B4F20"/>
    <w:rsid w:val="008C17E5"/>
    <w:rsid w:val="008C1F13"/>
    <w:rsid w:val="008C56C4"/>
    <w:rsid w:val="008D0CE2"/>
    <w:rsid w:val="008D6600"/>
    <w:rsid w:val="008E7E03"/>
    <w:rsid w:val="008F4564"/>
    <w:rsid w:val="008F5500"/>
    <w:rsid w:val="008F693B"/>
    <w:rsid w:val="00902479"/>
    <w:rsid w:val="0090331C"/>
    <w:rsid w:val="0091079E"/>
    <w:rsid w:val="00915D37"/>
    <w:rsid w:val="00917308"/>
    <w:rsid w:val="00923B46"/>
    <w:rsid w:val="00923F71"/>
    <w:rsid w:val="00925B3E"/>
    <w:rsid w:val="00925FDF"/>
    <w:rsid w:val="009261C1"/>
    <w:rsid w:val="00931A23"/>
    <w:rsid w:val="00934FB5"/>
    <w:rsid w:val="009400D6"/>
    <w:rsid w:val="0094269E"/>
    <w:rsid w:val="00943017"/>
    <w:rsid w:val="009433EB"/>
    <w:rsid w:val="009464A7"/>
    <w:rsid w:val="009467E5"/>
    <w:rsid w:val="009471FE"/>
    <w:rsid w:val="00953227"/>
    <w:rsid w:val="0096505E"/>
    <w:rsid w:val="009657B7"/>
    <w:rsid w:val="00970BAC"/>
    <w:rsid w:val="0097667C"/>
    <w:rsid w:val="00976C1F"/>
    <w:rsid w:val="00981E9E"/>
    <w:rsid w:val="00984921"/>
    <w:rsid w:val="009927F9"/>
    <w:rsid w:val="0099367A"/>
    <w:rsid w:val="00993AA8"/>
    <w:rsid w:val="009951E4"/>
    <w:rsid w:val="00995234"/>
    <w:rsid w:val="00995C1A"/>
    <w:rsid w:val="009A0274"/>
    <w:rsid w:val="009A20F8"/>
    <w:rsid w:val="009B279F"/>
    <w:rsid w:val="009B3E7D"/>
    <w:rsid w:val="009B41AE"/>
    <w:rsid w:val="009B6055"/>
    <w:rsid w:val="009B700D"/>
    <w:rsid w:val="009C06F9"/>
    <w:rsid w:val="009C400E"/>
    <w:rsid w:val="009D2380"/>
    <w:rsid w:val="009D55D2"/>
    <w:rsid w:val="009E28B7"/>
    <w:rsid w:val="009E420D"/>
    <w:rsid w:val="009F1A46"/>
    <w:rsid w:val="009F31BB"/>
    <w:rsid w:val="009F5633"/>
    <w:rsid w:val="00A00BC9"/>
    <w:rsid w:val="00A0116B"/>
    <w:rsid w:val="00A017FB"/>
    <w:rsid w:val="00A07644"/>
    <w:rsid w:val="00A1251A"/>
    <w:rsid w:val="00A15608"/>
    <w:rsid w:val="00A16E40"/>
    <w:rsid w:val="00A210DB"/>
    <w:rsid w:val="00A27474"/>
    <w:rsid w:val="00A377BC"/>
    <w:rsid w:val="00A37E29"/>
    <w:rsid w:val="00A42575"/>
    <w:rsid w:val="00A46403"/>
    <w:rsid w:val="00A4724A"/>
    <w:rsid w:val="00A558DA"/>
    <w:rsid w:val="00A65BA8"/>
    <w:rsid w:val="00A65C63"/>
    <w:rsid w:val="00A662E9"/>
    <w:rsid w:val="00A703BB"/>
    <w:rsid w:val="00A76716"/>
    <w:rsid w:val="00A80BD5"/>
    <w:rsid w:val="00A86FBC"/>
    <w:rsid w:val="00A87A60"/>
    <w:rsid w:val="00A90E26"/>
    <w:rsid w:val="00A9493A"/>
    <w:rsid w:val="00A95731"/>
    <w:rsid w:val="00A97208"/>
    <w:rsid w:val="00AA52E5"/>
    <w:rsid w:val="00AA785F"/>
    <w:rsid w:val="00AA7D8B"/>
    <w:rsid w:val="00AB0E97"/>
    <w:rsid w:val="00AB186E"/>
    <w:rsid w:val="00AB2AB6"/>
    <w:rsid w:val="00AB34D0"/>
    <w:rsid w:val="00AB7F22"/>
    <w:rsid w:val="00AC2C33"/>
    <w:rsid w:val="00AC4BC0"/>
    <w:rsid w:val="00AE0C2A"/>
    <w:rsid w:val="00AE3BA7"/>
    <w:rsid w:val="00AE4224"/>
    <w:rsid w:val="00AE682C"/>
    <w:rsid w:val="00AE7B22"/>
    <w:rsid w:val="00AF1320"/>
    <w:rsid w:val="00AF2E50"/>
    <w:rsid w:val="00AF38BF"/>
    <w:rsid w:val="00AF57D1"/>
    <w:rsid w:val="00B03751"/>
    <w:rsid w:val="00B0767D"/>
    <w:rsid w:val="00B10644"/>
    <w:rsid w:val="00B13203"/>
    <w:rsid w:val="00B156B0"/>
    <w:rsid w:val="00B16E8C"/>
    <w:rsid w:val="00B17B6F"/>
    <w:rsid w:val="00B20C41"/>
    <w:rsid w:val="00B22BBD"/>
    <w:rsid w:val="00B24DFB"/>
    <w:rsid w:val="00B26A34"/>
    <w:rsid w:val="00B30D9D"/>
    <w:rsid w:val="00B31169"/>
    <w:rsid w:val="00B3156B"/>
    <w:rsid w:val="00B32BB8"/>
    <w:rsid w:val="00B440F6"/>
    <w:rsid w:val="00B44324"/>
    <w:rsid w:val="00B475F8"/>
    <w:rsid w:val="00B52ED4"/>
    <w:rsid w:val="00B53A49"/>
    <w:rsid w:val="00B5594C"/>
    <w:rsid w:val="00B569E9"/>
    <w:rsid w:val="00B60994"/>
    <w:rsid w:val="00B61548"/>
    <w:rsid w:val="00B635D6"/>
    <w:rsid w:val="00B70B10"/>
    <w:rsid w:val="00B7686E"/>
    <w:rsid w:val="00B80DFB"/>
    <w:rsid w:val="00B80F86"/>
    <w:rsid w:val="00B83C9F"/>
    <w:rsid w:val="00B920E8"/>
    <w:rsid w:val="00B92FF9"/>
    <w:rsid w:val="00B95694"/>
    <w:rsid w:val="00B96171"/>
    <w:rsid w:val="00B96A1B"/>
    <w:rsid w:val="00BA3742"/>
    <w:rsid w:val="00BA3DAF"/>
    <w:rsid w:val="00BA3EED"/>
    <w:rsid w:val="00BA5B1D"/>
    <w:rsid w:val="00BA76BE"/>
    <w:rsid w:val="00BB1A8B"/>
    <w:rsid w:val="00BC042E"/>
    <w:rsid w:val="00BC3409"/>
    <w:rsid w:val="00BC4333"/>
    <w:rsid w:val="00BC540C"/>
    <w:rsid w:val="00BD2273"/>
    <w:rsid w:val="00BD5174"/>
    <w:rsid w:val="00BE07CD"/>
    <w:rsid w:val="00BE0CE0"/>
    <w:rsid w:val="00BE3658"/>
    <w:rsid w:val="00BF17C7"/>
    <w:rsid w:val="00BF286C"/>
    <w:rsid w:val="00BF7F69"/>
    <w:rsid w:val="00C03723"/>
    <w:rsid w:val="00C10ACF"/>
    <w:rsid w:val="00C10E65"/>
    <w:rsid w:val="00C16966"/>
    <w:rsid w:val="00C1707E"/>
    <w:rsid w:val="00C2089A"/>
    <w:rsid w:val="00C23FC5"/>
    <w:rsid w:val="00C253C9"/>
    <w:rsid w:val="00C31B4D"/>
    <w:rsid w:val="00C454F5"/>
    <w:rsid w:val="00C4607B"/>
    <w:rsid w:val="00C47E81"/>
    <w:rsid w:val="00C510EB"/>
    <w:rsid w:val="00C60966"/>
    <w:rsid w:val="00C61659"/>
    <w:rsid w:val="00C62181"/>
    <w:rsid w:val="00C63891"/>
    <w:rsid w:val="00C63CDC"/>
    <w:rsid w:val="00C72C67"/>
    <w:rsid w:val="00C7382F"/>
    <w:rsid w:val="00C745E9"/>
    <w:rsid w:val="00C76B69"/>
    <w:rsid w:val="00C77C06"/>
    <w:rsid w:val="00C8159A"/>
    <w:rsid w:val="00C81F1C"/>
    <w:rsid w:val="00C87ADE"/>
    <w:rsid w:val="00C901C4"/>
    <w:rsid w:val="00C96214"/>
    <w:rsid w:val="00C9771D"/>
    <w:rsid w:val="00CA2317"/>
    <w:rsid w:val="00CA25B4"/>
    <w:rsid w:val="00CA718D"/>
    <w:rsid w:val="00CA79B5"/>
    <w:rsid w:val="00CB4102"/>
    <w:rsid w:val="00CC27E8"/>
    <w:rsid w:val="00CC7A9A"/>
    <w:rsid w:val="00CD0017"/>
    <w:rsid w:val="00CD0AC0"/>
    <w:rsid w:val="00CD211A"/>
    <w:rsid w:val="00CE300D"/>
    <w:rsid w:val="00CE32AE"/>
    <w:rsid w:val="00CE7AC6"/>
    <w:rsid w:val="00CF398B"/>
    <w:rsid w:val="00CF59F0"/>
    <w:rsid w:val="00D0374A"/>
    <w:rsid w:val="00D0479B"/>
    <w:rsid w:val="00D07596"/>
    <w:rsid w:val="00D13423"/>
    <w:rsid w:val="00D1425F"/>
    <w:rsid w:val="00D155F6"/>
    <w:rsid w:val="00D21654"/>
    <w:rsid w:val="00D239D6"/>
    <w:rsid w:val="00D23DC4"/>
    <w:rsid w:val="00D23E1F"/>
    <w:rsid w:val="00D25788"/>
    <w:rsid w:val="00D267E7"/>
    <w:rsid w:val="00D275B9"/>
    <w:rsid w:val="00D279EC"/>
    <w:rsid w:val="00D34301"/>
    <w:rsid w:val="00D43CE6"/>
    <w:rsid w:val="00D60834"/>
    <w:rsid w:val="00D620C6"/>
    <w:rsid w:val="00D661BD"/>
    <w:rsid w:val="00D70C30"/>
    <w:rsid w:val="00D76863"/>
    <w:rsid w:val="00D77B53"/>
    <w:rsid w:val="00D80FF0"/>
    <w:rsid w:val="00D9358F"/>
    <w:rsid w:val="00D94912"/>
    <w:rsid w:val="00D95909"/>
    <w:rsid w:val="00DA390E"/>
    <w:rsid w:val="00DA5A34"/>
    <w:rsid w:val="00DA6B02"/>
    <w:rsid w:val="00DC07B5"/>
    <w:rsid w:val="00DC0C66"/>
    <w:rsid w:val="00DC62A3"/>
    <w:rsid w:val="00DD2B47"/>
    <w:rsid w:val="00DD3C7F"/>
    <w:rsid w:val="00DD673C"/>
    <w:rsid w:val="00DE282F"/>
    <w:rsid w:val="00DE67A0"/>
    <w:rsid w:val="00DF24C3"/>
    <w:rsid w:val="00DF4C03"/>
    <w:rsid w:val="00E13366"/>
    <w:rsid w:val="00E21FC5"/>
    <w:rsid w:val="00E33F59"/>
    <w:rsid w:val="00E346CF"/>
    <w:rsid w:val="00E409FB"/>
    <w:rsid w:val="00E41ADC"/>
    <w:rsid w:val="00E41C38"/>
    <w:rsid w:val="00E429AD"/>
    <w:rsid w:val="00E5323F"/>
    <w:rsid w:val="00E64989"/>
    <w:rsid w:val="00E64EF1"/>
    <w:rsid w:val="00E73907"/>
    <w:rsid w:val="00E73C0B"/>
    <w:rsid w:val="00E81C22"/>
    <w:rsid w:val="00E82365"/>
    <w:rsid w:val="00E86CF5"/>
    <w:rsid w:val="00E9104F"/>
    <w:rsid w:val="00E9195D"/>
    <w:rsid w:val="00E93966"/>
    <w:rsid w:val="00E9747E"/>
    <w:rsid w:val="00EA0DB2"/>
    <w:rsid w:val="00EA182E"/>
    <w:rsid w:val="00EA1D31"/>
    <w:rsid w:val="00EA271F"/>
    <w:rsid w:val="00EA2CEB"/>
    <w:rsid w:val="00EA4446"/>
    <w:rsid w:val="00EB1498"/>
    <w:rsid w:val="00EC3230"/>
    <w:rsid w:val="00EE476B"/>
    <w:rsid w:val="00EE6C44"/>
    <w:rsid w:val="00EE7EB7"/>
    <w:rsid w:val="00EF316A"/>
    <w:rsid w:val="00EF3507"/>
    <w:rsid w:val="00EF4227"/>
    <w:rsid w:val="00F02472"/>
    <w:rsid w:val="00F26BE7"/>
    <w:rsid w:val="00F32D2E"/>
    <w:rsid w:val="00F34C2F"/>
    <w:rsid w:val="00F3683D"/>
    <w:rsid w:val="00F40CD6"/>
    <w:rsid w:val="00F46660"/>
    <w:rsid w:val="00F5285D"/>
    <w:rsid w:val="00F60589"/>
    <w:rsid w:val="00F63E8B"/>
    <w:rsid w:val="00F64628"/>
    <w:rsid w:val="00F666E1"/>
    <w:rsid w:val="00F70DF9"/>
    <w:rsid w:val="00F71A31"/>
    <w:rsid w:val="00F76A66"/>
    <w:rsid w:val="00F779EF"/>
    <w:rsid w:val="00F802BA"/>
    <w:rsid w:val="00F8382D"/>
    <w:rsid w:val="00F846B6"/>
    <w:rsid w:val="00F906DB"/>
    <w:rsid w:val="00FA0E1F"/>
    <w:rsid w:val="00FA6DEA"/>
    <w:rsid w:val="00FA6F7D"/>
    <w:rsid w:val="00FA7D4C"/>
    <w:rsid w:val="00FB1206"/>
    <w:rsid w:val="00FB6180"/>
    <w:rsid w:val="00FB7216"/>
    <w:rsid w:val="00FC2859"/>
    <w:rsid w:val="00FC5D33"/>
    <w:rsid w:val="00FD16F3"/>
    <w:rsid w:val="00FD70E9"/>
    <w:rsid w:val="00FD7DCC"/>
    <w:rsid w:val="00FE1CAA"/>
    <w:rsid w:val="00FE1E59"/>
    <w:rsid w:val="00FE44E9"/>
    <w:rsid w:val="00FE67F8"/>
    <w:rsid w:val="00FE70C3"/>
    <w:rsid w:val="00FF08F7"/>
    <w:rsid w:val="00F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21EF27"/>
  <w15:docId w15:val="{4F74FA5F-B48D-4430-9934-874B9944B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20D"/>
  </w:style>
  <w:style w:type="paragraph" w:styleId="Heading1">
    <w:name w:val="heading 1"/>
    <w:basedOn w:val="Normal"/>
    <w:next w:val="Normal"/>
    <w:link w:val="Heading1Char"/>
    <w:uiPriority w:val="1"/>
    <w:qFormat/>
    <w:rsid w:val="005C2F29"/>
    <w:pPr>
      <w:autoSpaceDE w:val="0"/>
      <w:autoSpaceDN w:val="0"/>
      <w:adjustRightInd w:val="0"/>
      <w:spacing w:after="0" w:line="240" w:lineRule="auto"/>
      <w:ind w:left="568" w:hanging="451"/>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2F29"/>
    <w:rPr>
      <w:rFonts w:ascii="Arial" w:hAnsi="Arial" w:cs="Arial"/>
      <w:b/>
      <w:bCs/>
    </w:rPr>
  </w:style>
  <w:style w:type="paragraph" w:styleId="ListParagraph">
    <w:name w:val="List Paragraph"/>
    <w:basedOn w:val="Normal"/>
    <w:uiPriority w:val="34"/>
    <w:qFormat/>
    <w:rsid w:val="004D6D9B"/>
    <w:pPr>
      <w:ind w:left="720"/>
      <w:contextualSpacing/>
    </w:pPr>
  </w:style>
  <w:style w:type="paragraph" w:styleId="BalloonText">
    <w:name w:val="Balloon Text"/>
    <w:basedOn w:val="Normal"/>
    <w:link w:val="BalloonTextChar"/>
    <w:uiPriority w:val="99"/>
    <w:semiHidden/>
    <w:unhideWhenUsed/>
    <w:rsid w:val="00174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B4C"/>
    <w:rPr>
      <w:rFonts w:ascii="Tahoma" w:hAnsi="Tahoma" w:cs="Tahoma"/>
      <w:sz w:val="16"/>
      <w:szCs w:val="16"/>
    </w:rPr>
  </w:style>
  <w:style w:type="paragraph" w:styleId="Header">
    <w:name w:val="header"/>
    <w:basedOn w:val="Normal"/>
    <w:link w:val="HeaderChar"/>
    <w:uiPriority w:val="99"/>
    <w:unhideWhenUsed/>
    <w:rsid w:val="007C2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31"/>
  </w:style>
  <w:style w:type="paragraph" w:styleId="Footer">
    <w:name w:val="footer"/>
    <w:basedOn w:val="Normal"/>
    <w:link w:val="FooterChar"/>
    <w:uiPriority w:val="99"/>
    <w:unhideWhenUsed/>
    <w:rsid w:val="007C2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31"/>
  </w:style>
  <w:style w:type="paragraph" w:styleId="FootnoteText">
    <w:name w:val="footnote text"/>
    <w:aliases w:val="TBG Style,Footnote Text1 Char,Footnote Text Char Ch,ALTS FOOTNOTE,Footnote Text 2,fn,Footnote text,FOOTNOTE"/>
    <w:basedOn w:val="Normal"/>
    <w:link w:val="FootnoteTextChar"/>
    <w:uiPriority w:val="99"/>
    <w:unhideWhenUsed/>
    <w:rsid w:val="00B13203"/>
    <w:pPr>
      <w:spacing w:after="0" w:line="240" w:lineRule="auto"/>
    </w:pPr>
    <w:rPr>
      <w:sz w:val="20"/>
      <w:szCs w:val="20"/>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uiPriority w:val="99"/>
    <w:rsid w:val="00B13203"/>
    <w:rPr>
      <w:sz w:val="20"/>
      <w:szCs w:val="20"/>
    </w:rPr>
  </w:style>
  <w:style w:type="character" w:styleId="FootnoteReference">
    <w:name w:val="footnote reference"/>
    <w:basedOn w:val="DefaultParagraphFont"/>
    <w:uiPriority w:val="99"/>
    <w:unhideWhenUsed/>
    <w:rsid w:val="00B13203"/>
    <w:rPr>
      <w:vertAlign w:val="superscript"/>
    </w:rPr>
  </w:style>
  <w:style w:type="paragraph" w:customStyle="1" w:styleId="Default">
    <w:name w:val="Default"/>
    <w:rsid w:val="0063676F"/>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5C2F29"/>
    <w:pPr>
      <w:autoSpaceDE w:val="0"/>
      <w:autoSpaceDN w:val="0"/>
      <w:adjustRightInd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1"/>
    <w:rsid w:val="005C2F29"/>
    <w:rPr>
      <w:rFonts w:ascii="Arial" w:hAnsi="Arial" w:cs="Arial"/>
      <w:sz w:val="20"/>
      <w:szCs w:val="20"/>
    </w:rPr>
  </w:style>
  <w:style w:type="paragraph" w:customStyle="1" w:styleId="TableParagraph">
    <w:name w:val="Table Paragraph"/>
    <w:basedOn w:val="Normal"/>
    <w:uiPriority w:val="1"/>
    <w:qFormat/>
    <w:rsid w:val="005C2F29"/>
    <w:pPr>
      <w:autoSpaceDE w:val="0"/>
      <w:autoSpaceDN w:val="0"/>
      <w:adjustRightInd w:val="0"/>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A0E1F"/>
    <w:rPr>
      <w:sz w:val="16"/>
      <w:szCs w:val="16"/>
    </w:rPr>
  </w:style>
  <w:style w:type="paragraph" w:styleId="CommentText">
    <w:name w:val="annotation text"/>
    <w:basedOn w:val="Normal"/>
    <w:link w:val="CommentTextChar"/>
    <w:uiPriority w:val="99"/>
    <w:semiHidden/>
    <w:unhideWhenUsed/>
    <w:rsid w:val="00FA0E1F"/>
    <w:pPr>
      <w:spacing w:line="240" w:lineRule="auto"/>
    </w:pPr>
    <w:rPr>
      <w:sz w:val="20"/>
      <w:szCs w:val="20"/>
    </w:rPr>
  </w:style>
  <w:style w:type="character" w:customStyle="1" w:styleId="CommentTextChar">
    <w:name w:val="Comment Text Char"/>
    <w:basedOn w:val="DefaultParagraphFont"/>
    <w:link w:val="CommentText"/>
    <w:uiPriority w:val="99"/>
    <w:semiHidden/>
    <w:rsid w:val="00FA0E1F"/>
    <w:rPr>
      <w:sz w:val="20"/>
      <w:szCs w:val="20"/>
    </w:rPr>
  </w:style>
  <w:style w:type="table" w:styleId="TableGrid">
    <w:name w:val="Table Grid"/>
    <w:basedOn w:val="TableNormal"/>
    <w:uiPriority w:val="59"/>
    <w:rsid w:val="00FA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ofinput">
    <w:name w:val="Description of input"/>
    <w:basedOn w:val="Normal"/>
    <w:rsid w:val="00FA0E1F"/>
    <w:pPr>
      <w:spacing w:after="0" w:line="240" w:lineRule="auto"/>
      <w:ind w:right="720"/>
    </w:pPr>
    <w:rPr>
      <w:rFonts w:ascii="Arial" w:eastAsia="Times New Roman" w:hAnsi="Arial" w:cs="Times New Roman"/>
      <w:i/>
      <w:sz w:val="18"/>
      <w:szCs w:val="20"/>
    </w:rPr>
  </w:style>
  <w:style w:type="character" w:styleId="Hyperlink">
    <w:name w:val="Hyperlink"/>
    <w:basedOn w:val="DefaultParagraphFont"/>
    <w:uiPriority w:val="99"/>
    <w:unhideWhenUsed/>
    <w:rsid w:val="00765EBA"/>
    <w:rPr>
      <w:color w:val="0000FF" w:themeColor="hyperlink"/>
      <w:u w:val="single"/>
    </w:rPr>
  </w:style>
  <w:style w:type="paragraph" w:styleId="TOCHeading">
    <w:name w:val="TOC Heading"/>
    <w:basedOn w:val="Heading1"/>
    <w:next w:val="Normal"/>
    <w:uiPriority w:val="39"/>
    <w:unhideWhenUsed/>
    <w:qFormat/>
    <w:rsid w:val="0034673F"/>
    <w:pPr>
      <w:keepNext/>
      <w:keepLines/>
      <w:autoSpaceDE/>
      <w:autoSpaceDN/>
      <w:adjustRightInd/>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34673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34673F"/>
    <w:pPr>
      <w:spacing w:after="100" w:line="259" w:lineRule="auto"/>
    </w:pPr>
    <w:rPr>
      <w:rFonts w:eastAsiaTheme="minorEastAsia" w:cs="Times New Roman"/>
    </w:rPr>
  </w:style>
  <w:style w:type="paragraph" w:styleId="TOC3">
    <w:name w:val="toc 3"/>
    <w:basedOn w:val="Normal"/>
    <w:next w:val="Normal"/>
    <w:autoRedefine/>
    <w:uiPriority w:val="39"/>
    <w:unhideWhenUsed/>
    <w:rsid w:val="0034673F"/>
    <w:pPr>
      <w:spacing w:after="100" w:line="259" w:lineRule="auto"/>
      <w:ind w:left="440"/>
    </w:pPr>
    <w:rPr>
      <w:rFonts w:eastAsiaTheme="minorEastAsia" w:cs="Times New Roman"/>
    </w:rPr>
  </w:style>
  <w:style w:type="paragraph" w:styleId="CommentSubject">
    <w:name w:val="annotation subject"/>
    <w:basedOn w:val="CommentText"/>
    <w:next w:val="CommentText"/>
    <w:link w:val="CommentSubjectChar"/>
    <w:uiPriority w:val="99"/>
    <w:semiHidden/>
    <w:unhideWhenUsed/>
    <w:rsid w:val="001909FF"/>
    <w:rPr>
      <w:b/>
      <w:bCs/>
    </w:rPr>
  </w:style>
  <w:style w:type="character" w:customStyle="1" w:styleId="CommentSubjectChar">
    <w:name w:val="Comment Subject Char"/>
    <w:basedOn w:val="CommentTextChar"/>
    <w:link w:val="CommentSubject"/>
    <w:uiPriority w:val="99"/>
    <w:semiHidden/>
    <w:rsid w:val="001909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0522">
      <w:bodyDiv w:val="1"/>
      <w:marLeft w:val="0"/>
      <w:marRight w:val="0"/>
      <w:marTop w:val="0"/>
      <w:marBottom w:val="0"/>
      <w:divBdr>
        <w:top w:val="none" w:sz="0" w:space="0" w:color="auto"/>
        <w:left w:val="none" w:sz="0" w:space="0" w:color="auto"/>
        <w:bottom w:val="none" w:sz="0" w:space="0" w:color="auto"/>
        <w:right w:val="none" w:sz="0" w:space="0" w:color="auto"/>
      </w:divBdr>
    </w:div>
    <w:div w:id="56172935">
      <w:bodyDiv w:val="1"/>
      <w:marLeft w:val="0"/>
      <w:marRight w:val="0"/>
      <w:marTop w:val="0"/>
      <w:marBottom w:val="0"/>
      <w:divBdr>
        <w:top w:val="none" w:sz="0" w:space="0" w:color="auto"/>
        <w:left w:val="none" w:sz="0" w:space="0" w:color="auto"/>
        <w:bottom w:val="none" w:sz="0" w:space="0" w:color="auto"/>
        <w:right w:val="none" w:sz="0" w:space="0" w:color="auto"/>
      </w:divBdr>
    </w:div>
    <w:div w:id="101806828">
      <w:bodyDiv w:val="1"/>
      <w:marLeft w:val="0"/>
      <w:marRight w:val="0"/>
      <w:marTop w:val="0"/>
      <w:marBottom w:val="0"/>
      <w:divBdr>
        <w:top w:val="none" w:sz="0" w:space="0" w:color="auto"/>
        <w:left w:val="none" w:sz="0" w:space="0" w:color="auto"/>
        <w:bottom w:val="none" w:sz="0" w:space="0" w:color="auto"/>
        <w:right w:val="none" w:sz="0" w:space="0" w:color="auto"/>
      </w:divBdr>
    </w:div>
    <w:div w:id="126700596">
      <w:bodyDiv w:val="1"/>
      <w:marLeft w:val="0"/>
      <w:marRight w:val="0"/>
      <w:marTop w:val="0"/>
      <w:marBottom w:val="0"/>
      <w:divBdr>
        <w:top w:val="none" w:sz="0" w:space="0" w:color="auto"/>
        <w:left w:val="none" w:sz="0" w:space="0" w:color="auto"/>
        <w:bottom w:val="none" w:sz="0" w:space="0" w:color="auto"/>
        <w:right w:val="none" w:sz="0" w:space="0" w:color="auto"/>
      </w:divBdr>
    </w:div>
    <w:div w:id="145047959">
      <w:bodyDiv w:val="1"/>
      <w:marLeft w:val="0"/>
      <w:marRight w:val="0"/>
      <w:marTop w:val="0"/>
      <w:marBottom w:val="0"/>
      <w:divBdr>
        <w:top w:val="none" w:sz="0" w:space="0" w:color="auto"/>
        <w:left w:val="none" w:sz="0" w:space="0" w:color="auto"/>
        <w:bottom w:val="none" w:sz="0" w:space="0" w:color="auto"/>
        <w:right w:val="none" w:sz="0" w:space="0" w:color="auto"/>
      </w:divBdr>
    </w:div>
    <w:div w:id="146628194">
      <w:bodyDiv w:val="1"/>
      <w:marLeft w:val="0"/>
      <w:marRight w:val="0"/>
      <w:marTop w:val="0"/>
      <w:marBottom w:val="0"/>
      <w:divBdr>
        <w:top w:val="none" w:sz="0" w:space="0" w:color="auto"/>
        <w:left w:val="none" w:sz="0" w:space="0" w:color="auto"/>
        <w:bottom w:val="none" w:sz="0" w:space="0" w:color="auto"/>
        <w:right w:val="none" w:sz="0" w:space="0" w:color="auto"/>
      </w:divBdr>
    </w:div>
    <w:div w:id="244924125">
      <w:bodyDiv w:val="1"/>
      <w:marLeft w:val="0"/>
      <w:marRight w:val="0"/>
      <w:marTop w:val="0"/>
      <w:marBottom w:val="0"/>
      <w:divBdr>
        <w:top w:val="none" w:sz="0" w:space="0" w:color="auto"/>
        <w:left w:val="none" w:sz="0" w:space="0" w:color="auto"/>
        <w:bottom w:val="none" w:sz="0" w:space="0" w:color="auto"/>
        <w:right w:val="none" w:sz="0" w:space="0" w:color="auto"/>
      </w:divBdr>
    </w:div>
    <w:div w:id="258149413">
      <w:bodyDiv w:val="1"/>
      <w:marLeft w:val="0"/>
      <w:marRight w:val="0"/>
      <w:marTop w:val="0"/>
      <w:marBottom w:val="0"/>
      <w:divBdr>
        <w:top w:val="none" w:sz="0" w:space="0" w:color="auto"/>
        <w:left w:val="none" w:sz="0" w:space="0" w:color="auto"/>
        <w:bottom w:val="none" w:sz="0" w:space="0" w:color="auto"/>
        <w:right w:val="none" w:sz="0" w:space="0" w:color="auto"/>
      </w:divBdr>
    </w:div>
    <w:div w:id="271598762">
      <w:bodyDiv w:val="1"/>
      <w:marLeft w:val="0"/>
      <w:marRight w:val="0"/>
      <w:marTop w:val="0"/>
      <w:marBottom w:val="0"/>
      <w:divBdr>
        <w:top w:val="none" w:sz="0" w:space="0" w:color="auto"/>
        <w:left w:val="none" w:sz="0" w:space="0" w:color="auto"/>
        <w:bottom w:val="none" w:sz="0" w:space="0" w:color="auto"/>
        <w:right w:val="none" w:sz="0" w:space="0" w:color="auto"/>
      </w:divBdr>
    </w:div>
    <w:div w:id="279725093">
      <w:bodyDiv w:val="1"/>
      <w:marLeft w:val="0"/>
      <w:marRight w:val="0"/>
      <w:marTop w:val="0"/>
      <w:marBottom w:val="0"/>
      <w:divBdr>
        <w:top w:val="none" w:sz="0" w:space="0" w:color="auto"/>
        <w:left w:val="none" w:sz="0" w:space="0" w:color="auto"/>
        <w:bottom w:val="none" w:sz="0" w:space="0" w:color="auto"/>
        <w:right w:val="none" w:sz="0" w:space="0" w:color="auto"/>
      </w:divBdr>
    </w:div>
    <w:div w:id="300353558">
      <w:bodyDiv w:val="1"/>
      <w:marLeft w:val="0"/>
      <w:marRight w:val="0"/>
      <w:marTop w:val="0"/>
      <w:marBottom w:val="0"/>
      <w:divBdr>
        <w:top w:val="none" w:sz="0" w:space="0" w:color="auto"/>
        <w:left w:val="none" w:sz="0" w:space="0" w:color="auto"/>
        <w:bottom w:val="none" w:sz="0" w:space="0" w:color="auto"/>
        <w:right w:val="none" w:sz="0" w:space="0" w:color="auto"/>
      </w:divBdr>
    </w:div>
    <w:div w:id="314649776">
      <w:bodyDiv w:val="1"/>
      <w:marLeft w:val="0"/>
      <w:marRight w:val="0"/>
      <w:marTop w:val="0"/>
      <w:marBottom w:val="0"/>
      <w:divBdr>
        <w:top w:val="none" w:sz="0" w:space="0" w:color="auto"/>
        <w:left w:val="none" w:sz="0" w:space="0" w:color="auto"/>
        <w:bottom w:val="none" w:sz="0" w:space="0" w:color="auto"/>
        <w:right w:val="none" w:sz="0" w:space="0" w:color="auto"/>
      </w:divBdr>
    </w:div>
    <w:div w:id="362438237">
      <w:bodyDiv w:val="1"/>
      <w:marLeft w:val="0"/>
      <w:marRight w:val="0"/>
      <w:marTop w:val="0"/>
      <w:marBottom w:val="0"/>
      <w:divBdr>
        <w:top w:val="none" w:sz="0" w:space="0" w:color="auto"/>
        <w:left w:val="none" w:sz="0" w:space="0" w:color="auto"/>
        <w:bottom w:val="none" w:sz="0" w:space="0" w:color="auto"/>
        <w:right w:val="none" w:sz="0" w:space="0" w:color="auto"/>
      </w:divBdr>
    </w:div>
    <w:div w:id="369578430">
      <w:bodyDiv w:val="1"/>
      <w:marLeft w:val="0"/>
      <w:marRight w:val="0"/>
      <w:marTop w:val="0"/>
      <w:marBottom w:val="0"/>
      <w:divBdr>
        <w:top w:val="none" w:sz="0" w:space="0" w:color="auto"/>
        <w:left w:val="none" w:sz="0" w:space="0" w:color="auto"/>
        <w:bottom w:val="none" w:sz="0" w:space="0" w:color="auto"/>
        <w:right w:val="none" w:sz="0" w:space="0" w:color="auto"/>
      </w:divBdr>
    </w:div>
    <w:div w:id="376049434">
      <w:bodyDiv w:val="1"/>
      <w:marLeft w:val="0"/>
      <w:marRight w:val="0"/>
      <w:marTop w:val="0"/>
      <w:marBottom w:val="0"/>
      <w:divBdr>
        <w:top w:val="none" w:sz="0" w:space="0" w:color="auto"/>
        <w:left w:val="none" w:sz="0" w:space="0" w:color="auto"/>
        <w:bottom w:val="none" w:sz="0" w:space="0" w:color="auto"/>
        <w:right w:val="none" w:sz="0" w:space="0" w:color="auto"/>
      </w:divBdr>
    </w:div>
    <w:div w:id="420880152">
      <w:bodyDiv w:val="1"/>
      <w:marLeft w:val="0"/>
      <w:marRight w:val="0"/>
      <w:marTop w:val="0"/>
      <w:marBottom w:val="0"/>
      <w:divBdr>
        <w:top w:val="none" w:sz="0" w:space="0" w:color="auto"/>
        <w:left w:val="none" w:sz="0" w:space="0" w:color="auto"/>
        <w:bottom w:val="none" w:sz="0" w:space="0" w:color="auto"/>
        <w:right w:val="none" w:sz="0" w:space="0" w:color="auto"/>
      </w:divBdr>
    </w:div>
    <w:div w:id="431825752">
      <w:bodyDiv w:val="1"/>
      <w:marLeft w:val="0"/>
      <w:marRight w:val="0"/>
      <w:marTop w:val="0"/>
      <w:marBottom w:val="0"/>
      <w:divBdr>
        <w:top w:val="none" w:sz="0" w:space="0" w:color="auto"/>
        <w:left w:val="none" w:sz="0" w:space="0" w:color="auto"/>
        <w:bottom w:val="none" w:sz="0" w:space="0" w:color="auto"/>
        <w:right w:val="none" w:sz="0" w:space="0" w:color="auto"/>
      </w:divBdr>
    </w:div>
    <w:div w:id="476150109">
      <w:bodyDiv w:val="1"/>
      <w:marLeft w:val="0"/>
      <w:marRight w:val="0"/>
      <w:marTop w:val="0"/>
      <w:marBottom w:val="0"/>
      <w:divBdr>
        <w:top w:val="none" w:sz="0" w:space="0" w:color="auto"/>
        <w:left w:val="none" w:sz="0" w:space="0" w:color="auto"/>
        <w:bottom w:val="none" w:sz="0" w:space="0" w:color="auto"/>
        <w:right w:val="none" w:sz="0" w:space="0" w:color="auto"/>
      </w:divBdr>
    </w:div>
    <w:div w:id="506333825">
      <w:bodyDiv w:val="1"/>
      <w:marLeft w:val="0"/>
      <w:marRight w:val="0"/>
      <w:marTop w:val="0"/>
      <w:marBottom w:val="0"/>
      <w:divBdr>
        <w:top w:val="none" w:sz="0" w:space="0" w:color="auto"/>
        <w:left w:val="none" w:sz="0" w:space="0" w:color="auto"/>
        <w:bottom w:val="none" w:sz="0" w:space="0" w:color="auto"/>
        <w:right w:val="none" w:sz="0" w:space="0" w:color="auto"/>
      </w:divBdr>
    </w:div>
    <w:div w:id="512690807">
      <w:bodyDiv w:val="1"/>
      <w:marLeft w:val="0"/>
      <w:marRight w:val="0"/>
      <w:marTop w:val="0"/>
      <w:marBottom w:val="0"/>
      <w:divBdr>
        <w:top w:val="none" w:sz="0" w:space="0" w:color="auto"/>
        <w:left w:val="none" w:sz="0" w:space="0" w:color="auto"/>
        <w:bottom w:val="none" w:sz="0" w:space="0" w:color="auto"/>
        <w:right w:val="none" w:sz="0" w:space="0" w:color="auto"/>
      </w:divBdr>
    </w:div>
    <w:div w:id="530192574">
      <w:bodyDiv w:val="1"/>
      <w:marLeft w:val="0"/>
      <w:marRight w:val="0"/>
      <w:marTop w:val="0"/>
      <w:marBottom w:val="0"/>
      <w:divBdr>
        <w:top w:val="none" w:sz="0" w:space="0" w:color="auto"/>
        <w:left w:val="none" w:sz="0" w:space="0" w:color="auto"/>
        <w:bottom w:val="none" w:sz="0" w:space="0" w:color="auto"/>
        <w:right w:val="none" w:sz="0" w:space="0" w:color="auto"/>
      </w:divBdr>
    </w:div>
    <w:div w:id="643630066">
      <w:bodyDiv w:val="1"/>
      <w:marLeft w:val="0"/>
      <w:marRight w:val="0"/>
      <w:marTop w:val="0"/>
      <w:marBottom w:val="0"/>
      <w:divBdr>
        <w:top w:val="none" w:sz="0" w:space="0" w:color="auto"/>
        <w:left w:val="none" w:sz="0" w:space="0" w:color="auto"/>
        <w:bottom w:val="none" w:sz="0" w:space="0" w:color="auto"/>
        <w:right w:val="none" w:sz="0" w:space="0" w:color="auto"/>
      </w:divBdr>
    </w:div>
    <w:div w:id="655694930">
      <w:bodyDiv w:val="1"/>
      <w:marLeft w:val="0"/>
      <w:marRight w:val="0"/>
      <w:marTop w:val="0"/>
      <w:marBottom w:val="0"/>
      <w:divBdr>
        <w:top w:val="none" w:sz="0" w:space="0" w:color="auto"/>
        <w:left w:val="none" w:sz="0" w:space="0" w:color="auto"/>
        <w:bottom w:val="none" w:sz="0" w:space="0" w:color="auto"/>
        <w:right w:val="none" w:sz="0" w:space="0" w:color="auto"/>
      </w:divBdr>
    </w:div>
    <w:div w:id="672340069">
      <w:bodyDiv w:val="1"/>
      <w:marLeft w:val="0"/>
      <w:marRight w:val="0"/>
      <w:marTop w:val="0"/>
      <w:marBottom w:val="0"/>
      <w:divBdr>
        <w:top w:val="none" w:sz="0" w:space="0" w:color="auto"/>
        <w:left w:val="none" w:sz="0" w:space="0" w:color="auto"/>
        <w:bottom w:val="none" w:sz="0" w:space="0" w:color="auto"/>
        <w:right w:val="none" w:sz="0" w:space="0" w:color="auto"/>
      </w:divBdr>
    </w:div>
    <w:div w:id="704643372">
      <w:bodyDiv w:val="1"/>
      <w:marLeft w:val="0"/>
      <w:marRight w:val="0"/>
      <w:marTop w:val="0"/>
      <w:marBottom w:val="0"/>
      <w:divBdr>
        <w:top w:val="none" w:sz="0" w:space="0" w:color="auto"/>
        <w:left w:val="none" w:sz="0" w:space="0" w:color="auto"/>
        <w:bottom w:val="none" w:sz="0" w:space="0" w:color="auto"/>
        <w:right w:val="none" w:sz="0" w:space="0" w:color="auto"/>
      </w:divBdr>
    </w:div>
    <w:div w:id="713120653">
      <w:bodyDiv w:val="1"/>
      <w:marLeft w:val="0"/>
      <w:marRight w:val="0"/>
      <w:marTop w:val="0"/>
      <w:marBottom w:val="0"/>
      <w:divBdr>
        <w:top w:val="none" w:sz="0" w:space="0" w:color="auto"/>
        <w:left w:val="none" w:sz="0" w:space="0" w:color="auto"/>
        <w:bottom w:val="none" w:sz="0" w:space="0" w:color="auto"/>
        <w:right w:val="none" w:sz="0" w:space="0" w:color="auto"/>
      </w:divBdr>
    </w:div>
    <w:div w:id="717701188">
      <w:bodyDiv w:val="1"/>
      <w:marLeft w:val="0"/>
      <w:marRight w:val="0"/>
      <w:marTop w:val="0"/>
      <w:marBottom w:val="0"/>
      <w:divBdr>
        <w:top w:val="none" w:sz="0" w:space="0" w:color="auto"/>
        <w:left w:val="none" w:sz="0" w:space="0" w:color="auto"/>
        <w:bottom w:val="none" w:sz="0" w:space="0" w:color="auto"/>
        <w:right w:val="none" w:sz="0" w:space="0" w:color="auto"/>
      </w:divBdr>
    </w:div>
    <w:div w:id="742990114">
      <w:bodyDiv w:val="1"/>
      <w:marLeft w:val="0"/>
      <w:marRight w:val="0"/>
      <w:marTop w:val="0"/>
      <w:marBottom w:val="0"/>
      <w:divBdr>
        <w:top w:val="none" w:sz="0" w:space="0" w:color="auto"/>
        <w:left w:val="none" w:sz="0" w:space="0" w:color="auto"/>
        <w:bottom w:val="none" w:sz="0" w:space="0" w:color="auto"/>
        <w:right w:val="none" w:sz="0" w:space="0" w:color="auto"/>
      </w:divBdr>
    </w:div>
    <w:div w:id="761605753">
      <w:bodyDiv w:val="1"/>
      <w:marLeft w:val="0"/>
      <w:marRight w:val="0"/>
      <w:marTop w:val="0"/>
      <w:marBottom w:val="0"/>
      <w:divBdr>
        <w:top w:val="none" w:sz="0" w:space="0" w:color="auto"/>
        <w:left w:val="none" w:sz="0" w:space="0" w:color="auto"/>
        <w:bottom w:val="none" w:sz="0" w:space="0" w:color="auto"/>
        <w:right w:val="none" w:sz="0" w:space="0" w:color="auto"/>
      </w:divBdr>
    </w:div>
    <w:div w:id="790392505">
      <w:bodyDiv w:val="1"/>
      <w:marLeft w:val="0"/>
      <w:marRight w:val="0"/>
      <w:marTop w:val="0"/>
      <w:marBottom w:val="0"/>
      <w:divBdr>
        <w:top w:val="none" w:sz="0" w:space="0" w:color="auto"/>
        <w:left w:val="none" w:sz="0" w:space="0" w:color="auto"/>
        <w:bottom w:val="none" w:sz="0" w:space="0" w:color="auto"/>
        <w:right w:val="none" w:sz="0" w:space="0" w:color="auto"/>
      </w:divBdr>
    </w:div>
    <w:div w:id="805661171">
      <w:bodyDiv w:val="1"/>
      <w:marLeft w:val="0"/>
      <w:marRight w:val="0"/>
      <w:marTop w:val="0"/>
      <w:marBottom w:val="0"/>
      <w:divBdr>
        <w:top w:val="none" w:sz="0" w:space="0" w:color="auto"/>
        <w:left w:val="none" w:sz="0" w:space="0" w:color="auto"/>
        <w:bottom w:val="none" w:sz="0" w:space="0" w:color="auto"/>
        <w:right w:val="none" w:sz="0" w:space="0" w:color="auto"/>
      </w:divBdr>
    </w:div>
    <w:div w:id="824903417">
      <w:bodyDiv w:val="1"/>
      <w:marLeft w:val="0"/>
      <w:marRight w:val="0"/>
      <w:marTop w:val="0"/>
      <w:marBottom w:val="0"/>
      <w:divBdr>
        <w:top w:val="none" w:sz="0" w:space="0" w:color="auto"/>
        <w:left w:val="none" w:sz="0" w:space="0" w:color="auto"/>
        <w:bottom w:val="none" w:sz="0" w:space="0" w:color="auto"/>
        <w:right w:val="none" w:sz="0" w:space="0" w:color="auto"/>
      </w:divBdr>
    </w:div>
    <w:div w:id="825783820">
      <w:bodyDiv w:val="1"/>
      <w:marLeft w:val="0"/>
      <w:marRight w:val="0"/>
      <w:marTop w:val="0"/>
      <w:marBottom w:val="0"/>
      <w:divBdr>
        <w:top w:val="none" w:sz="0" w:space="0" w:color="auto"/>
        <w:left w:val="none" w:sz="0" w:space="0" w:color="auto"/>
        <w:bottom w:val="none" w:sz="0" w:space="0" w:color="auto"/>
        <w:right w:val="none" w:sz="0" w:space="0" w:color="auto"/>
      </w:divBdr>
    </w:div>
    <w:div w:id="839931573">
      <w:bodyDiv w:val="1"/>
      <w:marLeft w:val="0"/>
      <w:marRight w:val="0"/>
      <w:marTop w:val="0"/>
      <w:marBottom w:val="0"/>
      <w:divBdr>
        <w:top w:val="none" w:sz="0" w:space="0" w:color="auto"/>
        <w:left w:val="none" w:sz="0" w:space="0" w:color="auto"/>
        <w:bottom w:val="none" w:sz="0" w:space="0" w:color="auto"/>
        <w:right w:val="none" w:sz="0" w:space="0" w:color="auto"/>
      </w:divBdr>
    </w:div>
    <w:div w:id="893086073">
      <w:bodyDiv w:val="1"/>
      <w:marLeft w:val="0"/>
      <w:marRight w:val="0"/>
      <w:marTop w:val="0"/>
      <w:marBottom w:val="0"/>
      <w:divBdr>
        <w:top w:val="none" w:sz="0" w:space="0" w:color="auto"/>
        <w:left w:val="none" w:sz="0" w:space="0" w:color="auto"/>
        <w:bottom w:val="none" w:sz="0" w:space="0" w:color="auto"/>
        <w:right w:val="none" w:sz="0" w:space="0" w:color="auto"/>
      </w:divBdr>
    </w:div>
    <w:div w:id="899170396">
      <w:bodyDiv w:val="1"/>
      <w:marLeft w:val="0"/>
      <w:marRight w:val="0"/>
      <w:marTop w:val="0"/>
      <w:marBottom w:val="0"/>
      <w:divBdr>
        <w:top w:val="none" w:sz="0" w:space="0" w:color="auto"/>
        <w:left w:val="none" w:sz="0" w:space="0" w:color="auto"/>
        <w:bottom w:val="none" w:sz="0" w:space="0" w:color="auto"/>
        <w:right w:val="none" w:sz="0" w:space="0" w:color="auto"/>
      </w:divBdr>
    </w:div>
    <w:div w:id="899246072">
      <w:bodyDiv w:val="1"/>
      <w:marLeft w:val="0"/>
      <w:marRight w:val="0"/>
      <w:marTop w:val="0"/>
      <w:marBottom w:val="0"/>
      <w:divBdr>
        <w:top w:val="none" w:sz="0" w:space="0" w:color="auto"/>
        <w:left w:val="none" w:sz="0" w:space="0" w:color="auto"/>
        <w:bottom w:val="none" w:sz="0" w:space="0" w:color="auto"/>
        <w:right w:val="none" w:sz="0" w:space="0" w:color="auto"/>
      </w:divBdr>
    </w:div>
    <w:div w:id="972831426">
      <w:bodyDiv w:val="1"/>
      <w:marLeft w:val="0"/>
      <w:marRight w:val="0"/>
      <w:marTop w:val="0"/>
      <w:marBottom w:val="0"/>
      <w:divBdr>
        <w:top w:val="none" w:sz="0" w:space="0" w:color="auto"/>
        <w:left w:val="none" w:sz="0" w:space="0" w:color="auto"/>
        <w:bottom w:val="none" w:sz="0" w:space="0" w:color="auto"/>
        <w:right w:val="none" w:sz="0" w:space="0" w:color="auto"/>
      </w:divBdr>
    </w:div>
    <w:div w:id="974602951">
      <w:bodyDiv w:val="1"/>
      <w:marLeft w:val="0"/>
      <w:marRight w:val="0"/>
      <w:marTop w:val="0"/>
      <w:marBottom w:val="0"/>
      <w:divBdr>
        <w:top w:val="none" w:sz="0" w:space="0" w:color="auto"/>
        <w:left w:val="none" w:sz="0" w:space="0" w:color="auto"/>
        <w:bottom w:val="none" w:sz="0" w:space="0" w:color="auto"/>
        <w:right w:val="none" w:sz="0" w:space="0" w:color="auto"/>
      </w:divBdr>
    </w:div>
    <w:div w:id="976253596">
      <w:bodyDiv w:val="1"/>
      <w:marLeft w:val="0"/>
      <w:marRight w:val="0"/>
      <w:marTop w:val="0"/>
      <w:marBottom w:val="0"/>
      <w:divBdr>
        <w:top w:val="none" w:sz="0" w:space="0" w:color="auto"/>
        <w:left w:val="none" w:sz="0" w:space="0" w:color="auto"/>
        <w:bottom w:val="none" w:sz="0" w:space="0" w:color="auto"/>
        <w:right w:val="none" w:sz="0" w:space="0" w:color="auto"/>
      </w:divBdr>
    </w:div>
    <w:div w:id="1028794309">
      <w:bodyDiv w:val="1"/>
      <w:marLeft w:val="0"/>
      <w:marRight w:val="0"/>
      <w:marTop w:val="0"/>
      <w:marBottom w:val="0"/>
      <w:divBdr>
        <w:top w:val="none" w:sz="0" w:space="0" w:color="auto"/>
        <w:left w:val="none" w:sz="0" w:space="0" w:color="auto"/>
        <w:bottom w:val="none" w:sz="0" w:space="0" w:color="auto"/>
        <w:right w:val="none" w:sz="0" w:space="0" w:color="auto"/>
      </w:divBdr>
    </w:div>
    <w:div w:id="1029450240">
      <w:bodyDiv w:val="1"/>
      <w:marLeft w:val="0"/>
      <w:marRight w:val="0"/>
      <w:marTop w:val="0"/>
      <w:marBottom w:val="0"/>
      <w:divBdr>
        <w:top w:val="none" w:sz="0" w:space="0" w:color="auto"/>
        <w:left w:val="none" w:sz="0" w:space="0" w:color="auto"/>
        <w:bottom w:val="none" w:sz="0" w:space="0" w:color="auto"/>
        <w:right w:val="none" w:sz="0" w:space="0" w:color="auto"/>
      </w:divBdr>
    </w:div>
    <w:div w:id="1102184982">
      <w:bodyDiv w:val="1"/>
      <w:marLeft w:val="0"/>
      <w:marRight w:val="0"/>
      <w:marTop w:val="0"/>
      <w:marBottom w:val="0"/>
      <w:divBdr>
        <w:top w:val="none" w:sz="0" w:space="0" w:color="auto"/>
        <w:left w:val="none" w:sz="0" w:space="0" w:color="auto"/>
        <w:bottom w:val="none" w:sz="0" w:space="0" w:color="auto"/>
        <w:right w:val="none" w:sz="0" w:space="0" w:color="auto"/>
      </w:divBdr>
    </w:div>
    <w:div w:id="1128282101">
      <w:bodyDiv w:val="1"/>
      <w:marLeft w:val="0"/>
      <w:marRight w:val="0"/>
      <w:marTop w:val="0"/>
      <w:marBottom w:val="0"/>
      <w:divBdr>
        <w:top w:val="none" w:sz="0" w:space="0" w:color="auto"/>
        <w:left w:val="none" w:sz="0" w:space="0" w:color="auto"/>
        <w:bottom w:val="none" w:sz="0" w:space="0" w:color="auto"/>
        <w:right w:val="none" w:sz="0" w:space="0" w:color="auto"/>
      </w:divBdr>
    </w:div>
    <w:div w:id="1152016722">
      <w:bodyDiv w:val="1"/>
      <w:marLeft w:val="0"/>
      <w:marRight w:val="0"/>
      <w:marTop w:val="0"/>
      <w:marBottom w:val="0"/>
      <w:divBdr>
        <w:top w:val="none" w:sz="0" w:space="0" w:color="auto"/>
        <w:left w:val="none" w:sz="0" w:space="0" w:color="auto"/>
        <w:bottom w:val="none" w:sz="0" w:space="0" w:color="auto"/>
        <w:right w:val="none" w:sz="0" w:space="0" w:color="auto"/>
      </w:divBdr>
    </w:div>
    <w:div w:id="1214775829">
      <w:bodyDiv w:val="1"/>
      <w:marLeft w:val="0"/>
      <w:marRight w:val="0"/>
      <w:marTop w:val="0"/>
      <w:marBottom w:val="0"/>
      <w:divBdr>
        <w:top w:val="none" w:sz="0" w:space="0" w:color="auto"/>
        <w:left w:val="none" w:sz="0" w:space="0" w:color="auto"/>
        <w:bottom w:val="none" w:sz="0" w:space="0" w:color="auto"/>
        <w:right w:val="none" w:sz="0" w:space="0" w:color="auto"/>
      </w:divBdr>
    </w:div>
    <w:div w:id="1223250837">
      <w:bodyDiv w:val="1"/>
      <w:marLeft w:val="0"/>
      <w:marRight w:val="0"/>
      <w:marTop w:val="0"/>
      <w:marBottom w:val="0"/>
      <w:divBdr>
        <w:top w:val="none" w:sz="0" w:space="0" w:color="auto"/>
        <w:left w:val="none" w:sz="0" w:space="0" w:color="auto"/>
        <w:bottom w:val="none" w:sz="0" w:space="0" w:color="auto"/>
        <w:right w:val="none" w:sz="0" w:space="0" w:color="auto"/>
      </w:divBdr>
    </w:div>
    <w:div w:id="1271356934">
      <w:bodyDiv w:val="1"/>
      <w:marLeft w:val="0"/>
      <w:marRight w:val="0"/>
      <w:marTop w:val="0"/>
      <w:marBottom w:val="0"/>
      <w:divBdr>
        <w:top w:val="none" w:sz="0" w:space="0" w:color="auto"/>
        <w:left w:val="none" w:sz="0" w:space="0" w:color="auto"/>
        <w:bottom w:val="none" w:sz="0" w:space="0" w:color="auto"/>
        <w:right w:val="none" w:sz="0" w:space="0" w:color="auto"/>
      </w:divBdr>
    </w:div>
    <w:div w:id="1271939747">
      <w:bodyDiv w:val="1"/>
      <w:marLeft w:val="0"/>
      <w:marRight w:val="0"/>
      <w:marTop w:val="0"/>
      <w:marBottom w:val="0"/>
      <w:divBdr>
        <w:top w:val="none" w:sz="0" w:space="0" w:color="auto"/>
        <w:left w:val="none" w:sz="0" w:space="0" w:color="auto"/>
        <w:bottom w:val="none" w:sz="0" w:space="0" w:color="auto"/>
        <w:right w:val="none" w:sz="0" w:space="0" w:color="auto"/>
      </w:divBdr>
    </w:div>
    <w:div w:id="1327516957">
      <w:bodyDiv w:val="1"/>
      <w:marLeft w:val="0"/>
      <w:marRight w:val="0"/>
      <w:marTop w:val="0"/>
      <w:marBottom w:val="0"/>
      <w:divBdr>
        <w:top w:val="none" w:sz="0" w:space="0" w:color="auto"/>
        <w:left w:val="none" w:sz="0" w:space="0" w:color="auto"/>
        <w:bottom w:val="none" w:sz="0" w:space="0" w:color="auto"/>
        <w:right w:val="none" w:sz="0" w:space="0" w:color="auto"/>
      </w:divBdr>
    </w:div>
    <w:div w:id="1373650179">
      <w:bodyDiv w:val="1"/>
      <w:marLeft w:val="0"/>
      <w:marRight w:val="0"/>
      <w:marTop w:val="0"/>
      <w:marBottom w:val="0"/>
      <w:divBdr>
        <w:top w:val="none" w:sz="0" w:space="0" w:color="auto"/>
        <w:left w:val="none" w:sz="0" w:space="0" w:color="auto"/>
        <w:bottom w:val="none" w:sz="0" w:space="0" w:color="auto"/>
        <w:right w:val="none" w:sz="0" w:space="0" w:color="auto"/>
      </w:divBdr>
    </w:div>
    <w:div w:id="1412383855">
      <w:bodyDiv w:val="1"/>
      <w:marLeft w:val="0"/>
      <w:marRight w:val="0"/>
      <w:marTop w:val="0"/>
      <w:marBottom w:val="0"/>
      <w:divBdr>
        <w:top w:val="none" w:sz="0" w:space="0" w:color="auto"/>
        <w:left w:val="none" w:sz="0" w:space="0" w:color="auto"/>
        <w:bottom w:val="none" w:sz="0" w:space="0" w:color="auto"/>
        <w:right w:val="none" w:sz="0" w:space="0" w:color="auto"/>
      </w:divBdr>
    </w:div>
    <w:div w:id="1432775233">
      <w:bodyDiv w:val="1"/>
      <w:marLeft w:val="0"/>
      <w:marRight w:val="0"/>
      <w:marTop w:val="0"/>
      <w:marBottom w:val="0"/>
      <w:divBdr>
        <w:top w:val="none" w:sz="0" w:space="0" w:color="auto"/>
        <w:left w:val="none" w:sz="0" w:space="0" w:color="auto"/>
        <w:bottom w:val="none" w:sz="0" w:space="0" w:color="auto"/>
        <w:right w:val="none" w:sz="0" w:space="0" w:color="auto"/>
      </w:divBdr>
    </w:div>
    <w:div w:id="1515531950">
      <w:bodyDiv w:val="1"/>
      <w:marLeft w:val="0"/>
      <w:marRight w:val="0"/>
      <w:marTop w:val="0"/>
      <w:marBottom w:val="0"/>
      <w:divBdr>
        <w:top w:val="none" w:sz="0" w:space="0" w:color="auto"/>
        <w:left w:val="none" w:sz="0" w:space="0" w:color="auto"/>
        <w:bottom w:val="none" w:sz="0" w:space="0" w:color="auto"/>
        <w:right w:val="none" w:sz="0" w:space="0" w:color="auto"/>
      </w:divBdr>
    </w:div>
    <w:div w:id="1527908296">
      <w:bodyDiv w:val="1"/>
      <w:marLeft w:val="0"/>
      <w:marRight w:val="0"/>
      <w:marTop w:val="0"/>
      <w:marBottom w:val="0"/>
      <w:divBdr>
        <w:top w:val="none" w:sz="0" w:space="0" w:color="auto"/>
        <w:left w:val="none" w:sz="0" w:space="0" w:color="auto"/>
        <w:bottom w:val="none" w:sz="0" w:space="0" w:color="auto"/>
        <w:right w:val="none" w:sz="0" w:space="0" w:color="auto"/>
      </w:divBdr>
    </w:div>
    <w:div w:id="1607544390">
      <w:bodyDiv w:val="1"/>
      <w:marLeft w:val="0"/>
      <w:marRight w:val="0"/>
      <w:marTop w:val="0"/>
      <w:marBottom w:val="0"/>
      <w:divBdr>
        <w:top w:val="none" w:sz="0" w:space="0" w:color="auto"/>
        <w:left w:val="none" w:sz="0" w:space="0" w:color="auto"/>
        <w:bottom w:val="none" w:sz="0" w:space="0" w:color="auto"/>
        <w:right w:val="none" w:sz="0" w:space="0" w:color="auto"/>
      </w:divBdr>
    </w:div>
    <w:div w:id="1631471327">
      <w:bodyDiv w:val="1"/>
      <w:marLeft w:val="0"/>
      <w:marRight w:val="0"/>
      <w:marTop w:val="0"/>
      <w:marBottom w:val="0"/>
      <w:divBdr>
        <w:top w:val="none" w:sz="0" w:space="0" w:color="auto"/>
        <w:left w:val="none" w:sz="0" w:space="0" w:color="auto"/>
        <w:bottom w:val="none" w:sz="0" w:space="0" w:color="auto"/>
        <w:right w:val="none" w:sz="0" w:space="0" w:color="auto"/>
      </w:divBdr>
    </w:div>
    <w:div w:id="1759401590">
      <w:bodyDiv w:val="1"/>
      <w:marLeft w:val="0"/>
      <w:marRight w:val="0"/>
      <w:marTop w:val="0"/>
      <w:marBottom w:val="0"/>
      <w:divBdr>
        <w:top w:val="none" w:sz="0" w:space="0" w:color="auto"/>
        <w:left w:val="none" w:sz="0" w:space="0" w:color="auto"/>
        <w:bottom w:val="none" w:sz="0" w:space="0" w:color="auto"/>
        <w:right w:val="none" w:sz="0" w:space="0" w:color="auto"/>
      </w:divBdr>
    </w:div>
    <w:div w:id="1762215241">
      <w:bodyDiv w:val="1"/>
      <w:marLeft w:val="0"/>
      <w:marRight w:val="0"/>
      <w:marTop w:val="0"/>
      <w:marBottom w:val="0"/>
      <w:divBdr>
        <w:top w:val="none" w:sz="0" w:space="0" w:color="auto"/>
        <w:left w:val="none" w:sz="0" w:space="0" w:color="auto"/>
        <w:bottom w:val="none" w:sz="0" w:space="0" w:color="auto"/>
        <w:right w:val="none" w:sz="0" w:space="0" w:color="auto"/>
      </w:divBdr>
    </w:div>
    <w:div w:id="1772049212">
      <w:bodyDiv w:val="1"/>
      <w:marLeft w:val="0"/>
      <w:marRight w:val="0"/>
      <w:marTop w:val="0"/>
      <w:marBottom w:val="0"/>
      <w:divBdr>
        <w:top w:val="none" w:sz="0" w:space="0" w:color="auto"/>
        <w:left w:val="none" w:sz="0" w:space="0" w:color="auto"/>
        <w:bottom w:val="none" w:sz="0" w:space="0" w:color="auto"/>
        <w:right w:val="none" w:sz="0" w:space="0" w:color="auto"/>
      </w:divBdr>
    </w:div>
    <w:div w:id="1804038608">
      <w:bodyDiv w:val="1"/>
      <w:marLeft w:val="0"/>
      <w:marRight w:val="0"/>
      <w:marTop w:val="0"/>
      <w:marBottom w:val="0"/>
      <w:divBdr>
        <w:top w:val="none" w:sz="0" w:space="0" w:color="auto"/>
        <w:left w:val="none" w:sz="0" w:space="0" w:color="auto"/>
        <w:bottom w:val="none" w:sz="0" w:space="0" w:color="auto"/>
        <w:right w:val="none" w:sz="0" w:space="0" w:color="auto"/>
      </w:divBdr>
    </w:div>
    <w:div w:id="1837764739">
      <w:bodyDiv w:val="1"/>
      <w:marLeft w:val="0"/>
      <w:marRight w:val="0"/>
      <w:marTop w:val="0"/>
      <w:marBottom w:val="0"/>
      <w:divBdr>
        <w:top w:val="none" w:sz="0" w:space="0" w:color="auto"/>
        <w:left w:val="none" w:sz="0" w:space="0" w:color="auto"/>
        <w:bottom w:val="none" w:sz="0" w:space="0" w:color="auto"/>
        <w:right w:val="none" w:sz="0" w:space="0" w:color="auto"/>
      </w:divBdr>
    </w:div>
    <w:div w:id="1860240174">
      <w:bodyDiv w:val="1"/>
      <w:marLeft w:val="0"/>
      <w:marRight w:val="0"/>
      <w:marTop w:val="0"/>
      <w:marBottom w:val="0"/>
      <w:divBdr>
        <w:top w:val="none" w:sz="0" w:space="0" w:color="auto"/>
        <w:left w:val="none" w:sz="0" w:space="0" w:color="auto"/>
        <w:bottom w:val="none" w:sz="0" w:space="0" w:color="auto"/>
        <w:right w:val="none" w:sz="0" w:space="0" w:color="auto"/>
      </w:divBdr>
    </w:div>
    <w:div w:id="1930111923">
      <w:bodyDiv w:val="1"/>
      <w:marLeft w:val="0"/>
      <w:marRight w:val="0"/>
      <w:marTop w:val="0"/>
      <w:marBottom w:val="0"/>
      <w:divBdr>
        <w:top w:val="none" w:sz="0" w:space="0" w:color="auto"/>
        <w:left w:val="none" w:sz="0" w:space="0" w:color="auto"/>
        <w:bottom w:val="none" w:sz="0" w:space="0" w:color="auto"/>
        <w:right w:val="none" w:sz="0" w:space="0" w:color="auto"/>
      </w:divBdr>
    </w:div>
    <w:div w:id="1968319750">
      <w:bodyDiv w:val="1"/>
      <w:marLeft w:val="0"/>
      <w:marRight w:val="0"/>
      <w:marTop w:val="0"/>
      <w:marBottom w:val="0"/>
      <w:divBdr>
        <w:top w:val="none" w:sz="0" w:space="0" w:color="auto"/>
        <w:left w:val="none" w:sz="0" w:space="0" w:color="auto"/>
        <w:bottom w:val="none" w:sz="0" w:space="0" w:color="auto"/>
        <w:right w:val="none" w:sz="0" w:space="0" w:color="auto"/>
      </w:divBdr>
    </w:div>
    <w:div w:id="1972396167">
      <w:bodyDiv w:val="1"/>
      <w:marLeft w:val="0"/>
      <w:marRight w:val="0"/>
      <w:marTop w:val="0"/>
      <w:marBottom w:val="0"/>
      <w:divBdr>
        <w:top w:val="none" w:sz="0" w:space="0" w:color="auto"/>
        <w:left w:val="none" w:sz="0" w:space="0" w:color="auto"/>
        <w:bottom w:val="none" w:sz="0" w:space="0" w:color="auto"/>
        <w:right w:val="none" w:sz="0" w:space="0" w:color="auto"/>
      </w:divBdr>
    </w:div>
    <w:div w:id="1990209244">
      <w:bodyDiv w:val="1"/>
      <w:marLeft w:val="0"/>
      <w:marRight w:val="0"/>
      <w:marTop w:val="0"/>
      <w:marBottom w:val="0"/>
      <w:divBdr>
        <w:top w:val="none" w:sz="0" w:space="0" w:color="auto"/>
        <w:left w:val="none" w:sz="0" w:space="0" w:color="auto"/>
        <w:bottom w:val="none" w:sz="0" w:space="0" w:color="auto"/>
        <w:right w:val="none" w:sz="0" w:space="0" w:color="auto"/>
      </w:divBdr>
    </w:div>
    <w:div w:id="2053187127">
      <w:bodyDiv w:val="1"/>
      <w:marLeft w:val="0"/>
      <w:marRight w:val="0"/>
      <w:marTop w:val="0"/>
      <w:marBottom w:val="0"/>
      <w:divBdr>
        <w:top w:val="none" w:sz="0" w:space="0" w:color="auto"/>
        <w:left w:val="none" w:sz="0" w:space="0" w:color="auto"/>
        <w:bottom w:val="none" w:sz="0" w:space="0" w:color="auto"/>
        <w:right w:val="none" w:sz="0" w:space="0" w:color="auto"/>
      </w:divBdr>
    </w:div>
    <w:div w:id="2058163659">
      <w:bodyDiv w:val="1"/>
      <w:marLeft w:val="0"/>
      <w:marRight w:val="0"/>
      <w:marTop w:val="0"/>
      <w:marBottom w:val="0"/>
      <w:divBdr>
        <w:top w:val="none" w:sz="0" w:space="0" w:color="auto"/>
        <w:left w:val="none" w:sz="0" w:space="0" w:color="auto"/>
        <w:bottom w:val="none" w:sz="0" w:space="0" w:color="auto"/>
        <w:right w:val="none" w:sz="0" w:space="0" w:color="auto"/>
      </w:divBdr>
    </w:div>
    <w:div w:id="2081323323">
      <w:bodyDiv w:val="1"/>
      <w:marLeft w:val="0"/>
      <w:marRight w:val="0"/>
      <w:marTop w:val="0"/>
      <w:marBottom w:val="0"/>
      <w:divBdr>
        <w:top w:val="none" w:sz="0" w:space="0" w:color="auto"/>
        <w:left w:val="none" w:sz="0" w:space="0" w:color="auto"/>
        <w:bottom w:val="none" w:sz="0" w:space="0" w:color="auto"/>
        <w:right w:val="none" w:sz="0" w:space="0" w:color="auto"/>
      </w:divBdr>
    </w:div>
    <w:div w:id="2090228362">
      <w:bodyDiv w:val="1"/>
      <w:marLeft w:val="0"/>
      <w:marRight w:val="0"/>
      <w:marTop w:val="0"/>
      <w:marBottom w:val="0"/>
      <w:divBdr>
        <w:top w:val="none" w:sz="0" w:space="0" w:color="auto"/>
        <w:left w:val="none" w:sz="0" w:space="0" w:color="auto"/>
        <w:bottom w:val="none" w:sz="0" w:space="0" w:color="auto"/>
        <w:right w:val="none" w:sz="0" w:space="0" w:color="auto"/>
      </w:divBdr>
    </w:div>
    <w:div w:id="2113696130">
      <w:bodyDiv w:val="1"/>
      <w:marLeft w:val="0"/>
      <w:marRight w:val="0"/>
      <w:marTop w:val="0"/>
      <w:marBottom w:val="0"/>
      <w:divBdr>
        <w:top w:val="none" w:sz="0" w:space="0" w:color="auto"/>
        <w:left w:val="none" w:sz="0" w:space="0" w:color="auto"/>
        <w:bottom w:val="none" w:sz="0" w:space="0" w:color="auto"/>
        <w:right w:val="none" w:sz="0" w:space="0" w:color="auto"/>
      </w:divBdr>
    </w:div>
    <w:div w:id="2115203490">
      <w:bodyDiv w:val="1"/>
      <w:marLeft w:val="0"/>
      <w:marRight w:val="0"/>
      <w:marTop w:val="0"/>
      <w:marBottom w:val="0"/>
      <w:divBdr>
        <w:top w:val="none" w:sz="0" w:space="0" w:color="auto"/>
        <w:left w:val="none" w:sz="0" w:space="0" w:color="auto"/>
        <w:bottom w:val="none" w:sz="0" w:space="0" w:color="auto"/>
        <w:right w:val="none" w:sz="0" w:space="0" w:color="auto"/>
      </w:divBdr>
    </w:div>
    <w:div w:id="2118063640">
      <w:bodyDiv w:val="1"/>
      <w:marLeft w:val="0"/>
      <w:marRight w:val="0"/>
      <w:marTop w:val="0"/>
      <w:marBottom w:val="0"/>
      <w:divBdr>
        <w:top w:val="none" w:sz="0" w:space="0" w:color="auto"/>
        <w:left w:val="none" w:sz="0" w:space="0" w:color="auto"/>
        <w:bottom w:val="none" w:sz="0" w:space="0" w:color="auto"/>
        <w:right w:val="none" w:sz="0" w:space="0" w:color="auto"/>
      </w:divBdr>
    </w:div>
    <w:div w:id="212464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chart" Target="charts/chart3.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yperlink" Target="http://sharepoint/corpid/Avista%20Logo%20and%20Energy%20Source%20Artwork/Avista%20logo%20blue%20CMYK.jpg" TargetMode="External"/><Relationship Id="rId17" Type="http://schemas.openxmlformats.org/officeDocument/2006/relationships/chart" Target="charts/chart2.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avistautilities.com" TargetMode="Externa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hart" Target="charts/chart7.xml"/><Relationship Id="rId27" Type="http://schemas.openxmlformats.org/officeDocument/2006/relationships/image" Target="media/image6.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 Electric Portfolio Cost-effectiveness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Graphs!$B$2</c:f>
              <c:strCache>
                <c:ptCount val="1"/>
                <c:pt idx="0">
                  <c:v>TRC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Graphs!$A$3:$A$5</c:f>
              <c:strCache>
                <c:ptCount val="3"/>
                <c:pt idx="0">
                  <c:v>Total Electric Portfolio</c:v>
                </c:pt>
                <c:pt idx="1">
                  <c:v>Portfolio w/o Low Income</c:v>
                </c:pt>
                <c:pt idx="2">
                  <c:v>Portfolio w/o Conversions</c:v>
                </c:pt>
              </c:strCache>
            </c:strRef>
          </c:cat>
          <c:val>
            <c:numRef>
              <c:f>Graphs!$B$3:$B$5</c:f>
              <c:numCache>
                <c:formatCode>_(* #,##0.0_);_(* \(#,##0.0\);_(* "-"??_);_(@_)</c:formatCode>
                <c:ptCount val="3"/>
                <c:pt idx="0">
                  <c:v>1.8254586970482458</c:v>
                </c:pt>
                <c:pt idx="1">
                  <c:v>1.8573755810151933</c:v>
                </c:pt>
                <c:pt idx="2">
                  <c:v>2.1215820841446797</c:v>
                </c:pt>
              </c:numCache>
            </c:numRef>
          </c:val>
        </c:ser>
        <c:ser>
          <c:idx val="1"/>
          <c:order val="1"/>
          <c:tx>
            <c:strRef>
              <c:f>Graphs!$C$2</c:f>
              <c:strCache>
                <c:ptCount val="1"/>
                <c:pt idx="0">
                  <c:v>UCT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Graphs!$A$3:$A$5</c:f>
              <c:strCache>
                <c:ptCount val="3"/>
                <c:pt idx="0">
                  <c:v>Total Electric Portfolio</c:v>
                </c:pt>
                <c:pt idx="1">
                  <c:v>Portfolio w/o Low Income</c:v>
                </c:pt>
                <c:pt idx="2">
                  <c:v>Portfolio w/o Conversions</c:v>
                </c:pt>
              </c:strCache>
            </c:strRef>
          </c:cat>
          <c:val>
            <c:numRef>
              <c:f>Graphs!$C$3:$C$5</c:f>
              <c:numCache>
                <c:formatCode>_(* #,##0.0_);_(* \(#,##0.0\);_(* "-"??_);_(@_)</c:formatCode>
                <c:ptCount val="3"/>
                <c:pt idx="0">
                  <c:v>2.5106274196195795</c:v>
                </c:pt>
                <c:pt idx="1">
                  <c:v>2.6879977759043898</c:v>
                </c:pt>
                <c:pt idx="2">
                  <c:v>2.8729622962292196</c:v>
                </c:pt>
              </c:numCache>
            </c:numRef>
          </c:val>
        </c:ser>
        <c:dLbls>
          <c:showLegendKey val="0"/>
          <c:showVal val="0"/>
          <c:showCatName val="0"/>
          <c:showSerName val="0"/>
          <c:showPercent val="0"/>
          <c:showBubbleSize val="0"/>
        </c:dLbls>
        <c:gapWidth val="150"/>
        <c:shape val="box"/>
        <c:axId val="133849656"/>
        <c:axId val="135360336"/>
        <c:axId val="0"/>
      </c:bar3DChart>
      <c:catAx>
        <c:axId val="133849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60336"/>
        <c:crosses val="autoZero"/>
        <c:auto val="1"/>
        <c:lblAlgn val="ctr"/>
        <c:lblOffset val="100"/>
        <c:noMultiLvlLbl val="0"/>
      </c:catAx>
      <c:valAx>
        <c:axId val="135360336"/>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49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 Electric Residential Cost-effectiveness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Graphs!$B$8</c:f>
              <c:strCache>
                <c:ptCount val="1"/>
                <c:pt idx="0">
                  <c:v>TRC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Graphs!$A$9:$A$13</c:f>
              <c:strCache>
                <c:ptCount val="5"/>
                <c:pt idx="0">
                  <c:v>Res Prescriptive</c:v>
                </c:pt>
                <c:pt idx="1">
                  <c:v>Res Conversions</c:v>
                </c:pt>
                <c:pt idx="2">
                  <c:v>Res Request by Mail</c:v>
                </c:pt>
                <c:pt idx="3">
                  <c:v>Simple Steps</c:v>
                </c:pt>
                <c:pt idx="4">
                  <c:v>Home Energy Reports</c:v>
                </c:pt>
              </c:strCache>
            </c:strRef>
          </c:cat>
          <c:val>
            <c:numRef>
              <c:f>Graphs!$B$9:$B$13</c:f>
              <c:numCache>
                <c:formatCode>_(* #,##0.0_);_(* \(#,##0.0\);_(* "-"??_);_(@_)</c:formatCode>
                <c:ptCount val="5"/>
                <c:pt idx="0">
                  <c:v>1.2140146145707043</c:v>
                </c:pt>
                <c:pt idx="1">
                  <c:v>1.2495865720049393</c:v>
                </c:pt>
                <c:pt idx="2">
                  <c:v>0</c:v>
                </c:pt>
                <c:pt idx="3">
                  <c:v>4.1186070502369461</c:v>
                </c:pt>
                <c:pt idx="4">
                  <c:v>1.6932591322420206E-3</c:v>
                </c:pt>
              </c:numCache>
            </c:numRef>
          </c:val>
        </c:ser>
        <c:ser>
          <c:idx val="1"/>
          <c:order val="1"/>
          <c:tx>
            <c:strRef>
              <c:f>Graphs!$C$8</c:f>
              <c:strCache>
                <c:ptCount val="1"/>
                <c:pt idx="0">
                  <c:v>UCT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Graphs!$A$9:$A$13</c:f>
              <c:strCache>
                <c:ptCount val="5"/>
                <c:pt idx="0">
                  <c:v>Res Prescriptive</c:v>
                </c:pt>
                <c:pt idx="1">
                  <c:v>Res Conversions</c:v>
                </c:pt>
                <c:pt idx="2">
                  <c:v>Res Request by Mail</c:v>
                </c:pt>
                <c:pt idx="3">
                  <c:v>Simple Steps</c:v>
                </c:pt>
                <c:pt idx="4">
                  <c:v>Home Energy Reports</c:v>
                </c:pt>
              </c:strCache>
            </c:strRef>
          </c:cat>
          <c:val>
            <c:numRef>
              <c:f>Graphs!$C$9:$C$13</c:f>
              <c:numCache>
                <c:formatCode>_(* #,##0.0_);_(* \(#,##0.0\);_(* "-"??_);_(@_)</c:formatCode>
                <c:ptCount val="5"/>
                <c:pt idx="0">
                  <c:v>3.6184190414861748</c:v>
                </c:pt>
                <c:pt idx="1">
                  <c:v>2.4985714449037388</c:v>
                </c:pt>
                <c:pt idx="2">
                  <c:v>0</c:v>
                </c:pt>
                <c:pt idx="3">
                  <c:v>3.6232882765321524</c:v>
                </c:pt>
                <c:pt idx="4">
                  <c:v>1.5393264838563822E-3</c:v>
                </c:pt>
              </c:numCache>
            </c:numRef>
          </c:val>
        </c:ser>
        <c:dLbls>
          <c:showLegendKey val="0"/>
          <c:showVal val="0"/>
          <c:showCatName val="0"/>
          <c:showSerName val="0"/>
          <c:showPercent val="0"/>
          <c:showBubbleSize val="0"/>
        </c:dLbls>
        <c:gapWidth val="150"/>
        <c:shape val="box"/>
        <c:axId val="133815504"/>
        <c:axId val="133815112"/>
        <c:axId val="0"/>
      </c:bar3DChart>
      <c:catAx>
        <c:axId val="133815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15112"/>
        <c:crosses val="autoZero"/>
        <c:auto val="1"/>
        <c:lblAlgn val="ctr"/>
        <c:lblOffset val="100"/>
        <c:noMultiLvlLbl val="0"/>
      </c:catAx>
      <c:valAx>
        <c:axId val="133815112"/>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15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 Electric Low Income Cost-effectiveness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Graphs!$B$16</c:f>
              <c:strCache>
                <c:ptCount val="1"/>
                <c:pt idx="0">
                  <c:v>TRC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Graphs!$A$17:$A$19</c:f>
              <c:strCache>
                <c:ptCount val="3"/>
                <c:pt idx="0">
                  <c:v>WA LI (With out Conversions)</c:v>
                </c:pt>
                <c:pt idx="1">
                  <c:v>WA LI (Conversions only)</c:v>
                </c:pt>
                <c:pt idx="2">
                  <c:v>Washington Low Income</c:v>
                </c:pt>
              </c:strCache>
            </c:strRef>
          </c:cat>
          <c:val>
            <c:numRef>
              <c:f>Graphs!$B$17:$B$19</c:f>
              <c:numCache>
                <c:formatCode>_(* #,##0.0_);_(* \(#,##0.0\);_(* "-"??_);_(@_)</c:formatCode>
                <c:ptCount val="3"/>
                <c:pt idx="0">
                  <c:v>0.96293723779983331</c:v>
                </c:pt>
                <c:pt idx="1">
                  <c:v>1.4934353925282842</c:v>
                </c:pt>
                <c:pt idx="2">
                  <c:v>1.2422354518271543</c:v>
                </c:pt>
              </c:numCache>
            </c:numRef>
          </c:val>
        </c:ser>
        <c:ser>
          <c:idx val="1"/>
          <c:order val="1"/>
          <c:tx>
            <c:strRef>
              <c:f>Graphs!$C$16</c:f>
              <c:strCache>
                <c:ptCount val="1"/>
                <c:pt idx="0">
                  <c:v>UCT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Graphs!$A$17:$A$19</c:f>
              <c:strCache>
                <c:ptCount val="3"/>
                <c:pt idx="0">
                  <c:v>WA LI (With out Conversions)</c:v>
                </c:pt>
                <c:pt idx="1">
                  <c:v>WA LI (Conversions only)</c:v>
                </c:pt>
                <c:pt idx="2">
                  <c:v>Washington Low Income</c:v>
                </c:pt>
              </c:strCache>
            </c:strRef>
          </c:cat>
          <c:val>
            <c:numRef>
              <c:f>Graphs!$C$17:$C$19</c:f>
              <c:numCache>
                <c:formatCode>_(* #,##0.0_);_(* \(#,##0.0\);_(* "-"??_);_(@_)</c:formatCode>
                <c:ptCount val="3"/>
                <c:pt idx="0">
                  <c:v>0.64733625468069267</c:v>
                </c:pt>
                <c:pt idx="1">
                  <c:v>1.0678012555897192</c:v>
                </c:pt>
                <c:pt idx="2">
                  <c:v>0.8736673095254236</c:v>
                </c:pt>
              </c:numCache>
            </c:numRef>
          </c:val>
        </c:ser>
        <c:dLbls>
          <c:showLegendKey val="0"/>
          <c:showVal val="0"/>
          <c:showCatName val="0"/>
          <c:showSerName val="0"/>
          <c:showPercent val="0"/>
          <c:showBubbleSize val="0"/>
        </c:dLbls>
        <c:gapWidth val="150"/>
        <c:shape val="box"/>
        <c:axId val="135361512"/>
        <c:axId val="135361904"/>
        <c:axId val="0"/>
      </c:bar3DChart>
      <c:catAx>
        <c:axId val="135361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61904"/>
        <c:crosses val="autoZero"/>
        <c:auto val="1"/>
        <c:lblAlgn val="ctr"/>
        <c:lblOffset val="100"/>
        <c:noMultiLvlLbl val="0"/>
      </c:catAx>
      <c:valAx>
        <c:axId val="135361904"/>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61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a:t>
            </a:r>
            <a:r>
              <a:rPr lang="en-US" baseline="0"/>
              <a:t> Electric Non-Res Prescriptive Cost-effectiveness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Graphs!$B$22</c:f>
              <c:strCache>
                <c:ptCount val="1"/>
                <c:pt idx="0">
                  <c:v>TRC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Graphs!$A$23:$A$33</c:f>
              <c:strCache>
                <c:ptCount val="11"/>
                <c:pt idx="0">
                  <c:v>Interior Pres Lighting</c:v>
                </c:pt>
                <c:pt idx="1">
                  <c:v>Exterior Pres Lighting</c:v>
                </c:pt>
                <c:pt idx="2">
                  <c:v>Pres Shell</c:v>
                </c:pt>
                <c:pt idx="3">
                  <c:v>Pres VFD</c:v>
                </c:pt>
                <c:pt idx="4">
                  <c:v>Pres Food Service</c:v>
                </c:pt>
                <c:pt idx="5">
                  <c:v>Pres Green Motor</c:v>
                </c:pt>
                <c:pt idx="6">
                  <c:v>Air Guardian</c:v>
                </c:pt>
                <c:pt idx="7">
                  <c:v>Fleet Heat</c:v>
                </c:pt>
                <c:pt idx="8">
                  <c:v>Energy Smart Grocery</c:v>
                </c:pt>
                <c:pt idx="9">
                  <c:v>Small Business</c:v>
                </c:pt>
                <c:pt idx="10">
                  <c:v>Multifamily Market Transformation</c:v>
                </c:pt>
              </c:strCache>
            </c:strRef>
          </c:cat>
          <c:val>
            <c:numRef>
              <c:f>Graphs!$B$23:$B$33</c:f>
              <c:numCache>
                <c:formatCode>_(* #,##0.0_);_(* \(#,##0.0\);_(* "-"??_);_(@_)</c:formatCode>
                <c:ptCount val="11"/>
                <c:pt idx="0">
                  <c:v>1.827894006093596</c:v>
                </c:pt>
                <c:pt idx="1">
                  <c:v>2.3962700539997148</c:v>
                </c:pt>
                <c:pt idx="2">
                  <c:v>3.4869673791508307</c:v>
                </c:pt>
                <c:pt idx="3">
                  <c:v>3.7241231131123289</c:v>
                </c:pt>
                <c:pt idx="4">
                  <c:v>2.6531378126637235</c:v>
                </c:pt>
                <c:pt idx="5">
                  <c:v>2.0564884743095231</c:v>
                </c:pt>
                <c:pt idx="6">
                  <c:v>1.7964596301841924</c:v>
                </c:pt>
                <c:pt idx="7">
                  <c:v>3.9779367125039755</c:v>
                </c:pt>
                <c:pt idx="8">
                  <c:v>0.97524778985597249</c:v>
                </c:pt>
                <c:pt idx="9">
                  <c:v>2.2978075668850253</c:v>
                </c:pt>
                <c:pt idx="10">
                  <c:v>0.76869562705509387</c:v>
                </c:pt>
              </c:numCache>
            </c:numRef>
          </c:val>
        </c:ser>
        <c:ser>
          <c:idx val="1"/>
          <c:order val="1"/>
          <c:tx>
            <c:strRef>
              <c:f>Graphs!$C$22</c:f>
              <c:strCache>
                <c:ptCount val="1"/>
                <c:pt idx="0">
                  <c:v>UCT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Graphs!$A$23:$A$33</c:f>
              <c:strCache>
                <c:ptCount val="11"/>
                <c:pt idx="0">
                  <c:v>Interior Pres Lighting</c:v>
                </c:pt>
                <c:pt idx="1">
                  <c:v>Exterior Pres Lighting</c:v>
                </c:pt>
                <c:pt idx="2">
                  <c:v>Pres Shell</c:v>
                </c:pt>
                <c:pt idx="3">
                  <c:v>Pres VFD</c:v>
                </c:pt>
                <c:pt idx="4">
                  <c:v>Pres Food Service</c:v>
                </c:pt>
                <c:pt idx="5">
                  <c:v>Pres Green Motor</c:v>
                </c:pt>
                <c:pt idx="6">
                  <c:v>Air Guardian</c:v>
                </c:pt>
                <c:pt idx="7">
                  <c:v>Fleet Heat</c:v>
                </c:pt>
                <c:pt idx="8">
                  <c:v>Energy Smart Grocery</c:v>
                </c:pt>
                <c:pt idx="9">
                  <c:v>Small Business</c:v>
                </c:pt>
                <c:pt idx="10">
                  <c:v>Multifamily Market Transformation</c:v>
                </c:pt>
              </c:strCache>
            </c:strRef>
          </c:cat>
          <c:val>
            <c:numRef>
              <c:f>Graphs!$C$23:$C$33</c:f>
              <c:numCache>
                <c:formatCode>_(* #,##0.0_);_(* \(#,##0.0\);_(* "-"??_);_(@_)</c:formatCode>
                <c:ptCount val="11"/>
                <c:pt idx="0">
                  <c:v>2.5287346756541691</c:v>
                </c:pt>
                <c:pt idx="1">
                  <c:v>2.8714439708273538</c:v>
                </c:pt>
                <c:pt idx="2">
                  <c:v>4.793165942384781</c:v>
                </c:pt>
                <c:pt idx="3">
                  <c:v>4.3694078786116055</c:v>
                </c:pt>
                <c:pt idx="4">
                  <c:v>3.9886423268565236</c:v>
                </c:pt>
                <c:pt idx="5">
                  <c:v>3.301371553984811</c:v>
                </c:pt>
                <c:pt idx="6">
                  <c:v>1.6331451183492658</c:v>
                </c:pt>
                <c:pt idx="7">
                  <c:v>3.616306102276341</c:v>
                </c:pt>
                <c:pt idx="8">
                  <c:v>3.0114426306770201</c:v>
                </c:pt>
                <c:pt idx="9">
                  <c:v>1.9967007893439901</c:v>
                </c:pt>
                <c:pt idx="10">
                  <c:v>1.2677981023298066</c:v>
                </c:pt>
              </c:numCache>
            </c:numRef>
          </c:val>
        </c:ser>
        <c:dLbls>
          <c:showLegendKey val="0"/>
          <c:showVal val="0"/>
          <c:showCatName val="0"/>
          <c:showSerName val="0"/>
          <c:showPercent val="0"/>
          <c:showBubbleSize val="0"/>
        </c:dLbls>
        <c:gapWidth val="150"/>
        <c:shape val="box"/>
        <c:axId val="135363080"/>
        <c:axId val="135363472"/>
        <c:axId val="0"/>
      </c:bar3DChart>
      <c:catAx>
        <c:axId val="135363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63472"/>
        <c:crosses val="autoZero"/>
        <c:auto val="1"/>
        <c:lblAlgn val="ctr"/>
        <c:lblOffset val="100"/>
        <c:noMultiLvlLbl val="0"/>
      </c:catAx>
      <c:valAx>
        <c:axId val="135363472"/>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63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 Electric</a:t>
            </a:r>
            <a:r>
              <a:rPr lang="en-US" baseline="0"/>
              <a:t> Site Specific</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Graphs!$A$37</c:f>
              <c:strCache>
                <c:ptCount val="1"/>
                <c:pt idx="0">
                  <c:v>Site Specific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Graphs!$B$36:$C$36</c:f>
              <c:strCache>
                <c:ptCount val="2"/>
                <c:pt idx="0">
                  <c:v>TRC</c:v>
                </c:pt>
                <c:pt idx="1">
                  <c:v>UCT</c:v>
                </c:pt>
              </c:strCache>
            </c:strRef>
          </c:cat>
          <c:val>
            <c:numRef>
              <c:f>Graphs!$B$37:$C$37</c:f>
              <c:numCache>
                <c:formatCode>_(* #,##0.0_);_(* \(#,##0.0\);_(* "-"??_);_(@_)</c:formatCode>
                <c:ptCount val="2"/>
                <c:pt idx="0">
                  <c:v>1.3832597331878886</c:v>
                </c:pt>
                <c:pt idx="1">
                  <c:v>3.2411918607449186</c:v>
                </c:pt>
              </c:numCache>
            </c:numRef>
          </c:val>
        </c:ser>
        <c:dLbls>
          <c:showLegendKey val="0"/>
          <c:showVal val="0"/>
          <c:showCatName val="0"/>
          <c:showSerName val="0"/>
          <c:showPercent val="0"/>
          <c:showBubbleSize val="0"/>
        </c:dLbls>
        <c:gapWidth val="150"/>
        <c:shape val="box"/>
        <c:axId val="282235328"/>
        <c:axId val="282235720"/>
        <c:axId val="0"/>
      </c:bar3DChart>
      <c:catAx>
        <c:axId val="282235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35720"/>
        <c:crosses val="autoZero"/>
        <c:auto val="1"/>
        <c:lblAlgn val="ctr"/>
        <c:lblOffset val="100"/>
        <c:noMultiLvlLbl val="0"/>
      </c:catAx>
      <c:valAx>
        <c:axId val="282235720"/>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35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a:t>
            </a:r>
            <a:r>
              <a:rPr lang="en-US" baseline="0"/>
              <a:t> Electric Sector Cost-effectiveness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Graphs!$B$40</c:f>
              <c:strCache>
                <c:ptCount val="1"/>
                <c:pt idx="0">
                  <c:v>TRC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Graphs!$A$41:$A$43</c:f>
              <c:strCache>
                <c:ptCount val="3"/>
                <c:pt idx="0">
                  <c:v>Low-Income</c:v>
                </c:pt>
                <c:pt idx="1">
                  <c:v>Resindential</c:v>
                </c:pt>
                <c:pt idx="2">
                  <c:v>Non-Residential</c:v>
                </c:pt>
              </c:strCache>
            </c:strRef>
          </c:cat>
          <c:val>
            <c:numRef>
              <c:f>Graphs!$B$41:$B$43</c:f>
              <c:numCache>
                <c:formatCode>_(* #,##0.0_);_(* \(#,##0.0\);_(* "-"??_);_(@_)</c:formatCode>
                <c:ptCount val="3"/>
                <c:pt idx="0">
                  <c:v>1.2422354518271543</c:v>
                </c:pt>
                <c:pt idx="1">
                  <c:v>2.5393673815283515</c:v>
                </c:pt>
                <c:pt idx="2">
                  <c:v>1.5145269286388185</c:v>
                </c:pt>
              </c:numCache>
            </c:numRef>
          </c:val>
        </c:ser>
        <c:ser>
          <c:idx val="1"/>
          <c:order val="1"/>
          <c:tx>
            <c:strRef>
              <c:f>Graphs!$C$40</c:f>
              <c:strCache>
                <c:ptCount val="1"/>
                <c:pt idx="0">
                  <c:v>UCT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Graphs!$A$41:$A$43</c:f>
              <c:strCache>
                <c:ptCount val="3"/>
                <c:pt idx="0">
                  <c:v>Low-Income</c:v>
                </c:pt>
                <c:pt idx="1">
                  <c:v>Resindential</c:v>
                </c:pt>
                <c:pt idx="2">
                  <c:v>Non-Residential</c:v>
                </c:pt>
              </c:strCache>
            </c:strRef>
          </c:cat>
          <c:val>
            <c:numRef>
              <c:f>Graphs!$C$41:$C$43</c:f>
              <c:numCache>
                <c:formatCode>_(* #,##0.0_);_(* \(#,##0.0\);_(* "-"??_);_(@_)</c:formatCode>
                <c:ptCount val="3"/>
                <c:pt idx="0">
                  <c:v>0.8736673095254236</c:v>
                </c:pt>
                <c:pt idx="1">
                  <c:v>3.0348876247637877</c:v>
                </c:pt>
                <c:pt idx="2">
                  <c:v>2.5043218391518605</c:v>
                </c:pt>
              </c:numCache>
            </c:numRef>
          </c:val>
        </c:ser>
        <c:dLbls>
          <c:showLegendKey val="0"/>
          <c:showVal val="0"/>
          <c:showCatName val="0"/>
          <c:showSerName val="0"/>
          <c:showPercent val="0"/>
          <c:showBubbleSize val="0"/>
        </c:dLbls>
        <c:gapWidth val="150"/>
        <c:shape val="box"/>
        <c:axId val="282237288"/>
        <c:axId val="282237680"/>
        <c:axId val="0"/>
      </c:bar3DChart>
      <c:catAx>
        <c:axId val="282237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37680"/>
        <c:crosses val="autoZero"/>
        <c:auto val="1"/>
        <c:lblAlgn val="ctr"/>
        <c:lblOffset val="100"/>
        <c:noMultiLvlLbl val="0"/>
      </c:catAx>
      <c:valAx>
        <c:axId val="282237680"/>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37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 kWh savings by sector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kWh savings</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'Programs Summary'!$I$3:$I$6</c:f>
              <c:strCache>
                <c:ptCount val="4"/>
                <c:pt idx="0">
                  <c:v> Low Income</c:v>
                </c:pt>
                <c:pt idx="1">
                  <c:v>Residential</c:v>
                </c:pt>
                <c:pt idx="2">
                  <c:v>Non-Residential</c:v>
                </c:pt>
                <c:pt idx="3">
                  <c:v>Total</c:v>
                </c:pt>
              </c:strCache>
            </c:strRef>
          </c:cat>
          <c:val>
            <c:numRef>
              <c:f>'Programs Summary'!$J$3:$J$6</c:f>
              <c:numCache>
                <c:formatCode>_(* #,##0_);_(* \(#,##0\);_(* "-"??_);_(@_)</c:formatCode>
                <c:ptCount val="4"/>
                <c:pt idx="0">
                  <c:v>1170538.5</c:v>
                </c:pt>
                <c:pt idx="1">
                  <c:v>15209538.400107302</c:v>
                </c:pt>
                <c:pt idx="2">
                  <c:v>23598294.517499998</c:v>
                </c:pt>
                <c:pt idx="3">
                  <c:v>39978371.4176073</c:v>
                </c:pt>
              </c:numCache>
            </c:numRef>
          </c:val>
        </c:ser>
        <c:dLbls>
          <c:showLegendKey val="0"/>
          <c:showVal val="0"/>
          <c:showCatName val="0"/>
          <c:showSerName val="0"/>
          <c:showPercent val="0"/>
          <c:showBubbleSize val="0"/>
        </c:dLbls>
        <c:gapWidth val="150"/>
        <c:shape val="box"/>
        <c:axId val="282460232"/>
        <c:axId val="282460624"/>
        <c:axId val="0"/>
      </c:bar3DChart>
      <c:catAx>
        <c:axId val="282460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60624"/>
        <c:crosses val="autoZero"/>
        <c:auto val="1"/>
        <c:lblAlgn val="ctr"/>
        <c:lblOffset val="100"/>
        <c:noMultiLvlLbl val="0"/>
      </c:catAx>
      <c:valAx>
        <c:axId val="28246062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60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WA Electric Budget by sector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WA Electric Budget</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'Programs Summary'!$I$3:$I$6</c:f>
              <c:strCache>
                <c:ptCount val="4"/>
                <c:pt idx="0">
                  <c:v> Low Income</c:v>
                </c:pt>
                <c:pt idx="1">
                  <c:v>Residential</c:v>
                </c:pt>
                <c:pt idx="2">
                  <c:v>Non-Residential</c:v>
                </c:pt>
                <c:pt idx="3">
                  <c:v>Total</c:v>
                </c:pt>
              </c:strCache>
            </c:strRef>
          </c:cat>
          <c:val>
            <c:numRef>
              <c:f>'Programs Summary'!$K$3:$K$6</c:f>
              <c:numCache>
                <c:formatCode>_("$"* #,##0_);_("$"* \(#,##0\);_("$"* "-"??_);_(@_)</c:formatCode>
                <c:ptCount val="4"/>
                <c:pt idx="0">
                  <c:v>1265262.6183364762</c:v>
                </c:pt>
                <c:pt idx="1">
                  <c:v>3719680.6977799376</c:v>
                </c:pt>
                <c:pt idx="2">
                  <c:v>6977813.4464002382</c:v>
                </c:pt>
                <c:pt idx="3">
                  <c:v>11962756.762516651</c:v>
                </c:pt>
              </c:numCache>
            </c:numRef>
          </c:val>
        </c:ser>
        <c:dLbls>
          <c:showLegendKey val="0"/>
          <c:showVal val="0"/>
          <c:showCatName val="0"/>
          <c:showSerName val="0"/>
          <c:showPercent val="0"/>
          <c:showBubbleSize val="0"/>
        </c:dLbls>
        <c:gapWidth val="150"/>
        <c:shape val="box"/>
        <c:axId val="282236896"/>
        <c:axId val="282461800"/>
        <c:axId val="0"/>
      </c:bar3DChart>
      <c:catAx>
        <c:axId val="282236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61800"/>
        <c:crosses val="autoZero"/>
        <c:auto val="1"/>
        <c:lblAlgn val="ctr"/>
        <c:lblOffset val="100"/>
        <c:noMultiLvlLbl val="0"/>
      </c:catAx>
      <c:valAx>
        <c:axId val="2824618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36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'[Copy of 2017 Washington Electric BP wLI Revisions post additions.xlsx]Graphs'!$A$48</c:f>
              <c:strCache>
                <c:ptCount val="1"/>
                <c:pt idx="0">
                  <c:v>I-937 Local Target vs. 2017 WA Business Plan (MWh)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'[Copy of 2017 Washington Electric BP wLI Revisions post additions.xlsx]Graphs'!$B$47:$C$47</c:f>
              <c:strCache>
                <c:ptCount val="2"/>
                <c:pt idx="0">
                  <c:v>I-937</c:v>
                </c:pt>
                <c:pt idx="1">
                  <c:v>2017 Business Plan</c:v>
                </c:pt>
              </c:strCache>
            </c:strRef>
          </c:cat>
          <c:val>
            <c:numRef>
              <c:f>'[Copy of 2017 Washington Electric BP wLI Revisions post additions.xlsx]Graphs'!$B$48:$C$48</c:f>
              <c:numCache>
                <c:formatCode>#,##0</c:formatCode>
                <c:ptCount val="2"/>
                <c:pt idx="0">
                  <c:v>76257</c:v>
                </c:pt>
                <c:pt idx="1">
                  <c:v>33124</c:v>
                </c:pt>
              </c:numCache>
            </c:numRef>
          </c:val>
        </c:ser>
        <c:dLbls>
          <c:showLegendKey val="0"/>
          <c:showVal val="0"/>
          <c:showCatName val="0"/>
          <c:showSerName val="0"/>
          <c:showPercent val="0"/>
          <c:showBubbleSize val="0"/>
        </c:dLbls>
        <c:gapWidth val="150"/>
        <c:shape val="box"/>
        <c:axId val="282462976"/>
        <c:axId val="282463368"/>
        <c:axId val="0"/>
      </c:bar3DChart>
      <c:catAx>
        <c:axId val="282462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63368"/>
        <c:crosses val="autoZero"/>
        <c:auto val="1"/>
        <c:lblAlgn val="ctr"/>
        <c:lblOffset val="100"/>
        <c:noMultiLvlLbl val="0"/>
      </c:catAx>
      <c:valAx>
        <c:axId val="282463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62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C9FF752C62EEC49B6E6DFE0ED78D158" ma:contentTypeVersion="119" ma:contentTypeDescription="" ma:contentTypeScope="" ma:versionID="2dca227f7d2c3253a97295416043450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Replacement Page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2015-10-30T07:00:00+00:00</OpenedDate>
    <Date1 xmlns="dc463f71-b30c-4ab2-9473-d307f9d35888">2016-12-16T08:00:00+00:00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152076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EAE147FE-EEB6-498E-8B5C-818D69278775}"/>
</file>

<file path=customXml/itemProps2.xml><?xml version="1.0" encoding="utf-8"?>
<ds:datastoreItem xmlns:ds="http://schemas.openxmlformats.org/officeDocument/2006/customXml" ds:itemID="{7C2D5627-3079-4159-AAD3-206135C6C443}">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6a7bd91e-004b-490a-8704-e368d63d59a0"/>
    <ds:schemaRef ds:uri="http://www.w3.org/XML/1998/namespace"/>
  </ds:schemaRefs>
</ds:datastoreItem>
</file>

<file path=customXml/itemProps3.xml><?xml version="1.0" encoding="utf-8"?>
<ds:datastoreItem xmlns:ds="http://schemas.openxmlformats.org/officeDocument/2006/customXml" ds:itemID="{207C759D-F03D-426A-B268-29ED87EBA810}">
  <ds:schemaRefs>
    <ds:schemaRef ds:uri="http://schemas.microsoft.com/sharepoint/v3/contenttype/forms"/>
  </ds:schemaRefs>
</ds:datastoreItem>
</file>

<file path=customXml/itemProps4.xml><?xml version="1.0" encoding="utf-8"?>
<ds:datastoreItem xmlns:ds="http://schemas.openxmlformats.org/officeDocument/2006/customXml" ds:itemID="{CD50DB11-5D60-4095-9FEE-F40A29173871}">
  <ds:schemaRefs>
    <ds:schemaRef ds:uri="http://schemas.openxmlformats.org/officeDocument/2006/bibliography"/>
  </ds:schemaRefs>
</ds:datastoreItem>
</file>

<file path=customXml/itemProps5.xml><?xml version="1.0" encoding="utf-8"?>
<ds:datastoreItem xmlns:ds="http://schemas.openxmlformats.org/officeDocument/2006/customXml" ds:itemID="{FD4FC8FF-F810-4229-BAC7-7D589FAB1FC0}"/>
</file>

<file path=docProps/app.xml><?xml version="1.0" encoding="utf-8"?>
<Properties xmlns="http://schemas.openxmlformats.org/officeDocument/2006/extended-properties" xmlns:vt="http://schemas.openxmlformats.org/officeDocument/2006/docPropsVTypes">
  <Template>Normal.dotm</Template>
  <TotalTime>1</TotalTime>
  <Pages>35</Pages>
  <Words>9004</Words>
  <Characters>51326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Corp</Company>
  <LinksUpToDate>false</LinksUpToDate>
  <CharactersWithSpaces>60210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jp4047</dc:creator>
  <cp:lastModifiedBy>Kredel, Ashley (UTC)</cp:lastModifiedBy>
  <cp:revision>2</cp:revision>
  <cp:lastPrinted>2016-12-16T16:05:00Z</cp:lastPrinted>
  <dcterms:created xsi:type="dcterms:W3CDTF">2016-12-16T19:56:00Z</dcterms:created>
  <dcterms:modified xsi:type="dcterms:W3CDTF">2016-12-16T19:56:00Z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0x0101006E56B4D1795A2E4DB2F0B01679ED314A008C9FF752C62EEC49B6E6DFE0ED78D158</vt:lpwstr>
  </property>
  <property fmtid="{D5CDD505-2E9C-101B-9397-08002B2CF9AE}" pid="3" name="_docset_NoMedatataSyncRequired">
    <vt:lpwstr>False</vt:lpwstr>
  </property>
</Properties>
</file>