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42" w:rsidRDefault="00A90BAA" w:rsidP="002F2E42">
      <w:pPr>
        <w:rPr>
          <w:b/>
          <w:bCs/>
        </w:rPr>
      </w:pPr>
      <w:r w:rsidRPr="003F6354">
        <w:rPr>
          <w:b/>
          <w:bCs/>
        </w:rPr>
        <w:t>Q.</w:t>
      </w:r>
      <w:r w:rsidRPr="003F6354">
        <w:rPr>
          <w:b/>
          <w:bCs/>
        </w:rPr>
        <w:tab/>
        <w:t xml:space="preserve">Please state your name, business address and present position with </w:t>
      </w:r>
      <w:r w:rsidR="001E7A26">
        <w:rPr>
          <w:b/>
          <w:bCs/>
        </w:rPr>
        <w:t>PacifiCorp</w:t>
      </w:r>
      <w:r w:rsidRPr="003F6354">
        <w:rPr>
          <w:b/>
          <w:bCs/>
        </w:rPr>
        <w:t xml:space="preserve"> (the Company)</w:t>
      </w:r>
      <w:r w:rsidR="001E7A26">
        <w:rPr>
          <w:b/>
          <w:bCs/>
        </w:rPr>
        <w:t>.</w:t>
      </w:r>
      <w:r w:rsidRPr="003F6354">
        <w:rPr>
          <w:b/>
          <w:bCs/>
        </w:rPr>
        <w:tab/>
      </w:r>
    </w:p>
    <w:p w:rsidR="002F2E42" w:rsidRDefault="00A90BAA" w:rsidP="002F2E42">
      <w:pPr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</w:r>
      <w:r w:rsidRPr="004F1CC9">
        <w:rPr>
          <w:color w:val="000000"/>
        </w:rPr>
        <w:t>My name is Erich D</w:t>
      </w:r>
      <w:r w:rsidR="00EE3F1E">
        <w:rPr>
          <w:color w:val="000000"/>
        </w:rPr>
        <w:t xml:space="preserve">. </w:t>
      </w:r>
      <w:r w:rsidRPr="004F1CC9">
        <w:rPr>
          <w:color w:val="000000"/>
        </w:rPr>
        <w:t>Wilson</w:t>
      </w:r>
      <w:r w:rsidR="00EE3F1E">
        <w:rPr>
          <w:color w:val="000000"/>
        </w:rPr>
        <w:t xml:space="preserve">.  </w:t>
      </w:r>
      <w:r w:rsidRPr="004F1CC9">
        <w:rPr>
          <w:color w:val="000000"/>
        </w:rPr>
        <w:t>My business address is 825 N.E</w:t>
      </w:r>
      <w:r w:rsidR="00EE3F1E">
        <w:rPr>
          <w:color w:val="000000"/>
        </w:rPr>
        <w:t xml:space="preserve">. </w:t>
      </w:r>
      <w:r w:rsidRPr="004F1CC9">
        <w:rPr>
          <w:color w:val="000000"/>
        </w:rPr>
        <w:t xml:space="preserve">Multnomah, Suite 1800, </w:t>
      </w:r>
      <w:proofErr w:type="gramStart"/>
      <w:r w:rsidRPr="004F1CC9">
        <w:rPr>
          <w:color w:val="000000"/>
        </w:rPr>
        <w:t>Portland</w:t>
      </w:r>
      <w:proofErr w:type="gramEnd"/>
      <w:r>
        <w:rPr>
          <w:color w:val="000000"/>
        </w:rPr>
        <w:t>,</w:t>
      </w:r>
      <w:r w:rsidRPr="004F1CC9">
        <w:rPr>
          <w:color w:val="000000"/>
        </w:rPr>
        <w:t xml:space="preserve"> Oregon 97232</w:t>
      </w:r>
      <w:r w:rsidR="00EE3F1E">
        <w:rPr>
          <w:color w:val="000000"/>
        </w:rPr>
        <w:t xml:space="preserve">.  </w:t>
      </w:r>
      <w:r w:rsidRPr="004F1CC9">
        <w:rPr>
          <w:color w:val="000000"/>
        </w:rPr>
        <w:t xml:space="preserve">My present position is </w:t>
      </w:r>
      <w:r>
        <w:rPr>
          <w:color w:val="000000"/>
        </w:rPr>
        <w:t>D</w:t>
      </w:r>
      <w:r w:rsidRPr="004F1CC9">
        <w:rPr>
          <w:color w:val="000000"/>
        </w:rPr>
        <w:t xml:space="preserve">irector, </w:t>
      </w:r>
      <w:r>
        <w:rPr>
          <w:color w:val="000000"/>
        </w:rPr>
        <w:t>H</w:t>
      </w:r>
      <w:r w:rsidRPr="004F1CC9">
        <w:rPr>
          <w:color w:val="000000"/>
        </w:rPr>
        <w:t xml:space="preserve">uman </w:t>
      </w:r>
      <w:r>
        <w:rPr>
          <w:color w:val="000000"/>
        </w:rPr>
        <w:t>R</w:t>
      </w:r>
      <w:r w:rsidRPr="004F1CC9">
        <w:rPr>
          <w:color w:val="000000"/>
        </w:rPr>
        <w:t>esources.</w:t>
      </w:r>
    </w:p>
    <w:p w:rsidR="002F2E42" w:rsidRDefault="00A90BAA" w:rsidP="002F2E42">
      <w:pPr>
        <w:pStyle w:val="Heading1"/>
        <w:rPr>
          <w:color w:val="000000"/>
        </w:rPr>
      </w:pPr>
      <w:r w:rsidRPr="004F1CC9">
        <w:rPr>
          <w:color w:val="000000"/>
        </w:rPr>
        <w:t>Qualifications</w:t>
      </w:r>
    </w:p>
    <w:p w:rsidR="002F2E42" w:rsidRDefault="00A90BAA" w:rsidP="002F2E42">
      <w:pPr>
        <w:numPr>
          <w:ilvl w:val="0"/>
          <w:numId w:val="1"/>
        </w:numPr>
        <w:rPr>
          <w:color w:val="000000"/>
        </w:rPr>
      </w:pPr>
      <w:r>
        <w:rPr>
          <w:b/>
          <w:bCs/>
          <w:color w:val="000000"/>
        </w:rPr>
        <w:t>Please b</w:t>
      </w:r>
      <w:r w:rsidR="0082056C">
        <w:rPr>
          <w:b/>
          <w:bCs/>
          <w:color w:val="000000"/>
        </w:rPr>
        <w:t>riefly describe your educational and professional background</w:t>
      </w:r>
      <w:r w:rsidRPr="004F1CC9">
        <w:rPr>
          <w:b/>
          <w:bCs/>
          <w:color w:val="000000"/>
        </w:rPr>
        <w:t>.</w:t>
      </w:r>
    </w:p>
    <w:p w:rsidR="002F2E42" w:rsidRDefault="00A90BAA" w:rsidP="002F2E42">
      <w:pPr>
        <w:numPr>
          <w:ilvl w:val="0"/>
          <w:numId w:val="2"/>
        </w:numPr>
        <w:tabs>
          <w:tab w:val="left" w:pos="720"/>
        </w:tabs>
        <w:rPr>
          <w:color w:val="000000"/>
        </w:rPr>
      </w:pPr>
      <w:r w:rsidRPr="004F1CC9">
        <w:rPr>
          <w:color w:val="000000"/>
        </w:rPr>
        <w:t xml:space="preserve">I have been employed as the </w:t>
      </w:r>
      <w:r>
        <w:rPr>
          <w:color w:val="000000"/>
        </w:rPr>
        <w:t>D</w:t>
      </w:r>
      <w:r w:rsidRPr="004F1CC9">
        <w:rPr>
          <w:color w:val="000000"/>
        </w:rPr>
        <w:t xml:space="preserve">irector of </w:t>
      </w:r>
      <w:r>
        <w:rPr>
          <w:color w:val="000000"/>
        </w:rPr>
        <w:t>H</w:t>
      </w:r>
      <w:r w:rsidRPr="004F1CC9">
        <w:rPr>
          <w:color w:val="000000"/>
        </w:rPr>
        <w:t xml:space="preserve">uman </w:t>
      </w:r>
      <w:r>
        <w:rPr>
          <w:color w:val="000000"/>
        </w:rPr>
        <w:t>R</w:t>
      </w:r>
      <w:r w:rsidRPr="004F1CC9">
        <w:rPr>
          <w:color w:val="000000"/>
        </w:rPr>
        <w:t>esources since March 2006</w:t>
      </w:r>
      <w:r w:rsidR="00EE3F1E">
        <w:rPr>
          <w:color w:val="000000"/>
        </w:rPr>
        <w:t xml:space="preserve">.  </w:t>
      </w:r>
      <w:r w:rsidRPr="004F1CC9">
        <w:rPr>
          <w:color w:val="000000"/>
        </w:rPr>
        <w:t xml:space="preserve">From March 2001 to March 2006, I was the </w:t>
      </w:r>
      <w:r>
        <w:rPr>
          <w:color w:val="000000"/>
        </w:rPr>
        <w:t>D</w:t>
      </w:r>
      <w:r w:rsidRPr="004F1CC9">
        <w:rPr>
          <w:color w:val="000000"/>
        </w:rPr>
        <w:t xml:space="preserve">irector of </w:t>
      </w:r>
      <w:r>
        <w:rPr>
          <w:color w:val="000000"/>
        </w:rPr>
        <w:t>C</w:t>
      </w:r>
      <w:r w:rsidRPr="004F1CC9">
        <w:rPr>
          <w:color w:val="000000"/>
        </w:rPr>
        <w:t xml:space="preserve">ompensation for </w:t>
      </w:r>
      <w:r>
        <w:rPr>
          <w:color w:val="000000"/>
        </w:rPr>
        <w:t>the Company</w:t>
      </w:r>
      <w:r w:rsidR="00EE3F1E">
        <w:rPr>
          <w:color w:val="000000"/>
        </w:rPr>
        <w:t xml:space="preserve">.  </w:t>
      </w:r>
      <w:r w:rsidRPr="004F1CC9">
        <w:rPr>
          <w:color w:val="000000"/>
        </w:rPr>
        <w:t xml:space="preserve">Prior to coming to the </w:t>
      </w:r>
      <w:r>
        <w:rPr>
          <w:color w:val="000000"/>
        </w:rPr>
        <w:t>C</w:t>
      </w:r>
      <w:r w:rsidRPr="004F1CC9">
        <w:rPr>
          <w:color w:val="000000"/>
        </w:rPr>
        <w:t xml:space="preserve">ompany, I held various positions within the area of </w:t>
      </w:r>
      <w:r>
        <w:rPr>
          <w:color w:val="000000"/>
        </w:rPr>
        <w:t>h</w:t>
      </w:r>
      <w:r w:rsidRPr="004F1CC9">
        <w:rPr>
          <w:color w:val="000000"/>
        </w:rPr>
        <w:t xml:space="preserve">uman </w:t>
      </w:r>
      <w:r>
        <w:rPr>
          <w:color w:val="000000"/>
        </w:rPr>
        <w:t>r</w:t>
      </w:r>
      <w:r w:rsidRPr="004F1CC9">
        <w:rPr>
          <w:color w:val="000000"/>
        </w:rPr>
        <w:t>esources (</w:t>
      </w:r>
      <w:r>
        <w:rPr>
          <w:color w:val="000000"/>
        </w:rPr>
        <w:t>o</w:t>
      </w:r>
      <w:r w:rsidRPr="004F1CC9">
        <w:rPr>
          <w:color w:val="000000"/>
        </w:rPr>
        <w:t xml:space="preserve">perations, </w:t>
      </w:r>
      <w:r>
        <w:rPr>
          <w:color w:val="000000"/>
        </w:rPr>
        <w:t>b</w:t>
      </w:r>
      <w:r w:rsidRPr="004F1CC9">
        <w:rPr>
          <w:color w:val="000000"/>
        </w:rPr>
        <w:t xml:space="preserve">enefits and </w:t>
      </w:r>
      <w:r>
        <w:rPr>
          <w:color w:val="000000"/>
        </w:rPr>
        <w:t>s</w:t>
      </w:r>
      <w:r w:rsidRPr="004F1CC9">
        <w:rPr>
          <w:color w:val="000000"/>
        </w:rPr>
        <w:t>taffing)</w:t>
      </w:r>
      <w:r>
        <w:rPr>
          <w:color w:val="000000"/>
        </w:rPr>
        <w:t>,</w:t>
      </w:r>
      <w:r w:rsidRPr="004F1CC9">
        <w:rPr>
          <w:color w:val="000000"/>
        </w:rPr>
        <w:t xml:space="preserve"> but for the majority of my career I have directed the design and administration of compensation programs</w:t>
      </w:r>
      <w:r w:rsidR="00EE3F1E">
        <w:rPr>
          <w:color w:val="000000"/>
        </w:rPr>
        <w:t xml:space="preserve">.  </w:t>
      </w:r>
      <w:r w:rsidRPr="004F1CC9">
        <w:rPr>
          <w:color w:val="000000"/>
        </w:rPr>
        <w:t xml:space="preserve">I received a Bachelor’s degree in Economics (Business) from the </w:t>
      </w:r>
      <w:smartTag w:uri="urn:schemas-microsoft-com:office:smarttags" w:element="State">
        <w:smartTag w:uri="urn:schemas-microsoft-com:office:smarttags" w:element="State">
          <w:r w:rsidRPr="004F1CC9">
            <w:rPr>
              <w:color w:val="000000"/>
            </w:rPr>
            <w:t>University</w:t>
          </w:r>
        </w:smartTag>
        <w:r w:rsidRPr="004F1CC9">
          <w:rPr>
            <w:color w:val="000000"/>
          </w:rPr>
          <w:t xml:space="preserve"> of </w:t>
        </w:r>
        <w:smartTag w:uri="urn:schemas-microsoft-com:office:smarttags" w:element="State">
          <w:r w:rsidRPr="004F1CC9">
            <w:rPr>
              <w:color w:val="000000"/>
            </w:rPr>
            <w:t>California</w:t>
          </w:r>
        </w:smartTag>
      </w:smartTag>
      <w:r>
        <w:rPr>
          <w:color w:val="000000"/>
        </w:rPr>
        <w:t xml:space="preserve">, </w:t>
      </w:r>
      <w:smartTag w:uri="urn:schemas-microsoft-com:office:smarttags" w:element="State">
        <w:r w:rsidRPr="004F1CC9">
          <w:rPr>
            <w:color w:val="000000"/>
          </w:rPr>
          <w:t>San Diego</w:t>
        </w:r>
      </w:smartTag>
      <w:r w:rsidRPr="004F1CC9">
        <w:rPr>
          <w:color w:val="000000"/>
        </w:rPr>
        <w:t xml:space="preserve"> in 1992</w:t>
      </w:r>
      <w:r w:rsidR="00EE3F1E">
        <w:rPr>
          <w:color w:val="000000"/>
        </w:rPr>
        <w:t xml:space="preserve">.  </w:t>
      </w:r>
      <w:r w:rsidRPr="004F1CC9">
        <w:rPr>
          <w:color w:val="000000"/>
        </w:rPr>
        <w:t>In addition, I achieved the Certified Compensation Professional status from the American Compensation Association (ACA) in 1999 and have kept this certification current through attending various educational programs and seminars</w:t>
      </w:r>
      <w:r w:rsidR="00EE3F1E">
        <w:rPr>
          <w:color w:val="000000"/>
        </w:rPr>
        <w:t xml:space="preserve">.  </w:t>
      </w:r>
    </w:p>
    <w:p w:rsidR="002F2E42" w:rsidRDefault="00A90BAA" w:rsidP="002F2E42">
      <w:pPr>
        <w:rPr>
          <w:color w:val="000000"/>
        </w:rPr>
      </w:pPr>
      <w:r w:rsidRPr="004F1CC9">
        <w:rPr>
          <w:b/>
          <w:bCs/>
          <w:color w:val="000000"/>
        </w:rPr>
        <w:t>Q.</w:t>
      </w:r>
      <w:r w:rsidRPr="004F1CC9">
        <w:rPr>
          <w:b/>
          <w:bCs/>
          <w:color w:val="000000"/>
        </w:rPr>
        <w:tab/>
      </w:r>
      <w:r>
        <w:rPr>
          <w:b/>
          <w:bCs/>
          <w:color w:val="000000"/>
        </w:rPr>
        <w:t>Please describe your present</w:t>
      </w:r>
      <w:r w:rsidRPr="004F1CC9">
        <w:rPr>
          <w:b/>
          <w:bCs/>
          <w:color w:val="000000"/>
        </w:rPr>
        <w:t xml:space="preserve"> duties.</w:t>
      </w:r>
    </w:p>
    <w:p w:rsidR="002F2E42" w:rsidRDefault="00A90BAA" w:rsidP="0082056C">
      <w:pPr>
        <w:widowControl w:val="0"/>
        <w:numPr>
          <w:ilvl w:val="0"/>
          <w:numId w:val="3"/>
        </w:numPr>
        <w:tabs>
          <w:tab w:val="left" w:pos="720"/>
        </w:tabs>
        <w:ind w:right="-450"/>
        <w:rPr>
          <w:color w:val="000000"/>
        </w:rPr>
      </w:pPr>
      <w:r w:rsidRPr="004F1CC9">
        <w:rPr>
          <w:color w:val="000000"/>
        </w:rPr>
        <w:t xml:space="preserve">My primary responsibilities </w:t>
      </w:r>
      <w:r w:rsidRPr="004F1CC9">
        <w:t xml:space="preserve">include managing </w:t>
      </w:r>
      <w:r>
        <w:t>the Company</w:t>
      </w:r>
      <w:r w:rsidRPr="004F1CC9">
        <w:t>’s human resource function, including compensation, benefits, compliance, staffing, training and development, employee and labor relations, and payroll</w:t>
      </w:r>
      <w:r w:rsidR="00EE3F1E">
        <w:t xml:space="preserve">.  </w:t>
      </w:r>
      <w:r w:rsidRPr="004F1CC9">
        <w:t xml:space="preserve">I focus on assisting the </w:t>
      </w:r>
      <w:r>
        <w:rPr>
          <w:color w:val="000000"/>
        </w:rPr>
        <w:t>Company</w:t>
      </w:r>
      <w:r w:rsidRPr="004F1CC9">
        <w:rPr>
          <w:color w:val="000000"/>
        </w:rPr>
        <w:t xml:space="preserve"> in attracting, retaining</w:t>
      </w:r>
      <w:r>
        <w:rPr>
          <w:color w:val="000000"/>
        </w:rPr>
        <w:t>,</w:t>
      </w:r>
      <w:r w:rsidRPr="004F1CC9">
        <w:rPr>
          <w:color w:val="000000"/>
        </w:rPr>
        <w:t xml:space="preserve"> and motivating qualified employees along with the administration of all associated human resource programs and employee experiences</w:t>
      </w:r>
      <w:r w:rsidR="00EE3F1E">
        <w:rPr>
          <w:color w:val="000000"/>
        </w:rPr>
        <w:t xml:space="preserve">.  </w:t>
      </w:r>
    </w:p>
    <w:p w:rsidR="002F2E42" w:rsidRDefault="00A90BAA" w:rsidP="002F2E42">
      <w:pPr>
        <w:tabs>
          <w:tab w:val="left" w:pos="720"/>
        </w:tabs>
        <w:rPr>
          <w:b/>
          <w:bCs/>
        </w:rPr>
      </w:pPr>
      <w:r w:rsidRPr="004F1CC9">
        <w:rPr>
          <w:b/>
          <w:bCs/>
        </w:rPr>
        <w:lastRenderedPageBreak/>
        <w:t>Purpose of Testimony</w:t>
      </w:r>
    </w:p>
    <w:p w:rsidR="002F2E42" w:rsidRDefault="00A90BAA" w:rsidP="002F2E42">
      <w:pPr>
        <w:numPr>
          <w:ilvl w:val="0"/>
          <w:numId w:val="4"/>
        </w:numPr>
        <w:ind w:hanging="720"/>
        <w:rPr>
          <w:b/>
          <w:bCs/>
        </w:rPr>
      </w:pPr>
      <w:r w:rsidRPr="004F1CC9">
        <w:rPr>
          <w:b/>
          <w:bCs/>
        </w:rPr>
        <w:t>What is the purpose of your testimony?</w:t>
      </w:r>
    </w:p>
    <w:p w:rsidR="002F2E42" w:rsidRDefault="007B03DA" w:rsidP="002F2E42">
      <w:pPr>
        <w:widowControl w:val="0"/>
        <w:ind w:left="810" w:hanging="810"/>
        <w:rPr>
          <w:b/>
          <w:color w:val="000000"/>
        </w:rPr>
      </w:pPr>
      <w:r>
        <w:t>A.</w:t>
      </w:r>
      <w:r>
        <w:tab/>
      </w:r>
      <w:r w:rsidR="00A90BAA" w:rsidRPr="004F1CC9">
        <w:t>The purpose of my testimony is to provide a</w:t>
      </w:r>
      <w:r w:rsidR="00A90BAA">
        <w:t xml:space="preserve"> general</w:t>
      </w:r>
      <w:r w:rsidR="00A90BAA" w:rsidRPr="004F1CC9">
        <w:t xml:space="preserve"> overview of the compensation </w:t>
      </w:r>
      <w:r w:rsidR="00A90BAA">
        <w:t>pla</w:t>
      </w:r>
      <w:r w:rsidR="00A90BAA" w:rsidRPr="004F1CC9">
        <w:t xml:space="preserve">ns provided to employees at </w:t>
      </w:r>
      <w:r w:rsidR="00A90BAA">
        <w:t>the Company and support the costs related to these areas included in the test period</w:t>
      </w:r>
      <w:r w:rsidR="00EE3F1E">
        <w:t xml:space="preserve">.  </w:t>
      </w:r>
      <w:r w:rsidR="00A90BAA" w:rsidRPr="004F1CC9">
        <w:t xml:space="preserve">This overview </w:t>
      </w:r>
      <w:r w:rsidR="00A90BAA">
        <w:t xml:space="preserve">focuses on </w:t>
      </w:r>
      <w:r w:rsidR="00542BD6">
        <w:t xml:space="preserve">the Company’s </w:t>
      </w:r>
      <w:r w:rsidR="00A90BAA">
        <w:t>base pay and</w:t>
      </w:r>
      <w:r w:rsidR="00A90BAA" w:rsidRPr="004F1CC9">
        <w:t xml:space="preserve"> annual incentiv</w:t>
      </w:r>
      <w:r w:rsidR="00A90BAA">
        <w:t>e plans</w:t>
      </w:r>
      <w:r w:rsidR="00EE3F1E">
        <w:t xml:space="preserve">.  </w:t>
      </w:r>
      <w:r w:rsidR="00A90BAA" w:rsidRPr="004F1CC9">
        <w:t xml:space="preserve">These plans are designed to </w:t>
      </w:r>
      <w:r w:rsidR="00A90BAA">
        <w:t>allow</w:t>
      </w:r>
      <w:r w:rsidR="00A90BAA" w:rsidRPr="004F1CC9">
        <w:t xml:space="preserve"> the </w:t>
      </w:r>
      <w:r w:rsidR="00A90BAA">
        <w:t>Company</w:t>
      </w:r>
      <w:r w:rsidR="00A90BAA" w:rsidRPr="004F1CC9">
        <w:t xml:space="preserve"> to attract and retain the employee talent </w:t>
      </w:r>
      <w:r w:rsidR="00A90BAA">
        <w:t xml:space="preserve">necessary </w:t>
      </w:r>
      <w:r w:rsidR="00A90BAA" w:rsidRPr="004F1CC9">
        <w:t>to deliver</w:t>
      </w:r>
      <w:r w:rsidR="00A90BAA">
        <w:t xml:space="preserve"> safe and reliable service</w:t>
      </w:r>
      <w:r w:rsidR="00A90BAA" w:rsidRPr="004F1CC9">
        <w:t xml:space="preserve"> </w:t>
      </w:r>
      <w:r w:rsidR="00A90BAA">
        <w:t>at a reasonable cost</w:t>
      </w:r>
      <w:r w:rsidR="00EE3F1E">
        <w:t xml:space="preserve">.  </w:t>
      </w:r>
    </w:p>
    <w:p w:rsidR="00CD6531" w:rsidRDefault="00CD6531" w:rsidP="00CD6531">
      <w:pPr>
        <w:rPr>
          <w:b/>
        </w:rPr>
      </w:pPr>
      <w:r w:rsidRPr="00AD2EBD">
        <w:rPr>
          <w:b/>
        </w:rPr>
        <w:t>Q.</w:t>
      </w:r>
      <w:r w:rsidRPr="00AD2EBD">
        <w:rPr>
          <w:b/>
        </w:rPr>
        <w:tab/>
      </w:r>
      <w:r>
        <w:rPr>
          <w:b/>
        </w:rPr>
        <w:t xml:space="preserve">How do the total labor costs in this case compare to the Company’s last general rate case, Docket </w:t>
      </w:r>
      <w:r w:rsidR="007B03DA">
        <w:rPr>
          <w:b/>
        </w:rPr>
        <w:t>UE-090205</w:t>
      </w:r>
      <w:r>
        <w:rPr>
          <w:b/>
        </w:rPr>
        <w:t xml:space="preserve"> (</w:t>
      </w:r>
      <w:r w:rsidR="007B03DA">
        <w:rPr>
          <w:b/>
        </w:rPr>
        <w:t>2009 Rate Case</w:t>
      </w:r>
      <w:r>
        <w:rPr>
          <w:b/>
        </w:rPr>
        <w:t>)?</w:t>
      </w:r>
    </w:p>
    <w:p w:rsidR="00CD6531" w:rsidRDefault="00CD6531" w:rsidP="00CD6531">
      <w:pPr>
        <w:widowControl w:val="0"/>
        <w:rPr>
          <w:color w:val="000000"/>
        </w:rPr>
      </w:pPr>
      <w:r w:rsidRPr="004F1CC9">
        <w:rPr>
          <w:color w:val="000000"/>
        </w:rPr>
        <w:t>A.</w:t>
      </w:r>
      <w:r w:rsidRPr="004F1CC9">
        <w:rPr>
          <w:color w:val="000000"/>
        </w:rPr>
        <w:tab/>
      </w:r>
      <w:r>
        <w:rPr>
          <w:color w:val="000000"/>
        </w:rPr>
        <w:t xml:space="preserve">The current total labor costs demonstrate that costs have remained relatively flat from the 2009 Rate Case to the </w:t>
      </w:r>
      <w:r w:rsidR="007B03DA">
        <w:rPr>
          <w:color w:val="000000"/>
        </w:rPr>
        <w:t>current rate case</w:t>
      </w:r>
      <w:r w:rsidR="00EE3F1E">
        <w:rPr>
          <w:color w:val="000000"/>
        </w:rPr>
        <w:t xml:space="preserve">.  </w:t>
      </w:r>
      <w:r>
        <w:rPr>
          <w:color w:val="000000"/>
        </w:rPr>
        <w:t xml:space="preserve">The table below shows that the total wage and benefit expense in this case for the </w:t>
      </w:r>
      <w:r w:rsidR="007B03DA">
        <w:rPr>
          <w:color w:val="000000"/>
        </w:rPr>
        <w:t xml:space="preserve">twelve-months ended December 31, 2009, </w:t>
      </w:r>
      <w:r>
        <w:rPr>
          <w:color w:val="000000"/>
        </w:rPr>
        <w:t xml:space="preserve">has </w:t>
      </w:r>
      <w:r w:rsidR="007B03DA">
        <w:rPr>
          <w:color w:val="000000"/>
        </w:rPr>
        <w:t>in</w:t>
      </w:r>
      <w:r>
        <w:rPr>
          <w:color w:val="000000"/>
        </w:rPr>
        <w:t xml:space="preserve">creased by </w:t>
      </w:r>
      <w:r w:rsidRPr="00011D8E">
        <w:rPr>
          <w:color w:val="000000"/>
        </w:rPr>
        <w:t xml:space="preserve">less than </w:t>
      </w:r>
      <w:r w:rsidR="00FC2FA7">
        <w:rPr>
          <w:color w:val="000000"/>
        </w:rPr>
        <w:t xml:space="preserve">one half of </w:t>
      </w:r>
      <w:r w:rsidRPr="007F41CD">
        <w:rPr>
          <w:color w:val="000000"/>
        </w:rPr>
        <w:t>one</w:t>
      </w:r>
      <w:r w:rsidRPr="00011D8E">
        <w:rPr>
          <w:color w:val="000000"/>
        </w:rPr>
        <w:t xml:space="preserve"> percent </w:t>
      </w:r>
      <w:r>
        <w:rPr>
          <w:color w:val="000000"/>
        </w:rPr>
        <w:t>as compared to labor costs</w:t>
      </w:r>
      <w:r w:rsidRPr="00011D8E">
        <w:rPr>
          <w:color w:val="000000"/>
        </w:rPr>
        <w:t xml:space="preserve"> in </w:t>
      </w:r>
      <w:r w:rsidR="007B03DA">
        <w:rPr>
          <w:color w:val="000000"/>
        </w:rPr>
        <w:t>the 2009 Rate Case</w:t>
      </w:r>
      <w:r w:rsidR="00EE3F1E">
        <w:rPr>
          <w:color w:val="000000"/>
        </w:rPr>
        <w:t xml:space="preserve">.  </w:t>
      </w:r>
    </w:p>
    <w:tbl>
      <w:tblPr>
        <w:tblpPr w:leftFromText="180" w:rightFromText="180" w:vertAnchor="text" w:horzAnchor="margin" w:tblpY="42"/>
        <w:tblOverlap w:val="never"/>
        <w:tblW w:w="8964" w:type="dxa"/>
        <w:tblLook w:val="01E0"/>
      </w:tblPr>
      <w:tblGrid>
        <w:gridCol w:w="3024"/>
        <w:gridCol w:w="2430"/>
        <w:gridCol w:w="2250"/>
        <w:gridCol w:w="1260"/>
      </w:tblGrid>
      <w:tr w:rsidR="00CD6531" w:rsidRPr="002E5BAF" w:rsidTr="00724FF0">
        <w:tc>
          <w:tcPr>
            <w:tcW w:w="3024" w:type="dxa"/>
          </w:tcPr>
          <w:p w:rsidR="00CD6531" w:rsidRDefault="00CD6531" w:rsidP="00724FF0">
            <w:pPr>
              <w:widowControl w:val="0"/>
              <w:spacing w:line="240" w:lineRule="auto"/>
              <w:ind w:left="0" w:firstLine="0"/>
              <w:rPr>
                <w:color w:val="000000"/>
              </w:rPr>
            </w:pPr>
          </w:p>
        </w:tc>
        <w:tc>
          <w:tcPr>
            <w:tcW w:w="2430" w:type="dxa"/>
          </w:tcPr>
          <w:p w:rsidR="002F2E42" w:rsidRDefault="00CD6531" w:rsidP="002F2E42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2010 Rate Case</w:t>
            </w:r>
          </w:p>
          <w:p w:rsidR="002F2E42" w:rsidRDefault="00CD6531" w:rsidP="002F2E42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Test Period</w:t>
            </w:r>
          </w:p>
          <w:p w:rsidR="002F2E42" w:rsidRDefault="00CD6531" w:rsidP="002F2E42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December 31, 2009</w:t>
            </w:r>
          </w:p>
        </w:tc>
        <w:tc>
          <w:tcPr>
            <w:tcW w:w="2250" w:type="dxa"/>
          </w:tcPr>
          <w:p w:rsidR="002F2E42" w:rsidRDefault="00CD6531" w:rsidP="002F2E42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2009 Rate Case</w:t>
            </w:r>
          </w:p>
          <w:p w:rsidR="002F2E42" w:rsidRDefault="00CD6531" w:rsidP="002F2E42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Test Period</w:t>
            </w:r>
          </w:p>
          <w:p w:rsidR="002F2E42" w:rsidRDefault="00CD6531" w:rsidP="002F2E42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June 30, 2008</w:t>
            </w:r>
          </w:p>
        </w:tc>
        <w:tc>
          <w:tcPr>
            <w:tcW w:w="1260" w:type="dxa"/>
          </w:tcPr>
          <w:p w:rsidR="002F2E42" w:rsidRDefault="002F2E42" w:rsidP="002F2E42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</w:rPr>
            </w:pPr>
          </w:p>
          <w:p w:rsidR="002F2E42" w:rsidRDefault="00CD6531" w:rsidP="002F2E42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u w:val="single"/>
              </w:rPr>
            </w:pPr>
            <w:r w:rsidRPr="002E5BAF">
              <w:rPr>
                <w:color w:val="000000"/>
                <w:u w:val="single"/>
              </w:rPr>
              <w:t>Change</w:t>
            </w:r>
          </w:p>
        </w:tc>
      </w:tr>
      <w:tr w:rsidR="00CD6531" w:rsidRPr="002E5BAF" w:rsidTr="00724FF0">
        <w:tc>
          <w:tcPr>
            <w:tcW w:w="3024" w:type="dxa"/>
          </w:tcPr>
          <w:p w:rsidR="00CD6531" w:rsidRDefault="00CD6531" w:rsidP="00724FF0">
            <w:pPr>
              <w:widowControl w:val="0"/>
              <w:spacing w:before="120" w:line="240" w:lineRule="auto"/>
              <w:ind w:left="0" w:firstLine="0"/>
              <w:rPr>
                <w:color w:val="000000"/>
              </w:rPr>
            </w:pPr>
            <w:r w:rsidRPr="002E5BAF">
              <w:rPr>
                <w:color w:val="000000"/>
              </w:rPr>
              <w:t>Wage &amp; Benefit Expense</w:t>
            </w:r>
          </w:p>
        </w:tc>
        <w:tc>
          <w:tcPr>
            <w:tcW w:w="2430" w:type="dxa"/>
          </w:tcPr>
          <w:p w:rsidR="002F2E42" w:rsidRDefault="00CD6531" w:rsidP="002F2E42">
            <w:pPr>
              <w:widowControl w:val="0"/>
              <w:spacing w:before="120" w:line="240" w:lineRule="auto"/>
              <w:ind w:left="0" w:firstLine="0"/>
              <w:jc w:val="center"/>
              <w:rPr>
                <w:color w:val="000000"/>
              </w:rPr>
            </w:pPr>
            <w:r w:rsidRPr="002E5BAF">
              <w:rPr>
                <w:color w:val="000000"/>
              </w:rPr>
              <w:t>$</w:t>
            </w:r>
            <w:r>
              <w:rPr>
                <w:color w:val="000000"/>
              </w:rPr>
              <w:t>508,136,677</w:t>
            </w:r>
          </w:p>
        </w:tc>
        <w:tc>
          <w:tcPr>
            <w:tcW w:w="2250" w:type="dxa"/>
          </w:tcPr>
          <w:p w:rsidR="002F2E42" w:rsidRDefault="00CD6531" w:rsidP="002F2E42">
            <w:pPr>
              <w:widowControl w:val="0"/>
              <w:spacing w:before="120" w:line="240" w:lineRule="auto"/>
              <w:ind w:left="0" w:firstLine="0"/>
              <w:jc w:val="center"/>
              <w:rPr>
                <w:color w:val="000000"/>
              </w:rPr>
            </w:pPr>
            <w:r w:rsidRPr="002E5BAF">
              <w:rPr>
                <w:color w:val="000000"/>
              </w:rPr>
              <w:t>$</w:t>
            </w:r>
            <w:r>
              <w:rPr>
                <w:color w:val="000000"/>
              </w:rPr>
              <w:t>506,310,695</w:t>
            </w:r>
          </w:p>
        </w:tc>
        <w:tc>
          <w:tcPr>
            <w:tcW w:w="1260" w:type="dxa"/>
          </w:tcPr>
          <w:p w:rsidR="002F2E42" w:rsidRDefault="00CD6531" w:rsidP="002F2E42">
            <w:pPr>
              <w:widowControl w:val="0"/>
              <w:spacing w:before="12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 w:rsidR="007B03DA">
              <w:rPr>
                <w:color w:val="000000"/>
              </w:rPr>
              <w:t>4</w:t>
            </w:r>
            <w:r w:rsidRPr="002E5BAF">
              <w:rPr>
                <w:color w:val="000000"/>
              </w:rPr>
              <w:t>%</w:t>
            </w:r>
          </w:p>
        </w:tc>
      </w:tr>
      <w:tr w:rsidR="00CD6531" w:rsidRPr="002E5BAF" w:rsidTr="00724FF0">
        <w:tc>
          <w:tcPr>
            <w:tcW w:w="3024" w:type="dxa"/>
          </w:tcPr>
          <w:p w:rsidR="00CD6531" w:rsidRDefault="00CD6531" w:rsidP="00724FF0">
            <w:pPr>
              <w:widowControl w:val="0"/>
              <w:spacing w:before="120" w:line="240" w:lineRule="auto"/>
              <w:ind w:left="0" w:firstLine="0"/>
              <w:rPr>
                <w:color w:val="000000"/>
              </w:rPr>
            </w:pPr>
          </w:p>
        </w:tc>
        <w:tc>
          <w:tcPr>
            <w:tcW w:w="2430" w:type="dxa"/>
          </w:tcPr>
          <w:p w:rsidR="002F2E42" w:rsidRDefault="002F2E42" w:rsidP="002F2E42">
            <w:pPr>
              <w:widowControl w:val="0"/>
              <w:spacing w:before="12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250" w:type="dxa"/>
          </w:tcPr>
          <w:p w:rsidR="002F2E42" w:rsidRDefault="002F2E42" w:rsidP="002F2E42">
            <w:pPr>
              <w:widowControl w:val="0"/>
              <w:spacing w:before="12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2F2E42" w:rsidRDefault="002F2E42" w:rsidP="002F2E42">
            <w:pPr>
              <w:widowControl w:val="0"/>
              <w:spacing w:before="120" w:line="240" w:lineRule="auto"/>
              <w:ind w:left="0" w:firstLine="0"/>
              <w:jc w:val="center"/>
              <w:rPr>
                <w:color w:val="000000"/>
              </w:rPr>
            </w:pPr>
          </w:p>
        </w:tc>
      </w:tr>
      <w:tr w:rsidR="00CD6531" w:rsidRPr="002E5BAF" w:rsidTr="00724FF0">
        <w:tc>
          <w:tcPr>
            <w:tcW w:w="3024" w:type="dxa"/>
          </w:tcPr>
          <w:p w:rsidR="00CD6531" w:rsidRDefault="00CD6531" w:rsidP="00724FF0">
            <w:pPr>
              <w:widowControl w:val="0"/>
              <w:spacing w:before="120" w:line="240" w:lineRule="auto"/>
              <w:ind w:left="0" w:firstLine="0"/>
              <w:rPr>
                <w:color w:val="000000"/>
              </w:rPr>
            </w:pPr>
          </w:p>
        </w:tc>
        <w:tc>
          <w:tcPr>
            <w:tcW w:w="2430" w:type="dxa"/>
          </w:tcPr>
          <w:p w:rsidR="002F2E42" w:rsidRDefault="002F2E42" w:rsidP="002F2E42">
            <w:pPr>
              <w:widowControl w:val="0"/>
              <w:spacing w:before="12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250" w:type="dxa"/>
          </w:tcPr>
          <w:p w:rsidR="002F2E42" w:rsidRDefault="002F2E42" w:rsidP="002F2E42">
            <w:pPr>
              <w:widowControl w:val="0"/>
              <w:spacing w:before="12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2F2E42" w:rsidRDefault="002F2E42" w:rsidP="002F2E42">
            <w:pPr>
              <w:widowControl w:val="0"/>
              <w:spacing w:before="120" w:line="240" w:lineRule="auto"/>
              <w:ind w:left="0" w:firstLine="0"/>
              <w:jc w:val="center"/>
              <w:rPr>
                <w:color w:val="000000"/>
              </w:rPr>
            </w:pPr>
          </w:p>
        </w:tc>
      </w:tr>
    </w:tbl>
    <w:p w:rsidR="0026213E" w:rsidRDefault="00A90BAA" w:rsidP="00024552">
      <w:pPr>
        <w:pStyle w:val="BodyTextIndent2"/>
        <w:spacing w:after="0"/>
        <w:ind w:left="720"/>
        <w:jc w:val="both"/>
        <w:rPr>
          <w:b/>
          <w:bCs/>
          <w:color w:val="000000"/>
        </w:rPr>
      </w:pPr>
      <w:r w:rsidRPr="004F1CC9">
        <w:rPr>
          <w:b/>
          <w:bCs/>
          <w:color w:val="000000"/>
        </w:rPr>
        <w:t>Background</w:t>
      </w:r>
    </w:p>
    <w:p w:rsidR="0026213E" w:rsidRDefault="00A90BAA" w:rsidP="00960B07">
      <w:pPr>
        <w:tabs>
          <w:tab w:val="left" w:pos="1350"/>
        </w:tabs>
        <w:rPr>
          <w:b/>
          <w:bCs/>
        </w:rPr>
      </w:pPr>
      <w:proofErr w:type="gramStart"/>
      <w:r w:rsidRPr="00627174">
        <w:rPr>
          <w:b/>
          <w:bCs/>
        </w:rPr>
        <w:t>Q.</w:t>
      </w:r>
      <w:r w:rsidRPr="00627174">
        <w:rPr>
          <w:b/>
          <w:bCs/>
        </w:rPr>
        <w:tab/>
        <w:t>As background, please briefly describe the Company’s compensation philosophy</w:t>
      </w:r>
      <w:r w:rsidR="00EE3F1E">
        <w:rPr>
          <w:b/>
          <w:bCs/>
        </w:rPr>
        <w:t>.</w:t>
      </w:r>
      <w:proofErr w:type="gramEnd"/>
      <w:r w:rsidR="00EE3F1E">
        <w:rPr>
          <w:b/>
          <w:bCs/>
        </w:rPr>
        <w:t xml:space="preserve">  </w:t>
      </w:r>
    </w:p>
    <w:p w:rsidR="00542BD6" w:rsidRDefault="00A90BAA" w:rsidP="00960B07">
      <w:pPr>
        <w:tabs>
          <w:tab w:val="left" w:pos="1350"/>
        </w:tabs>
      </w:pPr>
      <w:r>
        <w:t>A.</w:t>
      </w:r>
      <w:r>
        <w:tab/>
      </w:r>
      <w:r w:rsidR="00542BD6">
        <w:t>Two fundamental principles underlie the Company’s compensation philosophy</w:t>
      </w:r>
      <w:r w:rsidR="00EE3F1E">
        <w:t xml:space="preserve">.  </w:t>
      </w:r>
      <w:r w:rsidR="00542BD6">
        <w:t xml:space="preserve">First, the Company’s primary goal in determining employee compensation is to </w:t>
      </w:r>
      <w:r w:rsidR="00542BD6">
        <w:lastRenderedPageBreak/>
        <w:t>provide pay at the market average</w:t>
      </w:r>
      <w:r w:rsidR="00EE3F1E">
        <w:t xml:space="preserve">.  </w:t>
      </w:r>
      <w:r w:rsidR="00542BD6">
        <w:t>Competitive compensation is critical to attracting and retaining qualified employees in a market that is becoming extremely competitive, and allows the Company to do so without incurring excessive or unreasonable costs</w:t>
      </w:r>
      <w:r w:rsidR="00EE3F1E">
        <w:t xml:space="preserve">.  </w:t>
      </w:r>
      <w:r w:rsidR="00542BD6">
        <w:t>Thus</w:t>
      </w:r>
      <w:r w:rsidR="00024552">
        <w:t>,</w:t>
      </w:r>
      <w:r w:rsidR="00542BD6">
        <w:t xml:space="preserve"> the Company endeavors to provide the same general pay levels and components in its total compensation package as are included in the packages provided by its competitors for labor</w:t>
      </w:r>
      <w:r w:rsidR="00EE3F1E">
        <w:t xml:space="preserve">.  </w:t>
      </w:r>
    </w:p>
    <w:p w:rsidR="0026213E" w:rsidRDefault="00542BD6" w:rsidP="00960B07">
      <w:pPr>
        <w:tabs>
          <w:tab w:val="left" w:pos="1350"/>
        </w:tabs>
        <w:rPr>
          <w:b/>
          <w:bCs/>
          <w:color w:val="000000"/>
        </w:rPr>
      </w:pPr>
      <w:r>
        <w:tab/>
      </w:r>
      <w:r>
        <w:tab/>
        <w:t>Second, the Company believes that in order to encourage superior performance, a certain percentage of each employee’s market compensation must be “at risk.”  Accordingly, under the Company’s Annual Incentive Plan</w:t>
      </w:r>
      <w:r w:rsidR="00221019">
        <w:t xml:space="preserve"> (AIP)</w:t>
      </w:r>
      <w:r>
        <w:t>, each employee has the opportunity to receive total compensation at the market average, so long as the employee performs at an acceptable level</w:t>
      </w:r>
      <w:r w:rsidR="00EE3F1E">
        <w:t xml:space="preserve">.  </w:t>
      </w:r>
      <w:r>
        <w:t>However, employees will earn less than the average compensation when performance is less than acceptable and, conversely, will earn higher than the average compensation when performance is exceptional</w:t>
      </w:r>
      <w:r w:rsidR="00EE3F1E">
        <w:t xml:space="preserve">.  </w:t>
      </w:r>
    </w:p>
    <w:p w:rsidR="0026213E" w:rsidRDefault="00A90BAA" w:rsidP="00024552">
      <w:pPr>
        <w:jc w:val="both"/>
        <w:rPr>
          <w:b/>
          <w:bCs/>
        </w:rPr>
      </w:pPr>
      <w:r>
        <w:rPr>
          <w:b/>
          <w:bCs/>
        </w:rPr>
        <w:t xml:space="preserve">Total </w:t>
      </w:r>
      <w:r w:rsidRPr="0066454C">
        <w:rPr>
          <w:b/>
          <w:bCs/>
        </w:rPr>
        <w:t>Compensation</w:t>
      </w:r>
    </w:p>
    <w:p w:rsidR="0026213E" w:rsidRDefault="00A90BAA" w:rsidP="00960B07">
      <w:pPr>
        <w:rPr>
          <w:b/>
          <w:bCs/>
          <w:color w:val="000000"/>
        </w:rPr>
      </w:pPr>
      <w:r w:rsidRPr="004F1CC9">
        <w:rPr>
          <w:b/>
          <w:bCs/>
          <w:color w:val="000000"/>
        </w:rPr>
        <w:t>Q.</w:t>
      </w:r>
      <w:r w:rsidRPr="004F1CC9">
        <w:rPr>
          <w:b/>
          <w:bCs/>
          <w:color w:val="000000"/>
        </w:rPr>
        <w:tab/>
        <w:t xml:space="preserve">How does the </w:t>
      </w:r>
      <w:r>
        <w:rPr>
          <w:b/>
          <w:bCs/>
          <w:color w:val="000000"/>
        </w:rPr>
        <w:t>Company</w:t>
      </w:r>
      <w:r w:rsidRPr="004F1CC9">
        <w:rPr>
          <w:b/>
          <w:bCs/>
          <w:color w:val="000000"/>
        </w:rPr>
        <w:t xml:space="preserve"> determine the total </w:t>
      </w:r>
      <w:r>
        <w:rPr>
          <w:b/>
          <w:bCs/>
          <w:color w:val="000000"/>
        </w:rPr>
        <w:t xml:space="preserve">cash </w:t>
      </w:r>
      <w:r w:rsidRPr="004F1CC9">
        <w:rPr>
          <w:b/>
          <w:bCs/>
          <w:color w:val="000000"/>
        </w:rPr>
        <w:t>compensation package for each</w:t>
      </w:r>
      <w:r>
        <w:rPr>
          <w:b/>
          <w:bCs/>
          <w:color w:val="000000"/>
        </w:rPr>
        <w:t xml:space="preserve"> position</w:t>
      </w:r>
      <w:r w:rsidRPr="004F1CC9">
        <w:rPr>
          <w:b/>
          <w:bCs/>
          <w:color w:val="000000"/>
        </w:rPr>
        <w:t>?</w:t>
      </w:r>
    </w:p>
    <w:p w:rsidR="0026213E" w:rsidRDefault="00A90BAA" w:rsidP="00960B07">
      <w:pPr>
        <w:rPr>
          <w:color w:val="000000"/>
        </w:rPr>
      </w:pPr>
      <w:r w:rsidRPr="004F1CC9">
        <w:rPr>
          <w:color w:val="000000"/>
        </w:rPr>
        <w:t>A.</w:t>
      </w:r>
      <w:r w:rsidRPr="004F1CC9">
        <w:rPr>
          <w:color w:val="000000"/>
        </w:rPr>
        <w:tab/>
        <w:t xml:space="preserve">At least annually, the </w:t>
      </w:r>
      <w:r>
        <w:rPr>
          <w:color w:val="000000"/>
        </w:rPr>
        <w:t>Company</w:t>
      </w:r>
      <w:r w:rsidRPr="004F1CC9">
        <w:rPr>
          <w:color w:val="000000"/>
        </w:rPr>
        <w:t xml:space="preserve"> collects market data for comparable jobs and calculates the average data point for total cash compensation</w:t>
      </w:r>
      <w:r>
        <w:rPr>
          <w:color w:val="000000"/>
        </w:rPr>
        <w:t xml:space="preserve"> for each position</w:t>
      </w:r>
      <w:r w:rsidR="00EE3F1E">
        <w:rPr>
          <w:color w:val="000000"/>
        </w:rPr>
        <w:t xml:space="preserve">.  </w:t>
      </w:r>
      <w:r>
        <w:rPr>
          <w:color w:val="000000"/>
        </w:rPr>
        <w:t xml:space="preserve">To do so, </w:t>
      </w:r>
      <w:r w:rsidR="00254AD3">
        <w:rPr>
          <w:color w:val="000000"/>
        </w:rPr>
        <w:t xml:space="preserve">the </w:t>
      </w:r>
      <w:r w:rsidR="00542BD6">
        <w:rPr>
          <w:color w:val="000000"/>
        </w:rPr>
        <w:t xml:space="preserve">Company </w:t>
      </w:r>
      <w:r>
        <w:rPr>
          <w:color w:val="000000"/>
        </w:rPr>
        <w:t>use</w:t>
      </w:r>
      <w:r w:rsidR="00542BD6">
        <w:rPr>
          <w:color w:val="000000"/>
        </w:rPr>
        <w:t>s</w:t>
      </w:r>
      <w:r>
        <w:rPr>
          <w:color w:val="000000"/>
        </w:rPr>
        <w:t xml:space="preserve"> a variety of compensation studies put out by various experts/organizations, including Hewitt Associates, Towers </w:t>
      </w:r>
      <w:r w:rsidR="00C369CE">
        <w:rPr>
          <w:color w:val="000000"/>
        </w:rPr>
        <w:t>Watson</w:t>
      </w:r>
      <w:r>
        <w:rPr>
          <w:color w:val="000000"/>
        </w:rPr>
        <w:t>, and Mercer</w:t>
      </w:r>
      <w:r w:rsidR="00EE3F1E">
        <w:rPr>
          <w:color w:val="000000"/>
        </w:rPr>
        <w:t xml:space="preserve">.  </w:t>
      </w:r>
      <w:r>
        <w:rPr>
          <w:color w:val="000000"/>
        </w:rPr>
        <w:t>In addition, in 2008 the Company acquired access to an on-line tool called MarketPay.com</w:t>
      </w:r>
      <w:r w:rsidR="00EE3F1E">
        <w:rPr>
          <w:color w:val="000000"/>
        </w:rPr>
        <w:t xml:space="preserve">.  </w:t>
      </w:r>
      <w:r>
        <w:rPr>
          <w:color w:val="000000"/>
        </w:rPr>
        <w:t xml:space="preserve">MarketPay.com provides electronic access to all of the </w:t>
      </w:r>
      <w:r>
        <w:rPr>
          <w:color w:val="000000"/>
        </w:rPr>
        <w:lastRenderedPageBreak/>
        <w:t xml:space="preserve">compensation studies traditionally used and some additional surveys, allowing </w:t>
      </w:r>
      <w:r w:rsidR="00542BD6">
        <w:rPr>
          <w:color w:val="000000"/>
        </w:rPr>
        <w:t>the Company</w:t>
      </w:r>
      <w:r>
        <w:rPr>
          <w:color w:val="000000"/>
        </w:rPr>
        <w:t xml:space="preserve"> to more efficiently perform information searches and job and pay comparisons.</w:t>
      </w:r>
    </w:p>
    <w:p w:rsidR="0026213E" w:rsidRDefault="00A90BAA" w:rsidP="00960B07">
      <w:pPr>
        <w:widowControl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After </w:t>
      </w:r>
      <w:r w:rsidR="00024552">
        <w:rPr>
          <w:color w:val="000000"/>
        </w:rPr>
        <w:t xml:space="preserve">the Company </w:t>
      </w:r>
      <w:r>
        <w:rPr>
          <w:color w:val="000000"/>
        </w:rPr>
        <w:t>determine</w:t>
      </w:r>
      <w:r w:rsidR="00024552">
        <w:rPr>
          <w:color w:val="000000"/>
        </w:rPr>
        <w:t>s</w:t>
      </w:r>
      <w:r>
        <w:rPr>
          <w:color w:val="000000"/>
        </w:rPr>
        <w:t xml:space="preserve"> the appropriate level of total cash compensation for a position, </w:t>
      </w:r>
      <w:r w:rsidR="00024552">
        <w:rPr>
          <w:color w:val="000000"/>
        </w:rPr>
        <w:t>it</w:t>
      </w:r>
      <w:r>
        <w:rPr>
          <w:color w:val="000000"/>
        </w:rPr>
        <w:t xml:space="preserve"> then determine</w:t>
      </w:r>
      <w:r w:rsidR="00024552">
        <w:rPr>
          <w:color w:val="000000"/>
        </w:rPr>
        <w:t>s</w:t>
      </w:r>
      <w:r>
        <w:rPr>
          <w:color w:val="000000"/>
        </w:rPr>
        <w:t xml:space="preserve"> the portion of that compensation that will constitute the “at-risk” portion, which is the “target” incentive pay</w:t>
      </w:r>
      <w:r w:rsidR="00EE3F1E">
        <w:rPr>
          <w:color w:val="000000"/>
        </w:rPr>
        <w:t xml:space="preserve">.  </w:t>
      </w:r>
      <w:r>
        <w:rPr>
          <w:color w:val="000000"/>
        </w:rPr>
        <w:t>The Company sets the “at-risk” portion by reviewing market compensation using the various compensation studies described above</w:t>
      </w:r>
      <w:r w:rsidR="00EE3F1E">
        <w:rPr>
          <w:color w:val="000000"/>
        </w:rPr>
        <w:t xml:space="preserve">.  </w:t>
      </w:r>
      <w:r>
        <w:rPr>
          <w:color w:val="000000"/>
        </w:rPr>
        <w:t>The “at-risk” portion is typically in the 10-25 percent range; however, incentive pay for a few employees is set as high as 75 percent</w:t>
      </w:r>
      <w:r w:rsidR="00EE3F1E">
        <w:rPr>
          <w:color w:val="000000"/>
        </w:rPr>
        <w:t xml:space="preserve">.  </w:t>
      </w:r>
      <w:r>
        <w:rPr>
          <w:color w:val="000000"/>
        </w:rPr>
        <w:t>Generally speaking, the higher the position is within the Company, the higher the percentage of target incentive pay</w:t>
      </w:r>
      <w:r w:rsidR="00EE3F1E">
        <w:rPr>
          <w:color w:val="000000"/>
        </w:rPr>
        <w:t xml:space="preserve">.  </w:t>
      </w:r>
      <w:r>
        <w:rPr>
          <w:color w:val="000000"/>
        </w:rPr>
        <w:t>The remaining percentage of total compensation is referred to as “base compensation.”</w:t>
      </w:r>
    </w:p>
    <w:p w:rsidR="0026213E" w:rsidRDefault="00A90BAA" w:rsidP="00024552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Annual I</w:t>
      </w:r>
      <w:r w:rsidRPr="00D3549E">
        <w:rPr>
          <w:b/>
          <w:bCs/>
          <w:color w:val="000000"/>
        </w:rPr>
        <w:t>ncentive</w:t>
      </w:r>
      <w:r>
        <w:rPr>
          <w:b/>
          <w:bCs/>
          <w:color w:val="000000"/>
        </w:rPr>
        <w:t xml:space="preserve"> Plan</w:t>
      </w:r>
    </w:p>
    <w:p w:rsidR="00A90BAA" w:rsidRPr="00AD2EBD" w:rsidRDefault="00A90BAA" w:rsidP="008749D0">
      <w:pPr>
        <w:rPr>
          <w:b/>
          <w:bCs/>
        </w:rPr>
      </w:pPr>
      <w:r w:rsidRPr="00AD2EBD">
        <w:rPr>
          <w:b/>
          <w:bCs/>
        </w:rPr>
        <w:t>Q.</w:t>
      </w:r>
      <w:r w:rsidRPr="00AD2EBD">
        <w:rPr>
          <w:b/>
          <w:bCs/>
        </w:rPr>
        <w:tab/>
        <w:t xml:space="preserve">What is the objective of the </w:t>
      </w:r>
      <w:r w:rsidR="00221019">
        <w:rPr>
          <w:b/>
          <w:bCs/>
        </w:rPr>
        <w:t>AIP</w:t>
      </w:r>
      <w:r w:rsidRPr="00AD2EBD">
        <w:rPr>
          <w:b/>
          <w:bCs/>
        </w:rPr>
        <w:t>?</w:t>
      </w:r>
    </w:p>
    <w:p w:rsidR="0026213E" w:rsidRDefault="00A90BAA" w:rsidP="00960B07">
      <w:pPr>
        <w:pStyle w:val="BodyTextIndent2"/>
        <w:widowControl w:val="0"/>
        <w:spacing w:after="0"/>
        <w:ind w:left="720"/>
        <w:rPr>
          <w:color w:val="000000"/>
        </w:rPr>
      </w:pPr>
      <w:r w:rsidRPr="004F1CC9">
        <w:rPr>
          <w:color w:val="000000"/>
        </w:rPr>
        <w:t>A.</w:t>
      </w:r>
      <w:r w:rsidRPr="004F1CC9">
        <w:rPr>
          <w:color w:val="000000"/>
        </w:rPr>
        <w:tab/>
      </w:r>
      <w:r>
        <w:rPr>
          <w:color w:val="000000"/>
        </w:rPr>
        <w:t xml:space="preserve">The objective of the </w:t>
      </w:r>
      <w:r w:rsidR="007457B9">
        <w:rPr>
          <w:color w:val="000000"/>
        </w:rPr>
        <w:t xml:space="preserve">AIP </w:t>
      </w:r>
      <w:r>
        <w:rPr>
          <w:color w:val="000000"/>
        </w:rPr>
        <w:t>is to provide employees with incentive to perform at an above average level</w:t>
      </w:r>
      <w:r w:rsidR="00EE3F1E">
        <w:rPr>
          <w:color w:val="000000"/>
        </w:rPr>
        <w:t xml:space="preserve">.  </w:t>
      </w:r>
      <w:r>
        <w:rPr>
          <w:color w:val="000000"/>
        </w:rPr>
        <w:t>This is achieved by putting a percentage of</w:t>
      </w:r>
      <w:r w:rsidRPr="004F1CC9">
        <w:rPr>
          <w:color w:val="000000"/>
        </w:rPr>
        <w:t xml:space="preserve"> the competitive total </w:t>
      </w:r>
      <w:r>
        <w:rPr>
          <w:color w:val="000000"/>
        </w:rPr>
        <w:t>compensation</w:t>
      </w:r>
      <w:r w:rsidRPr="004F1CC9">
        <w:rPr>
          <w:color w:val="000000"/>
        </w:rPr>
        <w:t xml:space="preserve"> “at risk.”</w:t>
      </w:r>
      <w:r>
        <w:rPr>
          <w:color w:val="000000"/>
        </w:rPr>
        <w:t xml:space="preserve"> </w:t>
      </w:r>
      <w:r w:rsidRPr="004F1CC9">
        <w:rPr>
          <w:color w:val="000000"/>
        </w:rPr>
        <w:t xml:space="preserve"> If an employee performs at an acceptable level for the position, </w:t>
      </w:r>
      <w:r>
        <w:rPr>
          <w:color w:val="000000"/>
        </w:rPr>
        <w:t xml:space="preserve">the employee will receive </w:t>
      </w:r>
      <w:r w:rsidRPr="004F1CC9">
        <w:rPr>
          <w:color w:val="000000"/>
        </w:rPr>
        <w:t>the</w:t>
      </w:r>
      <w:r>
        <w:rPr>
          <w:color w:val="000000"/>
        </w:rPr>
        <w:t xml:space="preserve"> target</w:t>
      </w:r>
      <w:r w:rsidRPr="004F1CC9">
        <w:rPr>
          <w:color w:val="000000"/>
        </w:rPr>
        <w:t xml:space="preserve"> incentive amount </w:t>
      </w:r>
      <w:r>
        <w:rPr>
          <w:color w:val="000000"/>
        </w:rPr>
        <w:t xml:space="preserve">which </w:t>
      </w:r>
      <w:r w:rsidRPr="004F1CC9">
        <w:rPr>
          <w:color w:val="000000"/>
        </w:rPr>
        <w:t>will allow the employee to earn compensation comparable to similar positions in the market</w:t>
      </w:r>
      <w:r w:rsidR="00EE3F1E">
        <w:rPr>
          <w:color w:val="000000"/>
        </w:rPr>
        <w:t xml:space="preserve">.  </w:t>
      </w:r>
      <w:r w:rsidRPr="004F1CC9">
        <w:rPr>
          <w:color w:val="000000"/>
        </w:rPr>
        <w:t>If an employee fails to perform at an acceptable level, the employee will receive less than the target incentive or no incentive at all</w:t>
      </w:r>
      <w:r w:rsidR="00EE3F1E">
        <w:rPr>
          <w:color w:val="000000"/>
        </w:rPr>
        <w:t xml:space="preserve">.  </w:t>
      </w:r>
      <w:r w:rsidRPr="004F1CC9">
        <w:rPr>
          <w:color w:val="000000"/>
        </w:rPr>
        <w:t>When this situation occurs, the employee will be paid less than the comparable total cash compensation in the marketplace for that year</w:t>
      </w:r>
      <w:r w:rsidR="00EE3F1E">
        <w:rPr>
          <w:color w:val="000000"/>
        </w:rPr>
        <w:t xml:space="preserve">.  </w:t>
      </w:r>
      <w:r w:rsidRPr="004F1CC9">
        <w:rPr>
          <w:color w:val="000000"/>
        </w:rPr>
        <w:t xml:space="preserve">Conversely, for exceptional </w:t>
      </w:r>
      <w:r w:rsidRPr="004F1CC9">
        <w:rPr>
          <w:color w:val="000000"/>
        </w:rPr>
        <w:lastRenderedPageBreak/>
        <w:t xml:space="preserve">performance, an employee may receive above </w:t>
      </w:r>
      <w:r>
        <w:rPr>
          <w:color w:val="000000"/>
        </w:rPr>
        <w:t>his or her</w:t>
      </w:r>
      <w:r w:rsidRPr="004F1CC9">
        <w:rPr>
          <w:color w:val="000000"/>
        </w:rPr>
        <w:t xml:space="preserve"> target incentive level</w:t>
      </w:r>
      <w:r w:rsidR="00EE3F1E">
        <w:rPr>
          <w:color w:val="000000"/>
        </w:rPr>
        <w:t xml:space="preserve">.  </w:t>
      </w:r>
    </w:p>
    <w:p w:rsidR="0026213E" w:rsidRDefault="00A90BAA">
      <w:pPr>
        <w:pStyle w:val="BodyTextIndent2"/>
        <w:widowControl w:val="0"/>
        <w:spacing w:after="0"/>
        <w:ind w:left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4F1CC9">
        <w:rPr>
          <w:color w:val="000000"/>
        </w:rPr>
        <w:t xml:space="preserve">The </w:t>
      </w:r>
      <w:r>
        <w:rPr>
          <w:color w:val="000000"/>
        </w:rPr>
        <w:t>ability to earn a higher-than-target incentive payment</w:t>
      </w:r>
      <w:r w:rsidRPr="004F1CC9">
        <w:rPr>
          <w:color w:val="000000"/>
        </w:rPr>
        <w:t xml:space="preserve"> provides the employee with an incentive to exceed </w:t>
      </w:r>
      <w:r>
        <w:rPr>
          <w:color w:val="000000"/>
        </w:rPr>
        <w:t xml:space="preserve">average </w:t>
      </w:r>
      <w:r w:rsidRPr="004F1CC9">
        <w:rPr>
          <w:color w:val="000000"/>
        </w:rPr>
        <w:t>performance</w:t>
      </w:r>
      <w:r w:rsidR="00EE3F1E">
        <w:rPr>
          <w:color w:val="000000"/>
        </w:rPr>
        <w:t xml:space="preserve">.  </w:t>
      </w:r>
      <w:r w:rsidRPr="004F1CC9">
        <w:rPr>
          <w:color w:val="000000"/>
        </w:rPr>
        <w:t xml:space="preserve">This opportunity is an essential counterbalance to the risk the employee faces that </w:t>
      </w:r>
      <w:r>
        <w:rPr>
          <w:color w:val="000000"/>
        </w:rPr>
        <w:t xml:space="preserve">his or her </w:t>
      </w:r>
      <w:r w:rsidRPr="004F1CC9">
        <w:rPr>
          <w:color w:val="000000"/>
        </w:rPr>
        <w:t>performance in a particular year will be less than acceptable, with the consequence that total compensation will be less than market in that year</w:t>
      </w:r>
      <w:r w:rsidR="00EE3F1E">
        <w:rPr>
          <w:color w:val="000000"/>
        </w:rPr>
        <w:t xml:space="preserve">.  </w:t>
      </w:r>
      <w:r w:rsidRPr="004F1CC9">
        <w:rPr>
          <w:color w:val="000000"/>
        </w:rPr>
        <w:t xml:space="preserve">The symmetry of the incentive element provides the </w:t>
      </w:r>
      <w:r>
        <w:rPr>
          <w:color w:val="000000"/>
        </w:rPr>
        <w:t>Company</w:t>
      </w:r>
      <w:r w:rsidRPr="004F1CC9">
        <w:rPr>
          <w:color w:val="000000"/>
        </w:rPr>
        <w:t xml:space="preserve"> with the financial tool to encourage exceptional performance and discourage less than acceptable performance</w:t>
      </w:r>
      <w:r w:rsidR="00EE3F1E">
        <w:rPr>
          <w:color w:val="000000"/>
        </w:rPr>
        <w:t xml:space="preserve">.  </w:t>
      </w:r>
      <w:r w:rsidRPr="004F1CC9">
        <w:rPr>
          <w:color w:val="000000"/>
        </w:rPr>
        <w:t>As would be expected from a well-designed, symmetrical plan, the average incentive element is approximately at the target incentive level</w:t>
      </w:r>
      <w:r w:rsidR="00EE3F1E">
        <w:rPr>
          <w:color w:val="000000"/>
        </w:rPr>
        <w:t xml:space="preserve">.  </w:t>
      </w:r>
    </w:p>
    <w:p w:rsidR="0026213E" w:rsidRDefault="00A90BAA">
      <w:pPr>
        <w:rPr>
          <w:b/>
          <w:bCs/>
          <w:color w:val="000000"/>
        </w:rPr>
      </w:pPr>
      <w:r>
        <w:rPr>
          <w:b/>
          <w:bCs/>
          <w:color w:val="000000"/>
        </w:rPr>
        <w:t>Q.</w:t>
      </w:r>
      <w:r>
        <w:rPr>
          <w:b/>
          <w:bCs/>
          <w:color w:val="000000"/>
        </w:rPr>
        <w:tab/>
        <w:t>Is incentive compensation a greater benefit to customers than compensation consisting solely of base compensation?</w:t>
      </w:r>
    </w:p>
    <w:p w:rsidR="0026213E" w:rsidRDefault="00A90BAA">
      <w:pPr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Yes</w:t>
      </w:r>
      <w:r w:rsidR="00EE3F1E">
        <w:rPr>
          <w:color w:val="000000"/>
        </w:rPr>
        <w:t xml:space="preserve">.  </w:t>
      </w:r>
      <w:r>
        <w:rPr>
          <w:color w:val="000000"/>
        </w:rPr>
        <w:t>In the Company’s experience, a higher level of overall employee performance is achieved when a portion of pay is “at risk.”</w:t>
      </w:r>
      <w:r w:rsidR="00807F9B">
        <w:rPr>
          <w:color w:val="000000"/>
        </w:rPr>
        <w:t xml:space="preserve"> </w:t>
      </w:r>
      <w:r>
        <w:rPr>
          <w:color w:val="000000"/>
        </w:rPr>
        <w:t xml:space="preserve"> In addition, the Company’s incentive compensation plan enables the Company to attract and retain talented employees in the increasingly competitive market for skilled labor</w:t>
      </w:r>
      <w:r w:rsidR="00EE3F1E">
        <w:rPr>
          <w:color w:val="000000"/>
        </w:rPr>
        <w:t xml:space="preserve">.  </w:t>
      </w:r>
      <w:r>
        <w:rPr>
          <w:color w:val="000000"/>
        </w:rPr>
        <w:t>Therefore, while the total cost of the Company’s base plus incentive compensation program is equal to average total cash compensation (just as a salary-only program would be) the benefit to customers is greater</w:t>
      </w:r>
      <w:r w:rsidR="00EE3F1E">
        <w:rPr>
          <w:color w:val="000000"/>
        </w:rPr>
        <w:t xml:space="preserve">.  </w:t>
      </w:r>
    </w:p>
    <w:p w:rsidR="0026213E" w:rsidRDefault="00A90BAA">
      <w:pPr>
        <w:rPr>
          <w:b/>
          <w:bCs/>
          <w:color w:val="000000"/>
        </w:rPr>
      </w:pPr>
      <w:r w:rsidRPr="004F1CC9">
        <w:rPr>
          <w:b/>
          <w:bCs/>
          <w:color w:val="000000"/>
        </w:rPr>
        <w:t>Q.</w:t>
      </w:r>
      <w:r w:rsidRPr="00D91C40">
        <w:rPr>
          <w:b/>
          <w:bCs/>
          <w:color w:val="000000"/>
        </w:rPr>
        <w:tab/>
        <w:t>How</w:t>
      </w:r>
      <w:r>
        <w:rPr>
          <w:b/>
          <w:bCs/>
          <w:color w:val="000000"/>
        </w:rPr>
        <w:t xml:space="preserve"> is </w:t>
      </w:r>
      <w:r w:rsidRPr="00D91C40">
        <w:rPr>
          <w:b/>
          <w:bCs/>
          <w:color w:val="000000"/>
        </w:rPr>
        <w:t xml:space="preserve">the </w:t>
      </w:r>
      <w:r>
        <w:rPr>
          <w:b/>
          <w:bCs/>
          <w:color w:val="000000"/>
        </w:rPr>
        <w:t xml:space="preserve">incentive compensation </w:t>
      </w:r>
      <w:r w:rsidRPr="00D91C40">
        <w:rPr>
          <w:b/>
          <w:bCs/>
          <w:color w:val="000000"/>
        </w:rPr>
        <w:t>plan</w:t>
      </w:r>
      <w:r>
        <w:rPr>
          <w:b/>
          <w:bCs/>
          <w:color w:val="000000"/>
        </w:rPr>
        <w:t xml:space="preserve"> implemented</w:t>
      </w:r>
      <w:r w:rsidRPr="00D91C40">
        <w:rPr>
          <w:b/>
          <w:bCs/>
          <w:color w:val="000000"/>
        </w:rPr>
        <w:t>?</w:t>
      </w:r>
    </w:p>
    <w:p w:rsidR="0026213E" w:rsidRDefault="00A90BAA">
      <w:r w:rsidRPr="00D91C40">
        <w:rPr>
          <w:color w:val="000000"/>
        </w:rPr>
        <w:t>A.</w:t>
      </w:r>
      <w:r w:rsidRPr="00D91C40">
        <w:rPr>
          <w:color w:val="000000"/>
        </w:rPr>
        <w:tab/>
      </w:r>
      <w:r>
        <w:t>The</w:t>
      </w:r>
      <w:r w:rsidRPr="00D91C40">
        <w:t xml:space="preserve"> </w:t>
      </w:r>
      <w:r>
        <w:t xml:space="preserve">Company’s </w:t>
      </w:r>
      <w:r w:rsidR="002354AC">
        <w:t>AIP</w:t>
      </w:r>
      <w:r>
        <w:rPr>
          <w:color w:val="000000"/>
        </w:rPr>
        <w:t xml:space="preserve"> </w:t>
      </w:r>
      <w:r w:rsidRPr="00D91C40">
        <w:t xml:space="preserve">provides performance awards based on the following: </w:t>
      </w:r>
      <w:r w:rsidR="00254AD3">
        <w:t>(1)</w:t>
      </w:r>
      <w:r>
        <w:t xml:space="preserve"> the employee’s performance against individual goals</w:t>
      </w:r>
      <w:r w:rsidR="00BE1C7B">
        <w:t>;</w:t>
      </w:r>
      <w:r>
        <w:t xml:space="preserve"> </w:t>
      </w:r>
      <w:r w:rsidR="00254AD3">
        <w:t>(2)</w:t>
      </w:r>
      <w:r>
        <w:t xml:space="preserve"> the employee’s performance against group goals including safety goals; and </w:t>
      </w:r>
      <w:r w:rsidR="00254AD3">
        <w:t>(3)</w:t>
      </w:r>
      <w:r>
        <w:t xml:space="preserve"> </w:t>
      </w:r>
      <w:r w:rsidRPr="00D91C40">
        <w:t xml:space="preserve">success in addressing new </w:t>
      </w:r>
      <w:r w:rsidRPr="00D91C40">
        <w:lastRenderedPageBreak/>
        <w:t>issues and opportunities that may arise during the course of the year</w:t>
      </w:r>
      <w:r w:rsidR="00EE3F1E">
        <w:t xml:space="preserve">.  </w:t>
      </w:r>
      <w:r w:rsidR="002354AC">
        <w:t>All non-represented employees are eligible to participate in the AIP</w:t>
      </w:r>
      <w:r w:rsidR="00EE3F1E">
        <w:t xml:space="preserve">.  </w:t>
      </w:r>
    </w:p>
    <w:p w:rsidR="0026213E" w:rsidRDefault="00A90BAA">
      <w:pPr>
        <w:rPr>
          <w:b/>
          <w:bCs/>
          <w:color w:val="000000"/>
        </w:rPr>
      </w:pPr>
      <w:r>
        <w:rPr>
          <w:b/>
          <w:bCs/>
          <w:color w:val="000000"/>
        </w:rPr>
        <w:t>Q.</w:t>
      </w:r>
      <w:r>
        <w:rPr>
          <w:b/>
          <w:bCs/>
          <w:color w:val="000000"/>
        </w:rPr>
        <w:tab/>
      </w:r>
      <w:r w:rsidRPr="002D39B9">
        <w:rPr>
          <w:b/>
          <w:bCs/>
          <w:color w:val="000000"/>
        </w:rPr>
        <w:t xml:space="preserve">What are the individual </w:t>
      </w:r>
      <w:r>
        <w:rPr>
          <w:b/>
          <w:bCs/>
          <w:color w:val="000000"/>
        </w:rPr>
        <w:t xml:space="preserve">goals </w:t>
      </w:r>
      <w:r w:rsidRPr="002D39B9">
        <w:rPr>
          <w:b/>
          <w:bCs/>
          <w:color w:val="000000"/>
        </w:rPr>
        <w:t>and how are they set?</w:t>
      </w:r>
    </w:p>
    <w:p w:rsidR="0026213E" w:rsidRDefault="00E01412">
      <w:pPr>
        <w:widowControl w:val="0"/>
      </w:pPr>
      <w:r w:rsidRPr="00E01412">
        <w:rPr>
          <w:bCs/>
          <w:color w:val="000000"/>
        </w:rPr>
        <w:t>A</w:t>
      </w:r>
      <w:r w:rsidR="00A90BAA">
        <w:rPr>
          <w:b/>
          <w:bCs/>
          <w:color w:val="000000"/>
        </w:rPr>
        <w:t>.</w:t>
      </w:r>
      <w:r w:rsidR="00A90BAA">
        <w:rPr>
          <w:b/>
          <w:bCs/>
          <w:color w:val="000000"/>
        </w:rPr>
        <w:tab/>
      </w:r>
      <w:r w:rsidR="00EE3F1E">
        <w:rPr>
          <w:color w:val="000000"/>
        </w:rPr>
        <w:t>I</w:t>
      </w:r>
      <w:r w:rsidR="00A90BAA">
        <w:rPr>
          <w:color w:val="000000"/>
        </w:rPr>
        <w:t>ndividual employee goals start with the goals set for the Company as a whole</w:t>
      </w:r>
      <w:r w:rsidR="00EE3F1E">
        <w:rPr>
          <w:color w:val="000000"/>
        </w:rPr>
        <w:t xml:space="preserve">.  </w:t>
      </w:r>
      <w:r w:rsidR="00A90BAA">
        <w:t xml:space="preserve">Each year, the Company President, in conjunction with </w:t>
      </w:r>
      <w:r w:rsidR="002F2E42" w:rsidRPr="002F2E42">
        <w:t>MidAmerican Energy Holdings Company,</w:t>
      </w:r>
      <w:r w:rsidR="00A90BAA">
        <w:t xml:space="preserve"> sets the overall goals for the Company</w:t>
      </w:r>
      <w:r w:rsidR="00EE3F1E">
        <w:t xml:space="preserve">.  </w:t>
      </w:r>
      <w:r w:rsidR="00A90BAA">
        <w:t>These goals focus on delivering safe and reliable electricity to customers and providing excellent customer service</w:t>
      </w:r>
      <w:r w:rsidR="00EE3F1E">
        <w:t xml:space="preserve">.  </w:t>
      </w:r>
      <w:r w:rsidR="00A90BAA">
        <w:t>Goals include safety goals such as r</w:t>
      </w:r>
      <w:r w:rsidR="00A90BAA" w:rsidRPr="008E46F0">
        <w:t>educing lost time, recordable, preventable</w:t>
      </w:r>
      <w:r w:rsidR="00A90BAA">
        <w:t>,</w:t>
      </w:r>
      <w:r w:rsidR="00A90BAA" w:rsidRPr="008E46F0">
        <w:t xml:space="preserve"> and restricted duty incidents</w:t>
      </w:r>
      <w:r w:rsidR="00EE3F1E">
        <w:t xml:space="preserve">.  </w:t>
      </w:r>
      <w:r w:rsidR="00A90BAA">
        <w:t>Customer service related goals include</w:t>
      </w:r>
      <w:r w:rsidR="00A90BAA" w:rsidRPr="008E46F0">
        <w:t xml:space="preserve"> implementing local and regional customer service improvements, improving visibility and relations with industrial customers and consumer associations, and improving overall customer satisfaction</w:t>
      </w:r>
      <w:r w:rsidR="00EE3F1E">
        <w:t xml:space="preserve">.  </w:t>
      </w:r>
      <w:r w:rsidR="00A90BAA">
        <w:t>Some g</w:t>
      </w:r>
      <w:r w:rsidR="00A90BAA" w:rsidRPr="008E46F0">
        <w:t>oals relate to operating within established budgets, including maint</w:t>
      </w:r>
      <w:r w:rsidR="00BE1C7B">
        <w:t>e</w:t>
      </w:r>
      <w:r w:rsidR="00A90BAA" w:rsidRPr="008E46F0">
        <w:t>n</w:t>
      </w:r>
      <w:r w:rsidR="00BE1C7B">
        <w:t>ance and</w:t>
      </w:r>
      <w:r w:rsidR="00A90BAA" w:rsidRPr="008E46F0">
        <w:t xml:space="preserve"> operating costs, controlling the cost of capital expenditures, and achieving operational efficiencies/financial targets</w:t>
      </w:r>
      <w:r w:rsidR="00BE1C7B">
        <w:t>, which help</w:t>
      </w:r>
      <w:r w:rsidR="00A90BAA" w:rsidRPr="008E46F0">
        <w:t xml:space="preserve"> the Company </w:t>
      </w:r>
      <w:r w:rsidR="00BE1C7B">
        <w:t>control its costs</w:t>
      </w:r>
      <w:r w:rsidR="00EE3F1E">
        <w:t xml:space="preserve">.  </w:t>
      </w:r>
      <w:r w:rsidR="00A90BAA" w:rsidRPr="008E46F0">
        <w:t>Other key goals relate to operational performance, major project delivery, organizational planning and development, and quality of service and regulatory commitments</w:t>
      </w:r>
      <w:r w:rsidR="00EE3F1E">
        <w:t xml:space="preserve">.  </w:t>
      </w:r>
      <w:r w:rsidR="00A90BAA">
        <w:t>The achievement of each and every one of these goals will serve to benefit customers.</w:t>
      </w:r>
    </w:p>
    <w:p w:rsidR="0026213E" w:rsidRDefault="00A90BAA">
      <w:pPr>
        <w:rPr>
          <w:b/>
          <w:bCs/>
          <w:color w:val="000000"/>
        </w:rPr>
      </w:pPr>
      <w:r>
        <w:rPr>
          <w:b/>
          <w:bCs/>
          <w:color w:val="000000"/>
        </w:rPr>
        <w:t>Q.</w:t>
      </w:r>
      <w:r>
        <w:rPr>
          <w:b/>
          <w:bCs/>
          <w:color w:val="000000"/>
        </w:rPr>
        <w:tab/>
        <w:t>How do the Company goals relate to individual employee goals?</w:t>
      </w:r>
    </w:p>
    <w:p w:rsidR="0026213E" w:rsidRDefault="00E01412">
      <w:pPr>
        <w:widowControl w:val="0"/>
      </w:pPr>
      <w:r w:rsidRPr="00E01412">
        <w:rPr>
          <w:bCs/>
          <w:color w:val="000000"/>
        </w:rPr>
        <w:t>A.</w:t>
      </w:r>
      <w:r w:rsidR="00A90BAA">
        <w:rPr>
          <w:b/>
          <w:bCs/>
          <w:color w:val="000000"/>
        </w:rPr>
        <w:tab/>
      </w:r>
      <w:r w:rsidR="00A90BAA">
        <w:t>These Company-wide goals are used not only to evaluate the president’s performance, but they also serve as the foundation for the goals set for each individual employee</w:t>
      </w:r>
      <w:r w:rsidR="00EE3F1E">
        <w:t xml:space="preserve">.  </w:t>
      </w:r>
      <w:r w:rsidR="00A90BAA">
        <w:t xml:space="preserve">Thus, when an individual employee sets his or her own </w:t>
      </w:r>
      <w:r w:rsidR="00A90BAA">
        <w:lastRenderedPageBreak/>
        <w:t>individual goals for the year, they are set by reference to how that employee’s position can advance the overall goals of the Company</w:t>
      </w:r>
      <w:r w:rsidR="00EE3F1E">
        <w:t xml:space="preserve">.  </w:t>
      </w:r>
      <w:r w:rsidR="00A90BAA">
        <w:rPr>
          <w:color w:val="000000"/>
        </w:rPr>
        <w:t>The employee’s performance on individual goals accounts for approximately 70 percent of his or her overall evaluation.</w:t>
      </w:r>
    </w:p>
    <w:p w:rsidR="0026213E" w:rsidRDefault="00A90BAA">
      <w:pPr>
        <w:rPr>
          <w:b/>
          <w:bCs/>
          <w:color w:val="000000"/>
        </w:rPr>
      </w:pPr>
      <w:r>
        <w:rPr>
          <w:b/>
          <w:bCs/>
          <w:color w:val="000000"/>
        </w:rPr>
        <w:t>Q.</w:t>
      </w:r>
      <w:r>
        <w:rPr>
          <w:b/>
          <w:bCs/>
          <w:color w:val="000000"/>
        </w:rPr>
        <w:tab/>
        <w:t>What are the group goals?</w:t>
      </w:r>
    </w:p>
    <w:p w:rsidR="0026213E" w:rsidRDefault="00A90BAA">
      <w:pPr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In addition to performance against individual goals, all employees are evaluated against six common or “group” goals</w:t>
      </w:r>
      <w:r w:rsidR="00EE3F1E">
        <w:rPr>
          <w:color w:val="000000"/>
        </w:rPr>
        <w:t xml:space="preserve">.  </w:t>
      </w:r>
      <w:r>
        <w:rPr>
          <w:color w:val="000000"/>
        </w:rPr>
        <w:t xml:space="preserve">These group goals describe the characteristics the Company believes are important to the success of all employees, </w:t>
      </w:r>
      <w:r w:rsidRPr="005E6F89">
        <w:rPr>
          <w:i/>
          <w:iCs/>
          <w:color w:val="000000"/>
        </w:rPr>
        <w:t>i</w:t>
      </w:r>
      <w:r>
        <w:rPr>
          <w:i/>
          <w:iCs/>
          <w:color w:val="000000"/>
        </w:rPr>
        <w:t>.</w:t>
      </w:r>
      <w:r w:rsidRPr="005E6F89">
        <w:rPr>
          <w:i/>
          <w:iCs/>
          <w:color w:val="000000"/>
        </w:rPr>
        <w:t>e</w:t>
      </w:r>
      <w:r>
        <w:rPr>
          <w:i/>
          <w:iCs/>
          <w:color w:val="000000"/>
        </w:rPr>
        <w:t>.</w:t>
      </w:r>
      <w:r>
        <w:rPr>
          <w:color w:val="000000"/>
        </w:rPr>
        <w:t>, customer focus, job knowledge, planning and decision making, productivity, builds relationships and leadership</w:t>
      </w:r>
      <w:r w:rsidR="00EE3F1E">
        <w:rPr>
          <w:color w:val="000000"/>
        </w:rPr>
        <w:t xml:space="preserve">.  </w:t>
      </w:r>
      <w:r>
        <w:rPr>
          <w:color w:val="000000"/>
        </w:rPr>
        <w:t xml:space="preserve">Detailed descriptions of these characteristics are </w:t>
      </w:r>
      <w:r w:rsidR="0026213E">
        <w:rPr>
          <w:color w:val="000000"/>
        </w:rPr>
        <w:t xml:space="preserve">provided </w:t>
      </w:r>
      <w:r>
        <w:rPr>
          <w:color w:val="000000"/>
        </w:rPr>
        <w:t xml:space="preserve">as Exhibit </w:t>
      </w:r>
      <w:r w:rsidR="00A418A9">
        <w:rPr>
          <w:color w:val="000000"/>
        </w:rPr>
        <w:t>No.__</w:t>
      </w:r>
      <w:proofErr w:type="gramStart"/>
      <w:r w:rsidR="00A418A9">
        <w:rPr>
          <w:color w:val="000000"/>
        </w:rPr>
        <w:t>_(</w:t>
      </w:r>
      <w:proofErr w:type="gramEnd"/>
      <w:r w:rsidR="00A418A9">
        <w:rPr>
          <w:color w:val="000000"/>
        </w:rPr>
        <w:t>EDW-</w:t>
      </w:r>
      <w:r w:rsidR="007B03DA">
        <w:rPr>
          <w:color w:val="000000"/>
        </w:rPr>
        <w:t>2</w:t>
      </w:r>
      <w:r w:rsidR="00A418A9">
        <w:rPr>
          <w:color w:val="000000"/>
        </w:rPr>
        <w:t>)</w:t>
      </w:r>
      <w:r w:rsidR="00EE3F1E">
        <w:rPr>
          <w:color w:val="000000"/>
        </w:rPr>
        <w:t xml:space="preserve">.  </w:t>
      </w:r>
      <w:r>
        <w:rPr>
          <w:color w:val="000000"/>
        </w:rPr>
        <w:t>The employee’s performance with respect to these group goals accounts for approximately 30 percent of the employee’s overall evaluation.</w:t>
      </w:r>
    </w:p>
    <w:p w:rsidR="0026213E" w:rsidRDefault="00A90BAA">
      <w:pPr>
        <w:rPr>
          <w:b/>
          <w:bCs/>
          <w:color w:val="000000"/>
        </w:rPr>
      </w:pPr>
      <w:r>
        <w:rPr>
          <w:b/>
          <w:bCs/>
          <w:color w:val="000000"/>
        </w:rPr>
        <w:t>Q.</w:t>
      </w:r>
      <w:r>
        <w:rPr>
          <w:b/>
          <w:bCs/>
          <w:color w:val="000000"/>
        </w:rPr>
        <w:tab/>
        <w:t>Explain the third category.</w:t>
      </w:r>
    </w:p>
    <w:p w:rsidR="0026213E" w:rsidRDefault="00E01412">
      <w:pPr>
        <w:rPr>
          <w:color w:val="000000"/>
        </w:rPr>
      </w:pPr>
      <w:r w:rsidRPr="00E01412">
        <w:rPr>
          <w:bCs/>
          <w:color w:val="000000"/>
        </w:rPr>
        <w:t>A.</w:t>
      </w:r>
      <w:r w:rsidR="00A90BAA">
        <w:rPr>
          <w:b/>
          <w:bCs/>
          <w:color w:val="000000"/>
        </w:rPr>
        <w:tab/>
      </w:r>
      <w:r w:rsidR="00A90BAA">
        <w:rPr>
          <w:color w:val="000000"/>
        </w:rPr>
        <w:t>In the course of any one year, challenges will arise that were not contemplated by the goals set at the beginning of the year</w:t>
      </w:r>
      <w:r w:rsidR="00EE3F1E">
        <w:rPr>
          <w:color w:val="000000"/>
        </w:rPr>
        <w:t xml:space="preserve">.  </w:t>
      </w:r>
      <w:r w:rsidR="00A90BAA">
        <w:rPr>
          <w:color w:val="000000"/>
        </w:rPr>
        <w:t>For instance, the Company may become involved in a significant transaction, such as a purchase or sale, or the Company may contend with unexpected outage conditions</w:t>
      </w:r>
      <w:r w:rsidR="00EE3F1E">
        <w:rPr>
          <w:color w:val="000000"/>
        </w:rPr>
        <w:t xml:space="preserve">.  </w:t>
      </w:r>
      <w:r w:rsidR="00A90BAA">
        <w:rPr>
          <w:color w:val="000000"/>
        </w:rPr>
        <w:t>In these cases, some percentage of the employee’s evaluation may reflect his or her performance under these unforeseen conditions.</w:t>
      </w:r>
    </w:p>
    <w:p w:rsidR="0026213E" w:rsidRDefault="00A90BAA" w:rsidP="00960B07">
      <w:pPr>
        <w:widowControl w:val="0"/>
        <w:rPr>
          <w:b/>
          <w:bCs/>
          <w:color w:val="000000"/>
        </w:rPr>
      </w:pPr>
      <w:r>
        <w:rPr>
          <w:b/>
          <w:bCs/>
          <w:color w:val="000000"/>
        </w:rPr>
        <w:t>Q.</w:t>
      </w:r>
      <w:r>
        <w:rPr>
          <w:b/>
          <w:bCs/>
          <w:color w:val="000000"/>
        </w:rPr>
        <w:tab/>
        <w:t>Are any of the employees judged on the financial performance of the Company?</w:t>
      </w:r>
    </w:p>
    <w:p w:rsidR="0026213E" w:rsidRDefault="00A90BAA" w:rsidP="00960B07">
      <w:pPr>
        <w:widowControl w:val="0"/>
      </w:pPr>
      <w:r>
        <w:t>A.</w:t>
      </w:r>
      <w:r>
        <w:tab/>
        <w:t>No</w:t>
      </w:r>
      <w:r w:rsidR="00EE3F1E">
        <w:t xml:space="preserve">.  </w:t>
      </w:r>
      <w:r>
        <w:t xml:space="preserve">While </w:t>
      </w:r>
      <w:r w:rsidRPr="002D39B9">
        <w:t xml:space="preserve">all employees are expected to operate within </w:t>
      </w:r>
      <w:r>
        <w:t>applicable</w:t>
      </w:r>
      <w:r w:rsidRPr="002D39B9">
        <w:t xml:space="preserve"> budgets, </w:t>
      </w:r>
      <w:r w:rsidRPr="002D39B9">
        <w:lastRenderedPageBreak/>
        <w:t>corporate financial performance and returns are not a factor in determining</w:t>
      </w:r>
      <w:r>
        <w:t xml:space="preserve"> the</w:t>
      </w:r>
      <w:r w:rsidRPr="002D39B9">
        <w:t xml:space="preserve"> </w:t>
      </w:r>
      <w:r>
        <w:t xml:space="preserve">amount of incentive </w:t>
      </w:r>
      <w:r w:rsidRPr="002D39B9">
        <w:t xml:space="preserve">compensation </w:t>
      </w:r>
      <w:r>
        <w:t>awarded under the plan</w:t>
      </w:r>
      <w:r w:rsidR="00EE3F1E">
        <w:t xml:space="preserve">.  </w:t>
      </w:r>
      <w:r>
        <w:t>The Company does maintain a separate plan for executives that awards bonuses based on overall corporate performance; however, the Company does not ask customers to absorb the costs associated with that plan</w:t>
      </w:r>
      <w:r w:rsidR="00EE3F1E">
        <w:t xml:space="preserve">.  </w:t>
      </w:r>
    </w:p>
    <w:p w:rsidR="0026213E" w:rsidRDefault="00A90BAA">
      <w:pPr>
        <w:ind w:hanging="810"/>
        <w:rPr>
          <w:b/>
          <w:bCs/>
          <w:color w:val="000000"/>
        </w:rPr>
      </w:pPr>
      <w:r w:rsidRPr="00D91C40">
        <w:rPr>
          <w:b/>
          <w:bCs/>
          <w:color w:val="000000"/>
        </w:rPr>
        <w:t>Q.</w:t>
      </w:r>
      <w:r w:rsidRPr="00D91C40">
        <w:rPr>
          <w:b/>
          <w:bCs/>
          <w:color w:val="000000"/>
        </w:rPr>
        <w:tab/>
        <w:t>Please explain the level of incentive compensation that you have included in this application</w:t>
      </w:r>
      <w:r w:rsidR="00BE1C7B">
        <w:rPr>
          <w:b/>
          <w:bCs/>
          <w:color w:val="000000"/>
        </w:rPr>
        <w:t>.</w:t>
      </w:r>
    </w:p>
    <w:p w:rsidR="0026213E" w:rsidRDefault="00A90BAA">
      <w:pPr>
        <w:ind w:hanging="810"/>
        <w:rPr>
          <w:b/>
          <w:bCs/>
          <w:color w:val="000000"/>
        </w:rPr>
      </w:pPr>
      <w:r w:rsidRPr="00D91C40">
        <w:rPr>
          <w:color w:val="000000"/>
        </w:rPr>
        <w:t>A.</w:t>
      </w:r>
      <w:r w:rsidRPr="00D91C40">
        <w:rPr>
          <w:color w:val="000000"/>
        </w:rPr>
        <w:tab/>
      </w:r>
      <w:r w:rsidR="003D1C0C">
        <w:rPr>
          <w:color w:val="000000"/>
        </w:rPr>
        <w:t>T</w:t>
      </w:r>
      <w:r w:rsidR="00640B66" w:rsidRPr="0026213E">
        <w:rPr>
          <w:color w:val="000000"/>
        </w:rPr>
        <w:t>his application includes a request for total</w:t>
      </w:r>
      <w:r w:rsidR="002F2E42" w:rsidRPr="002F2E42">
        <w:rPr>
          <w:color w:val="000000"/>
        </w:rPr>
        <w:t>-</w:t>
      </w:r>
      <w:r w:rsidR="00640B66" w:rsidRPr="0026213E">
        <w:rPr>
          <w:color w:val="000000"/>
        </w:rPr>
        <w:t xml:space="preserve">Company incentive compensation </w:t>
      </w:r>
      <w:r w:rsidR="00640B66" w:rsidRPr="0026213E">
        <w:t xml:space="preserve">based on </w:t>
      </w:r>
      <w:r w:rsidR="002F2E42" w:rsidRPr="002F2E42">
        <w:t xml:space="preserve">the </w:t>
      </w:r>
      <w:r w:rsidR="0026213E">
        <w:t>twelve</w:t>
      </w:r>
      <w:r w:rsidR="002F2E42" w:rsidRPr="002F2E42">
        <w:t>-months ended December 31, 2009</w:t>
      </w:r>
      <w:r w:rsidR="00640B66" w:rsidRPr="0026213E">
        <w:t xml:space="preserve"> of</w:t>
      </w:r>
      <w:r w:rsidR="00A13363">
        <w:t xml:space="preserve"> approximately</w:t>
      </w:r>
      <w:r w:rsidR="00640B66" w:rsidRPr="0026213E">
        <w:t xml:space="preserve"> $</w:t>
      </w:r>
      <w:r w:rsidR="00CD6531">
        <w:t>29.8</w:t>
      </w:r>
      <w:r w:rsidR="00640B66" w:rsidRPr="0026213E">
        <w:t xml:space="preserve"> million</w:t>
      </w:r>
      <w:r w:rsidR="00EE3F1E">
        <w:t xml:space="preserve">.  </w:t>
      </w:r>
      <w:r w:rsidR="00640B66" w:rsidRPr="0026213E">
        <w:rPr>
          <w:color w:val="000000"/>
        </w:rPr>
        <w:t xml:space="preserve">This is based on the </w:t>
      </w:r>
      <w:r w:rsidR="00596655">
        <w:rPr>
          <w:color w:val="000000"/>
        </w:rPr>
        <w:t xml:space="preserve">actual </w:t>
      </w:r>
      <w:r w:rsidR="00640B66" w:rsidRPr="0026213E">
        <w:rPr>
          <w:color w:val="000000"/>
        </w:rPr>
        <w:t>incentive compensation for employee</w:t>
      </w:r>
      <w:r w:rsidR="00A13363">
        <w:rPr>
          <w:color w:val="000000"/>
        </w:rPr>
        <w:t>s</w:t>
      </w:r>
      <w:r w:rsidR="00640B66" w:rsidRPr="0026213E">
        <w:rPr>
          <w:color w:val="000000"/>
        </w:rPr>
        <w:t xml:space="preserve"> participating in the incentive plan during the </w:t>
      </w:r>
      <w:r w:rsidR="0026213E">
        <w:rPr>
          <w:color w:val="000000"/>
        </w:rPr>
        <w:t>twelve</w:t>
      </w:r>
      <w:r w:rsidR="00640B66" w:rsidRPr="0026213E">
        <w:rPr>
          <w:color w:val="000000"/>
        </w:rPr>
        <w:t>-months ended December 31, 2009</w:t>
      </w:r>
      <w:r w:rsidR="00EE3F1E">
        <w:rPr>
          <w:color w:val="000000"/>
        </w:rPr>
        <w:t xml:space="preserve">.  </w:t>
      </w:r>
      <w:r w:rsidR="00156032">
        <w:rPr>
          <w:color w:val="000000"/>
        </w:rPr>
        <w:t>As discussed in the direct testimony of Company witness R</w:t>
      </w:r>
      <w:r w:rsidR="00EE3F1E">
        <w:rPr>
          <w:color w:val="000000"/>
        </w:rPr>
        <w:t xml:space="preserve">.  </w:t>
      </w:r>
      <w:r w:rsidR="00156032">
        <w:rPr>
          <w:color w:val="000000"/>
        </w:rPr>
        <w:t xml:space="preserve">Bryce Dalley, the Company </w:t>
      </w:r>
      <w:r w:rsidR="00A13363">
        <w:rPr>
          <w:color w:val="000000"/>
        </w:rPr>
        <w:t xml:space="preserve">is not proposing any </w:t>
      </w:r>
      <w:r w:rsidR="00156032">
        <w:rPr>
          <w:color w:val="000000"/>
        </w:rPr>
        <w:t>adjustments to the amounts reflected in the historic test period</w:t>
      </w:r>
      <w:r w:rsidR="00EE3F1E">
        <w:rPr>
          <w:color w:val="000000"/>
        </w:rPr>
        <w:t xml:space="preserve">.  </w:t>
      </w:r>
      <w:r w:rsidR="00640B66" w:rsidRPr="0026213E">
        <w:rPr>
          <w:color w:val="000000"/>
        </w:rPr>
        <w:t>The Washington</w:t>
      </w:r>
      <w:r w:rsidR="002558D6">
        <w:rPr>
          <w:color w:val="000000"/>
        </w:rPr>
        <w:t>-allocated share</w:t>
      </w:r>
      <w:r w:rsidR="007B03DA">
        <w:rPr>
          <w:color w:val="000000"/>
        </w:rPr>
        <w:t xml:space="preserve"> </w:t>
      </w:r>
      <w:r w:rsidR="00640B66" w:rsidRPr="0026213E">
        <w:rPr>
          <w:color w:val="000000"/>
        </w:rPr>
        <w:t>of this expense is</w:t>
      </w:r>
      <w:r w:rsidRPr="0026213E">
        <w:rPr>
          <w:color w:val="000000"/>
        </w:rPr>
        <w:t xml:space="preserve"> $</w:t>
      </w:r>
      <w:r w:rsidR="00CD6531">
        <w:rPr>
          <w:color w:val="000000"/>
        </w:rPr>
        <w:t>1.4</w:t>
      </w:r>
      <w:r w:rsidR="00640B66" w:rsidRPr="0026213E">
        <w:rPr>
          <w:color w:val="000000"/>
        </w:rPr>
        <w:t xml:space="preserve"> million</w:t>
      </w:r>
      <w:r w:rsidR="00EE3F1E">
        <w:rPr>
          <w:color w:val="000000"/>
        </w:rPr>
        <w:t xml:space="preserve">.  </w:t>
      </w:r>
    </w:p>
    <w:p w:rsidR="0026213E" w:rsidRDefault="00A90BAA">
      <w:pPr>
        <w:ind w:hanging="810"/>
        <w:rPr>
          <w:b/>
          <w:bCs/>
          <w:color w:val="000000"/>
        </w:rPr>
      </w:pPr>
      <w:r w:rsidRPr="004B6455">
        <w:rPr>
          <w:b/>
          <w:bCs/>
          <w:color w:val="000000"/>
        </w:rPr>
        <w:t>Q.</w:t>
      </w:r>
      <w:r w:rsidRPr="004B6455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What level of incentive compensation does the Company expect to pay out on a year on year basis? </w:t>
      </w:r>
    </w:p>
    <w:p w:rsidR="00960B07" w:rsidRPr="00960B07" w:rsidRDefault="00A90BAA" w:rsidP="00960B07">
      <w:pPr>
        <w:ind w:hanging="810"/>
        <w:rPr>
          <w:color w:val="000000"/>
        </w:rPr>
      </w:pPr>
      <w:r w:rsidRPr="00D91C40">
        <w:rPr>
          <w:color w:val="000000"/>
        </w:rPr>
        <w:t>A.</w:t>
      </w:r>
      <w:r w:rsidRPr="00D91C40">
        <w:rPr>
          <w:color w:val="000000"/>
        </w:rPr>
        <w:tab/>
      </w:r>
      <w:r>
        <w:rPr>
          <w:color w:val="000000"/>
        </w:rPr>
        <w:t xml:space="preserve">As the Company’s pay philosophy is to provide total compensation at the market average, and because target incentive compensation is set to market average, </w:t>
      </w:r>
      <w:r w:rsidR="002558D6">
        <w:rPr>
          <w:color w:val="000000"/>
        </w:rPr>
        <w:t xml:space="preserve">the Company </w:t>
      </w:r>
      <w:r>
        <w:rPr>
          <w:color w:val="000000"/>
        </w:rPr>
        <w:t>expect</w:t>
      </w:r>
      <w:r w:rsidR="001554C0">
        <w:rPr>
          <w:color w:val="000000"/>
        </w:rPr>
        <w:t>s</w:t>
      </w:r>
      <w:r>
        <w:rPr>
          <w:color w:val="000000"/>
        </w:rPr>
        <w:t xml:space="preserve"> that </w:t>
      </w:r>
      <w:r w:rsidR="002558D6">
        <w:rPr>
          <w:color w:val="000000"/>
        </w:rPr>
        <w:t>it</w:t>
      </w:r>
      <w:r>
        <w:rPr>
          <w:color w:val="000000"/>
        </w:rPr>
        <w:t xml:space="preserve"> will pay out, on a year after year basis, the target levels of incentive compensation</w:t>
      </w:r>
      <w:r w:rsidR="00EE3F1E">
        <w:rPr>
          <w:color w:val="000000"/>
        </w:rPr>
        <w:t xml:space="preserve">.  </w:t>
      </w:r>
      <w:r w:rsidR="00960B07">
        <w:rPr>
          <w:b/>
          <w:bCs/>
          <w:color w:val="000000"/>
        </w:rPr>
        <w:br w:type="page"/>
      </w:r>
    </w:p>
    <w:p w:rsidR="0026213E" w:rsidRDefault="00A90BAA">
      <w:pPr>
        <w:pStyle w:val="BodyTextIndent2"/>
        <w:ind w:left="720"/>
        <w:rPr>
          <w:b/>
          <w:bCs/>
          <w:color w:val="000000"/>
        </w:rPr>
      </w:pPr>
      <w:r w:rsidRPr="004F1CC9">
        <w:rPr>
          <w:b/>
          <w:bCs/>
          <w:color w:val="000000"/>
        </w:rPr>
        <w:lastRenderedPageBreak/>
        <w:t>Q.</w:t>
      </w:r>
      <w:r w:rsidRPr="004F1CC9">
        <w:rPr>
          <w:b/>
          <w:bCs/>
          <w:color w:val="000000"/>
        </w:rPr>
        <w:tab/>
        <w:t xml:space="preserve">Does the </w:t>
      </w:r>
      <w:r>
        <w:rPr>
          <w:b/>
          <w:bCs/>
          <w:color w:val="000000"/>
        </w:rPr>
        <w:t>C</w:t>
      </w:r>
      <w:r w:rsidRPr="004F1CC9">
        <w:rPr>
          <w:b/>
          <w:bCs/>
          <w:color w:val="000000"/>
        </w:rPr>
        <w:t xml:space="preserve">ompany </w:t>
      </w:r>
      <w:proofErr w:type="gramStart"/>
      <w:r>
        <w:rPr>
          <w:b/>
          <w:bCs/>
          <w:color w:val="000000"/>
        </w:rPr>
        <w:t>recommend</w:t>
      </w:r>
      <w:proofErr w:type="gramEnd"/>
      <w:r>
        <w:rPr>
          <w:b/>
          <w:bCs/>
          <w:color w:val="000000"/>
        </w:rPr>
        <w:t xml:space="preserve"> the full target level of incentive compensation plus base compensation be included in rates?</w:t>
      </w:r>
    </w:p>
    <w:p w:rsidR="0026213E" w:rsidRDefault="00A90BAA">
      <w:pPr>
        <w:rPr>
          <w:color w:val="000000"/>
        </w:rPr>
      </w:pPr>
      <w:r w:rsidRPr="004F1CC9">
        <w:rPr>
          <w:color w:val="000000"/>
        </w:rPr>
        <w:t>A.</w:t>
      </w:r>
      <w:r w:rsidRPr="004F1CC9">
        <w:rPr>
          <w:color w:val="000000"/>
        </w:rPr>
        <w:tab/>
      </w:r>
      <w:r>
        <w:rPr>
          <w:color w:val="000000"/>
        </w:rPr>
        <w:t>Yes, for several reasons</w:t>
      </w:r>
      <w:r w:rsidR="00EE3F1E">
        <w:rPr>
          <w:color w:val="000000"/>
        </w:rPr>
        <w:t xml:space="preserve">.  </w:t>
      </w:r>
      <w:r>
        <w:rPr>
          <w:color w:val="000000"/>
        </w:rPr>
        <w:t>First, customers should fully support the cost of incentive compensation because, as I previously mentioned, it is an essential component of an overall market-based competitive compensation program</w:t>
      </w:r>
      <w:r w:rsidR="00EE3F1E">
        <w:rPr>
          <w:color w:val="000000"/>
        </w:rPr>
        <w:t xml:space="preserve">.  </w:t>
      </w:r>
      <w:r>
        <w:rPr>
          <w:color w:val="000000"/>
        </w:rPr>
        <w:t>Reducing customer support for incentive pay would result in under-market salaries, making it impossible for the company to recruit and maintain a qualified labor force, which would in turn make it impossible for the Company to provide safe and reliable service</w:t>
      </w:r>
      <w:r w:rsidR="00EE3F1E">
        <w:rPr>
          <w:color w:val="000000"/>
        </w:rPr>
        <w:t xml:space="preserve">.  </w:t>
      </w:r>
      <w:r>
        <w:rPr>
          <w:color w:val="000000"/>
        </w:rPr>
        <w:t>Moreover, the goals of the plan are designed to encourage superior performance on the part of employees to pursue the goals that directly benefit customers—safety, reliability, and customer service</w:t>
      </w:r>
      <w:r w:rsidR="00EE3F1E">
        <w:rPr>
          <w:color w:val="000000"/>
        </w:rPr>
        <w:t xml:space="preserve">.  </w:t>
      </w:r>
      <w:r>
        <w:rPr>
          <w:color w:val="000000"/>
        </w:rPr>
        <w:t>This is precisely the type of prudently designed incentive plan program that provides direct benefits to customers and which customers should therefore support</w:t>
      </w:r>
      <w:r w:rsidR="00EE3F1E">
        <w:rPr>
          <w:color w:val="000000"/>
        </w:rPr>
        <w:t xml:space="preserve">.  </w:t>
      </w:r>
    </w:p>
    <w:p w:rsidR="0026213E" w:rsidRDefault="00A90BAA">
      <w:pPr>
        <w:rPr>
          <w:b/>
          <w:bCs/>
        </w:rPr>
      </w:pPr>
      <w:r w:rsidRPr="00EB0E12">
        <w:rPr>
          <w:b/>
          <w:bCs/>
        </w:rPr>
        <w:t>Q.</w:t>
      </w:r>
      <w:r w:rsidRPr="00EB0E12">
        <w:rPr>
          <w:b/>
          <w:bCs/>
        </w:rPr>
        <w:tab/>
        <w:t>Does this conclude your direct testimony?</w:t>
      </w:r>
    </w:p>
    <w:p w:rsidR="00A90BAA" w:rsidRPr="00EB0E12" w:rsidRDefault="00A90BAA" w:rsidP="008749D0">
      <w:r w:rsidRPr="00EB0E12">
        <w:t>A.</w:t>
      </w:r>
      <w:r w:rsidRPr="00EB0E12">
        <w:tab/>
        <w:t>Yes</w:t>
      </w:r>
      <w:r w:rsidR="00EE3F1E">
        <w:t xml:space="preserve">.  </w:t>
      </w:r>
    </w:p>
    <w:sectPr w:rsidR="00A90BAA" w:rsidRPr="00EB0E12" w:rsidSect="00937679">
      <w:headerReference w:type="default" r:id="rId7"/>
      <w:footerReference w:type="default" r:id="rId8"/>
      <w:pgSz w:w="12240" w:h="15840" w:code="1"/>
      <w:pgMar w:top="1440" w:right="1800" w:bottom="1440" w:left="180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FF0" w:rsidRDefault="00724FF0">
      <w:r>
        <w:separator/>
      </w:r>
    </w:p>
  </w:endnote>
  <w:endnote w:type="continuationSeparator" w:id="0">
    <w:p w:rsidR="00724FF0" w:rsidRDefault="00724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FF0" w:rsidRDefault="00724FF0" w:rsidP="00960B07">
    <w:pPr>
      <w:pStyle w:val="Footer"/>
      <w:tabs>
        <w:tab w:val="clear" w:pos="4320"/>
      </w:tabs>
      <w:spacing w:line="240" w:lineRule="auto"/>
      <w:rPr>
        <w:rStyle w:val="PageNumber"/>
      </w:rPr>
    </w:pPr>
    <w:r>
      <w:rPr>
        <w:rStyle w:val="PageNumber"/>
      </w:rPr>
      <w:t>Dire</w:t>
    </w:r>
    <w:r w:rsidR="00960B07">
      <w:rPr>
        <w:rStyle w:val="PageNumber"/>
      </w:rPr>
      <w:t>ct Testimony of Erich D</w:t>
    </w:r>
    <w:r w:rsidR="00EE3F1E">
      <w:rPr>
        <w:rStyle w:val="PageNumber"/>
      </w:rPr>
      <w:t xml:space="preserve">.  </w:t>
    </w:r>
    <w:r w:rsidR="00960B07">
      <w:rPr>
        <w:rStyle w:val="PageNumber"/>
      </w:rPr>
      <w:t>Wilson</w:t>
    </w:r>
    <w:r w:rsidR="00960B07">
      <w:rPr>
        <w:rStyle w:val="PageNumber"/>
      </w:rPr>
      <w:tab/>
      <w:t>Exhibit No.__</w:t>
    </w:r>
    <w:proofErr w:type="gramStart"/>
    <w:r w:rsidR="00960B07">
      <w:rPr>
        <w:rStyle w:val="PageNumber"/>
      </w:rPr>
      <w:t>_(</w:t>
    </w:r>
    <w:proofErr w:type="gramEnd"/>
    <w:r w:rsidR="00960B07">
      <w:rPr>
        <w:rStyle w:val="PageNumber"/>
      </w:rPr>
      <w:t>EDW-1T)</w:t>
    </w:r>
  </w:p>
  <w:p w:rsidR="00960B07" w:rsidRPr="00960B07" w:rsidRDefault="00960B07" w:rsidP="00960B07">
    <w:pPr>
      <w:pStyle w:val="Header"/>
      <w:tabs>
        <w:tab w:val="clear" w:pos="8640"/>
        <w:tab w:val="right" w:pos="8550"/>
      </w:tabs>
      <w:jc w:val="right"/>
    </w:pPr>
    <w:r>
      <w:t xml:space="preserve">Page </w:t>
    </w:r>
    <w:fldSimple w:instr=" PAGE   \* MERGEFORMAT ">
      <w:r w:rsidR="00807F9B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FF0" w:rsidRDefault="00724FF0">
      <w:r>
        <w:separator/>
      </w:r>
    </w:p>
  </w:footnote>
  <w:footnote w:type="continuationSeparator" w:id="0">
    <w:p w:rsidR="00724FF0" w:rsidRDefault="00724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FF0" w:rsidRDefault="0082056C" w:rsidP="00E01412">
    <w:pPr>
      <w:pStyle w:val="Header"/>
      <w:tabs>
        <w:tab w:val="clear" w:pos="8640"/>
        <w:tab w:val="right" w:pos="8550"/>
      </w:tabs>
      <w:jc w:val="right"/>
    </w:pPr>
    <w:r>
      <w:t xml:space="preserve">Page </w:t>
    </w:r>
    <w:fldSimple w:instr=" PAGE   \* MERGEFORMAT ">
      <w:r w:rsidR="00807F9B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425"/>
    <w:multiLevelType w:val="singleLevel"/>
    <w:tmpl w:val="0D281EC4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</w:abstractNum>
  <w:abstractNum w:abstractNumId="1">
    <w:nsid w:val="18273ED1"/>
    <w:multiLevelType w:val="hybridMultilevel"/>
    <w:tmpl w:val="D1EA9640"/>
    <w:lvl w:ilvl="0" w:tplc="AEF8DD70">
      <w:start w:val="1"/>
      <w:numFmt w:val="upperLetter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">
    <w:nsid w:val="18C62A2C"/>
    <w:multiLevelType w:val="hybridMultilevel"/>
    <w:tmpl w:val="C6A674E0"/>
    <w:lvl w:ilvl="0" w:tplc="66006A6A">
      <w:start w:val="17"/>
      <w:numFmt w:val="upperLetter"/>
      <w:lvlText w:val="%1."/>
      <w:lvlJc w:val="left"/>
      <w:pPr>
        <w:tabs>
          <w:tab w:val="num" w:pos="720"/>
        </w:tabs>
        <w:ind w:left="72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">
    <w:nsid w:val="1B1F2735"/>
    <w:multiLevelType w:val="hybridMultilevel"/>
    <w:tmpl w:val="89F86A14"/>
    <w:lvl w:ilvl="0" w:tplc="194AA6EE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98168E"/>
    <w:multiLevelType w:val="hybridMultilevel"/>
    <w:tmpl w:val="CCBCFADE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874A93"/>
    <w:multiLevelType w:val="multilevel"/>
    <w:tmpl w:val="639E4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8D1665A"/>
    <w:multiLevelType w:val="hybridMultilevel"/>
    <w:tmpl w:val="E966A8AE"/>
    <w:lvl w:ilvl="0" w:tplc="BEEAB3D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6C7DB1"/>
    <w:multiLevelType w:val="hybridMultilevel"/>
    <w:tmpl w:val="7D98D262"/>
    <w:lvl w:ilvl="0" w:tplc="4A40CB9A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9426F"/>
    <w:multiLevelType w:val="singleLevel"/>
    <w:tmpl w:val="E1365CB6"/>
    <w:lvl w:ilvl="0">
      <w:start w:val="1"/>
      <w:numFmt w:val="upperLetter"/>
      <w:lvlText w:val="%1."/>
      <w:legacy w:legacy="1" w:legacySpace="0" w:legacyIndent="720"/>
      <w:lvlJc w:val="left"/>
      <w:pPr>
        <w:ind w:left="720" w:hanging="720"/>
      </w:pPr>
    </w:lvl>
  </w:abstractNum>
  <w:abstractNum w:abstractNumId="9">
    <w:nsid w:val="4ED80CAB"/>
    <w:multiLevelType w:val="singleLevel"/>
    <w:tmpl w:val="E1365CB6"/>
    <w:lvl w:ilvl="0">
      <w:start w:val="1"/>
      <w:numFmt w:val="upperLetter"/>
      <w:lvlText w:val="%1."/>
      <w:legacy w:legacy="1" w:legacySpace="0" w:legacyIndent="720"/>
      <w:lvlJc w:val="left"/>
      <w:pPr>
        <w:ind w:left="720" w:hanging="720"/>
      </w:pPr>
    </w:lvl>
  </w:abstractNum>
  <w:abstractNum w:abstractNumId="10">
    <w:nsid w:val="671E3734"/>
    <w:multiLevelType w:val="hybridMultilevel"/>
    <w:tmpl w:val="790AE3AA"/>
    <w:lvl w:ilvl="0" w:tplc="B3F8BC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34982"/>
    <w:rsid w:val="00010F87"/>
    <w:rsid w:val="00013B83"/>
    <w:rsid w:val="000147AA"/>
    <w:rsid w:val="0002084A"/>
    <w:rsid w:val="00023F80"/>
    <w:rsid w:val="00024552"/>
    <w:rsid w:val="00033D74"/>
    <w:rsid w:val="000366F9"/>
    <w:rsid w:val="0004003D"/>
    <w:rsid w:val="00044377"/>
    <w:rsid w:val="00050425"/>
    <w:rsid w:val="00051AF2"/>
    <w:rsid w:val="000536AF"/>
    <w:rsid w:val="000575EE"/>
    <w:rsid w:val="0006096C"/>
    <w:rsid w:val="0006219F"/>
    <w:rsid w:val="00067A62"/>
    <w:rsid w:val="00075BDB"/>
    <w:rsid w:val="000804BA"/>
    <w:rsid w:val="0008482A"/>
    <w:rsid w:val="00085168"/>
    <w:rsid w:val="000C2833"/>
    <w:rsid w:val="000D2BF3"/>
    <w:rsid w:val="000E2345"/>
    <w:rsid w:val="000E4944"/>
    <w:rsid w:val="000F127D"/>
    <w:rsid w:val="001003B2"/>
    <w:rsid w:val="00101ECC"/>
    <w:rsid w:val="001037B3"/>
    <w:rsid w:val="00106113"/>
    <w:rsid w:val="00107D08"/>
    <w:rsid w:val="00110114"/>
    <w:rsid w:val="0011261C"/>
    <w:rsid w:val="00123FC3"/>
    <w:rsid w:val="001249E0"/>
    <w:rsid w:val="00140112"/>
    <w:rsid w:val="00146642"/>
    <w:rsid w:val="001554C0"/>
    <w:rsid w:val="00156032"/>
    <w:rsid w:val="00157C7D"/>
    <w:rsid w:val="00165A9F"/>
    <w:rsid w:val="0016697A"/>
    <w:rsid w:val="00167F96"/>
    <w:rsid w:val="001761B9"/>
    <w:rsid w:val="001771B1"/>
    <w:rsid w:val="00185121"/>
    <w:rsid w:val="001921ED"/>
    <w:rsid w:val="001B78A0"/>
    <w:rsid w:val="001C4550"/>
    <w:rsid w:val="001E7A26"/>
    <w:rsid w:val="001F45FD"/>
    <w:rsid w:val="00202582"/>
    <w:rsid w:val="00204719"/>
    <w:rsid w:val="00206A86"/>
    <w:rsid w:val="00221019"/>
    <w:rsid w:val="002354AC"/>
    <w:rsid w:val="002441F0"/>
    <w:rsid w:val="00247877"/>
    <w:rsid w:val="00254AD3"/>
    <w:rsid w:val="002558D6"/>
    <w:rsid w:val="00261838"/>
    <w:rsid w:val="0026213E"/>
    <w:rsid w:val="00281A99"/>
    <w:rsid w:val="002833CF"/>
    <w:rsid w:val="00284148"/>
    <w:rsid w:val="002852FF"/>
    <w:rsid w:val="00287121"/>
    <w:rsid w:val="00295473"/>
    <w:rsid w:val="002969BF"/>
    <w:rsid w:val="002A19BA"/>
    <w:rsid w:val="002A2B2B"/>
    <w:rsid w:val="002A4784"/>
    <w:rsid w:val="002B5866"/>
    <w:rsid w:val="002C083D"/>
    <w:rsid w:val="002D2625"/>
    <w:rsid w:val="002D39B9"/>
    <w:rsid w:val="002D4E55"/>
    <w:rsid w:val="002D5C13"/>
    <w:rsid w:val="002E05CD"/>
    <w:rsid w:val="002F04DC"/>
    <w:rsid w:val="002F2E42"/>
    <w:rsid w:val="00300B9E"/>
    <w:rsid w:val="0031610E"/>
    <w:rsid w:val="00323AC1"/>
    <w:rsid w:val="00325BB2"/>
    <w:rsid w:val="0033352C"/>
    <w:rsid w:val="00334B73"/>
    <w:rsid w:val="00341124"/>
    <w:rsid w:val="003411E9"/>
    <w:rsid w:val="00341760"/>
    <w:rsid w:val="00341978"/>
    <w:rsid w:val="00351565"/>
    <w:rsid w:val="00352780"/>
    <w:rsid w:val="0035356A"/>
    <w:rsid w:val="00362B26"/>
    <w:rsid w:val="0036307F"/>
    <w:rsid w:val="00370F4F"/>
    <w:rsid w:val="003805B2"/>
    <w:rsid w:val="003A1538"/>
    <w:rsid w:val="003A28FC"/>
    <w:rsid w:val="003C71FE"/>
    <w:rsid w:val="003D11B1"/>
    <w:rsid w:val="003D1C0C"/>
    <w:rsid w:val="003E0541"/>
    <w:rsid w:val="003E3863"/>
    <w:rsid w:val="003F2B23"/>
    <w:rsid w:val="003F6354"/>
    <w:rsid w:val="0040189F"/>
    <w:rsid w:val="00403AC0"/>
    <w:rsid w:val="00407D39"/>
    <w:rsid w:val="004114F9"/>
    <w:rsid w:val="00417475"/>
    <w:rsid w:val="00420B51"/>
    <w:rsid w:val="004272BA"/>
    <w:rsid w:val="0043714D"/>
    <w:rsid w:val="0045616D"/>
    <w:rsid w:val="00461241"/>
    <w:rsid w:val="004649DF"/>
    <w:rsid w:val="00476D33"/>
    <w:rsid w:val="004860CE"/>
    <w:rsid w:val="00493B78"/>
    <w:rsid w:val="004A290B"/>
    <w:rsid w:val="004A320E"/>
    <w:rsid w:val="004A72C9"/>
    <w:rsid w:val="004B6455"/>
    <w:rsid w:val="004C2923"/>
    <w:rsid w:val="004D47C7"/>
    <w:rsid w:val="004D7BC3"/>
    <w:rsid w:val="004E3795"/>
    <w:rsid w:val="004F09F8"/>
    <w:rsid w:val="004F1CC9"/>
    <w:rsid w:val="004F2957"/>
    <w:rsid w:val="004F3CAF"/>
    <w:rsid w:val="0050112B"/>
    <w:rsid w:val="0050786B"/>
    <w:rsid w:val="00514CB4"/>
    <w:rsid w:val="005175FE"/>
    <w:rsid w:val="00532BD3"/>
    <w:rsid w:val="00534982"/>
    <w:rsid w:val="00542BD6"/>
    <w:rsid w:val="00544041"/>
    <w:rsid w:val="00547617"/>
    <w:rsid w:val="0055087E"/>
    <w:rsid w:val="00552521"/>
    <w:rsid w:val="00552652"/>
    <w:rsid w:val="0056647E"/>
    <w:rsid w:val="005914A8"/>
    <w:rsid w:val="00596655"/>
    <w:rsid w:val="005A0AF2"/>
    <w:rsid w:val="005A6C1D"/>
    <w:rsid w:val="005A6F3D"/>
    <w:rsid w:val="005A757F"/>
    <w:rsid w:val="005B49C9"/>
    <w:rsid w:val="005B60C3"/>
    <w:rsid w:val="005B7026"/>
    <w:rsid w:val="005C02C7"/>
    <w:rsid w:val="005E3864"/>
    <w:rsid w:val="005E39F6"/>
    <w:rsid w:val="005E5AA4"/>
    <w:rsid w:val="005E6F89"/>
    <w:rsid w:val="00601263"/>
    <w:rsid w:val="00601858"/>
    <w:rsid w:val="00610E38"/>
    <w:rsid w:val="006205D3"/>
    <w:rsid w:val="00627174"/>
    <w:rsid w:val="00640B66"/>
    <w:rsid w:val="0064614F"/>
    <w:rsid w:val="0065169D"/>
    <w:rsid w:val="00654CD8"/>
    <w:rsid w:val="0066454C"/>
    <w:rsid w:val="0066503C"/>
    <w:rsid w:val="00667329"/>
    <w:rsid w:val="0067397B"/>
    <w:rsid w:val="00691CA6"/>
    <w:rsid w:val="006942C1"/>
    <w:rsid w:val="006A098D"/>
    <w:rsid w:val="006B20ED"/>
    <w:rsid w:val="006C52F4"/>
    <w:rsid w:val="006C5A1C"/>
    <w:rsid w:val="006D7F7E"/>
    <w:rsid w:val="006F1015"/>
    <w:rsid w:val="006F155A"/>
    <w:rsid w:val="006F4F2B"/>
    <w:rsid w:val="00720545"/>
    <w:rsid w:val="00724A5F"/>
    <w:rsid w:val="00724FF0"/>
    <w:rsid w:val="00726E2D"/>
    <w:rsid w:val="00730662"/>
    <w:rsid w:val="007337F7"/>
    <w:rsid w:val="0074063B"/>
    <w:rsid w:val="00745103"/>
    <w:rsid w:val="007457B9"/>
    <w:rsid w:val="007577EA"/>
    <w:rsid w:val="00773CF6"/>
    <w:rsid w:val="00775F50"/>
    <w:rsid w:val="00785FE7"/>
    <w:rsid w:val="0079125A"/>
    <w:rsid w:val="007974D0"/>
    <w:rsid w:val="007A782D"/>
    <w:rsid w:val="007B03DA"/>
    <w:rsid w:val="007B1A04"/>
    <w:rsid w:val="007B53C4"/>
    <w:rsid w:val="007B6065"/>
    <w:rsid w:val="007B656F"/>
    <w:rsid w:val="007B7217"/>
    <w:rsid w:val="007B7B75"/>
    <w:rsid w:val="007C0D0D"/>
    <w:rsid w:val="007C5555"/>
    <w:rsid w:val="007E1E28"/>
    <w:rsid w:val="007E48EB"/>
    <w:rsid w:val="007F1113"/>
    <w:rsid w:val="00807F9B"/>
    <w:rsid w:val="0081563A"/>
    <w:rsid w:val="0082056C"/>
    <w:rsid w:val="00821585"/>
    <w:rsid w:val="00821847"/>
    <w:rsid w:val="008221BB"/>
    <w:rsid w:val="00831A2A"/>
    <w:rsid w:val="008349DF"/>
    <w:rsid w:val="00840164"/>
    <w:rsid w:val="00841E4F"/>
    <w:rsid w:val="00847EDD"/>
    <w:rsid w:val="00855B6D"/>
    <w:rsid w:val="00856A8A"/>
    <w:rsid w:val="008749D0"/>
    <w:rsid w:val="00886931"/>
    <w:rsid w:val="00892710"/>
    <w:rsid w:val="00893EBA"/>
    <w:rsid w:val="00897355"/>
    <w:rsid w:val="008B1E37"/>
    <w:rsid w:val="008C1A38"/>
    <w:rsid w:val="008C694B"/>
    <w:rsid w:val="008C77FD"/>
    <w:rsid w:val="008D1D3A"/>
    <w:rsid w:val="008E46F0"/>
    <w:rsid w:val="008E57FE"/>
    <w:rsid w:val="008F09C2"/>
    <w:rsid w:val="008F2EEB"/>
    <w:rsid w:val="008F7D85"/>
    <w:rsid w:val="00935C40"/>
    <w:rsid w:val="00936FBD"/>
    <w:rsid w:val="00937679"/>
    <w:rsid w:val="00937B77"/>
    <w:rsid w:val="009457C5"/>
    <w:rsid w:val="0095654E"/>
    <w:rsid w:val="009566C1"/>
    <w:rsid w:val="00960B07"/>
    <w:rsid w:val="00961857"/>
    <w:rsid w:val="009850FD"/>
    <w:rsid w:val="009B2DFA"/>
    <w:rsid w:val="009C3C58"/>
    <w:rsid w:val="009D1951"/>
    <w:rsid w:val="009E200E"/>
    <w:rsid w:val="009F1B24"/>
    <w:rsid w:val="00A02410"/>
    <w:rsid w:val="00A13363"/>
    <w:rsid w:val="00A41279"/>
    <w:rsid w:val="00A418A9"/>
    <w:rsid w:val="00A41E97"/>
    <w:rsid w:val="00A44F7D"/>
    <w:rsid w:val="00A51B4C"/>
    <w:rsid w:val="00A54163"/>
    <w:rsid w:val="00A63890"/>
    <w:rsid w:val="00A67F11"/>
    <w:rsid w:val="00A71916"/>
    <w:rsid w:val="00A76739"/>
    <w:rsid w:val="00A76FE7"/>
    <w:rsid w:val="00A770F1"/>
    <w:rsid w:val="00A90BAA"/>
    <w:rsid w:val="00A97C31"/>
    <w:rsid w:val="00A97E29"/>
    <w:rsid w:val="00AA134D"/>
    <w:rsid w:val="00AA1987"/>
    <w:rsid w:val="00AA2852"/>
    <w:rsid w:val="00AA6014"/>
    <w:rsid w:val="00AA6914"/>
    <w:rsid w:val="00AB27D7"/>
    <w:rsid w:val="00AB6379"/>
    <w:rsid w:val="00AD2EBD"/>
    <w:rsid w:val="00AD4F29"/>
    <w:rsid w:val="00AE254A"/>
    <w:rsid w:val="00B064CA"/>
    <w:rsid w:val="00B06DA4"/>
    <w:rsid w:val="00B12921"/>
    <w:rsid w:val="00B1567C"/>
    <w:rsid w:val="00B21548"/>
    <w:rsid w:val="00B3160F"/>
    <w:rsid w:val="00B36FE0"/>
    <w:rsid w:val="00B46092"/>
    <w:rsid w:val="00B52A3B"/>
    <w:rsid w:val="00B54886"/>
    <w:rsid w:val="00B567FC"/>
    <w:rsid w:val="00B6360F"/>
    <w:rsid w:val="00B66383"/>
    <w:rsid w:val="00B70963"/>
    <w:rsid w:val="00B80DCC"/>
    <w:rsid w:val="00B86A98"/>
    <w:rsid w:val="00B95712"/>
    <w:rsid w:val="00BA0DDA"/>
    <w:rsid w:val="00BA4349"/>
    <w:rsid w:val="00BB5836"/>
    <w:rsid w:val="00BB7C11"/>
    <w:rsid w:val="00BC1F0B"/>
    <w:rsid w:val="00BC38D3"/>
    <w:rsid w:val="00BC7200"/>
    <w:rsid w:val="00BE1C7B"/>
    <w:rsid w:val="00BE289E"/>
    <w:rsid w:val="00BF03BE"/>
    <w:rsid w:val="00C11D69"/>
    <w:rsid w:val="00C172A6"/>
    <w:rsid w:val="00C1752F"/>
    <w:rsid w:val="00C34E2B"/>
    <w:rsid w:val="00C35127"/>
    <w:rsid w:val="00C369CE"/>
    <w:rsid w:val="00C37785"/>
    <w:rsid w:val="00C633CB"/>
    <w:rsid w:val="00C64DF2"/>
    <w:rsid w:val="00C66A64"/>
    <w:rsid w:val="00C73333"/>
    <w:rsid w:val="00C73547"/>
    <w:rsid w:val="00C768C2"/>
    <w:rsid w:val="00C7695B"/>
    <w:rsid w:val="00C777CF"/>
    <w:rsid w:val="00C85D25"/>
    <w:rsid w:val="00C87E88"/>
    <w:rsid w:val="00C92751"/>
    <w:rsid w:val="00CA0B12"/>
    <w:rsid w:val="00CA7AAD"/>
    <w:rsid w:val="00CB68B5"/>
    <w:rsid w:val="00CD06CE"/>
    <w:rsid w:val="00CD138E"/>
    <w:rsid w:val="00CD6531"/>
    <w:rsid w:val="00CF16CF"/>
    <w:rsid w:val="00CF55CE"/>
    <w:rsid w:val="00CF6DC8"/>
    <w:rsid w:val="00CF7144"/>
    <w:rsid w:val="00D00F74"/>
    <w:rsid w:val="00D01D33"/>
    <w:rsid w:val="00D05921"/>
    <w:rsid w:val="00D15CE5"/>
    <w:rsid w:val="00D21562"/>
    <w:rsid w:val="00D23762"/>
    <w:rsid w:val="00D3549E"/>
    <w:rsid w:val="00D55968"/>
    <w:rsid w:val="00D57132"/>
    <w:rsid w:val="00D66668"/>
    <w:rsid w:val="00D7516E"/>
    <w:rsid w:val="00D758BD"/>
    <w:rsid w:val="00D76312"/>
    <w:rsid w:val="00D763FE"/>
    <w:rsid w:val="00D77EE9"/>
    <w:rsid w:val="00D91C40"/>
    <w:rsid w:val="00DA3F83"/>
    <w:rsid w:val="00DA6AB4"/>
    <w:rsid w:val="00DC107B"/>
    <w:rsid w:val="00DC2891"/>
    <w:rsid w:val="00DE2B51"/>
    <w:rsid w:val="00DE756B"/>
    <w:rsid w:val="00E01412"/>
    <w:rsid w:val="00E22CE7"/>
    <w:rsid w:val="00E324F9"/>
    <w:rsid w:val="00E35472"/>
    <w:rsid w:val="00E3551B"/>
    <w:rsid w:val="00E56764"/>
    <w:rsid w:val="00E6248D"/>
    <w:rsid w:val="00E749ED"/>
    <w:rsid w:val="00E75353"/>
    <w:rsid w:val="00EA0B1D"/>
    <w:rsid w:val="00EB0721"/>
    <w:rsid w:val="00EB0E12"/>
    <w:rsid w:val="00EC32F2"/>
    <w:rsid w:val="00ED6668"/>
    <w:rsid w:val="00EE3F1E"/>
    <w:rsid w:val="00EF029C"/>
    <w:rsid w:val="00EF0F26"/>
    <w:rsid w:val="00EF216B"/>
    <w:rsid w:val="00EF341D"/>
    <w:rsid w:val="00EF6630"/>
    <w:rsid w:val="00F03BCC"/>
    <w:rsid w:val="00F102E1"/>
    <w:rsid w:val="00F3314E"/>
    <w:rsid w:val="00F4303C"/>
    <w:rsid w:val="00F51C2A"/>
    <w:rsid w:val="00F617E2"/>
    <w:rsid w:val="00F629D0"/>
    <w:rsid w:val="00F67F3E"/>
    <w:rsid w:val="00F83208"/>
    <w:rsid w:val="00F87F94"/>
    <w:rsid w:val="00F92A31"/>
    <w:rsid w:val="00F96DC3"/>
    <w:rsid w:val="00FB24A2"/>
    <w:rsid w:val="00FC2FA7"/>
    <w:rsid w:val="00FD1F0E"/>
    <w:rsid w:val="00FE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line number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585"/>
    <w:pPr>
      <w:spacing w:line="480" w:lineRule="auto"/>
      <w:ind w:left="720" w:hanging="72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158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1585"/>
    <w:pPr>
      <w:keepNext/>
      <w:ind w:left="0" w:firstLine="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1585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1585"/>
    <w:pPr>
      <w:keepNext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0258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0258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0258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202582"/>
    <w:rPr>
      <w:rFonts w:ascii="Calibri" w:hAnsi="Calibri" w:cs="Calibri"/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821585"/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2582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82158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25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215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258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21585"/>
  </w:style>
  <w:style w:type="character" w:styleId="LineNumber">
    <w:name w:val="line number"/>
    <w:basedOn w:val="DefaultParagraphFont"/>
    <w:uiPriority w:val="99"/>
    <w:rsid w:val="00821585"/>
  </w:style>
  <w:style w:type="paragraph" w:styleId="DocumentMap">
    <w:name w:val="Document Map"/>
    <w:basedOn w:val="Normal"/>
    <w:link w:val="DocumentMapChar"/>
    <w:uiPriority w:val="99"/>
    <w:semiHidden/>
    <w:rsid w:val="0082158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2582"/>
    <w:rPr>
      <w:sz w:val="2"/>
      <w:szCs w:val="2"/>
    </w:rPr>
  </w:style>
  <w:style w:type="paragraph" w:styleId="Title">
    <w:name w:val="Title"/>
    <w:basedOn w:val="Normal"/>
    <w:link w:val="TitleChar"/>
    <w:uiPriority w:val="99"/>
    <w:qFormat/>
    <w:rsid w:val="0082158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202582"/>
    <w:rPr>
      <w:rFonts w:ascii="Cambria" w:hAnsi="Cambria" w:cs="Cambria"/>
      <w:b/>
      <w:bCs/>
      <w:kern w:val="28"/>
      <w:sz w:val="32"/>
      <w:szCs w:val="32"/>
    </w:rPr>
  </w:style>
  <w:style w:type="paragraph" w:customStyle="1" w:styleId="FirmName">
    <w:name w:val="Firm Name"/>
    <w:basedOn w:val="Normal"/>
    <w:uiPriority w:val="99"/>
    <w:rsid w:val="00821585"/>
    <w:pPr>
      <w:spacing w:line="254" w:lineRule="exact"/>
      <w:ind w:left="0" w:firstLine="0"/>
      <w:jc w:val="center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21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82"/>
    <w:rPr>
      <w:sz w:val="2"/>
      <w:szCs w:val="2"/>
    </w:rPr>
  </w:style>
  <w:style w:type="paragraph" w:customStyle="1" w:styleId="CharChar1">
    <w:name w:val="Char Char1"/>
    <w:basedOn w:val="Normal"/>
    <w:uiPriority w:val="99"/>
    <w:rsid w:val="00534982"/>
    <w:pPr>
      <w:spacing w:after="160" w:line="240" w:lineRule="exact"/>
      <w:ind w:left="0" w:firstLine="0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uiPriority w:val="99"/>
    <w:rsid w:val="007F1113"/>
    <w:pPr>
      <w:spacing w:line="480" w:lineRule="auto"/>
      <w:ind w:left="720" w:hanging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4D7BC3"/>
    <w:pPr>
      <w:spacing w:after="120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2582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F83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83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5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83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582"/>
    <w:rPr>
      <w:b/>
      <w:bCs/>
    </w:rPr>
  </w:style>
  <w:style w:type="paragraph" w:customStyle="1" w:styleId="CharChar11">
    <w:name w:val="Char Char11"/>
    <w:basedOn w:val="Normal"/>
    <w:uiPriority w:val="99"/>
    <w:rsid w:val="00785FE7"/>
    <w:pPr>
      <w:spacing w:after="160" w:line="240" w:lineRule="exact"/>
      <w:ind w:left="0" w:firstLine="0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2010-05-04T07:00:00+00:00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7812BFC-1E28-4F0B-84EE-D12C2995BD70}"/>
</file>

<file path=customXml/itemProps2.xml><?xml version="1.0" encoding="utf-8"?>
<ds:datastoreItem xmlns:ds="http://schemas.openxmlformats.org/officeDocument/2006/customXml" ds:itemID="{976DDE3A-BC08-49A9-9419-B60DAF13F00F}"/>
</file>

<file path=customXml/itemProps3.xml><?xml version="1.0" encoding="utf-8"?>
<ds:datastoreItem xmlns:ds="http://schemas.openxmlformats.org/officeDocument/2006/customXml" ds:itemID="{6BA2F69A-D85B-481F-8647-CBB1C7360E2F}"/>
</file>

<file path=customXml/itemProps4.xml><?xml version="1.0" encoding="utf-8"?>
<ds:datastoreItem xmlns:ds="http://schemas.openxmlformats.org/officeDocument/2006/customXml" ds:itemID="{682AE3EF-44E1-4E47-AE8F-3367217716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2019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</vt:lpstr>
    </vt:vector>
  </TitlesOfParts>
  <Company/>
  <LinksUpToDate>false</LinksUpToDate>
  <CharactersWithSpaces>13413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</dc:title>
  <dc:subject/>
  <dc:creator/>
  <cp:keywords/>
  <dc:description/>
  <cp:lastModifiedBy/>
  <cp:revision>1</cp:revision>
  <cp:lastPrinted>2009-09-14T15:11:00Z</cp:lastPrinted>
  <dcterms:created xsi:type="dcterms:W3CDTF">2010-04-29T21:31:00Z</dcterms:created>
  <dcterms:modified xsi:type="dcterms:W3CDTF">2010-05-02T20:40:00Z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