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609" w:rsidRPr="00DA5DBB" w:rsidRDefault="000B3609" w:rsidP="000B3609">
      <w:pPr>
        <w:pStyle w:val="BodyText"/>
        <w:rPr>
          <w:b/>
          <w:bCs/>
          <w:sz w:val="25"/>
          <w:szCs w:val="25"/>
        </w:rPr>
      </w:pPr>
      <w:bookmarkStart w:id="0" w:name="_GoBack"/>
      <w:bookmarkEnd w:id="0"/>
      <w:r w:rsidRPr="00DA5DBB">
        <w:rPr>
          <w:b/>
          <w:bCs/>
          <w:sz w:val="25"/>
          <w:szCs w:val="25"/>
        </w:rPr>
        <w:t>BEFORE THE WASHINGTON</w:t>
      </w:r>
    </w:p>
    <w:p w:rsidR="000B3609" w:rsidRPr="00DA5DBB" w:rsidRDefault="000B3609" w:rsidP="000B3609">
      <w:pPr>
        <w:pStyle w:val="BodyText"/>
        <w:rPr>
          <w:b/>
          <w:bCs/>
          <w:sz w:val="25"/>
          <w:szCs w:val="25"/>
        </w:rPr>
      </w:pPr>
      <w:r w:rsidRPr="00DA5DBB">
        <w:rPr>
          <w:b/>
          <w:bCs/>
          <w:sz w:val="25"/>
          <w:szCs w:val="25"/>
        </w:rPr>
        <w:t>UTILITIES AND TRANSPORTATION COMMISSION</w:t>
      </w:r>
    </w:p>
    <w:p w:rsidR="000B3609" w:rsidRDefault="000B3609" w:rsidP="000B3609">
      <w:pPr>
        <w:rPr>
          <w:sz w:val="25"/>
          <w:szCs w:val="25"/>
        </w:rPr>
      </w:pPr>
    </w:p>
    <w:p w:rsidR="005C057E" w:rsidRPr="00DA5DBB" w:rsidRDefault="005C057E" w:rsidP="000B3609">
      <w:pPr>
        <w:rPr>
          <w:sz w:val="25"/>
          <w:szCs w:val="25"/>
        </w:rPr>
      </w:pPr>
    </w:p>
    <w:tbl>
      <w:tblPr>
        <w:tblW w:w="0" w:type="auto"/>
        <w:tblLook w:val="0000" w:firstRow="0" w:lastRow="0" w:firstColumn="0" w:lastColumn="0" w:noHBand="0" w:noVBand="0"/>
      </w:tblPr>
      <w:tblGrid>
        <w:gridCol w:w="4248"/>
        <w:gridCol w:w="360"/>
        <w:gridCol w:w="4248"/>
      </w:tblGrid>
      <w:tr w:rsidR="000B3609" w:rsidRPr="00CB7F45" w:rsidTr="008804FA">
        <w:tc>
          <w:tcPr>
            <w:tcW w:w="4248" w:type="dxa"/>
          </w:tcPr>
          <w:p w:rsidR="000B3609" w:rsidRDefault="000B3609" w:rsidP="008804FA">
            <w:pPr>
              <w:tabs>
                <w:tab w:val="left" w:pos="2160"/>
              </w:tabs>
              <w:spacing w:line="264" w:lineRule="auto"/>
              <w:rPr>
                <w:bCs/>
                <w:sz w:val="25"/>
                <w:szCs w:val="25"/>
              </w:rPr>
            </w:pPr>
            <w:r>
              <w:rPr>
                <w:bCs/>
                <w:sz w:val="25"/>
                <w:szCs w:val="25"/>
              </w:rPr>
              <w:t>WASHINGTON UTILITIES AND TRANSPORTATION COMMISSION,</w:t>
            </w:r>
          </w:p>
          <w:p w:rsidR="000B3609" w:rsidRDefault="000B3609" w:rsidP="008804FA">
            <w:pPr>
              <w:tabs>
                <w:tab w:val="left" w:pos="2160"/>
              </w:tabs>
              <w:spacing w:line="264" w:lineRule="auto"/>
              <w:rPr>
                <w:bCs/>
                <w:sz w:val="25"/>
                <w:szCs w:val="25"/>
              </w:rPr>
            </w:pPr>
          </w:p>
          <w:p w:rsidR="000B3609" w:rsidRDefault="000B3609" w:rsidP="008804FA">
            <w:pPr>
              <w:tabs>
                <w:tab w:val="left" w:pos="2160"/>
              </w:tabs>
              <w:spacing w:line="264" w:lineRule="auto"/>
              <w:rPr>
                <w:bCs/>
                <w:sz w:val="25"/>
                <w:szCs w:val="25"/>
              </w:rPr>
            </w:pPr>
            <w:r>
              <w:rPr>
                <w:b/>
                <w:bCs/>
                <w:sz w:val="25"/>
                <w:szCs w:val="25"/>
              </w:rPr>
              <w:tab/>
            </w:r>
            <w:r w:rsidRPr="009C7F90">
              <w:rPr>
                <w:bCs/>
                <w:sz w:val="25"/>
                <w:szCs w:val="25"/>
              </w:rPr>
              <w:t>Complainant,</w:t>
            </w:r>
          </w:p>
          <w:p w:rsidR="000B3609" w:rsidRDefault="000B3609" w:rsidP="008804FA">
            <w:pPr>
              <w:tabs>
                <w:tab w:val="left" w:pos="2160"/>
              </w:tabs>
              <w:spacing w:line="264" w:lineRule="auto"/>
              <w:rPr>
                <w:bCs/>
                <w:sz w:val="25"/>
                <w:szCs w:val="25"/>
              </w:rPr>
            </w:pPr>
          </w:p>
          <w:p w:rsidR="000B3609" w:rsidRDefault="000B3609" w:rsidP="008804FA">
            <w:pPr>
              <w:tabs>
                <w:tab w:val="left" w:pos="2160"/>
              </w:tabs>
              <w:spacing w:line="264" w:lineRule="auto"/>
              <w:rPr>
                <w:bCs/>
                <w:sz w:val="25"/>
                <w:szCs w:val="25"/>
              </w:rPr>
            </w:pPr>
            <w:r>
              <w:rPr>
                <w:bCs/>
                <w:sz w:val="25"/>
                <w:szCs w:val="25"/>
              </w:rPr>
              <w:t>v.</w:t>
            </w:r>
          </w:p>
          <w:p w:rsidR="000B3609" w:rsidRDefault="000B3609" w:rsidP="008804FA">
            <w:pPr>
              <w:tabs>
                <w:tab w:val="left" w:pos="2160"/>
              </w:tabs>
              <w:spacing w:line="264" w:lineRule="auto"/>
              <w:rPr>
                <w:bCs/>
                <w:sz w:val="25"/>
                <w:szCs w:val="25"/>
              </w:rPr>
            </w:pPr>
          </w:p>
          <w:p w:rsidR="000B3609" w:rsidRDefault="000B3609" w:rsidP="008804FA">
            <w:pPr>
              <w:tabs>
                <w:tab w:val="left" w:pos="2160"/>
              </w:tabs>
              <w:spacing w:line="264" w:lineRule="auto"/>
              <w:rPr>
                <w:bCs/>
                <w:sz w:val="25"/>
                <w:szCs w:val="25"/>
              </w:rPr>
            </w:pPr>
            <w:r>
              <w:rPr>
                <w:bCs/>
                <w:sz w:val="25"/>
                <w:szCs w:val="25"/>
              </w:rPr>
              <w:t>AVISTA CORPORATION d/b/a AVISTA UTILITIES,</w:t>
            </w:r>
          </w:p>
          <w:p w:rsidR="000B3609" w:rsidRDefault="000B3609" w:rsidP="008804FA">
            <w:pPr>
              <w:tabs>
                <w:tab w:val="left" w:pos="2160"/>
              </w:tabs>
              <w:spacing w:line="264" w:lineRule="auto"/>
              <w:rPr>
                <w:bCs/>
                <w:sz w:val="25"/>
                <w:szCs w:val="25"/>
              </w:rPr>
            </w:pPr>
          </w:p>
          <w:p w:rsidR="000B3609" w:rsidRDefault="000B3609" w:rsidP="008804FA">
            <w:pPr>
              <w:tabs>
                <w:tab w:val="left" w:pos="2160"/>
              </w:tabs>
              <w:spacing w:line="264" w:lineRule="auto"/>
              <w:rPr>
                <w:bCs/>
                <w:sz w:val="25"/>
                <w:szCs w:val="25"/>
              </w:rPr>
            </w:pPr>
            <w:r>
              <w:rPr>
                <w:bCs/>
                <w:sz w:val="25"/>
                <w:szCs w:val="25"/>
              </w:rPr>
              <w:tab/>
              <w:t>Respondent.</w:t>
            </w:r>
          </w:p>
          <w:p w:rsidR="000B3609" w:rsidRPr="00CB7F45" w:rsidRDefault="000B3609" w:rsidP="008804FA">
            <w:pPr>
              <w:tabs>
                <w:tab w:val="left" w:pos="2160"/>
              </w:tabs>
              <w:spacing w:line="264" w:lineRule="auto"/>
              <w:rPr>
                <w:sz w:val="25"/>
                <w:szCs w:val="25"/>
              </w:rPr>
            </w:pPr>
            <w:r w:rsidRPr="00CB7F45">
              <w:rPr>
                <w:sz w:val="25"/>
                <w:szCs w:val="25"/>
              </w:rPr>
              <w:t xml:space="preserve">. . . . . . . . . . . . . . . . . . . . . . . . . . . . . . . . </w:t>
            </w:r>
          </w:p>
        </w:tc>
        <w:tc>
          <w:tcPr>
            <w:tcW w:w="360" w:type="dxa"/>
          </w:tcPr>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Default="000B3609" w:rsidP="008804FA">
            <w:pPr>
              <w:spacing w:line="264" w:lineRule="auto"/>
              <w:rPr>
                <w:sz w:val="25"/>
                <w:szCs w:val="25"/>
              </w:rPr>
            </w:pPr>
            <w:r w:rsidRPr="00CB7F45">
              <w:rPr>
                <w:sz w:val="25"/>
                <w:szCs w:val="25"/>
              </w:rPr>
              <w:t>)</w:t>
            </w:r>
          </w:p>
          <w:p w:rsidR="000B3609" w:rsidRDefault="000B3609" w:rsidP="008804FA">
            <w:pPr>
              <w:spacing w:line="264" w:lineRule="auto"/>
              <w:rPr>
                <w:sz w:val="25"/>
                <w:szCs w:val="25"/>
              </w:rPr>
            </w:pPr>
            <w:r>
              <w:rPr>
                <w:sz w:val="25"/>
                <w:szCs w:val="25"/>
              </w:rPr>
              <w:t>)</w:t>
            </w:r>
          </w:p>
          <w:p w:rsidR="000B3609" w:rsidRPr="00CB7F45" w:rsidRDefault="000B3609" w:rsidP="008804FA">
            <w:pPr>
              <w:spacing w:line="264" w:lineRule="auto"/>
              <w:rPr>
                <w:sz w:val="25"/>
                <w:szCs w:val="25"/>
              </w:rPr>
            </w:pPr>
            <w:r>
              <w:rPr>
                <w:sz w:val="25"/>
                <w:szCs w:val="25"/>
              </w:rPr>
              <w:t>)</w:t>
            </w:r>
          </w:p>
        </w:tc>
        <w:tc>
          <w:tcPr>
            <w:tcW w:w="4248" w:type="dxa"/>
          </w:tcPr>
          <w:p w:rsidR="000B3609" w:rsidRDefault="000B3609" w:rsidP="008804FA">
            <w:pPr>
              <w:spacing w:line="264" w:lineRule="auto"/>
              <w:rPr>
                <w:i/>
                <w:sz w:val="25"/>
                <w:szCs w:val="25"/>
              </w:rPr>
            </w:pPr>
            <w:r w:rsidRPr="00CB7F45">
              <w:rPr>
                <w:sz w:val="25"/>
                <w:szCs w:val="25"/>
              </w:rPr>
              <w:t>DOCKET</w:t>
            </w:r>
            <w:r>
              <w:rPr>
                <w:sz w:val="25"/>
                <w:szCs w:val="25"/>
              </w:rPr>
              <w:t>S</w:t>
            </w:r>
            <w:r w:rsidRPr="00CB7F45">
              <w:rPr>
                <w:sz w:val="25"/>
                <w:szCs w:val="25"/>
              </w:rPr>
              <w:t xml:space="preserve"> </w:t>
            </w:r>
            <w:r>
              <w:rPr>
                <w:sz w:val="25"/>
                <w:szCs w:val="25"/>
              </w:rPr>
              <w:t>UE-120436 and             UG-120437 (</w:t>
            </w:r>
            <w:r>
              <w:rPr>
                <w:i/>
                <w:sz w:val="25"/>
                <w:szCs w:val="25"/>
              </w:rPr>
              <w:t>Consolidated)</w:t>
            </w:r>
          </w:p>
          <w:p w:rsidR="00FF7402" w:rsidRDefault="00FF7402" w:rsidP="008804FA">
            <w:pPr>
              <w:spacing w:line="264" w:lineRule="auto"/>
              <w:rPr>
                <w:i/>
                <w:sz w:val="25"/>
                <w:szCs w:val="25"/>
              </w:rPr>
            </w:pPr>
          </w:p>
          <w:p w:rsidR="00FF7402" w:rsidRPr="00225A2A" w:rsidRDefault="00FF7402" w:rsidP="008804FA">
            <w:pPr>
              <w:spacing w:line="264" w:lineRule="auto"/>
              <w:rPr>
                <w:i/>
                <w:sz w:val="25"/>
                <w:szCs w:val="25"/>
              </w:rPr>
            </w:pPr>
          </w:p>
          <w:p w:rsidR="000B3609" w:rsidRPr="00CB7F45" w:rsidRDefault="000B3609" w:rsidP="008804FA">
            <w:pPr>
              <w:spacing w:line="264" w:lineRule="auto"/>
              <w:rPr>
                <w:sz w:val="25"/>
                <w:szCs w:val="25"/>
              </w:rPr>
            </w:pPr>
          </w:p>
          <w:p w:rsidR="000B3609" w:rsidRPr="001275DD" w:rsidRDefault="000B3609" w:rsidP="008804FA">
            <w:pPr>
              <w:pStyle w:val="Header"/>
              <w:tabs>
                <w:tab w:val="clear" w:pos="4320"/>
                <w:tab w:val="clear" w:pos="8640"/>
              </w:tabs>
              <w:spacing w:line="264" w:lineRule="auto"/>
              <w:rPr>
                <w:sz w:val="25"/>
                <w:szCs w:val="25"/>
              </w:rPr>
            </w:pPr>
            <w:r w:rsidRPr="001275DD">
              <w:rPr>
                <w:sz w:val="25"/>
                <w:szCs w:val="25"/>
              </w:rPr>
              <w:t>ORDER 0</w:t>
            </w:r>
            <w:r w:rsidR="00FF7402">
              <w:rPr>
                <w:sz w:val="25"/>
                <w:szCs w:val="25"/>
              </w:rPr>
              <w:t>7</w:t>
            </w:r>
          </w:p>
          <w:p w:rsidR="000B3609" w:rsidRDefault="000B3609" w:rsidP="008804FA">
            <w:pPr>
              <w:spacing w:line="264" w:lineRule="auto"/>
              <w:rPr>
                <w:sz w:val="25"/>
                <w:szCs w:val="25"/>
              </w:rPr>
            </w:pPr>
          </w:p>
          <w:p w:rsidR="000B3609" w:rsidRPr="00CB7F45" w:rsidRDefault="000B3609" w:rsidP="00FF7402">
            <w:pPr>
              <w:spacing w:line="264" w:lineRule="auto"/>
              <w:rPr>
                <w:sz w:val="25"/>
                <w:szCs w:val="25"/>
              </w:rPr>
            </w:pPr>
          </w:p>
        </w:tc>
      </w:tr>
      <w:tr w:rsidR="009459D5" w:rsidRPr="00CB7F45" w:rsidTr="009459D5">
        <w:tc>
          <w:tcPr>
            <w:tcW w:w="4248" w:type="dxa"/>
          </w:tcPr>
          <w:p w:rsidR="009459D5" w:rsidRDefault="009459D5" w:rsidP="00E51120">
            <w:pPr>
              <w:tabs>
                <w:tab w:val="left" w:pos="2160"/>
              </w:tabs>
              <w:spacing w:line="264" w:lineRule="auto"/>
              <w:rPr>
                <w:bCs/>
                <w:sz w:val="25"/>
                <w:szCs w:val="25"/>
              </w:rPr>
            </w:pPr>
            <w:r>
              <w:rPr>
                <w:bCs/>
                <w:sz w:val="25"/>
                <w:szCs w:val="25"/>
              </w:rPr>
              <w:t>WASHINGTON UTILITIES AND TRANSPORTATION COMMISSION,</w:t>
            </w:r>
          </w:p>
          <w:p w:rsidR="009459D5" w:rsidRDefault="009459D5" w:rsidP="00E51120">
            <w:pPr>
              <w:tabs>
                <w:tab w:val="left" w:pos="2160"/>
              </w:tabs>
              <w:spacing w:line="264" w:lineRule="auto"/>
              <w:rPr>
                <w:bCs/>
                <w:sz w:val="25"/>
                <w:szCs w:val="25"/>
              </w:rPr>
            </w:pPr>
          </w:p>
          <w:p w:rsidR="009459D5" w:rsidRDefault="009459D5" w:rsidP="00E51120">
            <w:pPr>
              <w:tabs>
                <w:tab w:val="left" w:pos="2160"/>
              </w:tabs>
              <w:spacing w:line="264" w:lineRule="auto"/>
              <w:rPr>
                <w:bCs/>
                <w:sz w:val="25"/>
                <w:szCs w:val="25"/>
              </w:rPr>
            </w:pPr>
            <w:r w:rsidRPr="009459D5">
              <w:rPr>
                <w:bCs/>
                <w:sz w:val="25"/>
                <w:szCs w:val="25"/>
              </w:rPr>
              <w:tab/>
            </w:r>
            <w:r w:rsidRPr="009C7F90">
              <w:rPr>
                <w:bCs/>
                <w:sz w:val="25"/>
                <w:szCs w:val="25"/>
              </w:rPr>
              <w:t>Complainant,</w:t>
            </w:r>
          </w:p>
          <w:p w:rsidR="009459D5" w:rsidRDefault="009459D5" w:rsidP="00E51120">
            <w:pPr>
              <w:tabs>
                <w:tab w:val="left" w:pos="2160"/>
              </w:tabs>
              <w:spacing w:line="264" w:lineRule="auto"/>
              <w:rPr>
                <w:bCs/>
                <w:sz w:val="25"/>
                <w:szCs w:val="25"/>
              </w:rPr>
            </w:pPr>
          </w:p>
          <w:p w:rsidR="009459D5" w:rsidRDefault="009459D5" w:rsidP="00E51120">
            <w:pPr>
              <w:tabs>
                <w:tab w:val="left" w:pos="2160"/>
              </w:tabs>
              <w:spacing w:line="264" w:lineRule="auto"/>
              <w:rPr>
                <w:bCs/>
                <w:sz w:val="25"/>
                <w:szCs w:val="25"/>
              </w:rPr>
            </w:pPr>
            <w:r>
              <w:rPr>
                <w:bCs/>
                <w:sz w:val="25"/>
                <w:szCs w:val="25"/>
              </w:rPr>
              <w:t>v.</w:t>
            </w:r>
          </w:p>
          <w:p w:rsidR="009459D5" w:rsidRDefault="009459D5" w:rsidP="00E51120">
            <w:pPr>
              <w:tabs>
                <w:tab w:val="left" w:pos="2160"/>
              </w:tabs>
              <w:spacing w:line="264" w:lineRule="auto"/>
              <w:rPr>
                <w:bCs/>
                <w:sz w:val="25"/>
                <w:szCs w:val="25"/>
              </w:rPr>
            </w:pPr>
          </w:p>
          <w:p w:rsidR="009459D5" w:rsidRDefault="009459D5" w:rsidP="00E51120">
            <w:pPr>
              <w:tabs>
                <w:tab w:val="left" w:pos="2160"/>
              </w:tabs>
              <w:spacing w:line="264" w:lineRule="auto"/>
              <w:rPr>
                <w:bCs/>
                <w:sz w:val="25"/>
                <w:szCs w:val="25"/>
              </w:rPr>
            </w:pPr>
            <w:r>
              <w:rPr>
                <w:bCs/>
                <w:sz w:val="25"/>
                <w:szCs w:val="25"/>
              </w:rPr>
              <w:t>AVISTA CORPORATION d/b/a AVISTA UTILITIES,</w:t>
            </w:r>
          </w:p>
          <w:p w:rsidR="009459D5" w:rsidRDefault="009459D5" w:rsidP="00E51120">
            <w:pPr>
              <w:tabs>
                <w:tab w:val="left" w:pos="2160"/>
              </w:tabs>
              <w:spacing w:line="264" w:lineRule="auto"/>
              <w:rPr>
                <w:bCs/>
                <w:sz w:val="25"/>
                <w:szCs w:val="25"/>
              </w:rPr>
            </w:pPr>
          </w:p>
          <w:p w:rsidR="009459D5" w:rsidRDefault="009459D5" w:rsidP="00E51120">
            <w:pPr>
              <w:tabs>
                <w:tab w:val="left" w:pos="2160"/>
              </w:tabs>
              <w:spacing w:line="264" w:lineRule="auto"/>
              <w:rPr>
                <w:bCs/>
                <w:sz w:val="25"/>
                <w:szCs w:val="25"/>
              </w:rPr>
            </w:pPr>
            <w:r>
              <w:rPr>
                <w:bCs/>
                <w:sz w:val="25"/>
                <w:szCs w:val="25"/>
              </w:rPr>
              <w:tab/>
              <w:t>Respondent.</w:t>
            </w:r>
          </w:p>
          <w:p w:rsidR="009459D5" w:rsidRPr="009459D5" w:rsidRDefault="009459D5" w:rsidP="00E51120">
            <w:pPr>
              <w:tabs>
                <w:tab w:val="left" w:pos="2160"/>
              </w:tabs>
              <w:spacing w:line="264" w:lineRule="auto"/>
              <w:rPr>
                <w:bCs/>
                <w:sz w:val="25"/>
                <w:szCs w:val="25"/>
              </w:rPr>
            </w:pPr>
            <w:r w:rsidRPr="009459D5">
              <w:rPr>
                <w:bCs/>
                <w:sz w:val="25"/>
                <w:szCs w:val="25"/>
              </w:rPr>
              <w:t xml:space="preserve">. . . . . . . . . . . . . . . . . . . . . . . . . . . . . . . . </w:t>
            </w:r>
          </w:p>
        </w:tc>
        <w:tc>
          <w:tcPr>
            <w:tcW w:w="360" w:type="dxa"/>
          </w:tcPr>
          <w:p w:rsidR="009459D5" w:rsidRPr="00CB7F45" w:rsidRDefault="009459D5" w:rsidP="00E51120">
            <w:pPr>
              <w:spacing w:line="264" w:lineRule="auto"/>
              <w:rPr>
                <w:sz w:val="25"/>
                <w:szCs w:val="25"/>
              </w:rPr>
            </w:pPr>
            <w:r w:rsidRPr="00CB7F45">
              <w:rPr>
                <w:sz w:val="25"/>
                <w:szCs w:val="25"/>
              </w:rPr>
              <w:t>)</w:t>
            </w:r>
          </w:p>
          <w:p w:rsidR="009459D5" w:rsidRPr="00CB7F45" w:rsidRDefault="009459D5" w:rsidP="00E51120">
            <w:pPr>
              <w:spacing w:line="264" w:lineRule="auto"/>
              <w:rPr>
                <w:sz w:val="25"/>
                <w:szCs w:val="25"/>
              </w:rPr>
            </w:pPr>
            <w:r w:rsidRPr="00CB7F45">
              <w:rPr>
                <w:sz w:val="25"/>
                <w:szCs w:val="25"/>
              </w:rPr>
              <w:t>)</w:t>
            </w:r>
          </w:p>
          <w:p w:rsidR="009459D5" w:rsidRPr="00CB7F45" w:rsidRDefault="009459D5" w:rsidP="00E51120">
            <w:pPr>
              <w:spacing w:line="264" w:lineRule="auto"/>
              <w:rPr>
                <w:sz w:val="25"/>
                <w:szCs w:val="25"/>
              </w:rPr>
            </w:pPr>
            <w:r w:rsidRPr="00CB7F45">
              <w:rPr>
                <w:sz w:val="25"/>
                <w:szCs w:val="25"/>
              </w:rPr>
              <w:t>)</w:t>
            </w:r>
          </w:p>
          <w:p w:rsidR="009459D5" w:rsidRPr="00CB7F45" w:rsidRDefault="009459D5" w:rsidP="00E51120">
            <w:pPr>
              <w:spacing w:line="264" w:lineRule="auto"/>
              <w:rPr>
                <w:sz w:val="25"/>
                <w:szCs w:val="25"/>
              </w:rPr>
            </w:pPr>
            <w:r w:rsidRPr="00CB7F45">
              <w:rPr>
                <w:sz w:val="25"/>
                <w:szCs w:val="25"/>
              </w:rPr>
              <w:t>)</w:t>
            </w:r>
          </w:p>
          <w:p w:rsidR="009459D5" w:rsidRPr="00CB7F45" w:rsidRDefault="009459D5" w:rsidP="00E51120">
            <w:pPr>
              <w:spacing w:line="264" w:lineRule="auto"/>
              <w:rPr>
                <w:sz w:val="25"/>
                <w:szCs w:val="25"/>
              </w:rPr>
            </w:pPr>
            <w:r w:rsidRPr="00CB7F45">
              <w:rPr>
                <w:sz w:val="25"/>
                <w:szCs w:val="25"/>
              </w:rPr>
              <w:t>)</w:t>
            </w:r>
          </w:p>
          <w:p w:rsidR="009459D5" w:rsidRPr="00CB7F45" w:rsidRDefault="009459D5" w:rsidP="00E51120">
            <w:pPr>
              <w:spacing w:line="264" w:lineRule="auto"/>
              <w:rPr>
                <w:sz w:val="25"/>
                <w:szCs w:val="25"/>
              </w:rPr>
            </w:pPr>
            <w:r w:rsidRPr="00CB7F45">
              <w:rPr>
                <w:sz w:val="25"/>
                <w:szCs w:val="25"/>
              </w:rPr>
              <w:t>)</w:t>
            </w:r>
          </w:p>
          <w:p w:rsidR="009459D5" w:rsidRPr="00CB7F45" w:rsidRDefault="009459D5" w:rsidP="00E51120">
            <w:pPr>
              <w:spacing w:line="264" w:lineRule="auto"/>
              <w:rPr>
                <w:sz w:val="25"/>
                <w:szCs w:val="25"/>
              </w:rPr>
            </w:pPr>
            <w:r w:rsidRPr="00CB7F45">
              <w:rPr>
                <w:sz w:val="25"/>
                <w:szCs w:val="25"/>
              </w:rPr>
              <w:t>)</w:t>
            </w:r>
          </w:p>
          <w:p w:rsidR="009459D5" w:rsidRPr="00CB7F45" w:rsidRDefault="009459D5" w:rsidP="00E51120">
            <w:pPr>
              <w:spacing w:line="264" w:lineRule="auto"/>
              <w:rPr>
                <w:sz w:val="25"/>
                <w:szCs w:val="25"/>
              </w:rPr>
            </w:pPr>
            <w:r w:rsidRPr="00CB7F45">
              <w:rPr>
                <w:sz w:val="25"/>
                <w:szCs w:val="25"/>
              </w:rPr>
              <w:t>)</w:t>
            </w:r>
          </w:p>
          <w:p w:rsidR="009459D5" w:rsidRPr="00CB7F45" w:rsidRDefault="009459D5" w:rsidP="00E51120">
            <w:pPr>
              <w:spacing w:line="264" w:lineRule="auto"/>
              <w:rPr>
                <w:sz w:val="25"/>
                <w:szCs w:val="25"/>
              </w:rPr>
            </w:pPr>
            <w:r w:rsidRPr="00CB7F45">
              <w:rPr>
                <w:sz w:val="25"/>
                <w:szCs w:val="25"/>
              </w:rPr>
              <w:t>)</w:t>
            </w:r>
          </w:p>
          <w:p w:rsidR="009459D5" w:rsidRDefault="009459D5" w:rsidP="00E51120">
            <w:pPr>
              <w:spacing w:line="264" w:lineRule="auto"/>
              <w:rPr>
                <w:sz w:val="25"/>
                <w:szCs w:val="25"/>
              </w:rPr>
            </w:pPr>
            <w:r w:rsidRPr="00CB7F45">
              <w:rPr>
                <w:sz w:val="25"/>
                <w:szCs w:val="25"/>
              </w:rPr>
              <w:t>)</w:t>
            </w:r>
          </w:p>
          <w:p w:rsidR="009459D5" w:rsidRDefault="009459D5" w:rsidP="00E51120">
            <w:pPr>
              <w:spacing w:line="264" w:lineRule="auto"/>
              <w:rPr>
                <w:sz w:val="25"/>
                <w:szCs w:val="25"/>
              </w:rPr>
            </w:pPr>
            <w:r>
              <w:rPr>
                <w:sz w:val="25"/>
                <w:szCs w:val="25"/>
              </w:rPr>
              <w:t>)</w:t>
            </w:r>
          </w:p>
          <w:p w:rsidR="009459D5" w:rsidRPr="00CB7F45" w:rsidRDefault="009459D5" w:rsidP="00E51120">
            <w:pPr>
              <w:spacing w:line="264" w:lineRule="auto"/>
              <w:rPr>
                <w:sz w:val="25"/>
                <w:szCs w:val="25"/>
              </w:rPr>
            </w:pPr>
            <w:r>
              <w:rPr>
                <w:sz w:val="25"/>
                <w:szCs w:val="25"/>
              </w:rPr>
              <w:t>)</w:t>
            </w:r>
          </w:p>
        </w:tc>
        <w:tc>
          <w:tcPr>
            <w:tcW w:w="4248" w:type="dxa"/>
          </w:tcPr>
          <w:p w:rsidR="009459D5" w:rsidRPr="009459D5" w:rsidRDefault="009459D5" w:rsidP="00E51120">
            <w:pPr>
              <w:spacing w:line="264" w:lineRule="auto"/>
              <w:rPr>
                <w:sz w:val="25"/>
                <w:szCs w:val="25"/>
              </w:rPr>
            </w:pPr>
            <w:r w:rsidRPr="00CB7F45">
              <w:rPr>
                <w:sz w:val="25"/>
                <w:szCs w:val="25"/>
              </w:rPr>
              <w:t>DOCKET</w:t>
            </w:r>
            <w:r>
              <w:rPr>
                <w:sz w:val="25"/>
                <w:szCs w:val="25"/>
              </w:rPr>
              <w:t>S</w:t>
            </w:r>
            <w:r w:rsidRPr="00CB7F45">
              <w:rPr>
                <w:sz w:val="25"/>
                <w:szCs w:val="25"/>
              </w:rPr>
              <w:t xml:space="preserve"> </w:t>
            </w:r>
            <w:r>
              <w:rPr>
                <w:sz w:val="25"/>
                <w:szCs w:val="25"/>
              </w:rPr>
              <w:t>UE-110876 and             UG-110877 (</w:t>
            </w:r>
            <w:r w:rsidRPr="009459D5">
              <w:rPr>
                <w:sz w:val="25"/>
                <w:szCs w:val="25"/>
              </w:rPr>
              <w:t>Consolidated)</w:t>
            </w:r>
          </w:p>
          <w:p w:rsidR="009459D5" w:rsidRPr="009459D5" w:rsidRDefault="009459D5" w:rsidP="00E51120">
            <w:pPr>
              <w:spacing w:line="264" w:lineRule="auto"/>
              <w:rPr>
                <w:sz w:val="25"/>
                <w:szCs w:val="25"/>
              </w:rPr>
            </w:pPr>
          </w:p>
          <w:p w:rsidR="009459D5" w:rsidRPr="009459D5" w:rsidRDefault="009459D5" w:rsidP="00E51120">
            <w:pPr>
              <w:spacing w:line="264" w:lineRule="auto"/>
              <w:rPr>
                <w:sz w:val="25"/>
                <w:szCs w:val="25"/>
              </w:rPr>
            </w:pPr>
          </w:p>
          <w:p w:rsidR="009459D5" w:rsidRPr="00CB7F45" w:rsidRDefault="009459D5" w:rsidP="00E51120">
            <w:pPr>
              <w:spacing w:line="264" w:lineRule="auto"/>
              <w:rPr>
                <w:sz w:val="25"/>
                <w:szCs w:val="25"/>
              </w:rPr>
            </w:pPr>
          </w:p>
          <w:p w:rsidR="009459D5" w:rsidRPr="001275DD" w:rsidRDefault="009459D5" w:rsidP="009459D5">
            <w:pPr>
              <w:rPr>
                <w:sz w:val="25"/>
                <w:szCs w:val="25"/>
              </w:rPr>
            </w:pPr>
            <w:r w:rsidRPr="001275DD">
              <w:rPr>
                <w:sz w:val="25"/>
                <w:szCs w:val="25"/>
              </w:rPr>
              <w:t xml:space="preserve">ORDER </w:t>
            </w:r>
            <w:r>
              <w:rPr>
                <w:sz w:val="25"/>
                <w:szCs w:val="25"/>
              </w:rPr>
              <w:t>12</w:t>
            </w:r>
          </w:p>
          <w:p w:rsidR="009459D5" w:rsidRDefault="009459D5" w:rsidP="00E51120">
            <w:pPr>
              <w:spacing w:line="264" w:lineRule="auto"/>
              <w:rPr>
                <w:sz w:val="25"/>
                <w:szCs w:val="25"/>
              </w:rPr>
            </w:pPr>
          </w:p>
          <w:p w:rsidR="009459D5" w:rsidRPr="00CB7F45" w:rsidRDefault="009459D5" w:rsidP="00E51120">
            <w:pPr>
              <w:spacing w:line="264" w:lineRule="auto"/>
              <w:rPr>
                <w:sz w:val="25"/>
                <w:szCs w:val="25"/>
              </w:rPr>
            </w:pPr>
          </w:p>
          <w:p w:rsidR="009459D5" w:rsidRPr="00CB7F45" w:rsidRDefault="009459D5" w:rsidP="00E51120">
            <w:pPr>
              <w:spacing w:line="264" w:lineRule="auto"/>
              <w:rPr>
                <w:sz w:val="25"/>
                <w:szCs w:val="25"/>
              </w:rPr>
            </w:pPr>
          </w:p>
        </w:tc>
      </w:tr>
    </w:tbl>
    <w:p w:rsidR="000B3609" w:rsidRPr="00DA5DBB" w:rsidRDefault="000B3609" w:rsidP="000B3609">
      <w:pPr>
        <w:rPr>
          <w:sz w:val="25"/>
          <w:szCs w:val="25"/>
        </w:rPr>
      </w:pPr>
    </w:p>
    <w:p w:rsidR="000B3609" w:rsidRDefault="000B3609" w:rsidP="000B3609">
      <w:pPr>
        <w:spacing w:line="288" w:lineRule="auto"/>
        <w:rPr>
          <w:sz w:val="25"/>
          <w:szCs w:val="25"/>
        </w:rPr>
      </w:pPr>
    </w:p>
    <w:p w:rsidR="00FF7402" w:rsidRDefault="00FF7402" w:rsidP="00FF7402">
      <w:pPr>
        <w:spacing w:line="288" w:lineRule="auto"/>
        <w:jc w:val="center"/>
        <w:rPr>
          <w:b/>
          <w:sz w:val="25"/>
          <w:szCs w:val="25"/>
          <w:u w:val="single"/>
        </w:rPr>
      </w:pPr>
      <w:r>
        <w:rPr>
          <w:b/>
          <w:sz w:val="25"/>
          <w:szCs w:val="25"/>
          <w:u w:val="single"/>
        </w:rPr>
        <w:t>PREHEARING CONFERENCE ORDER</w:t>
      </w:r>
    </w:p>
    <w:p w:rsidR="00783358" w:rsidRDefault="00783358" w:rsidP="00FF7402">
      <w:pPr>
        <w:spacing w:line="288" w:lineRule="auto"/>
        <w:jc w:val="center"/>
        <w:rPr>
          <w:b/>
          <w:sz w:val="25"/>
          <w:szCs w:val="25"/>
          <w:u w:val="single"/>
        </w:rPr>
      </w:pPr>
      <w:r>
        <w:rPr>
          <w:b/>
          <w:sz w:val="25"/>
          <w:szCs w:val="25"/>
          <w:u w:val="single"/>
        </w:rPr>
        <w:t xml:space="preserve">AND </w:t>
      </w:r>
    </w:p>
    <w:p w:rsidR="00783358" w:rsidRDefault="00783358" w:rsidP="00FF7402">
      <w:pPr>
        <w:spacing w:line="288" w:lineRule="auto"/>
        <w:jc w:val="center"/>
        <w:rPr>
          <w:b/>
          <w:sz w:val="25"/>
          <w:szCs w:val="25"/>
          <w:u w:val="single"/>
        </w:rPr>
      </w:pPr>
      <w:r>
        <w:rPr>
          <w:b/>
          <w:sz w:val="25"/>
          <w:szCs w:val="25"/>
          <w:u w:val="single"/>
        </w:rPr>
        <w:t>REVISED NOTICE OF HEARING</w:t>
      </w:r>
    </w:p>
    <w:p w:rsidR="00FF7402" w:rsidRPr="00FF7402" w:rsidRDefault="00FF7402" w:rsidP="00FF7402">
      <w:pPr>
        <w:spacing w:line="288" w:lineRule="auto"/>
        <w:jc w:val="center"/>
        <w:rPr>
          <w:b/>
          <w:sz w:val="25"/>
          <w:szCs w:val="25"/>
          <w:u w:val="single"/>
        </w:rPr>
      </w:pPr>
      <w:r>
        <w:rPr>
          <w:b/>
          <w:sz w:val="25"/>
          <w:szCs w:val="25"/>
          <w:u w:val="single"/>
        </w:rPr>
        <w:t>(Evidentiary Hearing Set for November 29-30, 2012)</w:t>
      </w:r>
    </w:p>
    <w:p w:rsidR="00FF7402" w:rsidRDefault="00FF7402" w:rsidP="00FF7402">
      <w:pPr>
        <w:spacing w:line="288" w:lineRule="auto"/>
        <w:rPr>
          <w:sz w:val="25"/>
          <w:szCs w:val="25"/>
        </w:rPr>
      </w:pPr>
    </w:p>
    <w:p w:rsidR="00FF7402" w:rsidRDefault="00FF7402" w:rsidP="00FF7402">
      <w:pPr>
        <w:spacing w:line="288" w:lineRule="auto"/>
        <w:rPr>
          <w:sz w:val="25"/>
          <w:szCs w:val="25"/>
        </w:rPr>
      </w:pPr>
    </w:p>
    <w:p w:rsidR="000B3609" w:rsidRDefault="000B3609" w:rsidP="00FF7402">
      <w:pPr>
        <w:numPr>
          <w:ilvl w:val="0"/>
          <w:numId w:val="1"/>
        </w:numPr>
        <w:spacing w:line="288" w:lineRule="auto"/>
        <w:ind w:hanging="720"/>
        <w:rPr>
          <w:sz w:val="25"/>
          <w:szCs w:val="25"/>
        </w:rPr>
      </w:pPr>
      <w:r w:rsidRPr="00FF7402">
        <w:rPr>
          <w:b/>
          <w:sz w:val="25"/>
          <w:szCs w:val="25"/>
        </w:rPr>
        <w:t>NATURE OF PROCEEDING</w:t>
      </w:r>
      <w:r w:rsidR="00096CC9" w:rsidRPr="00FF7402">
        <w:rPr>
          <w:b/>
          <w:sz w:val="25"/>
          <w:szCs w:val="25"/>
        </w:rPr>
        <w:t>S</w:t>
      </w:r>
      <w:r w:rsidRPr="00FF7402">
        <w:rPr>
          <w:b/>
          <w:sz w:val="25"/>
          <w:szCs w:val="25"/>
        </w:rPr>
        <w:t xml:space="preserve">:  </w:t>
      </w:r>
      <w:r w:rsidR="00FF7402" w:rsidRPr="00EF2289">
        <w:rPr>
          <w:bCs/>
          <w:sz w:val="25"/>
          <w:szCs w:val="25"/>
        </w:rPr>
        <w:t>On April 2, 2012, Avista Corporation d/b/a Avista Utilities (Avista)</w:t>
      </w:r>
      <w:r w:rsidR="00FF7402" w:rsidRPr="00EF2289">
        <w:rPr>
          <w:sz w:val="25"/>
          <w:szCs w:val="25"/>
        </w:rPr>
        <w:t xml:space="preserve"> filed with the Washington Utilities and Transportation Commission (Commission) revisions to its currently effective Tariff WN U-28, Electric Service in Docket UE-120436 and revisions to its currently effective Tariff WN U-29, Gas </w:t>
      </w:r>
      <w:r w:rsidR="00FF7402" w:rsidRPr="00EF2289">
        <w:rPr>
          <w:sz w:val="25"/>
          <w:szCs w:val="25"/>
        </w:rPr>
        <w:lastRenderedPageBreak/>
        <w:t>Service in Docket UG-12</w:t>
      </w:r>
      <w:r w:rsidR="00FF7402">
        <w:rPr>
          <w:sz w:val="25"/>
          <w:szCs w:val="25"/>
        </w:rPr>
        <w:t>0</w:t>
      </w:r>
      <w:r w:rsidR="00FF7402" w:rsidRPr="00EF2289">
        <w:rPr>
          <w:sz w:val="25"/>
          <w:szCs w:val="25"/>
        </w:rPr>
        <w:t xml:space="preserve">437 designed to </w:t>
      </w:r>
      <w:r w:rsidR="00FF7402">
        <w:rPr>
          <w:sz w:val="25"/>
          <w:szCs w:val="25"/>
        </w:rPr>
        <w:t>provide</w:t>
      </w:r>
      <w:r w:rsidR="00FF7402" w:rsidRPr="00EF2289">
        <w:rPr>
          <w:sz w:val="25"/>
          <w:szCs w:val="25"/>
        </w:rPr>
        <w:t xml:space="preserve"> a general rate increase for electric and gas service.  Avista requests an electric rate increase of $41.0 million, or 9.0 percent, and a gas rate increase of $10.1 million or 7.0 percent.  In addition, Avista filed tariff Schedule 93, which reflects a proposed one-year Energy Recovery Mechanism bill decrease, or rebate, to electric customers of $13.6 million (about 2.9 percent).  </w:t>
      </w:r>
      <w:r w:rsidR="00FF7402">
        <w:rPr>
          <w:sz w:val="25"/>
          <w:szCs w:val="25"/>
        </w:rPr>
        <w:t>On May 14, 2012, the Commission entered Order 03/08, Prehearing Conference Order and Order Granting Request for Limited Consolidation of Dockets, consolidating Dockets UE-120436 and UG-120437 with the second phase of Dockets UE-110876 and UG-110877 involving decoupling issues.</w:t>
      </w:r>
      <w:r w:rsidR="00FF7402">
        <w:rPr>
          <w:rStyle w:val="FootnoteReference"/>
          <w:sz w:val="25"/>
          <w:szCs w:val="25"/>
        </w:rPr>
        <w:footnoteReference w:id="1"/>
      </w:r>
    </w:p>
    <w:p w:rsidR="00FF7402" w:rsidRDefault="00FF7402" w:rsidP="00FF7402">
      <w:pPr>
        <w:spacing w:line="288" w:lineRule="auto"/>
        <w:rPr>
          <w:sz w:val="25"/>
          <w:szCs w:val="25"/>
        </w:rPr>
      </w:pPr>
    </w:p>
    <w:p w:rsidR="000B3609" w:rsidRPr="00A34A49" w:rsidRDefault="00FF7402" w:rsidP="001D59D7">
      <w:pPr>
        <w:numPr>
          <w:ilvl w:val="0"/>
          <w:numId w:val="1"/>
        </w:numPr>
        <w:spacing w:line="288" w:lineRule="auto"/>
        <w:ind w:hanging="720"/>
        <w:rPr>
          <w:sz w:val="25"/>
          <w:szCs w:val="25"/>
        </w:rPr>
      </w:pPr>
      <w:r w:rsidRPr="00FF7402">
        <w:rPr>
          <w:sz w:val="25"/>
          <w:szCs w:val="25"/>
        </w:rPr>
        <w:t>On October 15, 2012, the Commission</w:t>
      </w:r>
      <w:r>
        <w:rPr>
          <w:sz w:val="25"/>
          <w:szCs w:val="25"/>
        </w:rPr>
        <w:t>’s</w:t>
      </w:r>
      <w:r w:rsidRPr="00FF7402">
        <w:rPr>
          <w:sz w:val="25"/>
          <w:szCs w:val="25"/>
        </w:rPr>
        <w:t xml:space="preserve"> regulatory staff (Staff) </w:t>
      </w:r>
      <w:r w:rsidR="00DC3EAE">
        <w:rPr>
          <w:sz w:val="25"/>
          <w:szCs w:val="25"/>
        </w:rPr>
        <w:t xml:space="preserve">informally </w:t>
      </w:r>
      <w:r w:rsidRPr="00FF7402">
        <w:rPr>
          <w:sz w:val="25"/>
          <w:szCs w:val="25"/>
        </w:rPr>
        <w:t>notified the Commission that it ha</w:t>
      </w:r>
      <w:r>
        <w:rPr>
          <w:sz w:val="25"/>
          <w:szCs w:val="25"/>
        </w:rPr>
        <w:t>d</w:t>
      </w:r>
      <w:r w:rsidRPr="00FF7402">
        <w:rPr>
          <w:sz w:val="25"/>
          <w:szCs w:val="25"/>
        </w:rPr>
        <w:t xml:space="preserve"> reached a settlement agreement in principle </w:t>
      </w:r>
      <w:r w:rsidR="00A34A49">
        <w:rPr>
          <w:sz w:val="25"/>
          <w:szCs w:val="25"/>
        </w:rPr>
        <w:t xml:space="preserve">with Avista and some of the other parties </w:t>
      </w:r>
      <w:r w:rsidRPr="00FF7402">
        <w:rPr>
          <w:sz w:val="25"/>
          <w:szCs w:val="25"/>
        </w:rPr>
        <w:t>on the issues raised in this matter.  Staff requested on behalf of the settling parties that the Commission suspend the rebuttal and cross-answering testimony filing deadline, set for October 19, 2012</w:t>
      </w:r>
      <w:r w:rsidR="00C645FF">
        <w:rPr>
          <w:sz w:val="25"/>
          <w:szCs w:val="25"/>
        </w:rPr>
        <w:t>.  The Commission approved this request</w:t>
      </w:r>
      <w:r>
        <w:rPr>
          <w:sz w:val="25"/>
          <w:szCs w:val="25"/>
        </w:rPr>
        <w:t xml:space="preserve"> and </w:t>
      </w:r>
      <w:r w:rsidR="00C645FF" w:rsidRPr="00A34A49">
        <w:rPr>
          <w:sz w:val="25"/>
          <w:szCs w:val="25"/>
        </w:rPr>
        <w:t>c</w:t>
      </w:r>
      <w:r w:rsidR="000B3609" w:rsidRPr="00A34A49">
        <w:rPr>
          <w:sz w:val="25"/>
          <w:szCs w:val="25"/>
        </w:rPr>
        <w:t xml:space="preserve">onvened a prehearing conference in this proceeding on </w:t>
      </w:r>
      <w:r w:rsidRPr="00A34A49">
        <w:rPr>
          <w:sz w:val="25"/>
          <w:szCs w:val="25"/>
        </w:rPr>
        <w:t>October 16</w:t>
      </w:r>
      <w:r w:rsidR="000B3609" w:rsidRPr="00C341C5">
        <w:rPr>
          <w:sz w:val="25"/>
          <w:szCs w:val="25"/>
        </w:rPr>
        <w:t>, 2012</w:t>
      </w:r>
      <w:r w:rsidR="000B3609" w:rsidRPr="00A34A49">
        <w:rPr>
          <w:b/>
          <w:bCs/>
          <w:sz w:val="25"/>
          <w:szCs w:val="25"/>
        </w:rPr>
        <w:t>,</w:t>
      </w:r>
      <w:r w:rsidR="000B3609" w:rsidRPr="00A34A49">
        <w:rPr>
          <w:sz w:val="25"/>
          <w:szCs w:val="25"/>
        </w:rPr>
        <w:t xml:space="preserve"> </w:t>
      </w:r>
      <w:r w:rsidR="00C645FF" w:rsidRPr="00A34A49">
        <w:rPr>
          <w:sz w:val="25"/>
          <w:szCs w:val="25"/>
        </w:rPr>
        <w:t>to discuss a proposed procedural schedule for consideration of the as-yet unfiled settlement agreement</w:t>
      </w:r>
      <w:r w:rsidR="000B3609" w:rsidRPr="00A34A49">
        <w:rPr>
          <w:sz w:val="25"/>
          <w:szCs w:val="25"/>
        </w:rPr>
        <w:t>.</w:t>
      </w:r>
    </w:p>
    <w:p w:rsidR="000B3609" w:rsidRPr="00CC5973" w:rsidRDefault="000B3609" w:rsidP="000B3609">
      <w:pPr>
        <w:spacing w:line="288" w:lineRule="auto"/>
        <w:ind w:left="-720"/>
        <w:rPr>
          <w:sz w:val="25"/>
          <w:szCs w:val="25"/>
        </w:rPr>
      </w:pPr>
    </w:p>
    <w:p w:rsidR="000B3609" w:rsidRDefault="000B3609" w:rsidP="000B3609">
      <w:pPr>
        <w:numPr>
          <w:ilvl w:val="0"/>
          <w:numId w:val="1"/>
        </w:numPr>
        <w:spacing w:line="288" w:lineRule="auto"/>
        <w:ind w:hanging="720"/>
        <w:rPr>
          <w:sz w:val="25"/>
          <w:szCs w:val="25"/>
        </w:rPr>
      </w:pPr>
      <w:r w:rsidRPr="0083198C">
        <w:rPr>
          <w:b/>
          <w:bCs/>
          <w:sz w:val="25"/>
          <w:szCs w:val="25"/>
        </w:rPr>
        <w:t>PARTY REPRESENTATIVES:</w:t>
      </w:r>
      <w:r w:rsidRPr="0083198C">
        <w:rPr>
          <w:sz w:val="25"/>
          <w:szCs w:val="25"/>
        </w:rPr>
        <w:t xml:space="preserve">  </w:t>
      </w:r>
      <w:r>
        <w:rPr>
          <w:sz w:val="25"/>
          <w:szCs w:val="25"/>
        </w:rPr>
        <w:t xml:space="preserve">David J. Meyer, Vice President and Chief Counsel for Regulatory and Governmental Affairs, Spokane, Washington, </w:t>
      </w:r>
      <w:r w:rsidRPr="0083198C">
        <w:rPr>
          <w:sz w:val="25"/>
          <w:szCs w:val="25"/>
        </w:rPr>
        <w:t>represent</w:t>
      </w:r>
      <w:r w:rsidR="00DC3EAE">
        <w:rPr>
          <w:sz w:val="25"/>
          <w:szCs w:val="25"/>
        </w:rPr>
        <w:t>s</w:t>
      </w:r>
      <w:r>
        <w:rPr>
          <w:sz w:val="25"/>
          <w:szCs w:val="25"/>
        </w:rPr>
        <w:t xml:space="preserve"> Avista</w:t>
      </w:r>
      <w:r w:rsidRPr="0083198C">
        <w:rPr>
          <w:sz w:val="25"/>
          <w:szCs w:val="25"/>
        </w:rPr>
        <w:t xml:space="preserve">.  </w:t>
      </w:r>
      <w:r>
        <w:rPr>
          <w:sz w:val="25"/>
          <w:szCs w:val="25"/>
        </w:rPr>
        <w:t>Simon J. ffitch</w:t>
      </w:r>
      <w:r w:rsidRPr="0083198C">
        <w:rPr>
          <w:sz w:val="25"/>
          <w:szCs w:val="25"/>
        </w:rPr>
        <w:t xml:space="preserve">, </w:t>
      </w:r>
      <w:r>
        <w:rPr>
          <w:sz w:val="25"/>
          <w:szCs w:val="25"/>
        </w:rPr>
        <w:t xml:space="preserve">Senior </w:t>
      </w:r>
      <w:r w:rsidRPr="0083198C">
        <w:rPr>
          <w:sz w:val="25"/>
          <w:szCs w:val="25"/>
        </w:rPr>
        <w:t xml:space="preserve">Assistant Attorney General, </w:t>
      </w:r>
      <w:r>
        <w:rPr>
          <w:sz w:val="25"/>
          <w:szCs w:val="25"/>
        </w:rPr>
        <w:t xml:space="preserve">and Lisa W. Gafken, Assistant Attorney General, </w:t>
      </w:r>
      <w:r w:rsidRPr="0083198C">
        <w:rPr>
          <w:sz w:val="25"/>
          <w:szCs w:val="25"/>
        </w:rPr>
        <w:t xml:space="preserve">Seattle, Washington, represent the Public Counsel Section of the Washington </w:t>
      </w:r>
      <w:r w:rsidR="00C645FF">
        <w:rPr>
          <w:sz w:val="25"/>
          <w:szCs w:val="25"/>
        </w:rPr>
        <w:t xml:space="preserve">State </w:t>
      </w:r>
      <w:r w:rsidRPr="0083198C">
        <w:rPr>
          <w:sz w:val="25"/>
          <w:szCs w:val="25"/>
        </w:rPr>
        <w:t>Attorney General</w:t>
      </w:r>
      <w:r w:rsidR="00C645FF">
        <w:rPr>
          <w:sz w:val="25"/>
          <w:szCs w:val="25"/>
        </w:rPr>
        <w:t>’s Office</w:t>
      </w:r>
      <w:r w:rsidRPr="0083198C">
        <w:rPr>
          <w:sz w:val="25"/>
          <w:szCs w:val="25"/>
        </w:rPr>
        <w:t xml:space="preserve"> (Public Counsel).  </w:t>
      </w:r>
      <w:r>
        <w:rPr>
          <w:sz w:val="25"/>
          <w:szCs w:val="25"/>
        </w:rPr>
        <w:t>Donald T. Trotter and Michael A. Fassio,</w:t>
      </w:r>
      <w:r w:rsidRPr="0083198C">
        <w:rPr>
          <w:sz w:val="25"/>
          <w:szCs w:val="25"/>
        </w:rPr>
        <w:t xml:space="preserve"> Assistant Attorney</w:t>
      </w:r>
      <w:r>
        <w:rPr>
          <w:sz w:val="25"/>
          <w:szCs w:val="25"/>
        </w:rPr>
        <w:t>s</w:t>
      </w:r>
      <w:r w:rsidRPr="0083198C">
        <w:rPr>
          <w:sz w:val="25"/>
          <w:szCs w:val="25"/>
        </w:rPr>
        <w:t xml:space="preserve"> General, Olympia, Washington, represent Staff.</w:t>
      </w:r>
      <w:r w:rsidRPr="00DA5DBB">
        <w:rPr>
          <w:rStyle w:val="FootnoteReference"/>
          <w:bCs/>
          <w:sz w:val="25"/>
          <w:szCs w:val="25"/>
        </w:rPr>
        <w:footnoteReference w:id="2"/>
      </w:r>
      <w:r>
        <w:rPr>
          <w:sz w:val="25"/>
          <w:szCs w:val="25"/>
        </w:rPr>
        <w:t xml:space="preserve">  </w:t>
      </w:r>
    </w:p>
    <w:p w:rsidR="000B3609" w:rsidRDefault="000B3609" w:rsidP="000B3609">
      <w:pPr>
        <w:pStyle w:val="ListParagraph"/>
        <w:rPr>
          <w:sz w:val="25"/>
          <w:szCs w:val="25"/>
        </w:rPr>
      </w:pPr>
    </w:p>
    <w:p w:rsidR="000B3609" w:rsidRDefault="000B3609" w:rsidP="00C645FF">
      <w:pPr>
        <w:numPr>
          <w:ilvl w:val="0"/>
          <w:numId w:val="1"/>
        </w:numPr>
        <w:spacing w:line="288" w:lineRule="auto"/>
        <w:ind w:hanging="720"/>
        <w:rPr>
          <w:sz w:val="25"/>
          <w:szCs w:val="25"/>
        </w:rPr>
      </w:pPr>
      <w:r>
        <w:rPr>
          <w:sz w:val="25"/>
          <w:szCs w:val="25"/>
        </w:rPr>
        <w:lastRenderedPageBreak/>
        <w:t>Melinda J. Davison</w:t>
      </w:r>
      <w:r w:rsidR="00C645FF">
        <w:rPr>
          <w:sz w:val="25"/>
          <w:szCs w:val="25"/>
        </w:rPr>
        <w:t xml:space="preserve"> and Joshua D. Weber</w:t>
      </w:r>
      <w:r w:rsidRPr="0083198C">
        <w:rPr>
          <w:sz w:val="25"/>
          <w:szCs w:val="25"/>
        </w:rPr>
        <w:t xml:space="preserve">, Davison Van Cleve, P.C., Portland, Oregon, represent the Industrial Customers of Northwest Utilities (ICNU).  </w:t>
      </w:r>
      <w:r>
        <w:rPr>
          <w:sz w:val="25"/>
          <w:szCs w:val="25"/>
        </w:rPr>
        <w:t>Ronald L. Roseman, Attorney, Seattle, Washington, repr</w:t>
      </w:r>
      <w:r w:rsidRPr="0083198C">
        <w:rPr>
          <w:sz w:val="25"/>
          <w:szCs w:val="25"/>
        </w:rPr>
        <w:t>esents The Energy Project</w:t>
      </w:r>
      <w:r>
        <w:rPr>
          <w:sz w:val="25"/>
          <w:szCs w:val="25"/>
        </w:rPr>
        <w:t xml:space="preserve">.  Chad M. Stokes and Tommy A. Brooks, Cable Huston Benedict Haagensen &amp; Lloyd LLP, Portland, Oregon, represent the Northwest Industrial Gas Users (NWIGU).  Todd True, Earthjustice, Seattle, Washington, represents The Northwest Energy Coalition (NWEC).  </w:t>
      </w:r>
    </w:p>
    <w:p w:rsidR="00C645FF" w:rsidRDefault="00C645FF" w:rsidP="00C645FF">
      <w:pPr>
        <w:spacing w:line="288" w:lineRule="auto"/>
        <w:rPr>
          <w:sz w:val="25"/>
          <w:szCs w:val="25"/>
        </w:rPr>
      </w:pPr>
    </w:p>
    <w:p w:rsidR="000B3609" w:rsidRDefault="00C645FF" w:rsidP="000B3609">
      <w:pPr>
        <w:numPr>
          <w:ilvl w:val="0"/>
          <w:numId w:val="1"/>
        </w:numPr>
        <w:spacing w:line="288" w:lineRule="auto"/>
        <w:ind w:hanging="720"/>
        <w:rPr>
          <w:sz w:val="25"/>
          <w:szCs w:val="25"/>
        </w:rPr>
      </w:pPr>
      <w:r>
        <w:rPr>
          <w:b/>
          <w:bCs/>
          <w:sz w:val="25"/>
          <w:szCs w:val="25"/>
        </w:rPr>
        <w:t>PROCEDURAL SCHEDULE</w:t>
      </w:r>
      <w:r w:rsidR="000B3609" w:rsidRPr="00BD1EB2">
        <w:rPr>
          <w:b/>
          <w:bCs/>
          <w:sz w:val="25"/>
          <w:szCs w:val="25"/>
        </w:rPr>
        <w:t xml:space="preserve">.  </w:t>
      </w:r>
      <w:r w:rsidR="00E92251">
        <w:rPr>
          <w:sz w:val="25"/>
          <w:szCs w:val="25"/>
        </w:rPr>
        <w:t xml:space="preserve">Staff, Avista, ICNU, NWIGU, and the Energy Project </w:t>
      </w:r>
      <w:r w:rsidR="00A34A49">
        <w:rPr>
          <w:sz w:val="25"/>
          <w:szCs w:val="25"/>
        </w:rPr>
        <w:t>represent</w:t>
      </w:r>
      <w:r w:rsidR="00E92251">
        <w:rPr>
          <w:sz w:val="25"/>
          <w:szCs w:val="25"/>
        </w:rPr>
        <w:t xml:space="preserve"> that they have reached a multi-party settlement in principle.</w:t>
      </w:r>
      <w:r w:rsidR="00D4276F">
        <w:rPr>
          <w:rStyle w:val="FootnoteReference"/>
          <w:sz w:val="25"/>
          <w:szCs w:val="25"/>
        </w:rPr>
        <w:footnoteReference w:id="3"/>
      </w:r>
      <w:r w:rsidR="00E92251">
        <w:rPr>
          <w:sz w:val="25"/>
          <w:szCs w:val="25"/>
        </w:rPr>
        <w:t xml:space="preserve">  The settling parties agree to file the settlement agreement and supporting testimony on October 19, 2012, and propose the following procedural schedule </w:t>
      </w:r>
      <w:r w:rsidR="00D4276F">
        <w:rPr>
          <w:sz w:val="25"/>
          <w:szCs w:val="25"/>
        </w:rPr>
        <w:t xml:space="preserve">for consideration of the </w:t>
      </w:r>
      <w:r w:rsidR="00DC3EAE">
        <w:rPr>
          <w:sz w:val="25"/>
          <w:szCs w:val="25"/>
        </w:rPr>
        <w:t>agreement</w:t>
      </w:r>
      <w:r w:rsidR="00D4276F">
        <w:rPr>
          <w:sz w:val="25"/>
          <w:szCs w:val="25"/>
        </w:rPr>
        <w:t>:</w:t>
      </w:r>
    </w:p>
    <w:p w:rsidR="00D4276F" w:rsidRDefault="00D4276F" w:rsidP="00D4276F">
      <w:pPr>
        <w:pStyle w:val="ListParagraph"/>
        <w:rPr>
          <w:sz w:val="25"/>
          <w:szCs w:val="25"/>
        </w:rPr>
      </w:pPr>
    </w:p>
    <w:p w:rsidR="00D4276F" w:rsidRDefault="00D4276F" w:rsidP="00D4276F">
      <w:pPr>
        <w:spacing w:line="288" w:lineRule="auto"/>
        <w:ind w:left="720"/>
        <w:rPr>
          <w:sz w:val="25"/>
          <w:szCs w:val="25"/>
        </w:rPr>
      </w:pPr>
      <w:r>
        <w:rPr>
          <w:sz w:val="25"/>
          <w:szCs w:val="25"/>
        </w:rPr>
        <w:t>Testimony in Opposition to the Settlement</w:t>
      </w:r>
      <w:r>
        <w:rPr>
          <w:sz w:val="25"/>
          <w:szCs w:val="25"/>
        </w:rPr>
        <w:tab/>
      </w:r>
      <w:r>
        <w:rPr>
          <w:sz w:val="25"/>
          <w:szCs w:val="25"/>
        </w:rPr>
        <w:tab/>
        <w:t>November 9, 2012</w:t>
      </w:r>
    </w:p>
    <w:p w:rsidR="00D4276F" w:rsidRDefault="00D4276F" w:rsidP="00D4276F">
      <w:pPr>
        <w:spacing w:line="288" w:lineRule="auto"/>
        <w:ind w:left="720"/>
        <w:rPr>
          <w:sz w:val="25"/>
          <w:szCs w:val="25"/>
        </w:rPr>
      </w:pPr>
      <w:r>
        <w:rPr>
          <w:sz w:val="25"/>
          <w:szCs w:val="25"/>
        </w:rPr>
        <w:t>Rebuttal Testimony by Settling Parties</w:t>
      </w:r>
      <w:r>
        <w:rPr>
          <w:sz w:val="25"/>
          <w:szCs w:val="25"/>
        </w:rPr>
        <w:tab/>
      </w:r>
      <w:r>
        <w:rPr>
          <w:sz w:val="25"/>
          <w:szCs w:val="25"/>
        </w:rPr>
        <w:tab/>
        <w:t>November 19, 2012</w:t>
      </w:r>
    </w:p>
    <w:p w:rsidR="00D4276F" w:rsidRDefault="00D4276F" w:rsidP="00D4276F">
      <w:pPr>
        <w:spacing w:line="288" w:lineRule="auto"/>
        <w:ind w:left="720"/>
        <w:rPr>
          <w:sz w:val="25"/>
          <w:szCs w:val="25"/>
        </w:rPr>
      </w:pPr>
      <w:r>
        <w:rPr>
          <w:sz w:val="25"/>
          <w:szCs w:val="25"/>
        </w:rPr>
        <w:t>Evidentiary Hearing</w:t>
      </w:r>
      <w:r>
        <w:rPr>
          <w:sz w:val="25"/>
          <w:szCs w:val="25"/>
        </w:rPr>
        <w:tab/>
      </w:r>
      <w:r>
        <w:rPr>
          <w:sz w:val="25"/>
          <w:szCs w:val="25"/>
        </w:rPr>
        <w:tab/>
      </w:r>
      <w:r>
        <w:rPr>
          <w:sz w:val="25"/>
          <w:szCs w:val="25"/>
        </w:rPr>
        <w:tab/>
      </w:r>
      <w:r>
        <w:rPr>
          <w:sz w:val="25"/>
          <w:szCs w:val="25"/>
        </w:rPr>
        <w:tab/>
      </w:r>
      <w:r>
        <w:rPr>
          <w:sz w:val="25"/>
          <w:szCs w:val="25"/>
        </w:rPr>
        <w:tab/>
        <w:t>November 27-28, 2012</w:t>
      </w:r>
    </w:p>
    <w:p w:rsidR="00D4276F" w:rsidRDefault="00D4276F" w:rsidP="00D4276F">
      <w:pPr>
        <w:spacing w:line="288" w:lineRule="auto"/>
        <w:ind w:left="720"/>
        <w:rPr>
          <w:sz w:val="25"/>
          <w:szCs w:val="25"/>
        </w:rPr>
      </w:pPr>
      <w:r>
        <w:rPr>
          <w:sz w:val="25"/>
          <w:szCs w:val="25"/>
        </w:rPr>
        <w:t>Oral arguments or post-hearing briefs to be determined</w:t>
      </w:r>
      <w:r w:rsidR="00AF22D1">
        <w:rPr>
          <w:sz w:val="25"/>
          <w:szCs w:val="25"/>
        </w:rPr>
        <w:t xml:space="preserve"> at hearing</w:t>
      </w:r>
    </w:p>
    <w:p w:rsidR="00D4276F" w:rsidRDefault="00D4276F" w:rsidP="00D4276F">
      <w:pPr>
        <w:spacing w:line="288" w:lineRule="auto"/>
        <w:rPr>
          <w:sz w:val="25"/>
          <w:szCs w:val="25"/>
        </w:rPr>
      </w:pPr>
    </w:p>
    <w:p w:rsidR="00D4276F" w:rsidRDefault="00D4276F" w:rsidP="00D4276F">
      <w:pPr>
        <w:spacing w:line="288" w:lineRule="auto"/>
        <w:rPr>
          <w:sz w:val="25"/>
          <w:szCs w:val="25"/>
        </w:rPr>
      </w:pPr>
      <w:r>
        <w:rPr>
          <w:sz w:val="25"/>
          <w:szCs w:val="25"/>
        </w:rPr>
        <w:t xml:space="preserve">The settling parties </w:t>
      </w:r>
      <w:r w:rsidR="00A34A49">
        <w:rPr>
          <w:sz w:val="25"/>
          <w:szCs w:val="25"/>
        </w:rPr>
        <w:t xml:space="preserve">propose this schedule, in part, because </w:t>
      </w:r>
      <w:r w:rsidR="00AF22D1">
        <w:rPr>
          <w:sz w:val="25"/>
          <w:szCs w:val="25"/>
        </w:rPr>
        <w:t>a January 1, 2013, implementation date for settlement rates</w:t>
      </w:r>
      <w:r w:rsidR="00783358">
        <w:rPr>
          <w:sz w:val="25"/>
          <w:szCs w:val="25"/>
        </w:rPr>
        <w:t xml:space="preserve"> is an integral part of the agreement</w:t>
      </w:r>
      <w:r w:rsidR="00AF22D1">
        <w:rPr>
          <w:sz w:val="25"/>
          <w:szCs w:val="25"/>
        </w:rPr>
        <w:t xml:space="preserve">. </w:t>
      </w:r>
    </w:p>
    <w:p w:rsidR="00AF22D1" w:rsidRDefault="00AF22D1" w:rsidP="00D4276F">
      <w:pPr>
        <w:spacing w:line="288" w:lineRule="auto"/>
        <w:rPr>
          <w:sz w:val="25"/>
          <w:szCs w:val="25"/>
        </w:rPr>
      </w:pPr>
    </w:p>
    <w:p w:rsidR="00AF22D1" w:rsidRDefault="00AF22D1" w:rsidP="00AF22D1">
      <w:pPr>
        <w:numPr>
          <w:ilvl w:val="0"/>
          <w:numId w:val="1"/>
        </w:numPr>
        <w:spacing w:line="288" w:lineRule="auto"/>
        <w:ind w:hanging="720"/>
        <w:rPr>
          <w:sz w:val="25"/>
          <w:szCs w:val="25"/>
        </w:rPr>
      </w:pPr>
      <w:r>
        <w:rPr>
          <w:sz w:val="25"/>
          <w:szCs w:val="25"/>
        </w:rPr>
        <w:t>Public Counsel recommended several modifications to the proposed schedule.  These recommendations are as follows:</w:t>
      </w:r>
    </w:p>
    <w:p w:rsidR="00AF22D1" w:rsidRDefault="00AF22D1" w:rsidP="00AF22D1">
      <w:pPr>
        <w:spacing w:line="288" w:lineRule="auto"/>
        <w:rPr>
          <w:sz w:val="25"/>
          <w:szCs w:val="25"/>
        </w:rPr>
      </w:pPr>
    </w:p>
    <w:p w:rsidR="00AF22D1" w:rsidRDefault="00AF22D1" w:rsidP="00AF22D1">
      <w:pPr>
        <w:pStyle w:val="ListParagraph"/>
        <w:numPr>
          <w:ilvl w:val="0"/>
          <w:numId w:val="6"/>
        </w:numPr>
        <w:spacing w:line="288" w:lineRule="auto"/>
        <w:rPr>
          <w:sz w:val="25"/>
          <w:szCs w:val="25"/>
        </w:rPr>
      </w:pPr>
      <w:r>
        <w:rPr>
          <w:sz w:val="25"/>
          <w:szCs w:val="25"/>
        </w:rPr>
        <w:t>Discovery should continue until November 27, 2012, with response time for data requests limited to five days until November 19, 2012</w:t>
      </w:r>
      <w:r w:rsidR="00925E53">
        <w:rPr>
          <w:sz w:val="25"/>
          <w:szCs w:val="25"/>
        </w:rPr>
        <w:t>;</w:t>
      </w:r>
      <w:r>
        <w:rPr>
          <w:sz w:val="25"/>
          <w:szCs w:val="25"/>
        </w:rPr>
        <w:t xml:space="preserve"> after which</w:t>
      </w:r>
      <w:r w:rsidR="00925E53">
        <w:rPr>
          <w:sz w:val="25"/>
          <w:szCs w:val="25"/>
        </w:rPr>
        <w:t>,</w:t>
      </w:r>
      <w:r>
        <w:rPr>
          <w:sz w:val="25"/>
          <w:szCs w:val="25"/>
        </w:rPr>
        <w:t xml:space="preserve"> response time would be thre</w:t>
      </w:r>
      <w:r w:rsidR="00925E53">
        <w:rPr>
          <w:sz w:val="25"/>
          <w:szCs w:val="25"/>
        </w:rPr>
        <w:t>e days for the remainder of discovery.</w:t>
      </w:r>
    </w:p>
    <w:p w:rsidR="00925E53" w:rsidRDefault="009068E3" w:rsidP="00AF22D1">
      <w:pPr>
        <w:pStyle w:val="ListParagraph"/>
        <w:numPr>
          <w:ilvl w:val="0"/>
          <w:numId w:val="6"/>
        </w:numPr>
        <w:spacing w:line="288" w:lineRule="auto"/>
        <w:rPr>
          <w:sz w:val="25"/>
          <w:szCs w:val="25"/>
        </w:rPr>
      </w:pPr>
      <w:r>
        <w:rPr>
          <w:sz w:val="25"/>
          <w:szCs w:val="25"/>
        </w:rPr>
        <w:t>Rebuttal testimony on behalf of</w:t>
      </w:r>
      <w:r w:rsidR="00925E53">
        <w:rPr>
          <w:sz w:val="25"/>
          <w:szCs w:val="25"/>
        </w:rPr>
        <w:t xml:space="preserve"> the settling parties should be due by noon on November 19, 2012.</w:t>
      </w:r>
    </w:p>
    <w:p w:rsidR="00925E53" w:rsidRDefault="009068E3" w:rsidP="00AF22D1">
      <w:pPr>
        <w:pStyle w:val="ListParagraph"/>
        <w:numPr>
          <w:ilvl w:val="0"/>
          <w:numId w:val="6"/>
        </w:numPr>
        <w:spacing w:line="288" w:lineRule="auto"/>
        <w:rPr>
          <w:sz w:val="25"/>
          <w:szCs w:val="25"/>
        </w:rPr>
      </w:pPr>
      <w:r>
        <w:rPr>
          <w:sz w:val="25"/>
          <w:szCs w:val="25"/>
        </w:rPr>
        <w:t xml:space="preserve">The Commission should </w:t>
      </w:r>
      <w:r w:rsidR="00DC3EAE">
        <w:rPr>
          <w:sz w:val="25"/>
          <w:szCs w:val="25"/>
        </w:rPr>
        <w:t>commence</w:t>
      </w:r>
      <w:r>
        <w:rPr>
          <w:sz w:val="25"/>
          <w:szCs w:val="25"/>
        </w:rPr>
        <w:t xml:space="preserve"> the evidentiary hearing on November 28 or 29, 2012.</w:t>
      </w:r>
    </w:p>
    <w:p w:rsidR="009068E3" w:rsidRDefault="009068E3" w:rsidP="00AF22D1">
      <w:pPr>
        <w:pStyle w:val="ListParagraph"/>
        <w:numPr>
          <w:ilvl w:val="0"/>
          <w:numId w:val="6"/>
        </w:numPr>
        <w:spacing w:line="288" w:lineRule="auto"/>
        <w:rPr>
          <w:sz w:val="25"/>
          <w:szCs w:val="25"/>
        </w:rPr>
      </w:pPr>
      <w:r>
        <w:rPr>
          <w:sz w:val="25"/>
          <w:szCs w:val="25"/>
        </w:rPr>
        <w:lastRenderedPageBreak/>
        <w:t>Cross examination exhibits should be due on November 27, 2012.</w:t>
      </w:r>
    </w:p>
    <w:p w:rsidR="009068E3" w:rsidRDefault="009068E3" w:rsidP="00AF22D1">
      <w:pPr>
        <w:pStyle w:val="ListParagraph"/>
        <w:numPr>
          <w:ilvl w:val="0"/>
          <w:numId w:val="6"/>
        </w:numPr>
        <w:spacing w:line="288" w:lineRule="auto"/>
        <w:rPr>
          <w:sz w:val="25"/>
          <w:szCs w:val="25"/>
        </w:rPr>
      </w:pPr>
      <w:r>
        <w:rPr>
          <w:sz w:val="25"/>
          <w:szCs w:val="25"/>
        </w:rPr>
        <w:t>Simultaneous post-hearing briefs should be due on December 11, 2012.</w:t>
      </w:r>
    </w:p>
    <w:p w:rsidR="009068E3" w:rsidRDefault="009068E3" w:rsidP="00AF22D1">
      <w:pPr>
        <w:pStyle w:val="ListParagraph"/>
        <w:numPr>
          <w:ilvl w:val="0"/>
          <w:numId w:val="6"/>
        </w:numPr>
        <w:spacing w:line="288" w:lineRule="auto"/>
        <w:rPr>
          <w:sz w:val="25"/>
          <w:szCs w:val="25"/>
        </w:rPr>
      </w:pPr>
      <w:r>
        <w:rPr>
          <w:sz w:val="25"/>
          <w:szCs w:val="25"/>
        </w:rPr>
        <w:t>Recognizing that the</w:t>
      </w:r>
      <w:r w:rsidR="00533A88">
        <w:rPr>
          <w:sz w:val="25"/>
          <w:szCs w:val="25"/>
        </w:rPr>
        <w:t xml:space="preserve"> uncertainty inherent in setting</w:t>
      </w:r>
      <w:r>
        <w:rPr>
          <w:sz w:val="25"/>
          <w:szCs w:val="25"/>
        </w:rPr>
        <w:t xml:space="preserve"> a procedural schedule for a settlement agreement that has not yet been filed, the Commission should reserve the right to modify the procedural schedule as </w:t>
      </w:r>
      <w:r w:rsidR="00533A88">
        <w:rPr>
          <w:sz w:val="25"/>
          <w:szCs w:val="25"/>
        </w:rPr>
        <w:t>needed</w:t>
      </w:r>
      <w:r>
        <w:rPr>
          <w:sz w:val="25"/>
          <w:szCs w:val="25"/>
        </w:rPr>
        <w:t>.</w:t>
      </w:r>
    </w:p>
    <w:p w:rsidR="00533A88" w:rsidRDefault="00533A88" w:rsidP="00533A88">
      <w:pPr>
        <w:spacing w:line="288" w:lineRule="auto"/>
        <w:rPr>
          <w:sz w:val="25"/>
          <w:szCs w:val="25"/>
        </w:rPr>
      </w:pPr>
    </w:p>
    <w:p w:rsidR="00533A88" w:rsidRDefault="00533A88" w:rsidP="00533A88">
      <w:pPr>
        <w:numPr>
          <w:ilvl w:val="0"/>
          <w:numId w:val="1"/>
        </w:numPr>
        <w:spacing w:line="288" w:lineRule="auto"/>
        <w:ind w:hanging="720"/>
        <w:rPr>
          <w:sz w:val="25"/>
          <w:szCs w:val="25"/>
        </w:rPr>
      </w:pPr>
      <w:r>
        <w:rPr>
          <w:sz w:val="25"/>
          <w:szCs w:val="25"/>
        </w:rPr>
        <w:t xml:space="preserve">Staff and Avista </w:t>
      </w:r>
      <w:r w:rsidR="001F55ED">
        <w:rPr>
          <w:sz w:val="25"/>
          <w:szCs w:val="25"/>
        </w:rPr>
        <w:t xml:space="preserve">do not oppose Public Counsel’s proposed schedule modifications, with the exception of the December 11, 2012, deadline for post-hearing briefs.  </w:t>
      </w:r>
      <w:r w:rsidR="00A34A49">
        <w:rPr>
          <w:sz w:val="25"/>
          <w:szCs w:val="25"/>
        </w:rPr>
        <w:t>Staff and Avista</w:t>
      </w:r>
      <w:r w:rsidR="001F55ED">
        <w:rPr>
          <w:sz w:val="25"/>
          <w:szCs w:val="25"/>
        </w:rPr>
        <w:t xml:space="preserve"> contend that the Commission should wait until the evidentiary hearing to determine whether post-hearing briefs would even be beneficial to the decision process.  ICNU expressed a scheduling preference for convening the evidentiary hearing on November 27 and 28, 2012</w:t>
      </w:r>
      <w:r w:rsidR="002F4CEB">
        <w:rPr>
          <w:sz w:val="25"/>
          <w:szCs w:val="25"/>
        </w:rPr>
        <w:t>, due to a scheduling conflict later in the week</w:t>
      </w:r>
      <w:r w:rsidR="001F55ED">
        <w:rPr>
          <w:sz w:val="25"/>
          <w:szCs w:val="25"/>
        </w:rPr>
        <w:t>.  The Energy Project, NWIGU, and NWEC all agreed with Public Counsel’s modifications.</w:t>
      </w:r>
    </w:p>
    <w:p w:rsidR="001F55ED" w:rsidRDefault="001F55ED" w:rsidP="001F55ED">
      <w:pPr>
        <w:spacing w:line="288" w:lineRule="auto"/>
        <w:rPr>
          <w:sz w:val="25"/>
          <w:szCs w:val="25"/>
        </w:rPr>
      </w:pPr>
    </w:p>
    <w:p w:rsidR="001F55ED" w:rsidRDefault="001F55ED" w:rsidP="00403C52">
      <w:pPr>
        <w:numPr>
          <w:ilvl w:val="0"/>
          <w:numId w:val="1"/>
        </w:numPr>
        <w:spacing w:line="288" w:lineRule="auto"/>
        <w:ind w:hanging="720"/>
        <w:rPr>
          <w:sz w:val="25"/>
          <w:szCs w:val="25"/>
        </w:rPr>
      </w:pPr>
      <w:r>
        <w:rPr>
          <w:i/>
          <w:sz w:val="25"/>
          <w:szCs w:val="25"/>
        </w:rPr>
        <w:t>Commission Decision and Determination.</w:t>
      </w:r>
      <w:r>
        <w:rPr>
          <w:sz w:val="25"/>
          <w:szCs w:val="25"/>
        </w:rPr>
        <w:t xml:space="preserve">  </w:t>
      </w:r>
      <w:r w:rsidR="00A617BE">
        <w:rPr>
          <w:sz w:val="25"/>
          <w:szCs w:val="25"/>
        </w:rPr>
        <w:t>The settling parties’ procedural</w:t>
      </w:r>
      <w:r w:rsidR="00F33F1D">
        <w:rPr>
          <w:sz w:val="25"/>
          <w:szCs w:val="25"/>
        </w:rPr>
        <w:t xml:space="preserve"> schedule </w:t>
      </w:r>
      <w:r w:rsidR="00A34A49">
        <w:rPr>
          <w:sz w:val="25"/>
          <w:szCs w:val="25"/>
        </w:rPr>
        <w:t>would establish</w:t>
      </w:r>
      <w:r w:rsidR="00403C52">
        <w:rPr>
          <w:sz w:val="25"/>
          <w:szCs w:val="25"/>
        </w:rPr>
        <w:t xml:space="preserve"> a very aggressive time</w:t>
      </w:r>
      <w:r w:rsidR="00A617BE">
        <w:rPr>
          <w:sz w:val="25"/>
          <w:szCs w:val="25"/>
        </w:rPr>
        <w:t xml:space="preserve"> frame</w:t>
      </w:r>
      <w:r w:rsidR="00403C52">
        <w:rPr>
          <w:sz w:val="25"/>
          <w:szCs w:val="25"/>
        </w:rPr>
        <w:t xml:space="preserve"> for </w:t>
      </w:r>
      <w:r w:rsidR="00A617BE">
        <w:rPr>
          <w:sz w:val="25"/>
          <w:szCs w:val="25"/>
        </w:rPr>
        <w:t xml:space="preserve">consideration of the settlement agreement, especially given that the </w:t>
      </w:r>
      <w:r w:rsidR="00335E55">
        <w:rPr>
          <w:sz w:val="25"/>
          <w:szCs w:val="25"/>
        </w:rPr>
        <w:t xml:space="preserve">Commission has not yet seen the agreement’s terms and conditions or been made aware of the issues </w:t>
      </w:r>
      <w:r w:rsidR="00DC686A">
        <w:rPr>
          <w:sz w:val="25"/>
          <w:szCs w:val="25"/>
        </w:rPr>
        <w:t xml:space="preserve">that the other </w:t>
      </w:r>
      <w:r w:rsidR="00335E55">
        <w:rPr>
          <w:sz w:val="25"/>
          <w:szCs w:val="25"/>
        </w:rPr>
        <w:t xml:space="preserve">parties </w:t>
      </w:r>
      <w:r w:rsidR="00DC686A">
        <w:rPr>
          <w:sz w:val="25"/>
          <w:szCs w:val="25"/>
        </w:rPr>
        <w:t>will raise in opposition to</w:t>
      </w:r>
      <w:r w:rsidR="00335E55">
        <w:rPr>
          <w:sz w:val="25"/>
          <w:szCs w:val="25"/>
        </w:rPr>
        <w:t xml:space="preserve"> the settlement</w:t>
      </w:r>
      <w:r w:rsidR="00A617BE">
        <w:rPr>
          <w:sz w:val="25"/>
          <w:szCs w:val="25"/>
        </w:rPr>
        <w:t>.</w:t>
      </w:r>
      <w:r w:rsidR="00403C52">
        <w:rPr>
          <w:sz w:val="25"/>
          <w:szCs w:val="25"/>
        </w:rPr>
        <w:t xml:space="preserve"> </w:t>
      </w:r>
      <w:r w:rsidR="00F33F1D" w:rsidRPr="00403C52">
        <w:rPr>
          <w:sz w:val="25"/>
          <w:szCs w:val="25"/>
        </w:rPr>
        <w:t xml:space="preserve"> </w:t>
      </w:r>
      <w:r w:rsidR="00335E55">
        <w:rPr>
          <w:sz w:val="25"/>
          <w:szCs w:val="25"/>
        </w:rPr>
        <w:t>Th</w:t>
      </w:r>
      <w:r w:rsidR="004C0072">
        <w:rPr>
          <w:sz w:val="25"/>
          <w:szCs w:val="25"/>
        </w:rPr>
        <w:t xml:space="preserve">e </w:t>
      </w:r>
      <w:r w:rsidR="00DC686A">
        <w:rPr>
          <w:sz w:val="25"/>
          <w:szCs w:val="25"/>
        </w:rPr>
        <w:t xml:space="preserve">Commission nevertheless will </w:t>
      </w:r>
      <w:r w:rsidR="004C0072">
        <w:rPr>
          <w:sz w:val="25"/>
          <w:szCs w:val="25"/>
        </w:rPr>
        <w:t>largely adopt the settling parties’ procedural schedule with some modification as suggested by Public Counsel</w:t>
      </w:r>
      <w:r w:rsidR="00DC686A">
        <w:rPr>
          <w:sz w:val="25"/>
          <w:szCs w:val="25"/>
        </w:rPr>
        <w:t>,</w:t>
      </w:r>
      <w:r w:rsidR="00DC3EAE">
        <w:rPr>
          <w:rStyle w:val="FootnoteReference"/>
          <w:sz w:val="25"/>
          <w:szCs w:val="25"/>
        </w:rPr>
        <w:footnoteReference w:id="4"/>
      </w:r>
      <w:r w:rsidR="00DC686A">
        <w:rPr>
          <w:sz w:val="25"/>
          <w:szCs w:val="25"/>
        </w:rPr>
        <w:t xml:space="preserve"> subject to revision if necessary to provide parties and the Commission with adequate opportunity to address the issues raised by the agreement.</w:t>
      </w:r>
      <w:r w:rsidR="004C0072">
        <w:rPr>
          <w:sz w:val="25"/>
          <w:szCs w:val="25"/>
        </w:rPr>
        <w:t xml:space="preserve">  The </w:t>
      </w:r>
      <w:r w:rsidR="00E934DD">
        <w:rPr>
          <w:sz w:val="25"/>
          <w:szCs w:val="25"/>
        </w:rPr>
        <w:t xml:space="preserve">adopted </w:t>
      </w:r>
      <w:r w:rsidR="004C0072">
        <w:rPr>
          <w:sz w:val="25"/>
          <w:szCs w:val="25"/>
        </w:rPr>
        <w:t>schedule is as follows:</w:t>
      </w:r>
    </w:p>
    <w:p w:rsidR="004C0072" w:rsidRDefault="004C0072" w:rsidP="004C0072">
      <w:pPr>
        <w:pStyle w:val="ListParagraph"/>
        <w:rPr>
          <w:sz w:val="25"/>
          <w:szCs w:val="25"/>
        </w:rPr>
      </w:pPr>
    </w:p>
    <w:p w:rsidR="004C0072" w:rsidRDefault="004C0072" w:rsidP="004C0072">
      <w:pPr>
        <w:pStyle w:val="ListParagraph"/>
        <w:numPr>
          <w:ilvl w:val="0"/>
          <w:numId w:val="7"/>
        </w:numPr>
        <w:spacing w:line="288" w:lineRule="auto"/>
        <w:rPr>
          <w:sz w:val="25"/>
          <w:szCs w:val="25"/>
        </w:rPr>
      </w:pPr>
      <w:r>
        <w:rPr>
          <w:sz w:val="25"/>
          <w:szCs w:val="25"/>
        </w:rPr>
        <w:t>Filing of Settlement and Supporting Testimony</w:t>
      </w:r>
      <w:r>
        <w:rPr>
          <w:sz w:val="25"/>
          <w:szCs w:val="25"/>
        </w:rPr>
        <w:tab/>
        <w:t>October 19, 2012</w:t>
      </w:r>
    </w:p>
    <w:p w:rsidR="004C0072" w:rsidRDefault="004C0072" w:rsidP="004C0072">
      <w:pPr>
        <w:pStyle w:val="ListParagraph"/>
        <w:numPr>
          <w:ilvl w:val="0"/>
          <w:numId w:val="7"/>
        </w:numPr>
        <w:spacing w:line="288" w:lineRule="auto"/>
        <w:rPr>
          <w:sz w:val="25"/>
          <w:szCs w:val="25"/>
        </w:rPr>
      </w:pPr>
      <w:r>
        <w:rPr>
          <w:sz w:val="25"/>
          <w:szCs w:val="25"/>
        </w:rPr>
        <w:t>Testimony in Opposition to Settlement</w:t>
      </w:r>
      <w:r>
        <w:rPr>
          <w:sz w:val="25"/>
          <w:szCs w:val="25"/>
        </w:rPr>
        <w:tab/>
      </w:r>
      <w:r>
        <w:rPr>
          <w:sz w:val="25"/>
          <w:szCs w:val="25"/>
        </w:rPr>
        <w:tab/>
        <w:t>November 9, 2012</w:t>
      </w:r>
    </w:p>
    <w:p w:rsidR="004C0072" w:rsidRDefault="004C0072" w:rsidP="004C0072">
      <w:pPr>
        <w:pStyle w:val="ListParagraph"/>
        <w:numPr>
          <w:ilvl w:val="0"/>
          <w:numId w:val="7"/>
        </w:numPr>
        <w:spacing w:line="288" w:lineRule="auto"/>
        <w:rPr>
          <w:sz w:val="25"/>
          <w:szCs w:val="25"/>
        </w:rPr>
      </w:pPr>
      <w:r>
        <w:rPr>
          <w:sz w:val="25"/>
          <w:szCs w:val="25"/>
        </w:rPr>
        <w:t>Rebuttal Testimony in Support of Settlement</w:t>
      </w:r>
      <w:r>
        <w:rPr>
          <w:sz w:val="25"/>
          <w:szCs w:val="25"/>
        </w:rPr>
        <w:tab/>
        <w:t>November 19, 2012</w:t>
      </w:r>
    </w:p>
    <w:p w:rsidR="004C0072" w:rsidRDefault="004C0072" w:rsidP="004C0072">
      <w:pPr>
        <w:pStyle w:val="ListParagraph"/>
        <w:numPr>
          <w:ilvl w:val="0"/>
          <w:numId w:val="7"/>
        </w:numPr>
        <w:spacing w:line="288" w:lineRule="auto"/>
        <w:rPr>
          <w:sz w:val="25"/>
          <w:szCs w:val="25"/>
        </w:rPr>
      </w:pPr>
      <w:r>
        <w:rPr>
          <w:sz w:val="25"/>
          <w:szCs w:val="25"/>
        </w:rPr>
        <w:t xml:space="preserve">Hard copies of cross-examination exhibits, </w:t>
      </w:r>
    </w:p>
    <w:p w:rsidR="004C0072" w:rsidRDefault="00E934DD" w:rsidP="004C0072">
      <w:pPr>
        <w:pStyle w:val="ListParagraph"/>
        <w:spacing w:line="288" w:lineRule="auto"/>
        <w:rPr>
          <w:sz w:val="25"/>
          <w:szCs w:val="25"/>
        </w:rPr>
      </w:pPr>
      <w:r>
        <w:rPr>
          <w:sz w:val="25"/>
          <w:szCs w:val="25"/>
        </w:rPr>
        <w:t>c</w:t>
      </w:r>
      <w:r w:rsidR="004C0072">
        <w:rPr>
          <w:sz w:val="25"/>
          <w:szCs w:val="25"/>
        </w:rPr>
        <w:t>ross-examination estimates</w:t>
      </w:r>
      <w:r>
        <w:rPr>
          <w:sz w:val="25"/>
          <w:szCs w:val="25"/>
        </w:rPr>
        <w:t>,</w:t>
      </w:r>
      <w:r w:rsidR="004C0072">
        <w:rPr>
          <w:sz w:val="25"/>
          <w:szCs w:val="25"/>
        </w:rPr>
        <w:t xml:space="preserve"> and witness lists</w:t>
      </w:r>
      <w:r w:rsidR="004C0072">
        <w:rPr>
          <w:sz w:val="25"/>
          <w:szCs w:val="25"/>
        </w:rPr>
        <w:tab/>
        <w:t>November 26, 2012</w:t>
      </w:r>
    </w:p>
    <w:p w:rsidR="004C0072" w:rsidRDefault="004C0072" w:rsidP="004C0072">
      <w:pPr>
        <w:pStyle w:val="ListParagraph"/>
        <w:numPr>
          <w:ilvl w:val="0"/>
          <w:numId w:val="7"/>
        </w:numPr>
        <w:spacing w:line="288" w:lineRule="auto"/>
        <w:rPr>
          <w:sz w:val="25"/>
          <w:szCs w:val="25"/>
        </w:rPr>
      </w:pPr>
      <w:r>
        <w:rPr>
          <w:sz w:val="25"/>
          <w:szCs w:val="25"/>
        </w:rPr>
        <w:t>Evidentiary Hearing</w:t>
      </w:r>
      <w:r>
        <w:rPr>
          <w:sz w:val="25"/>
          <w:szCs w:val="25"/>
        </w:rPr>
        <w:tab/>
      </w:r>
      <w:r>
        <w:rPr>
          <w:sz w:val="25"/>
          <w:szCs w:val="25"/>
        </w:rPr>
        <w:tab/>
      </w:r>
      <w:r>
        <w:rPr>
          <w:sz w:val="25"/>
          <w:szCs w:val="25"/>
        </w:rPr>
        <w:tab/>
      </w:r>
      <w:r>
        <w:rPr>
          <w:sz w:val="25"/>
          <w:szCs w:val="25"/>
        </w:rPr>
        <w:tab/>
      </w:r>
      <w:r>
        <w:rPr>
          <w:sz w:val="25"/>
          <w:szCs w:val="25"/>
        </w:rPr>
        <w:tab/>
        <w:t>November 29-30, 2012</w:t>
      </w:r>
    </w:p>
    <w:p w:rsidR="00E934DD" w:rsidRDefault="00E934DD" w:rsidP="00E934DD">
      <w:pPr>
        <w:spacing w:line="288" w:lineRule="auto"/>
        <w:rPr>
          <w:sz w:val="25"/>
          <w:szCs w:val="25"/>
        </w:rPr>
      </w:pPr>
    </w:p>
    <w:p w:rsidR="009444DD" w:rsidRPr="002F4CEB" w:rsidRDefault="00E934DD" w:rsidP="009444DD">
      <w:pPr>
        <w:numPr>
          <w:ilvl w:val="0"/>
          <w:numId w:val="1"/>
        </w:numPr>
        <w:spacing w:line="288" w:lineRule="auto"/>
        <w:ind w:hanging="720"/>
        <w:rPr>
          <w:sz w:val="25"/>
          <w:szCs w:val="25"/>
        </w:rPr>
      </w:pPr>
      <w:r w:rsidRPr="002F4CEB">
        <w:rPr>
          <w:sz w:val="25"/>
          <w:szCs w:val="25"/>
        </w:rPr>
        <w:t>As proposed by Public Counsel, discovery shall continue until November 27, 2012, with responses to data requests due within 5 business days until November 19, 2012, and responses to data requests thereafter until November 27, 2012, due within 3 business days.  In addition, rebuttal testimony will be due by noon on November 19, 2012.  The Commission will determine the need for oral arguments or post-hearing briefs at the conclusion of the evidentiary hearing.</w:t>
      </w:r>
    </w:p>
    <w:p w:rsidR="000B3609" w:rsidRDefault="000B3609" w:rsidP="000B3609">
      <w:pPr>
        <w:pStyle w:val="ListParagraph"/>
        <w:ind w:left="0"/>
        <w:rPr>
          <w:color w:val="000000"/>
          <w:sz w:val="25"/>
          <w:szCs w:val="25"/>
        </w:rPr>
      </w:pPr>
      <w:bookmarkStart w:id="1" w:name="OLE_LINK3"/>
      <w:bookmarkStart w:id="2" w:name="OLE_LINK4"/>
    </w:p>
    <w:p w:rsidR="00DE5835" w:rsidRPr="00DE5835" w:rsidRDefault="00DC686A" w:rsidP="00DE5835">
      <w:pPr>
        <w:numPr>
          <w:ilvl w:val="0"/>
          <w:numId w:val="1"/>
        </w:numPr>
        <w:spacing w:line="288" w:lineRule="auto"/>
        <w:ind w:hanging="720"/>
        <w:rPr>
          <w:color w:val="000000"/>
          <w:sz w:val="25"/>
          <w:szCs w:val="25"/>
        </w:rPr>
      </w:pPr>
      <w:r>
        <w:rPr>
          <w:color w:val="000000"/>
          <w:sz w:val="25"/>
          <w:szCs w:val="25"/>
        </w:rPr>
        <w:t>The settling parties’ filing</w:t>
      </w:r>
      <w:r w:rsidR="00DE5835">
        <w:rPr>
          <w:color w:val="000000"/>
          <w:sz w:val="25"/>
          <w:szCs w:val="25"/>
        </w:rPr>
        <w:t xml:space="preserve"> on October 19, 2012, </w:t>
      </w:r>
      <w:r w:rsidR="00AC1C27">
        <w:rPr>
          <w:color w:val="000000"/>
          <w:sz w:val="25"/>
          <w:szCs w:val="25"/>
        </w:rPr>
        <w:t xml:space="preserve">will trigger the Commission’s rules regarding </w:t>
      </w:r>
      <w:r w:rsidR="001D59D7">
        <w:rPr>
          <w:color w:val="000000"/>
          <w:sz w:val="25"/>
          <w:szCs w:val="25"/>
        </w:rPr>
        <w:t>consideration of agreements, in particular WAC 480-07-750(2)(a) and (b).</w:t>
      </w:r>
      <w:r w:rsidR="00AC1C27">
        <w:rPr>
          <w:color w:val="000000"/>
          <w:sz w:val="25"/>
          <w:szCs w:val="25"/>
        </w:rPr>
        <w:t xml:space="preserve"> </w:t>
      </w:r>
      <w:r>
        <w:rPr>
          <w:color w:val="000000"/>
          <w:sz w:val="25"/>
          <w:szCs w:val="25"/>
        </w:rPr>
        <w:t>A</w:t>
      </w:r>
      <w:r w:rsidR="00DE5835">
        <w:rPr>
          <w:color w:val="000000"/>
          <w:sz w:val="25"/>
          <w:szCs w:val="25"/>
        </w:rPr>
        <w:t xml:space="preserve">ny request </w:t>
      </w:r>
      <w:r>
        <w:rPr>
          <w:color w:val="000000"/>
          <w:sz w:val="25"/>
          <w:szCs w:val="25"/>
        </w:rPr>
        <w:t>for</w:t>
      </w:r>
      <w:r w:rsidR="00DE5835">
        <w:rPr>
          <w:color w:val="000000"/>
          <w:sz w:val="25"/>
          <w:szCs w:val="25"/>
        </w:rPr>
        <w:t xml:space="preserve"> waiver of </w:t>
      </w:r>
      <w:r w:rsidR="00B5684C">
        <w:rPr>
          <w:color w:val="000000"/>
          <w:sz w:val="25"/>
          <w:szCs w:val="25"/>
        </w:rPr>
        <w:t>these</w:t>
      </w:r>
      <w:r w:rsidR="00DE5835">
        <w:rPr>
          <w:color w:val="000000"/>
          <w:sz w:val="25"/>
          <w:szCs w:val="25"/>
        </w:rPr>
        <w:t xml:space="preserve"> provision</w:t>
      </w:r>
      <w:r w:rsidR="00B5684C">
        <w:rPr>
          <w:color w:val="000000"/>
          <w:sz w:val="25"/>
          <w:szCs w:val="25"/>
        </w:rPr>
        <w:t>s</w:t>
      </w:r>
      <w:r w:rsidR="00DE5835">
        <w:rPr>
          <w:color w:val="000000"/>
          <w:sz w:val="25"/>
          <w:szCs w:val="25"/>
        </w:rPr>
        <w:t xml:space="preserve"> </w:t>
      </w:r>
      <w:r w:rsidR="00C341C5">
        <w:rPr>
          <w:color w:val="000000"/>
          <w:sz w:val="25"/>
          <w:szCs w:val="25"/>
        </w:rPr>
        <w:t xml:space="preserve">must be filed </w:t>
      </w:r>
      <w:r w:rsidR="00DE5835">
        <w:rPr>
          <w:color w:val="000000"/>
          <w:sz w:val="25"/>
          <w:szCs w:val="25"/>
        </w:rPr>
        <w:t xml:space="preserve">by </w:t>
      </w:r>
      <w:r w:rsidR="00DE5835">
        <w:rPr>
          <w:b/>
          <w:color w:val="000000"/>
          <w:sz w:val="25"/>
          <w:szCs w:val="25"/>
        </w:rPr>
        <w:t>October 19, 2012</w:t>
      </w:r>
      <w:r w:rsidR="00DE5835" w:rsidRPr="00DE5835">
        <w:rPr>
          <w:color w:val="000000"/>
          <w:sz w:val="25"/>
          <w:szCs w:val="25"/>
        </w:rPr>
        <w:t>.</w:t>
      </w:r>
    </w:p>
    <w:p w:rsidR="00DE5835" w:rsidRDefault="00DE5835" w:rsidP="00DE5835">
      <w:pPr>
        <w:spacing w:line="288" w:lineRule="auto"/>
        <w:rPr>
          <w:color w:val="000000"/>
          <w:sz w:val="25"/>
          <w:szCs w:val="25"/>
        </w:rPr>
      </w:pPr>
    </w:p>
    <w:p w:rsidR="000B3609" w:rsidRPr="00A16801" w:rsidRDefault="000B3609" w:rsidP="000B3609">
      <w:pPr>
        <w:numPr>
          <w:ilvl w:val="0"/>
          <w:numId w:val="1"/>
        </w:numPr>
        <w:spacing w:line="288" w:lineRule="auto"/>
        <w:ind w:hanging="720"/>
        <w:rPr>
          <w:color w:val="000000"/>
          <w:sz w:val="25"/>
          <w:szCs w:val="25"/>
        </w:rPr>
      </w:pPr>
      <w:r>
        <w:rPr>
          <w:color w:val="000000"/>
          <w:sz w:val="25"/>
          <w:szCs w:val="25"/>
        </w:rPr>
        <w:t xml:space="preserve">The parties </w:t>
      </w:r>
      <w:r w:rsidR="00DE5835">
        <w:rPr>
          <w:color w:val="000000"/>
          <w:sz w:val="25"/>
          <w:szCs w:val="25"/>
        </w:rPr>
        <w:t xml:space="preserve">are reminded that </w:t>
      </w:r>
      <w:r w:rsidRPr="00A15886">
        <w:rPr>
          <w:b/>
          <w:color w:val="000000"/>
          <w:sz w:val="25"/>
          <w:szCs w:val="25"/>
        </w:rPr>
        <w:t>8</w:t>
      </w:r>
      <w:r>
        <w:rPr>
          <w:color w:val="000000"/>
          <w:sz w:val="25"/>
          <w:szCs w:val="25"/>
        </w:rPr>
        <w:t xml:space="preserve"> </w:t>
      </w:r>
      <w:r w:rsidRPr="00A15886">
        <w:rPr>
          <w:b/>
          <w:color w:val="000000"/>
          <w:sz w:val="25"/>
          <w:szCs w:val="25"/>
        </w:rPr>
        <w:t>hard copies</w:t>
      </w:r>
      <w:r>
        <w:rPr>
          <w:color w:val="000000"/>
          <w:sz w:val="25"/>
          <w:szCs w:val="25"/>
        </w:rPr>
        <w:t xml:space="preserve"> of the cross-examination exhibits they have prepared for use during the evidentiary hearing </w:t>
      </w:r>
      <w:r w:rsidR="00DE5835">
        <w:rPr>
          <w:color w:val="000000"/>
          <w:sz w:val="25"/>
          <w:szCs w:val="25"/>
        </w:rPr>
        <w:t xml:space="preserve">must be pre-distributed </w:t>
      </w:r>
      <w:r>
        <w:rPr>
          <w:color w:val="000000"/>
          <w:sz w:val="25"/>
          <w:szCs w:val="25"/>
        </w:rPr>
        <w:t xml:space="preserve">to the Commission’s Records Center by </w:t>
      </w:r>
      <w:r w:rsidR="00947ABA">
        <w:rPr>
          <w:b/>
          <w:color w:val="000000"/>
          <w:sz w:val="25"/>
          <w:szCs w:val="25"/>
        </w:rPr>
        <w:t xml:space="preserve">November </w:t>
      </w:r>
      <w:r w:rsidR="00DE5835">
        <w:rPr>
          <w:b/>
          <w:color w:val="000000"/>
          <w:sz w:val="25"/>
          <w:szCs w:val="25"/>
        </w:rPr>
        <w:t>26</w:t>
      </w:r>
      <w:r w:rsidR="00947ABA">
        <w:rPr>
          <w:b/>
          <w:color w:val="000000"/>
          <w:sz w:val="25"/>
          <w:szCs w:val="25"/>
        </w:rPr>
        <w:t>, 2012</w:t>
      </w:r>
      <w:r>
        <w:rPr>
          <w:color w:val="000000"/>
          <w:sz w:val="25"/>
          <w:szCs w:val="25"/>
        </w:rPr>
        <w:t xml:space="preserve">.  Cross-examination exhibits </w:t>
      </w:r>
      <w:r w:rsidR="009D4C8F">
        <w:rPr>
          <w:color w:val="000000"/>
          <w:sz w:val="25"/>
          <w:szCs w:val="25"/>
        </w:rPr>
        <w:t xml:space="preserve">must </w:t>
      </w:r>
      <w:r>
        <w:rPr>
          <w:color w:val="000000"/>
          <w:sz w:val="25"/>
          <w:szCs w:val="25"/>
        </w:rPr>
        <w:t xml:space="preserve">be served on all parties by this same date.  The exhibits must be accompanied by an exhibit list and must be organized into sets that are tabbed, labeled, and grouped according to the witness the party intends to cross examine with the exhibits.  Cross-examination exhibits not conforming to these requirements may be rejected.  The parties will provide an electronic copy of all cross-examination exhibits to the administrative law judge by </w:t>
      </w:r>
      <w:r w:rsidR="00DE5835">
        <w:rPr>
          <w:b/>
          <w:color w:val="000000"/>
          <w:sz w:val="25"/>
          <w:szCs w:val="25"/>
        </w:rPr>
        <w:t>November 26, 2012</w:t>
      </w:r>
      <w:r>
        <w:rPr>
          <w:color w:val="000000"/>
          <w:sz w:val="25"/>
          <w:szCs w:val="25"/>
        </w:rPr>
        <w:t xml:space="preserve">.  The parties will file all cross-examination exhibits offered or discussed on the record by </w:t>
      </w:r>
      <w:r w:rsidR="00651E50">
        <w:rPr>
          <w:b/>
          <w:color w:val="000000"/>
          <w:sz w:val="25"/>
          <w:szCs w:val="25"/>
        </w:rPr>
        <w:t>December 10, 2012</w:t>
      </w:r>
      <w:r w:rsidRPr="00DE5835">
        <w:rPr>
          <w:color w:val="000000"/>
          <w:sz w:val="25"/>
          <w:szCs w:val="25"/>
        </w:rPr>
        <w:t>.</w:t>
      </w:r>
    </w:p>
    <w:p w:rsidR="000B3609" w:rsidRDefault="000B3609" w:rsidP="000B3609">
      <w:pPr>
        <w:spacing w:line="288" w:lineRule="auto"/>
        <w:rPr>
          <w:color w:val="000000"/>
          <w:sz w:val="25"/>
          <w:szCs w:val="25"/>
        </w:rPr>
      </w:pPr>
    </w:p>
    <w:p w:rsidR="009444DD" w:rsidRPr="00DE5835" w:rsidRDefault="000B3609" w:rsidP="009444DD">
      <w:pPr>
        <w:numPr>
          <w:ilvl w:val="0"/>
          <w:numId w:val="1"/>
        </w:numPr>
        <w:spacing w:line="288" w:lineRule="auto"/>
        <w:ind w:hanging="720"/>
        <w:rPr>
          <w:color w:val="000000"/>
          <w:sz w:val="25"/>
          <w:szCs w:val="25"/>
        </w:rPr>
      </w:pPr>
      <w:r w:rsidRPr="00DE5835">
        <w:rPr>
          <w:b/>
          <w:sz w:val="25"/>
          <w:szCs w:val="25"/>
        </w:rPr>
        <w:t>NOTICE</w:t>
      </w:r>
      <w:r w:rsidRPr="00DE5835">
        <w:rPr>
          <w:b/>
          <w:bCs/>
          <w:sz w:val="25"/>
          <w:szCs w:val="25"/>
        </w:rPr>
        <w:t xml:space="preserve"> OF HEARING.  </w:t>
      </w:r>
      <w:r w:rsidRPr="00DE5835">
        <w:rPr>
          <w:sz w:val="25"/>
          <w:szCs w:val="25"/>
        </w:rPr>
        <w:t xml:space="preserve">The Commission will hold evidentiary hearings in this matter beginning </w:t>
      </w:r>
      <w:r w:rsidR="00651E50" w:rsidRPr="00DE5835">
        <w:rPr>
          <w:b/>
          <w:sz w:val="25"/>
          <w:szCs w:val="25"/>
        </w:rPr>
        <w:t>November 2</w:t>
      </w:r>
      <w:r w:rsidR="00DE5835" w:rsidRPr="00DE5835">
        <w:rPr>
          <w:b/>
          <w:sz w:val="25"/>
          <w:szCs w:val="25"/>
        </w:rPr>
        <w:t>9</w:t>
      </w:r>
      <w:r w:rsidR="00651E50" w:rsidRPr="00DE5835">
        <w:rPr>
          <w:b/>
          <w:sz w:val="25"/>
          <w:szCs w:val="25"/>
        </w:rPr>
        <w:t>, 2012</w:t>
      </w:r>
      <w:r w:rsidRPr="00DE5835">
        <w:rPr>
          <w:sz w:val="25"/>
          <w:szCs w:val="25"/>
        </w:rPr>
        <w:t xml:space="preserve">, </w:t>
      </w:r>
      <w:r w:rsidR="00DE5835" w:rsidRPr="00DE5835">
        <w:rPr>
          <w:sz w:val="25"/>
          <w:szCs w:val="25"/>
        </w:rPr>
        <w:t>tentatively scheduled for 10</w:t>
      </w:r>
      <w:r w:rsidRPr="00DE5835">
        <w:rPr>
          <w:sz w:val="25"/>
          <w:szCs w:val="25"/>
        </w:rPr>
        <w:t xml:space="preserve">:30 a.m., </w:t>
      </w:r>
      <w:r w:rsidR="00DE5835" w:rsidRPr="00DE5835">
        <w:rPr>
          <w:sz w:val="25"/>
          <w:szCs w:val="25"/>
        </w:rPr>
        <w:t xml:space="preserve">to immediately follow the Commission Open Meeting, </w:t>
      </w:r>
      <w:r w:rsidRPr="00DE5835">
        <w:rPr>
          <w:sz w:val="25"/>
          <w:szCs w:val="25"/>
        </w:rPr>
        <w:t>and continuing thereafter, as necessary, on</w:t>
      </w:r>
      <w:r w:rsidRPr="00DE5835">
        <w:rPr>
          <w:b/>
          <w:sz w:val="25"/>
          <w:szCs w:val="25"/>
        </w:rPr>
        <w:t xml:space="preserve"> </w:t>
      </w:r>
      <w:r w:rsidR="00651E50" w:rsidRPr="00DE5835">
        <w:rPr>
          <w:b/>
          <w:sz w:val="25"/>
          <w:szCs w:val="25"/>
        </w:rPr>
        <w:t>November 30, 2012</w:t>
      </w:r>
      <w:r w:rsidRPr="00DE5835">
        <w:rPr>
          <w:sz w:val="25"/>
          <w:szCs w:val="25"/>
        </w:rPr>
        <w:t xml:space="preserve">, </w:t>
      </w:r>
      <w:r w:rsidRPr="00DE5835">
        <w:rPr>
          <w:bCs/>
          <w:sz w:val="25"/>
          <w:szCs w:val="25"/>
        </w:rPr>
        <w:t xml:space="preserve">in the Commission’s Hearing Room, </w:t>
      </w:r>
      <w:bookmarkStart w:id="3" w:name="OLE_LINK1"/>
      <w:bookmarkStart w:id="4" w:name="OLE_LINK2"/>
      <w:r w:rsidRPr="00DE5835">
        <w:rPr>
          <w:bCs/>
          <w:sz w:val="25"/>
          <w:szCs w:val="25"/>
        </w:rPr>
        <w:t>Second Floor, Richard Hemstad Building, 1300 S. Evergreen Park Drive S.W., Olympia, Washington.</w:t>
      </w:r>
      <w:bookmarkEnd w:id="3"/>
      <w:bookmarkEnd w:id="4"/>
      <w:r w:rsidRPr="00DE5835">
        <w:rPr>
          <w:bCs/>
          <w:sz w:val="25"/>
          <w:szCs w:val="25"/>
        </w:rPr>
        <w:t xml:space="preserve">  </w:t>
      </w:r>
    </w:p>
    <w:p w:rsidR="005C057E" w:rsidRDefault="005C057E">
      <w:pPr>
        <w:spacing w:after="200" w:line="276" w:lineRule="auto"/>
        <w:rPr>
          <w:color w:val="000000"/>
          <w:sz w:val="25"/>
          <w:szCs w:val="25"/>
        </w:rPr>
      </w:pPr>
      <w:r>
        <w:rPr>
          <w:color w:val="000000"/>
          <w:sz w:val="25"/>
          <w:szCs w:val="25"/>
        </w:rPr>
        <w:br w:type="page"/>
      </w:r>
    </w:p>
    <w:p w:rsidR="00DE5835" w:rsidRDefault="00DE5835" w:rsidP="005C057E">
      <w:pPr>
        <w:pStyle w:val="ListParagraph"/>
        <w:ind w:left="0"/>
        <w:rPr>
          <w:color w:val="000000"/>
          <w:sz w:val="25"/>
          <w:szCs w:val="25"/>
        </w:rPr>
      </w:pPr>
    </w:p>
    <w:p w:rsidR="00367C05" w:rsidRDefault="00367C05" w:rsidP="00367C05">
      <w:pPr>
        <w:spacing w:line="264" w:lineRule="auto"/>
        <w:jc w:val="center"/>
        <w:rPr>
          <w:b/>
          <w:sz w:val="25"/>
          <w:szCs w:val="25"/>
          <w:u w:val="single"/>
        </w:rPr>
      </w:pPr>
      <w:r>
        <w:rPr>
          <w:b/>
          <w:sz w:val="25"/>
          <w:szCs w:val="25"/>
          <w:u w:val="single"/>
        </w:rPr>
        <w:t>ORDER</w:t>
      </w:r>
    </w:p>
    <w:p w:rsidR="00367C05" w:rsidRPr="005C057E" w:rsidRDefault="00367C05" w:rsidP="00367C05">
      <w:pPr>
        <w:spacing w:line="264" w:lineRule="auto"/>
        <w:rPr>
          <w:sz w:val="25"/>
          <w:szCs w:val="25"/>
          <w:u w:val="single"/>
        </w:rPr>
      </w:pPr>
    </w:p>
    <w:p w:rsidR="00367C05" w:rsidRPr="00367C05" w:rsidRDefault="00367C05" w:rsidP="00002DE1">
      <w:pPr>
        <w:spacing w:line="288" w:lineRule="auto"/>
        <w:rPr>
          <w:sz w:val="25"/>
          <w:szCs w:val="25"/>
        </w:rPr>
      </w:pPr>
      <w:r>
        <w:rPr>
          <w:b/>
          <w:sz w:val="25"/>
          <w:szCs w:val="25"/>
        </w:rPr>
        <w:t>THE COMMISSION ORDERS That:</w:t>
      </w:r>
    </w:p>
    <w:p w:rsidR="00367C05" w:rsidRPr="005C057E" w:rsidRDefault="00367C05" w:rsidP="00367C05">
      <w:pPr>
        <w:spacing w:line="288" w:lineRule="auto"/>
        <w:rPr>
          <w:sz w:val="25"/>
          <w:szCs w:val="25"/>
        </w:rPr>
      </w:pPr>
    </w:p>
    <w:p w:rsidR="00A25862" w:rsidRPr="005C057E" w:rsidRDefault="00367C05" w:rsidP="005C057E">
      <w:pPr>
        <w:numPr>
          <w:ilvl w:val="0"/>
          <w:numId w:val="1"/>
        </w:numPr>
        <w:spacing w:line="288" w:lineRule="auto"/>
        <w:ind w:left="720" w:hanging="1440"/>
        <w:rPr>
          <w:sz w:val="25"/>
          <w:szCs w:val="25"/>
        </w:rPr>
      </w:pPr>
      <w:r w:rsidRPr="005C057E">
        <w:rPr>
          <w:sz w:val="25"/>
          <w:szCs w:val="25"/>
        </w:rPr>
        <w:t>(1)</w:t>
      </w:r>
      <w:r w:rsidRPr="005C057E">
        <w:rPr>
          <w:sz w:val="25"/>
          <w:szCs w:val="25"/>
        </w:rPr>
        <w:tab/>
      </w:r>
      <w:r w:rsidR="00A25862" w:rsidRPr="005C057E">
        <w:rPr>
          <w:sz w:val="25"/>
          <w:szCs w:val="25"/>
        </w:rPr>
        <w:t xml:space="preserve">The procedural schedule previously adopted in </w:t>
      </w:r>
      <w:r w:rsidR="00FC0A1D" w:rsidRPr="005C057E">
        <w:rPr>
          <w:sz w:val="25"/>
          <w:szCs w:val="25"/>
        </w:rPr>
        <w:t>Order 03/08 in</w:t>
      </w:r>
      <w:r w:rsidR="00A25862" w:rsidRPr="005C057E">
        <w:rPr>
          <w:sz w:val="25"/>
          <w:szCs w:val="25"/>
        </w:rPr>
        <w:t xml:space="preserve"> Dockets </w:t>
      </w:r>
      <w:r w:rsidR="00FC0A1D" w:rsidRPr="005C057E">
        <w:rPr>
          <w:sz w:val="25"/>
          <w:szCs w:val="25"/>
        </w:rPr>
        <w:t xml:space="preserve">UE-120436, UG-120437, and phase two of UE-110876 and UG-110877, consolidated, </w:t>
      </w:r>
      <w:r w:rsidR="00A25862" w:rsidRPr="005C057E">
        <w:rPr>
          <w:sz w:val="25"/>
          <w:szCs w:val="25"/>
        </w:rPr>
        <w:t>is vacated.</w:t>
      </w:r>
    </w:p>
    <w:p w:rsidR="00A25862" w:rsidRDefault="00A25862" w:rsidP="00A25862">
      <w:pPr>
        <w:spacing w:line="288" w:lineRule="auto"/>
        <w:rPr>
          <w:sz w:val="25"/>
          <w:szCs w:val="25"/>
        </w:rPr>
      </w:pPr>
    </w:p>
    <w:p w:rsidR="00A25862" w:rsidRPr="00FC0A1D" w:rsidRDefault="00A25862" w:rsidP="005C057E">
      <w:pPr>
        <w:numPr>
          <w:ilvl w:val="0"/>
          <w:numId w:val="1"/>
        </w:numPr>
        <w:spacing w:line="288" w:lineRule="auto"/>
        <w:ind w:left="720" w:hanging="1440"/>
        <w:rPr>
          <w:sz w:val="25"/>
          <w:szCs w:val="25"/>
        </w:rPr>
      </w:pPr>
      <w:r w:rsidRPr="00FC0A1D">
        <w:rPr>
          <w:sz w:val="25"/>
          <w:szCs w:val="25"/>
        </w:rPr>
        <w:t>(2)</w:t>
      </w:r>
      <w:r w:rsidRPr="00FC0A1D">
        <w:rPr>
          <w:sz w:val="25"/>
          <w:szCs w:val="25"/>
        </w:rPr>
        <w:tab/>
      </w:r>
      <w:r w:rsidR="00FC0A1D" w:rsidRPr="00FC0A1D">
        <w:rPr>
          <w:sz w:val="25"/>
          <w:szCs w:val="25"/>
        </w:rPr>
        <w:t>The procedural schedule</w:t>
      </w:r>
      <w:r w:rsidRPr="00FC0A1D">
        <w:rPr>
          <w:sz w:val="25"/>
          <w:szCs w:val="25"/>
        </w:rPr>
        <w:t xml:space="preserve"> listed in this Order is adopted.</w:t>
      </w:r>
    </w:p>
    <w:p w:rsidR="00A25862" w:rsidRDefault="00A25862" w:rsidP="00A25862">
      <w:pPr>
        <w:spacing w:line="288" w:lineRule="auto"/>
        <w:rPr>
          <w:sz w:val="25"/>
          <w:szCs w:val="25"/>
        </w:rPr>
      </w:pPr>
    </w:p>
    <w:p w:rsidR="000B3609" w:rsidRPr="00367C05" w:rsidRDefault="000B3609" w:rsidP="00002DE1">
      <w:pPr>
        <w:tabs>
          <w:tab w:val="left" w:pos="0"/>
        </w:tabs>
        <w:spacing w:line="288" w:lineRule="auto"/>
        <w:rPr>
          <w:sz w:val="25"/>
          <w:szCs w:val="25"/>
        </w:rPr>
      </w:pPr>
      <w:r w:rsidRPr="00367C05">
        <w:rPr>
          <w:b/>
          <w:sz w:val="25"/>
          <w:szCs w:val="25"/>
        </w:rPr>
        <w:t>NOTICE TO PARTIES:  A party who objects to any portion of this Order must file a written objection within ten (10) calendar days after the service date of this Order, pursuant to WAC 480-07-430 and WAC 480-07-810.  The service date appears on the first page of the order in the upper right-hand corner.  Absent such objection, this Order will control further proceedings in this matter, subject to Commission review.</w:t>
      </w:r>
    </w:p>
    <w:p w:rsidR="000B3609" w:rsidRPr="00DA5DBB" w:rsidRDefault="000B3609" w:rsidP="000B3609">
      <w:pPr>
        <w:spacing w:line="288" w:lineRule="auto"/>
        <w:rPr>
          <w:sz w:val="25"/>
          <w:szCs w:val="25"/>
        </w:rPr>
      </w:pPr>
    </w:p>
    <w:p w:rsidR="000B3609" w:rsidRPr="00DA5DBB" w:rsidRDefault="000B3609" w:rsidP="000B3609">
      <w:pPr>
        <w:spacing w:line="288" w:lineRule="auto"/>
        <w:ind w:left="-720"/>
        <w:rPr>
          <w:sz w:val="25"/>
          <w:szCs w:val="25"/>
        </w:rPr>
      </w:pPr>
      <w:r>
        <w:rPr>
          <w:sz w:val="25"/>
          <w:szCs w:val="25"/>
        </w:rPr>
        <w:tab/>
      </w:r>
      <w:r w:rsidRPr="00DA5DBB">
        <w:rPr>
          <w:sz w:val="25"/>
          <w:szCs w:val="25"/>
        </w:rPr>
        <w:t xml:space="preserve">Dated at Olympia, Washington, and effective </w:t>
      </w:r>
      <w:r w:rsidR="00FC0A1D">
        <w:rPr>
          <w:sz w:val="25"/>
          <w:szCs w:val="25"/>
        </w:rPr>
        <w:t>October 1</w:t>
      </w:r>
      <w:r w:rsidR="009459D5">
        <w:rPr>
          <w:sz w:val="25"/>
          <w:szCs w:val="25"/>
        </w:rPr>
        <w:t>8</w:t>
      </w:r>
      <w:r>
        <w:rPr>
          <w:sz w:val="25"/>
          <w:szCs w:val="25"/>
        </w:rPr>
        <w:t>, 2012</w:t>
      </w:r>
      <w:r w:rsidRPr="00DA5DBB">
        <w:rPr>
          <w:sz w:val="25"/>
          <w:szCs w:val="25"/>
        </w:rPr>
        <w:t>.</w:t>
      </w:r>
    </w:p>
    <w:p w:rsidR="000B3609" w:rsidRPr="00DA5DBB" w:rsidRDefault="000B3609" w:rsidP="000B3609">
      <w:pPr>
        <w:pStyle w:val="Header"/>
        <w:tabs>
          <w:tab w:val="clear" w:pos="4320"/>
          <w:tab w:val="clear" w:pos="8640"/>
        </w:tabs>
        <w:spacing w:line="264" w:lineRule="auto"/>
        <w:rPr>
          <w:sz w:val="25"/>
          <w:szCs w:val="25"/>
        </w:rPr>
      </w:pPr>
    </w:p>
    <w:p w:rsidR="000B3609" w:rsidRPr="00DA5DBB" w:rsidRDefault="000B3609" w:rsidP="000B3609">
      <w:pPr>
        <w:spacing w:line="264" w:lineRule="auto"/>
        <w:jc w:val="center"/>
        <w:rPr>
          <w:sz w:val="25"/>
          <w:szCs w:val="25"/>
        </w:rPr>
      </w:pPr>
      <w:r w:rsidRPr="00DA5DBB">
        <w:rPr>
          <w:sz w:val="25"/>
          <w:szCs w:val="25"/>
        </w:rPr>
        <w:t>WASHINGTON UTILITIES AND TRANSPORTATION COMMISSION</w:t>
      </w:r>
    </w:p>
    <w:p w:rsidR="000B3609" w:rsidRPr="00DA5DBB" w:rsidRDefault="000B3609" w:rsidP="000B3609">
      <w:pPr>
        <w:spacing w:line="264" w:lineRule="auto"/>
        <w:rPr>
          <w:sz w:val="25"/>
          <w:szCs w:val="25"/>
        </w:rPr>
      </w:pPr>
    </w:p>
    <w:p w:rsidR="000B3609" w:rsidRPr="00DA5DBB" w:rsidRDefault="000B3609" w:rsidP="000B3609">
      <w:pPr>
        <w:spacing w:line="264" w:lineRule="auto"/>
        <w:rPr>
          <w:sz w:val="25"/>
          <w:szCs w:val="25"/>
        </w:rPr>
      </w:pPr>
    </w:p>
    <w:p w:rsidR="000B3609" w:rsidRPr="00DA5DBB" w:rsidRDefault="000B3609" w:rsidP="000B3609">
      <w:pPr>
        <w:spacing w:line="288" w:lineRule="auto"/>
        <w:rPr>
          <w:sz w:val="25"/>
          <w:szCs w:val="25"/>
        </w:rPr>
      </w:pPr>
    </w:p>
    <w:p w:rsidR="000B3609" w:rsidRPr="00DA5DBB" w:rsidRDefault="000B3609" w:rsidP="000B3609">
      <w:pPr>
        <w:spacing w:line="288" w:lineRule="auto"/>
        <w:ind w:left="4320"/>
        <w:rPr>
          <w:bCs/>
          <w:sz w:val="25"/>
          <w:szCs w:val="25"/>
        </w:rPr>
      </w:pPr>
      <w:r>
        <w:rPr>
          <w:bCs/>
          <w:sz w:val="25"/>
          <w:szCs w:val="25"/>
        </w:rPr>
        <w:t>MARGUERITE E. FRIEDLANDER</w:t>
      </w:r>
    </w:p>
    <w:p w:rsidR="000B3609" w:rsidRPr="00787DAE" w:rsidRDefault="000B3609" w:rsidP="00FC0A1D">
      <w:pPr>
        <w:spacing w:line="288" w:lineRule="auto"/>
      </w:pPr>
      <w:r w:rsidRPr="00DA5DBB">
        <w:rPr>
          <w:sz w:val="25"/>
          <w:szCs w:val="25"/>
        </w:rPr>
        <w:tab/>
      </w:r>
      <w:r w:rsidRPr="00DA5DBB">
        <w:rPr>
          <w:sz w:val="25"/>
          <w:szCs w:val="25"/>
        </w:rPr>
        <w:tab/>
      </w:r>
      <w:r w:rsidRPr="00DA5DBB">
        <w:rPr>
          <w:sz w:val="25"/>
          <w:szCs w:val="25"/>
        </w:rPr>
        <w:tab/>
      </w:r>
      <w:r w:rsidRPr="00DA5DBB">
        <w:rPr>
          <w:sz w:val="25"/>
          <w:szCs w:val="25"/>
        </w:rPr>
        <w:tab/>
      </w:r>
      <w:r w:rsidRPr="00DA5DBB">
        <w:rPr>
          <w:sz w:val="25"/>
          <w:szCs w:val="25"/>
        </w:rPr>
        <w:tab/>
      </w:r>
      <w:r w:rsidRPr="00DA5DBB">
        <w:rPr>
          <w:sz w:val="25"/>
          <w:szCs w:val="25"/>
        </w:rPr>
        <w:tab/>
        <w:t>Administrative Law Judge</w:t>
      </w:r>
      <w:bookmarkEnd w:id="1"/>
      <w:bookmarkEnd w:id="2"/>
    </w:p>
    <w:p w:rsidR="00026D6C" w:rsidRDefault="00026D6C"/>
    <w:sectPr w:rsidR="00026D6C" w:rsidSect="000B3609">
      <w:headerReference w:type="default" r:id="rId9"/>
      <w:headerReference w:type="first" r:id="rId10"/>
      <w:pgSz w:w="12240" w:h="15840" w:code="1"/>
      <w:pgMar w:top="1440" w:right="1440" w:bottom="1354"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A17" w:rsidRDefault="00D55A17" w:rsidP="000B3609">
      <w:r>
        <w:separator/>
      </w:r>
    </w:p>
  </w:endnote>
  <w:endnote w:type="continuationSeparator" w:id="0">
    <w:p w:rsidR="00D55A17" w:rsidRDefault="00D55A17" w:rsidP="000B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A17" w:rsidRDefault="00D55A17" w:rsidP="000B3609">
      <w:r>
        <w:separator/>
      </w:r>
    </w:p>
  </w:footnote>
  <w:footnote w:type="continuationSeparator" w:id="0">
    <w:p w:rsidR="00D55A17" w:rsidRDefault="00D55A17" w:rsidP="000B3609">
      <w:r>
        <w:continuationSeparator/>
      </w:r>
    </w:p>
  </w:footnote>
  <w:footnote w:id="1">
    <w:p w:rsidR="002F4CEB" w:rsidRPr="00C645FF" w:rsidRDefault="002F4CEB" w:rsidP="00FF7402">
      <w:pPr>
        <w:pStyle w:val="FootnoteText"/>
        <w:rPr>
          <w:rFonts w:ascii="Times New Roman" w:hAnsi="Times New Roman"/>
          <w:sz w:val="22"/>
        </w:rPr>
      </w:pPr>
      <w:r w:rsidRPr="00C645FF">
        <w:rPr>
          <w:rStyle w:val="FootnoteReference"/>
          <w:rFonts w:ascii="Times New Roman" w:hAnsi="Times New Roman"/>
          <w:sz w:val="22"/>
        </w:rPr>
        <w:footnoteRef/>
      </w:r>
      <w:r w:rsidRPr="00C645FF">
        <w:rPr>
          <w:rFonts w:ascii="Times New Roman" w:hAnsi="Times New Roman"/>
          <w:sz w:val="22"/>
        </w:rPr>
        <w:t xml:space="preserve"> The dual order number is the result of consolidation. </w:t>
      </w:r>
    </w:p>
    <w:p w:rsidR="002F4CEB" w:rsidRDefault="002F4CEB" w:rsidP="00FF7402">
      <w:pPr>
        <w:pStyle w:val="FootnoteText"/>
      </w:pPr>
      <w:r>
        <w:rPr>
          <w:sz w:val="22"/>
        </w:rPr>
        <w:t xml:space="preserve"> </w:t>
      </w:r>
    </w:p>
  </w:footnote>
  <w:footnote w:id="2">
    <w:p w:rsidR="002F4CEB" w:rsidRDefault="002F4CEB" w:rsidP="000B3609">
      <w:pPr>
        <w:rPr>
          <w:i/>
          <w:iCs/>
          <w:sz w:val="22"/>
          <w:szCs w:val="22"/>
        </w:rPr>
      </w:pPr>
      <w:r w:rsidRPr="008738B8">
        <w:rPr>
          <w:rStyle w:val="FootnoteReference"/>
          <w:sz w:val="22"/>
          <w:szCs w:val="22"/>
        </w:rPr>
        <w:footnoteRef/>
      </w:r>
      <w:r w:rsidRPr="008738B8">
        <w:rPr>
          <w:sz w:val="22"/>
          <w:szCs w:val="22"/>
        </w:rPr>
        <w:t xml:space="preserve"> </w:t>
      </w:r>
      <w:r w:rsidRPr="009D593C">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and opportunity for all parties to participate.  </w:t>
      </w:r>
      <w:r w:rsidRPr="00A71F17">
        <w:rPr>
          <w:i/>
          <w:sz w:val="22"/>
          <w:szCs w:val="22"/>
        </w:rPr>
        <w:t>See</w:t>
      </w:r>
      <w:r w:rsidRPr="003B4861">
        <w:rPr>
          <w:sz w:val="22"/>
          <w:szCs w:val="22"/>
        </w:rPr>
        <w:t xml:space="preserve"> RCW 34.05.455.</w:t>
      </w:r>
    </w:p>
    <w:p w:rsidR="002F4CEB" w:rsidRPr="008738B8" w:rsidRDefault="002F4CEB" w:rsidP="000B3609">
      <w:pPr>
        <w:pStyle w:val="FootnoteText"/>
        <w:tabs>
          <w:tab w:val="left" w:pos="0"/>
        </w:tabs>
        <w:rPr>
          <w:rFonts w:ascii="Times New Roman" w:hAnsi="Times New Roman"/>
          <w:sz w:val="22"/>
          <w:szCs w:val="22"/>
        </w:rPr>
      </w:pPr>
    </w:p>
  </w:footnote>
  <w:footnote w:id="3">
    <w:p w:rsidR="002F4CEB" w:rsidRPr="00D4276F" w:rsidRDefault="002F4CEB">
      <w:pPr>
        <w:pStyle w:val="FootnoteText"/>
        <w:rPr>
          <w:rFonts w:ascii="Times New Roman" w:hAnsi="Times New Roman"/>
        </w:rPr>
      </w:pPr>
      <w:r w:rsidRPr="00D4276F">
        <w:rPr>
          <w:rStyle w:val="FootnoteReference"/>
          <w:rFonts w:ascii="Times New Roman" w:hAnsi="Times New Roman"/>
          <w:sz w:val="22"/>
        </w:rPr>
        <w:footnoteRef/>
      </w:r>
      <w:r w:rsidRPr="00D4276F">
        <w:rPr>
          <w:rFonts w:ascii="Times New Roman" w:hAnsi="Times New Roman"/>
          <w:sz w:val="22"/>
        </w:rPr>
        <w:t xml:space="preserve"> </w:t>
      </w:r>
      <w:r>
        <w:rPr>
          <w:rFonts w:ascii="Times New Roman" w:hAnsi="Times New Roman"/>
          <w:sz w:val="22"/>
        </w:rPr>
        <w:t>At the October 16</w:t>
      </w:r>
      <w:r w:rsidRPr="00D4276F">
        <w:rPr>
          <w:rFonts w:ascii="Times New Roman" w:hAnsi="Times New Roman"/>
          <w:sz w:val="22"/>
          <w:vertAlign w:val="superscript"/>
        </w:rPr>
        <w:t>th</w:t>
      </w:r>
      <w:r>
        <w:rPr>
          <w:rFonts w:ascii="Times New Roman" w:hAnsi="Times New Roman"/>
          <w:sz w:val="22"/>
        </w:rPr>
        <w:t xml:space="preserve"> prehearing conference, Public Counsel and NWEC confirmed that they have not joined in the settlement.</w:t>
      </w:r>
    </w:p>
  </w:footnote>
  <w:footnote w:id="4">
    <w:p w:rsidR="002F4CEB" w:rsidRPr="00DC3EAE" w:rsidRDefault="002F4CEB">
      <w:pPr>
        <w:pStyle w:val="FootnoteText"/>
        <w:rPr>
          <w:rFonts w:ascii="Times New Roman" w:hAnsi="Times New Roman"/>
        </w:rPr>
      </w:pPr>
      <w:r w:rsidRPr="00DC3EAE">
        <w:rPr>
          <w:rStyle w:val="FootnoteReference"/>
          <w:rFonts w:ascii="Times New Roman" w:hAnsi="Times New Roman"/>
          <w:sz w:val="22"/>
        </w:rPr>
        <w:footnoteRef/>
      </w:r>
      <w:r w:rsidRPr="00DC3EAE">
        <w:rPr>
          <w:rFonts w:ascii="Times New Roman" w:hAnsi="Times New Roman"/>
          <w:sz w:val="22"/>
        </w:rPr>
        <w:t xml:space="preserve"> </w:t>
      </w:r>
      <w:r>
        <w:rPr>
          <w:rFonts w:ascii="Times New Roman" w:hAnsi="Times New Roman"/>
          <w:sz w:val="22"/>
        </w:rPr>
        <w:t>ICNU’s scheduling conflict is unfortunate but hardly persuasive given the original procedural schedule adopted in May of this year provided for an evidentiary hearing on the very dates ICNU now claims to have a personal conflict with.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CEB" w:rsidRPr="009926F4" w:rsidRDefault="002F4CEB">
    <w:pPr>
      <w:pStyle w:val="Header"/>
      <w:tabs>
        <w:tab w:val="left" w:pos="7500"/>
      </w:tabs>
      <w:rPr>
        <w:b/>
        <w:i/>
        <w:sz w:val="20"/>
        <w:szCs w:val="20"/>
      </w:rPr>
    </w:pPr>
    <w:r w:rsidRPr="00A3058F">
      <w:rPr>
        <w:b/>
        <w:sz w:val="20"/>
        <w:szCs w:val="20"/>
      </w:rPr>
      <w:t>DOCKET</w:t>
    </w:r>
    <w:r>
      <w:rPr>
        <w:b/>
        <w:sz w:val="20"/>
        <w:szCs w:val="20"/>
      </w:rPr>
      <w:t>S</w:t>
    </w:r>
    <w:r w:rsidRPr="00A3058F">
      <w:rPr>
        <w:b/>
        <w:sz w:val="20"/>
        <w:szCs w:val="20"/>
      </w:rPr>
      <w:t xml:space="preserve"> UE-</w:t>
    </w:r>
    <w:r>
      <w:rPr>
        <w:b/>
        <w:sz w:val="20"/>
        <w:szCs w:val="20"/>
      </w:rPr>
      <w:t>120436 and UG-120437 (</w:t>
    </w:r>
    <w:r>
      <w:rPr>
        <w:b/>
        <w:i/>
        <w:sz w:val="20"/>
        <w:szCs w:val="20"/>
      </w:rPr>
      <w:t>consolidated</w:t>
    </w:r>
    <w:r w:rsidRPr="00EB40B5">
      <w:rPr>
        <w:b/>
        <w:sz w:val="20"/>
        <w:szCs w:val="20"/>
      </w:rPr>
      <w:t>)</w:t>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866C16">
      <w:rPr>
        <w:rStyle w:val="PageNumber"/>
        <w:b/>
        <w:noProof/>
        <w:sz w:val="20"/>
        <w:szCs w:val="20"/>
      </w:rPr>
      <w:t>2</w:t>
    </w:r>
    <w:r w:rsidRPr="00A3058F">
      <w:rPr>
        <w:rStyle w:val="PageNumber"/>
        <w:b/>
        <w:sz w:val="20"/>
        <w:szCs w:val="20"/>
      </w:rPr>
      <w:fldChar w:fldCharType="end"/>
    </w:r>
  </w:p>
  <w:p w:rsidR="002F4CEB" w:rsidRDefault="002F4CEB">
    <w:pPr>
      <w:pStyle w:val="Header"/>
      <w:tabs>
        <w:tab w:val="left" w:pos="7500"/>
      </w:tabs>
      <w:rPr>
        <w:b/>
        <w:sz w:val="20"/>
        <w:szCs w:val="20"/>
      </w:rPr>
    </w:pPr>
    <w:r w:rsidRPr="00A3058F">
      <w:rPr>
        <w:b/>
        <w:sz w:val="20"/>
        <w:szCs w:val="20"/>
      </w:rPr>
      <w:t xml:space="preserve">ORDER </w:t>
    </w:r>
    <w:r>
      <w:rPr>
        <w:b/>
        <w:sz w:val="20"/>
        <w:szCs w:val="20"/>
      </w:rPr>
      <w:t>07</w:t>
    </w:r>
  </w:p>
  <w:p w:rsidR="002F4CEB" w:rsidRDefault="002F4CEB">
    <w:pPr>
      <w:pStyle w:val="Header"/>
      <w:tabs>
        <w:tab w:val="left" w:pos="7500"/>
      </w:tabs>
      <w:rPr>
        <w:b/>
        <w:sz w:val="20"/>
        <w:szCs w:val="20"/>
      </w:rPr>
    </w:pPr>
    <w:r>
      <w:rPr>
        <w:b/>
        <w:sz w:val="20"/>
        <w:szCs w:val="20"/>
      </w:rPr>
      <w:t xml:space="preserve">DOCKETS UE-110876 and UG-110877 </w:t>
    </w:r>
    <w:r>
      <w:rPr>
        <w:b/>
        <w:i/>
        <w:sz w:val="20"/>
        <w:szCs w:val="20"/>
      </w:rPr>
      <w:t>(consolidated)</w:t>
    </w:r>
  </w:p>
  <w:p w:rsidR="002F4CEB" w:rsidRPr="000B3609" w:rsidRDefault="002F4CEB">
    <w:pPr>
      <w:pStyle w:val="Header"/>
      <w:tabs>
        <w:tab w:val="left" w:pos="7500"/>
      </w:tabs>
      <w:rPr>
        <w:b/>
        <w:sz w:val="20"/>
        <w:szCs w:val="20"/>
      </w:rPr>
    </w:pPr>
    <w:r>
      <w:rPr>
        <w:b/>
        <w:sz w:val="20"/>
        <w:szCs w:val="20"/>
      </w:rPr>
      <w:t>ORDER 12</w:t>
    </w:r>
  </w:p>
  <w:p w:rsidR="002F4CEB" w:rsidRDefault="002F4CEB">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CEB" w:rsidRDefault="002F4CEB" w:rsidP="008804FA">
    <w:pPr>
      <w:pStyle w:val="Header"/>
      <w:tabs>
        <w:tab w:val="clear" w:pos="4320"/>
        <w:tab w:val="clear" w:pos="8640"/>
        <w:tab w:val="right" w:pos="8500"/>
      </w:tabs>
    </w:pPr>
    <w:r>
      <w:rPr>
        <w:b/>
        <w:sz w:val="20"/>
        <w:szCs w:val="20"/>
      </w:rPr>
      <w:tab/>
    </w:r>
    <w:r>
      <w:rPr>
        <w:b/>
        <w:sz w:val="20"/>
        <w:szCs w:val="20"/>
      </w:rPr>
      <w:tab/>
    </w:r>
    <w:r w:rsidR="000B4E7D">
      <w:rPr>
        <w:b/>
        <w:sz w:val="20"/>
        <w:szCs w:val="20"/>
      </w:rPr>
      <w:t>[Service Date October 18,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F42FE"/>
    <w:multiLevelType w:val="hybridMultilevel"/>
    <w:tmpl w:val="9E62C4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C567886"/>
    <w:multiLevelType w:val="hybridMultilevel"/>
    <w:tmpl w:val="676AA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2E7EB7"/>
    <w:multiLevelType w:val="hybridMultilevel"/>
    <w:tmpl w:val="E5CEAAB0"/>
    <w:lvl w:ilvl="0" w:tplc="186089BE">
      <w:start w:val="1"/>
      <w:numFmt w:val="upperRoman"/>
      <w:lvlText w:val="%1."/>
      <w:lvlJc w:val="left"/>
      <w:pPr>
        <w:ind w:left="3150" w:hanging="72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
    <w:nsid w:val="48331C92"/>
    <w:multiLevelType w:val="hybridMultilevel"/>
    <w:tmpl w:val="2140F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D3167A7"/>
    <w:multiLevelType w:val="hybridMultilevel"/>
    <w:tmpl w:val="715E8812"/>
    <w:lvl w:ilvl="0" w:tplc="14685B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609"/>
    <w:rsid w:val="00002DE1"/>
    <w:rsid w:val="00026D6C"/>
    <w:rsid w:val="000334DD"/>
    <w:rsid w:val="00096CC9"/>
    <w:rsid w:val="000B1E0F"/>
    <w:rsid w:val="000B3609"/>
    <w:rsid w:val="000B4E7D"/>
    <w:rsid w:val="001D59D7"/>
    <w:rsid w:val="001F091E"/>
    <w:rsid w:val="001F55ED"/>
    <w:rsid w:val="002208BA"/>
    <w:rsid w:val="002B3B52"/>
    <w:rsid w:val="002F2693"/>
    <w:rsid w:val="002F4CEB"/>
    <w:rsid w:val="00335E55"/>
    <w:rsid w:val="00367C05"/>
    <w:rsid w:val="003F2F66"/>
    <w:rsid w:val="00403C52"/>
    <w:rsid w:val="004173E4"/>
    <w:rsid w:val="00472EF7"/>
    <w:rsid w:val="00493EEE"/>
    <w:rsid w:val="004C0072"/>
    <w:rsid w:val="00533A88"/>
    <w:rsid w:val="00583FF8"/>
    <w:rsid w:val="0059393D"/>
    <w:rsid w:val="005B0AD0"/>
    <w:rsid w:val="005B31CE"/>
    <w:rsid w:val="005C057E"/>
    <w:rsid w:val="005C3D6A"/>
    <w:rsid w:val="00651E50"/>
    <w:rsid w:val="00714285"/>
    <w:rsid w:val="00783358"/>
    <w:rsid w:val="00866C16"/>
    <w:rsid w:val="008804FA"/>
    <w:rsid w:val="009068E3"/>
    <w:rsid w:val="00925E53"/>
    <w:rsid w:val="009444DD"/>
    <w:rsid w:val="009459D5"/>
    <w:rsid w:val="00947ABA"/>
    <w:rsid w:val="00991DFB"/>
    <w:rsid w:val="009D4C8F"/>
    <w:rsid w:val="00A15886"/>
    <w:rsid w:val="00A25862"/>
    <w:rsid w:val="00A34A49"/>
    <w:rsid w:val="00A617BE"/>
    <w:rsid w:val="00A9300E"/>
    <w:rsid w:val="00AC1C27"/>
    <w:rsid w:val="00AF22D1"/>
    <w:rsid w:val="00B217B5"/>
    <w:rsid w:val="00B5684C"/>
    <w:rsid w:val="00C341C5"/>
    <w:rsid w:val="00C645FF"/>
    <w:rsid w:val="00CD7A20"/>
    <w:rsid w:val="00D16B4C"/>
    <w:rsid w:val="00D4276F"/>
    <w:rsid w:val="00D55A17"/>
    <w:rsid w:val="00DC3EAE"/>
    <w:rsid w:val="00DC686A"/>
    <w:rsid w:val="00DE5835"/>
    <w:rsid w:val="00E92251"/>
    <w:rsid w:val="00E934DD"/>
    <w:rsid w:val="00F33F1D"/>
    <w:rsid w:val="00FC0A1D"/>
    <w:rsid w:val="00FF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DE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B3609"/>
    <w:pPr>
      <w:keepNext/>
      <w:jc w:val="center"/>
      <w:outlineLvl w:val="1"/>
    </w:pPr>
    <w:rPr>
      <w:u w:val="single"/>
    </w:rPr>
  </w:style>
  <w:style w:type="paragraph" w:styleId="Heading3">
    <w:name w:val="heading 3"/>
    <w:basedOn w:val="Normal"/>
    <w:next w:val="Normal"/>
    <w:link w:val="Heading3Char"/>
    <w:qFormat/>
    <w:rsid w:val="000B3609"/>
    <w:pPr>
      <w:keepNext/>
      <w:jc w:val="center"/>
      <w:outlineLvl w:val="2"/>
    </w:pPr>
    <w:rPr>
      <w:rFonts w:ascii="Palatino Linotype" w:hAnsi="Palatino Linotype"/>
      <w:b/>
      <w:bCs/>
    </w:rPr>
  </w:style>
  <w:style w:type="paragraph" w:styleId="Heading4">
    <w:name w:val="heading 4"/>
    <w:basedOn w:val="Normal"/>
    <w:next w:val="Normal"/>
    <w:link w:val="Heading4Char"/>
    <w:qFormat/>
    <w:rsid w:val="000B360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3609"/>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rsid w:val="000B3609"/>
    <w:rPr>
      <w:rFonts w:ascii="Palatino Linotype" w:eastAsia="Times New Roman" w:hAnsi="Palatino Linotype" w:cs="Times New Roman"/>
      <w:b/>
      <w:bCs/>
      <w:sz w:val="24"/>
      <w:szCs w:val="24"/>
    </w:rPr>
  </w:style>
  <w:style w:type="character" w:customStyle="1" w:styleId="Heading4Char">
    <w:name w:val="Heading 4 Char"/>
    <w:basedOn w:val="DefaultParagraphFont"/>
    <w:link w:val="Heading4"/>
    <w:rsid w:val="000B3609"/>
    <w:rPr>
      <w:rFonts w:ascii="Times New Roman" w:eastAsia="Times New Roman" w:hAnsi="Times New Roman" w:cs="Times New Roman"/>
      <w:b/>
      <w:bCs/>
      <w:sz w:val="28"/>
      <w:szCs w:val="28"/>
    </w:rPr>
  </w:style>
  <w:style w:type="paragraph" w:styleId="Header">
    <w:name w:val="header"/>
    <w:basedOn w:val="Normal"/>
    <w:link w:val="HeaderChar"/>
    <w:uiPriority w:val="99"/>
    <w:rsid w:val="000B3609"/>
    <w:pPr>
      <w:tabs>
        <w:tab w:val="center" w:pos="4320"/>
        <w:tab w:val="right" w:pos="8640"/>
      </w:tabs>
    </w:pPr>
  </w:style>
  <w:style w:type="character" w:customStyle="1" w:styleId="HeaderChar">
    <w:name w:val="Header Char"/>
    <w:basedOn w:val="DefaultParagraphFont"/>
    <w:link w:val="Header"/>
    <w:uiPriority w:val="99"/>
    <w:rsid w:val="000B3609"/>
    <w:rPr>
      <w:rFonts w:ascii="Times New Roman" w:eastAsia="Times New Roman" w:hAnsi="Times New Roman" w:cs="Times New Roman"/>
      <w:sz w:val="24"/>
      <w:szCs w:val="24"/>
    </w:rPr>
  </w:style>
  <w:style w:type="character" w:styleId="PageNumber">
    <w:name w:val="page number"/>
    <w:basedOn w:val="DefaultParagraphFont"/>
    <w:rsid w:val="000B3609"/>
  </w:style>
  <w:style w:type="paragraph" w:styleId="BodyText">
    <w:name w:val="Body Text"/>
    <w:basedOn w:val="Normal"/>
    <w:link w:val="BodyTextChar"/>
    <w:rsid w:val="000B3609"/>
    <w:pPr>
      <w:jc w:val="center"/>
    </w:pPr>
  </w:style>
  <w:style w:type="character" w:customStyle="1" w:styleId="BodyTextChar">
    <w:name w:val="Body Text Char"/>
    <w:basedOn w:val="DefaultParagraphFont"/>
    <w:link w:val="BodyText"/>
    <w:rsid w:val="000B3609"/>
    <w:rPr>
      <w:rFonts w:ascii="Times New Roman" w:eastAsia="Times New Roman" w:hAnsi="Times New Roman" w:cs="Times New Roman"/>
      <w:sz w:val="24"/>
      <w:szCs w:val="24"/>
    </w:rPr>
  </w:style>
  <w:style w:type="paragraph" w:customStyle="1" w:styleId="FindingsConclusions">
    <w:name w:val="Findings &amp; Conclusions"/>
    <w:basedOn w:val="Normal"/>
    <w:rsid w:val="000B3609"/>
    <w:pPr>
      <w:numPr>
        <w:numId w:val="1"/>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0B3609"/>
    <w:rPr>
      <w:rFonts w:ascii="Palatino Linotype" w:hAnsi="Palatino Linotype"/>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B3609"/>
    <w:rPr>
      <w:rFonts w:ascii="Palatino Linotype" w:eastAsia="Times New Roman" w:hAnsi="Palatino Linotype" w:cs="Times New Roman"/>
      <w:sz w:val="20"/>
      <w:szCs w:val="20"/>
    </w:rPr>
  </w:style>
  <w:style w:type="character" w:styleId="FootnoteReference">
    <w:name w:val="footnote reference"/>
    <w:uiPriority w:val="99"/>
    <w:rsid w:val="000B3609"/>
    <w:rPr>
      <w:vertAlign w:val="superscript"/>
    </w:rPr>
  </w:style>
  <w:style w:type="character" w:styleId="Hyperlink">
    <w:name w:val="Hyperlink"/>
    <w:rsid w:val="000B3609"/>
    <w:rPr>
      <w:color w:val="0000FF"/>
      <w:u w:val="single"/>
    </w:rPr>
  </w:style>
  <w:style w:type="paragraph" w:styleId="ListParagraph">
    <w:name w:val="List Paragraph"/>
    <w:basedOn w:val="Normal"/>
    <w:uiPriority w:val="34"/>
    <w:qFormat/>
    <w:rsid w:val="000B3609"/>
    <w:pPr>
      <w:ind w:left="720"/>
    </w:pPr>
  </w:style>
  <w:style w:type="paragraph" w:styleId="Footer">
    <w:name w:val="footer"/>
    <w:basedOn w:val="Normal"/>
    <w:link w:val="FooterChar"/>
    <w:uiPriority w:val="99"/>
    <w:unhideWhenUsed/>
    <w:rsid w:val="000B3609"/>
    <w:pPr>
      <w:tabs>
        <w:tab w:val="center" w:pos="4680"/>
        <w:tab w:val="right" w:pos="9360"/>
      </w:tabs>
    </w:pPr>
  </w:style>
  <w:style w:type="character" w:customStyle="1" w:styleId="FooterChar">
    <w:name w:val="Footer Char"/>
    <w:basedOn w:val="DefaultParagraphFont"/>
    <w:link w:val="Footer"/>
    <w:uiPriority w:val="99"/>
    <w:rsid w:val="000B360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3B52"/>
    <w:rPr>
      <w:rFonts w:ascii="Tahoma" w:hAnsi="Tahoma" w:cs="Tahoma"/>
      <w:sz w:val="16"/>
      <w:szCs w:val="16"/>
    </w:rPr>
  </w:style>
  <w:style w:type="character" w:customStyle="1" w:styleId="BalloonTextChar">
    <w:name w:val="Balloon Text Char"/>
    <w:basedOn w:val="DefaultParagraphFont"/>
    <w:link w:val="BalloonText"/>
    <w:uiPriority w:val="99"/>
    <w:semiHidden/>
    <w:rsid w:val="002B3B5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34A49"/>
    <w:rPr>
      <w:sz w:val="16"/>
      <w:szCs w:val="16"/>
    </w:rPr>
  </w:style>
  <w:style w:type="paragraph" w:styleId="CommentText">
    <w:name w:val="annotation text"/>
    <w:basedOn w:val="Normal"/>
    <w:link w:val="CommentTextChar"/>
    <w:uiPriority w:val="99"/>
    <w:semiHidden/>
    <w:unhideWhenUsed/>
    <w:rsid w:val="00A34A49"/>
    <w:rPr>
      <w:sz w:val="20"/>
      <w:szCs w:val="20"/>
    </w:rPr>
  </w:style>
  <w:style w:type="character" w:customStyle="1" w:styleId="CommentTextChar">
    <w:name w:val="Comment Text Char"/>
    <w:basedOn w:val="DefaultParagraphFont"/>
    <w:link w:val="CommentText"/>
    <w:uiPriority w:val="99"/>
    <w:semiHidden/>
    <w:rsid w:val="00A34A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4A49"/>
    <w:rPr>
      <w:b/>
      <w:bCs/>
    </w:rPr>
  </w:style>
  <w:style w:type="character" w:customStyle="1" w:styleId="CommentSubjectChar">
    <w:name w:val="Comment Subject Char"/>
    <w:basedOn w:val="CommentTextChar"/>
    <w:link w:val="CommentSubject"/>
    <w:uiPriority w:val="99"/>
    <w:semiHidden/>
    <w:rsid w:val="00A34A49"/>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DE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B3609"/>
    <w:pPr>
      <w:keepNext/>
      <w:jc w:val="center"/>
      <w:outlineLvl w:val="1"/>
    </w:pPr>
    <w:rPr>
      <w:u w:val="single"/>
    </w:rPr>
  </w:style>
  <w:style w:type="paragraph" w:styleId="Heading3">
    <w:name w:val="heading 3"/>
    <w:basedOn w:val="Normal"/>
    <w:next w:val="Normal"/>
    <w:link w:val="Heading3Char"/>
    <w:qFormat/>
    <w:rsid w:val="000B3609"/>
    <w:pPr>
      <w:keepNext/>
      <w:jc w:val="center"/>
      <w:outlineLvl w:val="2"/>
    </w:pPr>
    <w:rPr>
      <w:rFonts w:ascii="Palatino Linotype" w:hAnsi="Palatino Linotype"/>
      <w:b/>
      <w:bCs/>
    </w:rPr>
  </w:style>
  <w:style w:type="paragraph" w:styleId="Heading4">
    <w:name w:val="heading 4"/>
    <w:basedOn w:val="Normal"/>
    <w:next w:val="Normal"/>
    <w:link w:val="Heading4Char"/>
    <w:qFormat/>
    <w:rsid w:val="000B360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3609"/>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rsid w:val="000B3609"/>
    <w:rPr>
      <w:rFonts w:ascii="Palatino Linotype" w:eastAsia="Times New Roman" w:hAnsi="Palatino Linotype" w:cs="Times New Roman"/>
      <w:b/>
      <w:bCs/>
      <w:sz w:val="24"/>
      <w:szCs w:val="24"/>
    </w:rPr>
  </w:style>
  <w:style w:type="character" w:customStyle="1" w:styleId="Heading4Char">
    <w:name w:val="Heading 4 Char"/>
    <w:basedOn w:val="DefaultParagraphFont"/>
    <w:link w:val="Heading4"/>
    <w:rsid w:val="000B3609"/>
    <w:rPr>
      <w:rFonts w:ascii="Times New Roman" w:eastAsia="Times New Roman" w:hAnsi="Times New Roman" w:cs="Times New Roman"/>
      <w:b/>
      <w:bCs/>
      <w:sz w:val="28"/>
      <w:szCs w:val="28"/>
    </w:rPr>
  </w:style>
  <w:style w:type="paragraph" w:styleId="Header">
    <w:name w:val="header"/>
    <w:basedOn w:val="Normal"/>
    <w:link w:val="HeaderChar"/>
    <w:uiPriority w:val="99"/>
    <w:rsid w:val="000B3609"/>
    <w:pPr>
      <w:tabs>
        <w:tab w:val="center" w:pos="4320"/>
        <w:tab w:val="right" w:pos="8640"/>
      </w:tabs>
    </w:pPr>
  </w:style>
  <w:style w:type="character" w:customStyle="1" w:styleId="HeaderChar">
    <w:name w:val="Header Char"/>
    <w:basedOn w:val="DefaultParagraphFont"/>
    <w:link w:val="Header"/>
    <w:uiPriority w:val="99"/>
    <w:rsid w:val="000B3609"/>
    <w:rPr>
      <w:rFonts w:ascii="Times New Roman" w:eastAsia="Times New Roman" w:hAnsi="Times New Roman" w:cs="Times New Roman"/>
      <w:sz w:val="24"/>
      <w:szCs w:val="24"/>
    </w:rPr>
  </w:style>
  <w:style w:type="character" w:styleId="PageNumber">
    <w:name w:val="page number"/>
    <w:basedOn w:val="DefaultParagraphFont"/>
    <w:rsid w:val="000B3609"/>
  </w:style>
  <w:style w:type="paragraph" w:styleId="BodyText">
    <w:name w:val="Body Text"/>
    <w:basedOn w:val="Normal"/>
    <w:link w:val="BodyTextChar"/>
    <w:rsid w:val="000B3609"/>
    <w:pPr>
      <w:jc w:val="center"/>
    </w:pPr>
  </w:style>
  <w:style w:type="character" w:customStyle="1" w:styleId="BodyTextChar">
    <w:name w:val="Body Text Char"/>
    <w:basedOn w:val="DefaultParagraphFont"/>
    <w:link w:val="BodyText"/>
    <w:rsid w:val="000B3609"/>
    <w:rPr>
      <w:rFonts w:ascii="Times New Roman" w:eastAsia="Times New Roman" w:hAnsi="Times New Roman" w:cs="Times New Roman"/>
      <w:sz w:val="24"/>
      <w:szCs w:val="24"/>
    </w:rPr>
  </w:style>
  <w:style w:type="paragraph" w:customStyle="1" w:styleId="FindingsConclusions">
    <w:name w:val="Findings &amp; Conclusions"/>
    <w:basedOn w:val="Normal"/>
    <w:rsid w:val="000B3609"/>
    <w:pPr>
      <w:numPr>
        <w:numId w:val="1"/>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0B3609"/>
    <w:rPr>
      <w:rFonts w:ascii="Palatino Linotype" w:hAnsi="Palatino Linotype"/>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B3609"/>
    <w:rPr>
      <w:rFonts w:ascii="Palatino Linotype" w:eastAsia="Times New Roman" w:hAnsi="Palatino Linotype" w:cs="Times New Roman"/>
      <w:sz w:val="20"/>
      <w:szCs w:val="20"/>
    </w:rPr>
  </w:style>
  <w:style w:type="character" w:styleId="FootnoteReference">
    <w:name w:val="footnote reference"/>
    <w:uiPriority w:val="99"/>
    <w:rsid w:val="000B3609"/>
    <w:rPr>
      <w:vertAlign w:val="superscript"/>
    </w:rPr>
  </w:style>
  <w:style w:type="character" w:styleId="Hyperlink">
    <w:name w:val="Hyperlink"/>
    <w:rsid w:val="000B3609"/>
    <w:rPr>
      <w:color w:val="0000FF"/>
      <w:u w:val="single"/>
    </w:rPr>
  </w:style>
  <w:style w:type="paragraph" w:styleId="ListParagraph">
    <w:name w:val="List Paragraph"/>
    <w:basedOn w:val="Normal"/>
    <w:uiPriority w:val="34"/>
    <w:qFormat/>
    <w:rsid w:val="000B3609"/>
    <w:pPr>
      <w:ind w:left="720"/>
    </w:pPr>
  </w:style>
  <w:style w:type="paragraph" w:styleId="Footer">
    <w:name w:val="footer"/>
    <w:basedOn w:val="Normal"/>
    <w:link w:val="FooterChar"/>
    <w:uiPriority w:val="99"/>
    <w:unhideWhenUsed/>
    <w:rsid w:val="000B3609"/>
    <w:pPr>
      <w:tabs>
        <w:tab w:val="center" w:pos="4680"/>
        <w:tab w:val="right" w:pos="9360"/>
      </w:tabs>
    </w:pPr>
  </w:style>
  <w:style w:type="character" w:customStyle="1" w:styleId="FooterChar">
    <w:name w:val="Footer Char"/>
    <w:basedOn w:val="DefaultParagraphFont"/>
    <w:link w:val="Footer"/>
    <w:uiPriority w:val="99"/>
    <w:rsid w:val="000B360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3B52"/>
    <w:rPr>
      <w:rFonts w:ascii="Tahoma" w:hAnsi="Tahoma" w:cs="Tahoma"/>
      <w:sz w:val="16"/>
      <w:szCs w:val="16"/>
    </w:rPr>
  </w:style>
  <w:style w:type="character" w:customStyle="1" w:styleId="BalloonTextChar">
    <w:name w:val="Balloon Text Char"/>
    <w:basedOn w:val="DefaultParagraphFont"/>
    <w:link w:val="BalloonText"/>
    <w:uiPriority w:val="99"/>
    <w:semiHidden/>
    <w:rsid w:val="002B3B5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34A49"/>
    <w:rPr>
      <w:sz w:val="16"/>
      <w:szCs w:val="16"/>
    </w:rPr>
  </w:style>
  <w:style w:type="paragraph" w:styleId="CommentText">
    <w:name w:val="annotation text"/>
    <w:basedOn w:val="Normal"/>
    <w:link w:val="CommentTextChar"/>
    <w:uiPriority w:val="99"/>
    <w:semiHidden/>
    <w:unhideWhenUsed/>
    <w:rsid w:val="00A34A49"/>
    <w:rPr>
      <w:sz w:val="20"/>
      <w:szCs w:val="20"/>
    </w:rPr>
  </w:style>
  <w:style w:type="character" w:customStyle="1" w:styleId="CommentTextChar">
    <w:name w:val="Comment Text Char"/>
    <w:basedOn w:val="DefaultParagraphFont"/>
    <w:link w:val="CommentText"/>
    <w:uiPriority w:val="99"/>
    <w:semiHidden/>
    <w:rsid w:val="00A34A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4A49"/>
    <w:rPr>
      <w:b/>
      <w:bCs/>
    </w:rPr>
  </w:style>
  <w:style w:type="character" w:customStyle="1" w:styleId="CommentSubjectChar">
    <w:name w:val="Comment Subject Char"/>
    <w:basedOn w:val="CommentTextChar"/>
    <w:link w:val="CommentSubject"/>
    <w:uiPriority w:val="99"/>
    <w:semiHidden/>
    <w:rsid w:val="00A34A4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Prehearing Conference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2012-10-18T07:00:00+00:00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365C5EB-B6AC-48B1-9169-693A78540049}"/>
</file>

<file path=customXml/itemProps2.xml><?xml version="1.0" encoding="utf-8"?>
<ds:datastoreItem xmlns:ds="http://schemas.openxmlformats.org/officeDocument/2006/customXml" ds:itemID="{8DDBED7B-FC80-4F7B-81EA-47FFA4E849AB}"/>
</file>

<file path=customXml/itemProps3.xml><?xml version="1.0" encoding="utf-8"?>
<ds:datastoreItem xmlns:ds="http://schemas.openxmlformats.org/officeDocument/2006/customXml" ds:itemID="{56B3C357-AD2D-460A-A20E-E728B78EB580}"/>
</file>

<file path=customXml/itemProps4.xml><?xml version="1.0" encoding="utf-8"?>
<ds:datastoreItem xmlns:ds="http://schemas.openxmlformats.org/officeDocument/2006/customXml" ds:itemID="{2A7FEDB3-127E-43CC-ADF7-28CDF1C60586}"/>
</file>

<file path=customXml/itemProps5.xml><?xml version="1.0" encoding="utf-8"?>
<ds:datastoreItem xmlns:ds="http://schemas.openxmlformats.org/officeDocument/2006/customXml" ds:itemID="{CB5F6469-E965-470E-8196-4BC8D63E01E6}"/>
</file>

<file path=docProps/app.xml><?xml version="1.0" encoding="utf-8"?>
<Properties xmlns="http://schemas.openxmlformats.org/officeDocument/2006/extended-properties" xmlns:vt="http://schemas.openxmlformats.org/officeDocument/2006/docPropsVTypes">
  <Template>Normal</Template>
  <TotalTime>0</TotalTime>
  <Pages>6</Pages>
  <Words>1399</Words>
  <Characters>7976</Characters>
  <Application>Microsoft Office Word</Application>
  <DocSecurity>0</DocSecurity>
  <Lines>66</Lines>
  <Paragraphs>18</Paragraphs>
  <ScaleCrop>false</ScaleCrop>
  <Company/>
  <LinksUpToDate>false</LinksUpToDate>
  <CharactersWithSpaces>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2012-10-18T14:53:00Z</dcterms:created>
  <dcterms:modified xsi:type="dcterms:W3CDTF">2012-10-18T14:53:00Z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