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charts/chart2.xml" ContentType="application/vnd.openxmlformats-officedocument.drawingml.chart+xml"/>
  <Override PartName="/word/charts/chart4.xml" ContentType="application/vnd.openxmlformats-officedocument.drawingml.chart+xml"/>
  <Override PartName="/word/charts/chart3.xml" ContentType="application/vnd.openxmlformats-officedocument.drawingml.chart+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46A" w:rsidRPr="00772329" w:rsidRDefault="0047046A" w:rsidP="00101FFD">
      <w:pPr>
        <w:ind w:right="18" w:firstLine="5670"/>
        <w:rPr>
          <w:b/>
          <w:lang w:val="fr-FR"/>
        </w:rPr>
      </w:pPr>
      <w:r w:rsidRPr="00772329">
        <w:rPr>
          <w:b/>
        </w:rPr>
        <w:t>Exhibit</w:t>
      </w:r>
      <w:r w:rsidRPr="00772329">
        <w:rPr>
          <w:b/>
          <w:lang w:val="fr-FR"/>
        </w:rPr>
        <w:t xml:space="preserve"> No. ___</w:t>
      </w:r>
      <w:r w:rsidR="005024AA" w:rsidRPr="00772329">
        <w:rPr>
          <w:b/>
          <w:lang w:val="fr-FR"/>
        </w:rPr>
        <w:t xml:space="preserve"> </w:t>
      </w:r>
      <w:r w:rsidRPr="00772329">
        <w:rPr>
          <w:b/>
          <w:lang w:val="fr-FR"/>
        </w:rPr>
        <w:t>T (</w:t>
      </w:r>
      <w:r w:rsidR="00782595" w:rsidRPr="00772329">
        <w:rPr>
          <w:b/>
          <w:lang w:val="fr-FR"/>
        </w:rPr>
        <w:t>K</w:t>
      </w:r>
      <w:r w:rsidR="008257A0" w:rsidRPr="00772329">
        <w:rPr>
          <w:b/>
          <w:lang w:val="fr-FR"/>
        </w:rPr>
        <w:t>M</w:t>
      </w:r>
      <w:r w:rsidR="00101FFD" w:rsidRPr="00772329">
        <w:rPr>
          <w:b/>
          <w:lang w:val="fr-FR"/>
        </w:rPr>
        <w:t>R</w:t>
      </w:r>
      <w:r w:rsidRPr="00772329">
        <w:rPr>
          <w:b/>
          <w:lang w:val="fr-FR"/>
        </w:rPr>
        <w:t>-1T)</w:t>
      </w:r>
    </w:p>
    <w:p w:rsidR="00136C92" w:rsidRPr="00772329" w:rsidRDefault="00396C6F" w:rsidP="00101FFD">
      <w:pPr>
        <w:ind w:firstLine="5670"/>
        <w:rPr>
          <w:b/>
        </w:rPr>
      </w:pPr>
      <w:r w:rsidRPr="00772329">
        <w:rPr>
          <w:b/>
        </w:rPr>
        <w:t xml:space="preserve">Docket </w:t>
      </w:r>
      <w:r w:rsidR="00101FFD" w:rsidRPr="00772329">
        <w:rPr>
          <w:b/>
        </w:rPr>
        <w:t>UT-</w:t>
      </w:r>
      <w:r w:rsidR="008F73C1">
        <w:rPr>
          <w:b/>
        </w:rPr>
        <w:t>100820</w:t>
      </w:r>
    </w:p>
    <w:p w:rsidR="0047046A" w:rsidRPr="00772329" w:rsidRDefault="0047046A" w:rsidP="009C757F">
      <w:pPr>
        <w:ind w:firstLine="5670"/>
        <w:rPr>
          <w:b/>
        </w:rPr>
      </w:pPr>
      <w:r w:rsidRPr="00772329">
        <w:rPr>
          <w:b/>
        </w:rPr>
        <w:t xml:space="preserve">Witness:  </w:t>
      </w:r>
      <w:r w:rsidR="00782595" w:rsidRPr="00772329">
        <w:rPr>
          <w:b/>
        </w:rPr>
        <w:t xml:space="preserve">Kristen </w:t>
      </w:r>
      <w:r w:rsidR="008257A0" w:rsidRPr="00772329">
        <w:rPr>
          <w:b/>
        </w:rPr>
        <w:t xml:space="preserve">M. </w:t>
      </w:r>
      <w:r w:rsidR="00782595" w:rsidRPr="00772329">
        <w:rPr>
          <w:b/>
        </w:rPr>
        <w:t>Russell</w:t>
      </w:r>
    </w:p>
    <w:p w:rsidR="0047046A" w:rsidRPr="00C85312" w:rsidRDefault="0047046A" w:rsidP="009C757F">
      <w:pPr>
        <w:pStyle w:val="BlockText"/>
        <w:spacing w:line="240" w:lineRule="auto"/>
        <w:ind w:left="0"/>
        <w:rPr>
          <w:b/>
        </w:rPr>
      </w:pPr>
    </w:p>
    <w:p w:rsidR="00101FFD" w:rsidRPr="00C85312" w:rsidRDefault="00101FFD" w:rsidP="009C757F">
      <w:pPr>
        <w:pStyle w:val="BlockText"/>
        <w:spacing w:line="240" w:lineRule="auto"/>
        <w:ind w:left="0"/>
        <w:rPr>
          <w:b/>
        </w:rPr>
      </w:pPr>
    </w:p>
    <w:p w:rsidR="00101FFD" w:rsidRPr="00C85312" w:rsidRDefault="00101FFD" w:rsidP="009C757F">
      <w:pPr>
        <w:pStyle w:val="BlockText"/>
        <w:spacing w:line="240" w:lineRule="auto"/>
        <w:ind w:left="0"/>
        <w:rPr>
          <w:b/>
        </w:rPr>
      </w:pPr>
    </w:p>
    <w:p w:rsidR="00092D11" w:rsidRPr="00772329" w:rsidRDefault="00092D11" w:rsidP="00092D11">
      <w:pPr>
        <w:tabs>
          <w:tab w:val="center" w:pos="4680"/>
        </w:tabs>
        <w:ind w:right="-108" w:hanging="180"/>
        <w:jc w:val="both"/>
        <w:rPr>
          <w:b/>
        </w:rPr>
      </w:pPr>
      <w:r w:rsidRPr="00772329">
        <w:rPr>
          <w:b/>
        </w:rPr>
        <w:t>BEFORE THE WASHINGTON UTILITIES AND TRANSPORTATION COMMISSION</w:t>
      </w:r>
    </w:p>
    <w:p w:rsidR="00092D11" w:rsidRPr="00772329" w:rsidRDefault="00092D11" w:rsidP="00092D11">
      <w:pPr>
        <w:jc w:val="both"/>
        <w:rPr>
          <w:b/>
        </w:rPr>
      </w:pPr>
    </w:p>
    <w:tbl>
      <w:tblPr>
        <w:tblW w:w="9180" w:type="dxa"/>
        <w:tblInd w:w="124" w:type="dxa"/>
        <w:tblLayout w:type="fixed"/>
        <w:tblCellMar>
          <w:left w:w="124" w:type="dxa"/>
          <w:right w:w="124" w:type="dxa"/>
        </w:tblCellMar>
        <w:tblLook w:val="0000"/>
      </w:tblPr>
      <w:tblGrid>
        <w:gridCol w:w="4590"/>
        <w:gridCol w:w="4590"/>
      </w:tblGrid>
      <w:tr w:rsidR="00092D11" w:rsidRPr="00772329" w:rsidTr="00F95959">
        <w:tc>
          <w:tcPr>
            <w:tcW w:w="4590" w:type="dxa"/>
            <w:tcBorders>
              <w:top w:val="single" w:sz="6" w:space="0" w:color="FFFFFF"/>
              <w:left w:val="single" w:sz="6" w:space="0" w:color="FFFFFF"/>
              <w:bottom w:val="single" w:sz="7" w:space="0" w:color="000000"/>
              <w:right w:val="single" w:sz="6" w:space="0" w:color="FFFFFF"/>
            </w:tcBorders>
          </w:tcPr>
          <w:p w:rsidR="00092D11" w:rsidRPr="00772329" w:rsidRDefault="00092D11" w:rsidP="00F95959">
            <w:pPr>
              <w:rPr>
                <w:b/>
              </w:rPr>
            </w:pPr>
          </w:p>
          <w:p w:rsidR="00C05BA8" w:rsidRDefault="00C05BA8" w:rsidP="00C05BA8">
            <w:pPr>
              <w:spacing w:after="19"/>
              <w:rPr>
                <w:b/>
              </w:rPr>
            </w:pPr>
            <w:r>
              <w:rPr>
                <w:b/>
              </w:rPr>
              <w:t xml:space="preserve">In the Matter of the Joint Application of </w:t>
            </w:r>
          </w:p>
          <w:p w:rsidR="00C05BA8" w:rsidRDefault="00C05BA8" w:rsidP="00C05BA8">
            <w:pPr>
              <w:spacing w:after="19"/>
              <w:rPr>
                <w:b/>
              </w:rPr>
            </w:pPr>
          </w:p>
          <w:p w:rsidR="00C05BA8" w:rsidRDefault="00C05BA8" w:rsidP="00C05BA8">
            <w:pPr>
              <w:spacing w:after="19"/>
              <w:rPr>
                <w:b/>
              </w:rPr>
            </w:pPr>
            <w:r>
              <w:rPr>
                <w:b/>
              </w:rPr>
              <w:t>QWEST COMMUNICATIONS INTERNATIONAL INC. and CENTURYTEL, INC.</w:t>
            </w:r>
          </w:p>
          <w:p w:rsidR="00C05BA8" w:rsidRDefault="00C05BA8" w:rsidP="00C05BA8">
            <w:pPr>
              <w:spacing w:after="19"/>
              <w:rPr>
                <w:b/>
              </w:rPr>
            </w:pPr>
          </w:p>
          <w:p w:rsidR="00C05BA8" w:rsidRPr="00FB2A42" w:rsidRDefault="00C05BA8" w:rsidP="00C05BA8">
            <w:pPr>
              <w:spacing w:after="19"/>
              <w:rPr>
                <w:b/>
              </w:rPr>
            </w:pPr>
            <w:proofErr w:type="gramStart"/>
            <w:r>
              <w:rPr>
                <w:b/>
              </w:rPr>
              <w:t>for</w:t>
            </w:r>
            <w:proofErr w:type="gramEnd"/>
            <w:r>
              <w:rPr>
                <w:b/>
              </w:rPr>
              <w:t xml:space="preserve"> Approval of Indirect Transfer of Control of Qwest Corporation, Qwest Communications Company LLC, and Qwest LD Corp.</w:t>
            </w:r>
          </w:p>
          <w:p w:rsidR="00092D11" w:rsidRPr="00772329" w:rsidRDefault="00092D11" w:rsidP="00F95959">
            <w:pPr>
              <w:spacing w:after="19"/>
              <w:rPr>
                <w:b/>
              </w:rPr>
            </w:pPr>
          </w:p>
        </w:tc>
        <w:tc>
          <w:tcPr>
            <w:tcW w:w="4590" w:type="dxa"/>
            <w:tcBorders>
              <w:top w:val="single" w:sz="6" w:space="0" w:color="FFFFFF"/>
              <w:left w:val="single" w:sz="7" w:space="0" w:color="000000"/>
              <w:bottom w:val="single" w:sz="6" w:space="0" w:color="FFFFFF"/>
              <w:right w:val="single" w:sz="6" w:space="0" w:color="FFFFFF"/>
            </w:tcBorders>
          </w:tcPr>
          <w:p w:rsidR="00092D11" w:rsidRPr="00772329" w:rsidRDefault="00092D11" w:rsidP="00F95959">
            <w:pPr>
              <w:ind w:firstLine="720"/>
              <w:rPr>
                <w:b/>
              </w:rPr>
            </w:pPr>
          </w:p>
          <w:p w:rsidR="00092D11" w:rsidRPr="00772329" w:rsidRDefault="00092D11" w:rsidP="00F95959">
            <w:pPr>
              <w:ind w:firstLine="720"/>
              <w:rPr>
                <w:b/>
              </w:rPr>
            </w:pPr>
            <w:r w:rsidRPr="00772329">
              <w:rPr>
                <w:b/>
              </w:rPr>
              <w:t>DOCKET UT-</w:t>
            </w:r>
            <w:r w:rsidR="008F73C1">
              <w:rPr>
                <w:b/>
              </w:rPr>
              <w:t>100820</w:t>
            </w:r>
          </w:p>
          <w:p w:rsidR="00092D11" w:rsidRPr="00772329" w:rsidRDefault="00092D11" w:rsidP="00F95959">
            <w:pPr>
              <w:rPr>
                <w:b/>
              </w:rPr>
            </w:pPr>
          </w:p>
          <w:p w:rsidR="00092D11" w:rsidRPr="00772329" w:rsidRDefault="00092D11" w:rsidP="00F95959">
            <w:pPr>
              <w:spacing w:after="19"/>
              <w:ind w:left="720"/>
              <w:rPr>
                <w:b/>
              </w:rPr>
            </w:pPr>
            <w:r w:rsidRPr="00772329">
              <w:rPr>
                <w:b/>
              </w:rPr>
              <w:t xml:space="preserve"> </w:t>
            </w:r>
          </w:p>
        </w:tc>
      </w:tr>
    </w:tbl>
    <w:p w:rsidR="00092D11" w:rsidRPr="00772329" w:rsidRDefault="00092D11" w:rsidP="00092D11">
      <w:pPr>
        <w:jc w:val="both"/>
      </w:pPr>
    </w:p>
    <w:p w:rsidR="00092D11" w:rsidRPr="00772329" w:rsidRDefault="00092D11" w:rsidP="00092D11">
      <w:pPr>
        <w:rPr>
          <w:b/>
          <w:bCs/>
        </w:rPr>
      </w:pPr>
    </w:p>
    <w:p w:rsidR="00092D11" w:rsidRPr="00772329" w:rsidRDefault="00092D11" w:rsidP="00092D11">
      <w:pPr>
        <w:rPr>
          <w:b/>
          <w:bCs/>
        </w:rPr>
      </w:pPr>
    </w:p>
    <w:p w:rsidR="00092D11" w:rsidRPr="00772329" w:rsidRDefault="00092D11" w:rsidP="00092D11">
      <w:pPr>
        <w:tabs>
          <w:tab w:val="center" w:pos="4680"/>
        </w:tabs>
        <w:jc w:val="center"/>
        <w:rPr>
          <w:b/>
        </w:rPr>
      </w:pPr>
    </w:p>
    <w:p w:rsidR="0047046A" w:rsidRPr="00772329" w:rsidRDefault="00092D11" w:rsidP="00092D11">
      <w:pPr>
        <w:tabs>
          <w:tab w:val="center" w:pos="4680"/>
        </w:tabs>
        <w:jc w:val="center"/>
        <w:rPr>
          <w:b/>
        </w:rPr>
      </w:pPr>
      <w:r w:rsidRPr="00772329">
        <w:rPr>
          <w:b/>
        </w:rPr>
        <w:t>TESTIMONY</w:t>
      </w:r>
    </w:p>
    <w:p w:rsidR="0047046A" w:rsidRPr="00772329" w:rsidRDefault="0047046A" w:rsidP="009C757F">
      <w:pPr>
        <w:jc w:val="center"/>
        <w:rPr>
          <w:b/>
        </w:rPr>
      </w:pPr>
    </w:p>
    <w:p w:rsidR="0047046A" w:rsidRPr="00772329" w:rsidRDefault="0047046A" w:rsidP="009C757F">
      <w:pPr>
        <w:jc w:val="center"/>
        <w:rPr>
          <w:b/>
        </w:rPr>
      </w:pPr>
      <w:r w:rsidRPr="00772329">
        <w:rPr>
          <w:b/>
        </w:rPr>
        <w:t>OF</w:t>
      </w:r>
    </w:p>
    <w:p w:rsidR="0047046A" w:rsidRPr="00772329" w:rsidRDefault="0047046A" w:rsidP="009C757F">
      <w:pPr>
        <w:jc w:val="center"/>
        <w:rPr>
          <w:b/>
        </w:rPr>
      </w:pPr>
    </w:p>
    <w:p w:rsidR="0047046A" w:rsidRPr="00772329" w:rsidRDefault="00782595" w:rsidP="009C757F">
      <w:pPr>
        <w:tabs>
          <w:tab w:val="center" w:pos="4680"/>
        </w:tabs>
        <w:jc w:val="center"/>
        <w:rPr>
          <w:b/>
        </w:rPr>
      </w:pPr>
      <w:r w:rsidRPr="00772329">
        <w:rPr>
          <w:b/>
        </w:rPr>
        <w:t xml:space="preserve">KRISTEN </w:t>
      </w:r>
      <w:r w:rsidR="008257A0" w:rsidRPr="00772329">
        <w:rPr>
          <w:b/>
        </w:rPr>
        <w:t xml:space="preserve">M. </w:t>
      </w:r>
      <w:r w:rsidRPr="00772329">
        <w:rPr>
          <w:b/>
        </w:rPr>
        <w:t>RUSSELL</w:t>
      </w:r>
    </w:p>
    <w:p w:rsidR="00396C6F" w:rsidRPr="00772329" w:rsidRDefault="00396C6F" w:rsidP="009C757F">
      <w:pPr>
        <w:jc w:val="center"/>
        <w:rPr>
          <w:b/>
        </w:rPr>
      </w:pPr>
    </w:p>
    <w:p w:rsidR="00101FFD" w:rsidRPr="00772329" w:rsidRDefault="002E0D2C" w:rsidP="009C757F">
      <w:pPr>
        <w:tabs>
          <w:tab w:val="center" w:pos="4680"/>
        </w:tabs>
        <w:jc w:val="center"/>
        <w:rPr>
          <w:b/>
        </w:rPr>
      </w:pPr>
      <w:r w:rsidRPr="00772329">
        <w:rPr>
          <w:b/>
        </w:rPr>
        <w:t>S</w:t>
      </w:r>
      <w:r w:rsidR="0047046A" w:rsidRPr="00772329">
        <w:rPr>
          <w:b/>
        </w:rPr>
        <w:t>TAFF OF</w:t>
      </w:r>
      <w:r w:rsidR="008E60C4">
        <w:rPr>
          <w:b/>
        </w:rPr>
        <w:t xml:space="preserve"> </w:t>
      </w:r>
      <w:r w:rsidR="0047046A" w:rsidRPr="00772329">
        <w:rPr>
          <w:b/>
        </w:rPr>
        <w:t>WASHINGTON UTILITIES AND</w:t>
      </w:r>
    </w:p>
    <w:p w:rsidR="0047046A" w:rsidRPr="00772329" w:rsidRDefault="0047046A" w:rsidP="009C757F">
      <w:pPr>
        <w:tabs>
          <w:tab w:val="center" w:pos="4680"/>
        </w:tabs>
        <w:jc w:val="center"/>
        <w:rPr>
          <w:b/>
        </w:rPr>
      </w:pPr>
      <w:r w:rsidRPr="00772329">
        <w:rPr>
          <w:b/>
        </w:rPr>
        <w:t>TRANSPORTATION COMMISSION</w:t>
      </w:r>
    </w:p>
    <w:p w:rsidR="00136C92" w:rsidRPr="00772329" w:rsidRDefault="00136C92" w:rsidP="009C757F">
      <w:pPr>
        <w:tabs>
          <w:tab w:val="center" w:pos="4680"/>
        </w:tabs>
        <w:jc w:val="center"/>
        <w:rPr>
          <w:b/>
        </w:rPr>
      </w:pPr>
    </w:p>
    <w:p w:rsidR="00101FFD" w:rsidRPr="00772329" w:rsidRDefault="00101FFD" w:rsidP="009C757F">
      <w:pPr>
        <w:tabs>
          <w:tab w:val="center" w:pos="4680"/>
        </w:tabs>
        <w:jc w:val="center"/>
        <w:rPr>
          <w:b/>
        </w:rPr>
      </w:pPr>
    </w:p>
    <w:p w:rsidR="00101FFD" w:rsidRPr="00772329" w:rsidRDefault="00101FFD" w:rsidP="009C757F">
      <w:pPr>
        <w:tabs>
          <w:tab w:val="center" w:pos="4680"/>
        </w:tabs>
        <w:jc w:val="center"/>
        <w:rPr>
          <w:b/>
        </w:rPr>
      </w:pPr>
    </w:p>
    <w:p w:rsidR="00101FFD" w:rsidRPr="00772329" w:rsidRDefault="00101FFD" w:rsidP="009C757F">
      <w:pPr>
        <w:tabs>
          <w:tab w:val="center" w:pos="4680"/>
        </w:tabs>
        <w:jc w:val="center"/>
        <w:rPr>
          <w:b/>
        </w:rPr>
      </w:pPr>
    </w:p>
    <w:p w:rsidR="00101FFD" w:rsidRPr="00772329" w:rsidRDefault="00101FFD" w:rsidP="009C757F">
      <w:pPr>
        <w:tabs>
          <w:tab w:val="center" w:pos="4680"/>
        </w:tabs>
        <w:jc w:val="center"/>
        <w:rPr>
          <w:b/>
        </w:rPr>
      </w:pPr>
    </w:p>
    <w:p w:rsidR="00101FFD" w:rsidRPr="00772329" w:rsidRDefault="00101FFD" w:rsidP="009C757F">
      <w:pPr>
        <w:tabs>
          <w:tab w:val="center" w:pos="4680"/>
        </w:tabs>
        <w:jc w:val="center"/>
        <w:rPr>
          <w:b/>
        </w:rPr>
      </w:pPr>
    </w:p>
    <w:p w:rsidR="00101FFD" w:rsidRPr="00772329" w:rsidRDefault="00101FFD" w:rsidP="009C757F">
      <w:pPr>
        <w:tabs>
          <w:tab w:val="center" w:pos="4680"/>
        </w:tabs>
        <w:jc w:val="center"/>
        <w:rPr>
          <w:b/>
        </w:rPr>
      </w:pPr>
    </w:p>
    <w:p w:rsidR="00101FFD" w:rsidRDefault="009046F8" w:rsidP="009C757F">
      <w:pPr>
        <w:tabs>
          <w:tab w:val="center" w:pos="4680"/>
        </w:tabs>
        <w:jc w:val="center"/>
        <w:rPr>
          <w:b/>
        </w:rPr>
      </w:pPr>
      <w:r>
        <w:rPr>
          <w:b/>
        </w:rPr>
        <w:t xml:space="preserve"> September </w:t>
      </w:r>
      <w:r w:rsidR="00A86CAF">
        <w:rPr>
          <w:b/>
        </w:rPr>
        <w:t>2</w:t>
      </w:r>
      <w:r w:rsidR="00A81EC3">
        <w:rPr>
          <w:b/>
        </w:rPr>
        <w:t>7</w:t>
      </w:r>
      <w:r w:rsidR="008F73C1">
        <w:rPr>
          <w:b/>
        </w:rPr>
        <w:t>, 2010</w:t>
      </w:r>
    </w:p>
    <w:p w:rsidR="001E1BF8" w:rsidRDefault="001E1BF8" w:rsidP="001E1BF8">
      <w:pPr>
        <w:tabs>
          <w:tab w:val="center" w:pos="4680"/>
        </w:tabs>
        <w:rPr>
          <w:b/>
        </w:rPr>
      </w:pPr>
    </w:p>
    <w:p w:rsidR="001E1BF8" w:rsidRDefault="001E1BF8" w:rsidP="001E1BF8">
      <w:pPr>
        <w:tabs>
          <w:tab w:val="center" w:pos="4680"/>
        </w:tabs>
        <w:rPr>
          <w:b/>
        </w:rPr>
      </w:pPr>
    </w:p>
    <w:p w:rsidR="001E1BF8" w:rsidRPr="00772329" w:rsidRDefault="001E1BF8" w:rsidP="001E1BF8">
      <w:pPr>
        <w:tabs>
          <w:tab w:val="center" w:pos="4680"/>
        </w:tabs>
        <w:rPr>
          <w:b/>
        </w:rPr>
        <w:sectPr w:rsidR="001E1BF8" w:rsidRPr="00772329" w:rsidSect="004E7ADA">
          <w:footerReference w:type="default" r:id="rId9"/>
          <w:pgSz w:w="12240" w:h="15840" w:code="1"/>
          <w:pgMar w:top="1440" w:right="1440" w:bottom="1440" w:left="1872" w:header="720" w:footer="720" w:gutter="0"/>
          <w:cols w:space="720"/>
          <w:titlePg/>
          <w:docGrid w:linePitch="360"/>
        </w:sectPr>
      </w:pPr>
    </w:p>
    <w:p w:rsidR="00790D92" w:rsidRPr="00772329" w:rsidRDefault="00101FFD" w:rsidP="00101FFD">
      <w:pPr>
        <w:jc w:val="center"/>
        <w:rPr>
          <w:b/>
        </w:rPr>
      </w:pPr>
      <w:r w:rsidRPr="00772329">
        <w:rPr>
          <w:b/>
        </w:rPr>
        <w:lastRenderedPageBreak/>
        <w:t>TABLE OF CONTENTS</w:t>
      </w:r>
    </w:p>
    <w:p w:rsidR="00CD6772" w:rsidRPr="00772329" w:rsidRDefault="00CD6772">
      <w:pPr>
        <w:rPr>
          <w:b/>
        </w:rPr>
      </w:pPr>
    </w:p>
    <w:p w:rsidR="00946DB4" w:rsidRDefault="00140B0F" w:rsidP="00946DB4">
      <w:pPr>
        <w:tabs>
          <w:tab w:val="left" w:pos="720"/>
          <w:tab w:val="left" w:pos="1440"/>
          <w:tab w:val="left" w:pos="2160"/>
          <w:tab w:val="right" w:leader="dot" w:pos="9000"/>
        </w:tabs>
      </w:pPr>
      <w:r>
        <w:t>I.</w:t>
      </w:r>
      <w:r>
        <w:tab/>
        <w:t>INTRODUCTION</w:t>
      </w:r>
      <w:r>
        <w:tab/>
        <w:t>1</w:t>
      </w:r>
    </w:p>
    <w:p w:rsidR="00140B0F" w:rsidRDefault="00140B0F" w:rsidP="00140B0F">
      <w:pPr>
        <w:tabs>
          <w:tab w:val="left" w:pos="720"/>
          <w:tab w:val="left" w:pos="1440"/>
          <w:tab w:val="left" w:pos="2160"/>
          <w:tab w:val="left" w:pos="2880"/>
          <w:tab w:val="right" w:leader="dot" w:pos="9000"/>
        </w:tabs>
      </w:pPr>
    </w:p>
    <w:p w:rsidR="00946DB4" w:rsidRDefault="00140B0F" w:rsidP="00946DB4">
      <w:pPr>
        <w:tabs>
          <w:tab w:val="left" w:pos="720"/>
          <w:tab w:val="left" w:pos="1440"/>
          <w:tab w:val="right" w:leader="dot" w:pos="9000"/>
        </w:tabs>
      </w:pPr>
      <w:r>
        <w:t>II.</w:t>
      </w:r>
      <w:r>
        <w:tab/>
        <w:t>SUMMARY</w:t>
      </w:r>
      <w:r>
        <w:tab/>
      </w:r>
      <w:r w:rsidR="00FE70D4">
        <w:t>3</w:t>
      </w:r>
    </w:p>
    <w:p w:rsidR="00140B0F" w:rsidRDefault="00140B0F" w:rsidP="00140B0F">
      <w:pPr>
        <w:tabs>
          <w:tab w:val="left" w:pos="720"/>
          <w:tab w:val="left" w:pos="1440"/>
          <w:tab w:val="left" w:pos="2160"/>
          <w:tab w:val="left" w:pos="2880"/>
          <w:tab w:val="right" w:leader="dot" w:pos="9000"/>
        </w:tabs>
      </w:pPr>
    </w:p>
    <w:p w:rsidR="00140B0F" w:rsidRDefault="00140B0F" w:rsidP="00140B0F">
      <w:pPr>
        <w:tabs>
          <w:tab w:val="left" w:pos="720"/>
          <w:tab w:val="left" w:pos="1440"/>
          <w:tab w:val="left" w:pos="2160"/>
          <w:tab w:val="left" w:pos="2880"/>
          <w:tab w:val="right" w:leader="dot" w:pos="9000"/>
        </w:tabs>
      </w:pPr>
      <w:r>
        <w:t>III.</w:t>
      </w:r>
      <w:r>
        <w:tab/>
        <w:t xml:space="preserve">BACKGROUND: SERVICE QUALITY REPORTING RULES </w:t>
      </w:r>
      <w:r>
        <w:tab/>
      </w:r>
      <w:r w:rsidR="00FE70D4">
        <w:t>4</w:t>
      </w:r>
    </w:p>
    <w:p w:rsidR="00140B0F" w:rsidRDefault="00140B0F" w:rsidP="00140B0F">
      <w:pPr>
        <w:tabs>
          <w:tab w:val="left" w:pos="720"/>
          <w:tab w:val="left" w:pos="1440"/>
          <w:tab w:val="left" w:pos="2160"/>
          <w:tab w:val="left" w:pos="2880"/>
          <w:tab w:val="right" w:leader="dot" w:pos="9000"/>
        </w:tabs>
      </w:pPr>
    </w:p>
    <w:p w:rsidR="00946DB4" w:rsidRDefault="00140B0F" w:rsidP="00946DB4">
      <w:pPr>
        <w:tabs>
          <w:tab w:val="left" w:pos="720"/>
          <w:tab w:val="left" w:pos="1440"/>
          <w:tab w:val="right" w:leader="dot" w:pos="9000"/>
        </w:tabs>
        <w:ind w:left="720" w:hanging="720"/>
      </w:pPr>
      <w:r>
        <w:t>IV.</w:t>
      </w:r>
      <w:r w:rsidRPr="00AD2F8C">
        <w:tab/>
      </w:r>
      <w:r w:rsidR="00AD2F8C" w:rsidRPr="00AD2F8C">
        <w:t xml:space="preserve">ANALYSIS OF </w:t>
      </w:r>
      <w:r w:rsidR="00013F1A">
        <w:t>QWEST</w:t>
      </w:r>
      <w:r w:rsidR="00E034C4">
        <w:t>’S</w:t>
      </w:r>
      <w:r w:rsidR="00D57A2B">
        <w:t xml:space="preserve"> </w:t>
      </w:r>
      <w:r w:rsidR="00AD2F8C" w:rsidRPr="00AD2F8C">
        <w:t xml:space="preserve">AND </w:t>
      </w:r>
      <w:r w:rsidR="00E034C4">
        <w:t xml:space="preserve">THE </w:t>
      </w:r>
      <w:r w:rsidR="00013F1A">
        <w:t>CENTURYLINK</w:t>
      </w:r>
      <w:r w:rsidR="00D57A2B">
        <w:t xml:space="preserve"> ILEC</w:t>
      </w:r>
      <w:r w:rsidR="00AD2F8C" w:rsidRPr="00AD2F8C">
        <w:t>S</w:t>
      </w:r>
      <w:r w:rsidR="008421FD">
        <w:t>’</w:t>
      </w:r>
      <w:r w:rsidR="00AD2F8C" w:rsidRPr="00AD2F8C">
        <w:t xml:space="preserve"> </w:t>
      </w:r>
      <w:r w:rsidR="00E034C4">
        <w:br/>
      </w:r>
      <w:r w:rsidR="00AD2F8C" w:rsidRPr="00AD2F8C">
        <w:t>SERVICE QUALITY</w:t>
      </w:r>
      <w:r w:rsidR="00AD2F8C">
        <w:tab/>
      </w:r>
      <w:r w:rsidR="00FE70D4">
        <w:t>9</w:t>
      </w:r>
    </w:p>
    <w:p w:rsidR="00AD2F8C" w:rsidRDefault="00AD2F8C" w:rsidP="00140B0F">
      <w:pPr>
        <w:tabs>
          <w:tab w:val="left" w:pos="720"/>
          <w:tab w:val="left" w:pos="1440"/>
          <w:tab w:val="left" w:pos="2160"/>
          <w:tab w:val="left" w:pos="2880"/>
          <w:tab w:val="right" w:leader="dot" w:pos="9000"/>
        </w:tabs>
      </w:pPr>
    </w:p>
    <w:p w:rsidR="00BB5EB4" w:rsidRDefault="00BB5EB4" w:rsidP="00BB5EB4">
      <w:pPr>
        <w:pStyle w:val="Heading1"/>
        <w:numPr>
          <w:ilvl w:val="0"/>
          <w:numId w:val="0"/>
        </w:numPr>
        <w:spacing w:line="240" w:lineRule="auto"/>
        <w:jc w:val="left"/>
        <w:rPr>
          <w:b w:val="0"/>
          <w:kern w:val="24"/>
        </w:rPr>
      </w:pPr>
      <w:r>
        <w:rPr>
          <w:b w:val="0"/>
          <w:kern w:val="24"/>
        </w:rPr>
        <w:t xml:space="preserve">V. </w:t>
      </w:r>
      <w:r>
        <w:rPr>
          <w:b w:val="0"/>
          <w:kern w:val="24"/>
        </w:rPr>
        <w:tab/>
      </w:r>
      <w:r w:rsidRPr="00BB5EB4">
        <w:rPr>
          <w:b w:val="0"/>
          <w:kern w:val="24"/>
        </w:rPr>
        <w:t xml:space="preserve">PREVIOUSLY IMPOSED CONDITIONS TO ENSURE IMPROVED </w:t>
      </w:r>
    </w:p>
    <w:p w:rsidR="00AD2F8C" w:rsidRDefault="00BB5EB4" w:rsidP="00BB5EB4">
      <w:pPr>
        <w:pStyle w:val="Heading1"/>
        <w:numPr>
          <w:ilvl w:val="0"/>
          <w:numId w:val="0"/>
        </w:numPr>
        <w:tabs>
          <w:tab w:val="left" w:pos="720"/>
          <w:tab w:val="left" w:pos="1440"/>
          <w:tab w:val="left" w:pos="2160"/>
          <w:tab w:val="left" w:pos="2880"/>
          <w:tab w:val="right" w:leader="dot" w:pos="9000"/>
        </w:tabs>
        <w:spacing w:line="240" w:lineRule="auto"/>
        <w:ind w:firstLine="720"/>
        <w:jc w:val="left"/>
      </w:pPr>
      <w:r w:rsidRPr="00BB5EB4">
        <w:rPr>
          <w:b w:val="0"/>
          <w:kern w:val="24"/>
        </w:rPr>
        <w:t>SERVICE QUALITY</w:t>
      </w:r>
      <w:r>
        <w:rPr>
          <w:b w:val="0"/>
          <w:kern w:val="24"/>
        </w:rPr>
        <w:tab/>
      </w:r>
      <w:r>
        <w:rPr>
          <w:b w:val="0"/>
          <w:kern w:val="24"/>
        </w:rPr>
        <w:tab/>
      </w:r>
      <w:r w:rsidR="004C6714">
        <w:rPr>
          <w:b w:val="0"/>
          <w:kern w:val="24"/>
        </w:rPr>
        <w:t>1</w:t>
      </w:r>
      <w:r w:rsidR="00FE70D4">
        <w:rPr>
          <w:b w:val="0"/>
          <w:kern w:val="24"/>
        </w:rPr>
        <w:t>4</w:t>
      </w:r>
    </w:p>
    <w:p w:rsidR="00140B0F" w:rsidRDefault="00140B0F" w:rsidP="00140B0F">
      <w:pPr>
        <w:tabs>
          <w:tab w:val="left" w:pos="720"/>
          <w:tab w:val="left" w:pos="1440"/>
          <w:tab w:val="left" w:pos="2160"/>
          <w:tab w:val="left" w:pos="2880"/>
          <w:tab w:val="right" w:leader="dot" w:pos="9000"/>
        </w:tabs>
      </w:pPr>
    </w:p>
    <w:p w:rsidR="00946DB4" w:rsidRDefault="003A2019" w:rsidP="00946DB4">
      <w:pPr>
        <w:keepNext/>
        <w:tabs>
          <w:tab w:val="left" w:pos="720"/>
          <w:tab w:val="left" w:pos="1440"/>
          <w:tab w:val="right" w:leader="dot" w:pos="9000"/>
        </w:tabs>
        <w:ind w:left="720" w:hanging="720"/>
      </w:pPr>
      <w:r w:rsidRPr="003A2019">
        <w:t xml:space="preserve">VI.  </w:t>
      </w:r>
      <w:r>
        <w:tab/>
      </w:r>
      <w:r w:rsidRPr="003A2019">
        <w:t>RECOMMENDED CONDITIONS FOR</w:t>
      </w:r>
      <w:r w:rsidR="006A3F61">
        <w:t xml:space="preserve"> </w:t>
      </w:r>
      <w:r w:rsidR="00013F1A">
        <w:t>QWEST</w:t>
      </w:r>
      <w:r w:rsidR="00D57A2B">
        <w:t xml:space="preserve"> </w:t>
      </w:r>
      <w:r w:rsidR="00013F1A">
        <w:t xml:space="preserve">AND </w:t>
      </w:r>
      <w:r w:rsidR="00AA54EC">
        <w:t>THE</w:t>
      </w:r>
      <w:r w:rsidR="00AA54EC">
        <w:br/>
      </w:r>
      <w:r w:rsidR="00013F1A">
        <w:t>CENTURYLINK</w:t>
      </w:r>
      <w:r w:rsidR="00D57A2B">
        <w:t xml:space="preserve"> ILEC</w:t>
      </w:r>
      <w:r w:rsidR="008421FD">
        <w:t>S</w:t>
      </w:r>
      <w:r>
        <w:tab/>
      </w:r>
      <w:r w:rsidR="00FE70D4">
        <w:t>20</w:t>
      </w:r>
    </w:p>
    <w:p w:rsidR="00D57A2B" w:rsidRPr="003A2019" w:rsidRDefault="00D57A2B" w:rsidP="00D57A2B">
      <w:pPr>
        <w:keepNext/>
        <w:tabs>
          <w:tab w:val="left" w:pos="720"/>
          <w:tab w:val="left" w:pos="1440"/>
          <w:tab w:val="left" w:pos="2160"/>
          <w:tab w:val="left" w:pos="2880"/>
          <w:tab w:val="left" w:pos="3600"/>
          <w:tab w:val="right" w:leader="dot" w:pos="9000"/>
        </w:tabs>
        <w:ind w:left="720" w:hanging="720"/>
      </w:pPr>
    </w:p>
    <w:p w:rsidR="00946DB4" w:rsidRDefault="008C008A" w:rsidP="00946DB4">
      <w:pPr>
        <w:tabs>
          <w:tab w:val="left" w:pos="720"/>
          <w:tab w:val="left" w:pos="1440"/>
          <w:tab w:val="left" w:pos="2160"/>
          <w:tab w:val="right" w:leader="dot" w:pos="9000"/>
        </w:tabs>
      </w:pPr>
      <w:r w:rsidRPr="008C008A">
        <w:t xml:space="preserve">VII.  </w:t>
      </w:r>
      <w:r w:rsidR="00013F1A">
        <w:tab/>
      </w:r>
      <w:r>
        <w:t>CONCLUSIONS</w:t>
      </w:r>
      <w:r>
        <w:tab/>
      </w:r>
      <w:r w:rsidR="004C6714">
        <w:t>2</w:t>
      </w:r>
      <w:r w:rsidR="00FE70D4">
        <w:t>3</w:t>
      </w:r>
    </w:p>
    <w:p w:rsidR="00140B0F" w:rsidRDefault="00140B0F" w:rsidP="00140B0F">
      <w:pPr>
        <w:tabs>
          <w:tab w:val="left" w:pos="720"/>
          <w:tab w:val="left" w:pos="1440"/>
          <w:tab w:val="left" w:pos="2160"/>
          <w:tab w:val="left" w:pos="2880"/>
          <w:tab w:val="right" w:leader="dot" w:pos="9000"/>
        </w:tabs>
      </w:pPr>
    </w:p>
    <w:p w:rsidR="008B2DB8" w:rsidRDefault="008B2DB8">
      <w:r>
        <w:br w:type="page"/>
      </w:r>
    </w:p>
    <w:p w:rsidR="008B2DB8" w:rsidRDefault="008B2DB8" w:rsidP="008B2DB8">
      <w:pPr>
        <w:tabs>
          <w:tab w:val="left" w:pos="2880"/>
          <w:tab w:val="right" w:leader="dot" w:pos="9000"/>
        </w:tabs>
        <w:jc w:val="center"/>
        <w:rPr>
          <w:b/>
        </w:rPr>
      </w:pPr>
      <w:r w:rsidRPr="008B2DB8">
        <w:rPr>
          <w:b/>
        </w:rPr>
        <w:lastRenderedPageBreak/>
        <w:t>EXHIBIT LIST</w:t>
      </w:r>
    </w:p>
    <w:p w:rsidR="0079101B" w:rsidRDefault="0079101B" w:rsidP="008B2DB8">
      <w:pPr>
        <w:tabs>
          <w:tab w:val="left" w:pos="2880"/>
          <w:tab w:val="right" w:leader="dot" w:pos="9000"/>
        </w:tabs>
        <w:jc w:val="center"/>
        <w:rPr>
          <w:b/>
        </w:rPr>
      </w:pPr>
    </w:p>
    <w:p w:rsidR="008B2DB8" w:rsidRDefault="008B2DB8" w:rsidP="008B2DB8">
      <w:pPr>
        <w:tabs>
          <w:tab w:val="left" w:pos="2880"/>
          <w:tab w:val="right" w:leader="dot" w:pos="9000"/>
        </w:tabs>
        <w:jc w:val="center"/>
        <w:rPr>
          <w:b/>
        </w:rPr>
      </w:pPr>
    </w:p>
    <w:p w:rsidR="0079101B" w:rsidRDefault="0079101B" w:rsidP="0079101B">
      <w:pPr>
        <w:tabs>
          <w:tab w:val="left" w:pos="2880"/>
          <w:tab w:val="right" w:leader="dot" w:pos="9000"/>
        </w:tabs>
      </w:pPr>
      <w:r>
        <w:t>Exhibit No. ___ (KMR-2)</w:t>
      </w:r>
      <w:r>
        <w:tab/>
        <w:t>WAC 480-120-439</w:t>
      </w:r>
    </w:p>
    <w:p w:rsidR="0079101B" w:rsidRDefault="0079101B" w:rsidP="0079101B">
      <w:pPr>
        <w:tabs>
          <w:tab w:val="left" w:pos="2880"/>
          <w:tab w:val="right" w:leader="dot" w:pos="9000"/>
        </w:tabs>
      </w:pPr>
    </w:p>
    <w:p w:rsidR="0079101B" w:rsidRDefault="0079101B" w:rsidP="0079101B">
      <w:pPr>
        <w:tabs>
          <w:tab w:val="left" w:pos="2880"/>
          <w:tab w:val="right" w:leader="dot" w:pos="9000"/>
        </w:tabs>
      </w:pPr>
      <w:r>
        <w:t>Exhibit No. ___ (KMR-3)</w:t>
      </w:r>
      <w:r>
        <w:tab/>
        <w:t>Service Quality Requirements</w:t>
      </w:r>
    </w:p>
    <w:p w:rsidR="003C27D6" w:rsidRDefault="003C27D6" w:rsidP="0079101B">
      <w:pPr>
        <w:tabs>
          <w:tab w:val="left" w:pos="2880"/>
          <w:tab w:val="right" w:leader="dot" w:pos="9000"/>
        </w:tabs>
      </w:pPr>
    </w:p>
    <w:p w:rsidR="003C27D6" w:rsidRDefault="003C27D6" w:rsidP="0079101B">
      <w:pPr>
        <w:tabs>
          <w:tab w:val="left" w:pos="2880"/>
          <w:tab w:val="right" w:leader="dot" w:pos="9000"/>
        </w:tabs>
      </w:pPr>
      <w:r>
        <w:t>Exhibit No. ___ (KMR-4)</w:t>
      </w:r>
      <w:r>
        <w:tab/>
        <w:t>Qwest’s tariff pages (CSGP)</w:t>
      </w:r>
    </w:p>
    <w:p w:rsidR="0050198B" w:rsidRDefault="0050198B" w:rsidP="0079101B">
      <w:pPr>
        <w:tabs>
          <w:tab w:val="left" w:pos="2880"/>
          <w:tab w:val="right" w:leader="dot" w:pos="9000"/>
        </w:tabs>
      </w:pPr>
    </w:p>
    <w:p w:rsidR="0050198B" w:rsidRDefault="0050198B" w:rsidP="0079101B">
      <w:pPr>
        <w:tabs>
          <w:tab w:val="left" w:pos="2880"/>
          <w:tab w:val="right" w:leader="dot" w:pos="9000"/>
        </w:tabs>
      </w:pPr>
      <w:r>
        <w:t>Exhibit No. ___ (KMR-5)</w:t>
      </w:r>
      <w:r>
        <w:tab/>
        <w:t>Response to DOD/FEA JA II-27</w:t>
      </w:r>
    </w:p>
    <w:p w:rsidR="00A86CAF" w:rsidRDefault="00A86CAF" w:rsidP="0079101B">
      <w:pPr>
        <w:tabs>
          <w:tab w:val="left" w:pos="2880"/>
          <w:tab w:val="right" w:leader="dot" w:pos="9000"/>
        </w:tabs>
      </w:pPr>
    </w:p>
    <w:p w:rsidR="00A86CAF" w:rsidRDefault="00A86CAF" w:rsidP="0079101B">
      <w:pPr>
        <w:tabs>
          <w:tab w:val="left" w:pos="2880"/>
          <w:tab w:val="right" w:leader="dot" w:pos="9000"/>
        </w:tabs>
      </w:pPr>
      <w:r>
        <w:t>Exhibit No.</w:t>
      </w:r>
      <w:r w:rsidR="008E5A9D">
        <w:t xml:space="preserve"> </w:t>
      </w:r>
      <w:r>
        <w:t>___ (KMR-</w:t>
      </w:r>
      <w:r w:rsidR="0050198B">
        <w:t>6</w:t>
      </w:r>
      <w:r w:rsidR="00B131FC">
        <w:t>C</w:t>
      </w:r>
      <w:r>
        <w:t>)</w:t>
      </w:r>
      <w:r w:rsidR="00F0482A">
        <w:tab/>
      </w:r>
      <w:r w:rsidR="00B131FC" w:rsidRPr="00B131FC">
        <w:rPr>
          <w:bCs/>
        </w:rPr>
        <w:t xml:space="preserve"> </w:t>
      </w:r>
      <w:proofErr w:type="spellStart"/>
      <w:r w:rsidR="0050198B">
        <w:rPr>
          <w:bCs/>
        </w:rPr>
        <w:t>Embarq’s</w:t>
      </w:r>
      <w:proofErr w:type="spellEnd"/>
      <w:r w:rsidR="0050198B">
        <w:rPr>
          <w:bCs/>
        </w:rPr>
        <w:t xml:space="preserve"> Customer Credit Payouts </w:t>
      </w:r>
    </w:p>
    <w:p w:rsidR="008B2DB8" w:rsidRDefault="008E5A9D" w:rsidP="008B2DB8">
      <w:pPr>
        <w:tabs>
          <w:tab w:val="left" w:pos="2880"/>
          <w:tab w:val="right" w:leader="dot" w:pos="9000"/>
        </w:tabs>
        <w:jc w:val="center"/>
        <w:rPr>
          <w:b/>
        </w:rPr>
      </w:pPr>
      <w:r>
        <w:rPr>
          <w:b/>
        </w:rPr>
        <w:t xml:space="preserve"> </w:t>
      </w:r>
    </w:p>
    <w:p w:rsidR="00CD6772" w:rsidRPr="00772329" w:rsidRDefault="00CD6772">
      <w:pPr>
        <w:rPr>
          <w:b/>
        </w:rPr>
        <w:sectPr w:rsidR="00CD6772" w:rsidRPr="00772329" w:rsidSect="00CD6772">
          <w:footerReference w:type="default" r:id="rId10"/>
          <w:pgSz w:w="12240" w:h="15840" w:code="1"/>
          <w:pgMar w:top="1440" w:right="1440" w:bottom="1440" w:left="1872" w:header="720" w:footer="720" w:gutter="0"/>
          <w:pgNumType w:fmt="lowerRoman" w:start="1"/>
          <w:cols w:space="720"/>
          <w:docGrid w:linePitch="360"/>
        </w:sectPr>
      </w:pPr>
    </w:p>
    <w:p w:rsidR="00772329" w:rsidRPr="00772329" w:rsidRDefault="00772329" w:rsidP="00772329">
      <w:pPr>
        <w:pStyle w:val="Heading1"/>
        <w:tabs>
          <w:tab w:val="left" w:pos="720"/>
        </w:tabs>
        <w:rPr>
          <w:bCs/>
          <w:kern w:val="24"/>
        </w:rPr>
      </w:pPr>
      <w:r w:rsidRPr="00772329">
        <w:rPr>
          <w:bCs/>
          <w:kern w:val="24"/>
        </w:rPr>
        <w:lastRenderedPageBreak/>
        <w:t>INTRODUCTION</w:t>
      </w:r>
    </w:p>
    <w:p w:rsidR="00772329" w:rsidRPr="00772329" w:rsidRDefault="00772329" w:rsidP="00772329">
      <w:pPr>
        <w:tabs>
          <w:tab w:val="left" w:pos="720"/>
        </w:tabs>
        <w:spacing w:line="480" w:lineRule="auto"/>
        <w:rPr>
          <w:b/>
          <w:bCs/>
        </w:rPr>
      </w:pPr>
    </w:p>
    <w:p w:rsidR="00772329" w:rsidRPr="00772329" w:rsidRDefault="00772329" w:rsidP="00772329">
      <w:pPr>
        <w:tabs>
          <w:tab w:val="left" w:pos="720"/>
        </w:tabs>
        <w:spacing w:line="480" w:lineRule="auto"/>
        <w:rPr>
          <w:b/>
          <w:bCs/>
        </w:rPr>
      </w:pPr>
      <w:r w:rsidRPr="00772329">
        <w:rPr>
          <w:b/>
          <w:bCs/>
        </w:rPr>
        <w:t>Q.</w:t>
      </w:r>
      <w:r w:rsidRPr="00772329">
        <w:rPr>
          <w:b/>
          <w:bCs/>
        </w:rPr>
        <w:tab/>
        <w:t>Please state your name and business address.</w:t>
      </w:r>
    </w:p>
    <w:p w:rsidR="00772329" w:rsidRPr="00772329" w:rsidRDefault="00772329" w:rsidP="00772329">
      <w:pPr>
        <w:tabs>
          <w:tab w:val="left" w:pos="720"/>
        </w:tabs>
        <w:spacing w:line="480" w:lineRule="auto"/>
        <w:ind w:left="720" w:hanging="720"/>
      </w:pPr>
      <w:r w:rsidRPr="00772329">
        <w:t>A.</w:t>
      </w:r>
      <w:r w:rsidRPr="00772329">
        <w:tab/>
        <w:t xml:space="preserve">My name is Kristen M. Russell.  My business address is 1300 South Evergreen Park Drive Southwest, P.O. Box 47250, Olympia, Washington, 98504.  My business e-mail address is </w:t>
      </w:r>
      <w:r w:rsidRPr="0050254E">
        <w:t>krussell@utc.wa.gov</w:t>
      </w:r>
      <w:r w:rsidR="0050254E">
        <w:t>.</w:t>
      </w:r>
    </w:p>
    <w:p w:rsidR="00772329" w:rsidRPr="00772329" w:rsidRDefault="00772329" w:rsidP="00772329">
      <w:pPr>
        <w:tabs>
          <w:tab w:val="left" w:pos="720"/>
        </w:tabs>
        <w:spacing w:line="480" w:lineRule="auto"/>
        <w:ind w:left="720" w:hanging="720"/>
      </w:pPr>
    </w:p>
    <w:p w:rsidR="00772329" w:rsidRPr="00772329" w:rsidRDefault="00772329" w:rsidP="00772329">
      <w:pPr>
        <w:pStyle w:val="Heading3"/>
        <w:tabs>
          <w:tab w:val="left" w:pos="720"/>
        </w:tabs>
      </w:pPr>
      <w:r w:rsidRPr="00772329">
        <w:t>Q.</w:t>
      </w:r>
      <w:r w:rsidRPr="00772329">
        <w:tab/>
        <w:t>By whom are you employed and in what capacity?</w:t>
      </w:r>
    </w:p>
    <w:p w:rsidR="00772329" w:rsidRPr="00772329" w:rsidRDefault="00772329" w:rsidP="00772329">
      <w:pPr>
        <w:tabs>
          <w:tab w:val="left" w:pos="720"/>
        </w:tabs>
        <w:spacing w:line="480" w:lineRule="auto"/>
        <w:ind w:left="720" w:hanging="720"/>
      </w:pPr>
      <w:r w:rsidRPr="00772329">
        <w:t>A.</w:t>
      </w:r>
      <w:r w:rsidRPr="00772329">
        <w:tab/>
        <w:t>I am employed by the Washington Utilities and Transportation Commission (Commission) as a Regulatory Analyst for the Telecommunications Section.  My participation in this case is on behalf of the Commission’s Staff (Staff).</w:t>
      </w:r>
    </w:p>
    <w:p w:rsidR="00772329" w:rsidRPr="00772329" w:rsidRDefault="00772329" w:rsidP="00772329">
      <w:pPr>
        <w:tabs>
          <w:tab w:val="left" w:pos="720"/>
        </w:tabs>
        <w:spacing w:line="480" w:lineRule="auto"/>
        <w:ind w:left="720" w:hanging="720"/>
      </w:pPr>
    </w:p>
    <w:p w:rsidR="00772329" w:rsidRPr="00772329" w:rsidRDefault="00772329" w:rsidP="00772329">
      <w:pPr>
        <w:autoSpaceDE w:val="0"/>
        <w:autoSpaceDN w:val="0"/>
        <w:adjustRightInd w:val="0"/>
        <w:spacing w:line="480" w:lineRule="auto"/>
      </w:pPr>
      <w:r w:rsidRPr="00772329">
        <w:rPr>
          <w:b/>
          <w:bCs/>
        </w:rPr>
        <w:t>Q.</w:t>
      </w:r>
      <w:r w:rsidRPr="00772329">
        <w:rPr>
          <w:b/>
          <w:bCs/>
        </w:rPr>
        <w:tab/>
        <w:t xml:space="preserve">What are your educational and other qualifications? </w:t>
      </w:r>
    </w:p>
    <w:p w:rsidR="00772329" w:rsidRPr="00772329" w:rsidRDefault="00772329" w:rsidP="00772329">
      <w:pPr>
        <w:pStyle w:val="BodyTextIndent2"/>
        <w:tabs>
          <w:tab w:val="left" w:pos="-3780"/>
          <w:tab w:val="left" w:pos="-3600"/>
        </w:tabs>
        <w:ind w:hanging="720"/>
        <w:rPr>
          <w:bCs/>
        </w:rPr>
      </w:pPr>
      <w:r w:rsidRPr="00772329">
        <w:rPr>
          <w:bCs/>
        </w:rPr>
        <w:t>A.</w:t>
      </w:r>
      <w:r w:rsidRPr="00772329">
        <w:rPr>
          <w:bCs/>
        </w:rPr>
        <w:tab/>
        <w:t xml:space="preserve">I began my career with the Commission in September of 1990.  I received a Bachelor of Arts degree, with an emphasis in accounting, from The Evergreen State College in 1994.  </w:t>
      </w:r>
    </w:p>
    <w:p w:rsidR="00772329" w:rsidRPr="00772329" w:rsidRDefault="00772329" w:rsidP="00772329">
      <w:pPr>
        <w:pStyle w:val="BodyTextIndent2"/>
        <w:tabs>
          <w:tab w:val="left" w:pos="-3780"/>
          <w:tab w:val="left" w:pos="-3600"/>
        </w:tabs>
        <w:rPr>
          <w:bCs/>
        </w:rPr>
      </w:pPr>
      <w:r w:rsidRPr="00772329">
        <w:rPr>
          <w:bCs/>
        </w:rPr>
        <w:tab/>
      </w:r>
      <w:r w:rsidRPr="00772329">
        <w:rPr>
          <w:bCs/>
        </w:rPr>
        <w:tab/>
        <w:t xml:space="preserve">In September of 1999, I took a position with the Telecommunications Section of the Commission as a Regulatory Analyst and have worked on various telecommunications-related issues.  I review service quality reports that are submitted to the Commission.  I have presented recommendations to the Commission on rulemakings regarding the Washington Telephone Assistance Program (WAC 480-122) and the cessation of telecommunications service (WAC </w:t>
      </w:r>
      <w:r w:rsidRPr="00772329">
        <w:rPr>
          <w:bCs/>
        </w:rPr>
        <w:lastRenderedPageBreak/>
        <w:t>480-120-083), and recommendations for alternative measurement or reporting formats related to service quality.</w:t>
      </w:r>
    </w:p>
    <w:p w:rsidR="00772329" w:rsidRPr="00772329" w:rsidRDefault="00772329" w:rsidP="00772329">
      <w:pPr>
        <w:pStyle w:val="BodyTextIndent2"/>
        <w:tabs>
          <w:tab w:val="left" w:pos="-3780"/>
          <w:tab w:val="left" w:pos="-3600"/>
        </w:tabs>
        <w:rPr>
          <w:bCs/>
        </w:rPr>
      </w:pPr>
      <w:r w:rsidRPr="00772329">
        <w:rPr>
          <w:bCs/>
        </w:rPr>
        <w:tab/>
      </w:r>
      <w:r w:rsidRPr="00772329">
        <w:rPr>
          <w:bCs/>
        </w:rPr>
        <w:tab/>
        <w:t>I am responsible for collection, analysis, and reporting of telecommunication</w:t>
      </w:r>
      <w:r w:rsidR="0050254E">
        <w:rPr>
          <w:bCs/>
        </w:rPr>
        <w:t>s</w:t>
      </w:r>
      <w:r w:rsidRPr="00772329">
        <w:rPr>
          <w:bCs/>
        </w:rPr>
        <w:t xml:space="preserve"> service quality data.  I maintain the service quality data on the agency‘s </w:t>
      </w:r>
      <w:r w:rsidR="0050254E">
        <w:rPr>
          <w:bCs/>
        </w:rPr>
        <w:t>w</w:t>
      </w:r>
      <w:r w:rsidRPr="00772329">
        <w:rPr>
          <w:bCs/>
        </w:rPr>
        <w:t>ebsite</w:t>
      </w:r>
      <w:r w:rsidR="00D342C8">
        <w:rPr>
          <w:bCs/>
        </w:rPr>
        <w:t>.</w:t>
      </w:r>
      <w:r w:rsidRPr="00772329">
        <w:rPr>
          <w:rStyle w:val="FootnoteReference"/>
          <w:bCs/>
        </w:rPr>
        <w:footnoteReference w:id="1"/>
      </w:r>
      <w:r w:rsidRPr="00772329">
        <w:rPr>
          <w:bCs/>
        </w:rPr>
        <w:t xml:space="preserve"> I provide external technical assistance for companies on service quality matters.</w:t>
      </w:r>
    </w:p>
    <w:p w:rsidR="00772329" w:rsidRPr="00772329" w:rsidRDefault="00772329" w:rsidP="00772329">
      <w:pPr>
        <w:pStyle w:val="BodyTextIndent2"/>
        <w:tabs>
          <w:tab w:val="left" w:pos="-3780"/>
          <w:tab w:val="left" w:pos="-3600"/>
        </w:tabs>
        <w:rPr>
          <w:bCs/>
        </w:rPr>
      </w:pPr>
      <w:r w:rsidRPr="00772329">
        <w:rPr>
          <w:bCs/>
        </w:rPr>
        <w:tab/>
      </w:r>
      <w:r w:rsidRPr="00772329">
        <w:rPr>
          <w:bCs/>
        </w:rPr>
        <w:tab/>
        <w:t xml:space="preserve">I am also responsible for analyzing and reviewing filings from a number of independent ILECs, the processing of affiliated interest filings, and have worked extensively on the revenue objective filing of a relatively new incumbent telecommunications company. </w:t>
      </w:r>
    </w:p>
    <w:p w:rsidR="00772329" w:rsidRPr="00772329" w:rsidRDefault="00772329" w:rsidP="00772329">
      <w:pPr>
        <w:pStyle w:val="BodyTextIndent2"/>
        <w:widowControl w:val="0"/>
        <w:tabs>
          <w:tab w:val="left" w:pos="-3780"/>
          <w:tab w:val="left" w:pos="-3600"/>
        </w:tabs>
        <w:rPr>
          <w:bCs/>
        </w:rPr>
      </w:pPr>
    </w:p>
    <w:p w:rsidR="00772329" w:rsidRPr="00772329" w:rsidRDefault="00772329" w:rsidP="00772329">
      <w:pPr>
        <w:pStyle w:val="Heading3"/>
        <w:tabs>
          <w:tab w:val="left" w:pos="720"/>
        </w:tabs>
      </w:pPr>
      <w:r w:rsidRPr="00772329">
        <w:t>Q.</w:t>
      </w:r>
      <w:r w:rsidRPr="00772329">
        <w:tab/>
        <w:t>Have you previously filed testimony?</w:t>
      </w:r>
    </w:p>
    <w:p w:rsidR="00772329" w:rsidRDefault="00772329" w:rsidP="00772329">
      <w:pPr>
        <w:pStyle w:val="BodyTextIndent2"/>
        <w:widowControl w:val="0"/>
        <w:tabs>
          <w:tab w:val="left" w:pos="-3780"/>
          <w:tab w:val="left" w:pos="-3600"/>
        </w:tabs>
        <w:ind w:hanging="720"/>
        <w:rPr>
          <w:bCs/>
        </w:rPr>
      </w:pPr>
      <w:r w:rsidRPr="00772329">
        <w:rPr>
          <w:bCs/>
        </w:rPr>
        <w:t>A.</w:t>
      </w:r>
      <w:r w:rsidRPr="00772329">
        <w:rPr>
          <w:bCs/>
        </w:rPr>
        <w:tab/>
        <w:t xml:space="preserve">Yes.  I </w:t>
      </w:r>
      <w:r w:rsidR="00D14432">
        <w:rPr>
          <w:bCs/>
        </w:rPr>
        <w:t xml:space="preserve">have </w:t>
      </w:r>
      <w:r w:rsidRPr="00772329">
        <w:rPr>
          <w:bCs/>
        </w:rPr>
        <w:t>filed service quality testimony in</w:t>
      </w:r>
      <w:r w:rsidR="00421855">
        <w:rPr>
          <w:bCs/>
        </w:rPr>
        <w:t xml:space="preserve"> several cases:</w:t>
      </w:r>
      <w:r w:rsidRPr="00772329">
        <w:rPr>
          <w:bCs/>
        </w:rPr>
        <w:t xml:space="preserve"> Docket UT-040788, Verizon Northwest Inc.’s general rate case</w:t>
      </w:r>
      <w:r w:rsidR="00861054">
        <w:rPr>
          <w:bCs/>
        </w:rPr>
        <w:t>,</w:t>
      </w:r>
      <w:r w:rsidRPr="00772329">
        <w:rPr>
          <w:bCs/>
        </w:rPr>
        <w:t xml:space="preserve"> </w:t>
      </w:r>
      <w:r w:rsidR="00421855">
        <w:rPr>
          <w:bCs/>
        </w:rPr>
        <w:t xml:space="preserve">Docket UT-061625, </w:t>
      </w:r>
      <w:r w:rsidRPr="00772329">
        <w:rPr>
          <w:bCs/>
        </w:rPr>
        <w:t>Qwest Corporation’s</w:t>
      </w:r>
      <w:r w:rsidR="00421855">
        <w:rPr>
          <w:bCs/>
        </w:rPr>
        <w:t xml:space="preserve"> petition for </w:t>
      </w:r>
      <w:r w:rsidR="00C95DF2">
        <w:rPr>
          <w:bCs/>
        </w:rPr>
        <w:t xml:space="preserve">an alternative form of regulation, </w:t>
      </w:r>
      <w:r w:rsidR="00861054">
        <w:rPr>
          <w:bCs/>
        </w:rPr>
        <w:t xml:space="preserve">and </w:t>
      </w:r>
      <w:r w:rsidR="00421855">
        <w:rPr>
          <w:bCs/>
        </w:rPr>
        <w:t xml:space="preserve">Docket UT-090842, </w:t>
      </w:r>
      <w:r w:rsidR="00DA2BD0">
        <w:rPr>
          <w:bCs/>
        </w:rPr>
        <w:t xml:space="preserve">the </w:t>
      </w:r>
      <w:r w:rsidR="00861054">
        <w:rPr>
          <w:bCs/>
        </w:rPr>
        <w:t>Verizon/Frontier transfer of control.</w:t>
      </w:r>
      <w:r w:rsidR="005065AD">
        <w:rPr>
          <w:bCs/>
        </w:rPr>
        <w:t xml:space="preserve">  I have also assisted</w:t>
      </w:r>
      <w:r w:rsidR="00D14432">
        <w:rPr>
          <w:bCs/>
        </w:rPr>
        <w:t xml:space="preserve"> </w:t>
      </w:r>
      <w:r w:rsidR="00EA1F6A">
        <w:rPr>
          <w:bCs/>
        </w:rPr>
        <w:t xml:space="preserve">many </w:t>
      </w:r>
      <w:r w:rsidR="00B17433">
        <w:rPr>
          <w:bCs/>
        </w:rPr>
        <w:t xml:space="preserve">of my colleagues </w:t>
      </w:r>
      <w:r w:rsidR="00D14432">
        <w:rPr>
          <w:bCs/>
        </w:rPr>
        <w:t xml:space="preserve">with testimony </w:t>
      </w:r>
      <w:r w:rsidR="00B17433">
        <w:rPr>
          <w:bCs/>
        </w:rPr>
        <w:t xml:space="preserve">on the subject of </w:t>
      </w:r>
      <w:r w:rsidR="005065AD">
        <w:rPr>
          <w:bCs/>
        </w:rPr>
        <w:t>service quality</w:t>
      </w:r>
      <w:r w:rsidR="00B17433">
        <w:rPr>
          <w:bCs/>
        </w:rPr>
        <w:t xml:space="preserve"> in other cases</w:t>
      </w:r>
      <w:r w:rsidR="0079101B">
        <w:rPr>
          <w:bCs/>
        </w:rPr>
        <w:t xml:space="preserve">, specifically Docket UT-051291, which is </w:t>
      </w:r>
      <w:r w:rsidR="00691FC5">
        <w:rPr>
          <w:bCs/>
        </w:rPr>
        <w:t>known</w:t>
      </w:r>
      <w:r w:rsidR="0079101B">
        <w:rPr>
          <w:bCs/>
        </w:rPr>
        <w:t xml:space="preserve"> as the </w:t>
      </w:r>
      <w:r w:rsidR="005065AD">
        <w:rPr>
          <w:bCs/>
        </w:rPr>
        <w:t>Embarq spin-off</w:t>
      </w:r>
      <w:r w:rsidR="0079101B">
        <w:rPr>
          <w:bCs/>
        </w:rPr>
        <w:t xml:space="preserve"> case,</w:t>
      </w:r>
      <w:r w:rsidR="005065AD">
        <w:rPr>
          <w:bCs/>
        </w:rPr>
        <w:t xml:space="preserve"> and </w:t>
      </w:r>
      <w:r w:rsidR="0079101B">
        <w:rPr>
          <w:bCs/>
        </w:rPr>
        <w:t xml:space="preserve">Docket UT-082119, </w:t>
      </w:r>
      <w:r w:rsidR="005065AD">
        <w:rPr>
          <w:bCs/>
        </w:rPr>
        <w:t xml:space="preserve">the CenturyTel/Embarq merger.   </w:t>
      </w:r>
      <w:r w:rsidRPr="00772329">
        <w:rPr>
          <w:bCs/>
        </w:rPr>
        <w:t xml:space="preserve"> </w:t>
      </w:r>
    </w:p>
    <w:p w:rsidR="00D57A2B" w:rsidRDefault="00D57A2B" w:rsidP="00772329">
      <w:pPr>
        <w:pStyle w:val="BodyTextIndent2"/>
        <w:widowControl w:val="0"/>
        <w:tabs>
          <w:tab w:val="left" w:pos="-3780"/>
          <w:tab w:val="left" w:pos="-3600"/>
        </w:tabs>
        <w:ind w:hanging="720"/>
        <w:rPr>
          <w:bCs/>
        </w:rPr>
      </w:pPr>
    </w:p>
    <w:p w:rsidR="00D57A2B" w:rsidRDefault="00D57A2B" w:rsidP="00D57A2B">
      <w:pPr>
        <w:spacing w:line="480" w:lineRule="auto"/>
        <w:ind w:left="720" w:hanging="720"/>
      </w:pPr>
      <w:r>
        <w:rPr>
          <w:b/>
        </w:rPr>
        <w:t>Q</w:t>
      </w:r>
      <w:r w:rsidR="008F6589">
        <w:rPr>
          <w:b/>
        </w:rPr>
        <w:t>.</w:t>
      </w:r>
      <w:r>
        <w:rPr>
          <w:b/>
        </w:rPr>
        <w:tab/>
      </w:r>
      <w:r w:rsidR="008F6589">
        <w:rPr>
          <w:b/>
        </w:rPr>
        <w:t xml:space="preserve">Please identify </w:t>
      </w:r>
      <w:r>
        <w:rPr>
          <w:b/>
        </w:rPr>
        <w:t xml:space="preserve">the various company names you will be using </w:t>
      </w:r>
      <w:r w:rsidR="008F6589">
        <w:rPr>
          <w:b/>
        </w:rPr>
        <w:t xml:space="preserve">throughout </w:t>
      </w:r>
      <w:r>
        <w:rPr>
          <w:b/>
        </w:rPr>
        <w:t>your testimony?</w:t>
      </w:r>
    </w:p>
    <w:p w:rsidR="00D57A2B" w:rsidRPr="00772329" w:rsidRDefault="00D57A2B" w:rsidP="00D57A2B">
      <w:pPr>
        <w:pStyle w:val="BodyTextIndent2"/>
        <w:widowControl w:val="0"/>
        <w:tabs>
          <w:tab w:val="left" w:pos="-3780"/>
          <w:tab w:val="left" w:pos="-3600"/>
        </w:tabs>
        <w:ind w:hanging="720"/>
        <w:rPr>
          <w:bCs/>
        </w:rPr>
      </w:pPr>
      <w:r w:rsidRPr="002C3A7A">
        <w:t>A.</w:t>
      </w:r>
      <w:r w:rsidRPr="002C3A7A">
        <w:tab/>
      </w:r>
      <w:r w:rsidRPr="00702EDC">
        <w:t xml:space="preserve">Qwest Communications International </w:t>
      </w:r>
      <w:r>
        <w:t xml:space="preserve">Inc. </w:t>
      </w:r>
      <w:r w:rsidRPr="00702EDC">
        <w:t>(Q</w:t>
      </w:r>
      <w:r w:rsidR="002E0408">
        <w:t>CII</w:t>
      </w:r>
      <w:r w:rsidRPr="00702EDC">
        <w:t xml:space="preserve">) and </w:t>
      </w:r>
      <w:proofErr w:type="spellStart"/>
      <w:r w:rsidRPr="00702EDC">
        <w:t>CenturyLink</w:t>
      </w:r>
      <w:proofErr w:type="spellEnd"/>
      <w:r>
        <w:t>, Inc.</w:t>
      </w:r>
      <w:r w:rsidRPr="00702EDC">
        <w:t xml:space="preserve"> </w:t>
      </w:r>
      <w:r w:rsidRPr="00702EDC">
        <w:lastRenderedPageBreak/>
        <w:t xml:space="preserve">(CenturyLink) are the parent companies and the Joint Applicants </w:t>
      </w:r>
      <w:r w:rsidR="0050254E">
        <w:t xml:space="preserve">are </w:t>
      </w:r>
      <w:r w:rsidRPr="00702EDC">
        <w:t>requesting</w:t>
      </w:r>
      <w:r>
        <w:t xml:space="preserve"> the Commission approve </w:t>
      </w:r>
      <w:r w:rsidRPr="00702EDC">
        <w:t>a transfer of control</w:t>
      </w:r>
      <w:r>
        <w:t xml:space="preserve"> of </w:t>
      </w:r>
      <w:r w:rsidR="0050254E">
        <w:t xml:space="preserve">various </w:t>
      </w:r>
      <w:r w:rsidR="002E0408">
        <w:t>QCII</w:t>
      </w:r>
      <w:r w:rsidR="0050254E">
        <w:t xml:space="preserve"> subsidiaries </w:t>
      </w:r>
      <w:r w:rsidRPr="00702EDC">
        <w:t xml:space="preserve">in this Docket.  </w:t>
      </w:r>
      <w:r w:rsidR="0050254E">
        <w:t>Qwest has one incumbent local exchange carrier (ILEC) operating in Washington, which is Qwest Corporation (Qwest)</w:t>
      </w:r>
      <w:r w:rsidR="002E0408">
        <w:t>.</w:t>
      </w:r>
      <w:r w:rsidR="0050254E">
        <w:t xml:space="preserve"> </w:t>
      </w:r>
      <w:r>
        <w:t xml:space="preserve">CenturyLink has four ILECs operating in Washington. The companies are CenturyLink of Washington, Inc., </w:t>
      </w:r>
      <w:proofErr w:type="spellStart"/>
      <w:r>
        <w:t>CenturyLink</w:t>
      </w:r>
      <w:proofErr w:type="spellEnd"/>
      <w:r>
        <w:t xml:space="preserve"> of Inter</w:t>
      </w:r>
      <w:r w:rsidR="00301103">
        <w:t>-</w:t>
      </w:r>
      <w:r>
        <w:t xml:space="preserve">Island, Inc., </w:t>
      </w:r>
      <w:proofErr w:type="spellStart"/>
      <w:r>
        <w:t>CenturyLink</w:t>
      </w:r>
      <w:proofErr w:type="spellEnd"/>
      <w:r>
        <w:t xml:space="preserve"> of </w:t>
      </w:r>
      <w:proofErr w:type="spellStart"/>
      <w:r>
        <w:t>Cowiche</w:t>
      </w:r>
      <w:proofErr w:type="spellEnd"/>
      <w:r>
        <w:t>,</w:t>
      </w:r>
      <w:r w:rsidR="00301103">
        <w:t xml:space="preserve"> </w:t>
      </w:r>
      <w:r>
        <w:t>Inc.</w:t>
      </w:r>
      <w:r w:rsidR="007A6930">
        <w:t>,</w:t>
      </w:r>
      <w:r>
        <w:t xml:space="preserve"> and United Telephone Company of the Northwest, d/b/a CenturyLink (collectively the CenturyLink ILECs</w:t>
      </w:r>
      <w:r>
        <w:rPr>
          <w:rStyle w:val="FootnoteReference"/>
        </w:rPr>
        <w:footnoteReference w:id="2"/>
      </w:r>
      <w:r>
        <w:t>)</w:t>
      </w:r>
      <w:r w:rsidR="0050254E">
        <w:t>.</w:t>
      </w:r>
    </w:p>
    <w:p w:rsidR="00772329" w:rsidRPr="00772329" w:rsidRDefault="00772329" w:rsidP="00772329">
      <w:pPr>
        <w:pStyle w:val="BodyTextIndent2"/>
        <w:widowControl w:val="0"/>
        <w:tabs>
          <w:tab w:val="left" w:pos="-3780"/>
          <w:tab w:val="left" w:pos="-3600"/>
        </w:tabs>
        <w:rPr>
          <w:b/>
          <w:bCs/>
        </w:rPr>
      </w:pPr>
    </w:p>
    <w:p w:rsidR="00772329" w:rsidRDefault="00772329" w:rsidP="00772329">
      <w:pPr>
        <w:pStyle w:val="Heading1"/>
      </w:pPr>
      <w:r w:rsidRPr="00772329">
        <w:t>SUMMARY</w:t>
      </w:r>
    </w:p>
    <w:p w:rsidR="002148B3" w:rsidRPr="002148B3" w:rsidRDefault="002148B3" w:rsidP="002148B3">
      <w:pPr>
        <w:spacing w:line="480" w:lineRule="auto"/>
      </w:pPr>
    </w:p>
    <w:p w:rsidR="00772329" w:rsidRPr="00772329" w:rsidRDefault="00772329" w:rsidP="00772329">
      <w:pPr>
        <w:pStyle w:val="BodyTextIndent2"/>
        <w:tabs>
          <w:tab w:val="left" w:pos="-3780"/>
          <w:tab w:val="left" w:pos="-3600"/>
        </w:tabs>
        <w:ind w:hanging="720"/>
        <w:rPr>
          <w:b/>
          <w:color w:val="000000"/>
        </w:rPr>
      </w:pPr>
      <w:r w:rsidRPr="00772329">
        <w:rPr>
          <w:b/>
          <w:color w:val="000000"/>
        </w:rPr>
        <w:t>Q.</w:t>
      </w:r>
      <w:r w:rsidRPr="00772329">
        <w:rPr>
          <w:b/>
          <w:color w:val="000000"/>
        </w:rPr>
        <w:tab/>
        <w:t>Please summarize your testimony.</w:t>
      </w:r>
    </w:p>
    <w:p w:rsidR="00772329" w:rsidRPr="00772329" w:rsidRDefault="00772329" w:rsidP="00772329">
      <w:pPr>
        <w:spacing w:line="480" w:lineRule="auto"/>
        <w:ind w:left="720" w:hanging="720"/>
        <w:rPr>
          <w:bCs/>
        </w:rPr>
      </w:pPr>
      <w:r w:rsidRPr="00772329">
        <w:rPr>
          <w:bCs/>
        </w:rPr>
        <w:t>A.</w:t>
      </w:r>
      <w:r w:rsidRPr="00772329">
        <w:rPr>
          <w:bCs/>
        </w:rPr>
        <w:tab/>
        <w:t xml:space="preserve">My testimony provides analysis of </w:t>
      </w:r>
      <w:r w:rsidR="00F8563F">
        <w:rPr>
          <w:bCs/>
        </w:rPr>
        <w:t xml:space="preserve">service quality for </w:t>
      </w:r>
      <w:r w:rsidR="000819B8">
        <w:rPr>
          <w:bCs/>
        </w:rPr>
        <w:t>Qwest</w:t>
      </w:r>
      <w:r w:rsidR="00D57A2B">
        <w:rPr>
          <w:bCs/>
        </w:rPr>
        <w:t xml:space="preserve"> </w:t>
      </w:r>
      <w:r w:rsidRPr="00772329">
        <w:rPr>
          <w:bCs/>
        </w:rPr>
        <w:t>and</w:t>
      </w:r>
      <w:r w:rsidR="00F8563F">
        <w:rPr>
          <w:bCs/>
        </w:rPr>
        <w:t xml:space="preserve"> </w:t>
      </w:r>
      <w:r w:rsidR="002E0408">
        <w:rPr>
          <w:bCs/>
        </w:rPr>
        <w:t xml:space="preserve">the </w:t>
      </w:r>
      <w:r w:rsidR="000819B8">
        <w:rPr>
          <w:bCs/>
        </w:rPr>
        <w:t>CenturyLink</w:t>
      </w:r>
      <w:r w:rsidR="00B46814">
        <w:rPr>
          <w:bCs/>
        </w:rPr>
        <w:t xml:space="preserve"> ILECs </w:t>
      </w:r>
      <w:r w:rsidRPr="00772329">
        <w:rPr>
          <w:bCs/>
        </w:rPr>
        <w:t xml:space="preserve">and </w:t>
      </w:r>
      <w:r w:rsidR="00F8563F">
        <w:rPr>
          <w:bCs/>
        </w:rPr>
        <w:t xml:space="preserve">then </w:t>
      </w:r>
      <w:r w:rsidRPr="00772329">
        <w:rPr>
          <w:bCs/>
        </w:rPr>
        <w:t xml:space="preserve">recommends </w:t>
      </w:r>
      <w:r w:rsidR="000819B8">
        <w:rPr>
          <w:bCs/>
        </w:rPr>
        <w:t xml:space="preserve">additional </w:t>
      </w:r>
      <w:r w:rsidRPr="00772329">
        <w:rPr>
          <w:bCs/>
        </w:rPr>
        <w:t>service quality assurance provisions and reporting requirements for</w:t>
      </w:r>
      <w:r w:rsidR="005065AD">
        <w:rPr>
          <w:bCs/>
        </w:rPr>
        <w:t xml:space="preserve"> </w:t>
      </w:r>
      <w:r w:rsidR="002E0408">
        <w:rPr>
          <w:bCs/>
        </w:rPr>
        <w:t xml:space="preserve">the </w:t>
      </w:r>
      <w:r w:rsidR="00861054">
        <w:rPr>
          <w:bCs/>
        </w:rPr>
        <w:t>CenturyLink</w:t>
      </w:r>
      <w:r w:rsidR="007A6930">
        <w:rPr>
          <w:bCs/>
        </w:rPr>
        <w:t xml:space="preserve"> ILEC</w:t>
      </w:r>
      <w:r w:rsidR="00F8563F">
        <w:rPr>
          <w:bCs/>
        </w:rPr>
        <w:t>s if the transaction is approved by the Commission</w:t>
      </w:r>
      <w:r w:rsidRPr="00772329">
        <w:rPr>
          <w:bCs/>
        </w:rPr>
        <w:t xml:space="preserve">.  The purpose of my recommendations is to mitigate </w:t>
      </w:r>
      <w:r w:rsidRPr="00772329">
        <w:t>potential harm to customers from</w:t>
      </w:r>
      <w:r w:rsidR="0092414D">
        <w:t xml:space="preserve"> the possibility of</w:t>
      </w:r>
      <w:r w:rsidRPr="00772329">
        <w:t xml:space="preserve"> deteriorating service quality</w:t>
      </w:r>
      <w:r w:rsidRPr="00772329">
        <w:rPr>
          <w:bCs/>
        </w:rPr>
        <w:t xml:space="preserve"> </w:t>
      </w:r>
      <w:r w:rsidRPr="00772329">
        <w:t>if the Commission decides to approve the</w:t>
      </w:r>
      <w:r w:rsidR="00B17433">
        <w:t xml:space="preserve"> </w:t>
      </w:r>
      <w:r w:rsidRPr="00772329">
        <w:t xml:space="preserve">transfer of control of </w:t>
      </w:r>
      <w:r w:rsidR="00B17433">
        <w:t>Qwest</w:t>
      </w:r>
      <w:r w:rsidR="00B46814">
        <w:t xml:space="preserve"> to CenturyLink</w:t>
      </w:r>
      <w:r w:rsidRPr="00772329">
        <w:t>,</w:t>
      </w:r>
      <w:r w:rsidRPr="00772329">
        <w:rPr>
          <w:bCs/>
        </w:rPr>
        <w:t xml:space="preserve"> and to ensure that </w:t>
      </w:r>
      <w:r w:rsidR="0088463A">
        <w:rPr>
          <w:bCs/>
        </w:rPr>
        <w:t xml:space="preserve">there is no reduction in service quality stemming from </w:t>
      </w:r>
      <w:r w:rsidRPr="00772329">
        <w:rPr>
          <w:bCs/>
        </w:rPr>
        <w:t>the transaction as discussed by</w:t>
      </w:r>
      <w:r w:rsidR="005065AD">
        <w:rPr>
          <w:bCs/>
        </w:rPr>
        <w:t xml:space="preserve"> </w:t>
      </w:r>
      <w:r w:rsidR="0022664C" w:rsidRPr="00F3686E">
        <w:rPr>
          <w:bCs/>
        </w:rPr>
        <w:t>Mr. Vasconi</w:t>
      </w:r>
      <w:r w:rsidR="003F7185">
        <w:rPr>
          <w:bCs/>
        </w:rPr>
        <w:t xml:space="preserve"> and others.</w:t>
      </w:r>
    </w:p>
    <w:p w:rsidR="00F224D6" w:rsidRDefault="00772329" w:rsidP="00F224D6">
      <w:pPr>
        <w:spacing w:line="480" w:lineRule="auto"/>
        <w:ind w:left="720" w:hanging="720"/>
        <w:rPr>
          <w:bCs/>
        </w:rPr>
      </w:pPr>
      <w:r w:rsidRPr="00772329">
        <w:rPr>
          <w:bCs/>
        </w:rPr>
        <w:tab/>
      </w:r>
      <w:r w:rsidRPr="00772329">
        <w:rPr>
          <w:bCs/>
        </w:rPr>
        <w:tab/>
        <w:t xml:space="preserve">I first review </w:t>
      </w:r>
      <w:r w:rsidR="0050254E">
        <w:rPr>
          <w:bCs/>
        </w:rPr>
        <w:t xml:space="preserve">the </w:t>
      </w:r>
      <w:r w:rsidR="00000CB3">
        <w:rPr>
          <w:bCs/>
        </w:rPr>
        <w:t>Qwest</w:t>
      </w:r>
      <w:r w:rsidR="009F54BB">
        <w:rPr>
          <w:bCs/>
        </w:rPr>
        <w:t xml:space="preserve"> </w:t>
      </w:r>
      <w:r w:rsidR="00000CB3">
        <w:rPr>
          <w:bCs/>
        </w:rPr>
        <w:t>and CenturyLink</w:t>
      </w:r>
      <w:r w:rsidR="009F54BB">
        <w:rPr>
          <w:bCs/>
        </w:rPr>
        <w:t xml:space="preserve"> ILECs</w:t>
      </w:r>
      <w:r w:rsidR="00000CB3">
        <w:rPr>
          <w:bCs/>
        </w:rPr>
        <w:t xml:space="preserve"> </w:t>
      </w:r>
      <w:r w:rsidRPr="00772329">
        <w:rPr>
          <w:bCs/>
        </w:rPr>
        <w:t>service quality reports filed with the Commission and discuss how the compan</w:t>
      </w:r>
      <w:r w:rsidR="00000CB3">
        <w:rPr>
          <w:bCs/>
        </w:rPr>
        <w:t xml:space="preserve">ies are </w:t>
      </w:r>
      <w:r w:rsidRPr="00772329">
        <w:rPr>
          <w:bCs/>
        </w:rPr>
        <w:t xml:space="preserve">performing with respect to </w:t>
      </w:r>
      <w:r w:rsidRPr="00772329">
        <w:rPr>
          <w:bCs/>
        </w:rPr>
        <w:lastRenderedPageBreak/>
        <w:t xml:space="preserve">the service quality rules.  I then analyze </w:t>
      </w:r>
      <w:r w:rsidR="00000CB3">
        <w:rPr>
          <w:bCs/>
        </w:rPr>
        <w:t xml:space="preserve">the companies’ </w:t>
      </w:r>
      <w:r w:rsidRPr="00772329">
        <w:rPr>
          <w:bCs/>
        </w:rPr>
        <w:t xml:space="preserve">service quality performance based on data available via the FCC’s ARMIS database (43-05 reports).  </w:t>
      </w:r>
      <w:r w:rsidR="00F8563F">
        <w:rPr>
          <w:bCs/>
        </w:rPr>
        <w:t xml:space="preserve">Lastly, I recommend conditions that are designed to mitigate potential </w:t>
      </w:r>
      <w:r w:rsidR="002E35E8">
        <w:rPr>
          <w:bCs/>
        </w:rPr>
        <w:t xml:space="preserve">degradation </w:t>
      </w:r>
      <w:r w:rsidR="00F8563F">
        <w:rPr>
          <w:bCs/>
        </w:rPr>
        <w:t>in service quality levels that might occur as a result of the proposed transaction.</w:t>
      </w:r>
    </w:p>
    <w:p w:rsidR="00772329" w:rsidRPr="00772329" w:rsidRDefault="00772329" w:rsidP="00772329">
      <w:pPr>
        <w:pStyle w:val="BodyTextIndent2"/>
        <w:tabs>
          <w:tab w:val="left" w:pos="-3780"/>
          <w:tab w:val="left" w:pos="-3600"/>
          <w:tab w:val="left" w:pos="1560"/>
        </w:tabs>
        <w:ind w:left="0" w:firstLine="0"/>
        <w:rPr>
          <w:b/>
          <w:kern w:val="24"/>
        </w:rPr>
      </w:pPr>
    </w:p>
    <w:p w:rsidR="00772329" w:rsidRPr="00C85312" w:rsidRDefault="007E4E0D" w:rsidP="007E4E0D">
      <w:pPr>
        <w:pStyle w:val="BodyTextIndent2"/>
        <w:tabs>
          <w:tab w:val="left" w:pos="-3780"/>
          <w:tab w:val="left" w:pos="-3600"/>
        </w:tabs>
        <w:ind w:left="0" w:firstLine="0"/>
        <w:jc w:val="center"/>
        <w:rPr>
          <w:b/>
        </w:rPr>
      </w:pPr>
      <w:r>
        <w:rPr>
          <w:b/>
        </w:rPr>
        <w:t>III.</w:t>
      </w:r>
      <w:r>
        <w:rPr>
          <w:b/>
        </w:rPr>
        <w:tab/>
      </w:r>
      <w:r w:rsidR="00C85312" w:rsidRPr="00C85312">
        <w:rPr>
          <w:b/>
        </w:rPr>
        <w:t>BACKGROUND:  SERVICE QUALITY REPORTING RULES</w:t>
      </w:r>
    </w:p>
    <w:p w:rsidR="00772329" w:rsidRPr="00772329" w:rsidRDefault="00772329" w:rsidP="00772329">
      <w:pPr>
        <w:pStyle w:val="BodyTextIndent2"/>
        <w:tabs>
          <w:tab w:val="left" w:pos="-3780"/>
          <w:tab w:val="left" w:pos="-3600"/>
        </w:tabs>
      </w:pPr>
    </w:p>
    <w:p w:rsidR="00772329" w:rsidRPr="00772329" w:rsidRDefault="00772329" w:rsidP="00772329">
      <w:pPr>
        <w:spacing w:line="480" w:lineRule="auto"/>
        <w:ind w:left="720" w:hanging="720"/>
        <w:rPr>
          <w:b/>
        </w:rPr>
      </w:pPr>
      <w:r w:rsidRPr="00772329">
        <w:rPr>
          <w:b/>
        </w:rPr>
        <w:t>Q.</w:t>
      </w:r>
      <w:r w:rsidRPr="00772329">
        <w:rPr>
          <w:b/>
        </w:rPr>
        <w:tab/>
        <w:t xml:space="preserve">What information is available to the Commission for purposes of evaluating </w:t>
      </w:r>
      <w:r w:rsidR="000819B8">
        <w:rPr>
          <w:b/>
        </w:rPr>
        <w:t>Qwest</w:t>
      </w:r>
      <w:r w:rsidR="000A6BA0">
        <w:rPr>
          <w:b/>
        </w:rPr>
        <w:t>’s</w:t>
      </w:r>
      <w:r w:rsidR="007A6930">
        <w:rPr>
          <w:b/>
        </w:rPr>
        <w:t xml:space="preserve"> </w:t>
      </w:r>
      <w:r w:rsidRPr="00772329">
        <w:rPr>
          <w:b/>
        </w:rPr>
        <w:t xml:space="preserve">and </w:t>
      </w:r>
      <w:r w:rsidR="002E0408">
        <w:rPr>
          <w:b/>
        </w:rPr>
        <w:t xml:space="preserve">the </w:t>
      </w:r>
      <w:r w:rsidR="000819B8">
        <w:rPr>
          <w:b/>
        </w:rPr>
        <w:t>CenturyLink</w:t>
      </w:r>
      <w:r w:rsidR="007A6930">
        <w:rPr>
          <w:b/>
        </w:rPr>
        <w:t xml:space="preserve"> ILECs</w:t>
      </w:r>
      <w:r w:rsidRPr="00772329">
        <w:rPr>
          <w:b/>
        </w:rPr>
        <w:t>’ historical service quality performance?</w:t>
      </w:r>
    </w:p>
    <w:p w:rsidR="00772329" w:rsidRPr="00772329" w:rsidRDefault="00772329" w:rsidP="00772329">
      <w:pPr>
        <w:spacing w:line="480" w:lineRule="auto"/>
        <w:ind w:left="720" w:hanging="720"/>
      </w:pPr>
      <w:r w:rsidRPr="00772329">
        <w:t>A.</w:t>
      </w:r>
      <w:r w:rsidRPr="00772329">
        <w:tab/>
      </w:r>
      <w:r w:rsidR="005065AD">
        <w:t xml:space="preserve">Both </w:t>
      </w:r>
      <w:r w:rsidR="000819B8">
        <w:t>Qwest</w:t>
      </w:r>
      <w:r w:rsidR="007A6930">
        <w:t xml:space="preserve"> </w:t>
      </w:r>
      <w:r w:rsidR="000819B8">
        <w:t xml:space="preserve">and </w:t>
      </w:r>
      <w:r w:rsidR="002E0408">
        <w:t xml:space="preserve">the </w:t>
      </w:r>
      <w:r w:rsidR="000819B8">
        <w:t>CenturyLink</w:t>
      </w:r>
      <w:r w:rsidR="007A6930">
        <w:t xml:space="preserve"> ILECs</w:t>
      </w:r>
      <w:r w:rsidR="000819B8">
        <w:t xml:space="preserve"> are</w:t>
      </w:r>
      <w:r w:rsidRPr="00772329">
        <w:t xml:space="preserve"> </w:t>
      </w:r>
      <w:r w:rsidR="006673F3">
        <w:t>Class A compan</w:t>
      </w:r>
      <w:r w:rsidR="007C6A26">
        <w:t>ie</w:t>
      </w:r>
      <w:r w:rsidR="006673F3">
        <w:t>s and</w:t>
      </w:r>
      <w:r w:rsidR="002E0408">
        <w:t>,</w:t>
      </w:r>
      <w:r w:rsidR="006673F3">
        <w:t xml:space="preserve"> as such, are </w:t>
      </w:r>
      <w:r w:rsidRPr="00772329">
        <w:t>subject to state service quality reporting rules</w:t>
      </w:r>
      <w:r w:rsidR="0092414D">
        <w:t xml:space="preserve">.  </w:t>
      </w:r>
      <w:r w:rsidR="000A6BA0">
        <w:t>QCII</w:t>
      </w:r>
      <w:r w:rsidR="000819B8">
        <w:t xml:space="preserve"> </w:t>
      </w:r>
      <w:r w:rsidRPr="00772329">
        <w:t xml:space="preserve">and </w:t>
      </w:r>
      <w:proofErr w:type="spellStart"/>
      <w:r w:rsidR="000819B8">
        <w:t>CenturyLink</w:t>
      </w:r>
      <w:proofErr w:type="spellEnd"/>
      <w:r w:rsidR="000819B8">
        <w:t xml:space="preserve"> </w:t>
      </w:r>
      <w:r w:rsidR="003A6B28">
        <w:t>price</w:t>
      </w:r>
      <w:r w:rsidR="00524D05">
        <w:t>-</w:t>
      </w:r>
      <w:r w:rsidR="003A6B28">
        <w:t xml:space="preserve">capped </w:t>
      </w:r>
      <w:r w:rsidRPr="00772329">
        <w:t xml:space="preserve">local exchange </w:t>
      </w:r>
      <w:r w:rsidR="00697C28">
        <w:t xml:space="preserve">carrier </w:t>
      </w:r>
      <w:r w:rsidR="000A6BA0">
        <w:t>subsidiaries</w:t>
      </w:r>
      <w:r w:rsidRPr="00772329">
        <w:t xml:space="preserve"> throughout the country </w:t>
      </w:r>
      <w:r w:rsidR="0022664C" w:rsidRPr="009046F8">
        <w:t>are currently subject to the Federal Communications Commission’s (FCC’s) Automated Reporting Management Information System (ARMIS) service quality reporting requirements</w:t>
      </w:r>
      <w:r w:rsidR="0092414D">
        <w:t xml:space="preserve"> as well</w:t>
      </w:r>
      <w:r w:rsidRPr="00772329">
        <w:t>.</w:t>
      </w:r>
      <w:r w:rsidR="0044385F">
        <w:rPr>
          <w:rStyle w:val="FootnoteReference"/>
        </w:rPr>
        <w:footnoteReference w:id="3"/>
      </w:r>
    </w:p>
    <w:p w:rsidR="00772329" w:rsidRPr="00772329" w:rsidRDefault="00772329" w:rsidP="00772329">
      <w:pPr>
        <w:spacing w:line="480" w:lineRule="auto"/>
        <w:ind w:left="720" w:hanging="720"/>
      </w:pPr>
    </w:p>
    <w:p w:rsidR="00772329" w:rsidRPr="00772329" w:rsidRDefault="00772329" w:rsidP="00772329">
      <w:pPr>
        <w:spacing w:line="480" w:lineRule="auto"/>
        <w:ind w:left="720" w:hanging="720"/>
        <w:rPr>
          <w:b/>
        </w:rPr>
      </w:pPr>
      <w:r w:rsidRPr="00772329">
        <w:rPr>
          <w:b/>
        </w:rPr>
        <w:t>Q.</w:t>
      </w:r>
      <w:r w:rsidRPr="00772329">
        <w:rPr>
          <w:b/>
        </w:rPr>
        <w:tab/>
        <w:t>Which Commission rules regarding service quality are applicable to</w:t>
      </w:r>
      <w:r w:rsidR="005065AD">
        <w:rPr>
          <w:b/>
        </w:rPr>
        <w:t xml:space="preserve"> </w:t>
      </w:r>
      <w:r w:rsidR="00D342C8">
        <w:rPr>
          <w:b/>
        </w:rPr>
        <w:t>Qwest and</w:t>
      </w:r>
      <w:r w:rsidR="007D2622">
        <w:rPr>
          <w:b/>
        </w:rPr>
        <w:t xml:space="preserve"> the</w:t>
      </w:r>
      <w:r w:rsidR="00D342C8">
        <w:rPr>
          <w:b/>
        </w:rPr>
        <w:t xml:space="preserve"> CenturyLink ILECs</w:t>
      </w:r>
      <w:r w:rsidRPr="00772329">
        <w:rPr>
          <w:b/>
        </w:rPr>
        <w:t>?</w:t>
      </w:r>
    </w:p>
    <w:p w:rsidR="00772329" w:rsidRPr="00C85312" w:rsidRDefault="00772329" w:rsidP="00C85312">
      <w:pPr>
        <w:pStyle w:val="BodyTextIndent2"/>
        <w:tabs>
          <w:tab w:val="left" w:pos="-3780"/>
          <w:tab w:val="left" w:pos="-3600"/>
        </w:tabs>
        <w:ind w:hanging="720"/>
      </w:pPr>
      <w:r w:rsidRPr="00AD2F8C">
        <w:t>A.</w:t>
      </w:r>
      <w:r w:rsidRPr="00772329">
        <w:rPr>
          <w:b/>
        </w:rPr>
        <w:tab/>
      </w:r>
      <w:r w:rsidR="007A6930">
        <w:t xml:space="preserve">Qwest and </w:t>
      </w:r>
      <w:r w:rsidR="007D2622">
        <w:t xml:space="preserve">the </w:t>
      </w:r>
      <w:r w:rsidR="007A6930">
        <w:t>CenturyLink ILEC</w:t>
      </w:r>
      <w:r w:rsidR="007D2622">
        <w:t>s</w:t>
      </w:r>
      <w:r w:rsidR="007A6930">
        <w:t xml:space="preserve"> </w:t>
      </w:r>
      <w:r w:rsidR="000819B8">
        <w:t xml:space="preserve">are </w:t>
      </w:r>
      <w:r w:rsidRPr="00C85312">
        <w:t xml:space="preserve">subject to the service quality reporting requirements in WAC 480-120-439, as well as to performance standards found elsewhere in </w:t>
      </w:r>
      <w:r w:rsidR="002E0408">
        <w:t xml:space="preserve">WAC </w:t>
      </w:r>
      <w:r w:rsidRPr="00C85312">
        <w:t xml:space="preserve">Chapter 480-120.  The current service quality rule requires that </w:t>
      </w:r>
      <w:r w:rsidRPr="00C85312">
        <w:lastRenderedPageBreak/>
        <w:t>Class A</w:t>
      </w:r>
      <w:r w:rsidRPr="00C85312">
        <w:rPr>
          <w:rStyle w:val="FootnoteReference"/>
        </w:rPr>
        <w:footnoteReference w:id="4"/>
      </w:r>
      <w:r w:rsidRPr="00C85312">
        <w:t xml:space="preserve"> companies report the information required in WAC 480-120-439. See Exhibit No. </w:t>
      </w:r>
      <w:proofErr w:type="gramStart"/>
      <w:r w:rsidRPr="00C85312">
        <w:t>____ (KMR-2) for the text of these rules, and Exhibit No.</w:t>
      </w:r>
      <w:proofErr w:type="gramEnd"/>
      <w:r w:rsidRPr="00C85312">
        <w:t xml:space="preserve"> </w:t>
      </w:r>
      <w:proofErr w:type="gramStart"/>
      <w:r w:rsidRPr="00C85312">
        <w:t>____ (KMR-3) for a condensed version of WAC 480-120-439 and related performance standards rules.</w:t>
      </w:r>
      <w:proofErr w:type="gramEnd"/>
      <w:r w:rsidRPr="00C85312">
        <w:t xml:space="preserve"> </w:t>
      </w:r>
    </w:p>
    <w:p w:rsidR="00772329" w:rsidRPr="00772329" w:rsidRDefault="00772329" w:rsidP="00772329">
      <w:pPr>
        <w:spacing w:line="480" w:lineRule="auto"/>
        <w:ind w:left="720" w:hanging="720"/>
        <w:rPr>
          <w:b/>
        </w:rPr>
      </w:pPr>
    </w:p>
    <w:p w:rsidR="00772329" w:rsidRPr="00772329" w:rsidRDefault="00772329" w:rsidP="00772329">
      <w:pPr>
        <w:spacing w:line="480" w:lineRule="auto"/>
        <w:ind w:left="720" w:hanging="720"/>
        <w:rPr>
          <w:b/>
        </w:rPr>
      </w:pPr>
      <w:r w:rsidRPr="00772329">
        <w:rPr>
          <w:b/>
        </w:rPr>
        <w:t>Q.</w:t>
      </w:r>
      <w:r w:rsidRPr="00772329">
        <w:rPr>
          <w:b/>
        </w:rPr>
        <w:tab/>
        <w:t>What is the importance of this rule?</w:t>
      </w:r>
    </w:p>
    <w:p w:rsidR="00772329" w:rsidRPr="00C85312" w:rsidRDefault="00772329" w:rsidP="00C85312">
      <w:pPr>
        <w:pStyle w:val="BodyTextIndent2"/>
        <w:tabs>
          <w:tab w:val="left" w:pos="-3780"/>
          <w:tab w:val="left" w:pos="-3600"/>
        </w:tabs>
        <w:ind w:hanging="720"/>
        <w:rPr>
          <w:bCs/>
        </w:rPr>
      </w:pPr>
      <w:r w:rsidRPr="00AD2F8C">
        <w:rPr>
          <w:bCs/>
        </w:rPr>
        <w:t>A.</w:t>
      </w:r>
      <w:r w:rsidRPr="00772329">
        <w:rPr>
          <w:b/>
          <w:bCs/>
        </w:rPr>
        <w:tab/>
      </w:r>
      <w:r w:rsidRPr="00C85312">
        <w:rPr>
          <w:bCs/>
        </w:rPr>
        <w:t xml:space="preserve">WAC 480-120-439(1) offers Staff the opportunity to monitor Class A companies’ service quality on a monthly basis.  This monthly report allows Staff to watch for trends that could have a negative impact on customers, and react more quickly and effectively to resolve service quality problems.  </w:t>
      </w:r>
    </w:p>
    <w:p w:rsidR="00772329" w:rsidRPr="00772329" w:rsidRDefault="00772329" w:rsidP="00772329">
      <w:pPr>
        <w:spacing w:line="480" w:lineRule="auto"/>
        <w:ind w:left="720" w:hanging="720"/>
      </w:pPr>
    </w:p>
    <w:p w:rsidR="00772329" w:rsidRPr="00772329" w:rsidRDefault="00772329" w:rsidP="00772329">
      <w:pPr>
        <w:spacing w:line="480" w:lineRule="auto"/>
        <w:ind w:left="720" w:hanging="720"/>
        <w:rPr>
          <w:b/>
        </w:rPr>
      </w:pPr>
      <w:r w:rsidRPr="00772329">
        <w:rPr>
          <w:b/>
        </w:rPr>
        <w:t>Q.</w:t>
      </w:r>
      <w:r w:rsidRPr="00772329">
        <w:rPr>
          <w:b/>
        </w:rPr>
        <w:tab/>
        <w:t xml:space="preserve">If the petition is approved, would the service quality reporting rule and associated standards rules </w:t>
      </w:r>
      <w:r w:rsidR="00113BF8">
        <w:rPr>
          <w:b/>
        </w:rPr>
        <w:t xml:space="preserve">continue to </w:t>
      </w:r>
      <w:r w:rsidRPr="00772329">
        <w:rPr>
          <w:b/>
        </w:rPr>
        <w:t>be applicable to</w:t>
      </w:r>
      <w:r w:rsidR="005065AD">
        <w:rPr>
          <w:b/>
        </w:rPr>
        <w:t xml:space="preserve"> </w:t>
      </w:r>
      <w:r w:rsidR="00D342C8">
        <w:rPr>
          <w:b/>
        </w:rPr>
        <w:t xml:space="preserve">Qwest and </w:t>
      </w:r>
      <w:r w:rsidR="00FB66A1">
        <w:rPr>
          <w:b/>
        </w:rPr>
        <w:t xml:space="preserve">the </w:t>
      </w:r>
      <w:r w:rsidR="00D342C8">
        <w:rPr>
          <w:b/>
        </w:rPr>
        <w:t>CenturyLink ILECs</w:t>
      </w:r>
      <w:r w:rsidRPr="00772329">
        <w:rPr>
          <w:b/>
        </w:rPr>
        <w:t xml:space="preserve">?  </w:t>
      </w:r>
    </w:p>
    <w:p w:rsidR="00772329" w:rsidRPr="00772329" w:rsidRDefault="00772329" w:rsidP="00772329">
      <w:pPr>
        <w:spacing w:line="480" w:lineRule="auto"/>
        <w:ind w:left="720" w:hanging="720"/>
      </w:pPr>
      <w:r w:rsidRPr="00772329">
        <w:t>A.</w:t>
      </w:r>
      <w:r w:rsidRPr="00772329">
        <w:tab/>
        <w:t xml:space="preserve">Yes.  </w:t>
      </w:r>
      <w:r w:rsidR="006673F3">
        <w:t xml:space="preserve">Both companies will continue to be required to provide monthly service quality reports. </w:t>
      </w:r>
      <w:r w:rsidR="00D14432">
        <w:t xml:space="preserve"> </w:t>
      </w:r>
      <w:r w:rsidRPr="00772329">
        <w:t xml:space="preserve">All of the regulatory requirements that apply to </w:t>
      </w:r>
      <w:r w:rsidR="005065AD">
        <w:t>Qwest</w:t>
      </w:r>
      <w:r w:rsidR="009F54BB">
        <w:t xml:space="preserve"> </w:t>
      </w:r>
      <w:r w:rsidR="005065AD">
        <w:t xml:space="preserve">and </w:t>
      </w:r>
      <w:r w:rsidR="00FB66A1">
        <w:t xml:space="preserve">the </w:t>
      </w:r>
      <w:r w:rsidR="005065AD">
        <w:t>CenturyLink</w:t>
      </w:r>
      <w:r w:rsidR="009F54BB">
        <w:t xml:space="preserve"> ILECs</w:t>
      </w:r>
      <w:r w:rsidR="005065AD">
        <w:t xml:space="preserve"> </w:t>
      </w:r>
      <w:r w:rsidR="00113BF8">
        <w:t xml:space="preserve">today </w:t>
      </w:r>
      <w:r w:rsidRPr="00772329">
        <w:t>will continue to apply to</w:t>
      </w:r>
      <w:r w:rsidR="0092414D">
        <w:t xml:space="preserve"> each</w:t>
      </w:r>
      <w:r w:rsidRPr="00772329">
        <w:t xml:space="preserve"> compan</w:t>
      </w:r>
      <w:r w:rsidR="0092414D">
        <w:t>y</w:t>
      </w:r>
      <w:r w:rsidRPr="00772329">
        <w:t xml:space="preserve"> following the transaction.</w:t>
      </w:r>
    </w:p>
    <w:p w:rsidR="00772329" w:rsidRPr="00772329" w:rsidRDefault="00772329" w:rsidP="00772329">
      <w:pPr>
        <w:spacing w:line="480" w:lineRule="auto"/>
        <w:ind w:left="720" w:hanging="720"/>
      </w:pPr>
    </w:p>
    <w:p w:rsidR="00772329" w:rsidRPr="00C85312" w:rsidRDefault="00772329" w:rsidP="00C85312">
      <w:pPr>
        <w:pStyle w:val="BodyTextIndent2"/>
        <w:tabs>
          <w:tab w:val="left" w:pos="-3780"/>
          <w:tab w:val="left" w:pos="-3600"/>
        </w:tabs>
        <w:ind w:hanging="720"/>
        <w:rPr>
          <w:b/>
          <w:bCs/>
        </w:rPr>
      </w:pPr>
      <w:r w:rsidRPr="00C85312">
        <w:rPr>
          <w:b/>
        </w:rPr>
        <w:t>Q.</w:t>
      </w:r>
      <w:r w:rsidRPr="00C85312">
        <w:rPr>
          <w:b/>
        </w:rPr>
        <w:tab/>
        <w:t>Briefly describe the areas of service quality the Commission monitors for telecommunications companies such as</w:t>
      </w:r>
      <w:r w:rsidR="00D14432">
        <w:rPr>
          <w:b/>
        </w:rPr>
        <w:t xml:space="preserve"> </w:t>
      </w:r>
      <w:r w:rsidR="0041770D">
        <w:rPr>
          <w:b/>
        </w:rPr>
        <w:t>Qwest</w:t>
      </w:r>
      <w:r w:rsidR="009F54BB">
        <w:rPr>
          <w:b/>
        </w:rPr>
        <w:t xml:space="preserve"> </w:t>
      </w:r>
      <w:r w:rsidR="0041770D">
        <w:rPr>
          <w:b/>
        </w:rPr>
        <w:t xml:space="preserve">and </w:t>
      </w:r>
      <w:r w:rsidR="00FB66A1">
        <w:rPr>
          <w:b/>
        </w:rPr>
        <w:t xml:space="preserve">the </w:t>
      </w:r>
      <w:r w:rsidR="0041770D">
        <w:rPr>
          <w:b/>
        </w:rPr>
        <w:t>CenturyLink</w:t>
      </w:r>
      <w:r w:rsidR="009F54BB">
        <w:rPr>
          <w:b/>
        </w:rPr>
        <w:t xml:space="preserve"> ILECs</w:t>
      </w:r>
      <w:r w:rsidRPr="00C85312">
        <w:rPr>
          <w:b/>
        </w:rPr>
        <w:t>.</w:t>
      </w:r>
    </w:p>
    <w:p w:rsidR="00772329" w:rsidRPr="00772329" w:rsidRDefault="00772329" w:rsidP="00C85312">
      <w:pPr>
        <w:pStyle w:val="BodyTextIndent"/>
        <w:tabs>
          <w:tab w:val="clear" w:pos="0"/>
        </w:tabs>
        <w:ind w:left="720" w:hanging="720"/>
      </w:pPr>
      <w:r w:rsidRPr="00AD2F8C">
        <w:lastRenderedPageBreak/>
        <w:t>A.</w:t>
      </w:r>
      <w:r w:rsidRPr="00772329">
        <w:tab/>
        <w:t>The Commission generally monitors all areas of service quality, but specifically tracks information on missed appointments, installation of basic service, trouble reports, trunk blockage, switching, out-of-service interruptions or impairments, and complaints.  It is important to note that the Commission does not monitor service quality data on wireless, DSL, cable, or VOIP services.</w:t>
      </w:r>
    </w:p>
    <w:p w:rsidR="00772329" w:rsidRPr="00772329" w:rsidRDefault="00772329" w:rsidP="00772329">
      <w:pPr>
        <w:pStyle w:val="BodyTextIndent"/>
        <w:tabs>
          <w:tab w:val="clear" w:pos="0"/>
        </w:tabs>
        <w:ind w:firstLine="720"/>
        <w:rPr>
          <w:b/>
          <w:kern w:val="24"/>
          <w:u w:val="single"/>
        </w:rPr>
      </w:pPr>
    </w:p>
    <w:p w:rsidR="00772329" w:rsidRPr="00772329" w:rsidRDefault="00772329" w:rsidP="00772329">
      <w:pPr>
        <w:pStyle w:val="Heading3"/>
        <w:rPr>
          <w:bCs w:val="0"/>
          <w:kern w:val="24"/>
        </w:rPr>
      </w:pPr>
      <w:r w:rsidRPr="00772329">
        <w:rPr>
          <w:bCs w:val="0"/>
          <w:kern w:val="24"/>
        </w:rPr>
        <w:t>Q.</w:t>
      </w:r>
      <w:r w:rsidRPr="00772329">
        <w:rPr>
          <w:bCs w:val="0"/>
          <w:kern w:val="24"/>
        </w:rPr>
        <w:tab/>
        <w:t>For purposes of service quality reporting, what is a “trouble report” and how is it reported to the Commission?</w:t>
      </w:r>
      <w:r w:rsidRPr="00772329">
        <w:rPr>
          <w:bCs w:val="0"/>
          <w:kern w:val="24"/>
        </w:rPr>
        <w:tab/>
      </w:r>
    </w:p>
    <w:p w:rsidR="00772329" w:rsidRPr="00772329" w:rsidRDefault="00772329" w:rsidP="00772329">
      <w:pPr>
        <w:spacing w:line="480" w:lineRule="auto"/>
        <w:ind w:left="720" w:hanging="720"/>
      </w:pPr>
      <w:r w:rsidRPr="00772329">
        <w:t>A.</w:t>
      </w:r>
      <w:r w:rsidRPr="00772329">
        <w:tab/>
        <w:t>A trouble report (TR) is “a report of service affecting network problems reported by customers, and does not include problems on the customer’s side of the SNI [standard network interface].”</w:t>
      </w:r>
      <w:r w:rsidR="0088463A">
        <w:rPr>
          <w:rStyle w:val="FootnoteReference"/>
        </w:rPr>
        <w:footnoteReference w:id="5"/>
      </w:r>
      <w:r w:rsidRPr="00772329">
        <w:t xml:space="preserve">  A company’s monthly report to the Commission must include the number of trouble reports by central office and the number of lines served by the central office.  Trouble reports must be presented as a ratio per 100 lines in service.  </w:t>
      </w:r>
    </w:p>
    <w:p w:rsidR="00772329" w:rsidRPr="00772329" w:rsidRDefault="007D2622" w:rsidP="00772329">
      <w:pPr>
        <w:spacing w:line="480" w:lineRule="auto"/>
        <w:ind w:left="720" w:firstLine="720"/>
      </w:pPr>
      <w:r>
        <w:t>To meet t</w:t>
      </w:r>
      <w:r w:rsidR="00772329" w:rsidRPr="00772329">
        <w:t>he standard for trouble reports</w:t>
      </w:r>
      <w:r>
        <w:t>, a</w:t>
      </w:r>
      <w:r w:rsidR="00772329" w:rsidRPr="00772329">
        <w:t xml:space="preserve"> central office must not exceed four trouble reports per 100 access lines for two consecutive months, or four trouble reports per 100 access lines for four months in any one twelve-month period. </w:t>
      </w:r>
    </w:p>
    <w:p w:rsidR="00772329" w:rsidRPr="00772329" w:rsidRDefault="00772329" w:rsidP="00772329">
      <w:pPr>
        <w:spacing w:line="480" w:lineRule="auto"/>
        <w:ind w:left="720" w:hanging="720"/>
      </w:pPr>
    </w:p>
    <w:p w:rsidR="00772329" w:rsidRPr="00772329" w:rsidRDefault="00772329" w:rsidP="00772329">
      <w:pPr>
        <w:pStyle w:val="Heading3"/>
        <w:rPr>
          <w:bCs w:val="0"/>
          <w:kern w:val="24"/>
        </w:rPr>
      </w:pPr>
      <w:r w:rsidRPr="00772329">
        <w:rPr>
          <w:bCs w:val="0"/>
          <w:kern w:val="24"/>
        </w:rPr>
        <w:t>Q.</w:t>
      </w:r>
      <w:r w:rsidRPr="00772329">
        <w:rPr>
          <w:bCs w:val="0"/>
          <w:kern w:val="24"/>
        </w:rPr>
        <w:tab/>
        <w:t>What is an “out-of-service interruption”?</w:t>
      </w:r>
    </w:p>
    <w:p w:rsidR="00772329" w:rsidRPr="00772329" w:rsidRDefault="00772329" w:rsidP="00C85312">
      <w:pPr>
        <w:pStyle w:val="BodyTextIndent"/>
        <w:tabs>
          <w:tab w:val="clear" w:pos="0"/>
        </w:tabs>
        <w:ind w:left="720" w:hanging="720"/>
        <w:rPr>
          <w:bCs/>
          <w:kern w:val="24"/>
        </w:rPr>
      </w:pPr>
      <w:r w:rsidRPr="00772329">
        <w:rPr>
          <w:bCs/>
          <w:kern w:val="24"/>
        </w:rPr>
        <w:t>A.</w:t>
      </w:r>
      <w:r w:rsidRPr="00772329">
        <w:rPr>
          <w:bCs/>
          <w:kern w:val="24"/>
        </w:rPr>
        <w:tab/>
        <w:t>An out-of-service interruption is a condition that prevents the use of the customer’s telephone exchange line for purposes of originating or receiving a call.  It does not include trouble reported for non-regulated services such as voice messaging, inside wiring, or customer premise equipment.</w:t>
      </w:r>
    </w:p>
    <w:p w:rsidR="00772329" w:rsidRPr="00772329" w:rsidRDefault="00772329" w:rsidP="00772329">
      <w:pPr>
        <w:pStyle w:val="Heading3"/>
        <w:rPr>
          <w:bCs w:val="0"/>
          <w:kern w:val="24"/>
        </w:rPr>
      </w:pPr>
      <w:r w:rsidRPr="00772329">
        <w:rPr>
          <w:bCs w:val="0"/>
          <w:kern w:val="24"/>
        </w:rPr>
        <w:lastRenderedPageBreak/>
        <w:t>Q.</w:t>
      </w:r>
      <w:r w:rsidRPr="00772329">
        <w:rPr>
          <w:bCs w:val="0"/>
          <w:kern w:val="24"/>
        </w:rPr>
        <w:tab/>
        <w:t>What are “trunks” and what is “trunk blocking”?</w:t>
      </w:r>
    </w:p>
    <w:p w:rsidR="00772329" w:rsidRPr="00772329" w:rsidRDefault="00772329" w:rsidP="00772329">
      <w:pPr>
        <w:spacing w:line="480" w:lineRule="auto"/>
        <w:ind w:left="720" w:hanging="720"/>
        <w:rPr>
          <w:bCs/>
          <w:color w:val="000000"/>
        </w:rPr>
      </w:pPr>
      <w:r w:rsidRPr="00772329">
        <w:rPr>
          <w:bCs/>
          <w:color w:val="000000"/>
        </w:rPr>
        <w:t>A.</w:t>
      </w:r>
      <w:r w:rsidRPr="00772329">
        <w:rPr>
          <w:bCs/>
          <w:color w:val="000000"/>
        </w:rPr>
        <w:tab/>
        <w:t>Trunks are communication lines between two switching systems</w:t>
      </w:r>
      <w:r w:rsidR="00435A89">
        <w:rPr>
          <w:bCs/>
          <w:color w:val="000000"/>
        </w:rPr>
        <w:t xml:space="preserve">.  Switching systems are housed in </w:t>
      </w:r>
      <w:r w:rsidRPr="00772329">
        <w:rPr>
          <w:bCs/>
          <w:color w:val="000000"/>
        </w:rPr>
        <w:t xml:space="preserve">central offices. Each trunk carries one conversation and </w:t>
      </w:r>
      <w:r w:rsidR="0092414D">
        <w:rPr>
          <w:bCs/>
          <w:color w:val="000000"/>
        </w:rPr>
        <w:t xml:space="preserve">that conversation </w:t>
      </w:r>
      <w:r w:rsidRPr="00772329">
        <w:rPr>
          <w:bCs/>
          <w:color w:val="000000"/>
        </w:rPr>
        <w:t xml:space="preserve">may be either a local or long distance call. </w:t>
      </w:r>
    </w:p>
    <w:p w:rsidR="00772329" w:rsidRPr="00772329" w:rsidRDefault="00772329" w:rsidP="00772329">
      <w:pPr>
        <w:spacing w:line="480" w:lineRule="auto"/>
        <w:ind w:left="720" w:firstLine="720"/>
      </w:pPr>
      <w:r w:rsidRPr="00772329">
        <w:rPr>
          <w:bCs/>
          <w:color w:val="000000"/>
        </w:rPr>
        <w:t xml:space="preserve">Blockage occurs when all trunks from one </w:t>
      </w:r>
      <w:r w:rsidR="0092414D">
        <w:rPr>
          <w:bCs/>
          <w:color w:val="000000"/>
        </w:rPr>
        <w:t xml:space="preserve">central office </w:t>
      </w:r>
      <w:r w:rsidRPr="00772329">
        <w:rPr>
          <w:bCs/>
          <w:color w:val="000000"/>
        </w:rPr>
        <w:t>switching system to another are in use</w:t>
      </w:r>
      <w:r w:rsidR="0088463A">
        <w:rPr>
          <w:bCs/>
          <w:color w:val="000000"/>
        </w:rPr>
        <w:t xml:space="preserve"> to the maximum of their capacities and no more calls can be transported</w:t>
      </w:r>
      <w:r w:rsidRPr="00772329">
        <w:rPr>
          <w:bCs/>
          <w:color w:val="000000"/>
        </w:rPr>
        <w:t>.  Trunk blockage prevents a caller from reaching the called party.</w:t>
      </w:r>
    </w:p>
    <w:p w:rsidR="00772329" w:rsidRPr="00772329" w:rsidRDefault="00772329" w:rsidP="00772329">
      <w:pPr>
        <w:spacing w:line="480" w:lineRule="auto"/>
        <w:ind w:left="720" w:hanging="720"/>
      </w:pPr>
    </w:p>
    <w:p w:rsidR="00772329" w:rsidRPr="00C85312" w:rsidRDefault="00772329" w:rsidP="00C85312">
      <w:pPr>
        <w:pStyle w:val="BodyTextIndent2"/>
        <w:ind w:hanging="720"/>
        <w:rPr>
          <w:b/>
          <w:kern w:val="24"/>
        </w:rPr>
      </w:pPr>
      <w:r w:rsidRPr="00C85312">
        <w:rPr>
          <w:b/>
          <w:kern w:val="24"/>
        </w:rPr>
        <w:t>Q.</w:t>
      </w:r>
      <w:r w:rsidRPr="00C85312">
        <w:rPr>
          <w:b/>
          <w:kern w:val="24"/>
        </w:rPr>
        <w:tab/>
        <w:t>What does the Commission consider to be a service quality complaint?</w:t>
      </w:r>
    </w:p>
    <w:p w:rsidR="00772329" w:rsidRPr="00C85312" w:rsidRDefault="00772329" w:rsidP="00C85312">
      <w:pPr>
        <w:pStyle w:val="BodyTextIndent2"/>
        <w:ind w:hanging="720"/>
        <w:rPr>
          <w:bCs/>
          <w:kern w:val="24"/>
        </w:rPr>
      </w:pPr>
      <w:r w:rsidRPr="00AD2F8C">
        <w:rPr>
          <w:bCs/>
          <w:kern w:val="24"/>
        </w:rPr>
        <w:t>A.</w:t>
      </w:r>
      <w:r w:rsidRPr="00AD2F8C">
        <w:rPr>
          <w:bCs/>
          <w:kern w:val="24"/>
        </w:rPr>
        <w:tab/>
      </w:r>
      <w:r w:rsidRPr="00C85312">
        <w:rPr>
          <w:bCs/>
          <w:kern w:val="24"/>
        </w:rPr>
        <w:t>A service quality complaint is a customer complaint related to the Commission’s service quality standards.  Staff tracks and posts complaints related to quality of service, delayed service, and network congestion</w:t>
      </w:r>
      <w:r w:rsidR="00D342C8">
        <w:rPr>
          <w:bCs/>
          <w:kern w:val="24"/>
        </w:rPr>
        <w:t>.</w:t>
      </w:r>
      <w:r w:rsidRPr="00C85312">
        <w:rPr>
          <w:rStyle w:val="FootnoteReference"/>
          <w:bCs/>
          <w:kern w:val="24"/>
        </w:rPr>
        <w:footnoteReference w:id="6"/>
      </w:r>
      <w:r w:rsidRPr="00C85312">
        <w:rPr>
          <w:bCs/>
          <w:kern w:val="24"/>
        </w:rPr>
        <w:t xml:space="preserve">  In order to fairly compare large and small reporting companies, the Commission calculates a </w:t>
      </w:r>
      <w:r w:rsidR="008F73A7">
        <w:rPr>
          <w:bCs/>
          <w:kern w:val="24"/>
        </w:rPr>
        <w:t xml:space="preserve">service quality complaint </w:t>
      </w:r>
      <w:r w:rsidR="001A41C3">
        <w:rPr>
          <w:bCs/>
          <w:kern w:val="24"/>
        </w:rPr>
        <w:t xml:space="preserve">rate </w:t>
      </w:r>
      <w:r w:rsidRPr="00C85312">
        <w:rPr>
          <w:bCs/>
          <w:kern w:val="24"/>
        </w:rPr>
        <w:t>based on the number of service quality complaints per 10,000 access lines.</w:t>
      </w:r>
    </w:p>
    <w:p w:rsidR="00772329" w:rsidRPr="00772329" w:rsidRDefault="00772329" w:rsidP="00772329">
      <w:pPr>
        <w:pStyle w:val="BodyTextIndent2"/>
        <w:rPr>
          <w:b/>
          <w:bCs/>
          <w:kern w:val="24"/>
        </w:rPr>
      </w:pPr>
    </w:p>
    <w:p w:rsidR="00772329" w:rsidRPr="00C85312" w:rsidRDefault="00772329" w:rsidP="00AD2F8C">
      <w:pPr>
        <w:pStyle w:val="BodyTextIndent2"/>
        <w:keepNext/>
        <w:ind w:hanging="720"/>
        <w:rPr>
          <w:b/>
          <w:bCs/>
          <w:kern w:val="24"/>
        </w:rPr>
      </w:pPr>
      <w:r w:rsidRPr="00C85312">
        <w:rPr>
          <w:b/>
          <w:bCs/>
          <w:kern w:val="24"/>
        </w:rPr>
        <w:t xml:space="preserve">Q. </w:t>
      </w:r>
      <w:r w:rsidRPr="00C85312">
        <w:rPr>
          <w:b/>
          <w:bCs/>
          <w:kern w:val="24"/>
        </w:rPr>
        <w:tab/>
        <w:t xml:space="preserve">What companies are required to submit monthly service quality reports? </w:t>
      </w:r>
    </w:p>
    <w:p w:rsidR="00772329" w:rsidRPr="00772329" w:rsidRDefault="00772329" w:rsidP="00772329">
      <w:pPr>
        <w:spacing w:line="480" w:lineRule="auto"/>
        <w:ind w:left="720" w:hanging="720"/>
      </w:pPr>
      <w:r w:rsidRPr="00772329">
        <w:t>A.</w:t>
      </w:r>
      <w:r w:rsidRPr="00772329">
        <w:tab/>
        <w:t xml:space="preserve">Any local exchange company that serves at least two percent of </w:t>
      </w:r>
      <w:r w:rsidR="008F73A7">
        <w:t>Washington</w:t>
      </w:r>
      <w:r w:rsidRPr="00772329">
        <w:t xml:space="preserve"> access lines is</w:t>
      </w:r>
      <w:r w:rsidR="00F965FD">
        <w:t xml:space="preserve"> classified as a Class A </w:t>
      </w:r>
      <w:r w:rsidR="008421FD">
        <w:t xml:space="preserve">company </w:t>
      </w:r>
      <w:r w:rsidR="00F965FD">
        <w:t>and is</w:t>
      </w:r>
      <w:r w:rsidRPr="00772329">
        <w:t xml:space="preserve"> required to submit monthly service quality reports.  Therefore, </w:t>
      </w:r>
      <w:r w:rsidR="007A6930">
        <w:t xml:space="preserve">the Commission receives monthly service quality reports </w:t>
      </w:r>
      <w:r w:rsidR="007A6930">
        <w:lastRenderedPageBreak/>
        <w:t xml:space="preserve">from four Class </w:t>
      </w:r>
      <w:proofErr w:type="gramStart"/>
      <w:r w:rsidR="007A6930">
        <w:t>A</w:t>
      </w:r>
      <w:proofErr w:type="gramEnd"/>
      <w:r w:rsidR="007A6930">
        <w:t xml:space="preserve"> ILECs: </w:t>
      </w:r>
      <w:r w:rsidR="000819B8">
        <w:t>Qwest</w:t>
      </w:r>
      <w:r w:rsidR="00DF0F4F">
        <w:t xml:space="preserve">, </w:t>
      </w:r>
      <w:r w:rsidR="008F73A7">
        <w:t xml:space="preserve">Embarq, </w:t>
      </w:r>
      <w:r w:rsidR="00DF0F4F">
        <w:t>the</w:t>
      </w:r>
      <w:r w:rsidR="009F54BB">
        <w:t xml:space="preserve"> </w:t>
      </w:r>
      <w:r w:rsidR="000819B8">
        <w:t>CenturyLink</w:t>
      </w:r>
      <w:r w:rsidR="009F54BB">
        <w:t xml:space="preserve"> ILECs</w:t>
      </w:r>
      <w:r w:rsidR="008F73A7">
        <w:t xml:space="preserve"> (excluding Embarq)</w:t>
      </w:r>
      <w:r w:rsidR="006673F3">
        <w:t>,</w:t>
      </w:r>
      <w:r w:rsidR="000819B8">
        <w:t xml:space="preserve"> and Frontier</w:t>
      </w:r>
      <w:r w:rsidR="006673F3">
        <w:t xml:space="preserve"> Communications</w:t>
      </w:r>
      <w:r w:rsidR="004E530D">
        <w:t xml:space="preserve"> Northwest, Inc. (formerly Verizon Northwest, Inc.)</w:t>
      </w:r>
      <w:r w:rsidR="00AD2F8C">
        <w:t xml:space="preserve">.  </w:t>
      </w:r>
      <w:r w:rsidRPr="00772329">
        <w:t xml:space="preserve">The Commission also receives monthly service quality reports from </w:t>
      </w:r>
      <w:r w:rsidR="000819B8">
        <w:t xml:space="preserve">two </w:t>
      </w:r>
      <w:r w:rsidRPr="00772329">
        <w:t xml:space="preserve">Class </w:t>
      </w:r>
      <w:proofErr w:type="gramStart"/>
      <w:r w:rsidRPr="00772329">
        <w:t>A</w:t>
      </w:r>
      <w:proofErr w:type="gramEnd"/>
      <w:r w:rsidRPr="00772329">
        <w:t xml:space="preserve"> CLECs</w:t>
      </w:r>
      <w:r w:rsidR="00DF0F4F">
        <w:t>:</w:t>
      </w:r>
      <w:r w:rsidRPr="00772329">
        <w:t xml:space="preserve"> AT&amp;T Communications of the Pacific Northwest</w:t>
      </w:r>
      <w:r w:rsidR="000819B8">
        <w:t xml:space="preserve"> and </w:t>
      </w:r>
      <w:r w:rsidRPr="00772329">
        <w:t>Integra Telecom (combined reporting with Eschelon)</w:t>
      </w:r>
      <w:r w:rsidR="0084366A">
        <w:t>.</w:t>
      </w:r>
    </w:p>
    <w:p w:rsidR="00772329" w:rsidRPr="00772329" w:rsidRDefault="00772329" w:rsidP="00772329">
      <w:pPr>
        <w:spacing w:line="480" w:lineRule="auto"/>
        <w:ind w:left="720" w:hanging="720"/>
      </w:pPr>
    </w:p>
    <w:p w:rsidR="00772329" w:rsidRPr="00772329" w:rsidRDefault="00772329" w:rsidP="00772329">
      <w:pPr>
        <w:spacing w:line="480" w:lineRule="auto"/>
        <w:ind w:left="720" w:hanging="720"/>
      </w:pPr>
      <w:r w:rsidRPr="00772329">
        <w:rPr>
          <w:b/>
        </w:rPr>
        <w:t>Q.</w:t>
      </w:r>
      <w:r w:rsidRPr="00772329">
        <w:rPr>
          <w:b/>
        </w:rPr>
        <w:tab/>
        <w:t>Please briefly describe the information that telecommunications carriers must provide to the FCC through ARMIS reports.</w:t>
      </w:r>
    </w:p>
    <w:p w:rsidR="00772329" w:rsidRPr="00772329" w:rsidRDefault="00772329" w:rsidP="00772329">
      <w:pPr>
        <w:spacing w:line="480" w:lineRule="auto"/>
        <w:ind w:left="720" w:hanging="720"/>
      </w:pPr>
      <w:r w:rsidRPr="00772329">
        <w:t>A.</w:t>
      </w:r>
      <w:r w:rsidRPr="00772329">
        <w:tab/>
        <w:t xml:space="preserve">The ARMIS database was initiated in 1987 for the collection of financial and operational data from the largest carriers.  Additional reporting requirements have been added over time, such as the 43-05 Service Quality Report.  </w:t>
      </w:r>
    </w:p>
    <w:p w:rsidR="00772329" w:rsidRPr="00772329" w:rsidRDefault="00772329" w:rsidP="00772329">
      <w:pPr>
        <w:spacing w:line="480" w:lineRule="auto"/>
        <w:ind w:left="720" w:firstLine="720"/>
      </w:pPr>
      <w:r w:rsidRPr="00772329">
        <w:t xml:space="preserve">The 43-05 Service Quality Report </w:t>
      </w:r>
      <w:r w:rsidR="0092414D">
        <w:t xml:space="preserve">includes </w:t>
      </w:r>
      <w:r w:rsidRPr="00772329">
        <w:t>six levels of data collection: 1) Installation and Repair Intervals (Interexchange Access</w:t>
      </w:r>
      <w:r w:rsidR="00113BF8">
        <w:t>)</w:t>
      </w:r>
      <w:r w:rsidRPr="00772329">
        <w:t xml:space="preserve">; 2) Installation and Repair Intervals (Local Service); 3) Common Trunk Blockage; 4) Total Switch Downtime; 5) Occurrence of Two Minutes or More Duration Downtime; and 6) Service Quality Complaints.  This data can then be viewed and analyzed at </w:t>
      </w:r>
      <w:r w:rsidR="00CA2E34">
        <w:t>various</w:t>
      </w:r>
      <w:r w:rsidR="00CA2E34" w:rsidRPr="00772329">
        <w:t xml:space="preserve"> </w:t>
      </w:r>
      <w:r w:rsidRPr="00772329">
        <w:t xml:space="preserve">levels of aggregation – by COSA (company study area) or by state, or </w:t>
      </w:r>
      <w:r w:rsidR="00CA2E34">
        <w:t xml:space="preserve">by </w:t>
      </w:r>
      <w:r w:rsidRPr="00772329">
        <w:t>all ILECs</w:t>
      </w:r>
      <w:r w:rsidR="008E44C8">
        <w:t>,</w:t>
      </w:r>
      <w:r w:rsidRPr="00772329">
        <w:t xml:space="preserve"> or </w:t>
      </w:r>
      <w:r w:rsidR="008E44C8">
        <w:t xml:space="preserve">by </w:t>
      </w:r>
      <w:r w:rsidRPr="00772329">
        <w:t>a rollup</w:t>
      </w:r>
      <w:r w:rsidR="008E44C8">
        <w:t xml:space="preserve"> (i.e. total) of each</w:t>
      </w:r>
      <w:r w:rsidRPr="00772329">
        <w:t xml:space="preserve"> ILEC, as well as by year. </w:t>
      </w:r>
    </w:p>
    <w:p w:rsidR="00772329" w:rsidRDefault="00712A95" w:rsidP="00772329">
      <w:pPr>
        <w:spacing w:line="480" w:lineRule="auto"/>
        <w:ind w:left="835" w:firstLine="605"/>
        <w:rPr>
          <w:vertAlign w:val="superscript"/>
        </w:rPr>
      </w:pPr>
      <w:r>
        <w:t xml:space="preserve">I </w:t>
      </w:r>
      <w:r w:rsidR="00772329" w:rsidRPr="00772329">
        <w:t>primarily analyzed the companies’ data for Installations and Repair Intervals (Local Service).  This report includes some of the same information that is required by the Commission’s rule, such as installation orders and trouble reports; however, the level of detail does go farther than our rule.</w:t>
      </w:r>
      <w:r w:rsidR="00772329" w:rsidRPr="00772329">
        <w:rPr>
          <w:vertAlign w:val="superscript"/>
        </w:rPr>
        <w:t xml:space="preserve">  </w:t>
      </w:r>
    </w:p>
    <w:p w:rsidR="002E5C3D" w:rsidRDefault="002E5C3D" w:rsidP="00772329">
      <w:pPr>
        <w:spacing w:line="480" w:lineRule="auto"/>
        <w:ind w:left="835" w:firstLine="605"/>
        <w:rPr>
          <w:vertAlign w:val="superscript"/>
        </w:rPr>
      </w:pPr>
    </w:p>
    <w:p w:rsidR="002C3A7A" w:rsidRDefault="002C3A7A" w:rsidP="002C3A7A">
      <w:pPr>
        <w:pStyle w:val="FootnoteText"/>
        <w:jc w:val="center"/>
        <w:rPr>
          <w:b/>
          <w:sz w:val="24"/>
          <w:szCs w:val="24"/>
        </w:rPr>
      </w:pPr>
      <w:r>
        <w:rPr>
          <w:b/>
          <w:sz w:val="24"/>
          <w:szCs w:val="24"/>
        </w:rPr>
        <w:lastRenderedPageBreak/>
        <w:t>IV.</w:t>
      </w:r>
      <w:r>
        <w:rPr>
          <w:b/>
          <w:sz w:val="24"/>
          <w:szCs w:val="24"/>
        </w:rPr>
        <w:tab/>
      </w:r>
      <w:r w:rsidR="00AD2F8C" w:rsidRPr="00772329">
        <w:rPr>
          <w:b/>
          <w:sz w:val="24"/>
          <w:szCs w:val="24"/>
        </w:rPr>
        <w:t xml:space="preserve">ANALYSIS OF </w:t>
      </w:r>
      <w:r w:rsidR="00501A5F">
        <w:rPr>
          <w:b/>
          <w:sz w:val="24"/>
          <w:szCs w:val="24"/>
        </w:rPr>
        <w:t>QWEST</w:t>
      </w:r>
      <w:r w:rsidR="00DC1240">
        <w:rPr>
          <w:b/>
          <w:sz w:val="24"/>
          <w:szCs w:val="24"/>
        </w:rPr>
        <w:t>’S</w:t>
      </w:r>
      <w:r w:rsidR="008421FD">
        <w:rPr>
          <w:b/>
          <w:sz w:val="24"/>
          <w:szCs w:val="24"/>
        </w:rPr>
        <w:t xml:space="preserve"> </w:t>
      </w:r>
      <w:r w:rsidR="00AD2F8C" w:rsidRPr="00772329">
        <w:rPr>
          <w:b/>
          <w:sz w:val="24"/>
          <w:szCs w:val="24"/>
        </w:rPr>
        <w:t>AND</w:t>
      </w:r>
      <w:r w:rsidR="0084366A">
        <w:rPr>
          <w:b/>
          <w:sz w:val="24"/>
          <w:szCs w:val="24"/>
        </w:rPr>
        <w:t xml:space="preserve"> </w:t>
      </w:r>
      <w:r w:rsidR="00DC1240">
        <w:rPr>
          <w:b/>
          <w:sz w:val="24"/>
          <w:szCs w:val="24"/>
        </w:rPr>
        <w:t xml:space="preserve">THE </w:t>
      </w:r>
      <w:r w:rsidR="00501A5F">
        <w:rPr>
          <w:b/>
          <w:sz w:val="24"/>
          <w:szCs w:val="24"/>
        </w:rPr>
        <w:t>CENTURYLINK</w:t>
      </w:r>
      <w:r w:rsidR="008421FD">
        <w:rPr>
          <w:b/>
          <w:sz w:val="24"/>
          <w:szCs w:val="24"/>
        </w:rPr>
        <w:t xml:space="preserve"> ILECS</w:t>
      </w:r>
      <w:r w:rsidR="00AD2F8C" w:rsidRPr="00772329">
        <w:rPr>
          <w:b/>
          <w:sz w:val="24"/>
          <w:szCs w:val="24"/>
        </w:rPr>
        <w:t>’</w:t>
      </w:r>
    </w:p>
    <w:p w:rsidR="00772329" w:rsidRPr="00772329" w:rsidRDefault="00AD2F8C" w:rsidP="002C3A7A">
      <w:pPr>
        <w:pStyle w:val="FootnoteText"/>
        <w:ind w:left="720" w:firstLine="720"/>
        <w:rPr>
          <w:b/>
          <w:sz w:val="24"/>
          <w:szCs w:val="24"/>
        </w:rPr>
      </w:pPr>
      <w:r w:rsidRPr="00772329">
        <w:rPr>
          <w:b/>
          <w:sz w:val="24"/>
          <w:szCs w:val="24"/>
        </w:rPr>
        <w:t>SERVICE QUALITY</w:t>
      </w:r>
    </w:p>
    <w:p w:rsidR="00772329" w:rsidRPr="00772329" w:rsidRDefault="00772329" w:rsidP="00772329">
      <w:pPr>
        <w:spacing w:line="480" w:lineRule="auto"/>
        <w:ind w:left="720" w:hanging="720"/>
        <w:rPr>
          <w:b/>
          <w:bCs/>
        </w:rPr>
      </w:pPr>
    </w:p>
    <w:p w:rsidR="00772329" w:rsidRPr="00772329" w:rsidRDefault="00772329" w:rsidP="00772329">
      <w:pPr>
        <w:spacing w:line="480" w:lineRule="auto"/>
        <w:ind w:left="720" w:hanging="720"/>
      </w:pPr>
      <w:r w:rsidRPr="00772329">
        <w:rPr>
          <w:b/>
          <w:bCs/>
        </w:rPr>
        <w:t>Q.</w:t>
      </w:r>
      <w:r w:rsidRPr="00772329">
        <w:rPr>
          <w:b/>
          <w:bCs/>
        </w:rPr>
        <w:tab/>
        <w:t xml:space="preserve">How is </w:t>
      </w:r>
      <w:r w:rsidR="007A6930">
        <w:rPr>
          <w:b/>
          <w:bCs/>
        </w:rPr>
        <w:t xml:space="preserve">the </w:t>
      </w:r>
      <w:r w:rsidRPr="00772329">
        <w:rPr>
          <w:b/>
          <w:bCs/>
        </w:rPr>
        <w:t>performance</w:t>
      </w:r>
      <w:r w:rsidR="007A6930">
        <w:rPr>
          <w:b/>
          <w:bCs/>
        </w:rPr>
        <w:t xml:space="preserve"> of Qwest and </w:t>
      </w:r>
      <w:r w:rsidR="00DC1240">
        <w:rPr>
          <w:b/>
          <w:bCs/>
        </w:rPr>
        <w:t xml:space="preserve">the </w:t>
      </w:r>
      <w:r w:rsidR="007A6930">
        <w:rPr>
          <w:b/>
          <w:bCs/>
        </w:rPr>
        <w:t>CenturyLink ILEC</w:t>
      </w:r>
      <w:r w:rsidR="00DC1240">
        <w:rPr>
          <w:b/>
          <w:bCs/>
        </w:rPr>
        <w:t>s</w:t>
      </w:r>
      <w:r w:rsidRPr="00772329">
        <w:rPr>
          <w:b/>
          <w:bCs/>
        </w:rPr>
        <w:t xml:space="preserve"> </w:t>
      </w:r>
      <w:r w:rsidR="00DC1240">
        <w:rPr>
          <w:b/>
          <w:bCs/>
        </w:rPr>
        <w:t>with</w:t>
      </w:r>
      <w:r w:rsidRPr="00772329">
        <w:rPr>
          <w:b/>
          <w:bCs/>
        </w:rPr>
        <w:t xml:space="preserve"> regard to service quality metrics?</w:t>
      </w:r>
    </w:p>
    <w:p w:rsidR="00DE559A" w:rsidRDefault="00772329" w:rsidP="00DE559A">
      <w:pPr>
        <w:spacing w:line="480" w:lineRule="auto"/>
        <w:ind w:left="720" w:hanging="720"/>
      </w:pPr>
      <w:r w:rsidRPr="00772329">
        <w:t>A.</w:t>
      </w:r>
      <w:r w:rsidRPr="00772329">
        <w:tab/>
      </w:r>
      <w:r w:rsidR="00712A95">
        <w:t>I</w:t>
      </w:r>
      <w:r w:rsidRPr="00772329">
        <w:t xml:space="preserve"> analyzed the Washington specific service quality reports as well as the FCC ARMIS 43-05 data</w:t>
      </w:r>
      <w:r w:rsidR="00DC1240">
        <w:t xml:space="preserve"> and concluded</w:t>
      </w:r>
      <w:r w:rsidR="00B34E28">
        <w:t xml:space="preserve"> </w:t>
      </w:r>
      <w:r w:rsidR="00F8563F">
        <w:t>that t</w:t>
      </w:r>
      <w:r w:rsidR="008758EC">
        <w:t xml:space="preserve">he companies </w:t>
      </w:r>
      <w:r w:rsidR="00F8563F">
        <w:t xml:space="preserve">have been </w:t>
      </w:r>
      <w:r w:rsidR="008758EC">
        <w:t xml:space="preserve">able to </w:t>
      </w:r>
      <w:r w:rsidRPr="00772329">
        <w:t>meet a majority of the Washington</w:t>
      </w:r>
      <w:r w:rsidR="00DC1240">
        <w:t>-s</w:t>
      </w:r>
      <w:r w:rsidRPr="00772329">
        <w:t>pecific standards</w:t>
      </w:r>
      <w:r w:rsidR="0044385F">
        <w:t xml:space="preserve">.  </w:t>
      </w:r>
      <w:r w:rsidR="00A96254">
        <w:t>On a national level, b</w:t>
      </w:r>
      <w:r w:rsidR="00FD7888">
        <w:t xml:space="preserve">ased on the ARMIS 43-05 data </w:t>
      </w:r>
      <w:r w:rsidR="002E35E8">
        <w:t xml:space="preserve">available </w:t>
      </w:r>
      <w:r w:rsidR="00FD7888">
        <w:t xml:space="preserve">in the “Quality of Service of Incumbent Local Exchange Carriers” </w:t>
      </w:r>
      <w:r w:rsidR="00E32643">
        <w:t xml:space="preserve">report </w:t>
      </w:r>
      <w:r w:rsidR="00FD7888">
        <w:t xml:space="preserve">compiled by the FCC’s Industry Analysis and Technology Division, </w:t>
      </w:r>
      <w:r w:rsidR="002E35E8">
        <w:t>Wireline Competition Bureau</w:t>
      </w:r>
      <w:r w:rsidR="0090745C">
        <w:t>,</w:t>
      </w:r>
      <w:r w:rsidR="002E35E8">
        <w:t xml:space="preserve"> for 200</w:t>
      </w:r>
      <w:r w:rsidR="00E61A44">
        <w:t>3</w:t>
      </w:r>
      <w:r w:rsidR="002E35E8">
        <w:t xml:space="preserve"> through 2008</w:t>
      </w:r>
      <w:r w:rsidR="00DE559A">
        <w:t>, the companies’ service quality performance is adequate.  However, CenturyLink ranks the highest in relative complaint levels for small price-cap carriers; whereas Qwest ranks fourth (out of five) in relative complaint levels for large price-cap carriers.</w:t>
      </w:r>
    </w:p>
    <w:p w:rsidR="00772329" w:rsidRPr="00772329" w:rsidRDefault="00772329" w:rsidP="00772329">
      <w:pPr>
        <w:spacing w:line="480" w:lineRule="auto"/>
        <w:ind w:left="720" w:hanging="720"/>
      </w:pPr>
    </w:p>
    <w:p w:rsidR="00772329" w:rsidRPr="00772329" w:rsidRDefault="00772329" w:rsidP="00772329">
      <w:pPr>
        <w:spacing w:line="480" w:lineRule="auto"/>
        <w:ind w:left="720" w:hanging="720"/>
      </w:pPr>
      <w:r w:rsidRPr="00772329">
        <w:rPr>
          <w:b/>
          <w:bCs/>
        </w:rPr>
        <w:t>Q.</w:t>
      </w:r>
      <w:r w:rsidRPr="00772329">
        <w:rPr>
          <w:b/>
          <w:bCs/>
        </w:rPr>
        <w:tab/>
        <w:t>Have you reviewed</w:t>
      </w:r>
      <w:r w:rsidR="0034449D">
        <w:rPr>
          <w:b/>
          <w:bCs/>
        </w:rPr>
        <w:t xml:space="preserve"> </w:t>
      </w:r>
      <w:r w:rsidR="007A6930">
        <w:rPr>
          <w:b/>
          <w:bCs/>
        </w:rPr>
        <w:t>Qwest</w:t>
      </w:r>
      <w:r w:rsidR="0090745C">
        <w:rPr>
          <w:b/>
          <w:bCs/>
        </w:rPr>
        <w:t>’s</w:t>
      </w:r>
      <w:r w:rsidR="007A6930">
        <w:rPr>
          <w:b/>
          <w:bCs/>
        </w:rPr>
        <w:t xml:space="preserve"> and </w:t>
      </w:r>
      <w:r w:rsidR="0090745C">
        <w:rPr>
          <w:b/>
          <w:bCs/>
        </w:rPr>
        <w:t xml:space="preserve">the </w:t>
      </w:r>
      <w:r w:rsidR="007A6930">
        <w:rPr>
          <w:b/>
          <w:bCs/>
        </w:rPr>
        <w:t>CenturyLink ILECs</w:t>
      </w:r>
      <w:r w:rsidR="0090745C">
        <w:rPr>
          <w:b/>
          <w:bCs/>
        </w:rPr>
        <w:t>’</w:t>
      </w:r>
      <w:r w:rsidR="007A6930">
        <w:rPr>
          <w:b/>
          <w:bCs/>
        </w:rPr>
        <w:t xml:space="preserve"> </w:t>
      </w:r>
      <w:r w:rsidRPr="00772329">
        <w:rPr>
          <w:b/>
          <w:bCs/>
        </w:rPr>
        <w:t>performance on installations and repairs in Washington?</w:t>
      </w:r>
    </w:p>
    <w:p w:rsidR="00772329" w:rsidRPr="00772329" w:rsidRDefault="00772329" w:rsidP="00772329">
      <w:pPr>
        <w:spacing w:line="480" w:lineRule="auto"/>
        <w:ind w:left="720" w:hanging="720"/>
        <w:rPr>
          <w:bCs/>
        </w:rPr>
      </w:pPr>
      <w:r w:rsidRPr="00772329">
        <w:t>A</w:t>
      </w:r>
      <w:r w:rsidR="00AD2F8C">
        <w:t>.</w:t>
      </w:r>
      <w:r w:rsidRPr="00772329">
        <w:tab/>
        <w:t xml:space="preserve">Yes. </w:t>
      </w:r>
      <w:r w:rsidRPr="00772329">
        <w:rPr>
          <w:bCs/>
        </w:rPr>
        <w:t xml:space="preserve"> </w:t>
      </w:r>
      <w:r w:rsidR="00712A95">
        <w:rPr>
          <w:bCs/>
        </w:rPr>
        <w:t>I</w:t>
      </w:r>
      <w:r w:rsidRPr="00772329">
        <w:rPr>
          <w:bCs/>
        </w:rPr>
        <w:t xml:space="preserve"> specifically analyzed the monthly service quality reports filed with the Commission for</w:t>
      </w:r>
      <w:r w:rsidR="00501A5F">
        <w:rPr>
          <w:bCs/>
        </w:rPr>
        <w:t xml:space="preserve"> </w:t>
      </w:r>
      <w:r w:rsidR="00EB6187">
        <w:rPr>
          <w:bCs/>
        </w:rPr>
        <w:t xml:space="preserve">the 60 month period of </w:t>
      </w:r>
      <w:r w:rsidR="0034449D">
        <w:rPr>
          <w:bCs/>
        </w:rPr>
        <w:t xml:space="preserve">July 2005 </w:t>
      </w:r>
      <w:r w:rsidR="00501A5F">
        <w:rPr>
          <w:bCs/>
        </w:rPr>
        <w:t xml:space="preserve">through </w:t>
      </w:r>
      <w:r w:rsidR="0034449D">
        <w:rPr>
          <w:bCs/>
        </w:rPr>
        <w:t xml:space="preserve">June </w:t>
      </w:r>
      <w:r w:rsidR="00501A5F">
        <w:rPr>
          <w:bCs/>
        </w:rPr>
        <w:t>2010</w:t>
      </w:r>
      <w:r w:rsidRPr="00772329">
        <w:rPr>
          <w:bCs/>
        </w:rPr>
        <w:t xml:space="preserve">.  </w:t>
      </w:r>
    </w:p>
    <w:p w:rsidR="00FC7F3D" w:rsidRDefault="00712A95" w:rsidP="004961BE">
      <w:pPr>
        <w:spacing w:line="480" w:lineRule="auto"/>
        <w:ind w:left="720" w:firstLine="720"/>
        <w:rPr>
          <w:bCs/>
        </w:rPr>
      </w:pPr>
      <w:r>
        <w:rPr>
          <w:bCs/>
        </w:rPr>
        <w:t>I</w:t>
      </w:r>
      <w:r w:rsidR="001636FF">
        <w:rPr>
          <w:bCs/>
        </w:rPr>
        <w:t xml:space="preserve"> analyzed the annual average of the </w:t>
      </w:r>
      <w:r w:rsidR="003B1C6A">
        <w:rPr>
          <w:bCs/>
        </w:rPr>
        <w:t xml:space="preserve">four reporting Class A </w:t>
      </w:r>
      <w:r w:rsidR="001636FF">
        <w:rPr>
          <w:bCs/>
        </w:rPr>
        <w:t>companies’ performance for the five-day standard</w:t>
      </w:r>
      <w:r w:rsidR="00FC7F3D">
        <w:rPr>
          <w:bCs/>
        </w:rPr>
        <w:t>, the 48-hour out-of-service repair standard, and the 72-hour impairment of service standard</w:t>
      </w:r>
      <w:r w:rsidR="001636FF">
        <w:rPr>
          <w:bCs/>
        </w:rPr>
        <w:t xml:space="preserve">. </w:t>
      </w:r>
    </w:p>
    <w:p w:rsidR="00B4748B" w:rsidRDefault="00772329" w:rsidP="004961BE">
      <w:pPr>
        <w:spacing w:line="480" w:lineRule="auto"/>
        <w:ind w:left="720" w:firstLine="720"/>
        <w:rPr>
          <w:bCs/>
        </w:rPr>
      </w:pPr>
      <w:r w:rsidRPr="00772329">
        <w:rPr>
          <w:bCs/>
        </w:rPr>
        <w:t xml:space="preserve">The five-day installation standard is 90 percent; </w:t>
      </w:r>
      <w:r w:rsidR="0090745C">
        <w:rPr>
          <w:bCs/>
        </w:rPr>
        <w:t xml:space="preserve">that is, </w:t>
      </w:r>
      <w:r w:rsidRPr="00772329">
        <w:rPr>
          <w:bCs/>
        </w:rPr>
        <w:t>companies are required to install 90 percent of all orders for service within five days.</w:t>
      </w:r>
      <w:r w:rsidR="00501A5F">
        <w:rPr>
          <w:bCs/>
        </w:rPr>
        <w:t xml:space="preserve"> </w:t>
      </w:r>
      <w:r w:rsidR="001636FF">
        <w:rPr>
          <w:bCs/>
        </w:rPr>
        <w:t xml:space="preserve">The following </w:t>
      </w:r>
      <w:r w:rsidR="001636FF">
        <w:rPr>
          <w:bCs/>
        </w:rPr>
        <w:lastRenderedPageBreak/>
        <w:t xml:space="preserve">graph depicts </w:t>
      </w:r>
      <w:r w:rsidR="00860D3B">
        <w:rPr>
          <w:bCs/>
        </w:rPr>
        <w:t xml:space="preserve">the </w:t>
      </w:r>
      <w:r w:rsidR="001636FF">
        <w:rPr>
          <w:bCs/>
        </w:rPr>
        <w:t xml:space="preserve">performance </w:t>
      </w:r>
      <w:r w:rsidR="00860D3B">
        <w:rPr>
          <w:bCs/>
        </w:rPr>
        <w:t xml:space="preserve">of the four </w:t>
      </w:r>
      <w:r w:rsidR="0090745C">
        <w:rPr>
          <w:bCs/>
        </w:rPr>
        <w:t xml:space="preserve">Class </w:t>
      </w:r>
      <w:proofErr w:type="gramStart"/>
      <w:r w:rsidR="0090745C">
        <w:rPr>
          <w:bCs/>
        </w:rPr>
        <w:t>A</w:t>
      </w:r>
      <w:proofErr w:type="gramEnd"/>
      <w:r w:rsidR="0090745C">
        <w:rPr>
          <w:bCs/>
        </w:rPr>
        <w:t xml:space="preserve"> </w:t>
      </w:r>
      <w:r w:rsidR="00860D3B">
        <w:rPr>
          <w:bCs/>
        </w:rPr>
        <w:t xml:space="preserve">ILECs </w:t>
      </w:r>
      <w:r w:rsidR="001636FF">
        <w:rPr>
          <w:bCs/>
        </w:rPr>
        <w:t xml:space="preserve">regarding the </w:t>
      </w:r>
      <w:r w:rsidR="00A910C4">
        <w:rPr>
          <w:bCs/>
        </w:rPr>
        <w:t>five-day i</w:t>
      </w:r>
      <w:r w:rsidR="001636FF">
        <w:rPr>
          <w:bCs/>
        </w:rPr>
        <w:t>nstallation requirement.</w:t>
      </w:r>
    </w:p>
    <w:p w:rsidR="00B4748B" w:rsidRPr="00465F0F" w:rsidRDefault="00946DB4" w:rsidP="00B4748B">
      <w:pPr>
        <w:jc w:val="center"/>
        <w:rPr>
          <w:bCs/>
        </w:rPr>
      </w:pPr>
      <w:r w:rsidRPr="00946DB4">
        <w:rPr>
          <w:bCs/>
        </w:rPr>
        <w:t>5 Day Installations</w:t>
      </w:r>
    </w:p>
    <w:p w:rsidR="00B4748B" w:rsidRDefault="00B4748B" w:rsidP="00B4748B">
      <w:pPr>
        <w:spacing w:line="480" w:lineRule="auto"/>
        <w:rPr>
          <w:bCs/>
        </w:rPr>
      </w:pPr>
      <w:r w:rsidRPr="00B4748B">
        <w:rPr>
          <w:bCs/>
          <w:noProof/>
        </w:rPr>
        <w:drawing>
          <wp:inline distT="0" distB="0" distL="0" distR="0">
            <wp:extent cx="5669280" cy="2387033"/>
            <wp:effectExtent l="19050" t="0" r="26670" b="0"/>
            <wp:docPr id="1"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E559A" w:rsidRDefault="001636FF" w:rsidP="00AA098B">
      <w:pPr>
        <w:spacing w:line="480" w:lineRule="auto"/>
        <w:ind w:left="720" w:firstLine="720"/>
        <w:rPr>
          <w:bCs/>
        </w:rPr>
      </w:pPr>
      <w:r>
        <w:rPr>
          <w:bCs/>
        </w:rPr>
        <w:t>As the graph above indicates, Qwest</w:t>
      </w:r>
      <w:r w:rsidR="007A6930">
        <w:rPr>
          <w:bCs/>
        </w:rPr>
        <w:t xml:space="preserve"> </w:t>
      </w:r>
      <w:r>
        <w:rPr>
          <w:bCs/>
        </w:rPr>
        <w:t xml:space="preserve">and </w:t>
      </w:r>
      <w:r w:rsidR="00766993">
        <w:rPr>
          <w:bCs/>
        </w:rPr>
        <w:t xml:space="preserve">the </w:t>
      </w:r>
      <w:r>
        <w:rPr>
          <w:bCs/>
        </w:rPr>
        <w:t>CenturyLink</w:t>
      </w:r>
      <w:r w:rsidR="007A6930">
        <w:rPr>
          <w:bCs/>
        </w:rPr>
        <w:t xml:space="preserve"> ILEC</w:t>
      </w:r>
      <w:r w:rsidR="00D342C8">
        <w:rPr>
          <w:bCs/>
        </w:rPr>
        <w:t>s</w:t>
      </w:r>
      <w:r>
        <w:rPr>
          <w:rStyle w:val="FootnoteReference"/>
          <w:bCs/>
        </w:rPr>
        <w:footnoteReference w:id="7"/>
      </w:r>
      <w:r>
        <w:rPr>
          <w:bCs/>
        </w:rPr>
        <w:t xml:space="preserve"> met this standard in the 60 month period</w:t>
      </w:r>
      <w:r w:rsidR="00766993">
        <w:rPr>
          <w:bCs/>
        </w:rPr>
        <w:t xml:space="preserve"> I reviewed</w:t>
      </w:r>
      <w:r>
        <w:rPr>
          <w:bCs/>
        </w:rPr>
        <w:t>. Over this 60 month period, Qwest</w:t>
      </w:r>
      <w:r w:rsidR="007A6930">
        <w:rPr>
          <w:bCs/>
        </w:rPr>
        <w:t xml:space="preserve"> </w:t>
      </w:r>
      <w:r>
        <w:rPr>
          <w:bCs/>
        </w:rPr>
        <w:t xml:space="preserve">and </w:t>
      </w:r>
      <w:r w:rsidR="00766993">
        <w:rPr>
          <w:bCs/>
        </w:rPr>
        <w:t xml:space="preserve">the </w:t>
      </w:r>
      <w:r>
        <w:rPr>
          <w:bCs/>
        </w:rPr>
        <w:t xml:space="preserve">CenturyLink </w:t>
      </w:r>
      <w:r w:rsidR="007A6930">
        <w:rPr>
          <w:bCs/>
        </w:rPr>
        <w:t>ILEC</w:t>
      </w:r>
      <w:r w:rsidR="00D342C8">
        <w:rPr>
          <w:bCs/>
        </w:rPr>
        <w:t>s</w:t>
      </w:r>
      <w:r w:rsidR="007A6930">
        <w:rPr>
          <w:bCs/>
        </w:rPr>
        <w:t xml:space="preserve"> </w:t>
      </w:r>
      <w:r>
        <w:rPr>
          <w:bCs/>
        </w:rPr>
        <w:t xml:space="preserve">both exceeded the 90 percent requirement. </w:t>
      </w:r>
    </w:p>
    <w:p w:rsidR="00AA098B" w:rsidRDefault="00FC7F3D" w:rsidP="00AA098B">
      <w:pPr>
        <w:spacing w:line="480" w:lineRule="auto"/>
        <w:ind w:left="720" w:firstLine="720"/>
        <w:rPr>
          <w:bCs/>
        </w:rPr>
      </w:pPr>
      <w:r>
        <w:rPr>
          <w:bCs/>
        </w:rPr>
        <w:t xml:space="preserve">The </w:t>
      </w:r>
      <w:r w:rsidR="0024013F">
        <w:rPr>
          <w:bCs/>
        </w:rPr>
        <w:t xml:space="preserve">next two </w:t>
      </w:r>
      <w:r>
        <w:rPr>
          <w:bCs/>
        </w:rPr>
        <w:t>graph</w:t>
      </w:r>
      <w:r w:rsidR="00DE559A">
        <w:rPr>
          <w:bCs/>
        </w:rPr>
        <w:t>s</w:t>
      </w:r>
      <w:r>
        <w:rPr>
          <w:bCs/>
        </w:rPr>
        <w:t xml:space="preserve"> represent the companies</w:t>
      </w:r>
      <w:r w:rsidR="00860D3B">
        <w:rPr>
          <w:bCs/>
        </w:rPr>
        <w:t>’</w:t>
      </w:r>
      <w:r>
        <w:rPr>
          <w:bCs/>
        </w:rPr>
        <w:t xml:space="preserve"> perform</w:t>
      </w:r>
      <w:r w:rsidR="00860D3B">
        <w:rPr>
          <w:bCs/>
        </w:rPr>
        <w:t>ance</w:t>
      </w:r>
      <w:r>
        <w:rPr>
          <w:bCs/>
        </w:rPr>
        <w:t xml:space="preserve"> </w:t>
      </w:r>
      <w:r w:rsidR="00AC3D93">
        <w:rPr>
          <w:bCs/>
        </w:rPr>
        <w:t>on the out-of-service repair standard</w:t>
      </w:r>
      <w:r w:rsidR="00DE559A">
        <w:rPr>
          <w:bCs/>
        </w:rPr>
        <w:t xml:space="preserve"> and the impairment of service standard</w:t>
      </w:r>
      <w:r w:rsidR="00AC3D93">
        <w:rPr>
          <w:bCs/>
        </w:rPr>
        <w:t>.</w:t>
      </w:r>
      <w:r>
        <w:rPr>
          <w:bCs/>
        </w:rPr>
        <w:t xml:space="preserve">  </w:t>
      </w:r>
      <w:r w:rsidR="0088463A">
        <w:rPr>
          <w:bCs/>
        </w:rPr>
        <w:t xml:space="preserve">Both standards require </w:t>
      </w:r>
      <w:r w:rsidR="00CE48A4">
        <w:rPr>
          <w:bCs/>
        </w:rPr>
        <w:t>100</w:t>
      </w:r>
      <w:r w:rsidR="0088463A">
        <w:rPr>
          <w:bCs/>
        </w:rPr>
        <w:t xml:space="preserve"> percent of the repairs to be completed in the specified time frame.</w:t>
      </w:r>
      <w:r w:rsidR="00DE559A">
        <w:rPr>
          <w:bCs/>
        </w:rPr>
        <w:t xml:space="preserve">  </w:t>
      </w:r>
    </w:p>
    <w:p w:rsidR="00946DB4" w:rsidRPr="00946DB4" w:rsidRDefault="00946DB4" w:rsidP="00946DB4">
      <w:pPr>
        <w:keepNext/>
        <w:jc w:val="center"/>
        <w:rPr>
          <w:bCs/>
        </w:rPr>
      </w:pPr>
      <w:r w:rsidRPr="00946DB4">
        <w:rPr>
          <w:bCs/>
        </w:rPr>
        <w:lastRenderedPageBreak/>
        <w:t>Out-of-Service Repair</w:t>
      </w:r>
    </w:p>
    <w:p w:rsidR="00AA098B" w:rsidRDefault="00AA098B" w:rsidP="00AA098B">
      <w:pPr>
        <w:spacing w:line="480" w:lineRule="auto"/>
        <w:rPr>
          <w:bCs/>
        </w:rPr>
      </w:pPr>
      <w:r w:rsidRPr="00AA098B">
        <w:rPr>
          <w:bCs/>
          <w:noProof/>
        </w:rPr>
        <w:drawing>
          <wp:inline distT="0" distB="0" distL="0" distR="0">
            <wp:extent cx="5669280" cy="2257425"/>
            <wp:effectExtent l="19050" t="0" r="26670" b="0"/>
            <wp:docPr id="3"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C3D93" w:rsidRDefault="00AC3D93" w:rsidP="00860D3B">
      <w:pPr>
        <w:jc w:val="center"/>
        <w:rPr>
          <w:bCs/>
          <w:sz w:val="20"/>
          <w:szCs w:val="20"/>
        </w:rPr>
      </w:pPr>
    </w:p>
    <w:p w:rsidR="00860D3B" w:rsidRPr="00465F0F" w:rsidRDefault="00946DB4" w:rsidP="00860D3B">
      <w:pPr>
        <w:jc w:val="center"/>
        <w:rPr>
          <w:bCs/>
        </w:rPr>
      </w:pPr>
      <w:r w:rsidRPr="00946DB4">
        <w:rPr>
          <w:bCs/>
        </w:rPr>
        <w:t>Impairment of Service Repair</w:t>
      </w:r>
    </w:p>
    <w:p w:rsidR="00860D3B" w:rsidRDefault="00860D3B" w:rsidP="00860D3B">
      <w:pPr>
        <w:spacing w:line="480" w:lineRule="auto"/>
        <w:rPr>
          <w:bCs/>
        </w:rPr>
      </w:pPr>
      <w:r w:rsidRPr="00860D3B">
        <w:rPr>
          <w:bCs/>
          <w:noProof/>
        </w:rPr>
        <w:drawing>
          <wp:inline distT="0" distB="0" distL="0" distR="0">
            <wp:extent cx="5669280" cy="2142939"/>
            <wp:effectExtent l="19050" t="0" r="26670"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C3D93" w:rsidRDefault="00860D3B" w:rsidP="00FD21B0">
      <w:pPr>
        <w:spacing w:line="480" w:lineRule="auto"/>
        <w:ind w:left="720" w:firstLine="720"/>
        <w:rPr>
          <w:bCs/>
        </w:rPr>
      </w:pPr>
      <w:r>
        <w:rPr>
          <w:bCs/>
        </w:rPr>
        <w:t xml:space="preserve">As the </w:t>
      </w:r>
      <w:r w:rsidR="00AC3D93">
        <w:rPr>
          <w:bCs/>
        </w:rPr>
        <w:t xml:space="preserve">above </w:t>
      </w:r>
      <w:r>
        <w:rPr>
          <w:bCs/>
        </w:rPr>
        <w:t>graphs indicate, d</w:t>
      </w:r>
      <w:r w:rsidR="00FC7F3D">
        <w:rPr>
          <w:bCs/>
        </w:rPr>
        <w:t>uring the 60 month period that was analyzed, neither Qwest</w:t>
      </w:r>
      <w:r w:rsidR="007A6930">
        <w:rPr>
          <w:bCs/>
        </w:rPr>
        <w:t xml:space="preserve"> </w:t>
      </w:r>
      <w:r w:rsidR="00FC7F3D">
        <w:rPr>
          <w:bCs/>
        </w:rPr>
        <w:t xml:space="preserve">nor </w:t>
      </w:r>
      <w:r w:rsidR="00ED1848">
        <w:rPr>
          <w:bCs/>
        </w:rPr>
        <w:t xml:space="preserve">the </w:t>
      </w:r>
      <w:r w:rsidR="00FC7F3D">
        <w:rPr>
          <w:bCs/>
        </w:rPr>
        <w:t>CenturyLink</w:t>
      </w:r>
      <w:r w:rsidR="007A6930">
        <w:rPr>
          <w:bCs/>
        </w:rPr>
        <w:t xml:space="preserve"> ILEC</w:t>
      </w:r>
      <w:r w:rsidR="00D342C8">
        <w:rPr>
          <w:bCs/>
        </w:rPr>
        <w:t>s</w:t>
      </w:r>
      <w:r w:rsidR="00FC7F3D">
        <w:rPr>
          <w:bCs/>
        </w:rPr>
        <w:t xml:space="preserve"> met either the 48-hour </w:t>
      </w:r>
      <w:r w:rsidR="00FC7F3D" w:rsidRPr="00772329">
        <w:rPr>
          <w:bCs/>
        </w:rPr>
        <w:t xml:space="preserve">repair standard for out-of-service conditions </w:t>
      </w:r>
      <w:r w:rsidR="00FC7F3D">
        <w:rPr>
          <w:bCs/>
        </w:rPr>
        <w:t xml:space="preserve">or the 72-hour repair standard for impairment of service.  </w:t>
      </w:r>
      <w:r w:rsidR="003B7CC7">
        <w:rPr>
          <w:bCs/>
        </w:rPr>
        <w:t xml:space="preserve">Although the companies did not meet the standard, </w:t>
      </w:r>
      <w:r w:rsidR="00AC3D93">
        <w:rPr>
          <w:bCs/>
        </w:rPr>
        <w:t>Staff believes that both Qwest</w:t>
      </w:r>
      <w:r w:rsidR="007A6930">
        <w:rPr>
          <w:bCs/>
        </w:rPr>
        <w:t xml:space="preserve"> </w:t>
      </w:r>
      <w:r w:rsidR="00AC3D93">
        <w:rPr>
          <w:bCs/>
        </w:rPr>
        <w:t xml:space="preserve">and </w:t>
      </w:r>
      <w:r w:rsidR="00ED1848">
        <w:rPr>
          <w:bCs/>
        </w:rPr>
        <w:t xml:space="preserve">the </w:t>
      </w:r>
      <w:r w:rsidR="00AC3D93">
        <w:rPr>
          <w:bCs/>
        </w:rPr>
        <w:t xml:space="preserve">CenturyLink </w:t>
      </w:r>
      <w:r w:rsidR="007A6930">
        <w:rPr>
          <w:bCs/>
        </w:rPr>
        <w:t>ILEC</w:t>
      </w:r>
      <w:r w:rsidR="00D342C8">
        <w:rPr>
          <w:bCs/>
        </w:rPr>
        <w:t>s</w:t>
      </w:r>
      <w:r w:rsidR="007A6930">
        <w:rPr>
          <w:bCs/>
        </w:rPr>
        <w:t xml:space="preserve"> </w:t>
      </w:r>
      <w:r w:rsidR="003B7CC7">
        <w:rPr>
          <w:bCs/>
        </w:rPr>
        <w:t xml:space="preserve">have </w:t>
      </w:r>
      <w:r w:rsidR="00AC3D93">
        <w:rPr>
          <w:bCs/>
        </w:rPr>
        <w:t>provide</w:t>
      </w:r>
      <w:r w:rsidR="003B7CC7">
        <w:rPr>
          <w:bCs/>
        </w:rPr>
        <w:t>d</w:t>
      </w:r>
      <w:r w:rsidR="00AC3D93">
        <w:rPr>
          <w:bCs/>
        </w:rPr>
        <w:t xml:space="preserve"> acceptable service for these categories.</w:t>
      </w:r>
    </w:p>
    <w:p w:rsidR="00772329" w:rsidRPr="00085D79" w:rsidRDefault="00FC7F3D" w:rsidP="006C6B82">
      <w:pPr>
        <w:pStyle w:val="FootnoteText"/>
        <w:tabs>
          <w:tab w:val="left" w:pos="1560"/>
        </w:tabs>
        <w:spacing w:line="480" w:lineRule="auto"/>
        <w:ind w:left="835" w:hanging="835"/>
        <w:rPr>
          <w:bCs/>
          <w:sz w:val="24"/>
          <w:szCs w:val="24"/>
        </w:rPr>
      </w:pPr>
      <w:r w:rsidDel="00FC7F3D">
        <w:rPr>
          <w:bCs/>
        </w:rPr>
        <w:t xml:space="preserve"> </w:t>
      </w:r>
    </w:p>
    <w:p w:rsidR="00C25015" w:rsidRDefault="00C25015">
      <w:pPr>
        <w:rPr>
          <w:b/>
          <w:bCs/>
        </w:rPr>
      </w:pPr>
      <w:r>
        <w:rPr>
          <w:b/>
          <w:bCs/>
        </w:rPr>
        <w:br w:type="page"/>
      </w:r>
    </w:p>
    <w:p w:rsidR="00772329" w:rsidRPr="00772329" w:rsidRDefault="00772329" w:rsidP="00772329">
      <w:pPr>
        <w:spacing w:line="480" w:lineRule="auto"/>
        <w:ind w:left="720" w:hanging="720"/>
        <w:rPr>
          <w:b/>
          <w:bCs/>
        </w:rPr>
      </w:pPr>
      <w:r w:rsidRPr="00772329">
        <w:rPr>
          <w:b/>
          <w:bCs/>
        </w:rPr>
        <w:lastRenderedPageBreak/>
        <w:t>Q.</w:t>
      </w:r>
      <w:r w:rsidRPr="00772329">
        <w:rPr>
          <w:b/>
          <w:bCs/>
        </w:rPr>
        <w:tab/>
        <w:t xml:space="preserve">How many service quality complaints has the Commission received with regard to </w:t>
      </w:r>
      <w:r w:rsidR="001707A1">
        <w:rPr>
          <w:b/>
          <w:bCs/>
        </w:rPr>
        <w:t>Qwest</w:t>
      </w:r>
      <w:r w:rsidR="009F54BB">
        <w:rPr>
          <w:b/>
          <w:bCs/>
        </w:rPr>
        <w:t xml:space="preserve"> </w:t>
      </w:r>
      <w:r w:rsidR="00FE7538">
        <w:rPr>
          <w:b/>
          <w:bCs/>
        </w:rPr>
        <w:t xml:space="preserve">and </w:t>
      </w:r>
      <w:r w:rsidR="00ED1848">
        <w:rPr>
          <w:b/>
          <w:bCs/>
        </w:rPr>
        <w:t xml:space="preserve">the </w:t>
      </w:r>
      <w:r w:rsidR="00FE7538">
        <w:rPr>
          <w:b/>
          <w:bCs/>
        </w:rPr>
        <w:t>CenturyLink</w:t>
      </w:r>
      <w:r w:rsidR="009F54BB">
        <w:rPr>
          <w:b/>
          <w:bCs/>
        </w:rPr>
        <w:t xml:space="preserve"> ILECs</w:t>
      </w:r>
      <w:r w:rsidR="001707A1">
        <w:rPr>
          <w:b/>
          <w:bCs/>
        </w:rPr>
        <w:t xml:space="preserve"> </w:t>
      </w:r>
      <w:r w:rsidRPr="00772329">
        <w:rPr>
          <w:b/>
          <w:bCs/>
        </w:rPr>
        <w:t>in recent years?</w:t>
      </w:r>
    </w:p>
    <w:p w:rsidR="004B60D1" w:rsidRDefault="00772329" w:rsidP="0024013F">
      <w:pPr>
        <w:spacing w:line="480" w:lineRule="auto"/>
        <w:ind w:left="720" w:hanging="720"/>
      </w:pPr>
      <w:r w:rsidRPr="00772329">
        <w:t>A.</w:t>
      </w:r>
      <w:r w:rsidRPr="00772329">
        <w:tab/>
        <w:t xml:space="preserve">The tables </w:t>
      </w:r>
      <w:r w:rsidR="00EB0BD2">
        <w:t xml:space="preserve">and graph </w:t>
      </w:r>
      <w:r w:rsidRPr="00772329">
        <w:t xml:space="preserve">below present </w:t>
      </w:r>
      <w:r w:rsidR="00BB024B">
        <w:t xml:space="preserve">information on </w:t>
      </w:r>
      <w:r w:rsidRPr="00772329">
        <w:t xml:space="preserve">complaints filed </w:t>
      </w:r>
      <w:r w:rsidR="00ED1848">
        <w:t xml:space="preserve">with the Commission </w:t>
      </w:r>
      <w:r w:rsidRPr="00772329">
        <w:t xml:space="preserve">against </w:t>
      </w:r>
      <w:r w:rsidR="008C0EEF">
        <w:t>Qwest</w:t>
      </w:r>
      <w:r w:rsidR="007A6930">
        <w:t xml:space="preserve"> </w:t>
      </w:r>
      <w:r w:rsidR="0037120E">
        <w:t xml:space="preserve">and </w:t>
      </w:r>
      <w:r w:rsidR="00ED1848">
        <w:t xml:space="preserve">the </w:t>
      </w:r>
      <w:r w:rsidR="0037120E">
        <w:t>CenturyLink</w:t>
      </w:r>
      <w:r w:rsidR="007A6930">
        <w:t xml:space="preserve"> ILEC</w:t>
      </w:r>
      <w:r w:rsidR="00D342C8">
        <w:t>s</w:t>
      </w:r>
      <w:r w:rsidRPr="00772329">
        <w:t xml:space="preserve"> from 200</w:t>
      </w:r>
      <w:r w:rsidR="008C0EEF">
        <w:t>5</w:t>
      </w:r>
      <w:r w:rsidRPr="00772329">
        <w:t xml:space="preserve"> through 200</w:t>
      </w:r>
      <w:r w:rsidR="008C0EEF">
        <w:t>9</w:t>
      </w:r>
      <w:r w:rsidR="00BB024B">
        <w:t xml:space="preserve">, </w:t>
      </w:r>
      <w:r w:rsidR="0018205A">
        <w:t xml:space="preserve">and specifically, </w:t>
      </w:r>
      <w:r w:rsidR="00BB024B">
        <w:t>service quality complaints</w:t>
      </w:r>
      <w:r w:rsidR="008C0EEF">
        <w:t>.</w:t>
      </w:r>
    </w:p>
    <w:p w:rsidR="004B60D1" w:rsidRPr="00BD57DF" w:rsidRDefault="004B60D1" w:rsidP="004B60D1">
      <w:pPr>
        <w:ind w:left="720" w:hanging="720"/>
        <w:jc w:val="center"/>
        <w:rPr>
          <w:sz w:val="22"/>
          <w:szCs w:val="22"/>
        </w:rPr>
      </w:pPr>
      <w:r w:rsidRPr="00BD57DF">
        <w:rPr>
          <w:sz w:val="22"/>
          <w:szCs w:val="22"/>
        </w:rPr>
        <w:t>Qwest</w:t>
      </w:r>
    </w:p>
    <w:tbl>
      <w:tblPr>
        <w:tblW w:w="8634" w:type="dxa"/>
        <w:tblInd w:w="98" w:type="dxa"/>
        <w:tblLook w:val="04A0"/>
      </w:tblPr>
      <w:tblGrid>
        <w:gridCol w:w="725"/>
        <w:gridCol w:w="2827"/>
        <w:gridCol w:w="847"/>
        <w:gridCol w:w="847"/>
        <w:gridCol w:w="847"/>
        <w:gridCol w:w="847"/>
        <w:gridCol w:w="847"/>
        <w:gridCol w:w="847"/>
      </w:tblGrid>
      <w:tr w:rsidR="00AF1B8C" w:rsidRPr="00EF2DCC" w:rsidTr="00AF1B8C">
        <w:trPr>
          <w:trHeight w:val="318"/>
        </w:trPr>
        <w:tc>
          <w:tcPr>
            <w:tcW w:w="725" w:type="dxa"/>
            <w:tcBorders>
              <w:top w:val="single" w:sz="8" w:space="0" w:color="auto"/>
              <w:left w:val="single" w:sz="8" w:space="0" w:color="auto"/>
              <w:bottom w:val="single" w:sz="8" w:space="0" w:color="auto"/>
              <w:right w:val="single" w:sz="8" w:space="0" w:color="auto"/>
            </w:tcBorders>
            <w:shd w:val="clear" w:color="auto" w:fill="auto"/>
            <w:hideMark/>
          </w:tcPr>
          <w:p w:rsidR="00AF1B8C" w:rsidRDefault="00AF1B8C" w:rsidP="00EF2DCC">
            <w:pPr>
              <w:jc w:val="center"/>
              <w:rPr>
                <w:color w:val="000000"/>
                <w:sz w:val="18"/>
                <w:szCs w:val="18"/>
              </w:rPr>
            </w:pPr>
          </w:p>
          <w:p w:rsidR="00AF1B8C" w:rsidRPr="004B60D1" w:rsidRDefault="00AF1B8C" w:rsidP="00EF2DCC">
            <w:pPr>
              <w:jc w:val="center"/>
              <w:rPr>
                <w:color w:val="000000"/>
                <w:sz w:val="18"/>
                <w:szCs w:val="18"/>
              </w:rPr>
            </w:pPr>
            <w:r w:rsidRPr="004B60D1">
              <w:rPr>
                <w:color w:val="000000"/>
                <w:sz w:val="18"/>
                <w:szCs w:val="18"/>
              </w:rPr>
              <w:t>Row</w:t>
            </w:r>
          </w:p>
        </w:tc>
        <w:tc>
          <w:tcPr>
            <w:tcW w:w="2827" w:type="dxa"/>
            <w:tcBorders>
              <w:top w:val="single" w:sz="8" w:space="0" w:color="auto"/>
              <w:left w:val="nil"/>
              <w:bottom w:val="single" w:sz="8" w:space="0" w:color="auto"/>
              <w:right w:val="single" w:sz="8" w:space="0" w:color="auto"/>
            </w:tcBorders>
            <w:shd w:val="clear" w:color="auto" w:fill="auto"/>
            <w:noWrap/>
            <w:vAlign w:val="bottom"/>
            <w:hideMark/>
          </w:tcPr>
          <w:p w:rsidR="00AF1B8C" w:rsidRPr="004B60D1" w:rsidRDefault="00AF1B8C" w:rsidP="00EF2DCC">
            <w:pPr>
              <w:jc w:val="center"/>
              <w:rPr>
                <w:color w:val="000000"/>
                <w:sz w:val="18"/>
                <w:szCs w:val="18"/>
              </w:rPr>
            </w:pPr>
            <w:r w:rsidRPr="004B60D1">
              <w:rPr>
                <w:color w:val="000000"/>
                <w:sz w:val="18"/>
                <w:szCs w:val="18"/>
              </w:rPr>
              <w:t>Type of Service Quality Complaint</w:t>
            </w:r>
          </w:p>
        </w:tc>
        <w:tc>
          <w:tcPr>
            <w:tcW w:w="847" w:type="dxa"/>
            <w:tcBorders>
              <w:top w:val="single" w:sz="8" w:space="0" w:color="auto"/>
              <w:left w:val="nil"/>
              <w:bottom w:val="single" w:sz="8" w:space="0" w:color="auto"/>
              <w:right w:val="single" w:sz="8" w:space="0" w:color="auto"/>
            </w:tcBorders>
            <w:shd w:val="clear" w:color="auto" w:fill="auto"/>
            <w:noWrap/>
            <w:vAlign w:val="bottom"/>
            <w:hideMark/>
          </w:tcPr>
          <w:p w:rsidR="00AF1B8C" w:rsidRPr="004B60D1" w:rsidRDefault="00AF1B8C" w:rsidP="00EF2DCC">
            <w:pPr>
              <w:jc w:val="center"/>
              <w:rPr>
                <w:color w:val="000000"/>
                <w:sz w:val="18"/>
                <w:szCs w:val="18"/>
              </w:rPr>
            </w:pPr>
            <w:r w:rsidRPr="004B60D1">
              <w:rPr>
                <w:color w:val="000000"/>
                <w:sz w:val="18"/>
                <w:szCs w:val="18"/>
              </w:rPr>
              <w:t>2005</w:t>
            </w:r>
          </w:p>
        </w:tc>
        <w:tc>
          <w:tcPr>
            <w:tcW w:w="847" w:type="dxa"/>
            <w:tcBorders>
              <w:top w:val="single" w:sz="8" w:space="0" w:color="auto"/>
              <w:left w:val="nil"/>
              <w:bottom w:val="single" w:sz="8" w:space="0" w:color="auto"/>
              <w:right w:val="single" w:sz="8" w:space="0" w:color="auto"/>
            </w:tcBorders>
            <w:shd w:val="clear" w:color="auto" w:fill="auto"/>
            <w:noWrap/>
            <w:vAlign w:val="bottom"/>
            <w:hideMark/>
          </w:tcPr>
          <w:p w:rsidR="00AF1B8C" w:rsidRPr="004B60D1" w:rsidRDefault="00AF1B8C" w:rsidP="00EF2DCC">
            <w:pPr>
              <w:jc w:val="center"/>
              <w:rPr>
                <w:color w:val="000000"/>
                <w:sz w:val="18"/>
                <w:szCs w:val="18"/>
              </w:rPr>
            </w:pPr>
            <w:r w:rsidRPr="004B60D1">
              <w:rPr>
                <w:color w:val="000000"/>
                <w:sz w:val="18"/>
                <w:szCs w:val="18"/>
              </w:rPr>
              <w:t>2006</w:t>
            </w:r>
          </w:p>
        </w:tc>
        <w:tc>
          <w:tcPr>
            <w:tcW w:w="847" w:type="dxa"/>
            <w:tcBorders>
              <w:top w:val="single" w:sz="8" w:space="0" w:color="auto"/>
              <w:left w:val="nil"/>
              <w:bottom w:val="single" w:sz="8" w:space="0" w:color="auto"/>
              <w:right w:val="single" w:sz="8" w:space="0" w:color="auto"/>
            </w:tcBorders>
            <w:shd w:val="clear" w:color="auto" w:fill="auto"/>
            <w:noWrap/>
            <w:vAlign w:val="bottom"/>
            <w:hideMark/>
          </w:tcPr>
          <w:p w:rsidR="00AF1B8C" w:rsidRPr="004B60D1" w:rsidRDefault="00AF1B8C" w:rsidP="00EF2DCC">
            <w:pPr>
              <w:jc w:val="center"/>
              <w:rPr>
                <w:color w:val="000000"/>
                <w:sz w:val="18"/>
                <w:szCs w:val="18"/>
              </w:rPr>
            </w:pPr>
            <w:r w:rsidRPr="004B60D1">
              <w:rPr>
                <w:color w:val="000000"/>
                <w:sz w:val="18"/>
                <w:szCs w:val="18"/>
              </w:rPr>
              <w:t>2007</w:t>
            </w:r>
          </w:p>
        </w:tc>
        <w:tc>
          <w:tcPr>
            <w:tcW w:w="847" w:type="dxa"/>
            <w:tcBorders>
              <w:top w:val="single" w:sz="8" w:space="0" w:color="auto"/>
              <w:left w:val="nil"/>
              <w:bottom w:val="single" w:sz="8" w:space="0" w:color="auto"/>
              <w:right w:val="single" w:sz="8" w:space="0" w:color="auto"/>
            </w:tcBorders>
            <w:shd w:val="clear" w:color="auto" w:fill="auto"/>
            <w:noWrap/>
            <w:vAlign w:val="bottom"/>
            <w:hideMark/>
          </w:tcPr>
          <w:p w:rsidR="00AF1B8C" w:rsidRPr="004B60D1" w:rsidRDefault="00AF1B8C" w:rsidP="00EF2DCC">
            <w:pPr>
              <w:jc w:val="center"/>
              <w:rPr>
                <w:color w:val="000000"/>
                <w:sz w:val="18"/>
                <w:szCs w:val="18"/>
              </w:rPr>
            </w:pPr>
            <w:r w:rsidRPr="004B60D1">
              <w:rPr>
                <w:color w:val="000000"/>
                <w:sz w:val="18"/>
                <w:szCs w:val="18"/>
              </w:rPr>
              <w:t>2008</w:t>
            </w:r>
          </w:p>
        </w:tc>
        <w:tc>
          <w:tcPr>
            <w:tcW w:w="847" w:type="dxa"/>
            <w:tcBorders>
              <w:top w:val="single" w:sz="8" w:space="0" w:color="auto"/>
              <w:left w:val="nil"/>
              <w:bottom w:val="single" w:sz="8" w:space="0" w:color="auto"/>
              <w:right w:val="single" w:sz="8" w:space="0" w:color="auto"/>
            </w:tcBorders>
            <w:shd w:val="clear" w:color="auto" w:fill="auto"/>
            <w:noWrap/>
            <w:vAlign w:val="bottom"/>
            <w:hideMark/>
          </w:tcPr>
          <w:p w:rsidR="00AF1B8C" w:rsidRPr="004B60D1" w:rsidRDefault="00AF1B8C" w:rsidP="00EF2DCC">
            <w:pPr>
              <w:jc w:val="center"/>
              <w:rPr>
                <w:color w:val="000000"/>
                <w:sz w:val="18"/>
                <w:szCs w:val="18"/>
              </w:rPr>
            </w:pPr>
            <w:r w:rsidRPr="004B60D1">
              <w:rPr>
                <w:color w:val="000000"/>
                <w:sz w:val="18"/>
                <w:szCs w:val="18"/>
              </w:rPr>
              <w:t>2009</w:t>
            </w:r>
          </w:p>
        </w:tc>
        <w:tc>
          <w:tcPr>
            <w:tcW w:w="847" w:type="dxa"/>
            <w:tcBorders>
              <w:top w:val="single" w:sz="8" w:space="0" w:color="auto"/>
              <w:left w:val="nil"/>
              <w:bottom w:val="single" w:sz="8" w:space="0" w:color="auto"/>
              <w:right w:val="single" w:sz="8" w:space="0" w:color="auto"/>
            </w:tcBorders>
            <w:shd w:val="clear" w:color="auto" w:fill="auto"/>
            <w:noWrap/>
            <w:vAlign w:val="bottom"/>
            <w:hideMark/>
          </w:tcPr>
          <w:p w:rsidR="00AF1B8C" w:rsidRPr="004B60D1" w:rsidRDefault="00AF1B8C" w:rsidP="00EF2DCC">
            <w:pPr>
              <w:jc w:val="center"/>
              <w:rPr>
                <w:color w:val="000000"/>
                <w:sz w:val="18"/>
                <w:szCs w:val="18"/>
              </w:rPr>
            </w:pPr>
            <w:proofErr w:type="spellStart"/>
            <w:r w:rsidRPr="004B60D1">
              <w:rPr>
                <w:color w:val="000000"/>
                <w:sz w:val="18"/>
                <w:szCs w:val="18"/>
              </w:rPr>
              <w:t>Avg</w:t>
            </w:r>
            <w:proofErr w:type="spellEnd"/>
          </w:p>
        </w:tc>
      </w:tr>
      <w:tr w:rsidR="00AF1B8C" w:rsidRPr="00EF2DCC" w:rsidTr="00AF1B8C">
        <w:trPr>
          <w:trHeight w:val="318"/>
        </w:trPr>
        <w:tc>
          <w:tcPr>
            <w:tcW w:w="725" w:type="dxa"/>
            <w:tcBorders>
              <w:top w:val="nil"/>
              <w:left w:val="single" w:sz="8" w:space="0" w:color="auto"/>
              <w:bottom w:val="single" w:sz="8" w:space="0" w:color="auto"/>
              <w:right w:val="single" w:sz="8" w:space="0" w:color="auto"/>
            </w:tcBorders>
            <w:shd w:val="clear" w:color="auto" w:fill="auto"/>
            <w:hideMark/>
          </w:tcPr>
          <w:p w:rsidR="00AF1B8C" w:rsidRDefault="00AF1B8C" w:rsidP="00EF2DCC">
            <w:pPr>
              <w:jc w:val="center"/>
              <w:rPr>
                <w:color w:val="000000"/>
                <w:sz w:val="18"/>
                <w:szCs w:val="18"/>
              </w:rPr>
            </w:pPr>
          </w:p>
          <w:p w:rsidR="00AF1B8C" w:rsidRPr="004B60D1" w:rsidRDefault="00AF1B8C" w:rsidP="00EF2DCC">
            <w:pPr>
              <w:jc w:val="center"/>
              <w:rPr>
                <w:color w:val="000000"/>
                <w:sz w:val="18"/>
                <w:szCs w:val="18"/>
              </w:rPr>
            </w:pPr>
            <w:r w:rsidRPr="004B60D1">
              <w:rPr>
                <w:color w:val="000000"/>
                <w:sz w:val="18"/>
                <w:szCs w:val="18"/>
              </w:rPr>
              <w:t>1</w:t>
            </w:r>
          </w:p>
        </w:tc>
        <w:tc>
          <w:tcPr>
            <w:tcW w:w="2827" w:type="dxa"/>
            <w:tcBorders>
              <w:top w:val="nil"/>
              <w:left w:val="nil"/>
              <w:bottom w:val="single" w:sz="8" w:space="0" w:color="auto"/>
              <w:right w:val="single" w:sz="8" w:space="0" w:color="auto"/>
            </w:tcBorders>
            <w:shd w:val="clear" w:color="auto" w:fill="auto"/>
            <w:noWrap/>
            <w:vAlign w:val="bottom"/>
            <w:hideMark/>
          </w:tcPr>
          <w:p w:rsidR="00AF1B8C" w:rsidRPr="004B60D1" w:rsidRDefault="00AF1B8C" w:rsidP="00EF2DCC">
            <w:pPr>
              <w:jc w:val="center"/>
              <w:rPr>
                <w:color w:val="000000"/>
                <w:sz w:val="18"/>
                <w:szCs w:val="18"/>
              </w:rPr>
            </w:pPr>
            <w:r w:rsidRPr="004B60D1">
              <w:rPr>
                <w:color w:val="000000"/>
                <w:sz w:val="18"/>
                <w:szCs w:val="18"/>
              </w:rPr>
              <w:t>Delayed Service</w:t>
            </w:r>
          </w:p>
        </w:tc>
        <w:tc>
          <w:tcPr>
            <w:tcW w:w="847" w:type="dxa"/>
            <w:tcBorders>
              <w:top w:val="nil"/>
              <w:left w:val="nil"/>
              <w:bottom w:val="single" w:sz="8" w:space="0" w:color="auto"/>
              <w:right w:val="single" w:sz="8" w:space="0" w:color="auto"/>
            </w:tcBorders>
            <w:shd w:val="clear" w:color="auto" w:fill="auto"/>
            <w:noWrap/>
            <w:vAlign w:val="bottom"/>
            <w:hideMark/>
          </w:tcPr>
          <w:p w:rsidR="00AF1B8C" w:rsidRPr="004B60D1" w:rsidRDefault="00AF1B8C" w:rsidP="00EF2DCC">
            <w:pPr>
              <w:jc w:val="center"/>
              <w:rPr>
                <w:color w:val="000000"/>
                <w:sz w:val="18"/>
                <w:szCs w:val="18"/>
              </w:rPr>
            </w:pPr>
            <w:r w:rsidRPr="004B60D1">
              <w:rPr>
                <w:color w:val="000000"/>
                <w:sz w:val="18"/>
                <w:szCs w:val="18"/>
              </w:rPr>
              <w:t>26</w:t>
            </w:r>
          </w:p>
        </w:tc>
        <w:tc>
          <w:tcPr>
            <w:tcW w:w="847" w:type="dxa"/>
            <w:tcBorders>
              <w:top w:val="nil"/>
              <w:left w:val="nil"/>
              <w:bottom w:val="single" w:sz="8" w:space="0" w:color="auto"/>
              <w:right w:val="single" w:sz="8" w:space="0" w:color="auto"/>
            </w:tcBorders>
            <w:shd w:val="clear" w:color="auto" w:fill="auto"/>
            <w:noWrap/>
            <w:vAlign w:val="bottom"/>
            <w:hideMark/>
          </w:tcPr>
          <w:p w:rsidR="00AF1B8C" w:rsidRPr="004B60D1" w:rsidRDefault="00AF1B8C" w:rsidP="00EF2DCC">
            <w:pPr>
              <w:jc w:val="center"/>
              <w:rPr>
                <w:color w:val="000000"/>
                <w:sz w:val="18"/>
                <w:szCs w:val="18"/>
              </w:rPr>
            </w:pPr>
            <w:r w:rsidRPr="004B60D1">
              <w:rPr>
                <w:color w:val="000000"/>
                <w:sz w:val="18"/>
                <w:szCs w:val="18"/>
              </w:rPr>
              <w:t>13</w:t>
            </w:r>
          </w:p>
        </w:tc>
        <w:tc>
          <w:tcPr>
            <w:tcW w:w="847" w:type="dxa"/>
            <w:tcBorders>
              <w:top w:val="nil"/>
              <w:left w:val="nil"/>
              <w:bottom w:val="single" w:sz="8" w:space="0" w:color="auto"/>
              <w:right w:val="single" w:sz="8" w:space="0" w:color="auto"/>
            </w:tcBorders>
            <w:shd w:val="clear" w:color="auto" w:fill="auto"/>
            <w:noWrap/>
            <w:vAlign w:val="bottom"/>
            <w:hideMark/>
          </w:tcPr>
          <w:p w:rsidR="00AF1B8C" w:rsidRPr="004B60D1" w:rsidRDefault="00AF1B8C" w:rsidP="00EF2DCC">
            <w:pPr>
              <w:jc w:val="center"/>
              <w:rPr>
                <w:color w:val="000000"/>
                <w:sz w:val="18"/>
                <w:szCs w:val="18"/>
              </w:rPr>
            </w:pPr>
            <w:r w:rsidRPr="004B60D1">
              <w:rPr>
                <w:color w:val="000000"/>
                <w:sz w:val="18"/>
                <w:szCs w:val="18"/>
              </w:rPr>
              <w:t>10</w:t>
            </w:r>
          </w:p>
        </w:tc>
        <w:tc>
          <w:tcPr>
            <w:tcW w:w="847" w:type="dxa"/>
            <w:tcBorders>
              <w:top w:val="nil"/>
              <w:left w:val="nil"/>
              <w:bottom w:val="single" w:sz="8" w:space="0" w:color="auto"/>
              <w:right w:val="single" w:sz="8" w:space="0" w:color="auto"/>
            </w:tcBorders>
            <w:shd w:val="clear" w:color="auto" w:fill="auto"/>
            <w:noWrap/>
            <w:vAlign w:val="bottom"/>
            <w:hideMark/>
          </w:tcPr>
          <w:p w:rsidR="00AF1B8C" w:rsidRPr="004B60D1" w:rsidRDefault="00AF1B8C" w:rsidP="00EF2DCC">
            <w:pPr>
              <w:jc w:val="center"/>
              <w:rPr>
                <w:color w:val="000000"/>
                <w:sz w:val="18"/>
                <w:szCs w:val="18"/>
              </w:rPr>
            </w:pPr>
            <w:r w:rsidRPr="004B60D1">
              <w:rPr>
                <w:color w:val="000000"/>
                <w:sz w:val="18"/>
                <w:szCs w:val="18"/>
              </w:rPr>
              <w:t>14</w:t>
            </w:r>
          </w:p>
        </w:tc>
        <w:tc>
          <w:tcPr>
            <w:tcW w:w="847" w:type="dxa"/>
            <w:tcBorders>
              <w:top w:val="nil"/>
              <w:left w:val="nil"/>
              <w:bottom w:val="single" w:sz="8" w:space="0" w:color="auto"/>
              <w:right w:val="single" w:sz="8" w:space="0" w:color="auto"/>
            </w:tcBorders>
            <w:shd w:val="clear" w:color="auto" w:fill="auto"/>
            <w:noWrap/>
            <w:vAlign w:val="bottom"/>
            <w:hideMark/>
          </w:tcPr>
          <w:p w:rsidR="00AF1B8C" w:rsidRPr="004B60D1" w:rsidRDefault="00AF1B8C" w:rsidP="00EF2DCC">
            <w:pPr>
              <w:jc w:val="center"/>
              <w:rPr>
                <w:color w:val="000000"/>
                <w:sz w:val="18"/>
                <w:szCs w:val="18"/>
              </w:rPr>
            </w:pPr>
            <w:r w:rsidRPr="004B60D1">
              <w:rPr>
                <w:color w:val="000000"/>
                <w:sz w:val="18"/>
                <w:szCs w:val="18"/>
              </w:rPr>
              <w:t>7</w:t>
            </w:r>
          </w:p>
        </w:tc>
        <w:tc>
          <w:tcPr>
            <w:tcW w:w="847" w:type="dxa"/>
            <w:tcBorders>
              <w:top w:val="nil"/>
              <w:left w:val="nil"/>
              <w:bottom w:val="single" w:sz="8" w:space="0" w:color="auto"/>
              <w:right w:val="single" w:sz="8" w:space="0" w:color="auto"/>
            </w:tcBorders>
            <w:shd w:val="clear" w:color="auto" w:fill="auto"/>
            <w:noWrap/>
            <w:vAlign w:val="bottom"/>
            <w:hideMark/>
          </w:tcPr>
          <w:p w:rsidR="00AF1B8C" w:rsidRPr="004B60D1" w:rsidRDefault="00AF1B8C" w:rsidP="00EF2DCC">
            <w:pPr>
              <w:jc w:val="center"/>
              <w:rPr>
                <w:color w:val="000000"/>
                <w:sz w:val="18"/>
                <w:szCs w:val="18"/>
              </w:rPr>
            </w:pPr>
            <w:r w:rsidRPr="004B60D1">
              <w:rPr>
                <w:color w:val="000000"/>
                <w:sz w:val="18"/>
                <w:szCs w:val="18"/>
              </w:rPr>
              <w:t>14</w:t>
            </w:r>
          </w:p>
        </w:tc>
      </w:tr>
      <w:tr w:rsidR="00AF1B8C" w:rsidRPr="00EF2DCC" w:rsidTr="00AF1B8C">
        <w:trPr>
          <w:trHeight w:val="318"/>
        </w:trPr>
        <w:tc>
          <w:tcPr>
            <w:tcW w:w="725" w:type="dxa"/>
            <w:tcBorders>
              <w:top w:val="nil"/>
              <w:left w:val="single" w:sz="8" w:space="0" w:color="auto"/>
              <w:bottom w:val="single" w:sz="8" w:space="0" w:color="auto"/>
              <w:right w:val="single" w:sz="8" w:space="0" w:color="auto"/>
            </w:tcBorders>
            <w:shd w:val="clear" w:color="auto" w:fill="auto"/>
            <w:hideMark/>
          </w:tcPr>
          <w:p w:rsidR="00AF1B8C" w:rsidRDefault="00AF1B8C" w:rsidP="00EF2DCC">
            <w:pPr>
              <w:jc w:val="center"/>
              <w:rPr>
                <w:color w:val="000000"/>
                <w:sz w:val="18"/>
                <w:szCs w:val="18"/>
              </w:rPr>
            </w:pPr>
          </w:p>
          <w:p w:rsidR="00AF1B8C" w:rsidRPr="004B60D1" w:rsidRDefault="00AF1B8C" w:rsidP="00EF2DCC">
            <w:pPr>
              <w:jc w:val="center"/>
              <w:rPr>
                <w:color w:val="000000"/>
                <w:sz w:val="18"/>
                <w:szCs w:val="18"/>
              </w:rPr>
            </w:pPr>
            <w:r w:rsidRPr="004B60D1">
              <w:rPr>
                <w:color w:val="000000"/>
                <w:sz w:val="18"/>
                <w:szCs w:val="18"/>
              </w:rPr>
              <w:t>2</w:t>
            </w:r>
          </w:p>
        </w:tc>
        <w:tc>
          <w:tcPr>
            <w:tcW w:w="2827" w:type="dxa"/>
            <w:tcBorders>
              <w:top w:val="nil"/>
              <w:left w:val="nil"/>
              <w:bottom w:val="single" w:sz="8" w:space="0" w:color="auto"/>
              <w:right w:val="single" w:sz="8" w:space="0" w:color="auto"/>
            </w:tcBorders>
            <w:shd w:val="clear" w:color="auto" w:fill="auto"/>
            <w:noWrap/>
            <w:vAlign w:val="bottom"/>
            <w:hideMark/>
          </w:tcPr>
          <w:p w:rsidR="00AF1B8C" w:rsidRPr="004B60D1" w:rsidRDefault="00AF1B8C" w:rsidP="00EF2DCC">
            <w:pPr>
              <w:jc w:val="center"/>
              <w:rPr>
                <w:color w:val="000000"/>
                <w:sz w:val="18"/>
                <w:szCs w:val="18"/>
              </w:rPr>
            </w:pPr>
            <w:r w:rsidRPr="004B60D1">
              <w:rPr>
                <w:color w:val="000000"/>
                <w:sz w:val="18"/>
                <w:szCs w:val="18"/>
              </w:rPr>
              <w:t>Network Congestion</w:t>
            </w:r>
          </w:p>
        </w:tc>
        <w:tc>
          <w:tcPr>
            <w:tcW w:w="847" w:type="dxa"/>
            <w:tcBorders>
              <w:top w:val="nil"/>
              <w:left w:val="nil"/>
              <w:bottom w:val="single" w:sz="8" w:space="0" w:color="auto"/>
              <w:right w:val="single" w:sz="8" w:space="0" w:color="auto"/>
            </w:tcBorders>
            <w:shd w:val="clear" w:color="auto" w:fill="auto"/>
            <w:noWrap/>
            <w:vAlign w:val="bottom"/>
            <w:hideMark/>
          </w:tcPr>
          <w:p w:rsidR="00AF1B8C" w:rsidRPr="004B60D1" w:rsidRDefault="00AF1B8C" w:rsidP="00EF2DCC">
            <w:pPr>
              <w:jc w:val="center"/>
              <w:rPr>
                <w:color w:val="000000"/>
                <w:sz w:val="18"/>
                <w:szCs w:val="18"/>
              </w:rPr>
            </w:pPr>
            <w:r w:rsidRPr="004B60D1">
              <w:rPr>
                <w:color w:val="000000"/>
                <w:sz w:val="18"/>
                <w:szCs w:val="18"/>
              </w:rPr>
              <w:t>0</w:t>
            </w:r>
          </w:p>
        </w:tc>
        <w:tc>
          <w:tcPr>
            <w:tcW w:w="847" w:type="dxa"/>
            <w:tcBorders>
              <w:top w:val="nil"/>
              <w:left w:val="nil"/>
              <w:bottom w:val="single" w:sz="8" w:space="0" w:color="auto"/>
              <w:right w:val="single" w:sz="8" w:space="0" w:color="auto"/>
            </w:tcBorders>
            <w:shd w:val="clear" w:color="auto" w:fill="auto"/>
            <w:noWrap/>
            <w:vAlign w:val="bottom"/>
            <w:hideMark/>
          </w:tcPr>
          <w:p w:rsidR="00AF1B8C" w:rsidRPr="004B60D1" w:rsidRDefault="00AF1B8C" w:rsidP="00EF2DCC">
            <w:pPr>
              <w:jc w:val="center"/>
              <w:rPr>
                <w:color w:val="000000"/>
                <w:sz w:val="18"/>
                <w:szCs w:val="18"/>
              </w:rPr>
            </w:pPr>
            <w:r w:rsidRPr="004B60D1">
              <w:rPr>
                <w:color w:val="000000"/>
                <w:sz w:val="18"/>
                <w:szCs w:val="18"/>
              </w:rPr>
              <w:t>0</w:t>
            </w:r>
          </w:p>
        </w:tc>
        <w:tc>
          <w:tcPr>
            <w:tcW w:w="847" w:type="dxa"/>
            <w:tcBorders>
              <w:top w:val="nil"/>
              <w:left w:val="nil"/>
              <w:bottom w:val="single" w:sz="8" w:space="0" w:color="auto"/>
              <w:right w:val="single" w:sz="8" w:space="0" w:color="auto"/>
            </w:tcBorders>
            <w:shd w:val="clear" w:color="auto" w:fill="auto"/>
            <w:noWrap/>
            <w:vAlign w:val="bottom"/>
            <w:hideMark/>
          </w:tcPr>
          <w:p w:rsidR="00AF1B8C" w:rsidRPr="004B60D1" w:rsidRDefault="00AF1B8C" w:rsidP="00EF2DCC">
            <w:pPr>
              <w:jc w:val="center"/>
              <w:rPr>
                <w:color w:val="000000"/>
                <w:sz w:val="18"/>
                <w:szCs w:val="18"/>
              </w:rPr>
            </w:pPr>
            <w:r w:rsidRPr="004B60D1">
              <w:rPr>
                <w:color w:val="000000"/>
                <w:sz w:val="18"/>
                <w:szCs w:val="18"/>
              </w:rPr>
              <w:t>0</w:t>
            </w:r>
          </w:p>
        </w:tc>
        <w:tc>
          <w:tcPr>
            <w:tcW w:w="847" w:type="dxa"/>
            <w:tcBorders>
              <w:top w:val="nil"/>
              <w:left w:val="nil"/>
              <w:bottom w:val="single" w:sz="8" w:space="0" w:color="auto"/>
              <w:right w:val="single" w:sz="8" w:space="0" w:color="auto"/>
            </w:tcBorders>
            <w:shd w:val="clear" w:color="auto" w:fill="auto"/>
            <w:noWrap/>
            <w:vAlign w:val="bottom"/>
            <w:hideMark/>
          </w:tcPr>
          <w:p w:rsidR="00AF1B8C" w:rsidRPr="004B60D1" w:rsidRDefault="00AF1B8C" w:rsidP="00EF2DCC">
            <w:pPr>
              <w:jc w:val="center"/>
              <w:rPr>
                <w:color w:val="000000"/>
                <w:sz w:val="18"/>
                <w:szCs w:val="18"/>
              </w:rPr>
            </w:pPr>
            <w:r w:rsidRPr="004B60D1">
              <w:rPr>
                <w:color w:val="000000"/>
                <w:sz w:val="18"/>
                <w:szCs w:val="18"/>
              </w:rPr>
              <w:t>0</w:t>
            </w:r>
          </w:p>
        </w:tc>
        <w:tc>
          <w:tcPr>
            <w:tcW w:w="847" w:type="dxa"/>
            <w:tcBorders>
              <w:top w:val="nil"/>
              <w:left w:val="nil"/>
              <w:bottom w:val="single" w:sz="8" w:space="0" w:color="auto"/>
              <w:right w:val="single" w:sz="8" w:space="0" w:color="auto"/>
            </w:tcBorders>
            <w:shd w:val="clear" w:color="auto" w:fill="auto"/>
            <w:noWrap/>
            <w:vAlign w:val="bottom"/>
            <w:hideMark/>
          </w:tcPr>
          <w:p w:rsidR="00AF1B8C" w:rsidRPr="004B60D1" w:rsidRDefault="00AF1B8C" w:rsidP="00EF2DCC">
            <w:pPr>
              <w:jc w:val="center"/>
              <w:rPr>
                <w:color w:val="000000"/>
                <w:sz w:val="18"/>
                <w:szCs w:val="18"/>
              </w:rPr>
            </w:pPr>
            <w:r w:rsidRPr="004B60D1">
              <w:rPr>
                <w:color w:val="000000"/>
                <w:sz w:val="18"/>
                <w:szCs w:val="18"/>
              </w:rPr>
              <w:t>0</w:t>
            </w:r>
          </w:p>
        </w:tc>
        <w:tc>
          <w:tcPr>
            <w:tcW w:w="847" w:type="dxa"/>
            <w:tcBorders>
              <w:top w:val="nil"/>
              <w:left w:val="nil"/>
              <w:bottom w:val="single" w:sz="8" w:space="0" w:color="auto"/>
              <w:right w:val="single" w:sz="8" w:space="0" w:color="auto"/>
            </w:tcBorders>
            <w:shd w:val="clear" w:color="auto" w:fill="auto"/>
            <w:noWrap/>
            <w:vAlign w:val="bottom"/>
            <w:hideMark/>
          </w:tcPr>
          <w:p w:rsidR="00AF1B8C" w:rsidRPr="004B60D1" w:rsidRDefault="00AF1B8C" w:rsidP="00EF2DCC">
            <w:pPr>
              <w:jc w:val="center"/>
              <w:rPr>
                <w:color w:val="000000"/>
                <w:sz w:val="18"/>
                <w:szCs w:val="18"/>
              </w:rPr>
            </w:pPr>
            <w:r w:rsidRPr="004B60D1">
              <w:rPr>
                <w:color w:val="000000"/>
                <w:sz w:val="18"/>
                <w:szCs w:val="18"/>
              </w:rPr>
              <w:t>0</w:t>
            </w:r>
          </w:p>
        </w:tc>
      </w:tr>
      <w:tr w:rsidR="00AF1B8C" w:rsidRPr="00EF2DCC" w:rsidTr="00AF1B8C">
        <w:trPr>
          <w:trHeight w:val="318"/>
        </w:trPr>
        <w:tc>
          <w:tcPr>
            <w:tcW w:w="725" w:type="dxa"/>
            <w:tcBorders>
              <w:top w:val="nil"/>
              <w:left w:val="single" w:sz="8" w:space="0" w:color="auto"/>
              <w:bottom w:val="single" w:sz="8" w:space="0" w:color="auto"/>
              <w:right w:val="single" w:sz="8" w:space="0" w:color="auto"/>
            </w:tcBorders>
            <w:shd w:val="clear" w:color="auto" w:fill="auto"/>
            <w:hideMark/>
          </w:tcPr>
          <w:p w:rsidR="00AF1B8C" w:rsidRDefault="00AF1B8C" w:rsidP="00EF2DCC">
            <w:pPr>
              <w:jc w:val="center"/>
              <w:rPr>
                <w:color w:val="000000"/>
                <w:sz w:val="18"/>
                <w:szCs w:val="18"/>
              </w:rPr>
            </w:pPr>
          </w:p>
          <w:p w:rsidR="00AF1B8C" w:rsidRPr="004B60D1" w:rsidRDefault="00AF1B8C" w:rsidP="00EF2DCC">
            <w:pPr>
              <w:jc w:val="center"/>
              <w:rPr>
                <w:color w:val="000000"/>
                <w:sz w:val="18"/>
                <w:szCs w:val="18"/>
              </w:rPr>
            </w:pPr>
            <w:r w:rsidRPr="004B60D1">
              <w:rPr>
                <w:color w:val="000000"/>
                <w:sz w:val="18"/>
                <w:szCs w:val="18"/>
              </w:rPr>
              <w:t>3</w:t>
            </w:r>
          </w:p>
        </w:tc>
        <w:tc>
          <w:tcPr>
            <w:tcW w:w="2827" w:type="dxa"/>
            <w:tcBorders>
              <w:top w:val="nil"/>
              <w:left w:val="nil"/>
              <w:bottom w:val="single" w:sz="8" w:space="0" w:color="auto"/>
              <w:right w:val="single" w:sz="8" w:space="0" w:color="auto"/>
            </w:tcBorders>
            <w:shd w:val="clear" w:color="auto" w:fill="auto"/>
            <w:noWrap/>
            <w:vAlign w:val="bottom"/>
            <w:hideMark/>
          </w:tcPr>
          <w:p w:rsidR="00AF1B8C" w:rsidRPr="004B60D1" w:rsidRDefault="00AF1B8C" w:rsidP="00EF2DCC">
            <w:pPr>
              <w:jc w:val="center"/>
              <w:rPr>
                <w:color w:val="000000"/>
                <w:sz w:val="18"/>
                <w:szCs w:val="18"/>
              </w:rPr>
            </w:pPr>
            <w:r w:rsidRPr="004B60D1">
              <w:rPr>
                <w:color w:val="000000"/>
                <w:sz w:val="18"/>
                <w:szCs w:val="18"/>
              </w:rPr>
              <w:t>Quality of Service</w:t>
            </w:r>
          </w:p>
        </w:tc>
        <w:tc>
          <w:tcPr>
            <w:tcW w:w="847" w:type="dxa"/>
            <w:tcBorders>
              <w:top w:val="nil"/>
              <w:left w:val="nil"/>
              <w:bottom w:val="single" w:sz="8" w:space="0" w:color="auto"/>
              <w:right w:val="single" w:sz="8" w:space="0" w:color="auto"/>
            </w:tcBorders>
            <w:shd w:val="clear" w:color="auto" w:fill="auto"/>
            <w:noWrap/>
            <w:vAlign w:val="bottom"/>
            <w:hideMark/>
          </w:tcPr>
          <w:p w:rsidR="00AF1B8C" w:rsidRPr="004B60D1" w:rsidRDefault="00AF1B8C" w:rsidP="00EF2DCC">
            <w:pPr>
              <w:jc w:val="center"/>
              <w:rPr>
                <w:color w:val="000000"/>
                <w:sz w:val="18"/>
                <w:szCs w:val="18"/>
              </w:rPr>
            </w:pPr>
            <w:r w:rsidRPr="004B60D1">
              <w:rPr>
                <w:color w:val="000000"/>
                <w:sz w:val="18"/>
                <w:szCs w:val="18"/>
              </w:rPr>
              <w:t>71</w:t>
            </w:r>
          </w:p>
        </w:tc>
        <w:tc>
          <w:tcPr>
            <w:tcW w:w="847" w:type="dxa"/>
            <w:tcBorders>
              <w:top w:val="nil"/>
              <w:left w:val="nil"/>
              <w:bottom w:val="single" w:sz="8" w:space="0" w:color="auto"/>
              <w:right w:val="single" w:sz="8" w:space="0" w:color="auto"/>
            </w:tcBorders>
            <w:shd w:val="clear" w:color="auto" w:fill="auto"/>
            <w:noWrap/>
            <w:vAlign w:val="bottom"/>
            <w:hideMark/>
          </w:tcPr>
          <w:p w:rsidR="00AF1B8C" w:rsidRPr="004B60D1" w:rsidRDefault="00AF1B8C" w:rsidP="00EF2DCC">
            <w:pPr>
              <w:jc w:val="center"/>
              <w:rPr>
                <w:color w:val="000000"/>
                <w:sz w:val="18"/>
                <w:szCs w:val="18"/>
              </w:rPr>
            </w:pPr>
            <w:r w:rsidRPr="004B60D1">
              <w:rPr>
                <w:color w:val="000000"/>
                <w:sz w:val="18"/>
                <w:szCs w:val="18"/>
              </w:rPr>
              <w:t>95</w:t>
            </w:r>
          </w:p>
        </w:tc>
        <w:tc>
          <w:tcPr>
            <w:tcW w:w="847" w:type="dxa"/>
            <w:tcBorders>
              <w:top w:val="nil"/>
              <w:left w:val="nil"/>
              <w:bottom w:val="single" w:sz="8" w:space="0" w:color="auto"/>
              <w:right w:val="single" w:sz="8" w:space="0" w:color="auto"/>
            </w:tcBorders>
            <w:shd w:val="clear" w:color="auto" w:fill="auto"/>
            <w:noWrap/>
            <w:vAlign w:val="bottom"/>
            <w:hideMark/>
          </w:tcPr>
          <w:p w:rsidR="00AF1B8C" w:rsidRPr="004B60D1" w:rsidRDefault="00AF1B8C" w:rsidP="00EF2DCC">
            <w:pPr>
              <w:jc w:val="center"/>
              <w:rPr>
                <w:color w:val="000000"/>
                <w:sz w:val="18"/>
                <w:szCs w:val="18"/>
              </w:rPr>
            </w:pPr>
            <w:r w:rsidRPr="004B60D1">
              <w:rPr>
                <w:color w:val="000000"/>
                <w:sz w:val="18"/>
                <w:szCs w:val="18"/>
              </w:rPr>
              <w:t>30</w:t>
            </w:r>
          </w:p>
        </w:tc>
        <w:tc>
          <w:tcPr>
            <w:tcW w:w="847" w:type="dxa"/>
            <w:tcBorders>
              <w:top w:val="nil"/>
              <w:left w:val="nil"/>
              <w:bottom w:val="single" w:sz="8" w:space="0" w:color="auto"/>
              <w:right w:val="single" w:sz="8" w:space="0" w:color="auto"/>
            </w:tcBorders>
            <w:shd w:val="clear" w:color="auto" w:fill="auto"/>
            <w:noWrap/>
            <w:vAlign w:val="bottom"/>
            <w:hideMark/>
          </w:tcPr>
          <w:p w:rsidR="00AF1B8C" w:rsidRPr="004B60D1" w:rsidRDefault="00AF1B8C" w:rsidP="00EF2DCC">
            <w:pPr>
              <w:jc w:val="center"/>
              <w:rPr>
                <w:color w:val="000000"/>
                <w:sz w:val="18"/>
                <w:szCs w:val="18"/>
              </w:rPr>
            </w:pPr>
            <w:r w:rsidRPr="004B60D1">
              <w:rPr>
                <w:color w:val="000000"/>
                <w:sz w:val="18"/>
                <w:szCs w:val="18"/>
              </w:rPr>
              <w:t>51</w:t>
            </w:r>
          </w:p>
        </w:tc>
        <w:tc>
          <w:tcPr>
            <w:tcW w:w="847" w:type="dxa"/>
            <w:tcBorders>
              <w:top w:val="nil"/>
              <w:left w:val="nil"/>
              <w:bottom w:val="single" w:sz="8" w:space="0" w:color="auto"/>
              <w:right w:val="single" w:sz="8" w:space="0" w:color="auto"/>
            </w:tcBorders>
            <w:shd w:val="clear" w:color="auto" w:fill="auto"/>
            <w:noWrap/>
            <w:vAlign w:val="bottom"/>
            <w:hideMark/>
          </w:tcPr>
          <w:p w:rsidR="00AF1B8C" w:rsidRPr="004B60D1" w:rsidRDefault="00AF1B8C" w:rsidP="00EF2DCC">
            <w:pPr>
              <w:jc w:val="center"/>
              <w:rPr>
                <w:color w:val="000000"/>
                <w:sz w:val="18"/>
                <w:szCs w:val="18"/>
              </w:rPr>
            </w:pPr>
            <w:r w:rsidRPr="004B60D1">
              <w:rPr>
                <w:color w:val="000000"/>
                <w:sz w:val="18"/>
                <w:szCs w:val="18"/>
              </w:rPr>
              <w:t>82</w:t>
            </w:r>
          </w:p>
        </w:tc>
        <w:tc>
          <w:tcPr>
            <w:tcW w:w="847" w:type="dxa"/>
            <w:tcBorders>
              <w:top w:val="nil"/>
              <w:left w:val="nil"/>
              <w:bottom w:val="single" w:sz="8" w:space="0" w:color="auto"/>
              <w:right w:val="single" w:sz="8" w:space="0" w:color="auto"/>
            </w:tcBorders>
            <w:shd w:val="clear" w:color="auto" w:fill="auto"/>
            <w:noWrap/>
            <w:vAlign w:val="bottom"/>
            <w:hideMark/>
          </w:tcPr>
          <w:p w:rsidR="00AF1B8C" w:rsidRPr="004B60D1" w:rsidRDefault="00AF1B8C" w:rsidP="00EF2DCC">
            <w:pPr>
              <w:jc w:val="center"/>
              <w:rPr>
                <w:color w:val="000000"/>
                <w:sz w:val="18"/>
                <w:szCs w:val="18"/>
              </w:rPr>
            </w:pPr>
            <w:r w:rsidRPr="004B60D1">
              <w:rPr>
                <w:color w:val="000000"/>
                <w:sz w:val="18"/>
                <w:szCs w:val="18"/>
              </w:rPr>
              <w:t>65.8</w:t>
            </w:r>
          </w:p>
        </w:tc>
      </w:tr>
      <w:tr w:rsidR="00AF1B8C" w:rsidRPr="00EF2DCC" w:rsidTr="00AF1B8C">
        <w:trPr>
          <w:trHeight w:val="403"/>
        </w:trPr>
        <w:tc>
          <w:tcPr>
            <w:tcW w:w="725" w:type="dxa"/>
            <w:tcBorders>
              <w:top w:val="nil"/>
              <w:left w:val="single" w:sz="8" w:space="0" w:color="auto"/>
              <w:bottom w:val="single" w:sz="8" w:space="0" w:color="auto"/>
              <w:right w:val="single" w:sz="8" w:space="0" w:color="auto"/>
            </w:tcBorders>
            <w:shd w:val="clear" w:color="auto" w:fill="auto"/>
            <w:hideMark/>
          </w:tcPr>
          <w:p w:rsidR="00AF1B8C" w:rsidRPr="004B60D1" w:rsidRDefault="00AF1B8C" w:rsidP="00EF2DCC">
            <w:pPr>
              <w:jc w:val="center"/>
              <w:rPr>
                <w:color w:val="000000"/>
                <w:sz w:val="18"/>
                <w:szCs w:val="18"/>
              </w:rPr>
            </w:pPr>
            <w:r w:rsidRPr="004B60D1">
              <w:rPr>
                <w:color w:val="000000"/>
                <w:sz w:val="18"/>
                <w:szCs w:val="18"/>
              </w:rPr>
              <w:t>4</w:t>
            </w:r>
          </w:p>
        </w:tc>
        <w:tc>
          <w:tcPr>
            <w:tcW w:w="2827" w:type="dxa"/>
            <w:tcBorders>
              <w:top w:val="nil"/>
              <w:left w:val="nil"/>
              <w:bottom w:val="single" w:sz="8" w:space="0" w:color="auto"/>
              <w:right w:val="single" w:sz="8" w:space="0" w:color="auto"/>
            </w:tcBorders>
            <w:shd w:val="clear" w:color="auto" w:fill="auto"/>
            <w:vAlign w:val="bottom"/>
            <w:hideMark/>
          </w:tcPr>
          <w:p w:rsidR="00AF1B8C" w:rsidRPr="004B60D1" w:rsidRDefault="00AF1B8C" w:rsidP="00EF2DCC">
            <w:pPr>
              <w:jc w:val="center"/>
              <w:rPr>
                <w:color w:val="000000"/>
                <w:sz w:val="18"/>
                <w:szCs w:val="18"/>
              </w:rPr>
            </w:pPr>
            <w:r w:rsidRPr="004B60D1">
              <w:rPr>
                <w:color w:val="000000"/>
                <w:sz w:val="18"/>
                <w:szCs w:val="18"/>
              </w:rPr>
              <w:t>Total Number of Service Quality Complaints</w:t>
            </w:r>
          </w:p>
        </w:tc>
        <w:tc>
          <w:tcPr>
            <w:tcW w:w="847" w:type="dxa"/>
            <w:tcBorders>
              <w:top w:val="nil"/>
              <w:left w:val="nil"/>
              <w:bottom w:val="single" w:sz="8" w:space="0" w:color="auto"/>
              <w:right w:val="single" w:sz="8" w:space="0" w:color="auto"/>
            </w:tcBorders>
            <w:shd w:val="clear" w:color="auto" w:fill="auto"/>
            <w:noWrap/>
            <w:vAlign w:val="bottom"/>
            <w:hideMark/>
          </w:tcPr>
          <w:p w:rsidR="00AF1B8C" w:rsidRPr="004B60D1" w:rsidRDefault="00AF1B8C" w:rsidP="00EF2DCC">
            <w:pPr>
              <w:jc w:val="center"/>
              <w:rPr>
                <w:color w:val="000000"/>
                <w:sz w:val="18"/>
                <w:szCs w:val="18"/>
              </w:rPr>
            </w:pPr>
            <w:r w:rsidRPr="004B60D1">
              <w:rPr>
                <w:color w:val="000000"/>
                <w:sz w:val="18"/>
                <w:szCs w:val="18"/>
              </w:rPr>
              <w:t>97</w:t>
            </w:r>
          </w:p>
        </w:tc>
        <w:tc>
          <w:tcPr>
            <w:tcW w:w="847" w:type="dxa"/>
            <w:tcBorders>
              <w:top w:val="nil"/>
              <w:left w:val="nil"/>
              <w:bottom w:val="single" w:sz="8" w:space="0" w:color="auto"/>
              <w:right w:val="single" w:sz="8" w:space="0" w:color="auto"/>
            </w:tcBorders>
            <w:shd w:val="clear" w:color="auto" w:fill="auto"/>
            <w:noWrap/>
            <w:vAlign w:val="bottom"/>
            <w:hideMark/>
          </w:tcPr>
          <w:p w:rsidR="00AF1B8C" w:rsidRPr="004B60D1" w:rsidRDefault="00AF1B8C" w:rsidP="00EF2DCC">
            <w:pPr>
              <w:jc w:val="center"/>
              <w:rPr>
                <w:color w:val="000000"/>
                <w:sz w:val="18"/>
                <w:szCs w:val="18"/>
              </w:rPr>
            </w:pPr>
            <w:r w:rsidRPr="004B60D1">
              <w:rPr>
                <w:color w:val="000000"/>
                <w:sz w:val="18"/>
                <w:szCs w:val="18"/>
              </w:rPr>
              <w:t>108</w:t>
            </w:r>
          </w:p>
        </w:tc>
        <w:tc>
          <w:tcPr>
            <w:tcW w:w="847" w:type="dxa"/>
            <w:tcBorders>
              <w:top w:val="nil"/>
              <w:left w:val="nil"/>
              <w:bottom w:val="single" w:sz="8" w:space="0" w:color="auto"/>
              <w:right w:val="single" w:sz="8" w:space="0" w:color="auto"/>
            </w:tcBorders>
            <w:shd w:val="clear" w:color="auto" w:fill="auto"/>
            <w:noWrap/>
            <w:vAlign w:val="bottom"/>
            <w:hideMark/>
          </w:tcPr>
          <w:p w:rsidR="00AF1B8C" w:rsidRPr="004B60D1" w:rsidRDefault="00AF1B8C" w:rsidP="00EF2DCC">
            <w:pPr>
              <w:jc w:val="center"/>
              <w:rPr>
                <w:color w:val="000000"/>
                <w:sz w:val="18"/>
                <w:szCs w:val="18"/>
              </w:rPr>
            </w:pPr>
            <w:r w:rsidRPr="004B60D1">
              <w:rPr>
                <w:color w:val="000000"/>
                <w:sz w:val="18"/>
                <w:szCs w:val="18"/>
              </w:rPr>
              <w:t>40</w:t>
            </w:r>
          </w:p>
        </w:tc>
        <w:tc>
          <w:tcPr>
            <w:tcW w:w="847" w:type="dxa"/>
            <w:tcBorders>
              <w:top w:val="nil"/>
              <w:left w:val="nil"/>
              <w:bottom w:val="single" w:sz="8" w:space="0" w:color="auto"/>
              <w:right w:val="single" w:sz="8" w:space="0" w:color="auto"/>
            </w:tcBorders>
            <w:shd w:val="clear" w:color="auto" w:fill="auto"/>
            <w:noWrap/>
            <w:vAlign w:val="bottom"/>
            <w:hideMark/>
          </w:tcPr>
          <w:p w:rsidR="00AF1B8C" w:rsidRPr="004B60D1" w:rsidRDefault="00AF1B8C" w:rsidP="00EF2DCC">
            <w:pPr>
              <w:jc w:val="center"/>
              <w:rPr>
                <w:color w:val="000000"/>
                <w:sz w:val="18"/>
                <w:szCs w:val="18"/>
              </w:rPr>
            </w:pPr>
            <w:r w:rsidRPr="004B60D1">
              <w:rPr>
                <w:color w:val="000000"/>
                <w:sz w:val="18"/>
                <w:szCs w:val="18"/>
              </w:rPr>
              <w:t>65</w:t>
            </w:r>
          </w:p>
        </w:tc>
        <w:tc>
          <w:tcPr>
            <w:tcW w:w="847" w:type="dxa"/>
            <w:tcBorders>
              <w:top w:val="nil"/>
              <w:left w:val="nil"/>
              <w:bottom w:val="single" w:sz="8" w:space="0" w:color="auto"/>
              <w:right w:val="single" w:sz="8" w:space="0" w:color="auto"/>
            </w:tcBorders>
            <w:shd w:val="clear" w:color="auto" w:fill="auto"/>
            <w:noWrap/>
            <w:vAlign w:val="bottom"/>
            <w:hideMark/>
          </w:tcPr>
          <w:p w:rsidR="00AF1B8C" w:rsidRPr="004B60D1" w:rsidRDefault="00AF1B8C" w:rsidP="00EF2DCC">
            <w:pPr>
              <w:jc w:val="center"/>
              <w:rPr>
                <w:color w:val="000000"/>
                <w:sz w:val="18"/>
                <w:szCs w:val="18"/>
              </w:rPr>
            </w:pPr>
            <w:r w:rsidRPr="004B60D1">
              <w:rPr>
                <w:color w:val="000000"/>
                <w:sz w:val="18"/>
                <w:szCs w:val="18"/>
              </w:rPr>
              <w:t>89</w:t>
            </w:r>
          </w:p>
        </w:tc>
        <w:tc>
          <w:tcPr>
            <w:tcW w:w="847" w:type="dxa"/>
            <w:tcBorders>
              <w:top w:val="nil"/>
              <w:left w:val="nil"/>
              <w:bottom w:val="single" w:sz="8" w:space="0" w:color="auto"/>
              <w:right w:val="single" w:sz="8" w:space="0" w:color="auto"/>
            </w:tcBorders>
            <w:shd w:val="clear" w:color="auto" w:fill="auto"/>
            <w:noWrap/>
            <w:vAlign w:val="bottom"/>
            <w:hideMark/>
          </w:tcPr>
          <w:p w:rsidR="00AF1B8C" w:rsidRPr="004B60D1" w:rsidRDefault="00AF1B8C" w:rsidP="00EF2DCC">
            <w:pPr>
              <w:jc w:val="center"/>
              <w:rPr>
                <w:color w:val="000000"/>
                <w:sz w:val="18"/>
                <w:szCs w:val="18"/>
              </w:rPr>
            </w:pPr>
            <w:r w:rsidRPr="004B60D1">
              <w:rPr>
                <w:color w:val="000000"/>
                <w:sz w:val="18"/>
                <w:szCs w:val="18"/>
              </w:rPr>
              <w:t>79.8</w:t>
            </w:r>
          </w:p>
        </w:tc>
      </w:tr>
      <w:tr w:rsidR="00AF1B8C" w:rsidRPr="00EF2DCC" w:rsidTr="00AF1B8C">
        <w:trPr>
          <w:trHeight w:val="303"/>
        </w:trPr>
        <w:tc>
          <w:tcPr>
            <w:tcW w:w="725" w:type="dxa"/>
            <w:vMerge w:val="restart"/>
            <w:tcBorders>
              <w:top w:val="nil"/>
              <w:left w:val="single" w:sz="8" w:space="0" w:color="auto"/>
              <w:right w:val="single" w:sz="8" w:space="0" w:color="auto"/>
            </w:tcBorders>
            <w:shd w:val="clear" w:color="auto" w:fill="auto"/>
            <w:hideMark/>
          </w:tcPr>
          <w:p w:rsidR="00AF1B8C" w:rsidRDefault="00AF1B8C" w:rsidP="00411644">
            <w:pPr>
              <w:rPr>
                <w:color w:val="000000"/>
                <w:sz w:val="18"/>
                <w:szCs w:val="18"/>
              </w:rPr>
            </w:pPr>
            <w:r w:rsidRPr="004B60D1">
              <w:rPr>
                <w:color w:val="000000"/>
                <w:sz w:val="18"/>
                <w:szCs w:val="18"/>
              </w:rPr>
              <w:t> </w:t>
            </w:r>
          </w:p>
          <w:p w:rsidR="00AF1B8C" w:rsidRDefault="00AF1B8C" w:rsidP="00411644">
            <w:pPr>
              <w:rPr>
                <w:color w:val="000000"/>
                <w:sz w:val="18"/>
                <w:szCs w:val="18"/>
              </w:rPr>
            </w:pPr>
            <w:r>
              <w:rPr>
                <w:color w:val="000000"/>
                <w:sz w:val="18"/>
                <w:szCs w:val="18"/>
              </w:rPr>
              <w:t xml:space="preserve">    </w:t>
            </w:r>
          </w:p>
          <w:p w:rsidR="00AF1B8C" w:rsidRPr="004B60D1" w:rsidRDefault="00AF1B8C" w:rsidP="00411644">
            <w:pPr>
              <w:rPr>
                <w:color w:val="000000"/>
                <w:sz w:val="18"/>
                <w:szCs w:val="18"/>
              </w:rPr>
            </w:pPr>
            <w:r>
              <w:rPr>
                <w:color w:val="000000"/>
                <w:sz w:val="18"/>
                <w:szCs w:val="18"/>
              </w:rPr>
              <w:t xml:space="preserve">    </w:t>
            </w:r>
            <w:r w:rsidRPr="004B60D1">
              <w:rPr>
                <w:color w:val="000000"/>
                <w:sz w:val="18"/>
                <w:szCs w:val="18"/>
              </w:rPr>
              <w:t>5</w:t>
            </w:r>
          </w:p>
        </w:tc>
        <w:tc>
          <w:tcPr>
            <w:tcW w:w="2827" w:type="dxa"/>
            <w:vMerge w:val="restart"/>
            <w:tcBorders>
              <w:top w:val="nil"/>
              <w:left w:val="single" w:sz="8" w:space="0" w:color="auto"/>
              <w:bottom w:val="single" w:sz="8" w:space="0" w:color="000000"/>
              <w:right w:val="single" w:sz="8" w:space="0" w:color="auto"/>
            </w:tcBorders>
            <w:shd w:val="clear" w:color="auto" w:fill="auto"/>
            <w:vAlign w:val="bottom"/>
            <w:hideMark/>
          </w:tcPr>
          <w:p w:rsidR="00AF1B8C" w:rsidRPr="004B60D1" w:rsidRDefault="00AF1B8C" w:rsidP="00411644">
            <w:pPr>
              <w:rPr>
                <w:color w:val="000000"/>
                <w:sz w:val="18"/>
                <w:szCs w:val="18"/>
              </w:rPr>
            </w:pPr>
            <w:r w:rsidRPr="004B60D1">
              <w:rPr>
                <w:color w:val="000000"/>
                <w:sz w:val="18"/>
                <w:szCs w:val="18"/>
              </w:rPr>
              <w:t>Total Number of Complaints</w:t>
            </w:r>
          </w:p>
        </w:tc>
        <w:tc>
          <w:tcPr>
            <w:tcW w:w="847" w:type="dxa"/>
            <w:tcBorders>
              <w:top w:val="nil"/>
              <w:left w:val="nil"/>
              <w:bottom w:val="nil"/>
              <w:right w:val="single" w:sz="8" w:space="0" w:color="auto"/>
            </w:tcBorders>
            <w:shd w:val="clear" w:color="auto" w:fill="auto"/>
            <w:vAlign w:val="bottom"/>
            <w:hideMark/>
          </w:tcPr>
          <w:p w:rsidR="00AF1B8C" w:rsidRPr="004B60D1" w:rsidRDefault="00AF1B8C" w:rsidP="00EF2DCC">
            <w:pPr>
              <w:jc w:val="center"/>
              <w:rPr>
                <w:color w:val="000000"/>
                <w:sz w:val="18"/>
                <w:szCs w:val="18"/>
              </w:rPr>
            </w:pPr>
          </w:p>
        </w:tc>
        <w:tc>
          <w:tcPr>
            <w:tcW w:w="84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AF1B8C" w:rsidRPr="004B60D1" w:rsidRDefault="00AF1B8C" w:rsidP="00EF2DCC">
            <w:pPr>
              <w:jc w:val="center"/>
              <w:rPr>
                <w:color w:val="000000"/>
                <w:sz w:val="18"/>
                <w:szCs w:val="18"/>
              </w:rPr>
            </w:pPr>
            <w:r w:rsidRPr="004B60D1">
              <w:rPr>
                <w:color w:val="000000"/>
                <w:sz w:val="18"/>
                <w:szCs w:val="18"/>
              </w:rPr>
              <w:t>459</w:t>
            </w:r>
          </w:p>
        </w:tc>
        <w:tc>
          <w:tcPr>
            <w:tcW w:w="84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AF1B8C" w:rsidRPr="004B60D1" w:rsidRDefault="00AF1B8C" w:rsidP="00EF2DCC">
            <w:pPr>
              <w:jc w:val="center"/>
              <w:rPr>
                <w:color w:val="000000"/>
                <w:sz w:val="18"/>
                <w:szCs w:val="18"/>
              </w:rPr>
            </w:pPr>
            <w:r w:rsidRPr="004B60D1">
              <w:rPr>
                <w:color w:val="000000"/>
                <w:sz w:val="18"/>
                <w:szCs w:val="18"/>
              </w:rPr>
              <w:t>323</w:t>
            </w:r>
          </w:p>
        </w:tc>
        <w:tc>
          <w:tcPr>
            <w:tcW w:w="84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AF1B8C" w:rsidRPr="004B60D1" w:rsidRDefault="00AF1B8C" w:rsidP="00EF2DCC">
            <w:pPr>
              <w:jc w:val="center"/>
              <w:rPr>
                <w:color w:val="000000"/>
                <w:sz w:val="18"/>
                <w:szCs w:val="18"/>
              </w:rPr>
            </w:pPr>
            <w:r w:rsidRPr="004B60D1">
              <w:rPr>
                <w:color w:val="000000"/>
                <w:sz w:val="18"/>
                <w:szCs w:val="18"/>
              </w:rPr>
              <w:t>398</w:t>
            </w:r>
          </w:p>
        </w:tc>
        <w:tc>
          <w:tcPr>
            <w:tcW w:w="84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AF1B8C" w:rsidRPr="004B60D1" w:rsidRDefault="00AF1B8C" w:rsidP="00EF2DCC">
            <w:pPr>
              <w:jc w:val="center"/>
              <w:rPr>
                <w:color w:val="000000"/>
                <w:sz w:val="18"/>
                <w:szCs w:val="18"/>
              </w:rPr>
            </w:pPr>
            <w:r w:rsidRPr="004B60D1">
              <w:rPr>
                <w:color w:val="000000"/>
                <w:sz w:val="18"/>
                <w:szCs w:val="18"/>
              </w:rPr>
              <w:t>345</w:t>
            </w:r>
          </w:p>
        </w:tc>
        <w:tc>
          <w:tcPr>
            <w:tcW w:w="847"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AF1B8C" w:rsidRPr="004B60D1" w:rsidRDefault="00AF1B8C" w:rsidP="00EF2DCC">
            <w:pPr>
              <w:jc w:val="center"/>
              <w:rPr>
                <w:color w:val="000000"/>
                <w:sz w:val="18"/>
                <w:szCs w:val="18"/>
              </w:rPr>
            </w:pPr>
            <w:r w:rsidRPr="004B60D1">
              <w:rPr>
                <w:color w:val="000000"/>
                <w:sz w:val="18"/>
                <w:szCs w:val="18"/>
              </w:rPr>
              <w:t>408.2</w:t>
            </w:r>
          </w:p>
        </w:tc>
      </w:tr>
      <w:tr w:rsidR="00AF1B8C" w:rsidRPr="00EF2DCC" w:rsidTr="00AF1B8C">
        <w:trPr>
          <w:trHeight w:val="60"/>
        </w:trPr>
        <w:tc>
          <w:tcPr>
            <w:tcW w:w="725" w:type="dxa"/>
            <w:vMerge/>
            <w:tcBorders>
              <w:left w:val="single" w:sz="8" w:space="0" w:color="auto"/>
              <w:bottom w:val="single" w:sz="8" w:space="0" w:color="auto"/>
              <w:right w:val="single" w:sz="8" w:space="0" w:color="auto"/>
            </w:tcBorders>
            <w:shd w:val="clear" w:color="auto" w:fill="auto"/>
            <w:hideMark/>
          </w:tcPr>
          <w:p w:rsidR="00AF1B8C" w:rsidRPr="004B60D1" w:rsidRDefault="00AF1B8C" w:rsidP="00EF2DCC">
            <w:pPr>
              <w:jc w:val="center"/>
              <w:rPr>
                <w:color w:val="000000"/>
                <w:sz w:val="18"/>
                <w:szCs w:val="18"/>
              </w:rPr>
            </w:pPr>
          </w:p>
        </w:tc>
        <w:tc>
          <w:tcPr>
            <w:tcW w:w="2827" w:type="dxa"/>
            <w:vMerge/>
            <w:tcBorders>
              <w:top w:val="nil"/>
              <w:left w:val="single" w:sz="8" w:space="0" w:color="auto"/>
              <w:bottom w:val="single" w:sz="8" w:space="0" w:color="000000"/>
              <w:right w:val="single" w:sz="8" w:space="0" w:color="auto"/>
            </w:tcBorders>
            <w:vAlign w:val="center"/>
            <w:hideMark/>
          </w:tcPr>
          <w:p w:rsidR="00AF1B8C" w:rsidRPr="004B60D1" w:rsidRDefault="00AF1B8C" w:rsidP="00EF2DCC">
            <w:pPr>
              <w:rPr>
                <w:color w:val="000000"/>
                <w:sz w:val="18"/>
                <w:szCs w:val="18"/>
              </w:rPr>
            </w:pPr>
          </w:p>
        </w:tc>
        <w:tc>
          <w:tcPr>
            <w:tcW w:w="847" w:type="dxa"/>
            <w:tcBorders>
              <w:top w:val="nil"/>
              <w:left w:val="nil"/>
              <w:bottom w:val="single" w:sz="8" w:space="0" w:color="auto"/>
              <w:right w:val="single" w:sz="8" w:space="0" w:color="auto"/>
            </w:tcBorders>
            <w:shd w:val="clear" w:color="auto" w:fill="auto"/>
            <w:vAlign w:val="bottom"/>
            <w:hideMark/>
          </w:tcPr>
          <w:p w:rsidR="00AF1B8C" w:rsidRPr="004B60D1" w:rsidRDefault="00AF1B8C" w:rsidP="00EF2DCC">
            <w:pPr>
              <w:jc w:val="center"/>
              <w:rPr>
                <w:color w:val="000000"/>
                <w:sz w:val="18"/>
                <w:szCs w:val="18"/>
              </w:rPr>
            </w:pPr>
            <w:r w:rsidRPr="004B60D1">
              <w:rPr>
                <w:color w:val="000000"/>
                <w:sz w:val="18"/>
                <w:szCs w:val="18"/>
              </w:rPr>
              <w:t>516</w:t>
            </w:r>
          </w:p>
        </w:tc>
        <w:tc>
          <w:tcPr>
            <w:tcW w:w="847" w:type="dxa"/>
            <w:vMerge/>
            <w:tcBorders>
              <w:top w:val="nil"/>
              <w:left w:val="single" w:sz="8" w:space="0" w:color="auto"/>
              <w:bottom w:val="single" w:sz="8" w:space="0" w:color="000000"/>
              <w:right w:val="single" w:sz="8" w:space="0" w:color="auto"/>
            </w:tcBorders>
            <w:vAlign w:val="center"/>
            <w:hideMark/>
          </w:tcPr>
          <w:p w:rsidR="00AF1B8C" w:rsidRPr="004B60D1" w:rsidRDefault="00AF1B8C" w:rsidP="00EF2DCC">
            <w:pPr>
              <w:rPr>
                <w:color w:val="000000"/>
                <w:sz w:val="18"/>
                <w:szCs w:val="18"/>
              </w:rPr>
            </w:pPr>
          </w:p>
        </w:tc>
        <w:tc>
          <w:tcPr>
            <w:tcW w:w="847" w:type="dxa"/>
            <w:vMerge/>
            <w:tcBorders>
              <w:top w:val="nil"/>
              <w:left w:val="single" w:sz="8" w:space="0" w:color="auto"/>
              <w:bottom w:val="single" w:sz="8" w:space="0" w:color="000000"/>
              <w:right w:val="single" w:sz="8" w:space="0" w:color="auto"/>
            </w:tcBorders>
            <w:vAlign w:val="center"/>
            <w:hideMark/>
          </w:tcPr>
          <w:p w:rsidR="00AF1B8C" w:rsidRPr="004B60D1" w:rsidRDefault="00AF1B8C" w:rsidP="00EF2DCC">
            <w:pPr>
              <w:rPr>
                <w:color w:val="000000"/>
                <w:sz w:val="18"/>
                <w:szCs w:val="18"/>
              </w:rPr>
            </w:pPr>
          </w:p>
        </w:tc>
        <w:tc>
          <w:tcPr>
            <w:tcW w:w="847" w:type="dxa"/>
            <w:vMerge/>
            <w:tcBorders>
              <w:top w:val="nil"/>
              <w:left w:val="single" w:sz="8" w:space="0" w:color="auto"/>
              <w:bottom w:val="single" w:sz="8" w:space="0" w:color="000000"/>
              <w:right w:val="single" w:sz="8" w:space="0" w:color="auto"/>
            </w:tcBorders>
            <w:vAlign w:val="center"/>
            <w:hideMark/>
          </w:tcPr>
          <w:p w:rsidR="00AF1B8C" w:rsidRPr="004B60D1" w:rsidRDefault="00AF1B8C" w:rsidP="00EF2DCC">
            <w:pPr>
              <w:rPr>
                <w:color w:val="000000"/>
                <w:sz w:val="18"/>
                <w:szCs w:val="18"/>
              </w:rPr>
            </w:pPr>
          </w:p>
        </w:tc>
        <w:tc>
          <w:tcPr>
            <w:tcW w:w="847" w:type="dxa"/>
            <w:vMerge/>
            <w:tcBorders>
              <w:top w:val="nil"/>
              <w:left w:val="single" w:sz="8" w:space="0" w:color="auto"/>
              <w:bottom w:val="single" w:sz="8" w:space="0" w:color="000000"/>
              <w:right w:val="single" w:sz="8" w:space="0" w:color="auto"/>
            </w:tcBorders>
            <w:vAlign w:val="center"/>
            <w:hideMark/>
          </w:tcPr>
          <w:p w:rsidR="00AF1B8C" w:rsidRPr="004B60D1" w:rsidRDefault="00AF1B8C" w:rsidP="00EF2DCC">
            <w:pPr>
              <w:rPr>
                <w:color w:val="000000"/>
                <w:sz w:val="18"/>
                <w:szCs w:val="18"/>
              </w:rPr>
            </w:pPr>
          </w:p>
        </w:tc>
        <w:tc>
          <w:tcPr>
            <w:tcW w:w="847" w:type="dxa"/>
            <w:vMerge/>
            <w:tcBorders>
              <w:top w:val="single" w:sz="8" w:space="0" w:color="auto"/>
              <w:left w:val="single" w:sz="8" w:space="0" w:color="auto"/>
              <w:bottom w:val="single" w:sz="8" w:space="0" w:color="000000"/>
              <w:right w:val="single" w:sz="8" w:space="0" w:color="auto"/>
            </w:tcBorders>
            <w:vAlign w:val="center"/>
            <w:hideMark/>
          </w:tcPr>
          <w:p w:rsidR="00AF1B8C" w:rsidRPr="004B60D1" w:rsidRDefault="00AF1B8C" w:rsidP="00EF2DCC">
            <w:pPr>
              <w:rPr>
                <w:color w:val="000000"/>
                <w:sz w:val="18"/>
                <w:szCs w:val="18"/>
              </w:rPr>
            </w:pPr>
          </w:p>
        </w:tc>
      </w:tr>
      <w:tr w:rsidR="00AF1B8C" w:rsidRPr="00EF2DCC" w:rsidTr="00A96254">
        <w:trPr>
          <w:trHeight w:val="205"/>
        </w:trPr>
        <w:tc>
          <w:tcPr>
            <w:tcW w:w="725" w:type="dxa"/>
            <w:tcBorders>
              <w:top w:val="nil"/>
              <w:left w:val="single" w:sz="8" w:space="0" w:color="auto"/>
              <w:bottom w:val="single" w:sz="8" w:space="0" w:color="auto"/>
              <w:right w:val="single" w:sz="8" w:space="0" w:color="auto"/>
            </w:tcBorders>
            <w:shd w:val="clear" w:color="000000" w:fill="C0C0C0"/>
            <w:hideMark/>
          </w:tcPr>
          <w:p w:rsidR="00AF1B8C" w:rsidRPr="004B60D1" w:rsidRDefault="00AF1B8C" w:rsidP="00EF2DCC">
            <w:pPr>
              <w:rPr>
                <w:color w:val="000000"/>
                <w:sz w:val="18"/>
                <w:szCs w:val="18"/>
              </w:rPr>
            </w:pPr>
            <w:r w:rsidRPr="004B60D1">
              <w:rPr>
                <w:color w:val="000000"/>
                <w:sz w:val="18"/>
                <w:szCs w:val="18"/>
              </w:rPr>
              <w:t> </w:t>
            </w:r>
          </w:p>
        </w:tc>
        <w:tc>
          <w:tcPr>
            <w:tcW w:w="2827" w:type="dxa"/>
            <w:tcBorders>
              <w:top w:val="nil"/>
              <w:left w:val="nil"/>
              <w:bottom w:val="single" w:sz="8" w:space="0" w:color="auto"/>
              <w:right w:val="single" w:sz="8" w:space="0" w:color="auto"/>
            </w:tcBorders>
            <w:shd w:val="clear" w:color="000000" w:fill="C0C0C0"/>
            <w:noWrap/>
            <w:vAlign w:val="bottom"/>
            <w:hideMark/>
          </w:tcPr>
          <w:p w:rsidR="00AF1B8C" w:rsidRPr="004B60D1" w:rsidRDefault="00AF1B8C" w:rsidP="00EF2DCC">
            <w:pPr>
              <w:rPr>
                <w:color w:val="000000"/>
                <w:sz w:val="18"/>
                <w:szCs w:val="18"/>
              </w:rPr>
            </w:pPr>
            <w:r w:rsidRPr="004B60D1">
              <w:rPr>
                <w:color w:val="000000"/>
                <w:sz w:val="18"/>
                <w:szCs w:val="18"/>
              </w:rPr>
              <w:t> </w:t>
            </w:r>
          </w:p>
        </w:tc>
        <w:tc>
          <w:tcPr>
            <w:tcW w:w="847" w:type="dxa"/>
            <w:tcBorders>
              <w:top w:val="nil"/>
              <w:left w:val="nil"/>
              <w:bottom w:val="single" w:sz="8" w:space="0" w:color="auto"/>
              <w:right w:val="single" w:sz="8" w:space="0" w:color="auto"/>
            </w:tcBorders>
            <w:shd w:val="clear" w:color="000000" w:fill="C0C0C0"/>
            <w:noWrap/>
            <w:vAlign w:val="bottom"/>
            <w:hideMark/>
          </w:tcPr>
          <w:p w:rsidR="00AF1B8C" w:rsidRPr="004B60D1" w:rsidRDefault="00AF1B8C" w:rsidP="00EF2DCC">
            <w:pPr>
              <w:rPr>
                <w:color w:val="000000"/>
                <w:sz w:val="18"/>
                <w:szCs w:val="18"/>
              </w:rPr>
            </w:pPr>
            <w:r w:rsidRPr="004B60D1">
              <w:rPr>
                <w:color w:val="000000"/>
                <w:sz w:val="18"/>
                <w:szCs w:val="18"/>
              </w:rPr>
              <w:t> </w:t>
            </w:r>
          </w:p>
        </w:tc>
        <w:tc>
          <w:tcPr>
            <w:tcW w:w="847" w:type="dxa"/>
            <w:tcBorders>
              <w:top w:val="nil"/>
              <w:left w:val="nil"/>
              <w:bottom w:val="single" w:sz="8" w:space="0" w:color="auto"/>
              <w:right w:val="single" w:sz="8" w:space="0" w:color="auto"/>
            </w:tcBorders>
            <w:shd w:val="clear" w:color="000000" w:fill="C0C0C0"/>
            <w:noWrap/>
            <w:vAlign w:val="bottom"/>
            <w:hideMark/>
          </w:tcPr>
          <w:p w:rsidR="00AF1B8C" w:rsidRPr="004B60D1" w:rsidRDefault="00AF1B8C" w:rsidP="00EF2DCC">
            <w:pPr>
              <w:jc w:val="center"/>
              <w:rPr>
                <w:color w:val="000000"/>
                <w:sz w:val="18"/>
                <w:szCs w:val="18"/>
              </w:rPr>
            </w:pPr>
            <w:r w:rsidRPr="004B60D1">
              <w:rPr>
                <w:color w:val="000000"/>
                <w:sz w:val="18"/>
                <w:szCs w:val="18"/>
              </w:rPr>
              <w:t> </w:t>
            </w:r>
          </w:p>
        </w:tc>
        <w:tc>
          <w:tcPr>
            <w:tcW w:w="847" w:type="dxa"/>
            <w:tcBorders>
              <w:top w:val="nil"/>
              <w:left w:val="nil"/>
              <w:bottom w:val="single" w:sz="8" w:space="0" w:color="auto"/>
              <w:right w:val="single" w:sz="8" w:space="0" w:color="auto"/>
            </w:tcBorders>
            <w:shd w:val="clear" w:color="000000" w:fill="C0C0C0"/>
            <w:noWrap/>
            <w:vAlign w:val="bottom"/>
            <w:hideMark/>
          </w:tcPr>
          <w:p w:rsidR="00AF1B8C" w:rsidRPr="004B60D1" w:rsidRDefault="00AF1B8C" w:rsidP="00EF2DCC">
            <w:pPr>
              <w:jc w:val="center"/>
              <w:rPr>
                <w:color w:val="000000"/>
                <w:sz w:val="18"/>
                <w:szCs w:val="18"/>
              </w:rPr>
            </w:pPr>
            <w:r w:rsidRPr="004B60D1">
              <w:rPr>
                <w:color w:val="000000"/>
                <w:sz w:val="18"/>
                <w:szCs w:val="18"/>
              </w:rPr>
              <w:t> </w:t>
            </w:r>
          </w:p>
        </w:tc>
        <w:tc>
          <w:tcPr>
            <w:tcW w:w="847" w:type="dxa"/>
            <w:tcBorders>
              <w:top w:val="nil"/>
              <w:left w:val="nil"/>
              <w:bottom w:val="single" w:sz="8" w:space="0" w:color="auto"/>
              <w:right w:val="single" w:sz="8" w:space="0" w:color="auto"/>
            </w:tcBorders>
            <w:shd w:val="clear" w:color="000000" w:fill="C0C0C0"/>
            <w:noWrap/>
            <w:vAlign w:val="bottom"/>
            <w:hideMark/>
          </w:tcPr>
          <w:p w:rsidR="00AF1B8C" w:rsidRPr="004B60D1" w:rsidRDefault="00AF1B8C" w:rsidP="00EF2DCC">
            <w:pPr>
              <w:jc w:val="center"/>
              <w:rPr>
                <w:color w:val="000000"/>
                <w:sz w:val="18"/>
                <w:szCs w:val="18"/>
              </w:rPr>
            </w:pPr>
            <w:r w:rsidRPr="004B60D1">
              <w:rPr>
                <w:color w:val="000000"/>
                <w:sz w:val="18"/>
                <w:szCs w:val="18"/>
              </w:rPr>
              <w:t> </w:t>
            </w:r>
          </w:p>
        </w:tc>
        <w:tc>
          <w:tcPr>
            <w:tcW w:w="847" w:type="dxa"/>
            <w:tcBorders>
              <w:top w:val="nil"/>
              <w:left w:val="nil"/>
              <w:bottom w:val="single" w:sz="8" w:space="0" w:color="auto"/>
              <w:right w:val="single" w:sz="8" w:space="0" w:color="auto"/>
            </w:tcBorders>
            <w:shd w:val="clear" w:color="000000" w:fill="C0C0C0"/>
            <w:noWrap/>
            <w:vAlign w:val="bottom"/>
            <w:hideMark/>
          </w:tcPr>
          <w:p w:rsidR="00AF1B8C" w:rsidRPr="004B60D1" w:rsidRDefault="00AF1B8C" w:rsidP="00EF2DCC">
            <w:pPr>
              <w:jc w:val="center"/>
              <w:rPr>
                <w:color w:val="000000"/>
                <w:sz w:val="18"/>
                <w:szCs w:val="18"/>
              </w:rPr>
            </w:pPr>
            <w:r w:rsidRPr="004B60D1">
              <w:rPr>
                <w:color w:val="000000"/>
                <w:sz w:val="18"/>
                <w:szCs w:val="18"/>
              </w:rPr>
              <w:t> </w:t>
            </w:r>
          </w:p>
        </w:tc>
        <w:tc>
          <w:tcPr>
            <w:tcW w:w="847" w:type="dxa"/>
            <w:tcBorders>
              <w:top w:val="nil"/>
              <w:left w:val="nil"/>
              <w:bottom w:val="single" w:sz="8" w:space="0" w:color="auto"/>
              <w:right w:val="single" w:sz="8" w:space="0" w:color="auto"/>
            </w:tcBorders>
            <w:shd w:val="clear" w:color="000000" w:fill="C0C0C0"/>
            <w:hideMark/>
          </w:tcPr>
          <w:p w:rsidR="00AF1B8C" w:rsidRPr="004B60D1" w:rsidRDefault="00AF1B8C" w:rsidP="00EF2DCC">
            <w:pPr>
              <w:jc w:val="center"/>
              <w:rPr>
                <w:color w:val="000000"/>
                <w:sz w:val="18"/>
                <w:szCs w:val="18"/>
              </w:rPr>
            </w:pPr>
            <w:r w:rsidRPr="004B60D1">
              <w:rPr>
                <w:color w:val="000000"/>
                <w:sz w:val="18"/>
                <w:szCs w:val="18"/>
              </w:rPr>
              <w:t> </w:t>
            </w:r>
          </w:p>
        </w:tc>
      </w:tr>
      <w:tr w:rsidR="00AF1B8C" w:rsidRPr="00EF2DCC" w:rsidTr="00AF1B8C">
        <w:trPr>
          <w:trHeight w:val="430"/>
        </w:trPr>
        <w:tc>
          <w:tcPr>
            <w:tcW w:w="725" w:type="dxa"/>
            <w:tcBorders>
              <w:top w:val="single" w:sz="8" w:space="0" w:color="auto"/>
              <w:left w:val="single" w:sz="8" w:space="0" w:color="auto"/>
              <w:bottom w:val="single" w:sz="8" w:space="0" w:color="auto"/>
              <w:right w:val="single" w:sz="8" w:space="0" w:color="auto"/>
            </w:tcBorders>
            <w:shd w:val="clear" w:color="auto" w:fill="auto"/>
            <w:hideMark/>
          </w:tcPr>
          <w:p w:rsidR="00AF1B8C" w:rsidRPr="004B60D1" w:rsidRDefault="00AF1B8C" w:rsidP="00EF2DCC">
            <w:pPr>
              <w:jc w:val="center"/>
              <w:rPr>
                <w:color w:val="000000"/>
                <w:sz w:val="18"/>
                <w:szCs w:val="18"/>
              </w:rPr>
            </w:pPr>
            <w:r w:rsidRPr="004B60D1">
              <w:rPr>
                <w:color w:val="000000"/>
                <w:sz w:val="18"/>
                <w:szCs w:val="18"/>
              </w:rPr>
              <w:t>6</w:t>
            </w:r>
          </w:p>
        </w:tc>
        <w:tc>
          <w:tcPr>
            <w:tcW w:w="2827" w:type="dxa"/>
            <w:tcBorders>
              <w:top w:val="single" w:sz="8" w:space="0" w:color="auto"/>
              <w:left w:val="nil"/>
              <w:bottom w:val="single" w:sz="8" w:space="0" w:color="auto"/>
              <w:right w:val="single" w:sz="8" w:space="0" w:color="auto"/>
            </w:tcBorders>
            <w:shd w:val="clear" w:color="auto" w:fill="auto"/>
            <w:vAlign w:val="bottom"/>
            <w:hideMark/>
          </w:tcPr>
          <w:p w:rsidR="00AF1B8C" w:rsidRPr="004B60D1" w:rsidRDefault="00AF1B8C" w:rsidP="00EF2DCC">
            <w:pPr>
              <w:jc w:val="center"/>
              <w:rPr>
                <w:color w:val="000000"/>
                <w:sz w:val="18"/>
                <w:szCs w:val="18"/>
              </w:rPr>
            </w:pPr>
            <w:r w:rsidRPr="004B60D1">
              <w:rPr>
                <w:color w:val="000000"/>
                <w:sz w:val="18"/>
                <w:szCs w:val="18"/>
              </w:rPr>
              <w:t>Percentage of Service Quality Complaints</w:t>
            </w:r>
          </w:p>
        </w:tc>
        <w:tc>
          <w:tcPr>
            <w:tcW w:w="847" w:type="dxa"/>
            <w:tcBorders>
              <w:top w:val="single" w:sz="8" w:space="0" w:color="auto"/>
              <w:left w:val="nil"/>
              <w:bottom w:val="single" w:sz="8" w:space="0" w:color="auto"/>
              <w:right w:val="single" w:sz="8" w:space="0" w:color="auto"/>
            </w:tcBorders>
            <w:shd w:val="clear" w:color="auto" w:fill="auto"/>
            <w:vAlign w:val="bottom"/>
            <w:hideMark/>
          </w:tcPr>
          <w:p w:rsidR="00AF1B8C" w:rsidRPr="004B60D1" w:rsidRDefault="00AF1B8C" w:rsidP="00EF2DCC">
            <w:pPr>
              <w:jc w:val="center"/>
              <w:rPr>
                <w:color w:val="000000"/>
                <w:sz w:val="18"/>
                <w:szCs w:val="18"/>
              </w:rPr>
            </w:pPr>
            <w:r w:rsidRPr="004B60D1">
              <w:rPr>
                <w:color w:val="000000"/>
                <w:sz w:val="18"/>
                <w:szCs w:val="18"/>
              </w:rPr>
              <w:t>18.80%</w:t>
            </w:r>
          </w:p>
        </w:tc>
        <w:tc>
          <w:tcPr>
            <w:tcW w:w="847" w:type="dxa"/>
            <w:tcBorders>
              <w:top w:val="single" w:sz="8" w:space="0" w:color="auto"/>
              <w:left w:val="nil"/>
              <w:bottom w:val="single" w:sz="8" w:space="0" w:color="auto"/>
              <w:right w:val="single" w:sz="8" w:space="0" w:color="auto"/>
            </w:tcBorders>
            <w:shd w:val="clear" w:color="auto" w:fill="auto"/>
            <w:noWrap/>
            <w:vAlign w:val="bottom"/>
            <w:hideMark/>
          </w:tcPr>
          <w:p w:rsidR="00AF1B8C" w:rsidRPr="004B60D1" w:rsidRDefault="00AF1B8C" w:rsidP="00EF2DCC">
            <w:pPr>
              <w:jc w:val="center"/>
              <w:rPr>
                <w:color w:val="000000"/>
                <w:sz w:val="18"/>
                <w:szCs w:val="18"/>
              </w:rPr>
            </w:pPr>
            <w:r w:rsidRPr="004B60D1">
              <w:rPr>
                <w:color w:val="000000"/>
                <w:sz w:val="18"/>
                <w:szCs w:val="18"/>
              </w:rPr>
              <w:t>23.53%</w:t>
            </w:r>
          </w:p>
        </w:tc>
        <w:tc>
          <w:tcPr>
            <w:tcW w:w="847" w:type="dxa"/>
            <w:tcBorders>
              <w:top w:val="single" w:sz="8" w:space="0" w:color="auto"/>
              <w:left w:val="nil"/>
              <w:bottom w:val="single" w:sz="8" w:space="0" w:color="auto"/>
              <w:right w:val="single" w:sz="8" w:space="0" w:color="auto"/>
            </w:tcBorders>
            <w:shd w:val="clear" w:color="auto" w:fill="auto"/>
            <w:noWrap/>
            <w:vAlign w:val="bottom"/>
            <w:hideMark/>
          </w:tcPr>
          <w:p w:rsidR="00AF1B8C" w:rsidRPr="004B60D1" w:rsidRDefault="00AF1B8C" w:rsidP="00EF2DCC">
            <w:pPr>
              <w:jc w:val="center"/>
              <w:rPr>
                <w:color w:val="000000"/>
                <w:sz w:val="18"/>
                <w:szCs w:val="18"/>
              </w:rPr>
            </w:pPr>
            <w:r w:rsidRPr="004B60D1">
              <w:rPr>
                <w:color w:val="000000"/>
                <w:sz w:val="18"/>
                <w:szCs w:val="18"/>
              </w:rPr>
              <w:t>12.38%</w:t>
            </w:r>
          </w:p>
        </w:tc>
        <w:tc>
          <w:tcPr>
            <w:tcW w:w="847" w:type="dxa"/>
            <w:tcBorders>
              <w:top w:val="single" w:sz="8" w:space="0" w:color="auto"/>
              <w:left w:val="nil"/>
              <w:bottom w:val="single" w:sz="8" w:space="0" w:color="auto"/>
              <w:right w:val="single" w:sz="8" w:space="0" w:color="auto"/>
            </w:tcBorders>
            <w:shd w:val="clear" w:color="auto" w:fill="auto"/>
            <w:noWrap/>
            <w:vAlign w:val="bottom"/>
            <w:hideMark/>
          </w:tcPr>
          <w:p w:rsidR="00AF1B8C" w:rsidRPr="004B60D1" w:rsidRDefault="00AF1B8C" w:rsidP="00EF2DCC">
            <w:pPr>
              <w:jc w:val="center"/>
              <w:rPr>
                <w:color w:val="000000"/>
                <w:sz w:val="18"/>
                <w:szCs w:val="18"/>
              </w:rPr>
            </w:pPr>
            <w:r w:rsidRPr="004B60D1">
              <w:rPr>
                <w:color w:val="000000"/>
                <w:sz w:val="18"/>
                <w:szCs w:val="18"/>
              </w:rPr>
              <w:t>16.33%</w:t>
            </w:r>
          </w:p>
        </w:tc>
        <w:tc>
          <w:tcPr>
            <w:tcW w:w="847" w:type="dxa"/>
            <w:tcBorders>
              <w:top w:val="single" w:sz="8" w:space="0" w:color="auto"/>
              <w:left w:val="nil"/>
              <w:bottom w:val="single" w:sz="8" w:space="0" w:color="auto"/>
              <w:right w:val="single" w:sz="8" w:space="0" w:color="auto"/>
            </w:tcBorders>
            <w:shd w:val="clear" w:color="auto" w:fill="auto"/>
            <w:noWrap/>
            <w:vAlign w:val="bottom"/>
            <w:hideMark/>
          </w:tcPr>
          <w:p w:rsidR="00AF1B8C" w:rsidRPr="004B60D1" w:rsidRDefault="00AF1B8C" w:rsidP="00EF2DCC">
            <w:pPr>
              <w:jc w:val="center"/>
              <w:rPr>
                <w:color w:val="000000"/>
                <w:sz w:val="18"/>
                <w:szCs w:val="18"/>
              </w:rPr>
            </w:pPr>
            <w:r w:rsidRPr="004B60D1">
              <w:rPr>
                <w:color w:val="000000"/>
                <w:sz w:val="18"/>
                <w:szCs w:val="18"/>
              </w:rPr>
              <w:t>25.80%</w:t>
            </w:r>
          </w:p>
        </w:tc>
        <w:tc>
          <w:tcPr>
            <w:tcW w:w="847" w:type="dxa"/>
            <w:tcBorders>
              <w:top w:val="single" w:sz="8" w:space="0" w:color="auto"/>
              <w:left w:val="nil"/>
              <w:bottom w:val="single" w:sz="8" w:space="0" w:color="auto"/>
              <w:right w:val="single" w:sz="8" w:space="0" w:color="auto"/>
            </w:tcBorders>
            <w:shd w:val="clear" w:color="auto" w:fill="auto"/>
            <w:noWrap/>
            <w:vAlign w:val="bottom"/>
            <w:hideMark/>
          </w:tcPr>
          <w:p w:rsidR="00AF1B8C" w:rsidRPr="004B60D1" w:rsidRDefault="00AF1B8C" w:rsidP="00EF2DCC">
            <w:pPr>
              <w:jc w:val="center"/>
              <w:rPr>
                <w:color w:val="000000"/>
                <w:sz w:val="18"/>
                <w:szCs w:val="18"/>
              </w:rPr>
            </w:pPr>
            <w:r w:rsidRPr="004B60D1">
              <w:rPr>
                <w:color w:val="000000"/>
                <w:sz w:val="18"/>
                <w:szCs w:val="18"/>
              </w:rPr>
              <w:t>19.55%</w:t>
            </w:r>
          </w:p>
        </w:tc>
      </w:tr>
    </w:tbl>
    <w:p w:rsidR="00EF2DCC" w:rsidRDefault="00EF2DCC" w:rsidP="00BB024B">
      <w:pPr>
        <w:ind w:left="720" w:hanging="720"/>
      </w:pPr>
    </w:p>
    <w:p w:rsidR="004B60D1" w:rsidRPr="00BD57DF" w:rsidRDefault="004B60D1" w:rsidP="004B60D1">
      <w:pPr>
        <w:ind w:left="720" w:hanging="720"/>
        <w:jc w:val="center"/>
        <w:rPr>
          <w:sz w:val="22"/>
          <w:szCs w:val="22"/>
        </w:rPr>
      </w:pPr>
      <w:r w:rsidRPr="00BD57DF">
        <w:rPr>
          <w:sz w:val="22"/>
          <w:szCs w:val="22"/>
        </w:rPr>
        <w:t>CenturyLink</w:t>
      </w:r>
      <w:r w:rsidR="00D342C8">
        <w:rPr>
          <w:sz w:val="22"/>
          <w:szCs w:val="22"/>
        </w:rPr>
        <w:t xml:space="preserve"> ILECs</w:t>
      </w:r>
    </w:p>
    <w:tbl>
      <w:tblPr>
        <w:tblW w:w="8632" w:type="dxa"/>
        <w:tblInd w:w="98" w:type="dxa"/>
        <w:tblLook w:val="04A0"/>
      </w:tblPr>
      <w:tblGrid>
        <w:gridCol w:w="725"/>
        <w:gridCol w:w="2825"/>
        <w:gridCol w:w="847"/>
        <w:gridCol w:w="847"/>
        <w:gridCol w:w="847"/>
        <w:gridCol w:w="847"/>
        <w:gridCol w:w="847"/>
        <w:gridCol w:w="847"/>
      </w:tblGrid>
      <w:tr w:rsidR="00AF1B8C" w:rsidRPr="004B60D1" w:rsidTr="00AF1B8C">
        <w:trPr>
          <w:trHeight w:val="344"/>
        </w:trPr>
        <w:tc>
          <w:tcPr>
            <w:tcW w:w="725" w:type="dxa"/>
            <w:tcBorders>
              <w:top w:val="single" w:sz="8" w:space="0" w:color="auto"/>
              <w:left w:val="single" w:sz="8" w:space="0" w:color="auto"/>
              <w:bottom w:val="single" w:sz="8" w:space="0" w:color="auto"/>
              <w:right w:val="single" w:sz="8" w:space="0" w:color="auto"/>
            </w:tcBorders>
            <w:shd w:val="clear" w:color="auto" w:fill="auto"/>
            <w:hideMark/>
          </w:tcPr>
          <w:p w:rsidR="00AF1B8C" w:rsidRDefault="00AF1B8C" w:rsidP="004B60D1">
            <w:pPr>
              <w:jc w:val="center"/>
              <w:rPr>
                <w:color w:val="000000"/>
                <w:sz w:val="18"/>
                <w:szCs w:val="18"/>
              </w:rPr>
            </w:pPr>
          </w:p>
          <w:p w:rsidR="00AF1B8C" w:rsidRPr="004B60D1" w:rsidRDefault="00AF1B8C" w:rsidP="004B60D1">
            <w:pPr>
              <w:jc w:val="center"/>
              <w:rPr>
                <w:color w:val="000000"/>
                <w:sz w:val="18"/>
                <w:szCs w:val="18"/>
              </w:rPr>
            </w:pPr>
            <w:r w:rsidRPr="004B60D1">
              <w:rPr>
                <w:color w:val="000000"/>
                <w:sz w:val="18"/>
                <w:szCs w:val="18"/>
              </w:rPr>
              <w:t>Row</w:t>
            </w:r>
          </w:p>
        </w:tc>
        <w:tc>
          <w:tcPr>
            <w:tcW w:w="2825" w:type="dxa"/>
            <w:tcBorders>
              <w:top w:val="single" w:sz="8" w:space="0" w:color="auto"/>
              <w:left w:val="nil"/>
              <w:bottom w:val="single" w:sz="8" w:space="0" w:color="auto"/>
              <w:right w:val="single" w:sz="8" w:space="0" w:color="auto"/>
            </w:tcBorders>
            <w:shd w:val="clear" w:color="auto" w:fill="auto"/>
            <w:noWrap/>
            <w:vAlign w:val="bottom"/>
            <w:hideMark/>
          </w:tcPr>
          <w:p w:rsidR="00AF1B8C" w:rsidRPr="004B60D1" w:rsidRDefault="00AF1B8C" w:rsidP="004B60D1">
            <w:pPr>
              <w:jc w:val="center"/>
              <w:rPr>
                <w:color w:val="000000"/>
                <w:sz w:val="18"/>
                <w:szCs w:val="18"/>
              </w:rPr>
            </w:pPr>
            <w:r w:rsidRPr="004B60D1">
              <w:rPr>
                <w:color w:val="000000"/>
                <w:sz w:val="18"/>
                <w:szCs w:val="18"/>
              </w:rPr>
              <w:t>Type of Service Quality Complaint</w:t>
            </w:r>
          </w:p>
        </w:tc>
        <w:tc>
          <w:tcPr>
            <w:tcW w:w="847" w:type="dxa"/>
            <w:tcBorders>
              <w:top w:val="single" w:sz="8" w:space="0" w:color="auto"/>
              <w:left w:val="nil"/>
              <w:bottom w:val="single" w:sz="8" w:space="0" w:color="auto"/>
              <w:right w:val="single" w:sz="8" w:space="0" w:color="auto"/>
            </w:tcBorders>
            <w:shd w:val="clear" w:color="auto" w:fill="auto"/>
            <w:noWrap/>
            <w:vAlign w:val="bottom"/>
            <w:hideMark/>
          </w:tcPr>
          <w:p w:rsidR="00AF1B8C" w:rsidRPr="004B60D1" w:rsidRDefault="00AF1B8C" w:rsidP="004B60D1">
            <w:pPr>
              <w:jc w:val="center"/>
              <w:rPr>
                <w:color w:val="000000"/>
                <w:sz w:val="18"/>
                <w:szCs w:val="18"/>
              </w:rPr>
            </w:pPr>
            <w:r w:rsidRPr="004B60D1">
              <w:rPr>
                <w:color w:val="000000"/>
                <w:sz w:val="18"/>
                <w:szCs w:val="18"/>
              </w:rPr>
              <w:t>2005</w:t>
            </w:r>
          </w:p>
        </w:tc>
        <w:tc>
          <w:tcPr>
            <w:tcW w:w="847" w:type="dxa"/>
            <w:tcBorders>
              <w:top w:val="single" w:sz="8" w:space="0" w:color="auto"/>
              <w:left w:val="nil"/>
              <w:bottom w:val="single" w:sz="8" w:space="0" w:color="auto"/>
              <w:right w:val="single" w:sz="8" w:space="0" w:color="auto"/>
            </w:tcBorders>
            <w:shd w:val="clear" w:color="auto" w:fill="auto"/>
            <w:noWrap/>
            <w:vAlign w:val="bottom"/>
            <w:hideMark/>
          </w:tcPr>
          <w:p w:rsidR="00AF1B8C" w:rsidRPr="004B60D1" w:rsidRDefault="00AF1B8C" w:rsidP="004B60D1">
            <w:pPr>
              <w:jc w:val="center"/>
              <w:rPr>
                <w:color w:val="000000"/>
                <w:sz w:val="18"/>
                <w:szCs w:val="18"/>
              </w:rPr>
            </w:pPr>
            <w:r w:rsidRPr="004B60D1">
              <w:rPr>
                <w:color w:val="000000"/>
                <w:sz w:val="18"/>
                <w:szCs w:val="18"/>
              </w:rPr>
              <w:t>2006</w:t>
            </w:r>
          </w:p>
        </w:tc>
        <w:tc>
          <w:tcPr>
            <w:tcW w:w="847" w:type="dxa"/>
            <w:tcBorders>
              <w:top w:val="single" w:sz="8" w:space="0" w:color="auto"/>
              <w:left w:val="nil"/>
              <w:bottom w:val="single" w:sz="8" w:space="0" w:color="auto"/>
              <w:right w:val="single" w:sz="8" w:space="0" w:color="auto"/>
            </w:tcBorders>
            <w:shd w:val="clear" w:color="auto" w:fill="auto"/>
            <w:noWrap/>
            <w:vAlign w:val="bottom"/>
            <w:hideMark/>
          </w:tcPr>
          <w:p w:rsidR="00AF1B8C" w:rsidRPr="004B60D1" w:rsidRDefault="00AF1B8C" w:rsidP="004B60D1">
            <w:pPr>
              <w:jc w:val="center"/>
              <w:rPr>
                <w:color w:val="000000"/>
                <w:sz w:val="18"/>
                <w:szCs w:val="18"/>
              </w:rPr>
            </w:pPr>
            <w:r w:rsidRPr="004B60D1">
              <w:rPr>
                <w:color w:val="000000"/>
                <w:sz w:val="18"/>
                <w:szCs w:val="18"/>
              </w:rPr>
              <w:t>2007</w:t>
            </w:r>
          </w:p>
        </w:tc>
        <w:tc>
          <w:tcPr>
            <w:tcW w:w="847" w:type="dxa"/>
            <w:tcBorders>
              <w:top w:val="single" w:sz="8" w:space="0" w:color="auto"/>
              <w:left w:val="nil"/>
              <w:bottom w:val="single" w:sz="8" w:space="0" w:color="auto"/>
              <w:right w:val="single" w:sz="8" w:space="0" w:color="auto"/>
            </w:tcBorders>
            <w:shd w:val="clear" w:color="auto" w:fill="auto"/>
            <w:noWrap/>
            <w:vAlign w:val="bottom"/>
            <w:hideMark/>
          </w:tcPr>
          <w:p w:rsidR="00AF1B8C" w:rsidRPr="004B60D1" w:rsidRDefault="00AF1B8C" w:rsidP="004B60D1">
            <w:pPr>
              <w:jc w:val="center"/>
              <w:rPr>
                <w:color w:val="000000"/>
                <w:sz w:val="18"/>
                <w:szCs w:val="18"/>
              </w:rPr>
            </w:pPr>
            <w:r w:rsidRPr="004B60D1">
              <w:rPr>
                <w:color w:val="000000"/>
                <w:sz w:val="18"/>
                <w:szCs w:val="18"/>
              </w:rPr>
              <w:t>2008</w:t>
            </w:r>
          </w:p>
        </w:tc>
        <w:tc>
          <w:tcPr>
            <w:tcW w:w="847" w:type="dxa"/>
            <w:tcBorders>
              <w:top w:val="single" w:sz="8" w:space="0" w:color="auto"/>
              <w:left w:val="nil"/>
              <w:bottom w:val="single" w:sz="8" w:space="0" w:color="auto"/>
              <w:right w:val="single" w:sz="8" w:space="0" w:color="auto"/>
            </w:tcBorders>
            <w:shd w:val="clear" w:color="auto" w:fill="auto"/>
            <w:noWrap/>
            <w:vAlign w:val="bottom"/>
            <w:hideMark/>
          </w:tcPr>
          <w:p w:rsidR="00AF1B8C" w:rsidRPr="004B60D1" w:rsidRDefault="00AF1B8C" w:rsidP="004B60D1">
            <w:pPr>
              <w:jc w:val="center"/>
              <w:rPr>
                <w:color w:val="000000"/>
                <w:sz w:val="18"/>
                <w:szCs w:val="18"/>
              </w:rPr>
            </w:pPr>
            <w:r w:rsidRPr="004B60D1">
              <w:rPr>
                <w:color w:val="000000"/>
                <w:sz w:val="18"/>
                <w:szCs w:val="18"/>
              </w:rPr>
              <w:t>2009</w:t>
            </w:r>
          </w:p>
        </w:tc>
        <w:tc>
          <w:tcPr>
            <w:tcW w:w="847" w:type="dxa"/>
            <w:tcBorders>
              <w:top w:val="single" w:sz="8" w:space="0" w:color="auto"/>
              <w:left w:val="nil"/>
              <w:bottom w:val="single" w:sz="8" w:space="0" w:color="auto"/>
              <w:right w:val="single" w:sz="8" w:space="0" w:color="auto"/>
            </w:tcBorders>
            <w:shd w:val="clear" w:color="auto" w:fill="auto"/>
            <w:noWrap/>
            <w:vAlign w:val="bottom"/>
            <w:hideMark/>
          </w:tcPr>
          <w:p w:rsidR="00AF1B8C" w:rsidRPr="004B60D1" w:rsidRDefault="00AF1B8C" w:rsidP="004B60D1">
            <w:pPr>
              <w:jc w:val="center"/>
              <w:rPr>
                <w:color w:val="000000"/>
                <w:sz w:val="18"/>
                <w:szCs w:val="18"/>
              </w:rPr>
            </w:pPr>
            <w:proofErr w:type="spellStart"/>
            <w:r w:rsidRPr="004B60D1">
              <w:rPr>
                <w:color w:val="000000"/>
                <w:sz w:val="18"/>
                <w:szCs w:val="18"/>
              </w:rPr>
              <w:t>Avg</w:t>
            </w:r>
            <w:proofErr w:type="spellEnd"/>
          </w:p>
        </w:tc>
      </w:tr>
      <w:tr w:rsidR="00AF1B8C" w:rsidRPr="004B60D1" w:rsidTr="00AF1B8C">
        <w:trPr>
          <w:trHeight w:val="363"/>
        </w:trPr>
        <w:tc>
          <w:tcPr>
            <w:tcW w:w="725" w:type="dxa"/>
            <w:tcBorders>
              <w:top w:val="nil"/>
              <w:left w:val="single" w:sz="8" w:space="0" w:color="auto"/>
              <w:bottom w:val="single" w:sz="8" w:space="0" w:color="auto"/>
              <w:right w:val="single" w:sz="8" w:space="0" w:color="auto"/>
            </w:tcBorders>
            <w:shd w:val="clear" w:color="auto" w:fill="auto"/>
            <w:hideMark/>
          </w:tcPr>
          <w:p w:rsidR="00AF1B8C" w:rsidRDefault="00AF1B8C" w:rsidP="004B60D1">
            <w:pPr>
              <w:jc w:val="center"/>
              <w:rPr>
                <w:color w:val="000000"/>
                <w:sz w:val="18"/>
                <w:szCs w:val="18"/>
              </w:rPr>
            </w:pPr>
          </w:p>
          <w:p w:rsidR="00AF1B8C" w:rsidRPr="004B60D1" w:rsidRDefault="00AF1B8C" w:rsidP="004B60D1">
            <w:pPr>
              <w:jc w:val="center"/>
              <w:rPr>
                <w:color w:val="000000"/>
                <w:sz w:val="18"/>
                <w:szCs w:val="18"/>
              </w:rPr>
            </w:pPr>
            <w:r w:rsidRPr="004B60D1">
              <w:rPr>
                <w:color w:val="000000"/>
                <w:sz w:val="18"/>
                <w:szCs w:val="18"/>
              </w:rPr>
              <w:t>1</w:t>
            </w:r>
          </w:p>
        </w:tc>
        <w:tc>
          <w:tcPr>
            <w:tcW w:w="2825" w:type="dxa"/>
            <w:tcBorders>
              <w:top w:val="nil"/>
              <w:left w:val="nil"/>
              <w:bottom w:val="single" w:sz="8" w:space="0" w:color="auto"/>
              <w:right w:val="single" w:sz="8" w:space="0" w:color="auto"/>
            </w:tcBorders>
            <w:shd w:val="clear" w:color="auto" w:fill="auto"/>
            <w:noWrap/>
            <w:vAlign w:val="bottom"/>
            <w:hideMark/>
          </w:tcPr>
          <w:p w:rsidR="00AF1B8C" w:rsidRPr="004B60D1" w:rsidRDefault="00AF1B8C" w:rsidP="004B60D1">
            <w:pPr>
              <w:jc w:val="center"/>
              <w:rPr>
                <w:color w:val="000000"/>
                <w:sz w:val="18"/>
                <w:szCs w:val="18"/>
              </w:rPr>
            </w:pPr>
            <w:r w:rsidRPr="004B60D1">
              <w:rPr>
                <w:color w:val="000000"/>
                <w:sz w:val="18"/>
                <w:szCs w:val="18"/>
              </w:rPr>
              <w:t>Delayed Service</w:t>
            </w:r>
          </w:p>
        </w:tc>
        <w:tc>
          <w:tcPr>
            <w:tcW w:w="847" w:type="dxa"/>
            <w:tcBorders>
              <w:top w:val="nil"/>
              <w:left w:val="nil"/>
              <w:bottom w:val="single" w:sz="8" w:space="0" w:color="auto"/>
              <w:right w:val="single" w:sz="8" w:space="0" w:color="auto"/>
            </w:tcBorders>
            <w:shd w:val="clear" w:color="auto" w:fill="auto"/>
            <w:noWrap/>
            <w:vAlign w:val="bottom"/>
            <w:hideMark/>
          </w:tcPr>
          <w:p w:rsidR="00AF1B8C" w:rsidRPr="004B60D1" w:rsidRDefault="00AF1B8C" w:rsidP="004B60D1">
            <w:pPr>
              <w:jc w:val="center"/>
              <w:rPr>
                <w:color w:val="000000"/>
                <w:sz w:val="18"/>
                <w:szCs w:val="18"/>
              </w:rPr>
            </w:pPr>
            <w:r w:rsidRPr="004B60D1">
              <w:rPr>
                <w:color w:val="000000"/>
                <w:sz w:val="18"/>
                <w:szCs w:val="18"/>
              </w:rPr>
              <w:t>16</w:t>
            </w:r>
          </w:p>
        </w:tc>
        <w:tc>
          <w:tcPr>
            <w:tcW w:w="847" w:type="dxa"/>
            <w:tcBorders>
              <w:top w:val="nil"/>
              <w:left w:val="nil"/>
              <w:bottom w:val="single" w:sz="8" w:space="0" w:color="auto"/>
              <w:right w:val="single" w:sz="8" w:space="0" w:color="auto"/>
            </w:tcBorders>
            <w:shd w:val="clear" w:color="auto" w:fill="auto"/>
            <w:noWrap/>
            <w:vAlign w:val="bottom"/>
            <w:hideMark/>
          </w:tcPr>
          <w:p w:rsidR="00AF1B8C" w:rsidRPr="004B60D1" w:rsidRDefault="00AF1B8C" w:rsidP="004B60D1">
            <w:pPr>
              <w:jc w:val="center"/>
              <w:rPr>
                <w:color w:val="000000"/>
                <w:sz w:val="18"/>
                <w:szCs w:val="18"/>
              </w:rPr>
            </w:pPr>
            <w:r w:rsidRPr="004B60D1">
              <w:rPr>
                <w:color w:val="000000"/>
                <w:sz w:val="18"/>
                <w:szCs w:val="18"/>
              </w:rPr>
              <w:t>13</w:t>
            </w:r>
          </w:p>
        </w:tc>
        <w:tc>
          <w:tcPr>
            <w:tcW w:w="847" w:type="dxa"/>
            <w:tcBorders>
              <w:top w:val="nil"/>
              <w:left w:val="nil"/>
              <w:bottom w:val="single" w:sz="8" w:space="0" w:color="auto"/>
              <w:right w:val="single" w:sz="8" w:space="0" w:color="auto"/>
            </w:tcBorders>
            <w:shd w:val="clear" w:color="auto" w:fill="auto"/>
            <w:noWrap/>
            <w:vAlign w:val="bottom"/>
            <w:hideMark/>
          </w:tcPr>
          <w:p w:rsidR="00AF1B8C" w:rsidRPr="004B60D1" w:rsidRDefault="00AF1B8C" w:rsidP="004B60D1">
            <w:pPr>
              <w:jc w:val="center"/>
              <w:rPr>
                <w:color w:val="000000"/>
                <w:sz w:val="18"/>
                <w:szCs w:val="18"/>
              </w:rPr>
            </w:pPr>
            <w:r w:rsidRPr="004B60D1">
              <w:rPr>
                <w:color w:val="000000"/>
                <w:sz w:val="18"/>
                <w:szCs w:val="18"/>
              </w:rPr>
              <w:t>13</w:t>
            </w:r>
          </w:p>
        </w:tc>
        <w:tc>
          <w:tcPr>
            <w:tcW w:w="847" w:type="dxa"/>
            <w:tcBorders>
              <w:top w:val="nil"/>
              <w:left w:val="nil"/>
              <w:bottom w:val="single" w:sz="8" w:space="0" w:color="auto"/>
              <w:right w:val="single" w:sz="8" w:space="0" w:color="auto"/>
            </w:tcBorders>
            <w:shd w:val="clear" w:color="auto" w:fill="auto"/>
            <w:noWrap/>
            <w:vAlign w:val="bottom"/>
            <w:hideMark/>
          </w:tcPr>
          <w:p w:rsidR="00AF1B8C" w:rsidRPr="004B60D1" w:rsidRDefault="00AF1B8C" w:rsidP="004B60D1">
            <w:pPr>
              <w:jc w:val="center"/>
              <w:rPr>
                <w:color w:val="000000"/>
                <w:sz w:val="18"/>
                <w:szCs w:val="18"/>
              </w:rPr>
            </w:pPr>
            <w:r w:rsidRPr="004B60D1">
              <w:rPr>
                <w:color w:val="000000"/>
                <w:sz w:val="18"/>
                <w:szCs w:val="18"/>
              </w:rPr>
              <w:t>3</w:t>
            </w:r>
          </w:p>
        </w:tc>
        <w:tc>
          <w:tcPr>
            <w:tcW w:w="847" w:type="dxa"/>
            <w:tcBorders>
              <w:top w:val="nil"/>
              <w:left w:val="nil"/>
              <w:bottom w:val="single" w:sz="8" w:space="0" w:color="auto"/>
              <w:right w:val="single" w:sz="8" w:space="0" w:color="auto"/>
            </w:tcBorders>
            <w:shd w:val="clear" w:color="auto" w:fill="auto"/>
            <w:noWrap/>
            <w:vAlign w:val="bottom"/>
            <w:hideMark/>
          </w:tcPr>
          <w:p w:rsidR="00AF1B8C" w:rsidRPr="004B60D1" w:rsidRDefault="00AF1B8C" w:rsidP="004B60D1">
            <w:pPr>
              <w:jc w:val="center"/>
              <w:rPr>
                <w:color w:val="000000"/>
                <w:sz w:val="18"/>
                <w:szCs w:val="18"/>
              </w:rPr>
            </w:pPr>
            <w:r w:rsidRPr="004B60D1">
              <w:rPr>
                <w:color w:val="000000"/>
                <w:sz w:val="18"/>
                <w:szCs w:val="18"/>
              </w:rPr>
              <w:t>4</w:t>
            </w:r>
          </w:p>
        </w:tc>
        <w:tc>
          <w:tcPr>
            <w:tcW w:w="847" w:type="dxa"/>
            <w:tcBorders>
              <w:top w:val="nil"/>
              <w:left w:val="nil"/>
              <w:bottom w:val="single" w:sz="8" w:space="0" w:color="auto"/>
              <w:right w:val="single" w:sz="8" w:space="0" w:color="auto"/>
            </w:tcBorders>
            <w:shd w:val="clear" w:color="auto" w:fill="auto"/>
            <w:noWrap/>
            <w:vAlign w:val="bottom"/>
            <w:hideMark/>
          </w:tcPr>
          <w:p w:rsidR="00AF1B8C" w:rsidRPr="004B60D1" w:rsidRDefault="00AF1B8C" w:rsidP="004B60D1">
            <w:pPr>
              <w:jc w:val="center"/>
              <w:rPr>
                <w:color w:val="000000"/>
                <w:sz w:val="18"/>
                <w:szCs w:val="18"/>
              </w:rPr>
            </w:pPr>
            <w:r w:rsidRPr="004B60D1">
              <w:rPr>
                <w:color w:val="000000"/>
                <w:sz w:val="18"/>
                <w:szCs w:val="18"/>
              </w:rPr>
              <w:t>9.8</w:t>
            </w:r>
          </w:p>
        </w:tc>
      </w:tr>
      <w:tr w:rsidR="00AF1B8C" w:rsidRPr="004B60D1" w:rsidTr="00AF1B8C">
        <w:trPr>
          <w:trHeight w:val="344"/>
        </w:trPr>
        <w:tc>
          <w:tcPr>
            <w:tcW w:w="725" w:type="dxa"/>
            <w:tcBorders>
              <w:top w:val="nil"/>
              <w:left w:val="single" w:sz="8" w:space="0" w:color="auto"/>
              <w:bottom w:val="single" w:sz="8" w:space="0" w:color="auto"/>
              <w:right w:val="single" w:sz="8" w:space="0" w:color="auto"/>
            </w:tcBorders>
            <w:shd w:val="clear" w:color="auto" w:fill="auto"/>
            <w:hideMark/>
          </w:tcPr>
          <w:p w:rsidR="00AF1B8C" w:rsidRDefault="00AF1B8C" w:rsidP="004B60D1">
            <w:pPr>
              <w:jc w:val="center"/>
              <w:rPr>
                <w:color w:val="000000"/>
                <w:sz w:val="18"/>
                <w:szCs w:val="18"/>
              </w:rPr>
            </w:pPr>
          </w:p>
          <w:p w:rsidR="00AF1B8C" w:rsidRPr="004B60D1" w:rsidRDefault="00AF1B8C" w:rsidP="004B60D1">
            <w:pPr>
              <w:jc w:val="center"/>
              <w:rPr>
                <w:color w:val="000000"/>
                <w:sz w:val="18"/>
                <w:szCs w:val="18"/>
              </w:rPr>
            </w:pPr>
            <w:r w:rsidRPr="004B60D1">
              <w:rPr>
                <w:color w:val="000000"/>
                <w:sz w:val="18"/>
                <w:szCs w:val="18"/>
              </w:rPr>
              <w:t>2</w:t>
            </w:r>
          </w:p>
        </w:tc>
        <w:tc>
          <w:tcPr>
            <w:tcW w:w="2825" w:type="dxa"/>
            <w:tcBorders>
              <w:top w:val="nil"/>
              <w:left w:val="nil"/>
              <w:bottom w:val="single" w:sz="8" w:space="0" w:color="auto"/>
              <w:right w:val="single" w:sz="8" w:space="0" w:color="auto"/>
            </w:tcBorders>
            <w:shd w:val="clear" w:color="auto" w:fill="auto"/>
            <w:noWrap/>
            <w:vAlign w:val="bottom"/>
            <w:hideMark/>
          </w:tcPr>
          <w:p w:rsidR="00AF1B8C" w:rsidRPr="004B60D1" w:rsidRDefault="00AF1B8C" w:rsidP="004B60D1">
            <w:pPr>
              <w:jc w:val="center"/>
              <w:rPr>
                <w:color w:val="000000"/>
                <w:sz w:val="18"/>
                <w:szCs w:val="18"/>
              </w:rPr>
            </w:pPr>
            <w:r w:rsidRPr="004B60D1">
              <w:rPr>
                <w:color w:val="000000"/>
                <w:sz w:val="18"/>
                <w:szCs w:val="18"/>
              </w:rPr>
              <w:t>Network Congestion</w:t>
            </w:r>
          </w:p>
        </w:tc>
        <w:tc>
          <w:tcPr>
            <w:tcW w:w="847" w:type="dxa"/>
            <w:tcBorders>
              <w:top w:val="nil"/>
              <w:left w:val="nil"/>
              <w:bottom w:val="single" w:sz="8" w:space="0" w:color="auto"/>
              <w:right w:val="single" w:sz="8" w:space="0" w:color="auto"/>
            </w:tcBorders>
            <w:shd w:val="clear" w:color="auto" w:fill="auto"/>
            <w:noWrap/>
            <w:vAlign w:val="bottom"/>
            <w:hideMark/>
          </w:tcPr>
          <w:p w:rsidR="00AF1B8C" w:rsidRPr="004B60D1" w:rsidRDefault="00AF1B8C" w:rsidP="004B60D1">
            <w:pPr>
              <w:jc w:val="center"/>
              <w:rPr>
                <w:color w:val="000000"/>
                <w:sz w:val="18"/>
                <w:szCs w:val="18"/>
              </w:rPr>
            </w:pPr>
            <w:r w:rsidRPr="004B60D1">
              <w:rPr>
                <w:color w:val="000000"/>
                <w:sz w:val="18"/>
                <w:szCs w:val="18"/>
              </w:rPr>
              <w:t>0</w:t>
            </w:r>
          </w:p>
        </w:tc>
        <w:tc>
          <w:tcPr>
            <w:tcW w:w="847" w:type="dxa"/>
            <w:tcBorders>
              <w:top w:val="nil"/>
              <w:left w:val="nil"/>
              <w:bottom w:val="single" w:sz="8" w:space="0" w:color="auto"/>
              <w:right w:val="single" w:sz="8" w:space="0" w:color="auto"/>
            </w:tcBorders>
            <w:shd w:val="clear" w:color="auto" w:fill="auto"/>
            <w:noWrap/>
            <w:vAlign w:val="bottom"/>
            <w:hideMark/>
          </w:tcPr>
          <w:p w:rsidR="00AF1B8C" w:rsidRPr="004B60D1" w:rsidRDefault="00AF1B8C" w:rsidP="004B60D1">
            <w:pPr>
              <w:jc w:val="center"/>
              <w:rPr>
                <w:color w:val="000000"/>
                <w:sz w:val="18"/>
                <w:szCs w:val="18"/>
              </w:rPr>
            </w:pPr>
            <w:r w:rsidRPr="004B60D1">
              <w:rPr>
                <w:color w:val="000000"/>
                <w:sz w:val="18"/>
                <w:szCs w:val="18"/>
              </w:rPr>
              <w:t>0</w:t>
            </w:r>
          </w:p>
        </w:tc>
        <w:tc>
          <w:tcPr>
            <w:tcW w:w="847" w:type="dxa"/>
            <w:tcBorders>
              <w:top w:val="nil"/>
              <w:left w:val="nil"/>
              <w:bottom w:val="single" w:sz="8" w:space="0" w:color="auto"/>
              <w:right w:val="single" w:sz="8" w:space="0" w:color="auto"/>
            </w:tcBorders>
            <w:shd w:val="clear" w:color="auto" w:fill="auto"/>
            <w:noWrap/>
            <w:vAlign w:val="bottom"/>
            <w:hideMark/>
          </w:tcPr>
          <w:p w:rsidR="00AF1B8C" w:rsidRPr="004B60D1" w:rsidRDefault="00AF1B8C" w:rsidP="004B60D1">
            <w:pPr>
              <w:jc w:val="center"/>
              <w:rPr>
                <w:color w:val="000000"/>
                <w:sz w:val="18"/>
                <w:szCs w:val="18"/>
              </w:rPr>
            </w:pPr>
            <w:r w:rsidRPr="004B60D1">
              <w:rPr>
                <w:color w:val="000000"/>
                <w:sz w:val="18"/>
                <w:szCs w:val="18"/>
              </w:rPr>
              <w:t>0</w:t>
            </w:r>
          </w:p>
        </w:tc>
        <w:tc>
          <w:tcPr>
            <w:tcW w:w="847" w:type="dxa"/>
            <w:tcBorders>
              <w:top w:val="nil"/>
              <w:left w:val="nil"/>
              <w:bottom w:val="single" w:sz="8" w:space="0" w:color="auto"/>
              <w:right w:val="single" w:sz="8" w:space="0" w:color="auto"/>
            </w:tcBorders>
            <w:shd w:val="clear" w:color="auto" w:fill="auto"/>
            <w:noWrap/>
            <w:vAlign w:val="bottom"/>
            <w:hideMark/>
          </w:tcPr>
          <w:p w:rsidR="00AF1B8C" w:rsidRPr="004B60D1" w:rsidRDefault="00AF1B8C" w:rsidP="004B60D1">
            <w:pPr>
              <w:jc w:val="center"/>
              <w:rPr>
                <w:color w:val="000000"/>
                <w:sz w:val="18"/>
                <w:szCs w:val="18"/>
              </w:rPr>
            </w:pPr>
            <w:r w:rsidRPr="004B60D1">
              <w:rPr>
                <w:color w:val="000000"/>
                <w:sz w:val="18"/>
                <w:szCs w:val="18"/>
              </w:rPr>
              <w:t>0</w:t>
            </w:r>
          </w:p>
        </w:tc>
        <w:tc>
          <w:tcPr>
            <w:tcW w:w="847" w:type="dxa"/>
            <w:tcBorders>
              <w:top w:val="nil"/>
              <w:left w:val="nil"/>
              <w:bottom w:val="single" w:sz="8" w:space="0" w:color="auto"/>
              <w:right w:val="single" w:sz="8" w:space="0" w:color="auto"/>
            </w:tcBorders>
            <w:shd w:val="clear" w:color="auto" w:fill="auto"/>
            <w:noWrap/>
            <w:vAlign w:val="bottom"/>
            <w:hideMark/>
          </w:tcPr>
          <w:p w:rsidR="00AF1B8C" w:rsidRPr="004B60D1" w:rsidRDefault="00AF1B8C" w:rsidP="004B60D1">
            <w:pPr>
              <w:jc w:val="center"/>
              <w:rPr>
                <w:color w:val="000000"/>
                <w:sz w:val="18"/>
                <w:szCs w:val="18"/>
              </w:rPr>
            </w:pPr>
            <w:r w:rsidRPr="004B60D1">
              <w:rPr>
                <w:color w:val="000000"/>
                <w:sz w:val="18"/>
                <w:szCs w:val="18"/>
              </w:rPr>
              <w:t>0</w:t>
            </w:r>
          </w:p>
        </w:tc>
        <w:tc>
          <w:tcPr>
            <w:tcW w:w="847" w:type="dxa"/>
            <w:tcBorders>
              <w:top w:val="nil"/>
              <w:left w:val="nil"/>
              <w:bottom w:val="single" w:sz="8" w:space="0" w:color="auto"/>
              <w:right w:val="single" w:sz="8" w:space="0" w:color="auto"/>
            </w:tcBorders>
            <w:shd w:val="clear" w:color="auto" w:fill="auto"/>
            <w:noWrap/>
            <w:vAlign w:val="bottom"/>
            <w:hideMark/>
          </w:tcPr>
          <w:p w:rsidR="00AF1B8C" w:rsidRPr="004B60D1" w:rsidRDefault="00AF1B8C" w:rsidP="004B60D1">
            <w:pPr>
              <w:jc w:val="center"/>
              <w:rPr>
                <w:color w:val="000000"/>
                <w:sz w:val="18"/>
                <w:szCs w:val="18"/>
              </w:rPr>
            </w:pPr>
            <w:r w:rsidRPr="004B60D1">
              <w:rPr>
                <w:color w:val="000000"/>
                <w:sz w:val="18"/>
                <w:szCs w:val="18"/>
              </w:rPr>
              <w:t>0</w:t>
            </w:r>
          </w:p>
        </w:tc>
      </w:tr>
      <w:tr w:rsidR="00AF1B8C" w:rsidRPr="004B60D1" w:rsidTr="00AF1B8C">
        <w:trPr>
          <w:trHeight w:val="299"/>
        </w:trPr>
        <w:tc>
          <w:tcPr>
            <w:tcW w:w="725" w:type="dxa"/>
            <w:tcBorders>
              <w:top w:val="nil"/>
              <w:left w:val="single" w:sz="8" w:space="0" w:color="auto"/>
              <w:bottom w:val="single" w:sz="8" w:space="0" w:color="auto"/>
              <w:right w:val="single" w:sz="8" w:space="0" w:color="auto"/>
            </w:tcBorders>
            <w:shd w:val="clear" w:color="auto" w:fill="auto"/>
            <w:hideMark/>
          </w:tcPr>
          <w:p w:rsidR="00AF1B8C" w:rsidRDefault="00AF1B8C" w:rsidP="004B60D1">
            <w:pPr>
              <w:jc w:val="center"/>
              <w:rPr>
                <w:color w:val="000000"/>
                <w:sz w:val="18"/>
                <w:szCs w:val="18"/>
              </w:rPr>
            </w:pPr>
          </w:p>
          <w:p w:rsidR="00AF1B8C" w:rsidRPr="004B60D1" w:rsidRDefault="00AF1B8C" w:rsidP="004B60D1">
            <w:pPr>
              <w:jc w:val="center"/>
              <w:rPr>
                <w:color w:val="000000"/>
                <w:sz w:val="18"/>
                <w:szCs w:val="18"/>
              </w:rPr>
            </w:pPr>
            <w:r w:rsidRPr="004B60D1">
              <w:rPr>
                <w:color w:val="000000"/>
                <w:sz w:val="18"/>
                <w:szCs w:val="18"/>
              </w:rPr>
              <w:t>3</w:t>
            </w:r>
          </w:p>
        </w:tc>
        <w:tc>
          <w:tcPr>
            <w:tcW w:w="2825" w:type="dxa"/>
            <w:tcBorders>
              <w:top w:val="nil"/>
              <w:left w:val="nil"/>
              <w:bottom w:val="single" w:sz="8" w:space="0" w:color="auto"/>
              <w:right w:val="single" w:sz="8" w:space="0" w:color="auto"/>
            </w:tcBorders>
            <w:shd w:val="clear" w:color="auto" w:fill="auto"/>
            <w:noWrap/>
            <w:vAlign w:val="bottom"/>
            <w:hideMark/>
          </w:tcPr>
          <w:p w:rsidR="00AF1B8C" w:rsidRPr="004B60D1" w:rsidRDefault="00AF1B8C" w:rsidP="004B60D1">
            <w:pPr>
              <w:jc w:val="center"/>
              <w:rPr>
                <w:color w:val="000000"/>
                <w:sz w:val="18"/>
                <w:szCs w:val="18"/>
              </w:rPr>
            </w:pPr>
            <w:r w:rsidRPr="004B60D1">
              <w:rPr>
                <w:color w:val="000000"/>
                <w:sz w:val="18"/>
                <w:szCs w:val="18"/>
              </w:rPr>
              <w:t>Quality of Service</w:t>
            </w:r>
          </w:p>
        </w:tc>
        <w:tc>
          <w:tcPr>
            <w:tcW w:w="847" w:type="dxa"/>
            <w:tcBorders>
              <w:top w:val="nil"/>
              <w:left w:val="nil"/>
              <w:bottom w:val="single" w:sz="8" w:space="0" w:color="auto"/>
              <w:right w:val="single" w:sz="8" w:space="0" w:color="auto"/>
            </w:tcBorders>
            <w:shd w:val="clear" w:color="auto" w:fill="auto"/>
            <w:noWrap/>
            <w:vAlign w:val="bottom"/>
            <w:hideMark/>
          </w:tcPr>
          <w:p w:rsidR="00AF1B8C" w:rsidRPr="004B60D1" w:rsidRDefault="00AF1B8C" w:rsidP="004B60D1">
            <w:pPr>
              <w:jc w:val="center"/>
              <w:rPr>
                <w:color w:val="000000"/>
                <w:sz w:val="18"/>
                <w:szCs w:val="18"/>
              </w:rPr>
            </w:pPr>
            <w:r w:rsidRPr="004B60D1">
              <w:rPr>
                <w:color w:val="000000"/>
                <w:sz w:val="18"/>
                <w:szCs w:val="18"/>
              </w:rPr>
              <w:t>22</w:t>
            </w:r>
          </w:p>
        </w:tc>
        <w:tc>
          <w:tcPr>
            <w:tcW w:w="847" w:type="dxa"/>
            <w:tcBorders>
              <w:top w:val="nil"/>
              <w:left w:val="nil"/>
              <w:bottom w:val="single" w:sz="8" w:space="0" w:color="auto"/>
              <w:right w:val="single" w:sz="8" w:space="0" w:color="auto"/>
            </w:tcBorders>
            <w:shd w:val="clear" w:color="auto" w:fill="auto"/>
            <w:noWrap/>
            <w:vAlign w:val="bottom"/>
            <w:hideMark/>
          </w:tcPr>
          <w:p w:rsidR="00AF1B8C" w:rsidRPr="004B60D1" w:rsidRDefault="00AF1B8C" w:rsidP="004B60D1">
            <w:pPr>
              <w:jc w:val="center"/>
              <w:rPr>
                <w:color w:val="000000"/>
                <w:sz w:val="18"/>
                <w:szCs w:val="18"/>
              </w:rPr>
            </w:pPr>
            <w:r w:rsidRPr="004B60D1">
              <w:rPr>
                <w:color w:val="000000"/>
                <w:sz w:val="18"/>
                <w:szCs w:val="18"/>
              </w:rPr>
              <w:t>15</w:t>
            </w:r>
          </w:p>
        </w:tc>
        <w:tc>
          <w:tcPr>
            <w:tcW w:w="847" w:type="dxa"/>
            <w:tcBorders>
              <w:top w:val="nil"/>
              <w:left w:val="nil"/>
              <w:bottom w:val="single" w:sz="8" w:space="0" w:color="auto"/>
              <w:right w:val="single" w:sz="8" w:space="0" w:color="auto"/>
            </w:tcBorders>
            <w:shd w:val="clear" w:color="auto" w:fill="auto"/>
            <w:noWrap/>
            <w:vAlign w:val="bottom"/>
            <w:hideMark/>
          </w:tcPr>
          <w:p w:rsidR="00AF1B8C" w:rsidRPr="004B60D1" w:rsidRDefault="00AF1B8C" w:rsidP="004B60D1">
            <w:pPr>
              <w:jc w:val="center"/>
              <w:rPr>
                <w:color w:val="000000"/>
                <w:sz w:val="18"/>
                <w:szCs w:val="18"/>
              </w:rPr>
            </w:pPr>
            <w:r w:rsidRPr="004B60D1">
              <w:rPr>
                <w:color w:val="000000"/>
                <w:sz w:val="18"/>
                <w:szCs w:val="18"/>
              </w:rPr>
              <w:t>16</w:t>
            </w:r>
          </w:p>
        </w:tc>
        <w:tc>
          <w:tcPr>
            <w:tcW w:w="847" w:type="dxa"/>
            <w:tcBorders>
              <w:top w:val="nil"/>
              <w:left w:val="nil"/>
              <w:bottom w:val="single" w:sz="8" w:space="0" w:color="auto"/>
              <w:right w:val="single" w:sz="8" w:space="0" w:color="auto"/>
            </w:tcBorders>
            <w:shd w:val="clear" w:color="auto" w:fill="auto"/>
            <w:noWrap/>
            <w:vAlign w:val="bottom"/>
            <w:hideMark/>
          </w:tcPr>
          <w:p w:rsidR="00AF1B8C" w:rsidRPr="004B60D1" w:rsidRDefault="00AF1B8C" w:rsidP="004B60D1">
            <w:pPr>
              <w:jc w:val="center"/>
              <w:rPr>
                <w:color w:val="000000"/>
                <w:sz w:val="18"/>
                <w:szCs w:val="18"/>
              </w:rPr>
            </w:pPr>
            <w:r w:rsidRPr="004B60D1">
              <w:rPr>
                <w:color w:val="000000"/>
                <w:sz w:val="18"/>
                <w:szCs w:val="18"/>
              </w:rPr>
              <w:t>16</w:t>
            </w:r>
          </w:p>
        </w:tc>
        <w:tc>
          <w:tcPr>
            <w:tcW w:w="847" w:type="dxa"/>
            <w:tcBorders>
              <w:top w:val="nil"/>
              <w:left w:val="nil"/>
              <w:bottom w:val="single" w:sz="8" w:space="0" w:color="auto"/>
              <w:right w:val="single" w:sz="8" w:space="0" w:color="auto"/>
            </w:tcBorders>
            <w:shd w:val="clear" w:color="auto" w:fill="auto"/>
            <w:noWrap/>
            <w:vAlign w:val="bottom"/>
            <w:hideMark/>
          </w:tcPr>
          <w:p w:rsidR="00AF1B8C" w:rsidRPr="004B60D1" w:rsidRDefault="00AF1B8C" w:rsidP="004B60D1">
            <w:pPr>
              <w:jc w:val="center"/>
              <w:rPr>
                <w:color w:val="000000"/>
                <w:sz w:val="18"/>
                <w:szCs w:val="18"/>
              </w:rPr>
            </w:pPr>
            <w:r w:rsidRPr="004B60D1">
              <w:rPr>
                <w:color w:val="000000"/>
                <w:sz w:val="18"/>
                <w:szCs w:val="18"/>
              </w:rPr>
              <w:t>1</w:t>
            </w:r>
          </w:p>
        </w:tc>
        <w:tc>
          <w:tcPr>
            <w:tcW w:w="847" w:type="dxa"/>
            <w:tcBorders>
              <w:top w:val="nil"/>
              <w:left w:val="nil"/>
              <w:bottom w:val="single" w:sz="8" w:space="0" w:color="auto"/>
              <w:right w:val="single" w:sz="8" w:space="0" w:color="auto"/>
            </w:tcBorders>
            <w:shd w:val="clear" w:color="auto" w:fill="auto"/>
            <w:noWrap/>
            <w:vAlign w:val="bottom"/>
            <w:hideMark/>
          </w:tcPr>
          <w:p w:rsidR="00AF1B8C" w:rsidRPr="004B60D1" w:rsidRDefault="00AF1B8C" w:rsidP="004B60D1">
            <w:pPr>
              <w:jc w:val="center"/>
              <w:rPr>
                <w:color w:val="000000"/>
                <w:sz w:val="18"/>
                <w:szCs w:val="18"/>
              </w:rPr>
            </w:pPr>
            <w:r w:rsidRPr="004B60D1">
              <w:rPr>
                <w:color w:val="000000"/>
                <w:sz w:val="18"/>
                <w:szCs w:val="18"/>
              </w:rPr>
              <w:t>14</w:t>
            </w:r>
          </w:p>
        </w:tc>
      </w:tr>
      <w:tr w:rsidR="00AF1B8C" w:rsidRPr="004B60D1" w:rsidTr="00AF1B8C">
        <w:trPr>
          <w:trHeight w:val="363"/>
        </w:trPr>
        <w:tc>
          <w:tcPr>
            <w:tcW w:w="725" w:type="dxa"/>
            <w:tcBorders>
              <w:top w:val="nil"/>
              <w:left w:val="single" w:sz="8" w:space="0" w:color="auto"/>
              <w:bottom w:val="single" w:sz="8" w:space="0" w:color="auto"/>
              <w:right w:val="single" w:sz="8" w:space="0" w:color="auto"/>
            </w:tcBorders>
            <w:shd w:val="clear" w:color="auto" w:fill="auto"/>
            <w:hideMark/>
          </w:tcPr>
          <w:p w:rsidR="00AF1B8C" w:rsidRPr="004B60D1" w:rsidRDefault="00AF1B8C" w:rsidP="004B60D1">
            <w:pPr>
              <w:jc w:val="center"/>
              <w:rPr>
                <w:color w:val="000000"/>
                <w:sz w:val="18"/>
                <w:szCs w:val="18"/>
              </w:rPr>
            </w:pPr>
            <w:r w:rsidRPr="004B60D1">
              <w:rPr>
                <w:color w:val="000000"/>
                <w:sz w:val="18"/>
                <w:szCs w:val="18"/>
              </w:rPr>
              <w:t>4</w:t>
            </w:r>
          </w:p>
        </w:tc>
        <w:tc>
          <w:tcPr>
            <w:tcW w:w="2825" w:type="dxa"/>
            <w:tcBorders>
              <w:top w:val="nil"/>
              <w:left w:val="nil"/>
              <w:bottom w:val="single" w:sz="8" w:space="0" w:color="auto"/>
              <w:right w:val="single" w:sz="8" w:space="0" w:color="auto"/>
            </w:tcBorders>
            <w:shd w:val="clear" w:color="auto" w:fill="auto"/>
            <w:vAlign w:val="bottom"/>
            <w:hideMark/>
          </w:tcPr>
          <w:p w:rsidR="00AF1B8C" w:rsidRPr="004B60D1" w:rsidRDefault="00AF1B8C" w:rsidP="004B60D1">
            <w:pPr>
              <w:jc w:val="center"/>
              <w:rPr>
                <w:color w:val="000000"/>
                <w:sz w:val="18"/>
                <w:szCs w:val="18"/>
              </w:rPr>
            </w:pPr>
            <w:r w:rsidRPr="004B60D1">
              <w:rPr>
                <w:color w:val="000000"/>
                <w:sz w:val="18"/>
                <w:szCs w:val="18"/>
              </w:rPr>
              <w:t>Total Number of Service Quality Complaints</w:t>
            </w:r>
          </w:p>
        </w:tc>
        <w:tc>
          <w:tcPr>
            <w:tcW w:w="847" w:type="dxa"/>
            <w:tcBorders>
              <w:top w:val="nil"/>
              <w:left w:val="nil"/>
              <w:bottom w:val="single" w:sz="8" w:space="0" w:color="auto"/>
              <w:right w:val="single" w:sz="8" w:space="0" w:color="auto"/>
            </w:tcBorders>
            <w:shd w:val="clear" w:color="auto" w:fill="auto"/>
            <w:noWrap/>
            <w:vAlign w:val="bottom"/>
            <w:hideMark/>
          </w:tcPr>
          <w:p w:rsidR="00AF1B8C" w:rsidRPr="004B60D1" w:rsidRDefault="00AF1B8C" w:rsidP="004B60D1">
            <w:pPr>
              <w:jc w:val="center"/>
              <w:rPr>
                <w:color w:val="000000"/>
                <w:sz w:val="18"/>
                <w:szCs w:val="18"/>
              </w:rPr>
            </w:pPr>
            <w:r w:rsidRPr="004B60D1">
              <w:rPr>
                <w:color w:val="000000"/>
                <w:sz w:val="18"/>
                <w:szCs w:val="18"/>
              </w:rPr>
              <w:t>38</w:t>
            </w:r>
          </w:p>
        </w:tc>
        <w:tc>
          <w:tcPr>
            <w:tcW w:w="847" w:type="dxa"/>
            <w:tcBorders>
              <w:top w:val="nil"/>
              <w:left w:val="nil"/>
              <w:bottom w:val="single" w:sz="8" w:space="0" w:color="auto"/>
              <w:right w:val="single" w:sz="8" w:space="0" w:color="auto"/>
            </w:tcBorders>
            <w:shd w:val="clear" w:color="auto" w:fill="auto"/>
            <w:noWrap/>
            <w:vAlign w:val="bottom"/>
            <w:hideMark/>
          </w:tcPr>
          <w:p w:rsidR="00AF1B8C" w:rsidRPr="004B60D1" w:rsidRDefault="00AF1B8C" w:rsidP="004B60D1">
            <w:pPr>
              <w:jc w:val="center"/>
              <w:rPr>
                <w:color w:val="000000"/>
                <w:sz w:val="18"/>
                <w:szCs w:val="18"/>
              </w:rPr>
            </w:pPr>
            <w:r w:rsidRPr="004B60D1">
              <w:rPr>
                <w:color w:val="000000"/>
                <w:sz w:val="18"/>
                <w:szCs w:val="18"/>
              </w:rPr>
              <w:t>28</w:t>
            </w:r>
          </w:p>
        </w:tc>
        <w:tc>
          <w:tcPr>
            <w:tcW w:w="847" w:type="dxa"/>
            <w:tcBorders>
              <w:top w:val="nil"/>
              <w:left w:val="nil"/>
              <w:bottom w:val="single" w:sz="8" w:space="0" w:color="auto"/>
              <w:right w:val="single" w:sz="8" w:space="0" w:color="auto"/>
            </w:tcBorders>
            <w:shd w:val="clear" w:color="auto" w:fill="auto"/>
            <w:noWrap/>
            <w:vAlign w:val="bottom"/>
            <w:hideMark/>
          </w:tcPr>
          <w:p w:rsidR="00AF1B8C" w:rsidRPr="004B60D1" w:rsidRDefault="00AF1B8C" w:rsidP="004B60D1">
            <w:pPr>
              <w:jc w:val="center"/>
              <w:rPr>
                <w:color w:val="000000"/>
                <w:sz w:val="18"/>
                <w:szCs w:val="18"/>
              </w:rPr>
            </w:pPr>
            <w:r w:rsidRPr="004B60D1">
              <w:rPr>
                <w:color w:val="000000"/>
                <w:sz w:val="18"/>
                <w:szCs w:val="18"/>
              </w:rPr>
              <w:t>29</w:t>
            </w:r>
          </w:p>
        </w:tc>
        <w:tc>
          <w:tcPr>
            <w:tcW w:w="847" w:type="dxa"/>
            <w:tcBorders>
              <w:top w:val="nil"/>
              <w:left w:val="nil"/>
              <w:bottom w:val="single" w:sz="8" w:space="0" w:color="auto"/>
              <w:right w:val="single" w:sz="8" w:space="0" w:color="auto"/>
            </w:tcBorders>
            <w:shd w:val="clear" w:color="auto" w:fill="auto"/>
            <w:noWrap/>
            <w:vAlign w:val="bottom"/>
            <w:hideMark/>
          </w:tcPr>
          <w:p w:rsidR="00AF1B8C" w:rsidRPr="004B60D1" w:rsidRDefault="00AF1B8C" w:rsidP="004B60D1">
            <w:pPr>
              <w:jc w:val="center"/>
              <w:rPr>
                <w:color w:val="000000"/>
                <w:sz w:val="18"/>
                <w:szCs w:val="18"/>
              </w:rPr>
            </w:pPr>
            <w:r w:rsidRPr="004B60D1">
              <w:rPr>
                <w:color w:val="000000"/>
                <w:sz w:val="18"/>
                <w:szCs w:val="18"/>
              </w:rPr>
              <w:t>19</w:t>
            </w:r>
          </w:p>
        </w:tc>
        <w:tc>
          <w:tcPr>
            <w:tcW w:w="847" w:type="dxa"/>
            <w:tcBorders>
              <w:top w:val="nil"/>
              <w:left w:val="nil"/>
              <w:bottom w:val="single" w:sz="8" w:space="0" w:color="auto"/>
              <w:right w:val="single" w:sz="8" w:space="0" w:color="auto"/>
            </w:tcBorders>
            <w:shd w:val="clear" w:color="auto" w:fill="auto"/>
            <w:noWrap/>
            <w:vAlign w:val="bottom"/>
            <w:hideMark/>
          </w:tcPr>
          <w:p w:rsidR="00AF1B8C" w:rsidRPr="004B60D1" w:rsidRDefault="00AF1B8C" w:rsidP="004B60D1">
            <w:pPr>
              <w:jc w:val="center"/>
              <w:rPr>
                <w:color w:val="000000"/>
                <w:sz w:val="18"/>
                <w:szCs w:val="18"/>
              </w:rPr>
            </w:pPr>
            <w:r w:rsidRPr="004B60D1">
              <w:rPr>
                <w:color w:val="000000"/>
                <w:sz w:val="18"/>
                <w:szCs w:val="18"/>
              </w:rPr>
              <w:t>5</w:t>
            </w:r>
          </w:p>
        </w:tc>
        <w:tc>
          <w:tcPr>
            <w:tcW w:w="847" w:type="dxa"/>
            <w:tcBorders>
              <w:top w:val="nil"/>
              <w:left w:val="nil"/>
              <w:bottom w:val="single" w:sz="8" w:space="0" w:color="auto"/>
              <w:right w:val="single" w:sz="8" w:space="0" w:color="auto"/>
            </w:tcBorders>
            <w:shd w:val="clear" w:color="auto" w:fill="auto"/>
            <w:noWrap/>
            <w:vAlign w:val="bottom"/>
            <w:hideMark/>
          </w:tcPr>
          <w:p w:rsidR="00AF1B8C" w:rsidRPr="004B60D1" w:rsidRDefault="00AF1B8C" w:rsidP="004B60D1">
            <w:pPr>
              <w:jc w:val="center"/>
              <w:rPr>
                <w:color w:val="000000"/>
                <w:sz w:val="18"/>
                <w:szCs w:val="18"/>
              </w:rPr>
            </w:pPr>
            <w:r w:rsidRPr="004B60D1">
              <w:rPr>
                <w:color w:val="000000"/>
                <w:sz w:val="18"/>
                <w:szCs w:val="18"/>
              </w:rPr>
              <w:t>23.8</w:t>
            </w:r>
          </w:p>
        </w:tc>
      </w:tr>
      <w:tr w:rsidR="00AF1B8C" w:rsidRPr="004B60D1" w:rsidTr="00AF1B8C">
        <w:trPr>
          <w:trHeight w:val="329"/>
        </w:trPr>
        <w:tc>
          <w:tcPr>
            <w:tcW w:w="725" w:type="dxa"/>
            <w:tcBorders>
              <w:top w:val="nil"/>
              <w:left w:val="single" w:sz="8" w:space="0" w:color="auto"/>
              <w:bottom w:val="nil"/>
              <w:right w:val="single" w:sz="8" w:space="0" w:color="auto"/>
            </w:tcBorders>
            <w:shd w:val="clear" w:color="auto" w:fill="auto"/>
            <w:hideMark/>
          </w:tcPr>
          <w:p w:rsidR="00AF1B8C" w:rsidRPr="004B60D1" w:rsidRDefault="00AF1B8C" w:rsidP="004B60D1">
            <w:pPr>
              <w:jc w:val="center"/>
              <w:rPr>
                <w:color w:val="000000"/>
                <w:sz w:val="18"/>
                <w:szCs w:val="18"/>
              </w:rPr>
            </w:pPr>
            <w:r w:rsidRPr="004B60D1">
              <w:rPr>
                <w:color w:val="000000"/>
                <w:sz w:val="18"/>
                <w:szCs w:val="18"/>
              </w:rPr>
              <w:t> </w:t>
            </w:r>
          </w:p>
        </w:tc>
        <w:tc>
          <w:tcPr>
            <w:tcW w:w="2825" w:type="dxa"/>
            <w:vMerge w:val="restart"/>
            <w:tcBorders>
              <w:top w:val="nil"/>
              <w:left w:val="single" w:sz="8" w:space="0" w:color="auto"/>
              <w:bottom w:val="single" w:sz="8" w:space="0" w:color="000000"/>
              <w:right w:val="single" w:sz="8" w:space="0" w:color="auto"/>
            </w:tcBorders>
            <w:shd w:val="clear" w:color="auto" w:fill="auto"/>
            <w:vAlign w:val="bottom"/>
            <w:hideMark/>
          </w:tcPr>
          <w:p w:rsidR="00AF1B8C" w:rsidRPr="004B60D1" w:rsidRDefault="00AF1B8C" w:rsidP="004B60D1">
            <w:pPr>
              <w:jc w:val="center"/>
              <w:rPr>
                <w:color w:val="000000"/>
                <w:sz w:val="18"/>
                <w:szCs w:val="18"/>
              </w:rPr>
            </w:pPr>
            <w:r w:rsidRPr="004B60D1">
              <w:rPr>
                <w:color w:val="000000"/>
                <w:sz w:val="18"/>
                <w:szCs w:val="18"/>
              </w:rPr>
              <w:t>Total Number of Complaints</w:t>
            </w:r>
          </w:p>
        </w:tc>
        <w:tc>
          <w:tcPr>
            <w:tcW w:w="847" w:type="dxa"/>
            <w:tcBorders>
              <w:top w:val="nil"/>
              <w:left w:val="nil"/>
              <w:bottom w:val="nil"/>
              <w:right w:val="single" w:sz="8" w:space="0" w:color="auto"/>
            </w:tcBorders>
            <w:shd w:val="clear" w:color="auto" w:fill="auto"/>
            <w:vAlign w:val="bottom"/>
            <w:hideMark/>
          </w:tcPr>
          <w:p w:rsidR="00AF1B8C" w:rsidRPr="004B60D1" w:rsidRDefault="00AF1B8C" w:rsidP="004B60D1">
            <w:pPr>
              <w:jc w:val="center"/>
              <w:rPr>
                <w:color w:val="000000"/>
                <w:sz w:val="18"/>
                <w:szCs w:val="18"/>
              </w:rPr>
            </w:pPr>
            <w:r w:rsidRPr="004B60D1">
              <w:rPr>
                <w:color w:val="000000"/>
                <w:sz w:val="18"/>
                <w:szCs w:val="18"/>
              </w:rPr>
              <w:t> </w:t>
            </w:r>
          </w:p>
        </w:tc>
        <w:tc>
          <w:tcPr>
            <w:tcW w:w="84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AF1B8C" w:rsidRPr="004B60D1" w:rsidRDefault="00AF1B8C" w:rsidP="004B60D1">
            <w:pPr>
              <w:jc w:val="center"/>
              <w:rPr>
                <w:color w:val="000000"/>
                <w:sz w:val="18"/>
                <w:szCs w:val="18"/>
              </w:rPr>
            </w:pPr>
            <w:r w:rsidRPr="004B60D1">
              <w:rPr>
                <w:color w:val="000000"/>
                <w:sz w:val="18"/>
                <w:szCs w:val="18"/>
              </w:rPr>
              <w:t>111</w:t>
            </w:r>
          </w:p>
        </w:tc>
        <w:tc>
          <w:tcPr>
            <w:tcW w:w="84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AF1B8C" w:rsidRPr="004B60D1" w:rsidRDefault="00AF1B8C" w:rsidP="004B60D1">
            <w:pPr>
              <w:jc w:val="center"/>
              <w:rPr>
                <w:color w:val="000000"/>
                <w:sz w:val="18"/>
                <w:szCs w:val="18"/>
              </w:rPr>
            </w:pPr>
            <w:r w:rsidRPr="004B60D1">
              <w:rPr>
                <w:color w:val="000000"/>
                <w:sz w:val="18"/>
                <w:szCs w:val="18"/>
              </w:rPr>
              <w:t>85</w:t>
            </w:r>
          </w:p>
        </w:tc>
        <w:tc>
          <w:tcPr>
            <w:tcW w:w="84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AF1B8C" w:rsidRPr="004B60D1" w:rsidRDefault="00AF1B8C" w:rsidP="004B60D1">
            <w:pPr>
              <w:jc w:val="center"/>
              <w:rPr>
                <w:color w:val="000000"/>
                <w:sz w:val="18"/>
                <w:szCs w:val="18"/>
              </w:rPr>
            </w:pPr>
            <w:r w:rsidRPr="004B60D1">
              <w:rPr>
                <w:color w:val="000000"/>
                <w:sz w:val="18"/>
                <w:szCs w:val="18"/>
              </w:rPr>
              <w:t>57</w:t>
            </w:r>
          </w:p>
        </w:tc>
        <w:tc>
          <w:tcPr>
            <w:tcW w:w="84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AF1B8C" w:rsidRPr="004B60D1" w:rsidRDefault="00AF1B8C" w:rsidP="004B60D1">
            <w:pPr>
              <w:jc w:val="center"/>
              <w:rPr>
                <w:color w:val="000000"/>
                <w:sz w:val="18"/>
                <w:szCs w:val="18"/>
              </w:rPr>
            </w:pPr>
            <w:r w:rsidRPr="004B60D1">
              <w:rPr>
                <w:color w:val="000000"/>
                <w:sz w:val="18"/>
                <w:szCs w:val="18"/>
              </w:rPr>
              <w:t>29</w:t>
            </w:r>
          </w:p>
        </w:tc>
        <w:tc>
          <w:tcPr>
            <w:tcW w:w="847"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AF1B8C" w:rsidRPr="004B60D1" w:rsidRDefault="00AF1B8C" w:rsidP="004B60D1">
            <w:pPr>
              <w:jc w:val="center"/>
              <w:rPr>
                <w:color w:val="000000"/>
                <w:sz w:val="18"/>
                <w:szCs w:val="18"/>
              </w:rPr>
            </w:pPr>
            <w:r w:rsidRPr="004B60D1">
              <w:rPr>
                <w:color w:val="000000"/>
                <w:sz w:val="18"/>
                <w:szCs w:val="18"/>
              </w:rPr>
              <w:t>89.2</w:t>
            </w:r>
          </w:p>
        </w:tc>
      </w:tr>
      <w:tr w:rsidR="00AF1B8C" w:rsidRPr="004B60D1" w:rsidTr="00AF1B8C">
        <w:trPr>
          <w:trHeight w:val="61"/>
        </w:trPr>
        <w:tc>
          <w:tcPr>
            <w:tcW w:w="725" w:type="dxa"/>
            <w:tcBorders>
              <w:top w:val="nil"/>
              <w:left w:val="single" w:sz="8" w:space="0" w:color="auto"/>
              <w:bottom w:val="single" w:sz="8" w:space="0" w:color="auto"/>
              <w:right w:val="single" w:sz="8" w:space="0" w:color="auto"/>
            </w:tcBorders>
            <w:shd w:val="clear" w:color="auto" w:fill="auto"/>
            <w:hideMark/>
          </w:tcPr>
          <w:p w:rsidR="00AF1B8C" w:rsidRPr="004B60D1" w:rsidRDefault="00AF1B8C" w:rsidP="004B60D1">
            <w:pPr>
              <w:jc w:val="center"/>
              <w:rPr>
                <w:color w:val="000000"/>
                <w:sz w:val="18"/>
                <w:szCs w:val="18"/>
              </w:rPr>
            </w:pPr>
            <w:r w:rsidRPr="004B60D1">
              <w:rPr>
                <w:color w:val="000000"/>
                <w:sz w:val="18"/>
                <w:szCs w:val="18"/>
              </w:rPr>
              <w:t>5</w:t>
            </w:r>
          </w:p>
        </w:tc>
        <w:tc>
          <w:tcPr>
            <w:tcW w:w="2825" w:type="dxa"/>
            <w:vMerge/>
            <w:tcBorders>
              <w:top w:val="nil"/>
              <w:left w:val="single" w:sz="8" w:space="0" w:color="auto"/>
              <w:bottom w:val="single" w:sz="8" w:space="0" w:color="000000"/>
              <w:right w:val="single" w:sz="8" w:space="0" w:color="auto"/>
            </w:tcBorders>
            <w:vAlign w:val="center"/>
            <w:hideMark/>
          </w:tcPr>
          <w:p w:rsidR="00AF1B8C" w:rsidRPr="004B60D1" w:rsidRDefault="00AF1B8C" w:rsidP="004B60D1">
            <w:pPr>
              <w:rPr>
                <w:color w:val="000000"/>
                <w:sz w:val="18"/>
                <w:szCs w:val="18"/>
              </w:rPr>
            </w:pPr>
          </w:p>
        </w:tc>
        <w:tc>
          <w:tcPr>
            <w:tcW w:w="847" w:type="dxa"/>
            <w:tcBorders>
              <w:top w:val="nil"/>
              <w:left w:val="nil"/>
              <w:bottom w:val="single" w:sz="8" w:space="0" w:color="auto"/>
              <w:right w:val="single" w:sz="8" w:space="0" w:color="auto"/>
            </w:tcBorders>
            <w:shd w:val="clear" w:color="auto" w:fill="auto"/>
            <w:vAlign w:val="bottom"/>
            <w:hideMark/>
          </w:tcPr>
          <w:p w:rsidR="00AF1B8C" w:rsidRPr="004B60D1" w:rsidRDefault="00AF1B8C" w:rsidP="004B60D1">
            <w:pPr>
              <w:jc w:val="center"/>
              <w:rPr>
                <w:color w:val="000000"/>
                <w:sz w:val="18"/>
                <w:szCs w:val="18"/>
              </w:rPr>
            </w:pPr>
            <w:r w:rsidRPr="004B60D1">
              <w:rPr>
                <w:color w:val="000000"/>
                <w:sz w:val="18"/>
                <w:szCs w:val="18"/>
              </w:rPr>
              <w:t>164</w:t>
            </w:r>
          </w:p>
        </w:tc>
        <w:tc>
          <w:tcPr>
            <w:tcW w:w="847" w:type="dxa"/>
            <w:vMerge/>
            <w:tcBorders>
              <w:top w:val="nil"/>
              <w:left w:val="single" w:sz="8" w:space="0" w:color="auto"/>
              <w:bottom w:val="single" w:sz="8" w:space="0" w:color="000000"/>
              <w:right w:val="single" w:sz="8" w:space="0" w:color="auto"/>
            </w:tcBorders>
            <w:vAlign w:val="center"/>
            <w:hideMark/>
          </w:tcPr>
          <w:p w:rsidR="00AF1B8C" w:rsidRPr="004B60D1" w:rsidRDefault="00AF1B8C" w:rsidP="004B60D1">
            <w:pPr>
              <w:rPr>
                <w:color w:val="000000"/>
                <w:sz w:val="18"/>
                <w:szCs w:val="18"/>
              </w:rPr>
            </w:pPr>
          </w:p>
        </w:tc>
        <w:tc>
          <w:tcPr>
            <w:tcW w:w="847" w:type="dxa"/>
            <w:vMerge/>
            <w:tcBorders>
              <w:top w:val="nil"/>
              <w:left w:val="single" w:sz="8" w:space="0" w:color="auto"/>
              <w:bottom w:val="single" w:sz="8" w:space="0" w:color="000000"/>
              <w:right w:val="single" w:sz="8" w:space="0" w:color="auto"/>
            </w:tcBorders>
            <w:vAlign w:val="center"/>
            <w:hideMark/>
          </w:tcPr>
          <w:p w:rsidR="00AF1B8C" w:rsidRPr="004B60D1" w:rsidRDefault="00AF1B8C" w:rsidP="004B60D1">
            <w:pPr>
              <w:rPr>
                <w:color w:val="000000"/>
                <w:sz w:val="18"/>
                <w:szCs w:val="18"/>
              </w:rPr>
            </w:pPr>
          </w:p>
        </w:tc>
        <w:tc>
          <w:tcPr>
            <w:tcW w:w="847" w:type="dxa"/>
            <w:vMerge/>
            <w:tcBorders>
              <w:top w:val="nil"/>
              <w:left w:val="single" w:sz="8" w:space="0" w:color="auto"/>
              <w:bottom w:val="single" w:sz="8" w:space="0" w:color="000000"/>
              <w:right w:val="single" w:sz="8" w:space="0" w:color="auto"/>
            </w:tcBorders>
            <w:vAlign w:val="center"/>
            <w:hideMark/>
          </w:tcPr>
          <w:p w:rsidR="00AF1B8C" w:rsidRPr="004B60D1" w:rsidRDefault="00AF1B8C" w:rsidP="004B60D1">
            <w:pPr>
              <w:rPr>
                <w:color w:val="000000"/>
                <w:sz w:val="18"/>
                <w:szCs w:val="18"/>
              </w:rPr>
            </w:pPr>
          </w:p>
        </w:tc>
        <w:tc>
          <w:tcPr>
            <w:tcW w:w="847" w:type="dxa"/>
            <w:vMerge/>
            <w:tcBorders>
              <w:top w:val="nil"/>
              <w:left w:val="single" w:sz="8" w:space="0" w:color="auto"/>
              <w:bottom w:val="single" w:sz="8" w:space="0" w:color="000000"/>
              <w:right w:val="single" w:sz="8" w:space="0" w:color="auto"/>
            </w:tcBorders>
            <w:vAlign w:val="center"/>
            <w:hideMark/>
          </w:tcPr>
          <w:p w:rsidR="00AF1B8C" w:rsidRPr="004B60D1" w:rsidRDefault="00AF1B8C" w:rsidP="004B60D1">
            <w:pPr>
              <w:rPr>
                <w:color w:val="000000"/>
                <w:sz w:val="18"/>
                <w:szCs w:val="18"/>
              </w:rPr>
            </w:pPr>
          </w:p>
        </w:tc>
        <w:tc>
          <w:tcPr>
            <w:tcW w:w="847" w:type="dxa"/>
            <w:vMerge/>
            <w:tcBorders>
              <w:top w:val="single" w:sz="8" w:space="0" w:color="auto"/>
              <w:left w:val="single" w:sz="8" w:space="0" w:color="auto"/>
              <w:bottom w:val="single" w:sz="8" w:space="0" w:color="000000"/>
              <w:right w:val="single" w:sz="8" w:space="0" w:color="auto"/>
            </w:tcBorders>
            <w:vAlign w:val="center"/>
            <w:hideMark/>
          </w:tcPr>
          <w:p w:rsidR="00AF1B8C" w:rsidRPr="004B60D1" w:rsidRDefault="00AF1B8C" w:rsidP="004B60D1">
            <w:pPr>
              <w:rPr>
                <w:color w:val="000000"/>
                <w:sz w:val="18"/>
                <w:szCs w:val="18"/>
              </w:rPr>
            </w:pPr>
          </w:p>
        </w:tc>
      </w:tr>
      <w:tr w:rsidR="00AF1B8C" w:rsidRPr="004B60D1" w:rsidTr="00A96254">
        <w:trPr>
          <w:trHeight w:val="162"/>
        </w:trPr>
        <w:tc>
          <w:tcPr>
            <w:tcW w:w="725" w:type="dxa"/>
            <w:tcBorders>
              <w:top w:val="nil"/>
              <w:left w:val="single" w:sz="8" w:space="0" w:color="auto"/>
              <w:bottom w:val="single" w:sz="8" w:space="0" w:color="auto"/>
              <w:right w:val="single" w:sz="8" w:space="0" w:color="auto"/>
            </w:tcBorders>
            <w:shd w:val="clear" w:color="000000" w:fill="C0C0C0"/>
            <w:hideMark/>
          </w:tcPr>
          <w:p w:rsidR="00AF1B8C" w:rsidRPr="004B60D1" w:rsidRDefault="00AF1B8C" w:rsidP="004B60D1">
            <w:pPr>
              <w:rPr>
                <w:color w:val="000000"/>
                <w:sz w:val="18"/>
                <w:szCs w:val="18"/>
              </w:rPr>
            </w:pPr>
            <w:r w:rsidRPr="004B60D1">
              <w:rPr>
                <w:color w:val="000000"/>
                <w:sz w:val="18"/>
                <w:szCs w:val="18"/>
              </w:rPr>
              <w:t> </w:t>
            </w:r>
          </w:p>
        </w:tc>
        <w:tc>
          <w:tcPr>
            <w:tcW w:w="2825" w:type="dxa"/>
            <w:tcBorders>
              <w:top w:val="nil"/>
              <w:left w:val="nil"/>
              <w:bottom w:val="single" w:sz="8" w:space="0" w:color="auto"/>
              <w:right w:val="single" w:sz="8" w:space="0" w:color="auto"/>
            </w:tcBorders>
            <w:shd w:val="clear" w:color="000000" w:fill="C0C0C0"/>
            <w:noWrap/>
            <w:vAlign w:val="bottom"/>
            <w:hideMark/>
          </w:tcPr>
          <w:p w:rsidR="00AF1B8C" w:rsidRPr="004B60D1" w:rsidRDefault="00AF1B8C" w:rsidP="004B60D1">
            <w:pPr>
              <w:rPr>
                <w:color w:val="000000"/>
                <w:sz w:val="18"/>
                <w:szCs w:val="18"/>
              </w:rPr>
            </w:pPr>
            <w:r w:rsidRPr="004B60D1">
              <w:rPr>
                <w:color w:val="000000"/>
                <w:sz w:val="18"/>
                <w:szCs w:val="18"/>
              </w:rPr>
              <w:t> </w:t>
            </w:r>
          </w:p>
        </w:tc>
        <w:tc>
          <w:tcPr>
            <w:tcW w:w="847" w:type="dxa"/>
            <w:tcBorders>
              <w:top w:val="nil"/>
              <w:left w:val="nil"/>
              <w:bottom w:val="single" w:sz="8" w:space="0" w:color="auto"/>
              <w:right w:val="single" w:sz="8" w:space="0" w:color="auto"/>
            </w:tcBorders>
            <w:shd w:val="clear" w:color="000000" w:fill="C0C0C0"/>
            <w:noWrap/>
            <w:vAlign w:val="bottom"/>
            <w:hideMark/>
          </w:tcPr>
          <w:p w:rsidR="00AF1B8C" w:rsidRPr="004B60D1" w:rsidRDefault="00AF1B8C" w:rsidP="004B60D1">
            <w:pPr>
              <w:rPr>
                <w:color w:val="000000"/>
                <w:sz w:val="18"/>
                <w:szCs w:val="18"/>
              </w:rPr>
            </w:pPr>
            <w:r w:rsidRPr="004B60D1">
              <w:rPr>
                <w:color w:val="000000"/>
                <w:sz w:val="18"/>
                <w:szCs w:val="18"/>
              </w:rPr>
              <w:t> </w:t>
            </w:r>
          </w:p>
        </w:tc>
        <w:tc>
          <w:tcPr>
            <w:tcW w:w="847" w:type="dxa"/>
            <w:tcBorders>
              <w:top w:val="nil"/>
              <w:left w:val="nil"/>
              <w:bottom w:val="single" w:sz="8" w:space="0" w:color="auto"/>
              <w:right w:val="single" w:sz="8" w:space="0" w:color="auto"/>
            </w:tcBorders>
            <w:shd w:val="clear" w:color="000000" w:fill="C0C0C0"/>
            <w:noWrap/>
            <w:vAlign w:val="bottom"/>
            <w:hideMark/>
          </w:tcPr>
          <w:p w:rsidR="00AF1B8C" w:rsidRPr="004B60D1" w:rsidRDefault="00AF1B8C" w:rsidP="004B60D1">
            <w:pPr>
              <w:jc w:val="center"/>
              <w:rPr>
                <w:color w:val="000000"/>
                <w:sz w:val="18"/>
                <w:szCs w:val="18"/>
              </w:rPr>
            </w:pPr>
            <w:r w:rsidRPr="004B60D1">
              <w:rPr>
                <w:color w:val="000000"/>
                <w:sz w:val="18"/>
                <w:szCs w:val="18"/>
              </w:rPr>
              <w:t> </w:t>
            </w:r>
          </w:p>
        </w:tc>
        <w:tc>
          <w:tcPr>
            <w:tcW w:w="847" w:type="dxa"/>
            <w:tcBorders>
              <w:top w:val="nil"/>
              <w:left w:val="nil"/>
              <w:bottom w:val="single" w:sz="8" w:space="0" w:color="auto"/>
              <w:right w:val="single" w:sz="8" w:space="0" w:color="auto"/>
            </w:tcBorders>
            <w:shd w:val="clear" w:color="000000" w:fill="C0C0C0"/>
            <w:noWrap/>
            <w:vAlign w:val="bottom"/>
            <w:hideMark/>
          </w:tcPr>
          <w:p w:rsidR="00AF1B8C" w:rsidRPr="004B60D1" w:rsidRDefault="00AF1B8C" w:rsidP="004B60D1">
            <w:pPr>
              <w:jc w:val="center"/>
              <w:rPr>
                <w:color w:val="000000"/>
                <w:sz w:val="18"/>
                <w:szCs w:val="18"/>
              </w:rPr>
            </w:pPr>
            <w:r w:rsidRPr="004B60D1">
              <w:rPr>
                <w:color w:val="000000"/>
                <w:sz w:val="18"/>
                <w:szCs w:val="18"/>
              </w:rPr>
              <w:t> </w:t>
            </w:r>
          </w:p>
        </w:tc>
        <w:tc>
          <w:tcPr>
            <w:tcW w:w="847" w:type="dxa"/>
            <w:tcBorders>
              <w:top w:val="nil"/>
              <w:left w:val="nil"/>
              <w:bottom w:val="single" w:sz="8" w:space="0" w:color="auto"/>
              <w:right w:val="single" w:sz="8" w:space="0" w:color="auto"/>
            </w:tcBorders>
            <w:shd w:val="clear" w:color="000000" w:fill="C0C0C0"/>
            <w:noWrap/>
            <w:vAlign w:val="bottom"/>
            <w:hideMark/>
          </w:tcPr>
          <w:p w:rsidR="00AF1B8C" w:rsidRPr="004B60D1" w:rsidRDefault="00AF1B8C" w:rsidP="004B60D1">
            <w:pPr>
              <w:jc w:val="center"/>
              <w:rPr>
                <w:color w:val="000000"/>
                <w:sz w:val="18"/>
                <w:szCs w:val="18"/>
              </w:rPr>
            </w:pPr>
            <w:r w:rsidRPr="004B60D1">
              <w:rPr>
                <w:color w:val="000000"/>
                <w:sz w:val="18"/>
                <w:szCs w:val="18"/>
              </w:rPr>
              <w:t> </w:t>
            </w:r>
          </w:p>
        </w:tc>
        <w:tc>
          <w:tcPr>
            <w:tcW w:w="847" w:type="dxa"/>
            <w:tcBorders>
              <w:top w:val="nil"/>
              <w:left w:val="nil"/>
              <w:bottom w:val="single" w:sz="8" w:space="0" w:color="auto"/>
              <w:right w:val="single" w:sz="8" w:space="0" w:color="auto"/>
            </w:tcBorders>
            <w:shd w:val="clear" w:color="000000" w:fill="C0C0C0"/>
            <w:noWrap/>
            <w:vAlign w:val="bottom"/>
            <w:hideMark/>
          </w:tcPr>
          <w:p w:rsidR="00AF1B8C" w:rsidRPr="004B60D1" w:rsidRDefault="00AF1B8C" w:rsidP="004B60D1">
            <w:pPr>
              <w:jc w:val="center"/>
              <w:rPr>
                <w:color w:val="000000"/>
                <w:sz w:val="18"/>
                <w:szCs w:val="18"/>
              </w:rPr>
            </w:pPr>
            <w:r w:rsidRPr="004B60D1">
              <w:rPr>
                <w:color w:val="000000"/>
                <w:sz w:val="18"/>
                <w:szCs w:val="18"/>
              </w:rPr>
              <w:t> </w:t>
            </w:r>
          </w:p>
        </w:tc>
        <w:tc>
          <w:tcPr>
            <w:tcW w:w="847" w:type="dxa"/>
            <w:tcBorders>
              <w:top w:val="nil"/>
              <w:left w:val="nil"/>
              <w:bottom w:val="single" w:sz="8" w:space="0" w:color="auto"/>
              <w:right w:val="single" w:sz="8" w:space="0" w:color="auto"/>
            </w:tcBorders>
            <w:shd w:val="clear" w:color="000000" w:fill="C0C0C0"/>
            <w:hideMark/>
          </w:tcPr>
          <w:p w:rsidR="00AF1B8C" w:rsidRPr="004B60D1" w:rsidRDefault="00AF1B8C" w:rsidP="004B60D1">
            <w:pPr>
              <w:jc w:val="center"/>
              <w:rPr>
                <w:color w:val="000000"/>
                <w:sz w:val="18"/>
                <w:szCs w:val="18"/>
              </w:rPr>
            </w:pPr>
            <w:r w:rsidRPr="004B60D1">
              <w:rPr>
                <w:color w:val="000000"/>
                <w:sz w:val="18"/>
                <w:szCs w:val="18"/>
              </w:rPr>
              <w:t> </w:t>
            </w:r>
          </w:p>
        </w:tc>
      </w:tr>
      <w:tr w:rsidR="00AF1B8C" w:rsidRPr="004B60D1" w:rsidTr="00AF1B8C">
        <w:trPr>
          <w:trHeight w:val="481"/>
        </w:trPr>
        <w:tc>
          <w:tcPr>
            <w:tcW w:w="725" w:type="dxa"/>
            <w:tcBorders>
              <w:top w:val="single" w:sz="8" w:space="0" w:color="auto"/>
              <w:left w:val="single" w:sz="8" w:space="0" w:color="auto"/>
              <w:bottom w:val="single" w:sz="8" w:space="0" w:color="auto"/>
              <w:right w:val="single" w:sz="8" w:space="0" w:color="auto"/>
            </w:tcBorders>
            <w:shd w:val="clear" w:color="auto" w:fill="auto"/>
            <w:hideMark/>
          </w:tcPr>
          <w:p w:rsidR="00AF1B8C" w:rsidRDefault="00AF1B8C" w:rsidP="004B60D1">
            <w:pPr>
              <w:jc w:val="center"/>
              <w:rPr>
                <w:color w:val="000000"/>
                <w:sz w:val="18"/>
                <w:szCs w:val="18"/>
              </w:rPr>
            </w:pPr>
          </w:p>
          <w:p w:rsidR="00AF1B8C" w:rsidRPr="004B60D1" w:rsidRDefault="00AF1B8C" w:rsidP="004B60D1">
            <w:pPr>
              <w:jc w:val="center"/>
              <w:rPr>
                <w:color w:val="000000"/>
                <w:sz w:val="18"/>
                <w:szCs w:val="18"/>
              </w:rPr>
            </w:pPr>
            <w:r w:rsidRPr="004B60D1">
              <w:rPr>
                <w:color w:val="000000"/>
                <w:sz w:val="18"/>
                <w:szCs w:val="18"/>
              </w:rPr>
              <w:t>6</w:t>
            </w:r>
          </w:p>
        </w:tc>
        <w:tc>
          <w:tcPr>
            <w:tcW w:w="2825" w:type="dxa"/>
            <w:tcBorders>
              <w:top w:val="single" w:sz="8" w:space="0" w:color="auto"/>
              <w:left w:val="nil"/>
              <w:bottom w:val="single" w:sz="8" w:space="0" w:color="auto"/>
              <w:right w:val="single" w:sz="8" w:space="0" w:color="auto"/>
            </w:tcBorders>
            <w:shd w:val="clear" w:color="auto" w:fill="auto"/>
            <w:vAlign w:val="bottom"/>
            <w:hideMark/>
          </w:tcPr>
          <w:p w:rsidR="00AF1B8C" w:rsidRPr="004B60D1" w:rsidRDefault="00AF1B8C" w:rsidP="004B60D1">
            <w:pPr>
              <w:jc w:val="center"/>
              <w:rPr>
                <w:color w:val="000000"/>
                <w:sz w:val="18"/>
                <w:szCs w:val="18"/>
              </w:rPr>
            </w:pPr>
            <w:r w:rsidRPr="004B60D1">
              <w:rPr>
                <w:color w:val="000000"/>
                <w:sz w:val="18"/>
                <w:szCs w:val="18"/>
              </w:rPr>
              <w:t>Percentage of Service Quality complaints</w:t>
            </w:r>
          </w:p>
        </w:tc>
        <w:tc>
          <w:tcPr>
            <w:tcW w:w="847" w:type="dxa"/>
            <w:tcBorders>
              <w:top w:val="single" w:sz="8" w:space="0" w:color="auto"/>
              <w:left w:val="nil"/>
              <w:bottom w:val="single" w:sz="8" w:space="0" w:color="auto"/>
              <w:right w:val="single" w:sz="8" w:space="0" w:color="auto"/>
            </w:tcBorders>
            <w:shd w:val="clear" w:color="auto" w:fill="auto"/>
            <w:vAlign w:val="bottom"/>
            <w:hideMark/>
          </w:tcPr>
          <w:p w:rsidR="00AF1B8C" w:rsidRPr="004B60D1" w:rsidRDefault="00AF1B8C" w:rsidP="004B60D1">
            <w:pPr>
              <w:jc w:val="center"/>
              <w:rPr>
                <w:color w:val="000000"/>
                <w:sz w:val="18"/>
                <w:szCs w:val="18"/>
              </w:rPr>
            </w:pPr>
            <w:r w:rsidRPr="004B60D1">
              <w:rPr>
                <w:color w:val="000000"/>
                <w:sz w:val="18"/>
                <w:szCs w:val="18"/>
              </w:rPr>
              <w:t>23.17%</w:t>
            </w:r>
          </w:p>
        </w:tc>
        <w:tc>
          <w:tcPr>
            <w:tcW w:w="847" w:type="dxa"/>
            <w:tcBorders>
              <w:top w:val="single" w:sz="8" w:space="0" w:color="auto"/>
              <w:left w:val="nil"/>
              <w:bottom w:val="single" w:sz="8" w:space="0" w:color="auto"/>
              <w:right w:val="single" w:sz="8" w:space="0" w:color="auto"/>
            </w:tcBorders>
            <w:shd w:val="clear" w:color="auto" w:fill="auto"/>
            <w:noWrap/>
            <w:vAlign w:val="bottom"/>
            <w:hideMark/>
          </w:tcPr>
          <w:p w:rsidR="00AF1B8C" w:rsidRPr="004B60D1" w:rsidRDefault="00AF1B8C" w:rsidP="004B60D1">
            <w:pPr>
              <w:jc w:val="center"/>
              <w:rPr>
                <w:color w:val="000000"/>
                <w:sz w:val="18"/>
                <w:szCs w:val="18"/>
              </w:rPr>
            </w:pPr>
            <w:r w:rsidRPr="004B60D1">
              <w:rPr>
                <w:color w:val="000000"/>
                <w:sz w:val="18"/>
                <w:szCs w:val="18"/>
              </w:rPr>
              <w:t>25.23%</w:t>
            </w:r>
          </w:p>
        </w:tc>
        <w:tc>
          <w:tcPr>
            <w:tcW w:w="847" w:type="dxa"/>
            <w:tcBorders>
              <w:top w:val="single" w:sz="8" w:space="0" w:color="auto"/>
              <w:left w:val="nil"/>
              <w:bottom w:val="single" w:sz="8" w:space="0" w:color="auto"/>
              <w:right w:val="single" w:sz="8" w:space="0" w:color="auto"/>
            </w:tcBorders>
            <w:shd w:val="clear" w:color="auto" w:fill="auto"/>
            <w:noWrap/>
            <w:vAlign w:val="bottom"/>
            <w:hideMark/>
          </w:tcPr>
          <w:p w:rsidR="00AF1B8C" w:rsidRPr="004B60D1" w:rsidRDefault="00AF1B8C" w:rsidP="004B60D1">
            <w:pPr>
              <w:jc w:val="center"/>
              <w:rPr>
                <w:color w:val="000000"/>
                <w:sz w:val="18"/>
                <w:szCs w:val="18"/>
              </w:rPr>
            </w:pPr>
            <w:r w:rsidRPr="004B60D1">
              <w:rPr>
                <w:color w:val="000000"/>
                <w:sz w:val="18"/>
                <w:szCs w:val="18"/>
              </w:rPr>
              <w:t>34.12%</w:t>
            </w:r>
          </w:p>
        </w:tc>
        <w:tc>
          <w:tcPr>
            <w:tcW w:w="847" w:type="dxa"/>
            <w:tcBorders>
              <w:top w:val="single" w:sz="8" w:space="0" w:color="auto"/>
              <w:left w:val="nil"/>
              <w:bottom w:val="single" w:sz="8" w:space="0" w:color="auto"/>
              <w:right w:val="single" w:sz="8" w:space="0" w:color="auto"/>
            </w:tcBorders>
            <w:shd w:val="clear" w:color="auto" w:fill="auto"/>
            <w:noWrap/>
            <w:vAlign w:val="bottom"/>
            <w:hideMark/>
          </w:tcPr>
          <w:p w:rsidR="00AF1B8C" w:rsidRPr="004B60D1" w:rsidRDefault="00AF1B8C" w:rsidP="004B60D1">
            <w:pPr>
              <w:jc w:val="center"/>
              <w:rPr>
                <w:color w:val="000000"/>
                <w:sz w:val="18"/>
                <w:szCs w:val="18"/>
              </w:rPr>
            </w:pPr>
            <w:r w:rsidRPr="004B60D1">
              <w:rPr>
                <w:color w:val="000000"/>
                <w:sz w:val="18"/>
                <w:szCs w:val="18"/>
              </w:rPr>
              <w:t>33.33%</w:t>
            </w:r>
          </w:p>
        </w:tc>
        <w:tc>
          <w:tcPr>
            <w:tcW w:w="847" w:type="dxa"/>
            <w:tcBorders>
              <w:top w:val="single" w:sz="8" w:space="0" w:color="auto"/>
              <w:left w:val="nil"/>
              <w:bottom w:val="single" w:sz="8" w:space="0" w:color="auto"/>
              <w:right w:val="single" w:sz="8" w:space="0" w:color="auto"/>
            </w:tcBorders>
            <w:shd w:val="clear" w:color="auto" w:fill="auto"/>
            <w:noWrap/>
            <w:vAlign w:val="bottom"/>
            <w:hideMark/>
          </w:tcPr>
          <w:p w:rsidR="00AF1B8C" w:rsidRPr="004B60D1" w:rsidRDefault="00AF1B8C" w:rsidP="004B60D1">
            <w:pPr>
              <w:jc w:val="center"/>
              <w:rPr>
                <w:color w:val="000000"/>
                <w:sz w:val="18"/>
                <w:szCs w:val="18"/>
              </w:rPr>
            </w:pPr>
            <w:r w:rsidRPr="004B60D1">
              <w:rPr>
                <w:color w:val="000000"/>
                <w:sz w:val="18"/>
                <w:szCs w:val="18"/>
              </w:rPr>
              <w:t>17.24%</w:t>
            </w:r>
          </w:p>
        </w:tc>
        <w:tc>
          <w:tcPr>
            <w:tcW w:w="847" w:type="dxa"/>
            <w:tcBorders>
              <w:top w:val="single" w:sz="8" w:space="0" w:color="auto"/>
              <w:left w:val="nil"/>
              <w:bottom w:val="single" w:sz="8" w:space="0" w:color="auto"/>
              <w:right w:val="single" w:sz="8" w:space="0" w:color="auto"/>
            </w:tcBorders>
            <w:shd w:val="clear" w:color="auto" w:fill="auto"/>
            <w:noWrap/>
            <w:vAlign w:val="bottom"/>
            <w:hideMark/>
          </w:tcPr>
          <w:p w:rsidR="00AF1B8C" w:rsidRPr="004B60D1" w:rsidRDefault="00AF1B8C" w:rsidP="004B60D1">
            <w:pPr>
              <w:jc w:val="center"/>
              <w:rPr>
                <w:color w:val="000000"/>
                <w:sz w:val="18"/>
                <w:szCs w:val="18"/>
              </w:rPr>
            </w:pPr>
            <w:r w:rsidRPr="004B60D1">
              <w:rPr>
                <w:color w:val="000000"/>
                <w:sz w:val="18"/>
                <w:szCs w:val="18"/>
              </w:rPr>
              <w:t>26.68%</w:t>
            </w:r>
          </w:p>
        </w:tc>
      </w:tr>
    </w:tbl>
    <w:p w:rsidR="00A96254" w:rsidRDefault="00A96254">
      <w:pPr>
        <w:spacing w:line="480" w:lineRule="auto"/>
        <w:ind w:left="720" w:firstLine="720"/>
      </w:pPr>
    </w:p>
    <w:p w:rsidR="0018205A" w:rsidRDefault="00AF1B8C" w:rsidP="00A45285">
      <w:pPr>
        <w:spacing w:line="480" w:lineRule="auto"/>
        <w:ind w:left="720"/>
      </w:pPr>
      <w:r w:rsidRPr="00AF1B8C">
        <w:t>Notwithstanding the slight bump in the total number of complaints filed against Qwest</w:t>
      </w:r>
      <w:r w:rsidR="009F54BB">
        <w:t xml:space="preserve"> </w:t>
      </w:r>
      <w:r w:rsidRPr="00AF1B8C">
        <w:t>in 2008, the total number of complaints is</w:t>
      </w:r>
      <w:r>
        <w:t xml:space="preserve"> continuing to</w:t>
      </w:r>
      <w:r w:rsidRPr="00AF1B8C">
        <w:t xml:space="preserve"> declin</w:t>
      </w:r>
      <w:r>
        <w:t>e</w:t>
      </w:r>
      <w:r w:rsidRPr="00AF1B8C">
        <w:t>.  In fact,</w:t>
      </w:r>
      <w:r w:rsidR="00BB024B">
        <w:t xml:space="preserve"> </w:t>
      </w:r>
      <w:r w:rsidR="0018205A">
        <w:t xml:space="preserve">as the table indicates, </w:t>
      </w:r>
      <w:r w:rsidRPr="00AF1B8C">
        <w:t xml:space="preserve">the total number of complaints </w:t>
      </w:r>
      <w:r w:rsidR="00CC3024">
        <w:t xml:space="preserve">has gone </w:t>
      </w:r>
      <w:r w:rsidR="00BB024B">
        <w:t xml:space="preserve">from 516 to 345, a </w:t>
      </w:r>
      <w:r w:rsidRPr="00AF1B8C">
        <w:t>thirty-</w:t>
      </w:r>
      <w:r w:rsidRPr="00AF1B8C">
        <w:lastRenderedPageBreak/>
        <w:t>three percent</w:t>
      </w:r>
      <w:r w:rsidR="00BB024B">
        <w:t xml:space="preserve"> decline</w:t>
      </w:r>
      <w:r w:rsidRPr="00AF1B8C">
        <w:t>.</w:t>
      </w:r>
      <w:r w:rsidR="00360C6B">
        <w:t xml:space="preserve">  As for </w:t>
      </w:r>
      <w:r w:rsidR="004A7461">
        <w:t xml:space="preserve">the </w:t>
      </w:r>
      <w:r w:rsidR="00360C6B">
        <w:t>CenturyLink</w:t>
      </w:r>
      <w:r w:rsidR="009F54BB">
        <w:t xml:space="preserve"> ILECs</w:t>
      </w:r>
      <w:r w:rsidR="00360C6B">
        <w:t xml:space="preserve">, </w:t>
      </w:r>
      <w:r w:rsidR="004A7461">
        <w:t>they</w:t>
      </w:r>
      <w:r w:rsidR="0018205A">
        <w:t xml:space="preserve"> saw </w:t>
      </w:r>
      <w:r w:rsidR="00BB024B">
        <w:t xml:space="preserve">an </w:t>
      </w:r>
      <w:r w:rsidR="00360C6B">
        <w:t>eighty-two percent</w:t>
      </w:r>
      <w:r w:rsidR="00BB024B">
        <w:t xml:space="preserve"> decline</w:t>
      </w:r>
      <w:r w:rsidR="0018205A">
        <w:t xml:space="preserve"> in the total number of complaints</w:t>
      </w:r>
      <w:r w:rsidR="00E32643">
        <w:t xml:space="preserve"> filed against the compan</w:t>
      </w:r>
      <w:r w:rsidR="004A7461">
        <w:t>ies</w:t>
      </w:r>
      <w:r w:rsidR="00E32643">
        <w:t xml:space="preserve">. </w:t>
      </w:r>
    </w:p>
    <w:p w:rsidR="00534C5B" w:rsidRDefault="00C926B6" w:rsidP="00C926B6">
      <w:pPr>
        <w:spacing w:line="480" w:lineRule="auto"/>
        <w:ind w:left="720" w:firstLine="720"/>
      </w:pPr>
      <w:r>
        <w:t>As mentioned earlier in my testimony, i</w:t>
      </w:r>
      <w:r w:rsidRPr="00C85312">
        <w:rPr>
          <w:bCs/>
          <w:kern w:val="24"/>
        </w:rPr>
        <w:t xml:space="preserve">n order to fairly compare large and small reporting companies, the Commission calculates a </w:t>
      </w:r>
      <w:r w:rsidR="00A81EC3">
        <w:rPr>
          <w:bCs/>
          <w:kern w:val="24"/>
        </w:rPr>
        <w:t xml:space="preserve">complaint </w:t>
      </w:r>
      <w:r>
        <w:rPr>
          <w:bCs/>
          <w:kern w:val="24"/>
        </w:rPr>
        <w:t xml:space="preserve">rate </w:t>
      </w:r>
      <w:r w:rsidRPr="00C85312">
        <w:rPr>
          <w:bCs/>
          <w:kern w:val="24"/>
        </w:rPr>
        <w:t>based on the number of service quality com</w:t>
      </w:r>
      <w:r>
        <w:rPr>
          <w:bCs/>
          <w:kern w:val="24"/>
        </w:rPr>
        <w:t xml:space="preserve">plaints per 10,000 access lines.  As indicated by the graph below, </w:t>
      </w:r>
      <w:r w:rsidR="00A910C4">
        <w:rPr>
          <w:bCs/>
          <w:kern w:val="24"/>
        </w:rPr>
        <w:t>in an apples</w:t>
      </w:r>
      <w:r w:rsidR="00A81EC3">
        <w:rPr>
          <w:bCs/>
          <w:kern w:val="24"/>
        </w:rPr>
        <w:t>-</w:t>
      </w:r>
      <w:r w:rsidR="00A910C4">
        <w:rPr>
          <w:bCs/>
          <w:kern w:val="24"/>
        </w:rPr>
        <w:t>to</w:t>
      </w:r>
      <w:r w:rsidR="00A81EC3">
        <w:rPr>
          <w:bCs/>
          <w:kern w:val="24"/>
        </w:rPr>
        <w:t>-</w:t>
      </w:r>
      <w:r w:rsidR="00A910C4">
        <w:rPr>
          <w:bCs/>
          <w:kern w:val="24"/>
        </w:rPr>
        <w:t xml:space="preserve">apples comparison, </w:t>
      </w:r>
      <w:r w:rsidR="004A7461">
        <w:rPr>
          <w:bCs/>
          <w:kern w:val="24"/>
        </w:rPr>
        <w:t xml:space="preserve">the rate of service quality complaints filed against </w:t>
      </w:r>
      <w:r>
        <w:rPr>
          <w:bCs/>
          <w:kern w:val="24"/>
        </w:rPr>
        <w:t>Qwest</w:t>
      </w:r>
      <w:r w:rsidR="009F54BB">
        <w:rPr>
          <w:bCs/>
          <w:kern w:val="24"/>
        </w:rPr>
        <w:t xml:space="preserve"> </w:t>
      </w:r>
      <w:r w:rsidR="004A7461">
        <w:rPr>
          <w:bCs/>
          <w:kern w:val="24"/>
        </w:rPr>
        <w:t>has been</w:t>
      </w:r>
      <w:r w:rsidR="00A910C4">
        <w:rPr>
          <w:bCs/>
          <w:kern w:val="24"/>
        </w:rPr>
        <w:t xml:space="preserve"> much </w:t>
      </w:r>
      <w:r w:rsidR="004A7461">
        <w:rPr>
          <w:bCs/>
          <w:kern w:val="24"/>
        </w:rPr>
        <w:t>lower than CenturyLink’s rate</w:t>
      </w:r>
      <w:r w:rsidR="00A81EC3">
        <w:rPr>
          <w:bCs/>
          <w:kern w:val="24"/>
        </w:rPr>
        <w:t xml:space="preserve">, and </w:t>
      </w:r>
      <w:r w:rsidR="004A7461">
        <w:rPr>
          <w:bCs/>
          <w:kern w:val="24"/>
        </w:rPr>
        <w:t>Qwest has</w:t>
      </w:r>
      <w:r w:rsidR="00A81EC3">
        <w:rPr>
          <w:bCs/>
          <w:kern w:val="24"/>
        </w:rPr>
        <w:t xml:space="preserve"> maintain</w:t>
      </w:r>
      <w:r w:rsidR="004A7461">
        <w:rPr>
          <w:bCs/>
          <w:kern w:val="24"/>
        </w:rPr>
        <w:t>ed</w:t>
      </w:r>
      <w:r w:rsidR="00A81EC3">
        <w:rPr>
          <w:bCs/>
          <w:kern w:val="24"/>
        </w:rPr>
        <w:t xml:space="preserve"> a low number</w:t>
      </w:r>
      <w:r w:rsidR="00A910C4">
        <w:rPr>
          <w:bCs/>
          <w:kern w:val="24"/>
        </w:rPr>
        <w:t>.</w:t>
      </w:r>
      <w:r w:rsidR="00A81EC3">
        <w:rPr>
          <w:bCs/>
          <w:kern w:val="24"/>
        </w:rPr>
        <w:t xml:space="preserve">  Only recently ha</w:t>
      </w:r>
      <w:r w:rsidR="004A7461">
        <w:rPr>
          <w:bCs/>
          <w:kern w:val="24"/>
        </w:rPr>
        <w:t>ve</w:t>
      </w:r>
      <w:r w:rsidR="00A81EC3">
        <w:rPr>
          <w:bCs/>
          <w:kern w:val="24"/>
        </w:rPr>
        <w:t xml:space="preserve"> CenturyLink</w:t>
      </w:r>
      <w:r w:rsidR="009F54BB">
        <w:rPr>
          <w:bCs/>
          <w:kern w:val="24"/>
        </w:rPr>
        <w:t xml:space="preserve"> ILECs</w:t>
      </w:r>
      <w:r w:rsidR="00A81EC3">
        <w:rPr>
          <w:bCs/>
          <w:kern w:val="24"/>
        </w:rPr>
        <w:t xml:space="preserve"> experienced a significant drop in the</w:t>
      </w:r>
      <w:r w:rsidR="004A7461">
        <w:rPr>
          <w:bCs/>
          <w:kern w:val="24"/>
        </w:rPr>
        <w:t>ir</w:t>
      </w:r>
      <w:r w:rsidR="00A81EC3">
        <w:rPr>
          <w:bCs/>
          <w:kern w:val="24"/>
        </w:rPr>
        <w:t xml:space="preserve"> service quality complaint rate.</w:t>
      </w:r>
      <w:r w:rsidR="00AF1B8C" w:rsidRPr="00AF1B8C">
        <w:t xml:space="preserve"> </w:t>
      </w:r>
    </w:p>
    <w:p w:rsidR="00F003B6" w:rsidRDefault="00F003B6" w:rsidP="00F003B6"/>
    <w:p w:rsidR="007A6CA5" w:rsidRPr="00DA5150" w:rsidRDefault="00946DB4" w:rsidP="007A6CA5">
      <w:pPr>
        <w:jc w:val="center"/>
      </w:pPr>
      <w:r w:rsidRPr="00946DB4">
        <w:t>Service Quality Complaints per 10,000 Access Lines</w:t>
      </w:r>
    </w:p>
    <w:p w:rsidR="00F003B6" w:rsidRDefault="009C471E" w:rsidP="00F003B6">
      <w:r w:rsidRPr="009C471E">
        <w:rPr>
          <w:noProof/>
        </w:rPr>
        <w:drawing>
          <wp:inline distT="0" distB="0" distL="0" distR="0">
            <wp:extent cx="5638800" cy="1933575"/>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C471E" w:rsidRDefault="009C471E" w:rsidP="00BD57DF">
      <w:pPr>
        <w:spacing w:line="480" w:lineRule="auto"/>
        <w:ind w:left="720" w:hanging="720"/>
        <w:rPr>
          <w:b/>
          <w:bCs/>
        </w:rPr>
      </w:pPr>
    </w:p>
    <w:p w:rsidR="00BD57DF" w:rsidRPr="00772329" w:rsidRDefault="00BD57DF" w:rsidP="00BD57DF">
      <w:pPr>
        <w:spacing w:line="480" w:lineRule="auto"/>
        <w:ind w:left="720" w:hanging="720"/>
        <w:rPr>
          <w:b/>
          <w:bCs/>
        </w:rPr>
      </w:pPr>
      <w:r w:rsidRPr="00772329">
        <w:rPr>
          <w:b/>
          <w:bCs/>
        </w:rPr>
        <w:t>Q.</w:t>
      </w:r>
      <w:r w:rsidRPr="00772329">
        <w:rPr>
          <w:b/>
          <w:bCs/>
        </w:rPr>
        <w:tab/>
      </w:r>
      <w:r>
        <w:rPr>
          <w:b/>
          <w:bCs/>
        </w:rPr>
        <w:t>What is Staff</w:t>
      </w:r>
      <w:r w:rsidR="00DA5150">
        <w:rPr>
          <w:b/>
          <w:bCs/>
        </w:rPr>
        <w:t>’s</w:t>
      </w:r>
      <w:r>
        <w:rPr>
          <w:b/>
          <w:bCs/>
        </w:rPr>
        <w:t xml:space="preserve"> general impression of Qwest</w:t>
      </w:r>
      <w:r w:rsidR="00DA5150">
        <w:rPr>
          <w:b/>
          <w:bCs/>
        </w:rPr>
        <w:t>’s</w:t>
      </w:r>
      <w:r w:rsidR="009F54BB">
        <w:rPr>
          <w:b/>
          <w:bCs/>
        </w:rPr>
        <w:t xml:space="preserve"> </w:t>
      </w:r>
      <w:r>
        <w:rPr>
          <w:b/>
          <w:bCs/>
        </w:rPr>
        <w:t xml:space="preserve">and </w:t>
      </w:r>
      <w:r w:rsidR="00DA5150">
        <w:rPr>
          <w:b/>
          <w:bCs/>
        </w:rPr>
        <w:t xml:space="preserve">the </w:t>
      </w:r>
      <w:r>
        <w:rPr>
          <w:b/>
          <w:bCs/>
        </w:rPr>
        <w:t>CenturyLink</w:t>
      </w:r>
      <w:r w:rsidR="009F54BB">
        <w:rPr>
          <w:b/>
          <w:bCs/>
        </w:rPr>
        <w:t xml:space="preserve"> ILECs</w:t>
      </w:r>
      <w:r w:rsidR="008421FD">
        <w:rPr>
          <w:b/>
          <w:bCs/>
        </w:rPr>
        <w:t>’</w:t>
      </w:r>
      <w:r>
        <w:rPr>
          <w:b/>
          <w:bCs/>
        </w:rPr>
        <w:t xml:space="preserve"> overall service quality in Washington</w:t>
      </w:r>
      <w:r w:rsidRPr="00772329">
        <w:rPr>
          <w:b/>
          <w:bCs/>
        </w:rPr>
        <w:t>?</w:t>
      </w:r>
    </w:p>
    <w:p w:rsidR="00F003B6" w:rsidRDefault="00BD57DF" w:rsidP="00BD57DF">
      <w:pPr>
        <w:spacing w:line="480" w:lineRule="auto"/>
        <w:ind w:left="720" w:hanging="720"/>
      </w:pPr>
      <w:r w:rsidRPr="00772329">
        <w:t>A.</w:t>
      </w:r>
      <w:r w:rsidRPr="00772329">
        <w:tab/>
      </w:r>
      <w:r w:rsidR="00085D79">
        <w:t>Generally, Qwest</w:t>
      </w:r>
      <w:r w:rsidR="009F54BB">
        <w:t xml:space="preserve"> </w:t>
      </w:r>
      <w:r w:rsidR="00085D79">
        <w:t xml:space="preserve">and </w:t>
      </w:r>
      <w:r w:rsidR="00DA5150">
        <w:t xml:space="preserve">the </w:t>
      </w:r>
      <w:r w:rsidR="00085D79">
        <w:t>CenturyLink</w:t>
      </w:r>
      <w:r w:rsidR="009F54BB">
        <w:t xml:space="preserve"> ILECs</w:t>
      </w:r>
      <w:r w:rsidR="00085D79">
        <w:t xml:space="preserve"> meet the service quality benchmarks established by the Commission, so Staff is not concerned about the companies’ current </w:t>
      </w:r>
      <w:r w:rsidR="00DA5150">
        <w:t xml:space="preserve">quality of </w:t>
      </w:r>
      <w:r w:rsidR="00085D79">
        <w:t xml:space="preserve">service.  Instead, Staff is concerned </w:t>
      </w:r>
      <w:r w:rsidR="00DA5150">
        <w:t xml:space="preserve">by </w:t>
      </w:r>
      <w:r>
        <w:t xml:space="preserve">the </w:t>
      </w:r>
      <w:r w:rsidR="00085D79">
        <w:t xml:space="preserve">risk of </w:t>
      </w:r>
      <w:r w:rsidR="00DA5150">
        <w:t xml:space="preserve">a </w:t>
      </w:r>
      <w:r w:rsidR="00085D79">
        <w:t xml:space="preserve">decline in </w:t>
      </w:r>
      <w:r w:rsidR="00DA5150">
        <w:t xml:space="preserve">service </w:t>
      </w:r>
      <w:r w:rsidR="00085D79">
        <w:t>quality</w:t>
      </w:r>
      <w:r w:rsidR="00DA5150">
        <w:t xml:space="preserve">, </w:t>
      </w:r>
      <w:r w:rsidR="00085D79">
        <w:t xml:space="preserve">due to management’s focus on integration of the two companies </w:t>
      </w:r>
      <w:r w:rsidR="00DA5150">
        <w:t>rather than on</w:t>
      </w:r>
      <w:r w:rsidR="00085D79">
        <w:t xml:space="preserve"> providing good and timely service and repairs to customers.</w:t>
      </w:r>
    </w:p>
    <w:p w:rsidR="00D61018" w:rsidRDefault="00BB5EB4" w:rsidP="002C3A7A">
      <w:pPr>
        <w:pStyle w:val="Heading1"/>
        <w:numPr>
          <w:ilvl w:val="0"/>
          <w:numId w:val="0"/>
        </w:numPr>
        <w:spacing w:line="240" w:lineRule="auto"/>
        <w:rPr>
          <w:kern w:val="24"/>
        </w:rPr>
      </w:pPr>
      <w:r>
        <w:rPr>
          <w:kern w:val="24"/>
        </w:rPr>
        <w:lastRenderedPageBreak/>
        <w:t>V</w:t>
      </w:r>
      <w:r w:rsidR="002C3A7A">
        <w:rPr>
          <w:kern w:val="24"/>
        </w:rPr>
        <w:t>.</w:t>
      </w:r>
      <w:r w:rsidR="002C3A7A">
        <w:rPr>
          <w:kern w:val="24"/>
        </w:rPr>
        <w:tab/>
      </w:r>
      <w:r w:rsidR="00D61018" w:rsidRPr="00D37490">
        <w:rPr>
          <w:kern w:val="24"/>
        </w:rPr>
        <w:t>PREVIOUSLY IMPOSED CONDITIONS TO ENSURE</w:t>
      </w:r>
    </w:p>
    <w:p w:rsidR="00772329" w:rsidRPr="00D37490" w:rsidRDefault="002C3A7A" w:rsidP="002C3A7A">
      <w:pPr>
        <w:pStyle w:val="Heading1"/>
        <w:numPr>
          <w:ilvl w:val="0"/>
          <w:numId w:val="0"/>
        </w:numPr>
        <w:spacing w:line="240" w:lineRule="auto"/>
        <w:ind w:left="1890" w:hanging="1890"/>
        <w:jc w:val="left"/>
        <w:rPr>
          <w:kern w:val="24"/>
        </w:rPr>
      </w:pPr>
      <w:r>
        <w:rPr>
          <w:kern w:val="24"/>
        </w:rPr>
        <w:tab/>
        <w:t>I</w:t>
      </w:r>
      <w:r w:rsidR="00D61018" w:rsidRPr="00D37490">
        <w:rPr>
          <w:kern w:val="24"/>
        </w:rPr>
        <w:t>MPROVED SERVICE QUALITY</w:t>
      </w:r>
    </w:p>
    <w:p w:rsidR="00772329" w:rsidRPr="00D37490" w:rsidRDefault="00772329" w:rsidP="00AA098B">
      <w:pPr>
        <w:pStyle w:val="BodyTextIndent2"/>
        <w:ind w:left="0" w:firstLine="0"/>
        <w:rPr>
          <w:b/>
        </w:rPr>
      </w:pPr>
    </w:p>
    <w:p w:rsidR="00772329" w:rsidRPr="00D37490" w:rsidRDefault="00772329" w:rsidP="00D61018">
      <w:pPr>
        <w:pStyle w:val="BodyTextIndent"/>
        <w:tabs>
          <w:tab w:val="clear" w:pos="0"/>
        </w:tabs>
        <w:ind w:left="720" w:hanging="720"/>
        <w:rPr>
          <w:b/>
          <w:bCs/>
        </w:rPr>
      </w:pPr>
      <w:r w:rsidRPr="00D37490">
        <w:rPr>
          <w:b/>
          <w:bCs/>
        </w:rPr>
        <w:t>Q.</w:t>
      </w:r>
      <w:r w:rsidRPr="00D37490">
        <w:rPr>
          <w:b/>
          <w:bCs/>
        </w:rPr>
        <w:tab/>
        <w:t>Has the Commission ordered a</w:t>
      </w:r>
      <w:r w:rsidR="0092414D" w:rsidRPr="00D37490">
        <w:rPr>
          <w:b/>
          <w:bCs/>
        </w:rPr>
        <w:t>ny</w:t>
      </w:r>
      <w:r w:rsidRPr="00D37490">
        <w:rPr>
          <w:b/>
          <w:bCs/>
        </w:rPr>
        <w:t xml:space="preserve"> company to offer </w:t>
      </w:r>
      <w:r w:rsidR="00B67635" w:rsidRPr="00D37490">
        <w:rPr>
          <w:b/>
          <w:bCs/>
        </w:rPr>
        <w:t xml:space="preserve">a service guarantee program </w:t>
      </w:r>
      <w:r w:rsidRPr="00D37490">
        <w:rPr>
          <w:b/>
          <w:bCs/>
        </w:rPr>
        <w:t>to spur better service quality performance?</w:t>
      </w:r>
    </w:p>
    <w:p w:rsidR="00411644" w:rsidRPr="00D37490" w:rsidRDefault="00772329" w:rsidP="00411644">
      <w:pPr>
        <w:pStyle w:val="FootnoteText"/>
        <w:tabs>
          <w:tab w:val="left" w:pos="1560"/>
        </w:tabs>
        <w:spacing w:line="480" w:lineRule="auto"/>
        <w:ind w:left="835" w:hanging="835"/>
        <w:rPr>
          <w:b/>
          <w:bCs/>
          <w:sz w:val="24"/>
          <w:szCs w:val="24"/>
          <w:highlight w:val="cyan"/>
        </w:rPr>
      </w:pPr>
      <w:r w:rsidRPr="00D37490">
        <w:rPr>
          <w:bCs/>
          <w:sz w:val="24"/>
          <w:szCs w:val="24"/>
        </w:rPr>
        <w:t>A.</w:t>
      </w:r>
      <w:r w:rsidRPr="00D37490">
        <w:rPr>
          <w:bCs/>
          <w:sz w:val="24"/>
          <w:szCs w:val="24"/>
        </w:rPr>
        <w:tab/>
        <w:t xml:space="preserve">Yes.  The Commission ordered US WEST (now Qwest) to implement the Customer Service Guarantee Program (CSGP) in Docket UT-950200.  In Qwest’s tariff, the CSGP provides customer credits or alternative remedies when service cannot be provided as expected.  The program </w:t>
      </w:r>
      <w:r w:rsidR="00F85FD0" w:rsidRPr="00D37490">
        <w:rPr>
          <w:bCs/>
          <w:sz w:val="24"/>
          <w:szCs w:val="24"/>
        </w:rPr>
        <w:t xml:space="preserve">currently </w:t>
      </w:r>
      <w:r w:rsidRPr="00D37490">
        <w:rPr>
          <w:bCs/>
          <w:sz w:val="24"/>
          <w:szCs w:val="24"/>
        </w:rPr>
        <w:t>credits</w:t>
      </w:r>
      <w:r w:rsidR="00F85FD0" w:rsidRPr="00D37490">
        <w:rPr>
          <w:bCs/>
          <w:sz w:val="24"/>
          <w:szCs w:val="24"/>
        </w:rPr>
        <w:t xml:space="preserve"> residential customers $25</w:t>
      </w:r>
      <w:r w:rsidRPr="00D37490">
        <w:rPr>
          <w:bCs/>
          <w:sz w:val="24"/>
          <w:szCs w:val="24"/>
        </w:rPr>
        <w:t xml:space="preserve"> for missed appointments and missed commitments, </w:t>
      </w:r>
      <w:r w:rsidR="00F85FD0" w:rsidRPr="00D37490">
        <w:rPr>
          <w:bCs/>
          <w:sz w:val="24"/>
          <w:szCs w:val="24"/>
        </w:rPr>
        <w:t xml:space="preserve">offers </w:t>
      </w:r>
      <w:r w:rsidRPr="00D37490">
        <w:rPr>
          <w:bCs/>
          <w:sz w:val="24"/>
          <w:szCs w:val="24"/>
        </w:rPr>
        <w:t xml:space="preserve">alternatives for delayed primary service such as the assignment of a telephone number, a directory listing, remote call forwarding, voice messaging service, and credit of the non-recurring charges, an allowance for out-of-service interruptions, and credits due to trouble reports in an exchange that exceeds the standard. The credits are given to the customers directly </w:t>
      </w:r>
      <w:r w:rsidR="00AB3F26" w:rsidRPr="00D37490">
        <w:rPr>
          <w:bCs/>
          <w:sz w:val="24"/>
          <w:szCs w:val="24"/>
        </w:rPr>
        <w:t xml:space="preserve">affected </w:t>
      </w:r>
      <w:r w:rsidRPr="00D37490">
        <w:rPr>
          <w:bCs/>
          <w:sz w:val="24"/>
          <w:szCs w:val="24"/>
        </w:rPr>
        <w:t>when Qwest does not meet certain obligations.</w:t>
      </w:r>
      <w:r w:rsidR="00411644" w:rsidRPr="00D37490">
        <w:rPr>
          <w:b/>
          <w:bCs/>
          <w:sz w:val="24"/>
          <w:szCs w:val="24"/>
        </w:rPr>
        <w:t xml:space="preserve"> </w:t>
      </w:r>
      <w:r w:rsidR="003D41D2" w:rsidRPr="00D37490">
        <w:rPr>
          <w:b/>
          <w:bCs/>
          <w:sz w:val="24"/>
          <w:szCs w:val="24"/>
        </w:rPr>
        <w:t xml:space="preserve"> </w:t>
      </w:r>
      <w:r w:rsidR="003D41D2" w:rsidRPr="00D37490">
        <w:rPr>
          <w:bCs/>
          <w:sz w:val="24"/>
          <w:szCs w:val="24"/>
        </w:rPr>
        <w:t xml:space="preserve">See Exhibit No. </w:t>
      </w:r>
      <w:proofErr w:type="gramStart"/>
      <w:r w:rsidR="003D41D2" w:rsidRPr="00D37490">
        <w:rPr>
          <w:bCs/>
          <w:sz w:val="24"/>
          <w:szCs w:val="24"/>
        </w:rPr>
        <w:t>__ (KMR</w:t>
      </w:r>
      <w:r w:rsidR="003D41D2" w:rsidRPr="00D37490">
        <w:rPr>
          <w:bCs/>
          <w:sz w:val="24"/>
          <w:szCs w:val="24"/>
        </w:rPr>
        <w:noBreakHyphen/>
        <w:t>4) for a copy of the company’s tariff pages.</w:t>
      </w:r>
      <w:proofErr w:type="gramEnd"/>
    </w:p>
    <w:p w:rsidR="00411644" w:rsidRPr="00D37490" w:rsidRDefault="00411644" w:rsidP="00411644">
      <w:pPr>
        <w:pStyle w:val="FootnoteText"/>
        <w:tabs>
          <w:tab w:val="left" w:pos="1560"/>
        </w:tabs>
        <w:spacing w:line="480" w:lineRule="auto"/>
        <w:ind w:left="835" w:hanging="835"/>
        <w:rPr>
          <w:bCs/>
          <w:sz w:val="24"/>
          <w:szCs w:val="24"/>
        </w:rPr>
      </w:pPr>
    </w:p>
    <w:p w:rsidR="00411644" w:rsidRPr="00D37490" w:rsidRDefault="00411644" w:rsidP="00411644">
      <w:pPr>
        <w:pStyle w:val="FootnoteText"/>
        <w:tabs>
          <w:tab w:val="left" w:pos="1560"/>
        </w:tabs>
        <w:spacing w:line="480" w:lineRule="auto"/>
        <w:ind w:left="835" w:hanging="835"/>
        <w:rPr>
          <w:b/>
          <w:bCs/>
          <w:sz w:val="24"/>
          <w:szCs w:val="24"/>
        </w:rPr>
      </w:pPr>
      <w:r w:rsidRPr="00D37490">
        <w:rPr>
          <w:b/>
          <w:bCs/>
          <w:sz w:val="24"/>
          <w:szCs w:val="24"/>
        </w:rPr>
        <w:t xml:space="preserve">Q. </w:t>
      </w:r>
      <w:r w:rsidRPr="00D37490">
        <w:rPr>
          <w:b/>
          <w:bCs/>
          <w:sz w:val="24"/>
          <w:szCs w:val="24"/>
        </w:rPr>
        <w:tab/>
        <w:t>Do</w:t>
      </w:r>
      <w:r w:rsidR="00AB3F26" w:rsidRPr="00D37490">
        <w:rPr>
          <w:b/>
          <w:bCs/>
          <w:sz w:val="24"/>
          <w:szCs w:val="24"/>
        </w:rPr>
        <w:t xml:space="preserve"> the</w:t>
      </w:r>
      <w:r w:rsidRPr="00D37490">
        <w:rPr>
          <w:b/>
          <w:bCs/>
          <w:sz w:val="24"/>
          <w:szCs w:val="24"/>
        </w:rPr>
        <w:t xml:space="preserve"> CenturyLink</w:t>
      </w:r>
      <w:r w:rsidR="009F54BB" w:rsidRPr="00D37490">
        <w:rPr>
          <w:b/>
          <w:bCs/>
          <w:sz w:val="24"/>
          <w:szCs w:val="24"/>
        </w:rPr>
        <w:t xml:space="preserve"> ILECs</w:t>
      </w:r>
      <w:r w:rsidRPr="00D37490">
        <w:rPr>
          <w:b/>
          <w:bCs/>
          <w:sz w:val="24"/>
          <w:szCs w:val="24"/>
        </w:rPr>
        <w:t xml:space="preserve"> offer any type of a service guarantee </w:t>
      </w:r>
      <w:r w:rsidR="00B67635" w:rsidRPr="00D37490">
        <w:rPr>
          <w:b/>
          <w:bCs/>
          <w:sz w:val="24"/>
          <w:szCs w:val="24"/>
        </w:rPr>
        <w:t xml:space="preserve">program </w:t>
      </w:r>
      <w:r w:rsidRPr="00D37490">
        <w:rPr>
          <w:b/>
          <w:bCs/>
          <w:sz w:val="24"/>
          <w:szCs w:val="24"/>
        </w:rPr>
        <w:t xml:space="preserve">in </w:t>
      </w:r>
      <w:r w:rsidR="00AB3F26" w:rsidRPr="00D37490">
        <w:rPr>
          <w:b/>
          <w:bCs/>
          <w:sz w:val="24"/>
          <w:szCs w:val="24"/>
        </w:rPr>
        <w:t>their</w:t>
      </w:r>
      <w:r w:rsidR="00B67635" w:rsidRPr="00D37490">
        <w:rPr>
          <w:b/>
          <w:bCs/>
          <w:sz w:val="24"/>
          <w:szCs w:val="24"/>
        </w:rPr>
        <w:t xml:space="preserve"> </w:t>
      </w:r>
      <w:r w:rsidRPr="00D37490">
        <w:rPr>
          <w:b/>
          <w:bCs/>
          <w:sz w:val="24"/>
          <w:szCs w:val="24"/>
        </w:rPr>
        <w:t>Washington</w:t>
      </w:r>
      <w:r w:rsidR="00B67635" w:rsidRPr="00D37490">
        <w:rPr>
          <w:b/>
          <w:bCs/>
          <w:sz w:val="24"/>
          <w:szCs w:val="24"/>
        </w:rPr>
        <w:t xml:space="preserve"> tariff</w:t>
      </w:r>
      <w:r w:rsidR="00AB3F26" w:rsidRPr="00D37490">
        <w:rPr>
          <w:b/>
          <w:bCs/>
          <w:sz w:val="24"/>
          <w:szCs w:val="24"/>
        </w:rPr>
        <w:t>s</w:t>
      </w:r>
      <w:r w:rsidRPr="00D37490">
        <w:rPr>
          <w:b/>
          <w:bCs/>
          <w:sz w:val="24"/>
          <w:szCs w:val="24"/>
        </w:rPr>
        <w:t>?</w:t>
      </w:r>
    </w:p>
    <w:p w:rsidR="00411644" w:rsidRPr="00D37490" w:rsidRDefault="00411644" w:rsidP="00411644">
      <w:pPr>
        <w:pStyle w:val="FootnoteText"/>
        <w:tabs>
          <w:tab w:val="left" w:pos="1560"/>
        </w:tabs>
        <w:spacing w:line="480" w:lineRule="auto"/>
        <w:ind w:left="835" w:hanging="835"/>
        <w:rPr>
          <w:bCs/>
          <w:sz w:val="24"/>
          <w:szCs w:val="24"/>
        </w:rPr>
      </w:pPr>
      <w:r w:rsidRPr="00D37490">
        <w:rPr>
          <w:bCs/>
          <w:sz w:val="24"/>
          <w:szCs w:val="24"/>
        </w:rPr>
        <w:t>A.</w:t>
      </w:r>
      <w:r w:rsidRPr="00D37490">
        <w:rPr>
          <w:bCs/>
          <w:sz w:val="24"/>
          <w:szCs w:val="24"/>
        </w:rPr>
        <w:tab/>
        <w:t xml:space="preserve">Not at this time.  </w:t>
      </w:r>
      <w:r w:rsidR="00C05A7E" w:rsidRPr="00D37490">
        <w:rPr>
          <w:bCs/>
          <w:sz w:val="24"/>
          <w:szCs w:val="24"/>
        </w:rPr>
        <w:t>However,</w:t>
      </w:r>
      <w:r w:rsidR="0027725A" w:rsidRPr="00D37490">
        <w:rPr>
          <w:bCs/>
          <w:sz w:val="24"/>
          <w:szCs w:val="24"/>
        </w:rPr>
        <w:t xml:space="preserve"> CenturyLink has committed to implementing a service guarantee program in the near future.  </w:t>
      </w:r>
      <w:r w:rsidR="005F062C" w:rsidRPr="00D37490">
        <w:rPr>
          <w:bCs/>
          <w:sz w:val="24"/>
          <w:szCs w:val="24"/>
        </w:rPr>
        <w:t>In t</w:t>
      </w:r>
      <w:r w:rsidRPr="00D37490">
        <w:rPr>
          <w:bCs/>
          <w:sz w:val="24"/>
          <w:szCs w:val="24"/>
        </w:rPr>
        <w:t>he settlement agreement in Docket UT-082119</w:t>
      </w:r>
      <w:r w:rsidR="005F062C" w:rsidRPr="00D37490">
        <w:rPr>
          <w:bCs/>
          <w:sz w:val="24"/>
          <w:szCs w:val="24"/>
        </w:rPr>
        <w:t xml:space="preserve">, which was adopted by the Commission, CenturyLink </w:t>
      </w:r>
      <w:r w:rsidR="0027725A" w:rsidRPr="00D37490">
        <w:rPr>
          <w:bCs/>
          <w:sz w:val="24"/>
          <w:szCs w:val="24"/>
        </w:rPr>
        <w:t xml:space="preserve">agreed </w:t>
      </w:r>
      <w:r w:rsidR="005F062C" w:rsidRPr="00D37490">
        <w:rPr>
          <w:bCs/>
          <w:sz w:val="24"/>
          <w:szCs w:val="24"/>
        </w:rPr>
        <w:t>to the following:</w:t>
      </w:r>
    </w:p>
    <w:p w:rsidR="00411644" w:rsidRPr="00D37490" w:rsidRDefault="00411644" w:rsidP="00411644">
      <w:pPr>
        <w:pStyle w:val="FootnoteText"/>
        <w:tabs>
          <w:tab w:val="left" w:pos="1560"/>
        </w:tabs>
        <w:ind w:left="835" w:hanging="835"/>
        <w:rPr>
          <w:bCs/>
          <w:sz w:val="24"/>
          <w:szCs w:val="24"/>
        </w:rPr>
      </w:pPr>
      <w:r w:rsidRPr="00D37490">
        <w:rPr>
          <w:bCs/>
          <w:sz w:val="24"/>
          <w:szCs w:val="24"/>
        </w:rPr>
        <w:tab/>
      </w:r>
      <w:r w:rsidRPr="00D37490">
        <w:rPr>
          <w:bCs/>
          <w:sz w:val="24"/>
          <w:szCs w:val="24"/>
        </w:rPr>
        <w:tab/>
        <w:t xml:space="preserve">“CenturyTel and Embarq agree that for a period of twelve months following the projected date for conversion to the CenturyTel billing and customer care </w:t>
      </w:r>
      <w:r w:rsidRPr="00D37490">
        <w:rPr>
          <w:bCs/>
          <w:sz w:val="24"/>
          <w:szCs w:val="24"/>
        </w:rPr>
        <w:lastRenderedPageBreak/>
        <w:t>system, the Merged Company ILECs will provide bill credits in their service territories based on the same structure as those currently provided by United under the terms of the settlement agreement approved in the Separation Order.  Automatic credits will be provided to customers for each repair and/or installation commitment missed due to reasons within the Merged Company ILECs’ control.  The credit will be a fixed $15 for residential and $25 for basic business customers.  The Merged Company ILECs must have in effect by the beginning of the conversion to the Cent</w:t>
      </w:r>
      <w:r w:rsidR="00961E73" w:rsidRPr="00D37490">
        <w:rPr>
          <w:bCs/>
          <w:sz w:val="24"/>
          <w:szCs w:val="24"/>
        </w:rPr>
        <w:t>u</w:t>
      </w:r>
      <w:r w:rsidRPr="00D37490">
        <w:rPr>
          <w:bCs/>
          <w:sz w:val="24"/>
          <w:szCs w:val="24"/>
        </w:rPr>
        <w:t>ryTel bil</w:t>
      </w:r>
      <w:r w:rsidR="00961E73" w:rsidRPr="00D37490">
        <w:rPr>
          <w:bCs/>
          <w:sz w:val="24"/>
          <w:szCs w:val="24"/>
        </w:rPr>
        <w:t>l</w:t>
      </w:r>
      <w:r w:rsidRPr="00D37490">
        <w:rPr>
          <w:bCs/>
          <w:sz w:val="24"/>
          <w:szCs w:val="24"/>
        </w:rPr>
        <w:t>ing and customer care system, tariffs providing for these credits.”</w:t>
      </w:r>
    </w:p>
    <w:p w:rsidR="00411644" w:rsidRPr="00D37490" w:rsidRDefault="00411644" w:rsidP="00411644">
      <w:pPr>
        <w:pStyle w:val="FootnoteText"/>
        <w:tabs>
          <w:tab w:val="left" w:pos="1560"/>
        </w:tabs>
        <w:ind w:left="835" w:hanging="835"/>
        <w:rPr>
          <w:bCs/>
          <w:sz w:val="24"/>
          <w:szCs w:val="24"/>
        </w:rPr>
      </w:pPr>
    </w:p>
    <w:p w:rsidR="00411644" w:rsidRPr="00D37490" w:rsidRDefault="00411644" w:rsidP="00411644">
      <w:pPr>
        <w:pStyle w:val="FootnoteText"/>
        <w:tabs>
          <w:tab w:val="left" w:pos="1560"/>
        </w:tabs>
        <w:spacing w:line="480" w:lineRule="auto"/>
        <w:ind w:left="835" w:hanging="835"/>
        <w:rPr>
          <w:bCs/>
          <w:sz w:val="24"/>
          <w:szCs w:val="24"/>
        </w:rPr>
      </w:pPr>
      <w:r w:rsidRPr="00D37490">
        <w:rPr>
          <w:bCs/>
          <w:sz w:val="24"/>
          <w:szCs w:val="24"/>
        </w:rPr>
        <w:tab/>
      </w:r>
      <w:r w:rsidRPr="00D37490">
        <w:rPr>
          <w:bCs/>
          <w:sz w:val="24"/>
          <w:szCs w:val="24"/>
        </w:rPr>
        <w:tab/>
      </w:r>
      <w:r w:rsidR="000643D7" w:rsidRPr="00D37490">
        <w:rPr>
          <w:bCs/>
          <w:sz w:val="24"/>
          <w:szCs w:val="24"/>
        </w:rPr>
        <w:t>CenturyLink</w:t>
      </w:r>
      <w:r w:rsidRPr="00D37490">
        <w:rPr>
          <w:bCs/>
          <w:sz w:val="24"/>
          <w:szCs w:val="24"/>
        </w:rPr>
        <w:t xml:space="preserve"> </w:t>
      </w:r>
      <w:r w:rsidR="000643D7" w:rsidRPr="00D37490">
        <w:rPr>
          <w:bCs/>
          <w:sz w:val="24"/>
          <w:szCs w:val="24"/>
        </w:rPr>
        <w:t>has stated in discovery</w:t>
      </w:r>
      <w:r w:rsidR="00B131FC" w:rsidRPr="00D37490">
        <w:rPr>
          <w:bCs/>
          <w:sz w:val="24"/>
          <w:szCs w:val="24"/>
        </w:rPr>
        <w:t xml:space="preserve"> </w:t>
      </w:r>
      <w:r w:rsidR="000643D7" w:rsidRPr="00D37490">
        <w:rPr>
          <w:bCs/>
          <w:sz w:val="24"/>
          <w:szCs w:val="24"/>
        </w:rPr>
        <w:t xml:space="preserve">that it </w:t>
      </w:r>
      <w:r w:rsidRPr="00D37490">
        <w:rPr>
          <w:bCs/>
          <w:sz w:val="24"/>
          <w:szCs w:val="24"/>
        </w:rPr>
        <w:t xml:space="preserve">expects to complete the billing and customer care systems integration for Washington customers by the third quarter of 2011. </w:t>
      </w:r>
      <w:r w:rsidR="00BE1AE2" w:rsidRPr="00D37490">
        <w:rPr>
          <w:bCs/>
          <w:sz w:val="24"/>
          <w:szCs w:val="24"/>
        </w:rPr>
        <w:t xml:space="preserve">In a confidential attachment </w:t>
      </w:r>
      <w:r w:rsidR="00B131FC" w:rsidRPr="00D37490">
        <w:rPr>
          <w:bCs/>
          <w:sz w:val="24"/>
          <w:szCs w:val="24"/>
        </w:rPr>
        <w:t>to the same</w:t>
      </w:r>
      <w:r w:rsidR="0056558A" w:rsidRPr="00D37490">
        <w:rPr>
          <w:bCs/>
          <w:sz w:val="24"/>
          <w:szCs w:val="24"/>
        </w:rPr>
        <w:t xml:space="preserve"> data request</w:t>
      </w:r>
      <w:r w:rsidR="0050198B" w:rsidRPr="00D37490">
        <w:rPr>
          <w:bCs/>
          <w:sz w:val="24"/>
          <w:szCs w:val="24"/>
        </w:rPr>
        <w:t xml:space="preserve">, </w:t>
      </w:r>
      <w:r w:rsidR="00146604" w:rsidRPr="00D37490">
        <w:rPr>
          <w:bCs/>
          <w:sz w:val="24"/>
          <w:szCs w:val="24"/>
        </w:rPr>
        <w:t xml:space="preserve">the company provided the customer credits </w:t>
      </w:r>
      <w:r w:rsidR="00B131FC" w:rsidRPr="00D37490">
        <w:rPr>
          <w:bCs/>
          <w:sz w:val="24"/>
          <w:szCs w:val="24"/>
        </w:rPr>
        <w:t xml:space="preserve">Embarq has paid </w:t>
      </w:r>
      <w:r w:rsidR="00146604" w:rsidRPr="00D37490">
        <w:rPr>
          <w:bCs/>
          <w:sz w:val="24"/>
          <w:szCs w:val="24"/>
        </w:rPr>
        <w:t xml:space="preserve">related to installations and repairs </w:t>
      </w:r>
      <w:r w:rsidR="00BE1AE2" w:rsidRPr="00D37490">
        <w:rPr>
          <w:bCs/>
          <w:sz w:val="24"/>
          <w:szCs w:val="24"/>
        </w:rPr>
        <w:t>from</w:t>
      </w:r>
      <w:r w:rsidRPr="00D37490">
        <w:rPr>
          <w:bCs/>
          <w:sz w:val="24"/>
          <w:szCs w:val="24"/>
        </w:rPr>
        <w:t xml:space="preserve"> July 2009 through July 2010</w:t>
      </w:r>
      <w:r w:rsidR="0056558A" w:rsidRPr="00D37490">
        <w:rPr>
          <w:bCs/>
          <w:sz w:val="24"/>
          <w:szCs w:val="24"/>
        </w:rPr>
        <w:t>.</w:t>
      </w:r>
      <w:r w:rsidR="008F6589" w:rsidRPr="00D37490">
        <w:rPr>
          <w:bCs/>
          <w:sz w:val="24"/>
          <w:szCs w:val="24"/>
        </w:rPr>
        <w:t xml:space="preserve"> </w:t>
      </w:r>
      <w:r w:rsidR="00146604" w:rsidRPr="00D37490">
        <w:rPr>
          <w:bCs/>
          <w:sz w:val="24"/>
          <w:szCs w:val="24"/>
        </w:rPr>
        <w:t xml:space="preserve">See </w:t>
      </w:r>
      <w:r w:rsidR="00146604" w:rsidRPr="00D37490">
        <w:rPr>
          <w:sz w:val="24"/>
          <w:szCs w:val="24"/>
        </w:rPr>
        <w:t xml:space="preserve">Exhibit No. </w:t>
      </w:r>
      <w:proofErr w:type="gramStart"/>
      <w:r w:rsidR="00146604" w:rsidRPr="00D37490">
        <w:rPr>
          <w:sz w:val="24"/>
          <w:szCs w:val="24"/>
        </w:rPr>
        <w:t>__ (KMR-5) for a full copy of the data request and the company’s response, and s</w:t>
      </w:r>
      <w:r w:rsidR="008F6589" w:rsidRPr="00D37490">
        <w:rPr>
          <w:bCs/>
          <w:sz w:val="24"/>
          <w:szCs w:val="24"/>
        </w:rPr>
        <w:t>ee Exhibit No.</w:t>
      </w:r>
      <w:proofErr w:type="gramEnd"/>
      <w:r w:rsidR="008F6589" w:rsidRPr="00D37490">
        <w:rPr>
          <w:bCs/>
          <w:sz w:val="24"/>
          <w:szCs w:val="24"/>
        </w:rPr>
        <w:t xml:space="preserve"> ___</w:t>
      </w:r>
      <w:proofErr w:type="gramStart"/>
      <w:r w:rsidR="008F6589" w:rsidRPr="00D37490">
        <w:rPr>
          <w:bCs/>
          <w:sz w:val="24"/>
          <w:szCs w:val="24"/>
        </w:rPr>
        <w:t>_(</w:t>
      </w:r>
      <w:proofErr w:type="gramEnd"/>
      <w:r w:rsidR="008F6589" w:rsidRPr="00D37490">
        <w:rPr>
          <w:bCs/>
          <w:sz w:val="24"/>
          <w:szCs w:val="24"/>
        </w:rPr>
        <w:t>KMR 6C)</w:t>
      </w:r>
      <w:r w:rsidR="00146604" w:rsidRPr="00D37490">
        <w:rPr>
          <w:bCs/>
          <w:sz w:val="24"/>
          <w:szCs w:val="24"/>
        </w:rPr>
        <w:t xml:space="preserve"> for the confidential customer credit payouts.</w:t>
      </w:r>
    </w:p>
    <w:p w:rsidR="003D41D2" w:rsidRPr="00D37490" w:rsidRDefault="003D41D2" w:rsidP="004D0770">
      <w:pPr>
        <w:pStyle w:val="FootnoteText"/>
        <w:tabs>
          <w:tab w:val="left" w:pos="1560"/>
        </w:tabs>
        <w:spacing w:line="480" w:lineRule="auto"/>
        <w:ind w:left="835" w:hanging="835"/>
        <w:rPr>
          <w:bCs/>
          <w:sz w:val="24"/>
          <w:szCs w:val="24"/>
        </w:rPr>
      </w:pPr>
    </w:p>
    <w:p w:rsidR="00772329" w:rsidRPr="00D37490" w:rsidRDefault="00772329" w:rsidP="004D0770">
      <w:pPr>
        <w:pStyle w:val="BodyTextIndent"/>
        <w:tabs>
          <w:tab w:val="clear" w:pos="0"/>
        </w:tabs>
        <w:ind w:firstLine="0"/>
        <w:rPr>
          <w:b/>
          <w:bCs/>
        </w:rPr>
      </w:pPr>
      <w:r w:rsidRPr="00D37490">
        <w:rPr>
          <w:b/>
          <w:bCs/>
        </w:rPr>
        <w:t>Q.</w:t>
      </w:r>
      <w:r w:rsidRPr="00D37490">
        <w:rPr>
          <w:b/>
          <w:bCs/>
        </w:rPr>
        <w:tab/>
        <w:t xml:space="preserve">Is there a reporting requirement </w:t>
      </w:r>
      <w:r w:rsidR="00B67635" w:rsidRPr="00D37490">
        <w:rPr>
          <w:b/>
          <w:bCs/>
        </w:rPr>
        <w:t xml:space="preserve">for Qwest’s </w:t>
      </w:r>
      <w:r w:rsidRPr="00D37490">
        <w:rPr>
          <w:b/>
          <w:bCs/>
        </w:rPr>
        <w:t>CSGP?</w:t>
      </w:r>
    </w:p>
    <w:p w:rsidR="00946DB4" w:rsidRPr="00D37490" w:rsidRDefault="00772329" w:rsidP="00946DB4">
      <w:pPr>
        <w:pStyle w:val="FootnoteText"/>
        <w:tabs>
          <w:tab w:val="left" w:pos="2400"/>
        </w:tabs>
        <w:spacing w:line="480" w:lineRule="auto"/>
        <w:ind w:left="720" w:hanging="720"/>
        <w:rPr>
          <w:bCs/>
          <w:sz w:val="24"/>
          <w:szCs w:val="24"/>
        </w:rPr>
      </w:pPr>
      <w:r w:rsidRPr="00D37490">
        <w:rPr>
          <w:bCs/>
          <w:sz w:val="24"/>
          <w:szCs w:val="24"/>
        </w:rPr>
        <w:t>A.</w:t>
      </w:r>
      <w:r w:rsidRPr="00D37490">
        <w:rPr>
          <w:bCs/>
          <w:sz w:val="24"/>
          <w:szCs w:val="24"/>
        </w:rPr>
        <w:tab/>
        <w:t xml:space="preserve">Yes.  In the Seventeenth Supplemental </w:t>
      </w:r>
      <w:r w:rsidR="00546478" w:rsidRPr="00D37490">
        <w:rPr>
          <w:bCs/>
          <w:sz w:val="24"/>
          <w:szCs w:val="24"/>
        </w:rPr>
        <w:t>O</w:t>
      </w:r>
      <w:r w:rsidRPr="00D37490">
        <w:rPr>
          <w:bCs/>
          <w:sz w:val="24"/>
          <w:szCs w:val="24"/>
        </w:rPr>
        <w:t xml:space="preserve">rder </w:t>
      </w:r>
      <w:r w:rsidR="00546478" w:rsidRPr="00D37490">
        <w:rPr>
          <w:bCs/>
          <w:sz w:val="24"/>
          <w:szCs w:val="24"/>
        </w:rPr>
        <w:t xml:space="preserve">in </w:t>
      </w:r>
      <w:r w:rsidRPr="00D37490">
        <w:rPr>
          <w:bCs/>
          <w:sz w:val="24"/>
          <w:szCs w:val="24"/>
        </w:rPr>
        <w:t>Docket UT-991358, the Commission ordered Qwest</w:t>
      </w:r>
      <w:r w:rsidR="009F54BB" w:rsidRPr="00D37490">
        <w:rPr>
          <w:bCs/>
          <w:sz w:val="24"/>
          <w:szCs w:val="24"/>
        </w:rPr>
        <w:t xml:space="preserve"> </w:t>
      </w:r>
      <w:r w:rsidRPr="00D37490">
        <w:rPr>
          <w:bCs/>
          <w:sz w:val="24"/>
          <w:szCs w:val="24"/>
        </w:rPr>
        <w:t>to provide monthly reports of its performance and credits under the CSGP, beginning with the July 2004 report.</w:t>
      </w:r>
      <w:r w:rsidRPr="00D37490">
        <w:rPr>
          <w:rStyle w:val="FootnoteReference"/>
          <w:bCs/>
          <w:sz w:val="24"/>
          <w:szCs w:val="24"/>
        </w:rPr>
        <w:footnoteReference w:id="8"/>
      </w:r>
      <w:r w:rsidRPr="00D37490">
        <w:rPr>
          <w:bCs/>
          <w:sz w:val="24"/>
          <w:szCs w:val="24"/>
        </w:rPr>
        <w:t xml:space="preserve">  Again, the company’s service quality history led to the establishment of this program and eventual reporting requirement.</w:t>
      </w:r>
    </w:p>
    <w:p w:rsidR="00772329" w:rsidRPr="00D37490" w:rsidRDefault="00772329" w:rsidP="00772329">
      <w:pPr>
        <w:pStyle w:val="FootnoteText"/>
        <w:tabs>
          <w:tab w:val="left" w:pos="1440"/>
          <w:tab w:val="left" w:pos="2400"/>
        </w:tabs>
        <w:spacing w:line="480" w:lineRule="auto"/>
        <w:ind w:left="835" w:hanging="835"/>
        <w:rPr>
          <w:bCs/>
          <w:sz w:val="24"/>
          <w:szCs w:val="24"/>
        </w:rPr>
      </w:pPr>
      <w:r w:rsidRPr="00D37490">
        <w:rPr>
          <w:bCs/>
          <w:sz w:val="24"/>
          <w:szCs w:val="24"/>
        </w:rPr>
        <w:tab/>
      </w:r>
      <w:r w:rsidRPr="00D37490">
        <w:rPr>
          <w:bCs/>
          <w:sz w:val="24"/>
          <w:szCs w:val="24"/>
        </w:rPr>
        <w:tab/>
        <w:t>The reporting of this data enables Staff to monitor credits the company pays to affected customers for missed appointments</w:t>
      </w:r>
      <w:r w:rsidR="00546478" w:rsidRPr="00D37490">
        <w:rPr>
          <w:bCs/>
          <w:sz w:val="24"/>
          <w:szCs w:val="24"/>
        </w:rPr>
        <w:t xml:space="preserve"> and</w:t>
      </w:r>
      <w:r w:rsidRPr="00D37490">
        <w:rPr>
          <w:bCs/>
          <w:sz w:val="24"/>
          <w:szCs w:val="24"/>
        </w:rPr>
        <w:t xml:space="preserve"> missed commitments, as well as the other customer credits.</w:t>
      </w:r>
    </w:p>
    <w:p w:rsidR="00772329" w:rsidRPr="00D37490" w:rsidRDefault="00772329" w:rsidP="00772329">
      <w:pPr>
        <w:pStyle w:val="BodyTextIndent2"/>
        <w:rPr>
          <w:b/>
          <w:kern w:val="24"/>
        </w:rPr>
      </w:pPr>
    </w:p>
    <w:p w:rsidR="00772329" w:rsidRPr="00D37490" w:rsidRDefault="00772329" w:rsidP="00772329">
      <w:pPr>
        <w:spacing w:line="480" w:lineRule="auto"/>
        <w:ind w:left="720" w:hanging="720"/>
      </w:pPr>
      <w:r w:rsidRPr="00D37490">
        <w:rPr>
          <w:b/>
          <w:bCs/>
        </w:rPr>
        <w:lastRenderedPageBreak/>
        <w:t>Q.</w:t>
      </w:r>
      <w:r w:rsidRPr="00D37490">
        <w:rPr>
          <w:b/>
          <w:bCs/>
        </w:rPr>
        <w:tab/>
        <w:t>Has the Commission required additional service quality reporting or conditions related to ILEC mergers?</w:t>
      </w:r>
    </w:p>
    <w:p w:rsidR="00772329" w:rsidRPr="00D37490" w:rsidRDefault="00772329" w:rsidP="00D61018">
      <w:pPr>
        <w:pStyle w:val="BodyTextIndent"/>
        <w:tabs>
          <w:tab w:val="clear" w:pos="0"/>
        </w:tabs>
        <w:ind w:left="720" w:hanging="720"/>
      </w:pPr>
      <w:r w:rsidRPr="00D37490">
        <w:t>A.</w:t>
      </w:r>
      <w:r w:rsidRPr="00D37490">
        <w:tab/>
        <w:t xml:space="preserve">Yes.  In the merger between US WEST and Qwest, Docket UT-991358, the Commission approved a settlement agreement that contained a Service Quality Performance Program (SQPP). </w:t>
      </w:r>
      <w:r w:rsidR="004F7E21" w:rsidRPr="00D37490">
        <w:t xml:space="preserve"> Also, in the transfer of ownership case of Verizon to Frontier</w:t>
      </w:r>
      <w:r w:rsidR="007C6A26" w:rsidRPr="00D37490">
        <w:t>, Docket UT-090842</w:t>
      </w:r>
      <w:r w:rsidR="004F7E21" w:rsidRPr="00D37490">
        <w:t xml:space="preserve">, </w:t>
      </w:r>
      <w:proofErr w:type="gramStart"/>
      <w:r w:rsidR="004F7E21" w:rsidRPr="00D37490">
        <w:t>the</w:t>
      </w:r>
      <w:proofErr w:type="gramEnd"/>
      <w:r w:rsidR="004F7E21" w:rsidRPr="00D37490">
        <w:t xml:space="preserve"> Commission approved a settlement agreement </w:t>
      </w:r>
      <w:r w:rsidR="00D4668B" w:rsidRPr="00D37490">
        <w:t xml:space="preserve">requiring </w:t>
      </w:r>
      <w:r w:rsidR="004F7E21" w:rsidRPr="00D37490">
        <w:t xml:space="preserve">Frontier </w:t>
      </w:r>
      <w:r w:rsidR="00D4668B" w:rsidRPr="00D37490">
        <w:t xml:space="preserve">to </w:t>
      </w:r>
      <w:r w:rsidR="004F7E21" w:rsidRPr="00D37490">
        <w:t>meet certain service quality standards</w:t>
      </w:r>
      <w:r w:rsidR="00B640EE" w:rsidRPr="00D37490">
        <w:t xml:space="preserve"> and </w:t>
      </w:r>
      <w:r w:rsidR="005C66A9" w:rsidRPr="00D37490">
        <w:t xml:space="preserve">to </w:t>
      </w:r>
      <w:r w:rsidR="00B640EE" w:rsidRPr="00D37490">
        <w:t xml:space="preserve">provide customer credits and </w:t>
      </w:r>
      <w:r w:rsidR="005C66A9" w:rsidRPr="00D37490">
        <w:t xml:space="preserve">alternative </w:t>
      </w:r>
      <w:r w:rsidR="00B640EE" w:rsidRPr="00D37490">
        <w:t>service</w:t>
      </w:r>
      <w:r w:rsidR="005C66A9" w:rsidRPr="00D37490">
        <w:t>s</w:t>
      </w:r>
      <w:r w:rsidR="00B640EE" w:rsidRPr="00D37490">
        <w:t xml:space="preserve"> in its tariff</w:t>
      </w:r>
      <w:r w:rsidR="004F7E21" w:rsidRPr="00D37490">
        <w:t>.</w:t>
      </w:r>
    </w:p>
    <w:p w:rsidR="00772329" w:rsidRPr="00D37490" w:rsidRDefault="003E456D" w:rsidP="00D61018">
      <w:pPr>
        <w:pStyle w:val="BodyTextIndent"/>
        <w:tabs>
          <w:tab w:val="clear" w:pos="0"/>
        </w:tabs>
        <w:ind w:firstLine="0"/>
      </w:pPr>
      <w:r w:rsidRPr="00D37490">
        <w:t xml:space="preserve">  </w:t>
      </w:r>
    </w:p>
    <w:p w:rsidR="00772329" w:rsidRPr="00D37490" w:rsidRDefault="00772329" w:rsidP="00772329">
      <w:pPr>
        <w:spacing w:line="480" w:lineRule="auto"/>
        <w:ind w:left="720" w:hanging="720"/>
      </w:pPr>
      <w:r w:rsidRPr="00D37490">
        <w:rPr>
          <w:b/>
          <w:bCs/>
        </w:rPr>
        <w:t>Q.</w:t>
      </w:r>
      <w:r w:rsidRPr="00D37490">
        <w:rPr>
          <w:b/>
          <w:bCs/>
        </w:rPr>
        <w:tab/>
        <w:t>What was the Service Quality Performance Program (SQPP)?</w:t>
      </w:r>
      <w:r w:rsidRPr="00D37490">
        <w:rPr>
          <w:b/>
          <w:bCs/>
        </w:rPr>
        <w:tab/>
      </w:r>
    </w:p>
    <w:p w:rsidR="00772329" w:rsidRPr="00D37490" w:rsidRDefault="00772329" w:rsidP="00772329">
      <w:pPr>
        <w:spacing w:line="480" w:lineRule="auto"/>
        <w:ind w:left="720" w:hanging="720"/>
      </w:pPr>
      <w:r w:rsidRPr="00D37490">
        <w:t>A.</w:t>
      </w:r>
      <w:r w:rsidRPr="00D37490">
        <w:tab/>
        <w:t xml:space="preserve">The SQPP was a service quality program comprised of eight measurements of performance:  </w:t>
      </w:r>
    </w:p>
    <w:p w:rsidR="00772329" w:rsidRPr="00D37490" w:rsidRDefault="00772329" w:rsidP="00D61018">
      <w:pPr>
        <w:ind w:left="1350" w:hanging="630"/>
      </w:pPr>
      <w:r w:rsidRPr="00D37490">
        <w:t xml:space="preserve">1) </w:t>
      </w:r>
      <w:r w:rsidR="00D61018" w:rsidRPr="00D37490">
        <w:tab/>
      </w:r>
      <w:r w:rsidRPr="00D37490">
        <w:rPr>
          <w:u w:val="single"/>
        </w:rPr>
        <w:t xml:space="preserve">Processing of Orders </w:t>
      </w:r>
      <w:proofErr w:type="gramStart"/>
      <w:r w:rsidRPr="00D37490">
        <w:rPr>
          <w:u w:val="single"/>
        </w:rPr>
        <w:t>Within</w:t>
      </w:r>
      <w:proofErr w:type="gramEnd"/>
      <w:r w:rsidRPr="00D37490">
        <w:rPr>
          <w:u w:val="single"/>
        </w:rPr>
        <w:t xml:space="preserve"> 5 Days</w:t>
      </w:r>
      <w:r w:rsidRPr="00D37490">
        <w:t xml:space="preserve"> – baseline: complete 90% of all applications for installation (up to five access lines);</w:t>
      </w:r>
    </w:p>
    <w:p w:rsidR="00772329" w:rsidRPr="00D37490" w:rsidRDefault="00772329" w:rsidP="00D61018">
      <w:pPr>
        <w:ind w:left="1350" w:hanging="630"/>
      </w:pPr>
      <w:r w:rsidRPr="00D37490">
        <w:t xml:space="preserve">2) </w:t>
      </w:r>
      <w:r w:rsidR="00D61018" w:rsidRPr="00D37490">
        <w:tab/>
      </w:r>
      <w:r w:rsidRPr="00D37490">
        <w:rPr>
          <w:u w:val="single"/>
        </w:rPr>
        <w:t xml:space="preserve">Processing of Orders </w:t>
      </w:r>
      <w:proofErr w:type="gramStart"/>
      <w:r w:rsidRPr="00D37490">
        <w:rPr>
          <w:u w:val="single"/>
        </w:rPr>
        <w:t>Within</w:t>
      </w:r>
      <w:proofErr w:type="gramEnd"/>
      <w:r w:rsidRPr="00D37490">
        <w:rPr>
          <w:u w:val="single"/>
        </w:rPr>
        <w:t xml:space="preserve"> 90 Days</w:t>
      </w:r>
      <w:r w:rsidRPr="00D37490">
        <w:t xml:space="preserve"> – baseline: complete 99% of all applications for installation (up to five access lines); </w:t>
      </w:r>
    </w:p>
    <w:p w:rsidR="00772329" w:rsidRPr="00D37490" w:rsidRDefault="00772329" w:rsidP="00D61018">
      <w:pPr>
        <w:ind w:left="1350" w:hanging="630"/>
      </w:pPr>
      <w:r w:rsidRPr="00D37490">
        <w:t xml:space="preserve">3) </w:t>
      </w:r>
      <w:r w:rsidR="00D61018" w:rsidRPr="00D37490">
        <w:tab/>
      </w:r>
      <w:r w:rsidRPr="00D37490">
        <w:rPr>
          <w:u w:val="single"/>
        </w:rPr>
        <w:t>Trouble Reports</w:t>
      </w:r>
      <w:r w:rsidRPr="00D37490">
        <w:t xml:space="preserve"> – baseline: trouble reports by exchange shall not exceed four trouble reports per 100 access lines per month for three consecutive months, nor exceed four trouble reports per month for four months in any one 12-month period; </w:t>
      </w:r>
    </w:p>
    <w:p w:rsidR="00772329" w:rsidRPr="00D37490" w:rsidRDefault="00772329" w:rsidP="00D61018">
      <w:pPr>
        <w:ind w:left="1350" w:hanging="630"/>
      </w:pPr>
      <w:r w:rsidRPr="00D37490">
        <w:t xml:space="preserve">4) </w:t>
      </w:r>
      <w:r w:rsidR="00D61018" w:rsidRPr="00D37490">
        <w:tab/>
      </w:r>
      <w:r w:rsidRPr="00D37490">
        <w:rPr>
          <w:u w:val="single"/>
        </w:rPr>
        <w:t>No Dial Tone</w:t>
      </w:r>
      <w:r w:rsidRPr="00D37490">
        <w:t xml:space="preserve"> – baseline: dial tone within three seconds on at least 90% of calls placed;</w:t>
      </w:r>
    </w:p>
    <w:p w:rsidR="00772329" w:rsidRPr="00D37490" w:rsidRDefault="00772329" w:rsidP="00D61018">
      <w:pPr>
        <w:ind w:left="1350" w:hanging="630"/>
      </w:pPr>
      <w:r w:rsidRPr="00D37490">
        <w:t xml:space="preserve">5) </w:t>
      </w:r>
      <w:r w:rsidR="00D61018" w:rsidRPr="00D37490">
        <w:tab/>
      </w:r>
      <w:r w:rsidRPr="00D37490">
        <w:rPr>
          <w:u w:val="single"/>
        </w:rPr>
        <w:t>Out-of-Service Conditions – Repair Intervals</w:t>
      </w:r>
      <w:r w:rsidRPr="00D37490">
        <w:t xml:space="preserve"> – baseline: all reported interruptions of service shall be restored within two business days (some specific exclusions permitted);</w:t>
      </w:r>
    </w:p>
    <w:p w:rsidR="00772329" w:rsidRPr="00D37490" w:rsidRDefault="00772329" w:rsidP="00D61018">
      <w:pPr>
        <w:ind w:left="1350" w:hanging="630"/>
      </w:pPr>
      <w:r w:rsidRPr="00D37490">
        <w:t xml:space="preserve">6) </w:t>
      </w:r>
      <w:r w:rsidR="00D61018" w:rsidRPr="00D37490">
        <w:tab/>
      </w:r>
      <w:r w:rsidRPr="00D37490">
        <w:rPr>
          <w:u w:val="single"/>
        </w:rPr>
        <w:t>Answer Time Performance – Repair Calls</w:t>
      </w:r>
      <w:r w:rsidRPr="00D37490">
        <w:t xml:space="preserve"> – baseline: the Company shall answer 80% of repair calls within 30 seconds;</w:t>
      </w:r>
    </w:p>
    <w:p w:rsidR="00772329" w:rsidRPr="00D37490" w:rsidRDefault="00772329" w:rsidP="00D61018">
      <w:pPr>
        <w:ind w:left="1350" w:hanging="630"/>
      </w:pPr>
      <w:r w:rsidRPr="00D37490">
        <w:t xml:space="preserve">7) </w:t>
      </w:r>
      <w:r w:rsidR="00D61018" w:rsidRPr="00D37490">
        <w:tab/>
      </w:r>
      <w:r w:rsidRPr="00D37490">
        <w:rPr>
          <w:u w:val="single"/>
        </w:rPr>
        <w:t>Complaint Response</w:t>
      </w:r>
      <w:r w:rsidRPr="00D37490">
        <w:t xml:space="preserve"> – baseline: provide complete and detailed response to Commission staff (in accordance with WAC) within two business days of receipt of a commission complaint; and </w:t>
      </w:r>
    </w:p>
    <w:p w:rsidR="00772329" w:rsidRPr="00D37490" w:rsidRDefault="00772329" w:rsidP="00D61018">
      <w:pPr>
        <w:ind w:left="1350" w:hanging="630"/>
      </w:pPr>
      <w:r w:rsidRPr="00D37490">
        <w:t xml:space="preserve">8) </w:t>
      </w:r>
      <w:r w:rsidR="00D61018" w:rsidRPr="00D37490">
        <w:tab/>
      </w:r>
      <w:r w:rsidRPr="00D37490">
        <w:rPr>
          <w:u w:val="single"/>
        </w:rPr>
        <w:t>Answer Time Performance – Customer Service</w:t>
      </w:r>
      <w:r w:rsidRPr="00D37490">
        <w:t xml:space="preserve"> – baseline: Company shall answer 80% of business office calls within 30 seconds.  </w:t>
      </w:r>
    </w:p>
    <w:p w:rsidR="00772329" w:rsidRPr="00D37490" w:rsidRDefault="00772329" w:rsidP="00772329">
      <w:pPr>
        <w:ind w:left="720"/>
      </w:pPr>
    </w:p>
    <w:p w:rsidR="00772329" w:rsidRPr="00D37490" w:rsidRDefault="00772329" w:rsidP="00772329">
      <w:pPr>
        <w:spacing w:line="480" w:lineRule="auto"/>
        <w:ind w:left="720" w:firstLine="720"/>
      </w:pPr>
      <w:r w:rsidRPr="00D37490">
        <w:lastRenderedPageBreak/>
        <w:t>If Qwest</w:t>
      </w:r>
      <w:r w:rsidR="009F54BB" w:rsidRPr="00D37490">
        <w:t xml:space="preserve"> </w:t>
      </w:r>
      <w:r w:rsidRPr="00D37490">
        <w:t>did not meet the standards associated with each of these measures on a monthly basis, then it became liable to customers (as a whole, rather than on a customer-by-customer basis)</w:t>
      </w:r>
      <w:r w:rsidR="00D452CF" w:rsidRPr="00D37490">
        <w:t xml:space="preserve"> for bill credits</w:t>
      </w:r>
      <w:r w:rsidRPr="00D37490">
        <w:t>.  Measurements 1 through 4 had a maximum annual amount of $4 million each, and measurements 5 through 8 had a maximum annual amount of $1 million each.  The maximum amount Qwest was potentially liable to pay annually was $20 million.  This amount equated to approximately two percent of the company’s intrastate operating revenue.</w:t>
      </w:r>
    </w:p>
    <w:p w:rsidR="00772329" w:rsidRPr="00D37490" w:rsidRDefault="00772329" w:rsidP="00772329">
      <w:pPr>
        <w:spacing w:line="480" w:lineRule="auto"/>
        <w:ind w:left="720" w:hanging="720"/>
      </w:pPr>
      <w:r w:rsidRPr="00D37490">
        <w:tab/>
      </w:r>
      <w:r w:rsidRPr="00D37490">
        <w:tab/>
        <w:t>Qwest</w:t>
      </w:r>
      <w:r w:rsidR="009F54BB" w:rsidRPr="00D37490">
        <w:t xml:space="preserve"> </w:t>
      </w:r>
      <w:r w:rsidRPr="00D37490">
        <w:t xml:space="preserve">was required to file a monthly report with information sufficient to evaluate the company’s performance on these eight measurements.  The reports were similar in form and content </w:t>
      </w:r>
      <w:r w:rsidR="00D452CF" w:rsidRPr="00D37490">
        <w:t>to</w:t>
      </w:r>
      <w:r w:rsidRPr="00D37490">
        <w:t xml:space="preserve"> existing monthly service quality reports filed by the company, but were expanded to include the additional service quality elements.  The extensive service quality report was necessary for parties’ ability to evaluate and calculate annual SQPP customer credits.  The annual customer credit amount was determined at the end of the year, after discussions with Staff and Public Counsel.</w:t>
      </w:r>
    </w:p>
    <w:p w:rsidR="00772329" w:rsidRPr="00D37490" w:rsidRDefault="00772329" w:rsidP="00D61018">
      <w:pPr>
        <w:pStyle w:val="BodyTextIndent"/>
        <w:tabs>
          <w:tab w:val="clear" w:pos="0"/>
        </w:tabs>
        <w:ind w:left="720" w:hanging="720"/>
      </w:pPr>
      <w:r w:rsidRPr="00D37490">
        <w:tab/>
      </w:r>
      <w:r w:rsidRPr="00D37490">
        <w:tab/>
        <w:t xml:space="preserve">The SQPP program began on January 1, 2001, and </w:t>
      </w:r>
      <w:r w:rsidR="00D452CF" w:rsidRPr="00D37490">
        <w:t xml:space="preserve">in 2002 Qwest paid </w:t>
      </w:r>
      <w:r w:rsidRPr="00D37490">
        <w:t>the first customer credits</w:t>
      </w:r>
      <w:r w:rsidR="00D452CF" w:rsidRPr="00D37490">
        <w:t>, based on the company’s performance in 2001</w:t>
      </w:r>
      <w:r w:rsidRPr="00D37490">
        <w:t xml:space="preserve">.  Qwest was not obligated to continue the program after December 31, 2005.  </w:t>
      </w:r>
    </w:p>
    <w:p w:rsidR="00772329" w:rsidRPr="00D37490" w:rsidRDefault="00772329" w:rsidP="00772329">
      <w:pPr>
        <w:pStyle w:val="BodyTextIndent"/>
        <w:tabs>
          <w:tab w:val="clear" w:pos="0"/>
        </w:tabs>
      </w:pPr>
    </w:p>
    <w:p w:rsidR="00772329" w:rsidRPr="00D37490" w:rsidRDefault="00772329" w:rsidP="00D61018">
      <w:pPr>
        <w:pStyle w:val="BodyTextIndent"/>
        <w:tabs>
          <w:tab w:val="clear" w:pos="0"/>
        </w:tabs>
        <w:ind w:left="720" w:hanging="720"/>
        <w:rPr>
          <w:b/>
          <w:bCs/>
        </w:rPr>
      </w:pPr>
      <w:r w:rsidRPr="00D37490">
        <w:rPr>
          <w:b/>
          <w:bCs/>
        </w:rPr>
        <w:t>Q.</w:t>
      </w:r>
      <w:r w:rsidRPr="00D37490">
        <w:rPr>
          <w:b/>
          <w:bCs/>
        </w:rPr>
        <w:tab/>
        <w:t>Are there any other provisions in the SQPP that the Commission required of Qwest?</w:t>
      </w:r>
    </w:p>
    <w:p w:rsidR="002C33B7" w:rsidRPr="00D37490" w:rsidRDefault="00772329">
      <w:pPr>
        <w:pStyle w:val="BodyTextIndent"/>
        <w:tabs>
          <w:tab w:val="clear" w:pos="0"/>
        </w:tabs>
        <w:ind w:left="720" w:hanging="720"/>
        <w:rPr>
          <w:bCs/>
        </w:rPr>
      </w:pPr>
      <w:r w:rsidRPr="00D37490">
        <w:rPr>
          <w:bCs/>
        </w:rPr>
        <w:t>A.</w:t>
      </w:r>
      <w:r w:rsidRPr="00D37490">
        <w:rPr>
          <w:bCs/>
        </w:rPr>
        <w:tab/>
        <w:t xml:space="preserve">Yes.  The Commission required the company to make appropriate adjustments for rate making purposes to exclude any credits that were paid under the SQPP from its regulated results of operations.  </w:t>
      </w:r>
    </w:p>
    <w:p w:rsidR="002C33B7" w:rsidRPr="00D37490" w:rsidRDefault="00A72D67">
      <w:pPr>
        <w:pStyle w:val="BodyTextIndent"/>
        <w:tabs>
          <w:tab w:val="clear" w:pos="0"/>
        </w:tabs>
        <w:ind w:left="720" w:hanging="720"/>
      </w:pPr>
      <w:r w:rsidRPr="00D37490">
        <w:rPr>
          <w:b/>
          <w:bCs/>
        </w:rPr>
        <w:lastRenderedPageBreak/>
        <w:t>Q.</w:t>
      </w:r>
      <w:r w:rsidRPr="00D37490">
        <w:rPr>
          <w:b/>
          <w:bCs/>
        </w:rPr>
        <w:tab/>
        <w:t xml:space="preserve"> </w:t>
      </w:r>
      <w:r w:rsidR="004F7E21" w:rsidRPr="00D37490">
        <w:rPr>
          <w:b/>
          <w:bCs/>
        </w:rPr>
        <w:t xml:space="preserve">What are the service quality benchmarks </w:t>
      </w:r>
      <w:r w:rsidR="008375C3" w:rsidRPr="00D37490">
        <w:rPr>
          <w:b/>
          <w:bCs/>
        </w:rPr>
        <w:t xml:space="preserve">and customer credits </w:t>
      </w:r>
      <w:r w:rsidR="004F7E21" w:rsidRPr="00D37490">
        <w:rPr>
          <w:b/>
          <w:bCs/>
        </w:rPr>
        <w:t xml:space="preserve">that the Commission </w:t>
      </w:r>
      <w:r w:rsidR="003D3B4D" w:rsidRPr="00D37490">
        <w:rPr>
          <w:b/>
          <w:bCs/>
        </w:rPr>
        <w:t xml:space="preserve">required of </w:t>
      </w:r>
      <w:r w:rsidR="004F7E21" w:rsidRPr="00D37490">
        <w:rPr>
          <w:b/>
          <w:bCs/>
        </w:rPr>
        <w:t xml:space="preserve">Frontier? </w:t>
      </w:r>
    </w:p>
    <w:p w:rsidR="00A5647F" w:rsidRPr="00D37490" w:rsidRDefault="00A72D67" w:rsidP="00B86D15">
      <w:pPr>
        <w:spacing w:line="480" w:lineRule="auto"/>
        <w:ind w:left="720" w:hanging="720"/>
      </w:pPr>
      <w:r w:rsidRPr="00D37490">
        <w:t>A.</w:t>
      </w:r>
      <w:r w:rsidRPr="00D37490">
        <w:tab/>
      </w:r>
      <w:r w:rsidR="00090CA6" w:rsidRPr="00D37490">
        <w:t xml:space="preserve">The Commission approved the </w:t>
      </w:r>
      <w:r w:rsidR="008375C3" w:rsidRPr="00D37490">
        <w:t xml:space="preserve">service quality benchmarks for customer credits as part of </w:t>
      </w:r>
      <w:r w:rsidR="00090CA6" w:rsidRPr="00D37490">
        <w:t>the settlement agreement as follows:</w:t>
      </w:r>
    </w:p>
    <w:p w:rsidR="00B86D15" w:rsidRPr="00D37490" w:rsidRDefault="00A5647F" w:rsidP="00B86D15">
      <w:pPr>
        <w:ind w:left="1440" w:hanging="720"/>
      </w:pPr>
      <w:r w:rsidRPr="00D37490">
        <w:t xml:space="preserve">a) </w:t>
      </w:r>
      <w:r w:rsidRPr="00D37490">
        <w:tab/>
      </w:r>
      <w:r w:rsidR="008375C3" w:rsidRPr="00D37490">
        <w:t>The o</w:t>
      </w:r>
      <w:r w:rsidRPr="00D37490">
        <w:t>ut-of-service interval</w:t>
      </w:r>
      <w:r w:rsidR="008375C3" w:rsidRPr="00D37490">
        <w:t xml:space="preserve"> (as described in WAC 480-120-440)</w:t>
      </w:r>
      <w:r w:rsidRPr="00D37490">
        <w:t xml:space="preserve"> </w:t>
      </w:r>
      <w:r w:rsidR="008375C3" w:rsidRPr="00D37490">
        <w:t xml:space="preserve">must average no more than </w:t>
      </w:r>
      <w:r w:rsidRPr="00D37490">
        <w:t>24 hours</w:t>
      </w:r>
      <w:r w:rsidR="008375C3" w:rsidRPr="00D37490">
        <w:t>.  The customer credit due for each month in which the company fails to meet the standard is $100,000 divided by 12.</w:t>
      </w:r>
    </w:p>
    <w:p w:rsidR="00B86D15" w:rsidRPr="00D37490" w:rsidRDefault="00A5647F" w:rsidP="00B86D15">
      <w:pPr>
        <w:ind w:left="1440" w:hanging="720"/>
      </w:pPr>
      <w:r w:rsidRPr="00D37490">
        <w:t xml:space="preserve">b) </w:t>
      </w:r>
      <w:r w:rsidRPr="00D37490">
        <w:tab/>
      </w:r>
      <w:r w:rsidR="008375C3" w:rsidRPr="00D37490">
        <w:t>The o</w:t>
      </w:r>
      <w:r w:rsidRPr="00D37490">
        <w:t>ther service interruption interval</w:t>
      </w:r>
      <w:r w:rsidR="008375C3" w:rsidRPr="00D37490">
        <w:t xml:space="preserve"> (as described in WAC 480-120-440) must average no more than </w:t>
      </w:r>
      <w:r w:rsidRPr="00D37490">
        <w:t>36 hours</w:t>
      </w:r>
      <w:r w:rsidR="008375C3" w:rsidRPr="00D37490">
        <w:t xml:space="preserve">.  The customer credit due for each month in which the company fails to meet the standard is $100,000 divided by 12. </w:t>
      </w:r>
    </w:p>
    <w:p w:rsidR="00A5647F" w:rsidRPr="00D37490" w:rsidRDefault="00A5647F" w:rsidP="00B86D15">
      <w:pPr>
        <w:ind w:left="1440" w:hanging="720"/>
      </w:pPr>
      <w:r w:rsidRPr="00D37490">
        <w:t xml:space="preserve">c) </w:t>
      </w:r>
      <w:r w:rsidRPr="00D37490">
        <w:tab/>
      </w:r>
      <w:r w:rsidR="008375C3" w:rsidRPr="00D37490">
        <w:t>T</w:t>
      </w:r>
      <w:r w:rsidRPr="00D37490">
        <w:t>rouble report</w:t>
      </w:r>
      <w:r w:rsidR="008375C3" w:rsidRPr="00D37490">
        <w:t>s</w:t>
      </w:r>
      <w:r w:rsidRPr="00D37490">
        <w:t xml:space="preserve"> </w:t>
      </w:r>
      <w:r w:rsidR="008375C3" w:rsidRPr="00D37490">
        <w:t xml:space="preserve">(as defined by WAC 480-120-021) </w:t>
      </w:r>
      <w:r w:rsidRPr="00D37490">
        <w:t xml:space="preserve">per 100 access lines </w:t>
      </w:r>
      <w:r w:rsidR="008375C3" w:rsidRPr="00D37490">
        <w:t xml:space="preserve">must not exceed the standard in </w:t>
      </w:r>
      <w:r w:rsidRPr="00D37490">
        <w:t>WAC 480-120-438</w:t>
      </w:r>
      <w:r w:rsidR="008375C3" w:rsidRPr="00D37490">
        <w:t>.  The customer credit due for each month, and each central office, in which the company fails to meet the standard is $100,000 divided by 12 divided by the total number of Frontier NW central office</w:t>
      </w:r>
      <w:r w:rsidR="00170FFC" w:rsidRPr="00D37490">
        <w:t>s</w:t>
      </w:r>
      <w:r w:rsidR="008375C3" w:rsidRPr="00D37490">
        <w:t xml:space="preserve"> in the state of Washington.</w:t>
      </w:r>
    </w:p>
    <w:p w:rsidR="00A5647F" w:rsidRPr="00D37490" w:rsidRDefault="00B86D15" w:rsidP="00B86D15">
      <w:pPr>
        <w:tabs>
          <w:tab w:val="left" w:pos="1440"/>
        </w:tabs>
        <w:ind w:left="1440" w:hanging="720"/>
      </w:pPr>
      <w:r w:rsidRPr="00D37490">
        <w:t>d</w:t>
      </w:r>
      <w:r w:rsidR="00A5647F" w:rsidRPr="00D37490">
        <w:t xml:space="preserve">) </w:t>
      </w:r>
      <w:r w:rsidR="00A5647F" w:rsidRPr="00D37490">
        <w:tab/>
        <w:t>Out-of-service trouble report</w:t>
      </w:r>
      <w:r w:rsidR="008375C3" w:rsidRPr="00D37490">
        <w:t>s</w:t>
      </w:r>
      <w:r w:rsidR="00A5647F" w:rsidRPr="00D37490">
        <w:t xml:space="preserve"> per 100 access lines (</w:t>
      </w:r>
      <w:r w:rsidR="008375C3" w:rsidRPr="00D37490">
        <w:t>as defined for ARMIS report 43-05) must not exceed 15.0 per year for Frontier NW’s Washington operations.  The customer credit due for each year in which the company fails to meet the standard is $100,000 divided by 12.</w:t>
      </w:r>
    </w:p>
    <w:p w:rsidR="00A5647F" w:rsidRPr="00D37490" w:rsidRDefault="00A5647F" w:rsidP="00B86D15">
      <w:pPr>
        <w:ind w:left="1440" w:hanging="720"/>
      </w:pPr>
      <w:r w:rsidRPr="00D37490">
        <w:t xml:space="preserve">e) </w:t>
      </w:r>
      <w:r w:rsidRPr="00D37490">
        <w:tab/>
        <w:t>Answer time performance</w:t>
      </w:r>
      <w:r w:rsidR="00B86D15" w:rsidRPr="00D37490">
        <w:t xml:space="preserve"> for the company’s </w:t>
      </w:r>
      <w:r w:rsidRPr="00D37490">
        <w:t xml:space="preserve">repair center </w:t>
      </w:r>
      <w:r w:rsidR="00B86D15" w:rsidRPr="00D37490">
        <w:t xml:space="preserve">must meet the standard in </w:t>
      </w:r>
      <w:r w:rsidRPr="00D37490">
        <w:t>WAC 480-120-133</w:t>
      </w:r>
      <w:r w:rsidR="00B86D15" w:rsidRPr="00D37490">
        <w:t xml:space="preserve">.  The customer credit due for each month in which the company fails to meet the standard is $100,000 divided by 12. </w:t>
      </w:r>
    </w:p>
    <w:p w:rsidR="00A5647F" w:rsidRDefault="00A5647F" w:rsidP="00B86D15">
      <w:pPr>
        <w:ind w:left="1440" w:hanging="720"/>
      </w:pPr>
      <w:r w:rsidRPr="00D37490">
        <w:t xml:space="preserve">f) </w:t>
      </w:r>
      <w:r w:rsidRPr="00D37490">
        <w:tab/>
        <w:t>Answer time performance</w:t>
      </w:r>
      <w:r w:rsidR="00B86D15" w:rsidRPr="00D37490">
        <w:t xml:space="preserve"> for the company’s business office must meet the standard in </w:t>
      </w:r>
      <w:r w:rsidRPr="00D37490">
        <w:t>WAC 480-120-133.</w:t>
      </w:r>
      <w:r w:rsidR="00B86D15" w:rsidRPr="00D37490">
        <w:t xml:space="preserve">  The customer credit due for each month in which the company fails to meet the standard is $100,000 divided by 12.</w:t>
      </w:r>
    </w:p>
    <w:p w:rsidR="002C3A7A" w:rsidRPr="00D37490" w:rsidRDefault="002C3A7A" w:rsidP="00B86D15">
      <w:pPr>
        <w:ind w:left="1440" w:hanging="720"/>
      </w:pPr>
    </w:p>
    <w:p w:rsidR="00A72D67" w:rsidRPr="00D37490" w:rsidRDefault="00A72D67" w:rsidP="00D61018">
      <w:pPr>
        <w:pStyle w:val="BodyTextIndent"/>
        <w:tabs>
          <w:tab w:val="clear" w:pos="0"/>
        </w:tabs>
        <w:ind w:left="720" w:hanging="720"/>
        <w:rPr>
          <w:bCs/>
        </w:rPr>
      </w:pPr>
    </w:p>
    <w:p w:rsidR="00104A72" w:rsidRPr="00D37490" w:rsidRDefault="00104A72" w:rsidP="00104A72">
      <w:pPr>
        <w:pStyle w:val="BodyTextIndent"/>
        <w:tabs>
          <w:tab w:val="clear" w:pos="0"/>
        </w:tabs>
        <w:ind w:left="720" w:hanging="720"/>
      </w:pPr>
      <w:r w:rsidRPr="00D37490">
        <w:rPr>
          <w:b/>
          <w:bCs/>
        </w:rPr>
        <w:t>Q.</w:t>
      </w:r>
      <w:r w:rsidRPr="00D37490">
        <w:rPr>
          <w:b/>
          <w:bCs/>
        </w:rPr>
        <w:tab/>
        <w:t xml:space="preserve"> </w:t>
      </w:r>
      <w:r w:rsidR="00B86D15" w:rsidRPr="00D37490">
        <w:rPr>
          <w:b/>
          <w:bCs/>
        </w:rPr>
        <w:t xml:space="preserve">Were </w:t>
      </w:r>
      <w:r w:rsidRPr="00D37490">
        <w:rPr>
          <w:b/>
          <w:bCs/>
        </w:rPr>
        <w:t xml:space="preserve">there any other requirements associated with the service quality benchmarks that the Commission </w:t>
      </w:r>
      <w:r w:rsidR="003D3B4D" w:rsidRPr="00D37490">
        <w:rPr>
          <w:b/>
          <w:bCs/>
        </w:rPr>
        <w:t xml:space="preserve">required of </w:t>
      </w:r>
      <w:r w:rsidRPr="00D37490">
        <w:rPr>
          <w:b/>
          <w:bCs/>
        </w:rPr>
        <w:t xml:space="preserve">Frontier? </w:t>
      </w:r>
    </w:p>
    <w:p w:rsidR="005E4A58" w:rsidRPr="00D37490" w:rsidRDefault="00104A72" w:rsidP="00104A72">
      <w:pPr>
        <w:pStyle w:val="BodyTextIndent"/>
        <w:tabs>
          <w:tab w:val="clear" w:pos="0"/>
        </w:tabs>
        <w:ind w:left="720" w:hanging="720"/>
      </w:pPr>
      <w:r w:rsidRPr="00D37490">
        <w:t>A.</w:t>
      </w:r>
      <w:r w:rsidRPr="00D37490">
        <w:tab/>
        <w:t xml:space="preserve">Yes.  </w:t>
      </w:r>
      <w:r w:rsidR="003D3B4D" w:rsidRPr="00D37490">
        <w:t>In addition to the monthly standards and credits described above, Frontier must provide additional credits if it repeatedly fails to meet the above standards as measured on an annual basis.  If Frontier fails to meet a standard</w:t>
      </w:r>
      <w:r w:rsidR="005E4A58" w:rsidRPr="00D37490">
        <w:t xml:space="preserve"> on a monthly basis</w:t>
      </w:r>
      <w:r w:rsidR="003D3B4D" w:rsidRPr="00D37490">
        <w:t xml:space="preserve"> for two out of the three years, </w:t>
      </w:r>
      <w:r w:rsidR="005E4A58" w:rsidRPr="00D37490">
        <w:t xml:space="preserve">the company </w:t>
      </w:r>
      <w:r w:rsidR="003D3B4D" w:rsidRPr="00D37490">
        <w:t xml:space="preserve">must provide </w:t>
      </w:r>
      <w:r w:rsidR="005E4A58" w:rsidRPr="00D37490">
        <w:t xml:space="preserve">an additional $100,000 for </w:t>
      </w:r>
      <w:r w:rsidR="005E4A58" w:rsidRPr="00D37490">
        <w:lastRenderedPageBreak/>
        <w:t xml:space="preserve">failure to meet the standard, </w:t>
      </w:r>
      <w:r w:rsidR="003D3B4D" w:rsidRPr="00D37490">
        <w:t xml:space="preserve">and if it fails to meet a standard </w:t>
      </w:r>
      <w:r w:rsidR="005E4A58" w:rsidRPr="00D37490">
        <w:t xml:space="preserve">on a monthly basis </w:t>
      </w:r>
      <w:r w:rsidR="003D3B4D" w:rsidRPr="00D37490">
        <w:t>for all three years, it must add an ad</w:t>
      </w:r>
      <w:r w:rsidR="005E4A58" w:rsidRPr="00D37490">
        <w:t xml:space="preserve">ditional $200,000.  </w:t>
      </w:r>
    </w:p>
    <w:p w:rsidR="00104A72" w:rsidRPr="00D37490" w:rsidRDefault="00B86D15" w:rsidP="005E4A58">
      <w:pPr>
        <w:pStyle w:val="BodyTextIndent"/>
        <w:tabs>
          <w:tab w:val="clear" w:pos="0"/>
        </w:tabs>
        <w:ind w:left="720" w:firstLine="720"/>
      </w:pPr>
      <w:r w:rsidRPr="00D37490">
        <w:t xml:space="preserve">Frontier is </w:t>
      </w:r>
      <w:r w:rsidR="003D3B4D" w:rsidRPr="00D37490">
        <w:t xml:space="preserve">also </w:t>
      </w:r>
      <w:r w:rsidRPr="00D37490">
        <w:t xml:space="preserve">required to provide </w:t>
      </w:r>
      <w:r w:rsidR="005037DB" w:rsidRPr="00D37490">
        <w:t xml:space="preserve">to its customers and Commission Staff </w:t>
      </w:r>
      <w:r w:rsidRPr="00D37490">
        <w:t xml:space="preserve">an annual report card of </w:t>
      </w:r>
      <w:r w:rsidR="005037DB" w:rsidRPr="00D37490">
        <w:t xml:space="preserve">its performance in relation to </w:t>
      </w:r>
      <w:r w:rsidRPr="00D37490">
        <w:t xml:space="preserve">the above </w:t>
      </w:r>
      <w:r w:rsidR="003D3B4D" w:rsidRPr="00D37490">
        <w:t xml:space="preserve">benchmarks.  </w:t>
      </w:r>
    </w:p>
    <w:p w:rsidR="004B4851" w:rsidRPr="00D37490" w:rsidRDefault="004B4851" w:rsidP="005E4A58">
      <w:pPr>
        <w:pStyle w:val="BodyTextIndent"/>
        <w:tabs>
          <w:tab w:val="clear" w:pos="0"/>
        </w:tabs>
        <w:ind w:left="720" w:firstLine="720"/>
      </w:pPr>
    </w:p>
    <w:p w:rsidR="004B4851" w:rsidRPr="00D37490" w:rsidRDefault="004B4851" w:rsidP="004B4851">
      <w:pPr>
        <w:pStyle w:val="BodyTextIndent"/>
        <w:tabs>
          <w:tab w:val="clear" w:pos="0"/>
        </w:tabs>
        <w:ind w:left="720" w:hanging="720"/>
        <w:rPr>
          <w:b/>
          <w:bCs/>
        </w:rPr>
      </w:pPr>
      <w:r w:rsidRPr="00D37490">
        <w:rPr>
          <w:b/>
          <w:bCs/>
        </w:rPr>
        <w:t>Q.</w:t>
      </w:r>
      <w:r w:rsidRPr="00D37490">
        <w:rPr>
          <w:b/>
          <w:bCs/>
        </w:rPr>
        <w:tab/>
      </w:r>
      <w:r w:rsidR="003C2787" w:rsidRPr="00D37490">
        <w:rPr>
          <w:b/>
          <w:bCs/>
        </w:rPr>
        <w:t>Did the Commission require Frontier to provide any service quality credits or offerings in its tariff</w:t>
      </w:r>
      <w:r w:rsidRPr="00D37490">
        <w:rPr>
          <w:b/>
          <w:bCs/>
        </w:rPr>
        <w:t>?</w:t>
      </w:r>
    </w:p>
    <w:p w:rsidR="004B4851" w:rsidRPr="00D37490" w:rsidRDefault="004B4851" w:rsidP="00AF0ECA">
      <w:pPr>
        <w:pStyle w:val="BodyTextIndent"/>
        <w:tabs>
          <w:tab w:val="clear" w:pos="0"/>
        </w:tabs>
        <w:ind w:left="720" w:hanging="720"/>
      </w:pPr>
      <w:r w:rsidRPr="00D37490">
        <w:rPr>
          <w:bCs/>
        </w:rPr>
        <w:t>A.</w:t>
      </w:r>
      <w:r w:rsidRPr="00D37490">
        <w:rPr>
          <w:bCs/>
        </w:rPr>
        <w:tab/>
      </w:r>
      <w:r w:rsidR="003C2787" w:rsidRPr="00D37490">
        <w:rPr>
          <w:bCs/>
        </w:rPr>
        <w:t xml:space="preserve">Yes.  </w:t>
      </w:r>
      <w:r w:rsidR="003C2787" w:rsidRPr="00D37490">
        <w:t>Frontier was required to augment Verizon’s Service Performance Guarantee (SPG) program that was currently being offered in its tariff as follows:</w:t>
      </w:r>
    </w:p>
    <w:p w:rsidR="003C2787" w:rsidRPr="00D37490" w:rsidRDefault="003C2787" w:rsidP="00AF0ECA">
      <w:pPr>
        <w:pStyle w:val="BodyTextIndent"/>
        <w:tabs>
          <w:tab w:val="clear" w:pos="0"/>
          <w:tab w:val="left" w:pos="720"/>
          <w:tab w:val="left" w:pos="1440"/>
        </w:tabs>
        <w:spacing w:line="240" w:lineRule="auto"/>
        <w:ind w:left="1440" w:hanging="1440"/>
      </w:pPr>
      <w:r w:rsidRPr="00D37490">
        <w:tab/>
        <w:t xml:space="preserve">a) </w:t>
      </w:r>
      <w:r w:rsidR="00AF0ECA" w:rsidRPr="00D37490">
        <w:tab/>
      </w:r>
      <w:r w:rsidRPr="00D37490">
        <w:t>Increase the missed commitment credit for</w:t>
      </w:r>
      <w:r w:rsidR="00AF0ECA" w:rsidRPr="00D37490">
        <w:t xml:space="preserve"> residential customers from $25 to $35;</w:t>
      </w:r>
    </w:p>
    <w:p w:rsidR="00AF0ECA" w:rsidRPr="00D37490" w:rsidRDefault="00AF0ECA" w:rsidP="00AF0ECA">
      <w:pPr>
        <w:pStyle w:val="BodyTextIndent"/>
        <w:tabs>
          <w:tab w:val="clear" w:pos="0"/>
        </w:tabs>
        <w:spacing w:line="240" w:lineRule="auto"/>
        <w:ind w:left="1440" w:hanging="720"/>
      </w:pPr>
      <w:r w:rsidRPr="00D37490">
        <w:t xml:space="preserve">b) </w:t>
      </w:r>
      <w:r w:rsidRPr="00D37490">
        <w:tab/>
        <w:t>Offer customers alternative services for failure to deliver basic service on time; and</w:t>
      </w:r>
    </w:p>
    <w:p w:rsidR="00AF0ECA" w:rsidRPr="00D37490" w:rsidRDefault="00AF0ECA" w:rsidP="00AF0ECA">
      <w:pPr>
        <w:pStyle w:val="BodyTextIndent"/>
        <w:tabs>
          <w:tab w:val="clear" w:pos="0"/>
        </w:tabs>
        <w:spacing w:line="240" w:lineRule="auto"/>
        <w:ind w:left="1440" w:hanging="720"/>
      </w:pPr>
      <w:r w:rsidRPr="00D37490">
        <w:t xml:space="preserve">c) </w:t>
      </w:r>
      <w:r w:rsidRPr="00D37490">
        <w:tab/>
        <w:t>Offer a flat-rate credit of $5 for out-of-service conditions greater than two days.</w:t>
      </w:r>
    </w:p>
    <w:p w:rsidR="00AF0ECA" w:rsidRPr="00D37490" w:rsidRDefault="00AF0ECA" w:rsidP="00AF0ECA">
      <w:pPr>
        <w:pStyle w:val="BodyTextIndent"/>
        <w:tabs>
          <w:tab w:val="clear" w:pos="0"/>
        </w:tabs>
        <w:spacing w:line="240" w:lineRule="auto"/>
        <w:ind w:left="720" w:firstLine="0"/>
      </w:pPr>
    </w:p>
    <w:p w:rsidR="00312818" w:rsidRPr="00D37490" w:rsidRDefault="00AF0ECA" w:rsidP="00AF0ECA">
      <w:pPr>
        <w:pStyle w:val="BodyTextIndent"/>
        <w:tabs>
          <w:tab w:val="clear" w:pos="0"/>
        </w:tabs>
        <w:ind w:left="720" w:firstLine="0"/>
      </w:pPr>
      <w:r w:rsidRPr="00D37490">
        <w:tab/>
        <w:t>Frontier must report monthly, with its service quality report, the customer credits associated with the SPG.</w:t>
      </w:r>
    </w:p>
    <w:p w:rsidR="00312818" w:rsidRPr="00D37490" w:rsidRDefault="00312818" w:rsidP="00AF0ECA">
      <w:pPr>
        <w:pStyle w:val="BodyTextIndent"/>
        <w:tabs>
          <w:tab w:val="clear" w:pos="0"/>
        </w:tabs>
        <w:ind w:left="720" w:firstLine="0"/>
      </w:pPr>
    </w:p>
    <w:p w:rsidR="00312818" w:rsidRPr="00D37490" w:rsidRDefault="00312818" w:rsidP="00312818">
      <w:pPr>
        <w:pStyle w:val="BodyTextIndent"/>
        <w:tabs>
          <w:tab w:val="clear" w:pos="0"/>
        </w:tabs>
        <w:ind w:left="720" w:hanging="720"/>
        <w:rPr>
          <w:b/>
          <w:bCs/>
        </w:rPr>
      </w:pPr>
      <w:r w:rsidRPr="00D37490">
        <w:rPr>
          <w:b/>
          <w:bCs/>
        </w:rPr>
        <w:t>Q.</w:t>
      </w:r>
      <w:r w:rsidRPr="00D37490">
        <w:rPr>
          <w:b/>
          <w:bCs/>
        </w:rPr>
        <w:tab/>
        <w:t>Are there any other provisions related to customer credits that the Commission required of Frontier?</w:t>
      </w:r>
    </w:p>
    <w:p w:rsidR="00AF0ECA" w:rsidRPr="00D37490" w:rsidRDefault="00312818" w:rsidP="00B640EE">
      <w:pPr>
        <w:pStyle w:val="BodyTextIndent"/>
        <w:tabs>
          <w:tab w:val="clear" w:pos="0"/>
        </w:tabs>
        <w:ind w:left="720" w:hanging="720"/>
      </w:pPr>
      <w:r w:rsidRPr="00D37490">
        <w:rPr>
          <w:bCs/>
        </w:rPr>
        <w:t>A.</w:t>
      </w:r>
      <w:r w:rsidRPr="00D37490">
        <w:rPr>
          <w:bCs/>
        </w:rPr>
        <w:tab/>
        <w:t xml:space="preserve">Yes.  </w:t>
      </w:r>
      <w:r w:rsidR="00AF0ECA" w:rsidRPr="00D37490">
        <w:t>As with Qwest</w:t>
      </w:r>
      <w:r w:rsidR="0095794E" w:rsidRPr="00D37490">
        <w:t xml:space="preserve"> </w:t>
      </w:r>
      <w:r w:rsidR="00AF0ECA" w:rsidRPr="00D37490">
        <w:t>and its CSPG</w:t>
      </w:r>
      <w:r w:rsidR="009F51F0" w:rsidRPr="00D37490">
        <w:t xml:space="preserve"> and SQPP</w:t>
      </w:r>
      <w:r w:rsidR="00AF0ECA" w:rsidRPr="00D37490">
        <w:t xml:space="preserve">, Frontier may not seek to recover customer payout credits associated with </w:t>
      </w:r>
      <w:r w:rsidR="009F51F0" w:rsidRPr="00D37490">
        <w:t>either the SPG tariff offerings or the service quality performance benchmarks in future rate cases.</w:t>
      </w:r>
    </w:p>
    <w:p w:rsidR="005E4A58" w:rsidRPr="00D37490" w:rsidRDefault="005E4A58" w:rsidP="005E4A58">
      <w:pPr>
        <w:pStyle w:val="BodyTextIndent"/>
        <w:tabs>
          <w:tab w:val="clear" w:pos="0"/>
        </w:tabs>
        <w:ind w:left="720" w:firstLine="720"/>
        <w:rPr>
          <w:bCs/>
        </w:rPr>
      </w:pPr>
    </w:p>
    <w:p w:rsidR="00A72D67" w:rsidRPr="00D37490" w:rsidRDefault="00A72D67" w:rsidP="002C3A7A">
      <w:pPr>
        <w:pStyle w:val="BodyTextIndent"/>
        <w:keepNext/>
        <w:tabs>
          <w:tab w:val="clear" w:pos="0"/>
        </w:tabs>
        <w:ind w:left="720" w:hanging="720"/>
        <w:rPr>
          <w:b/>
          <w:bCs/>
        </w:rPr>
      </w:pPr>
      <w:r w:rsidRPr="00D37490">
        <w:rPr>
          <w:b/>
          <w:bCs/>
        </w:rPr>
        <w:lastRenderedPageBreak/>
        <w:t>Q.</w:t>
      </w:r>
      <w:r w:rsidRPr="00D37490">
        <w:rPr>
          <w:b/>
          <w:bCs/>
        </w:rPr>
        <w:tab/>
        <w:t xml:space="preserve">Is </w:t>
      </w:r>
      <w:r w:rsidR="005006C8" w:rsidRPr="00D37490">
        <w:rPr>
          <w:b/>
          <w:bCs/>
        </w:rPr>
        <w:t>S</w:t>
      </w:r>
      <w:r w:rsidRPr="00D37490">
        <w:rPr>
          <w:b/>
          <w:bCs/>
        </w:rPr>
        <w:t xml:space="preserve">taff recommending any type of an </w:t>
      </w:r>
      <w:r w:rsidR="004F7E21" w:rsidRPr="00D37490">
        <w:rPr>
          <w:b/>
          <w:bCs/>
        </w:rPr>
        <w:t>“</w:t>
      </w:r>
      <w:r w:rsidRPr="00D37490">
        <w:rPr>
          <w:b/>
          <w:bCs/>
        </w:rPr>
        <w:t>SQPP</w:t>
      </w:r>
      <w:r w:rsidR="004F7E21" w:rsidRPr="00D37490">
        <w:rPr>
          <w:b/>
          <w:bCs/>
        </w:rPr>
        <w:t>”</w:t>
      </w:r>
      <w:r w:rsidRPr="00D37490">
        <w:rPr>
          <w:b/>
          <w:bCs/>
        </w:rPr>
        <w:t xml:space="preserve"> in this case?</w:t>
      </w:r>
    </w:p>
    <w:p w:rsidR="00A72D67" w:rsidRPr="00D37490" w:rsidRDefault="00A72D67" w:rsidP="002C3A7A">
      <w:pPr>
        <w:pStyle w:val="BodyTextIndent"/>
        <w:keepNext/>
        <w:tabs>
          <w:tab w:val="clear" w:pos="0"/>
        </w:tabs>
        <w:ind w:left="720" w:hanging="720"/>
        <w:rPr>
          <w:bCs/>
        </w:rPr>
      </w:pPr>
      <w:r w:rsidRPr="00D37490">
        <w:rPr>
          <w:bCs/>
        </w:rPr>
        <w:t>A.</w:t>
      </w:r>
      <w:r w:rsidRPr="00D37490">
        <w:rPr>
          <w:bCs/>
        </w:rPr>
        <w:tab/>
        <w:t xml:space="preserve">No.  When the Commission approved the SQPP, Qwest (f/k/a US WEST) </w:t>
      </w:r>
      <w:r w:rsidR="005006C8" w:rsidRPr="00D37490">
        <w:rPr>
          <w:bCs/>
        </w:rPr>
        <w:t xml:space="preserve">had </w:t>
      </w:r>
      <w:r w:rsidRPr="00D37490">
        <w:rPr>
          <w:bCs/>
        </w:rPr>
        <w:t xml:space="preserve">service quality </w:t>
      </w:r>
      <w:r w:rsidR="005006C8" w:rsidRPr="00D37490">
        <w:rPr>
          <w:bCs/>
        </w:rPr>
        <w:t xml:space="preserve">that </w:t>
      </w:r>
      <w:r w:rsidRPr="00D37490">
        <w:rPr>
          <w:bCs/>
        </w:rPr>
        <w:t>was deplorable, and th</w:t>
      </w:r>
      <w:r w:rsidR="004F7E21" w:rsidRPr="00D37490">
        <w:rPr>
          <w:bCs/>
        </w:rPr>
        <w:t>ese</w:t>
      </w:r>
      <w:r w:rsidRPr="00D37490">
        <w:rPr>
          <w:bCs/>
        </w:rPr>
        <w:t xml:space="preserve"> additional measure</w:t>
      </w:r>
      <w:r w:rsidR="004F7E21" w:rsidRPr="00D37490">
        <w:rPr>
          <w:bCs/>
        </w:rPr>
        <w:t>s</w:t>
      </w:r>
      <w:r w:rsidRPr="00D37490">
        <w:rPr>
          <w:bCs/>
        </w:rPr>
        <w:t xml:space="preserve"> w</w:t>
      </w:r>
      <w:r w:rsidR="004F7E21" w:rsidRPr="00D37490">
        <w:rPr>
          <w:bCs/>
        </w:rPr>
        <w:t>ere</w:t>
      </w:r>
      <w:r w:rsidRPr="00D37490">
        <w:rPr>
          <w:bCs/>
        </w:rPr>
        <w:t xml:space="preserve"> warranted.  </w:t>
      </w:r>
      <w:r w:rsidR="00107865" w:rsidRPr="00D37490">
        <w:rPr>
          <w:bCs/>
        </w:rPr>
        <w:t xml:space="preserve">As for </w:t>
      </w:r>
      <w:r w:rsidRPr="00D37490">
        <w:rPr>
          <w:bCs/>
        </w:rPr>
        <w:t>Frontier,</w:t>
      </w:r>
      <w:r w:rsidR="00107865" w:rsidRPr="00D37490">
        <w:rPr>
          <w:bCs/>
        </w:rPr>
        <w:t xml:space="preserve"> Staff</w:t>
      </w:r>
      <w:r w:rsidR="00CA0FF2" w:rsidRPr="00D37490">
        <w:rPr>
          <w:bCs/>
        </w:rPr>
        <w:t xml:space="preserve">’s serious concerns about the transaction </w:t>
      </w:r>
      <w:r w:rsidR="00940021" w:rsidRPr="00D37490">
        <w:rPr>
          <w:bCs/>
        </w:rPr>
        <w:t>necessitated</w:t>
      </w:r>
      <w:r w:rsidR="00107865" w:rsidRPr="00D37490">
        <w:rPr>
          <w:bCs/>
        </w:rPr>
        <w:t xml:space="preserve"> additional customer safeguards.  Frontier was not operating in Washington, and based on the service quality information that was available via the FCC’s ARMIS database</w:t>
      </w:r>
      <w:r w:rsidR="00A5647F" w:rsidRPr="00D37490">
        <w:rPr>
          <w:bCs/>
        </w:rPr>
        <w:t>, as well as the failures associated with the cut-over of Verizon systems to FairPoint systems that led to many customer services problems, including delays in installation and repair</w:t>
      </w:r>
      <w:r w:rsidR="00D342C8" w:rsidRPr="00D37490">
        <w:rPr>
          <w:bCs/>
        </w:rPr>
        <w:t>,</w:t>
      </w:r>
      <w:r w:rsidR="00C10A8D" w:rsidRPr="00D37490">
        <w:rPr>
          <w:rStyle w:val="FootnoteReference"/>
          <w:bCs/>
        </w:rPr>
        <w:footnoteReference w:id="9"/>
      </w:r>
      <w:r w:rsidR="00A5647F" w:rsidRPr="00D37490">
        <w:rPr>
          <w:bCs/>
        </w:rPr>
        <w:t xml:space="preserve"> Staff </w:t>
      </w:r>
      <w:r w:rsidR="00F965FD" w:rsidRPr="00D37490">
        <w:rPr>
          <w:bCs/>
        </w:rPr>
        <w:t>determined</w:t>
      </w:r>
      <w:r w:rsidR="00A5647F" w:rsidRPr="00D37490">
        <w:rPr>
          <w:bCs/>
        </w:rPr>
        <w:t xml:space="preserve"> it was necessary to add the additional requirements to prevent any potential customer harm caused by possible service quality deterioration.  </w:t>
      </w:r>
    </w:p>
    <w:p w:rsidR="004A1A76" w:rsidRPr="00D37490" w:rsidRDefault="004A1A76" w:rsidP="00A72D67">
      <w:pPr>
        <w:pStyle w:val="BodyTextIndent"/>
        <w:tabs>
          <w:tab w:val="clear" w:pos="0"/>
        </w:tabs>
        <w:ind w:left="720" w:hanging="720"/>
        <w:rPr>
          <w:bCs/>
        </w:rPr>
      </w:pPr>
      <w:r w:rsidRPr="00D37490">
        <w:rPr>
          <w:bCs/>
        </w:rPr>
        <w:tab/>
      </w:r>
      <w:r w:rsidRPr="00D37490">
        <w:rPr>
          <w:bCs/>
        </w:rPr>
        <w:tab/>
      </w:r>
      <w:r w:rsidR="00AF1B8C" w:rsidRPr="00D37490">
        <w:rPr>
          <w:bCs/>
        </w:rPr>
        <w:t xml:space="preserve">As mentioned earlier in my testimony, </w:t>
      </w:r>
      <w:r w:rsidRPr="00D37490">
        <w:rPr>
          <w:bCs/>
        </w:rPr>
        <w:t>Qwest</w:t>
      </w:r>
      <w:r w:rsidR="0095794E" w:rsidRPr="00D37490">
        <w:rPr>
          <w:bCs/>
        </w:rPr>
        <w:t xml:space="preserve"> ILEC</w:t>
      </w:r>
      <w:r w:rsidRPr="00D37490">
        <w:rPr>
          <w:bCs/>
        </w:rPr>
        <w:t xml:space="preserve"> and CenturyLink</w:t>
      </w:r>
      <w:r w:rsidR="0095794E" w:rsidRPr="00D37490">
        <w:rPr>
          <w:bCs/>
        </w:rPr>
        <w:t xml:space="preserve"> ILEC</w:t>
      </w:r>
      <w:r w:rsidRPr="00D37490">
        <w:rPr>
          <w:bCs/>
        </w:rPr>
        <w:t xml:space="preserve"> are providing adequate service quality </w:t>
      </w:r>
      <w:r w:rsidR="005006C8" w:rsidRPr="00D37490">
        <w:rPr>
          <w:bCs/>
        </w:rPr>
        <w:t>in Washington</w:t>
      </w:r>
      <w:r w:rsidRPr="00D37490">
        <w:rPr>
          <w:bCs/>
        </w:rPr>
        <w:t xml:space="preserve">. </w:t>
      </w:r>
      <w:r w:rsidR="005006C8" w:rsidRPr="00D37490">
        <w:rPr>
          <w:bCs/>
        </w:rPr>
        <w:t xml:space="preserve"> Staff inquired </w:t>
      </w:r>
      <w:r w:rsidR="0092414D" w:rsidRPr="00D37490">
        <w:rPr>
          <w:bCs/>
        </w:rPr>
        <w:t xml:space="preserve">about </w:t>
      </w:r>
      <w:r w:rsidR="005006C8" w:rsidRPr="00D37490">
        <w:rPr>
          <w:bCs/>
        </w:rPr>
        <w:t>the companies’ performance in other states</w:t>
      </w:r>
      <w:r w:rsidR="0092414D" w:rsidRPr="00D37490">
        <w:rPr>
          <w:bCs/>
        </w:rPr>
        <w:t xml:space="preserve"> during discovery</w:t>
      </w:r>
      <w:r w:rsidR="005006C8" w:rsidRPr="00D37490">
        <w:rPr>
          <w:bCs/>
        </w:rPr>
        <w:t xml:space="preserve">.  Staff was concerned that if the companies were providing poor service quality in other states, that they may </w:t>
      </w:r>
      <w:r w:rsidR="00AF1B8C" w:rsidRPr="00D37490">
        <w:rPr>
          <w:bCs/>
        </w:rPr>
        <w:t xml:space="preserve">divert </w:t>
      </w:r>
      <w:r w:rsidR="005006C8" w:rsidRPr="00D37490">
        <w:rPr>
          <w:bCs/>
        </w:rPr>
        <w:t>some of their investment in Washington to other states, thereby causing the deterioration of their service quality</w:t>
      </w:r>
      <w:r w:rsidR="004F7E21" w:rsidRPr="00D37490">
        <w:rPr>
          <w:bCs/>
        </w:rPr>
        <w:t xml:space="preserve"> to Washington consumers. </w:t>
      </w:r>
      <w:r w:rsidR="005006C8" w:rsidRPr="00D37490">
        <w:rPr>
          <w:bCs/>
        </w:rPr>
        <w:t>Staff eventually received responses to these data requests</w:t>
      </w:r>
      <w:r w:rsidR="0092414D" w:rsidRPr="00D37490">
        <w:rPr>
          <w:bCs/>
        </w:rPr>
        <w:t xml:space="preserve"> and n</w:t>
      </w:r>
      <w:r w:rsidRPr="00D37490">
        <w:rPr>
          <w:bCs/>
        </w:rPr>
        <w:t xml:space="preserve">othing in </w:t>
      </w:r>
      <w:r w:rsidR="0092414D" w:rsidRPr="00D37490">
        <w:rPr>
          <w:bCs/>
        </w:rPr>
        <w:t xml:space="preserve">that data </w:t>
      </w:r>
      <w:r w:rsidRPr="00D37490">
        <w:rPr>
          <w:bCs/>
        </w:rPr>
        <w:t xml:space="preserve">indicates that the companies are providing </w:t>
      </w:r>
      <w:r w:rsidR="00D25D8C" w:rsidRPr="00D37490">
        <w:rPr>
          <w:bCs/>
        </w:rPr>
        <w:t xml:space="preserve">significantly </w:t>
      </w:r>
      <w:r w:rsidRPr="00D37490">
        <w:rPr>
          <w:bCs/>
        </w:rPr>
        <w:t xml:space="preserve">subpar service quality elsewhere.  Therefore, </w:t>
      </w:r>
      <w:r w:rsidR="00712A95" w:rsidRPr="00D37490">
        <w:rPr>
          <w:bCs/>
        </w:rPr>
        <w:t xml:space="preserve">I am </w:t>
      </w:r>
      <w:r w:rsidRPr="00D37490">
        <w:rPr>
          <w:bCs/>
        </w:rPr>
        <w:t>not recommending</w:t>
      </w:r>
      <w:r w:rsidR="00B4539C" w:rsidRPr="00D37490">
        <w:rPr>
          <w:bCs/>
        </w:rPr>
        <w:t xml:space="preserve"> an additional customer credit program that has been required of Qwest, f/k/a/US W</w:t>
      </w:r>
      <w:r w:rsidR="004F7E21" w:rsidRPr="00D37490">
        <w:rPr>
          <w:bCs/>
        </w:rPr>
        <w:t>EST</w:t>
      </w:r>
      <w:r w:rsidR="00B4539C" w:rsidRPr="00D37490">
        <w:rPr>
          <w:bCs/>
        </w:rPr>
        <w:t xml:space="preserve"> and Frontier</w:t>
      </w:r>
      <w:r w:rsidRPr="00D37490">
        <w:rPr>
          <w:bCs/>
        </w:rPr>
        <w:t>.</w:t>
      </w:r>
    </w:p>
    <w:p w:rsidR="00A72D67" w:rsidRPr="00D37490" w:rsidRDefault="00A72D67" w:rsidP="00D61018">
      <w:pPr>
        <w:pStyle w:val="BodyTextIndent"/>
        <w:tabs>
          <w:tab w:val="clear" w:pos="0"/>
        </w:tabs>
        <w:ind w:left="720" w:hanging="720"/>
      </w:pPr>
    </w:p>
    <w:p w:rsidR="002C3A7A" w:rsidRDefault="002C3A7A" w:rsidP="002C3A7A">
      <w:pPr>
        <w:keepNext/>
        <w:ind w:left="720" w:hanging="720"/>
        <w:jc w:val="center"/>
        <w:rPr>
          <w:b/>
        </w:rPr>
      </w:pPr>
      <w:r>
        <w:rPr>
          <w:b/>
        </w:rPr>
        <w:lastRenderedPageBreak/>
        <w:t>VI.</w:t>
      </w:r>
      <w:r>
        <w:rPr>
          <w:b/>
        </w:rPr>
        <w:tab/>
        <w:t>RE</w:t>
      </w:r>
      <w:r w:rsidR="00D61018" w:rsidRPr="00D37490">
        <w:rPr>
          <w:b/>
        </w:rPr>
        <w:t xml:space="preserve">COMMENDED CONDITIONS </w:t>
      </w:r>
      <w:r w:rsidR="00013F1A" w:rsidRPr="00D37490">
        <w:rPr>
          <w:b/>
        </w:rPr>
        <w:t>FOR QWEST</w:t>
      </w:r>
      <w:r w:rsidR="008421FD" w:rsidRPr="00D37490">
        <w:rPr>
          <w:b/>
        </w:rPr>
        <w:t xml:space="preserve"> </w:t>
      </w:r>
      <w:r w:rsidR="00013F1A" w:rsidRPr="00D37490">
        <w:rPr>
          <w:b/>
        </w:rPr>
        <w:t xml:space="preserve">AND </w:t>
      </w:r>
      <w:r w:rsidR="00AE7914" w:rsidRPr="00D37490">
        <w:rPr>
          <w:b/>
        </w:rPr>
        <w:t>THE</w:t>
      </w:r>
    </w:p>
    <w:p w:rsidR="00772329" w:rsidRDefault="002C3A7A" w:rsidP="002C3A7A">
      <w:pPr>
        <w:keepNext/>
        <w:ind w:left="1620" w:hanging="1620"/>
        <w:rPr>
          <w:b/>
        </w:rPr>
      </w:pPr>
      <w:r>
        <w:rPr>
          <w:b/>
        </w:rPr>
        <w:tab/>
      </w:r>
      <w:r w:rsidR="00013F1A" w:rsidRPr="00D37490">
        <w:rPr>
          <w:b/>
        </w:rPr>
        <w:t>CENTURYLINK</w:t>
      </w:r>
      <w:r w:rsidR="008421FD" w:rsidRPr="00D37490">
        <w:rPr>
          <w:b/>
        </w:rPr>
        <w:t xml:space="preserve"> ILECS</w:t>
      </w:r>
    </w:p>
    <w:p w:rsidR="002C3A7A" w:rsidRPr="00D37490" w:rsidRDefault="002C3A7A" w:rsidP="002C3A7A">
      <w:pPr>
        <w:keepNext/>
        <w:ind w:left="1620" w:hanging="1620"/>
        <w:rPr>
          <w:b/>
        </w:rPr>
      </w:pPr>
    </w:p>
    <w:p w:rsidR="00772329" w:rsidRPr="00D37490" w:rsidRDefault="00772329" w:rsidP="00772329">
      <w:pPr>
        <w:spacing w:line="480" w:lineRule="auto"/>
        <w:ind w:left="720" w:hanging="720"/>
      </w:pPr>
    </w:p>
    <w:p w:rsidR="00772329" w:rsidRPr="00D37490" w:rsidRDefault="00772329" w:rsidP="00772329">
      <w:pPr>
        <w:pStyle w:val="FootnoteText"/>
        <w:tabs>
          <w:tab w:val="left" w:pos="1560"/>
        </w:tabs>
        <w:spacing w:line="480" w:lineRule="auto"/>
        <w:ind w:left="720" w:hanging="720"/>
        <w:rPr>
          <w:b/>
          <w:bCs/>
          <w:sz w:val="24"/>
          <w:szCs w:val="24"/>
        </w:rPr>
      </w:pPr>
      <w:r w:rsidRPr="00D37490">
        <w:rPr>
          <w:b/>
          <w:bCs/>
          <w:sz w:val="24"/>
          <w:szCs w:val="24"/>
        </w:rPr>
        <w:t xml:space="preserve">Q. </w:t>
      </w:r>
      <w:r w:rsidRPr="00D37490">
        <w:rPr>
          <w:b/>
          <w:bCs/>
          <w:sz w:val="24"/>
          <w:szCs w:val="24"/>
        </w:rPr>
        <w:tab/>
        <w:t xml:space="preserve">What are </w:t>
      </w:r>
      <w:r w:rsidR="00E43DED" w:rsidRPr="00D37490">
        <w:rPr>
          <w:b/>
          <w:bCs/>
          <w:sz w:val="24"/>
          <w:szCs w:val="24"/>
        </w:rPr>
        <w:t xml:space="preserve">your </w:t>
      </w:r>
      <w:r w:rsidRPr="00D37490">
        <w:rPr>
          <w:b/>
          <w:bCs/>
          <w:sz w:val="24"/>
          <w:szCs w:val="24"/>
        </w:rPr>
        <w:t xml:space="preserve">recommendations regarding changes to </w:t>
      </w:r>
      <w:r w:rsidR="00000CB3" w:rsidRPr="00D37490">
        <w:rPr>
          <w:b/>
          <w:bCs/>
          <w:sz w:val="24"/>
          <w:szCs w:val="24"/>
        </w:rPr>
        <w:t xml:space="preserve">Qwest’s Customer Service Guarantee Program? </w:t>
      </w:r>
    </w:p>
    <w:p w:rsidR="00411BBB" w:rsidRPr="00D37490" w:rsidRDefault="00772329" w:rsidP="00772329">
      <w:pPr>
        <w:spacing w:line="480" w:lineRule="auto"/>
        <w:ind w:left="720" w:hanging="720"/>
        <w:rPr>
          <w:bCs/>
        </w:rPr>
      </w:pPr>
      <w:r w:rsidRPr="00D37490">
        <w:rPr>
          <w:bCs/>
        </w:rPr>
        <w:t>A.</w:t>
      </w:r>
      <w:r w:rsidRPr="00D37490">
        <w:rPr>
          <w:bCs/>
        </w:rPr>
        <w:tab/>
      </w:r>
      <w:r w:rsidR="00000CB3" w:rsidRPr="00D37490">
        <w:rPr>
          <w:bCs/>
        </w:rPr>
        <w:t>As a result of the AFOR, Qwest</w:t>
      </w:r>
      <w:r w:rsidR="0095794E" w:rsidRPr="00D37490">
        <w:rPr>
          <w:bCs/>
        </w:rPr>
        <w:t xml:space="preserve"> </w:t>
      </w:r>
      <w:r w:rsidR="00411BBB" w:rsidRPr="00D37490">
        <w:rPr>
          <w:bCs/>
        </w:rPr>
        <w:t xml:space="preserve">has already </w:t>
      </w:r>
      <w:r w:rsidR="00000CB3" w:rsidRPr="00D37490">
        <w:rPr>
          <w:bCs/>
        </w:rPr>
        <w:t>enhance</w:t>
      </w:r>
      <w:r w:rsidR="00411BBB" w:rsidRPr="00D37490">
        <w:rPr>
          <w:bCs/>
        </w:rPr>
        <w:t>d</w:t>
      </w:r>
      <w:r w:rsidR="00000CB3" w:rsidRPr="00D37490">
        <w:rPr>
          <w:bCs/>
        </w:rPr>
        <w:t xml:space="preserve"> its CSGP</w:t>
      </w:r>
      <w:r w:rsidR="00411BBB" w:rsidRPr="00D37490">
        <w:rPr>
          <w:bCs/>
        </w:rPr>
        <w:t xml:space="preserve">.  Therefore, </w:t>
      </w:r>
      <w:r w:rsidR="00E43DED" w:rsidRPr="00D37490">
        <w:rPr>
          <w:bCs/>
        </w:rPr>
        <w:t xml:space="preserve">my </w:t>
      </w:r>
      <w:r w:rsidR="00411BBB" w:rsidRPr="00D37490">
        <w:rPr>
          <w:bCs/>
        </w:rPr>
        <w:t xml:space="preserve">only recommendation regarding Qwest’s CSGP is that </w:t>
      </w:r>
      <w:r w:rsidRPr="00D37490">
        <w:rPr>
          <w:bCs/>
        </w:rPr>
        <w:t xml:space="preserve">the Commission </w:t>
      </w:r>
      <w:proofErr w:type="gramStart"/>
      <w:r w:rsidRPr="00D37490">
        <w:rPr>
          <w:bCs/>
        </w:rPr>
        <w:t>require</w:t>
      </w:r>
      <w:proofErr w:type="gramEnd"/>
      <w:r w:rsidR="00A716F3" w:rsidRPr="00D37490">
        <w:rPr>
          <w:bCs/>
        </w:rPr>
        <w:t xml:space="preserve"> </w:t>
      </w:r>
      <w:r w:rsidR="00000CB3" w:rsidRPr="00D37490">
        <w:rPr>
          <w:bCs/>
        </w:rPr>
        <w:t>Qwest</w:t>
      </w:r>
      <w:r w:rsidR="008421FD" w:rsidRPr="00D37490">
        <w:rPr>
          <w:bCs/>
        </w:rPr>
        <w:t xml:space="preserve"> </w:t>
      </w:r>
      <w:r w:rsidRPr="00D37490">
        <w:rPr>
          <w:bCs/>
        </w:rPr>
        <w:t>to increase the amount the company would pay to residential customers for missed commitments from $25 to $</w:t>
      </w:r>
      <w:r w:rsidR="00000CB3" w:rsidRPr="00D37490">
        <w:rPr>
          <w:bCs/>
        </w:rPr>
        <w:t>3</w:t>
      </w:r>
      <w:r w:rsidRPr="00D37490">
        <w:rPr>
          <w:bCs/>
        </w:rPr>
        <w:t>5</w:t>
      </w:r>
      <w:r w:rsidR="00000CB3" w:rsidRPr="00D37490">
        <w:rPr>
          <w:bCs/>
        </w:rPr>
        <w:t>.</w:t>
      </w:r>
      <w:r w:rsidR="002B232F" w:rsidRPr="00D37490">
        <w:rPr>
          <w:bCs/>
        </w:rPr>
        <w:t xml:space="preserve">  The missed commitment credits </w:t>
      </w:r>
      <w:r w:rsidR="0092414D" w:rsidRPr="00D37490">
        <w:rPr>
          <w:bCs/>
        </w:rPr>
        <w:t xml:space="preserve">are </w:t>
      </w:r>
      <w:r w:rsidR="002B232F" w:rsidRPr="00D37490">
        <w:rPr>
          <w:bCs/>
        </w:rPr>
        <w:t xml:space="preserve">related to installations and repair. </w:t>
      </w:r>
      <w:r w:rsidR="00F85FD0" w:rsidRPr="00D37490">
        <w:rPr>
          <w:bCs/>
        </w:rPr>
        <w:t xml:space="preserve">This </w:t>
      </w:r>
      <w:r w:rsidR="00214D88" w:rsidRPr="00D37490">
        <w:rPr>
          <w:bCs/>
        </w:rPr>
        <w:t xml:space="preserve">increase </w:t>
      </w:r>
      <w:r w:rsidR="00F85FD0" w:rsidRPr="00D37490">
        <w:rPr>
          <w:bCs/>
        </w:rPr>
        <w:t xml:space="preserve">is proposed to ensure that in the course of the companies’ eventual integration of systems and processes, customers are not negatively </w:t>
      </w:r>
      <w:r w:rsidR="00AE7914" w:rsidRPr="00D37490">
        <w:rPr>
          <w:bCs/>
        </w:rPr>
        <w:t>affected</w:t>
      </w:r>
      <w:r w:rsidR="00F85FD0" w:rsidRPr="00D37490">
        <w:rPr>
          <w:bCs/>
        </w:rPr>
        <w:t>.</w:t>
      </w:r>
    </w:p>
    <w:p w:rsidR="00411BBB" w:rsidRPr="00D37490" w:rsidRDefault="00411BBB" w:rsidP="00772329">
      <w:pPr>
        <w:spacing w:line="480" w:lineRule="auto"/>
        <w:ind w:left="720" w:hanging="720"/>
        <w:rPr>
          <w:bCs/>
        </w:rPr>
      </w:pPr>
    </w:p>
    <w:p w:rsidR="00411BBB" w:rsidRPr="00D37490" w:rsidRDefault="00411BBB" w:rsidP="00411BBB">
      <w:pPr>
        <w:pStyle w:val="FootnoteText"/>
        <w:tabs>
          <w:tab w:val="left" w:pos="1560"/>
        </w:tabs>
        <w:spacing w:line="480" w:lineRule="auto"/>
        <w:ind w:left="720" w:hanging="720"/>
        <w:rPr>
          <w:b/>
          <w:bCs/>
          <w:sz w:val="24"/>
          <w:szCs w:val="24"/>
        </w:rPr>
      </w:pPr>
      <w:r w:rsidRPr="00D37490">
        <w:rPr>
          <w:b/>
          <w:bCs/>
          <w:sz w:val="24"/>
          <w:szCs w:val="24"/>
        </w:rPr>
        <w:t xml:space="preserve">Q. </w:t>
      </w:r>
      <w:r w:rsidRPr="00D37490">
        <w:rPr>
          <w:b/>
          <w:bCs/>
          <w:sz w:val="24"/>
          <w:szCs w:val="24"/>
        </w:rPr>
        <w:tab/>
        <w:t>Do</w:t>
      </w:r>
      <w:r w:rsidR="00E43DED" w:rsidRPr="00D37490">
        <w:rPr>
          <w:b/>
          <w:bCs/>
          <w:sz w:val="24"/>
          <w:szCs w:val="24"/>
        </w:rPr>
        <w:t xml:space="preserve"> you </w:t>
      </w:r>
      <w:r w:rsidRPr="00D37490">
        <w:rPr>
          <w:b/>
          <w:bCs/>
          <w:sz w:val="24"/>
          <w:szCs w:val="24"/>
        </w:rPr>
        <w:t xml:space="preserve">have a recommendation regarding a service quality performance program for </w:t>
      </w:r>
      <w:r w:rsidR="00E475EE" w:rsidRPr="00D37490">
        <w:rPr>
          <w:b/>
          <w:bCs/>
          <w:sz w:val="24"/>
          <w:szCs w:val="24"/>
        </w:rPr>
        <w:t xml:space="preserve">the </w:t>
      </w:r>
      <w:r w:rsidRPr="00D37490">
        <w:rPr>
          <w:b/>
          <w:bCs/>
          <w:sz w:val="24"/>
          <w:szCs w:val="24"/>
        </w:rPr>
        <w:t>CenturyLink</w:t>
      </w:r>
      <w:r w:rsidR="0095794E" w:rsidRPr="00D37490">
        <w:rPr>
          <w:b/>
          <w:bCs/>
          <w:sz w:val="24"/>
          <w:szCs w:val="24"/>
        </w:rPr>
        <w:t xml:space="preserve"> ILECs</w:t>
      </w:r>
      <w:r w:rsidRPr="00D37490">
        <w:rPr>
          <w:b/>
          <w:bCs/>
          <w:sz w:val="24"/>
          <w:szCs w:val="24"/>
        </w:rPr>
        <w:t xml:space="preserve">? </w:t>
      </w:r>
    </w:p>
    <w:p w:rsidR="00411BBB" w:rsidRPr="00D37490" w:rsidRDefault="00411BBB" w:rsidP="00411BBB">
      <w:pPr>
        <w:spacing w:line="480" w:lineRule="auto"/>
        <w:ind w:left="720" w:hanging="720"/>
        <w:rPr>
          <w:bCs/>
        </w:rPr>
      </w:pPr>
      <w:r w:rsidRPr="00D37490">
        <w:rPr>
          <w:bCs/>
        </w:rPr>
        <w:t>A.</w:t>
      </w:r>
      <w:r w:rsidRPr="00D37490">
        <w:rPr>
          <w:bCs/>
        </w:rPr>
        <w:tab/>
        <w:t xml:space="preserve">Yes.  </w:t>
      </w:r>
      <w:r w:rsidR="00E43DED" w:rsidRPr="00D37490">
        <w:rPr>
          <w:bCs/>
        </w:rPr>
        <w:t xml:space="preserve">I </w:t>
      </w:r>
      <w:r w:rsidRPr="00D37490">
        <w:rPr>
          <w:bCs/>
        </w:rPr>
        <w:t xml:space="preserve">recommend that </w:t>
      </w:r>
      <w:r w:rsidR="00E475EE" w:rsidRPr="00D37490">
        <w:rPr>
          <w:bCs/>
        </w:rPr>
        <w:t xml:space="preserve">the </w:t>
      </w:r>
      <w:r w:rsidRPr="00D37490">
        <w:rPr>
          <w:bCs/>
        </w:rPr>
        <w:t>CenturyLink</w:t>
      </w:r>
      <w:r w:rsidR="0095794E" w:rsidRPr="00D37490">
        <w:rPr>
          <w:bCs/>
        </w:rPr>
        <w:t xml:space="preserve"> ILECs</w:t>
      </w:r>
      <w:r w:rsidRPr="00D37490">
        <w:rPr>
          <w:bCs/>
        </w:rPr>
        <w:t xml:space="preserve"> offer the same Customer Service Guarantee Program that Qwest</w:t>
      </w:r>
      <w:r w:rsidR="0095794E" w:rsidRPr="00D37490">
        <w:rPr>
          <w:bCs/>
        </w:rPr>
        <w:t xml:space="preserve"> </w:t>
      </w:r>
      <w:r w:rsidRPr="00D37490">
        <w:rPr>
          <w:bCs/>
        </w:rPr>
        <w:t xml:space="preserve">offers in its tariff, including the increase from $25 to $35 for missed commitments that Staff is recommending for Qwest. </w:t>
      </w:r>
    </w:p>
    <w:p w:rsidR="00772329" w:rsidRPr="00D37490" w:rsidRDefault="00772329" w:rsidP="00772329">
      <w:pPr>
        <w:spacing w:line="480" w:lineRule="auto"/>
        <w:ind w:left="720" w:firstLine="720"/>
        <w:rPr>
          <w:bCs/>
        </w:rPr>
      </w:pPr>
      <w:r w:rsidRPr="00D37490">
        <w:rPr>
          <w:bCs/>
        </w:rPr>
        <w:t>In addition, Staff also recommends that</w:t>
      </w:r>
      <w:r w:rsidR="00216A6C" w:rsidRPr="00D37490">
        <w:rPr>
          <w:bCs/>
        </w:rPr>
        <w:t xml:space="preserve"> the</w:t>
      </w:r>
      <w:r w:rsidRPr="00D37490">
        <w:rPr>
          <w:bCs/>
        </w:rPr>
        <w:t xml:space="preserve"> </w:t>
      </w:r>
      <w:r w:rsidR="00F5221A" w:rsidRPr="00D37490">
        <w:rPr>
          <w:bCs/>
        </w:rPr>
        <w:t>CenturyLink</w:t>
      </w:r>
      <w:r w:rsidR="0088037B" w:rsidRPr="00D37490">
        <w:rPr>
          <w:bCs/>
        </w:rPr>
        <w:t xml:space="preserve"> ILECs</w:t>
      </w:r>
      <w:r w:rsidRPr="00D37490">
        <w:rPr>
          <w:bCs/>
        </w:rPr>
        <w:t xml:space="preserve"> report</w:t>
      </w:r>
      <w:r w:rsidR="0013182C" w:rsidRPr="00D37490">
        <w:rPr>
          <w:bCs/>
        </w:rPr>
        <w:t xml:space="preserve"> to the Commission </w:t>
      </w:r>
      <w:r w:rsidRPr="00D37490">
        <w:rPr>
          <w:bCs/>
        </w:rPr>
        <w:t xml:space="preserve">the payouts to customers under the program on a </w:t>
      </w:r>
      <w:r w:rsidR="00714BCE" w:rsidRPr="00D37490">
        <w:rPr>
          <w:bCs/>
        </w:rPr>
        <w:t xml:space="preserve">quarterly </w:t>
      </w:r>
      <w:r w:rsidRPr="00D37490">
        <w:rPr>
          <w:bCs/>
        </w:rPr>
        <w:t xml:space="preserve">basis, in conjunction with its service quality report, so Staff can monitor its performance.  </w:t>
      </w:r>
    </w:p>
    <w:p w:rsidR="00772329" w:rsidRPr="00D37490" w:rsidRDefault="00772329" w:rsidP="00772329">
      <w:pPr>
        <w:pStyle w:val="FootnoteText"/>
        <w:tabs>
          <w:tab w:val="left" w:pos="1560"/>
        </w:tabs>
        <w:spacing w:line="480" w:lineRule="auto"/>
        <w:ind w:left="835" w:hanging="835"/>
        <w:rPr>
          <w:bCs/>
          <w:sz w:val="24"/>
          <w:szCs w:val="24"/>
        </w:rPr>
      </w:pPr>
    </w:p>
    <w:p w:rsidR="00772329" w:rsidRPr="00D37490" w:rsidRDefault="00772329" w:rsidP="00772329">
      <w:pPr>
        <w:pStyle w:val="FootnoteText"/>
        <w:tabs>
          <w:tab w:val="left" w:pos="1560"/>
        </w:tabs>
        <w:spacing w:line="480" w:lineRule="auto"/>
        <w:ind w:left="835" w:hanging="835"/>
        <w:rPr>
          <w:b/>
          <w:bCs/>
          <w:sz w:val="24"/>
          <w:szCs w:val="24"/>
        </w:rPr>
      </w:pPr>
      <w:r w:rsidRPr="00D37490">
        <w:rPr>
          <w:b/>
          <w:bCs/>
          <w:sz w:val="24"/>
          <w:szCs w:val="24"/>
        </w:rPr>
        <w:t xml:space="preserve">Q. </w:t>
      </w:r>
      <w:r w:rsidRPr="00D37490">
        <w:rPr>
          <w:b/>
          <w:bCs/>
          <w:sz w:val="24"/>
          <w:szCs w:val="24"/>
        </w:rPr>
        <w:tab/>
        <w:t xml:space="preserve">Why does Staff believe customer performance guarantee programs or service quality credits </w:t>
      </w:r>
      <w:r w:rsidR="0088037B" w:rsidRPr="00D37490">
        <w:rPr>
          <w:b/>
          <w:bCs/>
          <w:sz w:val="24"/>
          <w:szCs w:val="24"/>
        </w:rPr>
        <w:t>should be required?</w:t>
      </w:r>
    </w:p>
    <w:p w:rsidR="00F5221A" w:rsidRPr="00D37490" w:rsidRDefault="00772329" w:rsidP="00772329">
      <w:pPr>
        <w:pStyle w:val="FootnoteText"/>
        <w:tabs>
          <w:tab w:val="left" w:pos="1560"/>
        </w:tabs>
        <w:spacing w:line="480" w:lineRule="auto"/>
        <w:ind w:left="835" w:hanging="835"/>
        <w:rPr>
          <w:bCs/>
          <w:sz w:val="24"/>
          <w:szCs w:val="24"/>
        </w:rPr>
      </w:pPr>
      <w:r w:rsidRPr="00D37490">
        <w:rPr>
          <w:bCs/>
          <w:sz w:val="24"/>
          <w:szCs w:val="24"/>
        </w:rPr>
        <w:lastRenderedPageBreak/>
        <w:t>A.</w:t>
      </w:r>
      <w:r w:rsidRPr="00D37490">
        <w:rPr>
          <w:bCs/>
          <w:sz w:val="24"/>
          <w:szCs w:val="24"/>
        </w:rPr>
        <w:tab/>
        <w:t xml:space="preserve">The Commission has acknowledged the </w:t>
      </w:r>
      <w:r w:rsidR="00A51B88" w:rsidRPr="00D37490">
        <w:rPr>
          <w:bCs/>
          <w:sz w:val="24"/>
          <w:szCs w:val="24"/>
        </w:rPr>
        <w:t xml:space="preserve">need for service quality incentives and a company to provide credits to customers when </w:t>
      </w:r>
      <w:r w:rsidRPr="00D37490">
        <w:rPr>
          <w:bCs/>
          <w:sz w:val="24"/>
          <w:szCs w:val="24"/>
        </w:rPr>
        <w:t xml:space="preserve">a company does not provide adequate service related to installations or repairs.  In Docket UT-970766, </w:t>
      </w:r>
      <w:r w:rsidR="00950898" w:rsidRPr="00D37490">
        <w:rPr>
          <w:bCs/>
          <w:sz w:val="24"/>
          <w:szCs w:val="24"/>
        </w:rPr>
        <w:t xml:space="preserve">for example, </w:t>
      </w:r>
      <w:r w:rsidRPr="00D37490">
        <w:rPr>
          <w:bCs/>
          <w:sz w:val="24"/>
          <w:szCs w:val="24"/>
        </w:rPr>
        <w:t>when the Commission imposed the requirement that Qwest, f/k/a US WEST, offer customer credits for missed appointments/commitments, the Commission stated, “the payment is not intended to be precisely compensatory but rather recognition of customers’ lost time and inconvenience.”</w:t>
      </w:r>
      <w:r w:rsidR="00D208F6" w:rsidRPr="00D37490">
        <w:rPr>
          <w:rStyle w:val="FootnoteReference"/>
          <w:bCs/>
          <w:sz w:val="24"/>
          <w:szCs w:val="24"/>
        </w:rPr>
        <w:footnoteReference w:id="10"/>
      </w:r>
      <w:r w:rsidRPr="00D37490">
        <w:rPr>
          <w:bCs/>
          <w:sz w:val="24"/>
          <w:szCs w:val="24"/>
        </w:rPr>
        <w:t xml:space="preserve"> </w:t>
      </w:r>
    </w:p>
    <w:p w:rsidR="00F5221A" w:rsidRPr="00D37490" w:rsidRDefault="00F5221A" w:rsidP="00F5221A">
      <w:pPr>
        <w:spacing w:line="480" w:lineRule="auto"/>
        <w:ind w:left="720" w:firstLine="720"/>
        <w:rPr>
          <w:bCs/>
        </w:rPr>
      </w:pPr>
      <w:r w:rsidRPr="00D37490">
        <w:rPr>
          <w:bCs/>
        </w:rPr>
        <w:t>Requiring the CenturyLink ILECs to follow a service quality performance plan will give Staff a level of assurance that CenturyLink</w:t>
      </w:r>
      <w:r w:rsidR="0056558A" w:rsidRPr="00D37490">
        <w:rPr>
          <w:bCs/>
        </w:rPr>
        <w:t xml:space="preserve"> </w:t>
      </w:r>
      <w:r w:rsidRPr="00D37490">
        <w:rPr>
          <w:bCs/>
        </w:rPr>
        <w:t>is interested in fulfilling the quality of service goals contained in the application</w:t>
      </w:r>
      <w:r w:rsidRPr="00D37490">
        <w:rPr>
          <w:rStyle w:val="FootnoteReference"/>
          <w:bCs/>
        </w:rPr>
        <w:footnoteReference w:id="11"/>
      </w:r>
      <w:r w:rsidRPr="00D37490">
        <w:rPr>
          <w:bCs/>
        </w:rPr>
        <w:t xml:space="preserve"> and in the testimony of one of its witnesses,</w:t>
      </w:r>
      <w:r w:rsidRPr="00D37490">
        <w:rPr>
          <w:rStyle w:val="FootnoteReference"/>
          <w:bCs/>
        </w:rPr>
        <w:footnoteReference w:id="12"/>
      </w:r>
      <w:r w:rsidRPr="00D37490">
        <w:rPr>
          <w:bCs/>
        </w:rPr>
        <w:t xml:space="preserve"> and to ensure that it makes good on its promise to offer high quality service as a benefit of this transfer of control. </w:t>
      </w:r>
    </w:p>
    <w:p w:rsidR="00772329" w:rsidRPr="00D37490" w:rsidRDefault="00772329" w:rsidP="00772329">
      <w:pPr>
        <w:pStyle w:val="FootnoteText"/>
        <w:tabs>
          <w:tab w:val="left" w:pos="1560"/>
        </w:tabs>
        <w:spacing w:line="480" w:lineRule="auto"/>
        <w:ind w:left="835" w:hanging="835"/>
        <w:rPr>
          <w:bCs/>
          <w:kern w:val="24"/>
          <w:sz w:val="24"/>
          <w:szCs w:val="24"/>
        </w:rPr>
      </w:pPr>
      <w:r w:rsidRPr="00D37490">
        <w:rPr>
          <w:bCs/>
          <w:sz w:val="24"/>
          <w:szCs w:val="24"/>
        </w:rPr>
        <w:tab/>
      </w:r>
      <w:r w:rsidRPr="00D37490">
        <w:rPr>
          <w:bCs/>
          <w:sz w:val="24"/>
          <w:szCs w:val="24"/>
        </w:rPr>
        <w:tab/>
        <w:t xml:space="preserve"> </w:t>
      </w:r>
    </w:p>
    <w:p w:rsidR="00772329" w:rsidRPr="00D37490" w:rsidRDefault="00772329" w:rsidP="00772329">
      <w:pPr>
        <w:spacing w:line="480" w:lineRule="auto"/>
        <w:ind w:left="720" w:hanging="720"/>
        <w:rPr>
          <w:b/>
        </w:rPr>
      </w:pPr>
      <w:r w:rsidRPr="00D37490">
        <w:rPr>
          <w:b/>
        </w:rPr>
        <w:t>Q.</w:t>
      </w:r>
      <w:r w:rsidRPr="00D37490">
        <w:rPr>
          <w:b/>
        </w:rPr>
        <w:tab/>
        <w:t xml:space="preserve">Is Staff concerned </w:t>
      </w:r>
      <w:r w:rsidR="00F5221A" w:rsidRPr="00D37490">
        <w:rPr>
          <w:b/>
        </w:rPr>
        <w:t xml:space="preserve">about </w:t>
      </w:r>
      <w:r w:rsidRPr="00D37490">
        <w:rPr>
          <w:b/>
        </w:rPr>
        <w:t xml:space="preserve">potential harm </w:t>
      </w:r>
      <w:r w:rsidR="00F5221A" w:rsidRPr="00D37490">
        <w:rPr>
          <w:b/>
        </w:rPr>
        <w:t xml:space="preserve">to customers </w:t>
      </w:r>
      <w:r w:rsidR="001C636D" w:rsidRPr="00D37490">
        <w:rPr>
          <w:b/>
        </w:rPr>
        <w:t>from</w:t>
      </w:r>
      <w:r w:rsidRPr="00D37490">
        <w:rPr>
          <w:b/>
        </w:rPr>
        <w:t xml:space="preserve"> </w:t>
      </w:r>
      <w:r w:rsidR="00F5221A" w:rsidRPr="00D37490">
        <w:rPr>
          <w:b/>
        </w:rPr>
        <w:t xml:space="preserve">deteriorating </w:t>
      </w:r>
      <w:r w:rsidRPr="00D37490">
        <w:rPr>
          <w:b/>
        </w:rPr>
        <w:t xml:space="preserve">service quality by </w:t>
      </w:r>
      <w:r w:rsidR="00FE7538" w:rsidRPr="00D37490">
        <w:rPr>
          <w:b/>
        </w:rPr>
        <w:t>Qwest</w:t>
      </w:r>
      <w:r w:rsidR="0095794E" w:rsidRPr="00D37490">
        <w:rPr>
          <w:b/>
        </w:rPr>
        <w:t xml:space="preserve"> </w:t>
      </w:r>
      <w:r w:rsidR="00FE7538" w:rsidRPr="00D37490">
        <w:rPr>
          <w:b/>
        </w:rPr>
        <w:t xml:space="preserve">and </w:t>
      </w:r>
      <w:r w:rsidR="001C636D" w:rsidRPr="00D37490">
        <w:rPr>
          <w:b/>
        </w:rPr>
        <w:t xml:space="preserve">the </w:t>
      </w:r>
      <w:r w:rsidR="00FE7538" w:rsidRPr="00D37490">
        <w:rPr>
          <w:b/>
        </w:rPr>
        <w:t>CenturyLink</w:t>
      </w:r>
      <w:r w:rsidR="0095794E" w:rsidRPr="00D37490">
        <w:rPr>
          <w:b/>
        </w:rPr>
        <w:t xml:space="preserve"> ILEC</w:t>
      </w:r>
      <w:r w:rsidR="001C636D" w:rsidRPr="00D37490">
        <w:rPr>
          <w:b/>
        </w:rPr>
        <w:t>s</w:t>
      </w:r>
      <w:r w:rsidR="00FE7538" w:rsidRPr="00D37490">
        <w:rPr>
          <w:b/>
        </w:rPr>
        <w:t xml:space="preserve"> </w:t>
      </w:r>
      <w:r w:rsidRPr="00D37490">
        <w:rPr>
          <w:b/>
        </w:rPr>
        <w:t xml:space="preserve">in </w:t>
      </w:r>
      <w:r w:rsidR="001C636D" w:rsidRPr="00D37490">
        <w:rPr>
          <w:b/>
        </w:rPr>
        <w:t xml:space="preserve">the </w:t>
      </w:r>
      <w:r w:rsidRPr="00D37490">
        <w:rPr>
          <w:b/>
        </w:rPr>
        <w:t>post</w:t>
      </w:r>
      <w:r w:rsidR="001C636D" w:rsidRPr="00D37490">
        <w:rPr>
          <w:b/>
        </w:rPr>
        <w:t>-</w:t>
      </w:r>
      <w:r w:rsidRPr="00D37490">
        <w:rPr>
          <w:b/>
        </w:rPr>
        <w:t>merger environment?</w:t>
      </w:r>
    </w:p>
    <w:p w:rsidR="00772329" w:rsidRPr="00D37490" w:rsidRDefault="00772329" w:rsidP="00772329">
      <w:pPr>
        <w:spacing w:line="480" w:lineRule="auto"/>
        <w:ind w:left="720" w:hanging="720"/>
        <w:rPr>
          <w:bCs/>
        </w:rPr>
      </w:pPr>
      <w:r w:rsidRPr="00D37490">
        <w:rPr>
          <w:bCs/>
        </w:rPr>
        <w:t>A.</w:t>
      </w:r>
      <w:r w:rsidRPr="00D37490">
        <w:rPr>
          <w:bCs/>
        </w:rPr>
        <w:tab/>
        <w:t xml:space="preserve">Yes.  </w:t>
      </w:r>
      <w:r w:rsidR="003C4F62" w:rsidRPr="00D37490">
        <w:rPr>
          <w:bCs/>
        </w:rPr>
        <w:t>My</w:t>
      </w:r>
      <w:r w:rsidRPr="00D37490">
        <w:rPr>
          <w:bCs/>
        </w:rPr>
        <w:t xml:space="preserve"> recommendations are designed to protect customers from </w:t>
      </w:r>
      <w:r w:rsidR="001C636D" w:rsidRPr="00D37490">
        <w:rPr>
          <w:bCs/>
        </w:rPr>
        <w:t xml:space="preserve">the harm </w:t>
      </w:r>
      <w:r w:rsidRPr="00D37490">
        <w:rPr>
          <w:bCs/>
        </w:rPr>
        <w:t xml:space="preserve">a decline in retail service quality </w:t>
      </w:r>
      <w:r w:rsidR="001C636D" w:rsidRPr="00D37490">
        <w:rPr>
          <w:bCs/>
        </w:rPr>
        <w:t xml:space="preserve">would represent </w:t>
      </w:r>
      <w:r w:rsidRPr="00D37490">
        <w:rPr>
          <w:bCs/>
        </w:rPr>
        <w:t xml:space="preserve">and to </w:t>
      </w:r>
      <w:r w:rsidR="00D25C59" w:rsidRPr="00D37490">
        <w:rPr>
          <w:bCs/>
        </w:rPr>
        <w:t>foster</w:t>
      </w:r>
      <w:r w:rsidRPr="00D37490">
        <w:rPr>
          <w:bCs/>
        </w:rPr>
        <w:t xml:space="preserve"> improvements in </w:t>
      </w:r>
      <w:r w:rsidRPr="00D37490">
        <w:rPr>
          <w:bCs/>
        </w:rPr>
        <w:lastRenderedPageBreak/>
        <w:t xml:space="preserve">service quality as a benefit of the proposed transaction.  This benefit would serve to offset the </w:t>
      </w:r>
      <w:r w:rsidR="00F85FD0" w:rsidRPr="00D37490">
        <w:rPr>
          <w:bCs/>
        </w:rPr>
        <w:t xml:space="preserve">potential </w:t>
      </w:r>
      <w:r w:rsidRPr="00D37490">
        <w:rPr>
          <w:bCs/>
        </w:rPr>
        <w:t xml:space="preserve">public interest harms identified by </w:t>
      </w:r>
      <w:r w:rsidR="00B67635" w:rsidRPr="00D37490">
        <w:rPr>
          <w:bCs/>
        </w:rPr>
        <w:t>Mr. Vasconi</w:t>
      </w:r>
      <w:r w:rsidR="00E77874" w:rsidRPr="00D37490">
        <w:rPr>
          <w:bCs/>
        </w:rPr>
        <w:t>.</w:t>
      </w:r>
    </w:p>
    <w:p w:rsidR="00772329" w:rsidRPr="00D37490" w:rsidRDefault="00772329" w:rsidP="00772329">
      <w:pPr>
        <w:spacing w:line="480" w:lineRule="auto"/>
        <w:ind w:left="720" w:hanging="720"/>
        <w:rPr>
          <w:bCs/>
        </w:rPr>
      </w:pPr>
    </w:p>
    <w:p w:rsidR="00772329" w:rsidRPr="00D37490" w:rsidRDefault="00772329" w:rsidP="00772329">
      <w:pPr>
        <w:spacing w:line="480" w:lineRule="auto"/>
        <w:ind w:left="720" w:hanging="720"/>
        <w:rPr>
          <w:bCs/>
        </w:rPr>
      </w:pPr>
      <w:r w:rsidRPr="00D37490">
        <w:rPr>
          <w:b/>
          <w:bCs/>
        </w:rPr>
        <w:t xml:space="preserve">Q. </w:t>
      </w:r>
      <w:r w:rsidRPr="00D37490">
        <w:rPr>
          <w:b/>
          <w:bCs/>
        </w:rPr>
        <w:tab/>
        <w:t>Why does Staff recommend the company file additional data</w:t>
      </w:r>
      <w:r w:rsidR="00032009" w:rsidRPr="00D37490">
        <w:rPr>
          <w:b/>
          <w:bCs/>
        </w:rPr>
        <w:t xml:space="preserve"> regarding its service gu</w:t>
      </w:r>
      <w:r w:rsidR="003E54BC" w:rsidRPr="00D37490">
        <w:rPr>
          <w:b/>
          <w:bCs/>
        </w:rPr>
        <w:t>a</w:t>
      </w:r>
      <w:r w:rsidR="00032009" w:rsidRPr="00D37490">
        <w:rPr>
          <w:b/>
          <w:bCs/>
        </w:rPr>
        <w:t>rantee program payouts</w:t>
      </w:r>
      <w:r w:rsidRPr="00D37490">
        <w:rPr>
          <w:b/>
          <w:bCs/>
        </w:rPr>
        <w:t xml:space="preserve"> in its service quality report?</w:t>
      </w:r>
    </w:p>
    <w:p w:rsidR="00042823" w:rsidRPr="00D37490" w:rsidRDefault="00772329">
      <w:pPr>
        <w:spacing w:line="480" w:lineRule="auto"/>
        <w:ind w:left="720" w:hanging="720"/>
        <w:rPr>
          <w:b/>
        </w:rPr>
      </w:pPr>
      <w:r w:rsidRPr="00D37490">
        <w:rPr>
          <w:bCs/>
        </w:rPr>
        <w:t>A.</w:t>
      </w:r>
      <w:r w:rsidRPr="00D37490">
        <w:rPr>
          <w:bCs/>
        </w:rPr>
        <w:tab/>
      </w:r>
      <w:r w:rsidR="003E54BC" w:rsidRPr="00D37490">
        <w:rPr>
          <w:bCs/>
        </w:rPr>
        <w:t>The additional data is necessary i</w:t>
      </w:r>
      <w:r w:rsidRPr="00D37490">
        <w:t>n order for Staff to continually monitor the company’s post</w:t>
      </w:r>
      <w:r w:rsidR="00D003DE" w:rsidRPr="00D37490">
        <w:t>-</w:t>
      </w:r>
      <w:r w:rsidRPr="00D37490">
        <w:t xml:space="preserve">merger service quality and address any potential degradation in service </w:t>
      </w:r>
      <w:r w:rsidR="003E54BC" w:rsidRPr="00D37490">
        <w:t>more</w:t>
      </w:r>
      <w:r w:rsidR="00D208F6" w:rsidRPr="00D37490">
        <w:t xml:space="preserve"> </w:t>
      </w:r>
      <w:r w:rsidR="008F6589" w:rsidRPr="00D37490">
        <w:t>promptly</w:t>
      </w:r>
      <w:r w:rsidRPr="00D37490">
        <w:t>.</w:t>
      </w:r>
      <w:r w:rsidR="00085D79" w:rsidRPr="00D37490">
        <w:t xml:space="preserve">  </w:t>
      </w:r>
      <w:r w:rsidR="003E54BC" w:rsidRPr="00D37490">
        <w:t xml:space="preserve">The </w:t>
      </w:r>
      <w:r w:rsidR="00085D79" w:rsidRPr="00D37490">
        <w:t>report will allow Staff to see how the merged company is performing with regard to providing good and timely serv</w:t>
      </w:r>
      <w:r w:rsidR="00D25D8C" w:rsidRPr="00D37490">
        <w:t>i</w:t>
      </w:r>
      <w:r w:rsidR="00085D79" w:rsidRPr="00D37490">
        <w:t>ce and repairs to customers</w:t>
      </w:r>
      <w:r w:rsidR="00D25D8C" w:rsidRPr="00D37490">
        <w:t xml:space="preserve">.  If the reports indicate an increase in payouts to customers under the program, Staff may examine the situation further to determine the cause and identify </w:t>
      </w:r>
      <w:r w:rsidR="00D003DE" w:rsidRPr="00D37490">
        <w:t>whether</w:t>
      </w:r>
      <w:r w:rsidR="00D25D8C" w:rsidRPr="00D37490">
        <w:t xml:space="preserve"> the </w:t>
      </w:r>
      <w:r w:rsidR="00354568" w:rsidRPr="00D37490">
        <w:t>payout</w:t>
      </w:r>
      <w:r w:rsidR="002F5D67" w:rsidRPr="00D37490">
        <w:t>s</w:t>
      </w:r>
      <w:r w:rsidR="00354568" w:rsidRPr="00D37490">
        <w:t xml:space="preserve"> are a </w:t>
      </w:r>
      <w:r w:rsidR="00D25D8C" w:rsidRPr="00D37490">
        <w:t>sign of degrading service.</w:t>
      </w:r>
      <w:r w:rsidRPr="00D37490">
        <w:rPr>
          <w:b/>
        </w:rPr>
        <w:t xml:space="preserve">  </w:t>
      </w:r>
    </w:p>
    <w:p w:rsidR="0056558A" w:rsidRPr="00D37490" w:rsidRDefault="0056558A" w:rsidP="00772329">
      <w:pPr>
        <w:spacing w:line="480" w:lineRule="auto"/>
        <w:ind w:left="720" w:hanging="720"/>
        <w:jc w:val="center"/>
        <w:rPr>
          <w:b/>
        </w:rPr>
      </w:pPr>
    </w:p>
    <w:p w:rsidR="00772329" w:rsidRPr="00D37490" w:rsidRDefault="00D61018" w:rsidP="00772329">
      <w:pPr>
        <w:spacing w:line="480" w:lineRule="auto"/>
        <w:ind w:left="720" w:hanging="720"/>
        <w:jc w:val="center"/>
        <w:rPr>
          <w:b/>
        </w:rPr>
      </w:pPr>
      <w:r w:rsidRPr="00D37490">
        <w:rPr>
          <w:b/>
        </w:rPr>
        <w:t>VI</w:t>
      </w:r>
      <w:r w:rsidR="00D65ED1" w:rsidRPr="00D37490">
        <w:rPr>
          <w:b/>
        </w:rPr>
        <w:t>I</w:t>
      </w:r>
      <w:r w:rsidR="002C3A7A">
        <w:rPr>
          <w:b/>
        </w:rPr>
        <w:t>.</w:t>
      </w:r>
      <w:r w:rsidR="002C3A7A">
        <w:rPr>
          <w:b/>
        </w:rPr>
        <w:tab/>
        <w:t>CONCLUSION</w:t>
      </w:r>
    </w:p>
    <w:p w:rsidR="00772329" w:rsidRPr="00D37490" w:rsidRDefault="00772329" w:rsidP="00772329">
      <w:pPr>
        <w:spacing w:line="480" w:lineRule="auto"/>
        <w:ind w:left="720" w:hanging="720"/>
      </w:pPr>
    </w:p>
    <w:p w:rsidR="00F3686E" w:rsidRPr="00D37490" w:rsidRDefault="00772329" w:rsidP="00F3686E">
      <w:pPr>
        <w:spacing w:line="480" w:lineRule="auto"/>
        <w:ind w:left="720" w:hanging="720"/>
        <w:rPr>
          <w:b/>
        </w:rPr>
      </w:pPr>
      <w:r w:rsidRPr="00D37490">
        <w:rPr>
          <w:b/>
        </w:rPr>
        <w:t>Q.</w:t>
      </w:r>
      <w:r w:rsidRPr="00D37490">
        <w:rPr>
          <w:b/>
        </w:rPr>
        <w:tab/>
        <w:t xml:space="preserve">What are Staff’s conclusions regarding the expectations for </w:t>
      </w:r>
      <w:r w:rsidR="00FD21B0" w:rsidRPr="00D37490">
        <w:rPr>
          <w:b/>
        </w:rPr>
        <w:t>Qwest</w:t>
      </w:r>
      <w:r w:rsidR="0095794E" w:rsidRPr="00D37490">
        <w:rPr>
          <w:b/>
        </w:rPr>
        <w:t xml:space="preserve"> </w:t>
      </w:r>
      <w:r w:rsidR="00FD21B0" w:rsidRPr="00D37490">
        <w:rPr>
          <w:b/>
        </w:rPr>
        <w:t xml:space="preserve">and </w:t>
      </w:r>
      <w:r w:rsidR="000D1366" w:rsidRPr="00D37490">
        <w:rPr>
          <w:b/>
        </w:rPr>
        <w:t xml:space="preserve">the </w:t>
      </w:r>
      <w:r w:rsidR="00FD21B0" w:rsidRPr="00D37490">
        <w:rPr>
          <w:b/>
        </w:rPr>
        <w:t>CenturyLink</w:t>
      </w:r>
      <w:r w:rsidR="0095794E" w:rsidRPr="00D37490">
        <w:rPr>
          <w:b/>
        </w:rPr>
        <w:t xml:space="preserve"> ILECs</w:t>
      </w:r>
      <w:r w:rsidR="00FD21B0" w:rsidRPr="00D37490">
        <w:rPr>
          <w:b/>
        </w:rPr>
        <w:t xml:space="preserve"> </w:t>
      </w:r>
      <w:r w:rsidRPr="00D37490">
        <w:rPr>
          <w:b/>
        </w:rPr>
        <w:t xml:space="preserve">and </w:t>
      </w:r>
      <w:r w:rsidR="00FD21B0" w:rsidRPr="00D37490">
        <w:rPr>
          <w:b/>
        </w:rPr>
        <w:t xml:space="preserve">their </w:t>
      </w:r>
      <w:r w:rsidRPr="00D37490">
        <w:rPr>
          <w:b/>
        </w:rPr>
        <w:t>service quality?</w:t>
      </w:r>
      <w:r w:rsidR="00F3686E" w:rsidRPr="00D37490" w:rsidDel="00F3686E">
        <w:rPr>
          <w:b/>
        </w:rPr>
        <w:t xml:space="preserve"> </w:t>
      </w:r>
    </w:p>
    <w:p w:rsidR="001206A4" w:rsidRPr="00D37490" w:rsidRDefault="00772329" w:rsidP="00F3686E">
      <w:pPr>
        <w:pStyle w:val="BodyTextIndent"/>
        <w:tabs>
          <w:tab w:val="clear" w:pos="0"/>
        </w:tabs>
        <w:ind w:left="720" w:hanging="720"/>
        <w:rPr>
          <w:bCs/>
          <w:kern w:val="24"/>
        </w:rPr>
      </w:pPr>
      <w:r w:rsidRPr="00D37490">
        <w:rPr>
          <w:bCs/>
          <w:kern w:val="24"/>
        </w:rPr>
        <w:t>A.</w:t>
      </w:r>
      <w:r w:rsidR="00F3686E" w:rsidRPr="00D37490">
        <w:rPr>
          <w:bCs/>
          <w:kern w:val="24"/>
        </w:rPr>
        <w:tab/>
      </w:r>
      <w:r w:rsidRPr="00D37490">
        <w:rPr>
          <w:bCs/>
          <w:kern w:val="24"/>
        </w:rPr>
        <w:t xml:space="preserve">Staff believes that requiring </w:t>
      </w:r>
      <w:r w:rsidR="00F3686E" w:rsidRPr="00D37490">
        <w:rPr>
          <w:bCs/>
          <w:kern w:val="24"/>
        </w:rPr>
        <w:t xml:space="preserve">the companies </w:t>
      </w:r>
      <w:r w:rsidRPr="00D37490">
        <w:rPr>
          <w:bCs/>
          <w:kern w:val="24"/>
        </w:rPr>
        <w:t xml:space="preserve">to make </w:t>
      </w:r>
      <w:r w:rsidR="004E530D" w:rsidRPr="00D37490">
        <w:rPr>
          <w:bCs/>
          <w:kern w:val="24"/>
        </w:rPr>
        <w:t xml:space="preserve">the service quality </w:t>
      </w:r>
      <w:r w:rsidRPr="00D37490">
        <w:rPr>
          <w:bCs/>
          <w:kern w:val="24"/>
        </w:rPr>
        <w:t>improvements and</w:t>
      </w:r>
      <w:r w:rsidR="00F3686E" w:rsidRPr="00D37490">
        <w:rPr>
          <w:bCs/>
          <w:kern w:val="24"/>
        </w:rPr>
        <w:t xml:space="preserve"> </w:t>
      </w:r>
      <w:r w:rsidRPr="00D37490">
        <w:rPr>
          <w:bCs/>
          <w:kern w:val="24"/>
        </w:rPr>
        <w:t xml:space="preserve">offerings, and to report on </w:t>
      </w:r>
      <w:r w:rsidR="000D1366" w:rsidRPr="00D37490">
        <w:rPr>
          <w:bCs/>
          <w:kern w:val="24"/>
        </w:rPr>
        <w:t>their</w:t>
      </w:r>
      <w:r w:rsidRPr="00D37490">
        <w:rPr>
          <w:bCs/>
          <w:kern w:val="24"/>
        </w:rPr>
        <w:t xml:space="preserve"> performance</w:t>
      </w:r>
      <w:r w:rsidR="00F3686E" w:rsidRPr="00D37490">
        <w:rPr>
          <w:bCs/>
          <w:kern w:val="24"/>
        </w:rPr>
        <w:t xml:space="preserve"> more frequently</w:t>
      </w:r>
      <w:r w:rsidRPr="00D37490">
        <w:rPr>
          <w:bCs/>
          <w:kern w:val="24"/>
        </w:rPr>
        <w:t>, not only allows Staff the opportunity to monitor service quality performance, but provides more of an incentive for the compan</w:t>
      </w:r>
      <w:r w:rsidR="00F3686E" w:rsidRPr="00D37490">
        <w:rPr>
          <w:bCs/>
          <w:kern w:val="24"/>
        </w:rPr>
        <w:t>ies</w:t>
      </w:r>
      <w:r w:rsidRPr="00D37490">
        <w:rPr>
          <w:bCs/>
          <w:kern w:val="24"/>
        </w:rPr>
        <w:t xml:space="preserve"> to </w:t>
      </w:r>
      <w:r w:rsidR="000D1366" w:rsidRPr="00D37490">
        <w:rPr>
          <w:bCs/>
          <w:kern w:val="24"/>
        </w:rPr>
        <w:t xml:space="preserve">meet </w:t>
      </w:r>
      <w:r w:rsidRPr="00D37490">
        <w:rPr>
          <w:bCs/>
          <w:kern w:val="24"/>
        </w:rPr>
        <w:t xml:space="preserve">the standards by holding </w:t>
      </w:r>
      <w:r w:rsidR="00F3686E" w:rsidRPr="00D37490">
        <w:rPr>
          <w:bCs/>
          <w:kern w:val="24"/>
        </w:rPr>
        <w:t xml:space="preserve">them </w:t>
      </w:r>
      <w:r w:rsidRPr="00D37490">
        <w:rPr>
          <w:bCs/>
          <w:kern w:val="24"/>
        </w:rPr>
        <w:t>financially accountable</w:t>
      </w:r>
      <w:r w:rsidR="00F3686E" w:rsidRPr="00D37490">
        <w:rPr>
          <w:bCs/>
          <w:kern w:val="24"/>
        </w:rPr>
        <w:t xml:space="preserve"> to their customers</w:t>
      </w:r>
      <w:r w:rsidR="00B4748B" w:rsidRPr="00D37490">
        <w:rPr>
          <w:bCs/>
          <w:kern w:val="24"/>
        </w:rPr>
        <w:t xml:space="preserve">. </w:t>
      </w:r>
    </w:p>
    <w:p w:rsidR="002E5C3D" w:rsidRPr="00D37490" w:rsidRDefault="002E5C3D" w:rsidP="00F3686E">
      <w:pPr>
        <w:pStyle w:val="BodyTextIndent"/>
        <w:tabs>
          <w:tab w:val="clear" w:pos="0"/>
        </w:tabs>
        <w:ind w:left="720" w:hanging="720"/>
      </w:pPr>
    </w:p>
    <w:p w:rsidR="00772329" w:rsidRPr="00D37490" w:rsidRDefault="00772329" w:rsidP="00772329">
      <w:pPr>
        <w:spacing w:line="480" w:lineRule="auto"/>
        <w:ind w:left="720" w:hanging="720"/>
      </w:pPr>
      <w:r w:rsidRPr="00D37490">
        <w:rPr>
          <w:b/>
          <w:bCs/>
        </w:rPr>
        <w:lastRenderedPageBreak/>
        <w:t>Q.</w:t>
      </w:r>
      <w:r w:rsidRPr="00D37490">
        <w:rPr>
          <w:b/>
          <w:bCs/>
        </w:rPr>
        <w:tab/>
        <w:t xml:space="preserve">Based on </w:t>
      </w:r>
      <w:r w:rsidR="00E43DED" w:rsidRPr="00D37490">
        <w:rPr>
          <w:b/>
          <w:bCs/>
        </w:rPr>
        <w:t xml:space="preserve">your </w:t>
      </w:r>
      <w:r w:rsidRPr="00D37490">
        <w:rPr>
          <w:b/>
          <w:bCs/>
        </w:rPr>
        <w:t xml:space="preserve">review and analysis, would you please </w:t>
      </w:r>
      <w:r w:rsidR="00A61D14" w:rsidRPr="00D37490">
        <w:rPr>
          <w:b/>
          <w:bCs/>
        </w:rPr>
        <w:t xml:space="preserve">list </w:t>
      </w:r>
      <w:r w:rsidR="00E43DED" w:rsidRPr="00D37490">
        <w:rPr>
          <w:b/>
          <w:bCs/>
        </w:rPr>
        <w:t xml:space="preserve">your </w:t>
      </w:r>
      <w:r w:rsidRPr="00D37490">
        <w:rPr>
          <w:b/>
          <w:bCs/>
        </w:rPr>
        <w:t>recommendation</w:t>
      </w:r>
      <w:r w:rsidR="00E43DED" w:rsidRPr="00D37490">
        <w:rPr>
          <w:b/>
          <w:bCs/>
        </w:rPr>
        <w:t>s</w:t>
      </w:r>
      <w:r w:rsidR="000D1366" w:rsidRPr="00D37490">
        <w:rPr>
          <w:b/>
          <w:bCs/>
        </w:rPr>
        <w:t>?</w:t>
      </w:r>
      <w:r w:rsidRPr="00D37490">
        <w:rPr>
          <w:b/>
          <w:bCs/>
        </w:rPr>
        <w:t xml:space="preserve"> </w:t>
      </w:r>
    </w:p>
    <w:p w:rsidR="00772329" w:rsidRPr="00D37490" w:rsidRDefault="00772329" w:rsidP="00772329">
      <w:pPr>
        <w:spacing w:line="480" w:lineRule="auto"/>
        <w:ind w:left="720" w:hanging="720"/>
      </w:pPr>
      <w:r w:rsidRPr="00D37490">
        <w:t>A.</w:t>
      </w:r>
      <w:r w:rsidRPr="00D37490">
        <w:tab/>
      </w:r>
      <w:r w:rsidR="000D1366" w:rsidRPr="00D37490">
        <w:t xml:space="preserve">Yes. </w:t>
      </w:r>
      <w:r w:rsidRPr="00D37490">
        <w:t xml:space="preserve">Based on </w:t>
      </w:r>
      <w:r w:rsidR="00E43DED" w:rsidRPr="00D37490">
        <w:t xml:space="preserve">my </w:t>
      </w:r>
      <w:r w:rsidRPr="00D37490">
        <w:t xml:space="preserve">analysis of </w:t>
      </w:r>
      <w:r w:rsidR="00D342C8" w:rsidRPr="00D37490">
        <w:t>Qwest</w:t>
      </w:r>
      <w:r w:rsidR="00DA5D8B" w:rsidRPr="00D37490">
        <w:t>’s</w:t>
      </w:r>
      <w:r w:rsidR="00D342C8" w:rsidRPr="00D37490">
        <w:t xml:space="preserve"> and </w:t>
      </w:r>
      <w:r w:rsidR="00A31C1F" w:rsidRPr="00D37490">
        <w:t xml:space="preserve">the </w:t>
      </w:r>
      <w:r w:rsidR="00D342C8" w:rsidRPr="00D37490">
        <w:t>CenturyLink ILECs</w:t>
      </w:r>
      <w:r w:rsidR="00932812" w:rsidRPr="00D37490">
        <w:t>’</w:t>
      </w:r>
      <w:r w:rsidR="0054403E" w:rsidRPr="00D37490">
        <w:t xml:space="preserve"> </w:t>
      </w:r>
      <w:r w:rsidRPr="00D37490">
        <w:t xml:space="preserve">service quality </w:t>
      </w:r>
      <w:r w:rsidR="00D342C8" w:rsidRPr="00D37490">
        <w:t xml:space="preserve">performance </w:t>
      </w:r>
      <w:r w:rsidRPr="00D37490">
        <w:t xml:space="preserve">and on results from previous merger conditions and requirements, </w:t>
      </w:r>
      <w:r w:rsidR="00E43DED" w:rsidRPr="00D37490">
        <w:t xml:space="preserve">I </w:t>
      </w:r>
      <w:r w:rsidRPr="00D37490">
        <w:t>recommend</w:t>
      </w:r>
      <w:r w:rsidR="00E43DED" w:rsidRPr="00D37490">
        <w:t xml:space="preserve"> </w:t>
      </w:r>
      <w:r w:rsidR="00B3778E">
        <w:t xml:space="preserve">that the Commission impose </w:t>
      </w:r>
      <w:r w:rsidRPr="00D37490">
        <w:t>the following</w:t>
      </w:r>
      <w:r w:rsidR="00B3778E">
        <w:t xml:space="preserve"> conditions if it approves the transaction</w:t>
      </w:r>
      <w:r w:rsidRPr="00D37490">
        <w:t xml:space="preserve">: </w:t>
      </w:r>
    </w:p>
    <w:p w:rsidR="00A716F3" w:rsidRPr="00D37490" w:rsidRDefault="00A716F3" w:rsidP="008D2D52">
      <w:pPr>
        <w:ind w:left="1440" w:hanging="720"/>
      </w:pPr>
      <w:r w:rsidRPr="00D37490">
        <w:t>1)</w:t>
      </w:r>
      <w:r w:rsidRPr="00D37490">
        <w:tab/>
      </w:r>
      <w:r w:rsidR="00B744E6" w:rsidRPr="00D37490">
        <w:t>Within 30 days after the date the transaction closes, Qwest shall modify the Customer Service Guarantee Program (CSGP) by increasing the missed appointment/commitment credits for residential customers for both installation and repair appointments from $25 to $35</w:t>
      </w:r>
      <w:r w:rsidR="008D2D52" w:rsidRPr="00D37490">
        <w:t>.</w:t>
      </w:r>
    </w:p>
    <w:p w:rsidR="008D2D52" w:rsidRPr="00D37490" w:rsidRDefault="008D2D52" w:rsidP="008D2D52">
      <w:pPr>
        <w:ind w:left="1440" w:hanging="720"/>
      </w:pPr>
      <w:r w:rsidRPr="00D37490">
        <w:t>2)</w:t>
      </w:r>
      <w:r w:rsidRPr="00D37490">
        <w:tab/>
      </w:r>
      <w:r w:rsidR="00211486" w:rsidRPr="00D37490">
        <w:t>Qwest shall continue the monthly service quality reporting required before the transaction; however, for a period of three years following the date the transaction closes, Qwest shall report payouts under the CSGP on a quarterly basis.  After the expiration of this period, Qwest may revert back to the reporting requirements stipulated in the AFOR proceeding in UT-061625 (i.e., monthly service quality reporting as required by rule, and bi-annual reporting of Qwest’s CSGP)</w:t>
      </w:r>
      <w:r w:rsidRPr="00D37490">
        <w:t>.</w:t>
      </w:r>
    </w:p>
    <w:p w:rsidR="00772329" w:rsidRPr="00D37490" w:rsidRDefault="008D2D52" w:rsidP="00D61018">
      <w:pPr>
        <w:ind w:left="1440" w:hanging="720"/>
      </w:pPr>
      <w:r w:rsidRPr="00D37490">
        <w:t>3</w:t>
      </w:r>
      <w:r w:rsidR="00772329" w:rsidRPr="00D37490">
        <w:t xml:space="preserve">) </w:t>
      </w:r>
      <w:r w:rsidR="00D61018" w:rsidRPr="00D37490">
        <w:tab/>
      </w:r>
      <w:r w:rsidR="00211486" w:rsidRPr="00D37490">
        <w:t>Within 30 days after the date the transaction closes all CenturyLink ILECs shall offer the same CSGP in their respective tariffs as is now contained in Qwest’s Washington intrastate tariff</w:t>
      </w:r>
      <w:r w:rsidR="006E169A" w:rsidRPr="00D37490">
        <w:t>:</w:t>
      </w:r>
      <w:r w:rsidR="00772329" w:rsidRPr="00D37490">
        <w:tab/>
      </w:r>
    </w:p>
    <w:p w:rsidR="00772329" w:rsidRPr="00D37490" w:rsidRDefault="00772329" w:rsidP="00D61018">
      <w:pPr>
        <w:ind w:left="2160" w:hanging="720"/>
      </w:pPr>
      <w:r w:rsidRPr="00D37490">
        <w:t xml:space="preserve">a) </w:t>
      </w:r>
      <w:r w:rsidR="00D61018" w:rsidRPr="00D37490">
        <w:tab/>
      </w:r>
      <w:proofErr w:type="gramStart"/>
      <w:r w:rsidRPr="00D37490">
        <w:t>increase</w:t>
      </w:r>
      <w:proofErr w:type="gramEnd"/>
      <w:r w:rsidRPr="00D37490">
        <w:t xml:space="preserve"> </w:t>
      </w:r>
      <w:r w:rsidR="008B161F" w:rsidRPr="00D37490">
        <w:t xml:space="preserve">the </w:t>
      </w:r>
      <w:r w:rsidRPr="00D37490">
        <w:t>missed commitment for residential customers to $</w:t>
      </w:r>
      <w:r w:rsidR="00932812" w:rsidRPr="00D37490">
        <w:t>35</w:t>
      </w:r>
      <w:r w:rsidRPr="00D37490">
        <w:t>, and verbally notify customers of this credit offering at time of order;</w:t>
      </w:r>
    </w:p>
    <w:p w:rsidR="00772329" w:rsidRPr="00D37490" w:rsidRDefault="00772329" w:rsidP="00D61018">
      <w:pPr>
        <w:ind w:left="2160" w:hanging="720"/>
      </w:pPr>
      <w:r w:rsidRPr="00D37490">
        <w:t xml:space="preserve">b) </w:t>
      </w:r>
      <w:r w:rsidR="00D61018" w:rsidRPr="00D37490">
        <w:tab/>
      </w:r>
      <w:proofErr w:type="gramStart"/>
      <w:r w:rsidRPr="00D37490">
        <w:t>offer</w:t>
      </w:r>
      <w:proofErr w:type="gramEnd"/>
      <w:r w:rsidRPr="00D37490">
        <w:t xml:space="preserve"> </w:t>
      </w:r>
      <w:r w:rsidR="00932812" w:rsidRPr="00D37490">
        <w:t xml:space="preserve">the same </w:t>
      </w:r>
      <w:r w:rsidRPr="00D37490">
        <w:t>alternative services for failure to</w:t>
      </w:r>
      <w:r w:rsidR="00D61018" w:rsidRPr="00D37490">
        <w:t xml:space="preserve"> deliver basic service on time;</w:t>
      </w:r>
    </w:p>
    <w:p w:rsidR="00772329" w:rsidRPr="00D37490" w:rsidRDefault="00772329" w:rsidP="00D61018">
      <w:pPr>
        <w:ind w:left="2160" w:hanging="720"/>
      </w:pPr>
      <w:r w:rsidRPr="00D37490">
        <w:t xml:space="preserve">c) </w:t>
      </w:r>
      <w:r w:rsidR="00D61018" w:rsidRPr="00D37490">
        <w:tab/>
      </w:r>
      <w:proofErr w:type="gramStart"/>
      <w:r w:rsidRPr="00D37490">
        <w:t>offer</w:t>
      </w:r>
      <w:proofErr w:type="gramEnd"/>
      <w:r w:rsidRPr="00D37490">
        <w:t xml:space="preserve"> a flat-rate credit of $5 for out-of-service co</w:t>
      </w:r>
      <w:r w:rsidR="002D396C" w:rsidRPr="00D37490">
        <w:t>nditions greater than two days;</w:t>
      </w:r>
    </w:p>
    <w:p w:rsidR="002D396C" w:rsidRPr="00D37490" w:rsidRDefault="00772329" w:rsidP="002D396C">
      <w:pPr>
        <w:ind w:left="2160" w:hanging="720"/>
      </w:pPr>
      <w:r w:rsidRPr="00D37490">
        <w:t xml:space="preserve">d) </w:t>
      </w:r>
      <w:r w:rsidR="00D61018" w:rsidRPr="00D37490">
        <w:tab/>
      </w:r>
      <w:proofErr w:type="gramStart"/>
      <w:r w:rsidRPr="00D37490">
        <w:t>offer</w:t>
      </w:r>
      <w:proofErr w:type="gramEnd"/>
      <w:r w:rsidRPr="00D37490">
        <w:t xml:space="preserve"> trouble report credits of $.25 to customers served in an exchange that e</w:t>
      </w:r>
      <w:r w:rsidR="002D396C" w:rsidRPr="00D37490">
        <w:t>xceeds the standard, i.e. fails; and</w:t>
      </w:r>
    </w:p>
    <w:p w:rsidR="00772329" w:rsidRPr="00D37490" w:rsidRDefault="002D396C" w:rsidP="002D396C">
      <w:pPr>
        <w:ind w:left="2160" w:hanging="720"/>
      </w:pPr>
      <w:r w:rsidRPr="00D37490">
        <w:t>e)</w:t>
      </w:r>
      <w:r w:rsidRPr="00D37490">
        <w:tab/>
      </w:r>
      <w:proofErr w:type="gramStart"/>
      <w:r w:rsidRPr="00D37490">
        <w:t>r</w:t>
      </w:r>
      <w:r w:rsidR="00772329" w:rsidRPr="00D37490">
        <w:t>eport</w:t>
      </w:r>
      <w:proofErr w:type="gramEnd"/>
      <w:r w:rsidR="00772329" w:rsidRPr="00D37490">
        <w:t xml:space="preserve"> </w:t>
      </w:r>
      <w:r w:rsidR="00932812" w:rsidRPr="00D37490">
        <w:t xml:space="preserve">quarterly </w:t>
      </w:r>
      <w:r w:rsidR="00772329" w:rsidRPr="00D37490">
        <w:t xml:space="preserve">with its service quality report, the customer </w:t>
      </w:r>
      <w:r w:rsidRPr="00D37490">
        <w:t>credits associated with the</w:t>
      </w:r>
      <w:r w:rsidR="0054403E" w:rsidRPr="00D37490">
        <w:t xml:space="preserve"> CSGP</w:t>
      </w:r>
      <w:r w:rsidR="008D2D52" w:rsidRPr="00D37490">
        <w:t xml:space="preserve"> for a period of three years, and then, as with Qwest, the company would be allowed to report payouts on a bi-annual basis</w:t>
      </w:r>
      <w:r w:rsidRPr="00D37490">
        <w:t>.</w:t>
      </w:r>
    </w:p>
    <w:p w:rsidR="00042823" w:rsidRPr="00D37490" w:rsidRDefault="00042823" w:rsidP="003412AF">
      <w:pPr>
        <w:ind w:left="1440" w:hanging="720"/>
      </w:pPr>
      <w:r w:rsidRPr="00D37490">
        <w:t xml:space="preserve">4) </w:t>
      </w:r>
      <w:r w:rsidR="003412AF" w:rsidRPr="00D37490">
        <w:tab/>
      </w:r>
      <w:r w:rsidR="00E04152" w:rsidRPr="00D37490">
        <w:t xml:space="preserve">CenturyLink ILECs shall continue to file monthly service quality reports as required by </w:t>
      </w:r>
      <w:proofErr w:type="gramStart"/>
      <w:r w:rsidR="00E04152" w:rsidRPr="00D37490">
        <w:t>rule,</w:t>
      </w:r>
      <w:proofErr w:type="gramEnd"/>
      <w:r w:rsidR="00E04152" w:rsidRPr="00D37490">
        <w:t xml:space="preserve"> and for a period of three years following the date the transaction closes, CenturyLink ILECs shall file quarterly reports of their CSGP. After the expiration of this period, CenturyLink ILECs may report payouts under the CSGP on a bi-annual basis</w:t>
      </w:r>
      <w:r w:rsidR="008B161F" w:rsidRPr="00D37490">
        <w:t>.</w:t>
      </w:r>
    </w:p>
    <w:p w:rsidR="008B161F" w:rsidRPr="00D37490" w:rsidRDefault="00042823" w:rsidP="003412AF">
      <w:pPr>
        <w:ind w:left="1440" w:hanging="720"/>
      </w:pPr>
      <w:r w:rsidRPr="00D37490">
        <w:t>5</w:t>
      </w:r>
      <w:r w:rsidR="008D2D52" w:rsidRPr="00D37490">
        <w:t xml:space="preserve">) </w:t>
      </w:r>
      <w:r w:rsidR="003412AF" w:rsidRPr="00D37490">
        <w:tab/>
      </w:r>
      <w:r w:rsidR="00DB523A" w:rsidRPr="00D37490">
        <w:t>CenturyLink ILECs operating in Washington shall provide service quality reports in the same manner and format as Qwest, specifically, a 90-day rolling installation report. This is an ongoing requirement</w:t>
      </w:r>
      <w:r w:rsidR="008B161F" w:rsidRPr="00D37490">
        <w:t>.</w:t>
      </w:r>
    </w:p>
    <w:p w:rsidR="008D2D52" w:rsidRPr="00D37490" w:rsidRDefault="008B161F" w:rsidP="003412AF">
      <w:pPr>
        <w:ind w:left="1440" w:hanging="720"/>
      </w:pPr>
      <w:r w:rsidRPr="00D37490">
        <w:lastRenderedPageBreak/>
        <w:t xml:space="preserve">6) </w:t>
      </w:r>
      <w:r w:rsidRPr="00D37490">
        <w:tab/>
      </w:r>
      <w:r w:rsidR="00E04152" w:rsidRPr="00D37490">
        <w:t>CenturyLink ILECs must report on orders completed, which is similar to the treatment granted to Qwest in Docket UT-030704</w:t>
      </w:r>
      <w:r w:rsidR="008D2D52" w:rsidRPr="00D37490">
        <w:t>.</w:t>
      </w:r>
    </w:p>
    <w:p w:rsidR="002C3A7A" w:rsidRDefault="008B161F" w:rsidP="008B161F">
      <w:pPr>
        <w:tabs>
          <w:tab w:val="left" w:pos="8280"/>
        </w:tabs>
        <w:ind w:left="1440" w:hanging="720"/>
      </w:pPr>
      <w:r w:rsidRPr="00D37490">
        <w:t>7</w:t>
      </w:r>
      <w:r w:rsidR="00370DB9" w:rsidRPr="00D37490">
        <w:t xml:space="preserve">) </w:t>
      </w:r>
      <w:r w:rsidR="003412AF" w:rsidRPr="00D37490">
        <w:tab/>
      </w:r>
      <w:r w:rsidR="005F4128" w:rsidRPr="00D37490">
        <w:t>For three years following the date the transaction closes, if any CenturyLink ILEC or Qwest has service quality degradation that falls below the average level of retail service quality metrics reported for six months prior to the closing date of the transaction, Staff, at its discretion, can initiate a service quality</w:t>
      </w:r>
      <w:r w:rsidR="005F4128" w:rsidRPr="00D37490" w:rsidDel="00730A48">
        <w:t xml:space="preserve"> </w:t>
      </w:r>
      <w:r w:rsidR="005F4128" w:rsidRPr="00D37490">
        <w:t xml:space="preserve"> investigation and, if warranted, will require the carrier to off-set the degradation in service quality by requiring the carrier to offer a service quality performance plan, similar to the requirements imposed on Qwest in Docket UT-991358</w:t>
      </w:r>
      <w:r w:rsidR="003412AF" w:rsidRPr="00D37490">
        <w:t>.</w:t>
      </w:r>
    </w:p>
    <w:p w:rsidR="00370DB9" w:rsidRPr="00D37490" w:rsidRDefault="00042823" w:rsidP="008B161F">
      <w:pPr>
        <w:tabs>
          <w:tab w:val="left" w:pos="8280"/>
        </w:tabs>
        <w:ind w:left="1440" w:hanging="720"/>
      </w:pPr>
      <w:r w:rsidRPr="00D37490">
        <w:t xml:space="preserve"> </w:t>
      </w:r>
    </w:p>
    <w:p w:rsidR="003D41D2" w:rsidRPr="00D37490" w:rsidRDefault="003D41D2" w:rsidP="002D396C">
      <w:pPr>
        <w:ind w:left="2160" w:hanging="720"/>
      </w:pPr>
    </w:p>
    <w:p w:rsidR="00B640EE" w:rsidRPr="00D37490" w:rsidRDefault="00B640EE" w:rsidP="002D396C">
      <w:pPr>
        <w:ind w:left="2160" w:hanging="720"/>
      </w:pPr>
    </w:p>
    <w:p w:rsidR="00772329" w:rsidRPr="00D37490" w:rsidRDefault="00772329" w:rsidP="00772329">
      <w:pPr>
        <w:spacing w:line="480" w:lineRule="auto"/>
        <w:ind w:left="720" w:hanging="720"/>
      </w:pPr>
      <w:r w:rsidRPr="00D37490">
        <w:rPr>
          <w:b/>
          <w:bCs/>
        </w:rPr>
        <w:t>Q.</w:t>
      </w:r>
      <w:r w:rsidRPr="00D37490">
        <w:rPr>
          <w:b/>
          <w:bCs/>
        </w:rPr>
        <w:tab/>
        <w:t>Does this complete your testimony?</w:t>
      </w:r>
    </w:p>
    <w:p w:rsidR="00772329" w:rsidRPr="00D37490" w:rsidRDefault="00772329" w:rsidP="00772329">
      <w:pPr>
        <w:spacing w:line="480" w:lineRule="auto"/>
        <w:ind w:left="720" w:hanging="720"/>
      </w:pPr>
      <w:r w:rsidRPr="00D37490">
        <w:t>A.</w:t>
      </w:r>
      <w:r w:rsidRPr="00D37490">
        <w:tab/>
        <w:t xml:space="preserve">Yes. </w:t>
      </w:r>
    </w:p>
    <w:p w:rsidR="00101FFD" w:rsidRPr="00D37490" w:rsidRDefault="00101FFD" w:rsidP="00101FFD">
      <w:pPr>
        <w:rPr>
          <w:b/>
        </w:rPr>
      </w:pPr>
    </w:p>
    <w:sectPr w:rsidR="00101FFD" w:rsidRPr="00D37490" w:rsidSect="00772329">
      <w:footerReference w:type="default" r:id="rId15"/>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75F" w:rsidRDefault="00EF175F">
      <w:r>
        <w:separator/>
      </w:r>
    </w:p>
  </w:endnote>
  <w:endnote w:type="continuationSeparator" w:id="0">
    <w:p w:rsidR="00EF175F" w:rsidRDefault="00EF17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69A" w:rsidRPr="00732550" w:rsidRDefault="006E169A" w:rsidP="00136C92">
    <w:pPr>
      <w:pStyle w:val="Footer"/>
      <w:rPr>
        <w:sz w:val="22"/>
        <w:szCs w:val="22"/>
      </w:rPr>
    </w:pPr>
    <w:r w:rsidRPr="00732550">
      <w:rPr>
        <w:sz w:val="22"/>
        <w:szCs w:val="22"/>
      </w:rPr>
      <w:t>TESTIMONY OF DEBORAH J. REYNOLDS</w:t>
    </w:r>
    <w:r w:rsidRPr="00732550">
      <w:rPr>
        <w:sz w:val="22"/>
        <w:szCs w:val="22"/>
      </w:rPr>
      <w:tab/>
    </w:r>
    <w:r>
      <w:rPr>
        <w:sz w:val="22"/>
        <w:szCs w:val="22"/>
      </w:rPr>
      <w:tab/>
    </w:r>
    <w:r w:rsidRPr="00732550">
      <w:rPr>
        <w:sz w:val="22"/>
        <w:szCs w:val="22"/>
      </w:rPr>
      <w:t>Exhibit No. ___ T (DJR-1T)</w:t>
    </w:r>
  </w:p>
  <w:p w:rsidR="006E169A" w:rsidRPr="00732550" w:rsidRDefault="006E169A" w:rsidP="00136C92">
    <w:pPr>
      <w:rPr>
        <w:sz w:val="22"/>
        <w:szCs w:val="22"/>
        <w:lang w:val="fr-FR"/>
      </w:rPr>
    </w:pPr>
    <w:r w:rsidRPr="00732550">
      <w:rPr>
        <w:sz w:val="22"/>
        <w:szCs w:val="22"/>
      </w:rPr>
      <w:t>Dockets</w:t>
    </w:r>
    <w:r w:rsidRPr="00732550">
      <w:rPr>
        <w:sz w:val="22"/>
        <w:szCs w:val="22"/>
        <w:lang w:val="fr-FR"/>
      </w:rPr>
      <w:t xml:space="preserve"> UE-090134 and UG-090135</w:t>
    </w:r>
    <w:r w:rsidRPr="00732550">
      <w:rPr>
        <w:sz w:val="22"/>
        <w:szCs w:val="22"/>
        <w:lang w:val="fr-FR"/>
      </w:rPr>
      <w:tab/>
    </w:r>
    <w:r w:rsidRPr="00732550">
      <w:rPr>
        <w:sz w:val="22"/>
        <w:szCs w:val="22"/>
        <w:lang w:val="fr-FR"/>
      </w:rPr>
      <w:tab/>
    </w:r>
    <w:r w:rsidRPr="00732550">
      <w:rPr>
        <w:sz w:val="22"/>
        <w:szCs w:val="22"/>
        <w:lang w:val="fr-FR"/>
      </w:rPr>
      <w:tab/>
    </w:r>
    <w:r w:rsidRPr="00732550">
      <w:rPr>
        <w:sz w:val="22"/>
        <w:szCs w:val="22"/>
        <w:lang w:val="fr-FR"/>
      </w:rPr>
      <w:tab/>
    </w:r>
    <w:r w:rsidRPr="00732550">
      <w:rPr>
        <w:sz w:val="22"/>
        <w:szCs w:val="22"/>
        <w:lang w:val="fr-FR"/>
      </w:rPr>
      <w:tab/>
    </w:r>
    <w:r w:rsidRPr="00732550">
      <w:rPr>
        <w:sz w:val="22"/>
        <w:szCs w:val="22"/>
        <w:lang w:val="fr-FR"/>
      </w:rPr>
      <w:tab/>
    </w:r>
    <w:r w:rsidRPr="00732550">
      <w:rPr>
        <w:sz w:val="22"/>
        <w:szCs w:val="22"/>
        <w:lang w:val="fr-FR"/>
      </w:rPr>
      <w:tab/>
      <w:t xml:space="preserve">  Page </w:t>
    </w:r>
    <w:r w:rsidR="00A53703" w:rsidRPr="00732550">
      <w:rPr>
        <w:rStyle w:val="PageNumber"/>
        <w:sz w:val="22"/>
        <w:szCs w:val="22"/>
      </w:rPr>
      <w:fldChar w:fldCharType="begin"/>
    </w:r>
    <w:r w:rsidRPr="00732550">
      <w:rPr>
        <w:rStyle w:val="PageNumber"/>
        <w:sz w:val="22"/>
        <w:szCs w:val="22"/>
        <w:lang w:val="fr-FR"/>
      </w:rPr>
      <w:instrText xml:space="preserve"> PAGE </w:instrText>
    </w:r>
    <w:r w:rsidR="00A53703" w:rsidRPr="00732550">
      <w:rPr>
        <w:rStyle w:val="PageNumber"/>
        <w:sz w:val="22"/>
        <w:szCs w:val="22"/>
      </w:rPr>
      <w:fldChar w:fldCharType="separate"/>
    </w:r>
    <w:r>
      <w:rPr>
        <w:rStyle w:val="PageNumber"/>
        <w:noProof/>
        <w:sz w:val="22"/>
        <w:szCs w:val="22"/>
        <w:lang w:val="fr-FR"/>
      </w:rPr>
      <w:t>ii</w:t>
    </w:r>
    <w:r w:rsidR="00A53703" w:rsidRPr="00732550">
      <w:rPr>
        <w:rStyle w:val="PageNumber"/>
        <w:sz w:val="22"/>
        <w:szCs w:val="22"/>
      </w:rPr>
      <w:fldChar w:fldCharType="end"/>
    </w:r>
  </w:p>
  <w:p w:rsidR="006E169A" w:rsidRPr="00732550" w:rsidRDefault="006E169A" w:rsidP="00136C92">
    <w:pPr>
      <w:rPr>
        <w:sz w:val="22"/>
        <w:szCs w:val="22"/>
      </w:rPr>
    </w:pPr>
    <w:proofErr w:type="gramStart"/>
    <w:r w:rsidRPr="00732550">
      <w:rPr>
        <w:sz w:val="22"/>
        <w:szCs w:val="22"/>
      </w:rPr>
      <w:t>and</w:t>
    </w:r>
    <w:proofErr w:type="gramEnd"/>
    <w:r w:rsidRPr="00732550">
      <w:rPr>
        <w:sz w:val="22"/>
        <w:szCs w:val="22"/>
      </w:rPr>
      <w:t xml:space="preserve"> UG-060518 (consolidated)</w:t>
    </w:r>
    <w:r w:rsidRPr="00732550">
      <w:rPr>
        <w:sz w:val="22"/>
        <w:szCs w:val="22"/>
      </w:rPr>
      <w:tab/>
    </w:r>
    <w:r w:rsidRPr="00732550">
      <w:rPr>
        <w:sz w:val="22"/>
        <w:szCs w:val="22"/>
      </w:rPr>
      <w:tab/>
    </w:r>
    <w:r w:rsidRPr="00732550">
      <w:rPr>
        <w:sz w:val="22"/>
        <w:szCs w:val="22"/>
      </w:rPr>
      <w:tab/>
    </w:r>
    <w:r w:rsidRPr="00732550">
      <w:rPr>
        <w:sz w:val="22"/>
        <w:szCs w:val="22"/>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69A" w:rsidRPr="00CF23B9" w:rsidRDefault="006E169A" w:rsidP="00C61092">
    <w:pPr>
      <w:pStyle w:val="Footer"/>
      <w:tabs>
        <w:tab w:val="clear" w:pos="8640"/>
        <w:tab w:val="right" w:pos="8910"/>
      </w:tabs>
      <w:rPr>
        <w:sz w:val="20"/>
        <w:szCs w:val="20"/>
      </w:rPr>
    </w:pPr>
    <w:r w:rsidRPr="00CF23B9">
      <w:rPr>
        <w:sz w:val="20"/>
        <w:szCs w:val="20"/>
      </w:rPr>
      <w:t>TESTIMONY OF KRISTEN M. RUSSELL</w:t>
    </w:r>
    <w:r w:rsidRPr="00CF23B9">
      <w:rPr>
        <w:sz w:val="20"/>
        <w:szCs w:val="20"/>
      </w:rPr>
      <w:tab/>
    </w:r>
    <w:r w:rsidRPr="00CF23B9">
      <w:rPr>
        <w:sz w:val="20"/>
        <w:szCs w:val="20"/>
      </w:rPr>
      <w:tab/>
      <w:t>Exhibit No. ___ T (KMR-1T)</w:t>
    </w:r>
  </w:p>
  <w:p w:rsidR="006E169A" w:rsidRPr="00CF23B9" w:rsidRDefault="006E169A" w:rsidP="007C7E7F">
    <w:pPr>
      <w:tabs>
        <w:tab w:val="right" w:pos="8910"/>
      </w:tabs>
      <w:rPr>
        <w:sz w:val="20"/>
        <w:szCs w:val="20"/>
      </w:rPr>
    </w:pPr>
    <w:r w:rsidRPr="00CF23B9">
      <w:rPr>
        <w:sz w:val="20"/>
        <w:szCs w:val="20"/>
      </w:rPr>
      <w:t>Docket UT-100820</w:t>
    </w:r>
    <w:r w:rsidRPr="00CF23B9">
      <w:rPr>
        <w:sz w:val="20"/>
        <w:szCs w:val="20"/>
      </w:rPr>
      <w:tab/>
      <w:t xml:space="preserve">Page </w:t>
    </w:r>
    <w:r w:rsidR="00A53703" w:rsidRPr="00CF23B9">
      <w:rPr>
        <w:sz w:val="20"/>
        <w:szCs w:val="20"/>
      </w:rPr>
      <w:fldChar w:fldCharType="begin"/>
    </w:r>
    <w:r w:rsidRPr="00CF23B9">
      <w:rPr>
        <w:sz w:val="20"/>
        <w:szCs w:val="20"/>
      </w:rPr>
      <w:instrText xml:space="preserve"> PAGE   \* MERGEFORMAT </w:instrText>
    </w:r>
    <w:r w:rsidR="00A53703" w:rsidRPr="00CF23B9">
      <w:rPr>
        <w:sz w:val="20"/>
        <w:szCs w:val="20"/>
      </w:rPr>
      <w:fldChar w:fldCharType="separate"/>
    </w:r>
    <w:r w:rsidR="002148B3">
      <w:rPr>
        <w:noProof/>
        <w:sz w:val="20"/>
        <w:szCs w:val="20"/>
      </w:rPr>
      <w:t>ii</w:t>
    </w:r>
    <w:r w:rsidR="00A53703" w:rsidRPr="00CF23B9">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69A" w:rsidRPr="00CF23B9" w:rsidRDefault="006E169A" w:rsidP="00C61092">
    <w:pPr>
      <w:pStyle w:val="Footer"/>
      <w:tabs>
        <w:tab w:val="clear" w:pos="8640"/>
        <w:tab w:val="right" w:pos="8910"/>
      </w:tabs>
      <w:rPr>
        <w:sz w:val="20"/>
        <w:szCs w:val="20"/>
      </w:rPr>
    </w:pPr>
    <w:r w:rsidRPr="00CF23B9">
      <w:rPr>
        <w:sz w:val="20"/>
        <w:szCs w:val="20"/>
      </w:rPr>
      <w:t>TESTIMONY OF KRISTEN M. RUSSELL</w:t>
    </w:r>
    <w:r w:rsidRPr="00CF23B9">
      <w:rPr>
        <w:sz w:val="20"/>
        <w:szCs w:val="20"/>
      </w:rPr>
      <w:tab/>
    </w:r>
    <w:r w:rsidRPr="00CF23B9">
      <w:rPr>
        <w:sz w:val="20"/>
        <w:szCs w:val="20"/>
      </w:rPr>
      <w:tab/>
      <w:t>Exhibit No. ___ T (KMR-1T)</w:t>
    </w:r>
  </w:p>
  <w:p w:rsidR="006E169A" w:rsidRPr="00CF23B9" w:rsidRDefault="006E169A" w:rsidP="007C7E7F">
    <w:pPr>
      <w:tabs>
        <w:tab w:val="right" w:pos="8910"/>
      </w:tabs>
      <w:rPr>
        <w:sz w:val="20"/>
        <w:szCs w:val="20"/>
      </w:rPr>
    </w:pPr>
    <w:r w:rsidRPr="00CF23B9">
      <w:rPr>
        <w:sz w:val="20"/>
        <w:szCs w:val="20"/>
      </w:rPr>
      <w:t>Docket UT-100820</w:t>
    </w:r>
    <w:r w:rsidRPr="00CF23B9">
      <w:rPr>
        <w:sz w:val="20"/>
        <w:szCs w:val="20"/>
      </w:rPr>
      <w:tab/>
      <w:t xml:space="preserve">Page </w:t>
    </w:r>
    <w:r w:rsidR="00A53703" w:rsidRPr="00CF23B9">
      <w:rPr>
        <w:sz w:val="20"/>
        <w:szCs w:val="20"/>
      </w:rPr>
      <w:fldChar w:fldCharType="begin"/>
    </w:r>
    <w:r w:rsidRPr="00CF23B9">
      <w:rPr>
        <w:sz w:val="20"/>
        <w:szCs w:val="20"/>
      </w:rPr>
      <w:instrText xml:space="preserve"> PAGE   \* MERGEFORMAT </w:instrText>
    </w:r>
    <w:r w:rsidR="00A53703" w:rsidRPr="00CF23B9">
      <w:rPr>
        <w:sz w:val="20"/>
        <w:szCs w:val="20"/>
      </w:rPr>
      <w:fldChar w:fldCharType="separate"/>
    </w:r>
    <w:r w:rsidR="00C25015">
      <w:rPr>
        <w:noProof/>
        <w:sz w:val="20"/>
        <w:szCs w:val="20"/>
      </w:rPr>
      <w:t>15</w:t>
    </w:r>
    <w:r w:rsidR="00A53703" w:rsidRPr="00CF23B9">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75F" w:rsidRDefault="00EF175F">
      <w:r>
        <w:separator/>
      </w:r>
    </w:p>
  </w:footnote>
  <w:footnote w:type="continuationSeparator" w:id="0">
    <w:p w:rsidR="00EF175F" w:rsidRDefault="00EF175F">
      <w:r>
        <w:continuationSeparator/>
      </w:r>
    </w:p>
  </w:footnote>
  <w:footnote w:id="1">
    <w:p w:rsidR="006E169A" w:rsidRPr="00C85312" w:rsidRDefault="006E169A" w:rsidP="00772329">
      <w:pPr>
        <w:pStyle w:val="FootnoteText"/>
        <w:rPr>
          <w:sz w:val="20"/>
        </w:rPr>
      </w:pPr>
      <w:r w:rsidRPr="00C85312">
        <w:rPr>
          <w:rStyle w:val="FootnoteReference"/>
          <w:sz w:val="20"/>
        </w:rPr>
        <w:footnoteRef/>
      </w:r>
      <w:r w:rsidRPr="00C85312">
        <w:rPr>
          <w:sz w:val="20"/>
        </w:rPr>
        <w:t>http://www.wutc.wa.gov/webdocs.nsf/0492664a7ba7ed8b88256406006bf2ca/1620e4a64b072a818825680100788d78!OpenDocument</w:t>
      </w:r>
      <w:r w:rsidR="00F9152A">
        <w:rPr>
          <w:sz w:val="20"/>
        </w:rPr>
        <w:t>.</w:t>
      </w:r>
    </w:p>
  </w:footnote>
  <w:footnote w:id="2">
    <w:p w:rsidR="006E169A" w:rsidRPr="00EB149C" w:rsidRDefault="006E169A">
      <w:pPr>
        <w:pStyle w:val="FootnoteText"/>
        <w:rPr>
          <w:sz w:val="20"/>
        </w:rPr>
      </w:pPr>
      <w:r w:rsidRPr="00EB149C">
        <w:rPr>
          <w:rStyle w:val="FootnoteReference"/>
          <w:sz w:val="20"/>
        </w:rPr>
        <w:footnoteRef/>
      </w:r>
      <w:r w:rsidRPr="00EB149C">
        <w:rPr>
          <w:sz w:val="20"/>
        </w:rPr>
        <w:t xml:space="preserve"> For purposes of service quality data that have been compiled and to which I refer in my testimony, the term “CenturyLink ILECs” will not include United Telephone Company of the Northwest, d/b/a CenturyLink; this entity will be referred to as Embarq.</w:t>
      </w:r>
    </w:p>
  </w:footnote>
  <w:footnote w:id="3">
    <w:p w:rsidR="006E169A" w:rsidRDefault="006E169A">
      <w:pPr>
        <w:pStyle w:val="FootnoteText"/>
      </w:pPr>
      <w:r>
        <w:rPr>
          <w:rStyle w:val="FootnoteReference"/>
        </w:rPr>
        <w:footnoteRef/>
      </w:r>
      <w:r>
        <w:t xml:space="preserve"> </w:t>
      </w:r>
      <w:r>
        <w:rPr>
          <w:sz w:val="20"/>
        </w:rPr>
        <w:t>In 2008, the FCC granted forbearance from the carriers’ obligation to file ARMIS Reports 43-05 (and 43-06), as long as the carriers continued to collect the service quality data and file the ARMIS reports for two years from the effective date of the forbearance order (September 6, 2008).  All price-cap carriers agreed to this requirement.</w:t>
      </w:r>
    </w:p>
  </w:footnote>
  <w:footnote w:id="4">
    <w:p w:rsidR="006E169A" w:rsidRPr="00C85312" w:rsidRDefault="006E169A" w:rsidP="00772329">
      <w:pPr>
        <w:pStyle w:val="FootnoteText"/>
        <w:rPr>
          <w:sz w:val="20"/>
        </w:rPr>
      </w:pPr>
      <w:r w:rsidRPr="00C85312">
        <w:rPr>
          <w:rStyle w:val="FootnoteReference"/>
          <w:sz w:val="20"/>
        </w:rPr>
        <w:footnoteRef/>
      </w:r>
      <w:r w:rsidRPr="00C85312">
        <w:rPr>
          <w:sz w:val="20"/>
          <w:vertAlign w:val="superscript"/>
        </w:rPr>
        <w:t xml:space="preserve"> </w:t>
      </w:r>
      <w:r w:rsidRPr="00C85312">
        <w:rPr>
          <w:sz w:val="20"/>
        </w:rPr>
        <w:t>Class A companies are those with two percent or more of the state’s access lines</w:t>
      </w:r>
      <w:r>
        <w:rPr>
          <w:sz w:val="20"/>
        </w:rPr>
        <w:t xml:space="preserve"> (including the number of access lines served by an affiliate of that local exchange company)</w:t>
      </w:r>
      <w:r w:rsidRPr="00C85312">
        <w:rPr>
          <w:sz w:val="20"/>
        </w:rPr>
        <w:t xml:space="preserve">.  </w:t>
      </w:r>
      <w:r>
        <w:rPr>
          <w:sz w:val="20"/>
        </w:rPr>
        <w:t xml:space="preserve">The current </w:t>
      </w:r>
      <w:r w:rsidRPr="00C85312">
        <w:rPr>
          <w:sz w:val="20"/>
        </w:rPr>
        <w:t xml:space="preserve">benchmark is 59,599 access lines. Class A or B designation is based on regulated sector data, and does not include information on DSL, cable, VOIP, </w:t>
      </w:r>
      <w:r>
        <w:rPr>
          <w:sz w:val="20"/>
        </w:rPr>
        <w:t xml:space="preserve">or </w:t>
      </w:r>
      <w:r w:rsidRPr="00C85312">
        <w:rPr>
          <w:sz w:val="20"/>
        </w:rPr>
        <w:t>wireless services.</w:t>
      </w:r>
      <w:r>
        <w:rPr>
          <w:sz w:val="20"/>
        </w:rPr>
        <w:t xml:space="preserve"> </w:t>
      </w:r>
    </w:p>
  </w:footnote>
  <w:footnote w:id="5">
    <w:p w:rsidR="006E169A" w:rsidRPr="0088463A" w:rsidRDefault="006E169A">
      <w:pPr>
        <w:pStyle w:val="FootnoteText"/>
        <w:rPr>
          <w:sz w:val="20"/>
        </w:rPr>
      </w:pPr>
      <w:r>
        <w:rPr>
          <w:rStyle w:val="FootnoteReference"/>
        </w:rPr>
        <w:footnoteRef/>
      </w:r>
      <w:r>
        <w:t xml:space="preserve"> </w:t>
      </w:r>
      <w:r>
        <w:rPr>
          <w:sz w:val="20"/>
        </w:rPr>
        <w:t>The definition is excerpted from WAC 480-120-021.</w:t>
      </w:r>
    </w:p>
  </w:footnote>
  <w:footnote w:id="6">
    <w:p w:rsidR="006E169A" w:rsidRPr="00C85312" w:rsidRDefault="006E169A" w:rsidP="00772329">
      <w:pPr>
        <w:pStyle w:val="FootnoteText"/>
        <w:rPr>
          <w:sz w:val="20"/>
        </w:rPr>
      </w:pPr>
      <w:r w:rsidRPr="00C85312">
        <w:rPr>
          <w:rStyle w:val="FootnoteReference"/>
          <w:sz w:val="20"/>
        </w:rPr>
        <w:footnoteRef/>
      </w:r>
      <w:r w:rsidRPr="00C85312">
        <w:rPr>
          <w:sz w:val="20"/>
          <w:vertAlign w:val="superscript"/>
        </w:rPr>
        <w:t xml:space="preserve"> </w:t>
      </w:r>
      <w:r w:rsidRPr="00C85312">
        <w:rPr>
          <w:sz w:val="20"/>
        </w:rPr>
        <w:t xml:space="preserve">The following definitions </w:t>
      </w:r>
      <w:r>
        <w:rPr>
          <w:sz w:val="20"/>
        </w:rPr>
        <w:t>are excerpted</w:t>
      </w:r>
      <w:r w:rsidRPr="00C85312">
        <w:rPr>
          <w:sz w:val="20"/>
        </w:rPr>
        <w:t xml:space="preserve"> from Consumer Protection’s Procedures manual and are used in identifying service quality complaints: Quality of Service – when a customer is complaining of the quality of service and it is related to company’s physical plant, facilities, or product, i.e. static; Network Congestion – when the complainant cannot complete outgoing calls (may receive fast busy tone); and Delayed Service – used in telephone complaints where the customer has requested service and the telephone company has delayed installation. </w:t>
      </w:r>
    </w:p>
  </w:footnote>
  <w:footnote w:id="7">
    <w:p w:rsidR="006E169A" w:rsidRPr="00654B07" w:rsidRDefault="006E169A" w:rsidP="001636FF">
      <w:pPr>
        <w:pStyle w:val="FootnoteText"/>
        <w:rPr>
          <w:sz w:val="20"/>
        </w:rPr>
      </w:pPr>
      <w:r>
        <w:rPr>
          <w:rStyle w:val="FootnoteReference"/>
        </w:rPr>
        <w:footnoteRef/>
      </w:r>
      <w:r>
        <w:t xml:space="preserve"> </w:t>
      </w:r>
      <w:r>
        <w:rPr>
          <w:sz w:val="20"/>
        </w:rPr>
        <w:t>It should be noted that for the purposes of the graphs, CenturyTel and CenturyLink are synonymous.</w:t>
      </w:r>
    </w:p>
  </w:footnote>
  <w:footnote w:id="8">
    <w:p w:rsidR="006E169A" w:rsidRPr="00C85312" w:rsidRDefault="006E169A" w:rsidP="00772329">
      <w:pPr>
        <w:pStyle w:val="FootnoteText"/>
        <w:rPr>
          <w:sz w:val="20"/>
        </w:rPr>
      </w:pPr>
      <w:r w:rsidRPr="00C85312">
        <w:rPr>
          <w:rStyle w:val="FootnoteReference"/>
          <w:sz w:val="20"/>
        </w:rPr>
        <w:footnoteRef/>
      </w:r>
      <w:r w:rsidRPr="00C85312">
        <w:rPr>
          <w:sz w:val="20"/>
          <w:vertAlign w:val="superscript"/>
        </w:rPr>
        <w:t xml:space="preserve"> </w:t>
      </w:r>
      <w:r w:rsidRPr="00C85312">
        <w:rPr>
          <w:bCs/>
          <w:sz w:val="20"/>
        </w:rPr>
        <w:t xml:space="preserve">In Docket UT-061625, the </w:t>
      </w:r>
      <w:r>
        <w:rPr>
          <w:bCs/>
          <w:sz w:val="20"/>
        </w:rPr>
        <w:t>C</w:t>
      </w:r>
      <w:r w:rsidRPr="00C85312">
        <w:rPr>
          <w:bCs/>
          <w:sz w:val="20"/>
        </w:rPr>
        <w:t>ommissioned approved a modification to the reporting requirement.  Qwest now reports the CSGP data on a bi-annual basis.</w:t>
      </w:r>
    </w:p>
  </w:footnote>
  <w:footnote w:id="9">
    <w:p w:rsidR="006E169A" w:rsidRPr="0068340B" w:rsidRDefault="006E169A">
      <w:pPr>
        <w:pStyle w:val="FootnoteText"/>
        <w:rPr>
          <w:sz w:val="20"/>
        </w:rPr>
      </w:pPr>
      <w:r>
        <w:rPr>
          <w:rStyle w:val="FootnoteReference"/>
        </w:rPr>
        <w:footnoteRef/>
      </w:r>
      <w:r>
        <w:t xml:space="preserve"> </w:t>
      </w:r>
      <w:r w:rsidRPr="00946DB4">
        <w:rPr>
          <w:i/>
          <w:sz w:val="20"/>
        </w:rPr>
        <w:t xml:space="preserve">See, e.g., </w:t>
      </w:r>
      <w:r w:rsidRPr="0068340B">
        <w:rPr>
          <w:sz w:val="20"/>
        </w:rPr>
        <w:t xml:space="preserve">Docket UT-090842, </w:t>
      </w:r>
      <w:r w:rsidRPr="00946DB4">
        <w:rPr>
          <w:sz w:val="20"/>
        </w:rPr>
        <w:t xml:space="preserve">Testimony of </w:t>
      </w:r>
      <w:r w:rsidRPr="0068340B">
        <w:rPr>
          <w:sz w:val="20"/>
        </w:rPr>
        <w:t>Robert T. Williamson, at 10</w:t>
      </w:r>
      <w:r>
        <w:rPr>
          <w:sz w:val="20"/>
        </w:rPr>
        <w:t>:</w:t>
      </w:r>
      <w:r w:rsidRPr="0068340B">
        <w:rPr>
          <w:sz w:val="20"/>
        </w:rPr>
        <w:t>1, as follows:  “Thousands of serious recurring billing errors, poor customer service, delays in installation and repair, slow and inadequate response to consumer complaints and service issues occurred following the conversion to FairPoint’s new OSS from Verizon’s legacy systems approximately one year after closing.”</w:t>
      </w:r>
    </w:p>
  </w:footnote>
  <w:footnote w:id="10">
    <w:p w:rsidR="006E169A" w:rsidRPr="00D208F6" w:rsidRDefault="006E169A">
      <w:pPr>
        <w:pStyle w:val="FootnoteText"/>
        <w:rPr>
          <w:sz w:val="20"/>
        </w:rPr>
      </w:pPr>
      <w:r>
        <w:rPr>
          <w:rStyle w:val="FootnoteReference"/>
        </w:rPr>
        <w:footnoteRef/>
      </w:r>
      <w:r>
        <w:t xml:space="preserve"> </w:t>
      </w:r>
      <w:proofErr w:type="gramStart"/>
      <w:r>
        <w:rPr>
          <w:sz w:val="20"/>
        </w:rPr>
        <w:t>Excerpt taken from Tenth Supplemental Order at p. 26 (January 15, 1998).</w:t>
      </w:r>
      <w:proofErr w:type="gramEnd"/>
    </w:p>
  </w:footnote>
  <w:footnote w:id="11">
    <w:p w:rsidR="006E169A" w:rsidRPr="00916707" w:rsidRDefault="006E169A" w:rsidP="00F5221A">
      <w:pPr>
        <w:pStyle w:val="FootnoteText"/>
        <w:rPr>
          <w:sz w:val="20"/>
        </w:rPr>
      </w:pPr>
      <w:r>
        <w:rPr>
          <w:rStyle w:val="FootnoteReference"/>
        </w:rPr>
        <w:footnoteRef/>
      </w:r>
      <w:r>
        <w:rPr>
          <w:sz w:val="20"/>
        </w:rPr>
        <w:t xml:space="preserve"> Joint Applicants assert that CenturyLink will “deliver innovative technology and product offerings to both its urban and rural markets.  Customers will benefit from increased access to those offerings, and the post-merger CenturyLink will benefit from retaining and attracting customers whose needs are satisfied by its offerings, service quality and customer care. . . .”  </w:t>
      </w:r>
      <w:proofErr w:type="gramStart"/>
      <w:r>
        <w:rPr>
          <w:sz w:val="20"/>
        </w:rPr>
        <w:t xml:space="preserve">Joint </w:t>
      </w:r>
      <w:r w:rsidRPr="003E54BC">
        <w:rPr>
          <w:sz w:val="20"/>
        </w:rPr>
        <w:t xml:space="preserve">Application at p. 11, </w:t>
      </w:r>
      <w:r w:rsidRPr="003E54BC">
        <w:rPr>
          <w:rFonts w:ascii="Book Antiqua" w:hAnsi="Book Antiqua"/>
          <w:sz w:val="20"/>
        </w:rPr>
        <w:t>¶</w:t>
      </w:r>
      <w:r w:rsidRPr="003E54BC">
        <w:rPr>
          <w:sz w:val="20"/>
        </w:rPr>
        <w:t>21.</w:t>
      </w:r>
      <w:proofErr w:type="gramEnd"/>
      <w:r w:rsidRPr="003E54BC">
        <w:rPr>
          <w:sz w:val="20"/>
        </w:rPr>
        <w:t xml:space="preserve">  They further state, “Ensuring the continuation of high quality service and customer experience pre- and post-merger is vitally important.  Qwest and CenturyLink understand that continuing to meet customer needs is its top priority.” </w:t>
      </w:r>
      <w:proofErr w:type="gramStart"/>
      <w:r w:rsidRPr="003E54BC">
        <w:rPr>
          <w:sz w:val="20"/>
        </w:rPr>
        <w:t xml:space="preserve">Joint Application at p. 12, </w:t>
      </w:r>
      <w:r w:rsidRPr="003E54BC">
        <w:rPr>
          <w:rFonts w:ascii="Book Antiqua" w:hAnsi="Book Antiqua"/>
          <w:sz w:val="20"/>
        </w:rPr>
        <w:t>¶</w:t>
      </w:r>
      <w:r w:rsidRPr="003E54BC">
        <w:rPr>
          <w:sz w:val="20"/>
        </w:rPr>
        <w:t>23.</w:t>
      </w:r>
      <w:proofErr w:type="gramEnd"/>
    </w:p>
  </w:footnote>
  <w:footnote w:id="12">
    <w:p w:rsidR="006E169A" w:rsidRPr="00452967" w:rsidRDefault="006E169A" w:rsidP="00F5221A">
      <w:pPr>
        <w:pStyle w:val="FootnoteText"/>
        <w:rPr>
          <w:sz w:val="20"/>
        </w:rPr>
      </w:pPr>
      <w:r>
        <w:rPr>
          <w:rStyle w:val="FootnoteReference"/>
        </w:rPr>
        <w:footnoteRef/>
      </w:r>
      <w:r>
        <w:t xml:space="preserve"> </w:t>
      </w:r>
      <w:r>
        <w:rPr>
          <w:sz w:val="20"/>
        </w:rPr>
        <w:t xml:space="preserve">Direct Testimony of Mark S. Reynolds at 12:5-7 (“[T]he combined company will have a strategic focus to offer products and services at rates, terms and service quality levels that provide differentiation in the market.”); </w:t>
      </w:r>
      <w:r>
        <w:rPr>
          <w:i/>
          <w:sz w:val="20"/>
        </w:rPr>
        <w:t>id.</w:t>
      </w:r>
      <w:r>
        <w:rPr>
          <w:sz w:val="20"/>
        </w:rPr>
        <w:t xml:space="preserve"> at 12:19-21( “[A]</w:t>
      </w:r>
      <w:proofErr w:type="spellStart"/>
      <w:r>
        <w:rPr>
          <w:sz w:val="20"/>
        </w:rPr>
        <w:t>ll</w:t>
      </w:r>
      <w:proofErr w:type="spellEnd"/>
      <w:r>
        <w:rPr>
          <w:sz w:val="20"/>
        </w:rPr>
        <w:t xml:space="preserve"> of these benefits will undoubtedly serve to make the market in Washington even more competitive, thereby improving choice, prices and service quality for consumers in the state.” ); </w:t>
      </w:r>
      <w:r>
        <w:rPr>
          <w:i/>
          <w:sz w:val="20"/>
        </w:rPr>
        <w:t>id.</w:t>
      </w:r>
      <w:r>
        <w:rPr>
          <w:sz w:val="20"/>
        </w:rPr>
        <w:t xml:space="preserve"> </w:t>
      </w:r>
      <w:proofErr w:type="gramStart"/>
      <w:r>
        <w:rPr>
          <w:sz w:val="20"/>
        </w:rPr>
        <w:t>at</w:t>
      </w:r>
      <w:proofErr w:type="gramEnd"/>
      <w:r>
        <w:rPr>
          <w:sz w:val="20"/>
        </w:rPr>
        <w:t xml:space="preserve"> 23:13-16 (“Customers will benefit from the efficiencies and synergies realized by the combined company.  The Transaction will also result in financially strong and stable company that is able to attract the capital necessary to invest in its network, systems, and employees . . .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6B7F"/>
    <w:multiLevelType w:val="hybridMultilevel"/>
    <w:tmpl w:val="1FA8C0A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F18A8"/>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2">
    <w:nsid w:val="0AF8714E"/>
    <w:multiLevelType w:val="hybridMultilevel"/>
    <w:tmpl w:val="07080F84"/>
    <w:lvl w:ilvl="0" w:tplc="7C30A274">
      <w:start w:val="1"/>
      <w:numFmt w:val="decimal"/>
      <w:lvlText w:val="%1."/>
      <w:lvlJc w:val="left"/>
      <w:pPr>
        <w:tabs>
          <w:tab w:val="num" w:pos="2160"/>
        </w:tabs>
        <w:ind w:left="2160" w:hanging="720"/>
      </w:pPr>
      <w:rPr>
        <w:rFonts w:hint="default"/>
      </w:rPr>
    </w:lvl>
    <w:lvl w:ilvl="1" w:tplc="EF2633D0" w:tentative="1">
      <w:start w:val="1"/>
      <w:numFmt w:val="lowerLetter"/>
      <w:lvlText w:val="%2."/>
      <w:lvlJc w:val="left"/>
      <w:pPr>
        <w:tabs>
          <w:tab w:val="num" w:pos="2160"/>
        </w:tabs>
        <w:ind w:left="2160" w:hanging="360"/>
      </w:pPr>
    </w:lvl>
    <w:lvl w:ilvl="2" w:tplc="432C810E" w:tentative="1">
      <w:start w:val="1"/>
      <w:numFmt w:val="lowerRoman"/>
      <w:lvlText w:val="%3."/>
      <w:lvlJc w:val="right"/>
      <w:pPr>
        <w:tabs>
          <w:tab w:val="num" w:pos="2880"/>
        </w:tabs>
        <w:ind w:left="2880" w:hanging="180"/>
      </w:pPr>
    </w:lvl>
    <w:lvl w:ilvl="3" w:tplc="705292B8" w:tentative="1">
      <w:start w:val="1"/>
      <w:numFmt w:val="decimal"/>
      <w:lvlText w:val="%4."/>
      <w:lvlJc w:val="left"/>
      <w:pPr>
        <w:tabs>
          <w:tab w:val="num" w:pos="3600"/>
        </w:tabs>
        <w:ind w:left="3600" w:hanging="360"/>
      </w:pPr>
    </w:lvl>
    <w:lvl w:ilvl="4" w:tplc="0B4A8F76" w:tentative="1">
      <w:start w:val="1"/>
      <w:numFmt w:val="lowerLetter"/>
      <w:lvlText w:val="%5."/>
      <w:lvlJc w:val="left"/>
      <w:pPr>
        <w:tabs>
          <w:tab w:val="num" w:pos="4320"/>
        </w:tabs>
        <w:ind w:left="4320" w:hanging="360"/>
      </w:pPr>
    </w:lvl>
    <w:lvl w:ilvl="5" w:tplc="0EF4E2D4" w:tentative="1">
      <w:start w:val="1"/>
      <w:numFmt w:val="lowerRoman"/>
      <w:lvlText w:val="%6."/>
      <w:lvlJc w:val="right"/>
      <w:pPr>
        <w:tabs>
          <w:tab w:val="num" w:pos="5040"/>
        </w:tabs>
        <w:ind w:left="5040" w:hanging="180"/>
      </w:pPr>
    </w:lvl>
    <w:lvl w:ilvl="6" w:tplc="6EF069A0" w:tentative="1">
      <w:start w:val="1"/>
      <w:numFmt w:val="decimal"/>
      <w:lvlText w:val="%7."/>
      <w:lvlJc w:val="left"/>
      <w:pPr>
        <w:tabs>
          <w:tab w:val="num" w:pos="5760"/>
        </w:tabs>
        <w:ind w:left="5760" w:hanging="360"/>
      </w:pPr>
    </w:lvl>
    <w:lvl w:ilvl="7" w:tplc="B6182A08" w:tentative="1">
      <w:start w:val="1"/>
      <w:numFmt w:val="lowerLetter"/>
      <w:lvlText w:val="%8."/>
      <w:lvlJc w:val="left"/>
      <w:pPr>
        <w:tabs>
          <w:tab w:val="num" w:pos="6480"/>
        </w:tabs>
        <w:ind w:left="6480" w:hanging="360"/>
      </w:pPr>
    </w:lvl>
    <w:lvl w:ilvl="8" w:tplc="E426279E" w:tentative="1">
      <w:start w:val="1"/>
      <w:numFmt w:val="lowerRoman"/>
      <w:lvlText w:val="%9."/>
      <w:lvlJc w:val="right"/>
      <w:pPr>
        <w:tabs>
          <w:tab w:val="num" w:pos="7200"/>
        </w:tabs>
        <w:ind w:left="7200" w:hanging="180"/>
      </w:pPr>
    </w:lvl>
  </w:abstractNum>
  <w:abstractNum w:abstractNumId="3">
    <w:nsid w:val="0C8152EE"/>
    <w:multiLevelType w:val="hybridMultilevel"/>
    <w:tmpl w:val="6E287600"/>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FB248F"/>
    <w:multiLevelType w:val="hybridMultilevel"/>
    <w:tmpl w:val="5AC012DC"/>
    <w:lvl w:ilvl="0" w:tplc="1B10AF9E">
      <w:start w:val="1"/>
      <w:numFmt w:val="bullet"/>
      <w:lvlText w:val=""/>
      <w:lvlJc w:val="left"/>
      <w:pPr>
        <w:tabs>
          <w:tab w:val="num" w:pos="2520"/>
        </w:tabs>
        <w:ind w:left="2520" w:hanging="360"/>
      </w:pPr>
      <w:rPr>
        <w:rFonts w:ascii="Wingdings" w:hAnsi="Wingdings" w:hint="default"/>
      </w:rPr>
    </w:lvl>
    <w:lvl w:ilvl="1" w:tplc="AD063724" w:tentative="1">
      <w:start w:val="1"/>
      <w:numFmt w:val="bullet"/>
      <w:lvlText w:val="o"/>
      <w:lvlJc w:val="left"/>
      <w:pPr>
        <w:tabs>
          <w:tab w:val="num" w:pos="3240"/>
        </w:tabs>
        <w:ind w:left="3240" w:hanging="360"/>
      </w:pPr>
      <w:rPr>
        <w:rFonts w:ascii="Courier New" w:hAnsi="Courier New" w:cs="Courier New" w:hint="default"/>
      </w:rPr>
    </w:lvl>
    <w:lvl w:ilvl="2" w:tplc="B5A05BDA" w:tentative="1">
      <w:start w:val="1"/>
      <w:numFmt w:val="bullet"/>
      <w:lvlText w:val=""/>
      <w:lvlJc w:val="left"/>
      <w:pPr>
        <w:tabs>
          <w:tab w:val="num" w:pos="3960"/>
        </w:tabs>
        <w:ind w:left="3960" w:hanging="360"/>
      </w:pPr>
      <w:rPr>
        <w:rFonts w:ascii="Wingdings" w:hAnsi="Wingdings" w:hint="default"/>
      </w:rPr>
    </w:lvl>
    <w:lvl w:ilvl="3" w:tplc="3034CA72" w:tentative="1">
      <w:start w:val="1"/>
      <w:numFmt w:val="bullet"/>
      <w:lvlText w:val=""/>
      <w:lvlJc w:val="left"/>
      <w:pPr>
        <w:tabs>
          <w:tab w:val="num" w:pos="4680"/>
        </w:tabs>
        <w:ind w:left="4680" w:hanging="360"/>
      </w:pPr>
      <w:rPr>
        <w:rFonts w:ascii="Symbol" w:hAnsi="Symbol" w:hint="default"/>
      </w:rPr>
    </w:lvl>
    <w:lvl w:ilvl="4" w:tplc="1D6E6716" w:tentative="1">
      <w:start w:val="1"/>
      <w:numFmt w:val="bullet"/>
      <w:lvlText w:val="o"/>
      <w:lvlJc w:val="left"/>
      <w:pPr>
        <w:tabs>
          <w:tab w:val="num" w:pos="5400"/>
        </w:tabs>
        <w:ind w:left="5400" w:hanging="360"/>
      </w:pPr>
      <w:rPr>
        <w:rFonts w:ascii="Courier New" w:hAnsi="Courier New" w:cs="Courier New" w:hint="default"/>
      </w:rPr>
    </w:lvl>
    <w:lvl w:ilvl="5" w:tplc="390274EE" w:tentative="1">
      <w:start w:val="1"/>
      <w:numFmt w:val="bullet"/>
      <w:lvlText w:val=""/>
      <w:lvlJc w:val="left"/>
      <w:pPr>
        <w:tabs>
          <w:tab w:val="num" w:pos="6120"/>
        </w:tabs>
        <w:ind w:left="6120" w:hanging="360"/>
      </w:pPr>
      <w:rPr>
        <w:rFonts w:ascii="Wingdings" w:hAnsi="Wingdings" w:hint="default"/>
      </w:rPr>
    </w:lvl>
    <w:lvl w:ilvl="6" w:tplc="3D78A370" w:tentative="1">
      <w:start w:val="1"/>
      <w:numFmt w:val="bullet"/>
      <w:lvlText w:val=""/>
      <w:lvlJc w:val="left"/>
      <w:pPr>
        <w:tabs>
          <w:tab w:val="num" w:pos="6840"/>
        </w:tabs>
        <w:ind w:left="6840" w:hanging="360"/>
      </w:pPr>
      <w:rPr>
        <w:rFonts w:ascii="Symbol" w:hAnsi="Symbol" w:hint="default"/>
      </w:rPr>
    </w:lvl>
    <w:lvl w:ilvl="7" w:tplc="AEBAC0A6" w:tentative="1">
      <w:start w:val="1"/>
      <w:numFmt w:val="bullet"/>
      <w:lvlText w:val="o"/>
      <w:lvlJc w:val="left"/>
      <w:pPr>
        <w:tabs>
          <w:tab w:val="num" w:pos="7560"/>
        </w:tabs>
        <w:ind w:left="7560" w:hanging="360"/>
      </w:pPr>
      <w:rPr>
        <w:rFonts w:ascii="Courier New" w:hAnsi="Courier New" w:cs="Courier New" w:hint="default"/>
      </w:rPr>
    </w:lvl>
    <w:lvl w:ilvl="8" w:tplc="28CA2E32" w:tentative="1">
      <w:start w:val="1"/>
      <w:numFmt w:val="bullet"/>
      <w:lvlText w:val=""/>
      <w:lvlJc w:val="left"/>
      <w:pPr>
        <w:tabs>
          <w:tab w:val="num" w:pos="8280"/>
        </w:tabs>
        <w:ind w:left="8280" w:hanging="360"/>
      </w:pPr>
      <w:rPr>
        <w:rFonts w:ascii="Wingdings" w:hAnsi="Wingdings" w:hint="default"/>
      </w:rPr>
    </w:lvl>
  </w:abstractNum>
  <w:abstractNum w:abstractNumId="5">
    <w:nsid w:val="0E186FD8"/>
    <w:multiLevelType w:val="hybridMultilevel"/>
    <w:tmpl w:val="1A30FA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38B63E5"/>
    <w:multiLevelType w:val="hybridMultilevel"/>
    <w:tmpl w:val="34448F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DE5652"/>
    <w:multiLevelType w:val="hybridMultilevel"/>
    <w:tmpl w:val="C2EED1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D44E1A"/>
    <w:multiLevelType w:val="hybridMultilevel"/>
    <w:tmpl w:val="22EAE61C"/>
    <w:lvl w:ilvl="0" w:tplc="92844D26">
      <w:start w:val="1"/>
      <w:numFmt w:val="bullet"/>
      <w:lvlText w:val=""/>
      <w:lvlJc w:val="left"/>
      <w:pPr>
        <w:tabs>
          <w:tab w:val="num" w:pos="2520"/>
        </w:tabs>
        <w:ind w:left="2520" w:hanging="360"/>
      </w:pPr>
      <w:rPr>
        <w:rFonts w:ascii="Wingdings" w:hAnsi="Wingdings" w:hint="default"/>
      </w:rPr>
    </w:lvl>
    <w:lvl w:ilvl="1" w:tplc="34ACFF56" w:tentative="1">
      <w:start w:val="1"/>
      <w:numFmt w:val="bullet"/>
      <w:lvlText w:val="o"/>
      <w:lvlJc w:val="left"/>
      <w:pPr>
        <w:tabs>
          <w:tab w:val="num" w:pos="3240"/>
        </w:tabs>
        <w:ind w:left="3240" w:hanging="360"/>
      </w:pPr>
      <w:rPr>
        <w:rFonts w:ascii="Courier New" w:hAnsi="Courier New" w:cs="Courier New" w:hint="default"/>
      </w:rPr>
    </w:lvl>
    <w:lvl w:ilvl="2" w:tplc="2004BA96" w:tentative="1">
      <w:start w:val="1"/>
      <w:numFmt w:val="bullet"/>
      <w:lvlText w:val=""/>
      <w:lvlJc w:val="left"/>
      <w:pPr>
        <w:tabs>
          <w:tab w:val="num" w:pos="3960"/>
        </w:tabs>
        <w:ind w:left="3960" w:hanging="360"/>
      </w:pPr>
      <w:rPr>
        <w:rFonts w:ascii="Wingdings" w:hAnsi="Wingdings" w:hint="default"/>
      </w:rPr>
    </w:lvl>
    <w:lvl w:ilvl="3" w:tplc="89B4588A" w:tentative="1">
      <w:start w:val="1"/>
      <w:numFmt w:val="bullet"/>
      <w:lvlText w:val=""/>
      <w:lvlJc w:val="left"/>
      <w:pPr>
        <w:tabs>
          <w:tab w:val="num" w:pos="4680"/>
        </w:tabs>
        <w:ind w:left="4680" w:hanging="360"/>
      </w:pPr>
      <w:rPr>
        <w:rFonts w:ascii="Symbol" w:hAnsi="Symbol" w:hint="default"/>
      </w:rPr>
    </w:lvl>
    <w:lvl w:ilvl="4" w:tplc="14126700" w:tentative="1">
      <w:start w:val="1"/>
      <w:numFmt w:val="bullet"/>
      <w:lvlText w:val="o"/>
      <w:lvlJc w:val="left"/>
      <w:pPr>
        <w:tabs>
          <w:tab w:val="num" w:pos="5400"/>
        </w:tabs>
        <w:ind w:left="5400" w:hanging="360"/>
      </w:pPr>
      <w:rPr>
        <w:rFonts w:ascii="Courier New" w:hAnsi="Courier New" w:cs="Courier New" w:hint="default"/>
      </w:rPr>
    </w:lvl>
    <w:lvl w:ilvl="5" w:tplc="D9983E42" w:tentative="1">
      <w:start w:val="1"/>
      <w:numFmt w:val="bullet"/>
      <w:lvlText w:val=""/>
      <w:lvlJc w:val="left"/>
      <w:pPr>
        <w:tabs>
          <w:tab w:val="num" w:pos="6120"/>
        </w:tabs>
        <w:ind w:left="6120" w:hanging="360"/>
      </w:pPr>
      <w:rPr>
        <w:rFonts w:ascii="Wingdings" w:hAnsi="Wingdings" w:hint="default"/>
      </w:rPr>
    </w:lvl>
    <w:lvl w:ilvl="6" w:tplc="BDCE3826" w:tentative="1">
      <w:start w:val="1"/>
      <w:numFmt w:val="bullet"/>
      <w:lvlText w:val=""/>
      <w:lvlJc w:val="left"/>
      <w:pPr>
        <w:tabs>
          <w:tab w:val="num" w:pos="6840"/>
        </w:tabs>
        <w:ind w:left="6840" w:hanging="360"/>
      </w:pPr>
      <w:rPr>
        <w:rFonts w:ascii="Symbol" w:hAnsi="Symbol" w:hint="default"/>
      </w:rPr>
    </w:lvl>
    <w:lvl w:ilvl="7" w:tplc="88E43098" w:tentative="1">
      <w:start w:val="1"/>
      <w:numFmt w:val="bullet"/>
      <w:lvlText w:val="o"/>
      <w:lvlJc w:val="left"/>
      <w:pPr>
        <w:tabs>
          <w:tab w:val="num" w:pos="7560"/>
        </w:tabs>
        <w:ind w:left="7560" w:hanging="360"/>
      </w:pPr>
      <w:rPr>
        <w:rFonts w:ascii="Courier New" w:hAnsi="Courier New" w:cs="Courier New" w:hint="default"/>
      </w:rPr>
    </w:lvl>
    <w:lvl w:ilvl="8" w:tplc="8300080A" w:tentative="1">
      <w:start w:val="1"/>
      <w:numFmt w:val="bullet"/>
      <w:lvlText w:val=""/>
      <w:lvlJc w:val="left"/>
      <w:pPr>
        <w:tabs>
          <w:tab w:val="num" w:pos="8280"/>
        </w:tabs>
        <w:ind w:left="8280" w:hanging="360"/>
      </w:pPr>
      <w:rPr>
        <w:rFonts w:ascii="Wingdings" w:hAnsi="Wingdings" w:hint="default"/>
      </w:rPr>
    </w:lvl>
  </w:abstractNum>
  <w:abstractNum w:abstractNumId="9">
    <w:nsid w:val="15631F6F"/>
    <w:multiLevelType w:val="hybridMultilevel"/>
    <w:tmpl w:val="58A08598"/>
    <w:lvl w:ilvl="0" w:tplc="EDAEBC7E">
      <w:start w:val="1"/>
      <w:numFmt w:val="bullet"/>
      <w:lvlText w:val=""/>
      <w:lvlJc w:val="left"/>
      <w:pPr>
        <w:tabs>
          <w:tab w:val="num" w:pos="2520"/>
        </w:tabs>
        <w:ind w:left="2520" w:hanging="360"/>
      </w:pPr>
      <w:rPr>
        <w:rFonts w:ascii="Wingdings" w:hAnsi="Wingdings" w:hint="default"/>
      </w:rPr>
    </w:lvl>
    <w:lvl w:ilvl="1" w:tplc="CA720EB8" w:tentative="1">
      <w:start w:val="1"/>
      <w:numFmt w:val="bullet"/>
      <w:lvlText w:val="o"/>
      <w:lvlJc w:val="left"/>
      <w:pPr>
        <w:tabs>
          <w:tab w:val="num" w:pos="3240"/>
        </w:tabs>
        <w:ind w:left="3240" w:hanging="360"/>
      </w:pPr>
      <w:rPr>
        <w:rFonts w:ascii="Courier New" w:hAnsi="Courier New" w:cs="Courier New" w:hint="default"/>
      </w:rPr>
    </w:lvl>
    <w:lvl w:ilvl="2" w:tplc="1EE6DDB6" w:tentative="1">
      <w:start w:val="1"/>
      <w:numFmt w:val="bullet"/>
      <w:lvlText w:val=""/>
      <w:lvlJc w:val="left"/>
      <w:pPr>
        <w:tabs>
          <w:tab w:val="num" w:pos="3960"/>
        </w:tabs>
        <w:ind w:left="3960" w:hanging="360"/>
      </w:pPr>
      <w:rPr>
        <w:rFonts w:ascii="Wingdings" w:hAnsi="Wingdings" w:hint="default"/>
      </w:rPr>
    </w:lvl>
    <w:lvl w:ilvl="3" w:tplc="47944964" w:tentative="1">
      <w:start w:val="1"/>
      <w:numFmt w:val="bullet"/>
      <w:lvlText w:val=""/>
      <w:lvlJc w:val="left"/>
      <w:pPr>
        <w:tabs>
          <w:tab w:val="num" w:pos="4680"/>
        </w:tabs>
        <w:ind w:left="4680" w:hanging="360"/>
      </w:pPr>
      <w:rPr>
        <w:rFonts w:ascii="Symbol" w:hAnsi="Symbol" w:hint="default"/>
      </w:rPr>
    </w:lvl>
    <w:lvl w:ilvl="4" w:tplc="E2485EE6" w:tentative="1">
      <w:start w:val="1"/>
      <w:numFmt w:val="bullet"/>
      <w:lvlText w:val="o"/>
      <w:lvlJc w:val="left"/>
      <w:pPr>
        <w:tabs>
          <w:tab w:val="num" w:pos="5400"/>
        </w:tabs>
        <w:ind w:left="5400" w:hanging="360"/>
      </w:pPr>
      <w:rPr>
        <w:rFonts w:ascii="Courier New" w:hAnsi="Courier New" w:cs="Courier New" w:hint="default"/>
      </w:rPr>
    </w:lvl>
    <w:lvl w:ilvl="5" w:tplc="0268BCDA" w:tentative="1">
      <w:start w:val="1"/>
      <w:numFmt w:val="bullet"/>
      <w:lvlText w:val=""/>
      <w:lvlJc w:val="left"/>
      <w:pPr>
        <w:tabs>
          <w:tab w:val="num" w:pos="6120"/>
        </w:tabs>
        <w:ind w:left="6120" w:hanging="360"/>
      </w:pPr>
      <w:rPr>
        <w:rFonts w:ascii="Wingdings" w:hAnsi="Wingdings" w:hint="default"/>
      </w:rPr>
    </w:lvl>
    <w:lvl w:ilvl="6" w:tplc="8EBEA09E" w:tentative="1">
      <w:start w:val="1"/>
      <w:numFmt w:val="bullet"/>
      <w:lvlText w:val=""/>
      <w:lvlJc w:val="left"/>
      <w:pPr>
        <w:tabs>
          <w:tab w:val="num" w:pos="6840"/>
        </w:tabs>
        <w:ind w:left="6840" w:hanging="360"/>
      </w:pPr>
      <w:rPr>
        <w:rFonts w:ascii="Symbol" w:hAnsi="Symbol" w:hint="default"/>
      </w:rPr>
    </w:lvl>
    <w:lvl w:ilvl="7" w:tplc="642679DA" w:tentative="1">
      <w:start w:val="1"/>
      <w:numFmt w:val="bullet"/>
      <w:lvlText w:val="o"/>
      <w:lvlJc w:val="left"/>
      <w:pPr>
        <w:tabs>
          <w:tab w:val="num" w:pos="7560"/>
        </w:tabs>
        <w:ind w:left="7560" w:hanging="360"/>
      </w:pPr>
      <w:rPr>
        <w:rFonts w:ascii="Courier New" w:hAnsi="Courier New" w:cs="Courier New" w:hint="default"/>
      </w:rPr>
    </w:lvl>
    <w:lvl w:ilvl="8" w:tplc="2754276C" w:tentative="1">
      <w:start w:val="1"/>
      <w:numFmt w:val="bullet"/>
      <w:lvlText w:val=""/>
      <w:lvlJc w:val="left"/>
      <w:pPr>
        <w:tabs>
          <w:tab w:val="num" w:pos="8280"/>
        </w:tabs>
        <w:ind w:left="8280" w:hanging="360"/>
      </w:pPr>
      <w:rPr>
        <w:rFonts w:ascii="Wingdings" w:hAnsi="Wingdings" w:hint="default"/>
      </w:rPr>
    </w:lvl>
  </w:abstractNum>
  <w:abstractNum w:abstractNumId="10">
    <w:nsid w:val="15C55D93"/>
    <w:multiLevelType w:val="hybridMultilevel"/>
    <w:tmpl w:val="E44492AC"/>
    <w:lvl w:ilvl="0" w:tplc="EE6C4C4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1CD84963"/>
    <w:multiLevelType w:val="multilevel"/>
    <w:tmpl w:val="5DC0221C"/>
    <w:styleLink w:val="RTF5fNum2048"/>
    <w:lvl w:ilvl="0">
      <w:start w:val="17"/>
      <w:numFmt w:val="upperLetter"/>
      <w:lvlText w:val="%1."/>
      <w:lvlJc w:val="left"/>
      <w:pPr>
        <w:tabs>
          <w:tab w:val="num" w:pos="1590"/>
        </w:tabs>
        <w:ind w:left="1440" w:hanging="720"/>
      </w:pPr>
      <w:rPr>
        <w:rFonts w:cs="Times New Roman"/>
      </w:rPr>
    </w:lvl>
    <w:lvl w:ilvl="1">
      <w:start w:val="17"/>
      <w:numFmt w:val="upperLetter"/>
      <w:lvlText w:val="%2."/>
      <w:lvlJc w:val="left"/>
      <w:pPr>
        <w:tabs>
          <w:tab w:val="num" w:pos="3030"/>
        </w:tabs>
        <w:ind w:left="2880" w:hanging="720"/>
      </w:pPr>
      <w:rPr>
        <w:rFonts w:cs="Times New Roman"/>
      </w:rPr>
    </w:lvl>
    <w:lvl w:ilvl="2">
      <w:start w:val="17"/>
      <w:numFmt w:val="upperLetter"/>
      <w:lvlText w:val="%3."/>
      <w:lvlJc w:val="left"/>
      <w:pPr>
        <w:tabs>
          <w:tab w:val="num" w:pos="4470"/>
        </w:tabs>
        <w:ind w:left="4320" w:hanging="720"/>
      </w:pPr>
      <w:rPr>
        <w:rFonts w:cs="Times New Roman"/>
      </w:rPr>
    </w:lvl>
    <w:lvl w:ilvl="3">
      <w:start w:val="17"/>
      <w:numFmt w:val="upperLetter"/>
      <w:lvlText w:val="%4."/>
      <w:lvlJc w:val="left"/>
      <w:pPr>
        <w:tabs>
          <w:tab w:val="num" w:pos="5910"/>
        </w:tabs>
        <w:ind w:left="5760" w:hanging="720"/>
      </w:pPr>
      <w:rPr>
        <w:rFonts w:cs="Times New Roman"/>
      </w:rPr>
    </w:lvl>
    <w:lvl w:ilvl="4">
      <w:start w:val="17"/>
      <w:numFmt w:val="upperLetter"/>
      <w:lvlText w:val="%5."/>
      <w:lvlJc w:val="left"/>
      <w:pPr>
        <w:tabs>
          <w:tab w:val="num" w:pos="7350"/>
        </w:tabs>
        <w:ind w:left="7200" w:hanging="720"/>
      </w:pPr>
      <w:rPr>
        <w:rFonts w:cs="Times New Roman"/>
      </w:rPr>
    </w:lvl>
    <w:lvl w:ilvl="5">
      <w:start w:val="17"/>
      <w:numFmt w:val="upperLetter"/>
      <w:lvlText w:val="%6."/>
      <w:lvlJc w:val="left"/>
      <w:pPr>
        <w:tabs>
          <w:tab w:val="num" w:pos="8791"/>
        </w:tabs>
        <w:ind w:left="8641" w:hanging="720"/>
      </w:pPr>
      <w:rPr>
        <w:rFonts w:cs="Times New Roman"/>
      </w:rPr>
    </w:lvl>
    <w:lvl w:ilvl="6">
      <w:start w:val="17"/>
      <w:numFmt w:val="upperLetter"/>
      <w:lvlText w:val="%7."/>
      <w:lvlJc w:val="left"/>
      <w:pPr>
        <w:tabs>
          <w:tab w:val="num" w:pos="10231"/>
        </w:tabs>
        <w:ind w:left="10081" w:hanging="720"/>
      </w:pPr>
      <w:rPr>
        <w:rFonts w:cs="Times New Roman"/>
      </w:rPr>
    </w:lvl>
    <w:lvl w:ilvl="7">
      <w:start w:val="17"/>
      <w:numFmt w:val="upperLetter"/>
      <w:lvlText w:val="%8."/>
      <w:lvlJc w:val="left"/>
      <w:pPr>
        <w:tabs>
          <w:tab w:val="num" w:pos="11671"/>
        </w:tabs>
        <w:ind w:left="11521" w:hanging="720"/>
      </w:pPr>
      <w:rPr>
        <w:rFonts w:cs="Times New Roman"/>
      </w:rPr>
    </w:lvl>
    <w:lvl w:ilvl="8">
      <w:start w:val="17"/>
      <w:numFmt w:val="upperLetter"/>
      <w:lvlText w:val="%9."/>
      <w:lvlJc w:val="left"/>
      <w:pPr>
        <w:tabs>
          <w:tab w:val="num" w:pos="13111"/>
        </w:tabs>
        <w:ind w:left="12961" w:hanging="720"/>
      </w:pPr>
      <w:rPr>
        <w:rFonts w:cs="Times New Roman"/>
      </w:rPr>
    </w:lvl>
  </w:abstractNum>
  <w:abstractNum w:abstractNumId="12">
    <w:nsid w:val="1D5443AE"/>
    <w:multiLevelType w:val="hybridMultilevel"/>
    <w:tmpl w:val="49A6B4E4"/>
    <w:lvl w:ilvl="0" w:tplc="C6CAE01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2A30738"/>
    <w:multiLevelType w:val="hybridMultilevel"/>
    <w:tmpl w:val="D8EC822C"/>
    <w:lvl w:ilvl="0" w:tplc="9AEAA1CE">
      <w:start w:val="17"/>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5376EF0"/>
    <w:multiLevelType w:val="hybridMultilevel"/>
    <w:tmpl w:val="06C4C82A"/>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A134FE1"/>
    <w:multiLevelType w:val="hybridMultilevel"/>
    <w:tmpl w:val="CD66618A"/>
    <w:lvl w:ilvl="0" w:tplc="E1EA6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DF83DF8"/>
    <w:multiLevelType w:val="hybridMultilevel"/>
    <w:tmpl w:val="74762D60"/>
    <w:lvl w:ilvl="0" w:tplc="E28E1DE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E651C0D"/>
    <w:multiLevelType w:val="hybridMultilevel"/>
    <w:tmpl w:val="02CEF340"/>
    <w:lvl w:ilvl="0" w:tplc="EF1A4762">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nsid w:val="2F1D39A1"/>
    <w:multiLevelType w:val="hybridMultilevel"/>
    <w:tmpl w:val="1FF8CCC8"/>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4C470AD"/>
    <w:multiLevelType w:val="hybridMultilevel"/>
    <w:tmpl w:val="8EDE71E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E01854"/>
    <w:multiLevelType w:val="hybridMultilevel"/>
    <w:tmpl w:val="60565596"/>
    <w:lvl w:ilvl="0" w:tplc="94B8FEF4">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AAA506A"/>
    <w:multiLevelType w:val="hybridMultilevel"/>
    <w:tmpl w:val="B4280170"/>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C93136B"/>
    <w:multiLevelType w:val="hybridMultilevel"/>
    <w:tmpl w:val="0F6ACE36"/>
    <w:lvl w:ilvl="0" w:tplc="340E6F38">
      <w:start w:val="17"/>
      <w:numFmt w:val="upperLetter"/>
      <w:lvlText w:val="%1."/>
      <w:lvlJc w:val="left"/>
      <w:pPr>
        <w:tabs>
          <w:tab w:val="num" w:pos="1080"/>
        </w:tabs>
        <w:ind w:left="1080" w:hanging="720"/>
      </w:pPr>
      <w:rPr>
        <w:rFonts w:hint="default"/>
      </w:rPr>
    </w:lvl>
    <w:lvl w:ilvl="1" w:tplc="2BA27564" w:tentative="1">
      <w:start w:val="1"/>
      <w:numFmt w:val="lowerLetter"/>
      <w:lvlText w:val="%2."/>
      <w:lvlJc w:val="left"/>
      <w:pPr>
        <w:tabs>
          <w:tab w:val="num" w:pos="1440"/>
        </w:tabs>
        <w:ind w:left="1440" w:hanging="360"/>
      </w:pPr>
    </w:lvl>
    <w:lvl w:ilvl="2" w:tplc="F10AA51E" w:tentative="1">
      <w:start w:val="1"/>
      <w:numFmt w:val="lowerRoman"/>
      <w:lvlText w:val="%3."/>
      <w:lvlJc w:val="right"/>
      <w:pPr>
        <w:tabs>
          <w:tab w:val="num" w:pos="2160"/>
        </w:tabs>
        <w:ind w:left="2160" w:hanging="180"/>
      </w:pPr>
    </w:lvl>
    <w:lvl w:ilvl="3" w:tplc="F8822CE8" w:tentative="1">
      <w:start w:val="1"/>
      <w:numFmt w:val="decimal"/>
      <w:lvlText w:val="%4."/>
      <w:lvlJc w:val="left"/>
      <w:pPr>
        <w:tabs>
          <w:tab w:val="num" w:pos="2880"/>
        </w:tabs>
        <w:ind w:left="2880" w:hanging="360"/>
      </w:pPr>
    </w:lvl>
    <w:lvl w:ilvl="4" w:tplc="2730E73E" w:tentative="1">
      <w:start w:val="1"/>
      <w:numFmt w:val="lowerLetter"/>
      <w:lvlText w:val="%5."/>
      <w:lvlJc w:val="left"/>
      <w:pPr>
        <w:tabs>
          <w:tab w:val="num" w:pos="3600"/>
        </w:tabs>
        <w:ind w:left="3600" w:hanging="360"/>
      </w:pPr>
    </w:lvl>
    <w:lvl w:ilvl="5" w:tplc="D8248A82" w:tentative="1">
      <w:start w:val="1"/>
      <w:numFmt w:val="lowerRoman"/>
      <w:lvlText w:val="%6."/>
      <w:lvlJc w:val="right"/>
      <w:pPr>
        <w:tabs>
          <w:tab w:val="num" w:pos="4320"/>
        </w:tabs>
        <w:ind w:left="4320" w:hanging="180"/>
      </w:pPr>
    </w:lvl>
    <w:lvl w:ilvl="6" w:tplc="01A6BDB6" w:tentative="1">
      <w:start w:val="1"/>
      <w:numFmt w:val="decimal"/>
      <w:lvlText w:val="%7."/>
      <w:lvlJc w:val="left"/>
      <w:pPr>
        <w:tabs>
          <w:tab w:val="num" w:pos="5040"/>
        </w:tabs>
        <w:ind w:left="5040" w:hanging="360"/>
      </w:pPr>
    </w:lvl>
    <w:lvl w:ilvl="7" w:tplc="86445708" w:tentative="1">
      <w:start w:val="1"/>
      <w:numFmt w:val="lowerLetter"/>
      <w:lvlText w:val="%8."/>
      <w:lvlJc w:val="left"/>
      <w:pPr>
        <w:tabs>
          <w:tab w:val="num" w:pos="5760"/>
        </w:tabs>
        <w:ind w:left="5760" w:hanging="360"/>
      </w:pPr>
    </w:lvl>
    <w:lvl w:ilvl="8" w:tplc="1F2AFD18" w:tentative="1">
      <w:start w:val="1"/>
      <w:numFmt w:val="lowerRoman"/>
      <w:lvlText w:val="%9."/>
      <w:lvlJc w:val="right"/>
      <w:pPr>
        <w:tabs>
          <w:tab w:val="num" w:pos="6480"/>
        </w:tabs>
        <w:ind w:left="6480" w:hanging="180"/>
      </w:pPr>
    </w:lvl>
  </w:abstractNum>
  <w:abstractNum w:abstractNumId="23">
    <w:nsid w:val="3F124C83"/>
    <w:multiLevelType w:val="hybridMultilevel"/>
    <w:tmpl w:val="5422FF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580B2B"/>
    <w:multiLevelType w:val="hybridMultilevel"/>
    <w:tmpl w:val="554CC9E2"/>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A51D32"/>
    <w:multiLevelType w:val="hybridMultilevel"/>
    <w:tmpl w:val="7A56C2F2"/>
    <w:lvl w:ilvl="0" w:tplc="0DF4BA7C">
      <w:start w:val="1"/>
      <w:numFmt w:val="bullet"/>
      <w:lvlText w:val=""/>
      <w:lvlJc w:val="left"/>
      <w:pPr>
        <w:tabs>
          <w:tab w:val="num" w:pos="720"/>
        </w:tabs>
        <w:ind w:left="720" w:hanging="360"/>
      </w:pPr>
      <w:rPr>
        <w:rFonts w:ascii="Wingdings" w:hAnsi="Wingdings" w:hint="default"/>
      </w:rPr>
    </w:lvl>
    <w:lvl w:ilvl="1" w:tplc="D108B5AE" w:tentative="1">
      <w:start w:val="1"/>
      <w:numFmt w:val="bullet"/>
      <w:lvlText w:val="o"/>
      <w:lvlJc w:val="left"/>
      <w:pPr>
        <w:tabs>
          <w:tab w:val="num" w:pos="1440"/>
        </w:tabs>
        <w:ind w:left="1440" w:hanging="360"/>
      </w:pPr>
      <w:rPr>
        <w:rFonts w:ascii="Courier New" w:hAnsi="Courier New" w:cs="Courier New" w:hint="default"/>
      </w:rPr>
    </w:lvl>
    <w:lvl w:ilvl="2" w:tplc="757CB890" w:tentative="1">
      <w:start w:val="1"/>
      <w:numFmt w:val="bullet"/>
      <w:lvlText w:val=""/>
      <w:lvlJc w:val="left"/>
      <w:pPr>
        <w:tabs>
          <w:tab w:val="num" w:pos="2160"/>
        </w:tabs>
        <w:ind w:left="2160" w:hanging="360"/>
      </w:pPr>
      <w:rPr>
        <w:rFonts w:ascii="Wingdings" w:hAnsi="Wingdings" w:hint="default"/>
      </w:rPr>
    </w:lvl>
    <w:lvl w:ilvl="3" w:tplc="099E3454" w:tentative="1">
      <w:start w:val="1"/>
      <w:numFmt w:val="bullet"/>
      <w:lvlText w:val=""/>
      <w:lvlJc w:val="left"/>
      <w:pPr>
        <w:tabs>
          <w:tab w:val="num" w:pos="2880"/>
        </w:tabs>
        <w:ind w:left="2880" w:hanging="360"/>
      </w:pPr>
      <w:rPr>
        <w:rFonts w:ascii="Symbol" w:hAnsi="Symbol" w:hint="default"/>
      </w:rPr>
    </w:lvl>
    <w:lvl w:ilvl="4" w:tplc="02FAA85E" w:tentative="1">
      <w:start w:val="1"/>
      <w:numFmt w:val="bullet"/>
      <w:lvlText w:val="o"/>
      <w:lvlJc w:val="left"/>
      <w:pPr>
        <w:tabs>
          <w:tab w:val="num" w:pos="3600"/>
        </w:tabs>
        <w:ind w:left="3600" w:hanging="360"/>
      </w:pPr>
      <w:rPr>
        <w:rFonts w:ascii="Courier New" w:hAnsi="Courier New" w:cs="Courier New" w:hint="default"/>
      </w:rPr>
    </w:lvl>
    <w:lvl w:ilvl="5" w:tplc="CCEAC1E6" w:tentative="1">
      <w:start w:val="1"/>
      <w:numFmt w:val="bullet"/>
      <w:lvlText w:val=""/>
      <w:lvlJc w:val="left"/>
      <w:pPr>
        <w:tabs>
          <w:tab w:val="num" w:pos="4320"/>
        </w:tabs>
        <w:ind w:left="4320" w:hanging="360"/>
      </w:pPr>
      <w:rPr>
        <w:rFonts w:ascii="Wingdings" w:hAnsi="Wingdings" w:hint="default"/>
      </w:rPr>
    </w:lvl>
    <w:lvl w:ilvl="6" w:tplc="231425B8" w:tentative="1">
      <w:start w:val="1"/>
      <w:numFmt w:val="bullet"/>
      <w:lvlText w:val=""/>
      <w:lvlJc w:val="left"/>
      <w:pPr>
        <w:tabs>
          <w:tab w:val="num" w:pos="5040"/>
        </w:tabs>
        <w:ind w:left="5040" w:hanging="360"/>
      </w:pPr>
      <w:rPr>
        <w:rFonts w:ascii="Symbol" w:hAnsi="Symbol" w:hint="default"/>
      </w:rPr>
    </w:lvl>
    <w:lvl w:ilvl="7" w:tplc="4DB6C2D0" w:tentative="1">
      <w:start w:val="1"/>
      <w:numFmt w:val="bullet"/>
      <w:lvlText w:val="o"/>
      <w:lvlJc w:val="left"/>
      <w:pPr>
        <w:tabs>
          <w:tab w:val="num" w:pos="5760"/>
        </w:tabs>
        <w:ind w:left="5760" w:hanging="360"/>
      </w:pPr>
      <w:rPr>
        <w:rFonts w:ascii="Courier New" w:hAnsi="Courier New" w:cs="Courier New" w:hint="default"/>
      </w:rPr>
    </w:lvl>
    <w:lvl w:ilvl="8" w:tplc="5658C230" w:tentative="1">
      <w:start w:val="1"/>
      <w:numFmt w:val="bullet"/>
      <w:lvlText w:val=""/>
      <w:lvlJc w:val="left"/>
      <w:pPr>
        <w:tabs>
          <w:tab w:val="num" w:pos="6480"/>
        </w:tabs>
        <w:ind w:left="6480" w:hanging="360"/>
      </w:pPr>
      <w:rPr>
        <w:rFonts w:ascii="Wingdings" w:hAnsi="Wingdings" w:hint="default"/>
      </w:rPr>
    </w:lvl>
  </w:abstractNum>
  <w:abstractNum w:abstractNumId="26">
    <w:nsid w:val="43321FC2"/>
    <w:multiLevelType w:val="hybridMultilevel"/>
    <w:tmpl w:val="B8D8A842"/>
    <w:lvl w:ilvl="0" w:tplc="563A54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A14698"/>
    <w:multiLevelType w:val="hybridMultilevel"/>
    <w:tmpl w:val="2AA2E180"/>
    <w:lvl w:ilvl="0" w:tplc="0409000F">
      <w:start w:val="1"/>
      <w:numFmt w:val="decimal"/>
      <w:lvlText w:val="%1."/>
      <w:lvlJc w:val="left"/>
      <w:pPr>
        <w:tabs>
          <w:tab w:val="num" w:pos="720"/>
        </w:tabs>
        <w:ind w:left="720" w:hanging="360"/>
      </w:pPr>
      <w:rPr>
        <w:rFonts w:hint="default"/>
      </w:rPr>
    </w:lvl>
    <w:lvl w:ilvl="1" w:tplc="41BAF3AE">
      <w:start w:val="1"/>
      <w:numFmt w:val="lowerLetter"/>
      <w:lvlText w:val="%2."/>
      <w:lvlJc w:val="left"/>
      <w:pPr>
        <w:tabs>
          <w:tab w:val="num" w:pos="1620"/>
        </w:tabs>
        <w:ind w:left="162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45D70E8"/>
    <w:multiLevelType w:val="hybridMultilevel"/>
    <w:tmpl w:val="6F0A5534"/>
    <w:lvl w:ilvl="0" w:tplc="B070266A">
      <w:start w:val="1"/>
      <w:numFmt w:val="bullet"/>
      <w:lvlText w:val=""/>
      <w:lvlJc w:val="left"/>
      <w:pPr>
        <w:tabs>
          <w:tab w:val="num" w:pos="2520"/>
        </w:tabs>
        <w:ind w:left="2520" w:hanging="360"/>
      </w:pPr>
      <w:rPr>
        <w:rFonts w:ascii="Symbol" w:hAnsi="Symbol" w:hint="default"/>
      </w:rPr>
    </w:lvl>
    <w:lvl w:ilvl="1" w:tplc="196234EE" w:tentative="1">
      <w:start w:val="1"/>
      <w:numFmt w:val="bullet"/>
      <w:lvlText w:val="o"/>
      <w:lvlJc w:val="left"/>
      <w:pPr>
        <w:tabs>
          <w:tab w:val="num" w:pos="3240"/>
        </w:tabs>
        <w:ind w:left="3240" w:hanging="360"/>
      </w:pPr>
      <w:rPr>
        <w:rFonts w:ascii="Courier New" w:hAnsi="Courier New" w:cs="Courier New" w:hint="default"/>
      </w:rPr>
    </w:lvl>
    <w:lvl w:ilvl="2" w:tplc="EF7898B6" w:tentative="1">
      <w:start w:val="1"/>
      <w:numFmt w:val="bullet"/>
      <w:lvlText w:val=""/>
      <w:lvlJc w:val="left"/>
      <w:pPr>
        <w:tabs>
          <w:tab w:val="num" w:pos="3960"/>
        </w:tabs>
        <w:ind w:left="3960" w:hanging="360"/>
      </w:pPr>
      <w:rPr>
        <w:rFonts w:ascii="Wingdings" w:hAnsi="Wingdings" w:hint="default"/>
      </w:rPr>
    </w:lvl>
    <w:lvl w:ilvl="3" w:tplc="1D14DEB6" w:tentative="1">
      <w:start w:val="1"/>
      <w:numFmt w:val="bullet"/>
      <w:lvlText w:val=""/>
      <w:lvlJc w:val="left"/>
      <w:pPr>
        <w:tabs>
          <w:tab w:val="num" w:pos="4680"/>
        </w:tabs>
        <w:ind w:left="4680" w:hanging="360"/>
      </w:pPr>
      <w:rPr>
        <w:rFonts w:ascii="Symbol" w:hAnsi="Symbol" w:hint="default"/>
      </w:rPr>
    </w:lvl>
    <w:lvl w:ilvl="4" w:tplc="9B209590" w:tentative="1">
      <w:start w:val="1"/>
      <w:numFmt w:val="bullet"/>
      <w:lvlText w:val="o"/>
      <w:lvlJc w:val="left"/>
      <w:pPr>
        <w:tabs>
          <w:tab w:val="num" w:pos="5400"/>
        </w:tabs>
        <w:ind w:left="5400" w:hanging="360"/>
      </w:pPr>
      <w:rPr>
        <w:rFonts w:ascii="Courier New" w:hAnsi="Courier New" w:cs="Courier New" w:hint="default"/>
      </w:rPr>
    </w:lvl>
    <w:lvl w:ilvl="5" w:tplc="4FFE3B02" w:tentative="1">
      <w:start w:val="1"/>
      <w:numFmt w:val="bullet"/>
      <w:lvlText w:val=""/>
      <w:lvlJc w:val="left"/>
      <w:pPr>
        <w:tabs>
          <w:tab w:val="num" w:pos="6120"/>
        </w:tabs>
        <w:ind w:left="6120" w:hanging="360"/>
      </w:pPr>
      <w:rPr>
        <w:rFonts w:ascii="Wingdings" w:hAnsi="Wingdings" w:hint="default"/>
      </w:rPr>
    </w:lvl>
    <w:lvl w:ilvl="6" w:tplc="1BD89024" w:tentative="1">
      <w:start w:val="1"/>
      <w:numFmt w:val="bullet"/>
      <w:lvlText w:val=""/>
      <w:lvlJc w:val="left"/>
      <w:pPr>
        <w:tabs>
          <w:tab w:val="num" w:pos="6840"/>
        </w:tabs>
        <w:ind w:left="6840" w:hanging="360"/>
      </w:pPr>
      <w:rPr>
        <w:rFonts w:ascii="Symbol" w:hAnsi="Symbol" w:hint="default"/>
      </w:rPr>
    </w:lvl>
    <w:lvl w:ilvl="7" w:tplc="2B085E2C" w:tentative="1">
      <w:start w:val="1"/>
      <w:numFmt w:val="bullet"/>
      <w:lvlText w:val="o"/>
      <w:lvlJc w:val="left"/>
      <w:pPr>
        <w:tabs>
          <w:tab w:val="num" w:pos="7560"/>
        </w:tabs>
        <w:ind w:left="7560" w:hanging="360"/>
      </w:pPr>
      <w:rPr>
        <w:rFonts w:ascii="Courier New" w:hAnsi="Courier New" w:cs="Courier New" w:hint="default"/>
      </w:rPr>
    </w:lvl>
    <w:lvl w:ilvl="8" w:tplc="19AAD932" w:tentative="1">
      <w:start w:val="1"/>
      <w:numFmt w:val="bullet"/>
      <w:lvlText w:val=""/>
      <w:lvlJc w:val="left"/>
      <w:pPr>
        <w:tabs>
          <w:tab w:val="num" w:pos="8280"/>
        </w:tabs>
        <w:ind w:left="8280" w:hanging="360"/>
      </w:pPr>
      <w:rPr>
        <w:rFonts w:ascii="Wingdings" w:hAnsi="Wingdings" w:hint="default"/>
      </w:rPr>
    </w:lvl>
  </w:abstractNum>
  <w:abstractNum w:abstractNumId="29">
    <w:nsid w:val="45AA6066"/>
    <w:multiLevelType w:val="hybridMultilevel"/>
    <w:tmpl w:val="43B296A2"/>
    <w:lvl w:ilvl="0" w:tplc="41C82128">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9677DE"/>
    <w:multiLevelType w:val="hybridMultilevel"/>
    <w:tmpl w:val="83B05F4E"/>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8B877AD"/>
    <w:multiLevelType w:val="hybridMultilevel"/>
    <w:tmpl w:val="303007CA"/>
    <w:lvl w:ilvl="0" w:tplc="FE3E31F0">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9895CA9"/>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33">
    <w:nsid w:val="4ACF1B77"/>
    <w:multiLevelType w:val="hybridMultilevel"/>
    <w:tmpl w:val="2AEE7A18"/>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E6B202C"/>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35">
    <w:nsid w:val="50C13A55"/>
    <w:multiLevelType w:val="singleLevel"/>
    <w:tmpl w:val="3F64702E"/>
    <w:lvl w:ilvl="0">
      <w:start w:val="17"/>
      <w:numFmt w:val="upperLetter"/>
      <w:lvlText w:val="%1."/>
      <w:lvlJc w:val="left"/>
      <w:pPr>
        <w:tabs>
          <w:tab w:val="num" w:pos="720"/>
        </w:tabs>
        <w:ind w:left="720" w:hanging="720"/>
      </w:pPr>
      <w:rPr>
        <w:rFonts w:hint="default"/>
      </w:rPr>
    </w:lvl>
  </w:abstractNum>
  <w:abstractNum w:abstractNumId="36">
    <w:nsid w:val="570947AA"/>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37">
    <w:nsid w:val="57CF63E7"/>
    <w:multiLevelType w:val="hybridMultilevel"/>
    <w:tmpl w:val="D32840A2"/>
    <w:lvl w:ilvl="0" w:tplc="F028B810">
      <w:start w:val="1"/>
      <w:numFmt w:val="upp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38">
    <w:nsid w:val="5FC13A04"/>
    <w:multiLevelType w:val="hybridMultilevel"/>
    <w:tmpl w:val="ABE860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1135820"/>
    <w:multiLevelType w:val="hybridMultilevel"/>
    <w:tmpl w:val="EFA29DCA"/>
    <w:lvl w:ilvl="0" w:tplc="80F6E40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66DF49BB"/>
    <w:multiLevelType w:val="hybridMultilevel"/>
    <w:tmpl w:val="B3124D24"/>
    <w:lvl w:ilvl="0" w:tplc="163C4ABA">
      <w:start w:val="1"/>
      <w:numFmt w:val="bullet"/>
      <w:lvlText w:val=""/>
      <w:lvlJc w:val="left"/>
      <w:pPr>
        <w:tabs>
          <w:tab w:val="num" w:pos="2520"/>
        </w:tabs>
        <w:ind w:left="2520" w:hanging="360"/>
      </w:pPr>
      <w:rPr>
        <w:rFonts w:ascii="Wingdings" w:hAnsi="Wingdings" w:hint="default"/>
      </w:rPr>
    </w:lvl>
    <w:lvl w:ilvl="1" w:tplc="270C50AC" w:tentative="1">
      <w:start w:val="1"/>
      <w:numFmt w:val="bullet"/>
      <w:lvlText w:val="o"/>
      <w:lvlJc w:val="left"/>
      <w:pPr>
        <w:tabs>
          <w:tab w:val="num" w:pos="3240"/>
        </w:tabs>
        <w:ind w:left="3240" w:hanging="360"/>
      </w:pPr>
      <w:rPr>
        <w:rFonts w:ascii="Courier New" w:hAnsi="Courier New" w:cs="Courier New" w:hint="default"/>
      </w:rPr>
    </w:lvl>
    <w:lvl w:ilvl="2" w:tplc="3D50758A" w:tentative="1">
      <w:start w:val="1"/>
      <w:numFmt w:val="bullet"/>
      <w:lvlText w:val=""/>
      <w:lvlJc w:val="left"/>
      <w:pPr>
        <w:tabs>
          <w:tab w:val="num" w:pos="3960"/>
        </w:tabs>
        <w:ind w:left="3960" w:hanging="360"/>
      </w:pPr>
      <w:rPr>
        <w:rFonts w:ascii="Wingdings" w:hAnsi="Wingdings" w:hint="default"/>
      </w:rPr>
    </w:lvl>
    <w:lvl w:ilvl="3" w:tplc="B2A630AE" w:tentative="1">
      <w:start w:val="1"/>
      <w:numFmt w:val="bullet"/>
      <w:lvlText w:val=""/>
      <w:lvlJc w:val="left"/>
      <w:pPr>
        <w:tabs>
          <w:tab w:val="num" w:pos="4680"/>
        </w:tabs>
        <w:ind w:left="4680" w:hanging="360"/>
      </w:pPr>
      <w:rPr>
        <w:rFonts w:ascii="Symbol" w:hAnsi="Symbol" w:hint="default"/>
      </w:rPr>
    </w:lvl>
    <w:lvl w:ilvl="4" w:tplc="022A40C0" w:tentative="1">
      <w:start w:val="1"/>
      <w:numFmt w:val="bullet"/>
      <w:lvlText w:val="o"/>
      <w:lvlJc w:val="left"/>
      <w:pPr>
        <w:tabs>
          <w:tab w:val="num" w:pos="5400"/>
        </w:tabs>
        <w:ind w:left="5400" w:hanging="360"/>
      </w:pPr>
      <w:rPr>
        <w:rFonts w:ascii="Courier New" w:hAnsi="Courier New" w:cs="Courier New" w:hint="default"/>
      </w:rPr>
    </w:lvl>
    <w:lvl w:ilvl="5" w:tplc="8F1A55C2" w:tentative="1">
      <w:start w:val="1"/>
      <w:numFmt w:val="bullet"/>
      <w:lvlText w:val=""/>
      <w:lvlJc w:val="left"/>
      <w:pPr>
        <w:tabs>
          <w:tab w:val="num" w:pos="6120"/>
        </w:tabs>
        <w:ind w:left="6120" w:hanging="360"/>
      </w:pPr>
      <w:rPr>
        <w:rFonts w:ascii="Wingdings" w:hAnsi="Wingdings" w:hint="default"/>
      </w:rPr>
    </w:lvl>
    <w:lvl w:ilvl="6" w:tplc="7DF005EC" w:tentative="1">
      <w:start w:val="1"/>
      <w:numFmt w:val="bullet"/>
      <w:lvlText w:val=""/>
      <w:lvlJc w:val="left"/>
      <w:pPr>
        <w:tabs>
          <w:tab w:val="num" w:pos="6840"/>
        </w:tabs>
        <w:ind w:left="6840" w:hanging="360"/>
      </w:pPr>
      <w:rPr>
        <w:rFonts w:ascii="Symbol" w:hAnsi="Symbol" w:hint="default"/>
      </w:rPr>
    </w:lvl>
    <w:lvl w:ilvl="7" w:tplc="85C2DCB6" w:tentative="1">
      <w:start w:val="1"/>
      <w:numFmt w:val="bullet"/>
      <w:lvlText w:val="o"/>
      <w:lvlJc w:val="left"/>
      <w:pPr>
        <w:tabs>
          <w:tab w:val="num" w:pos="7560"/>
        </w:tabs>
        <w:ind w:left="7560" w:hanging="360"/>
      </w:pPr>
      <w:rPr>
        <w:rFonts w:ascii="Courier New" w:hAnsi="Courier New" w:cs="Courier New" w:hint="default"/>
      </w:rPr>
    </w:lvl>
    <w:lvl w:ilvl="8" w:tplc="BF2A1F5C" w:tentative="1">
      <w:start w:val="1"/>
      <w:numFmt w:val="bullet"/>
      <w:lvlText w:val=""/>
      <w:lvlJc w:val="left"/>
      <w:pPr>
        <w:tabs>
          <w:tab w:val="num" w:pos="8280"/>
        </w:tabs>
        <w:ind w:left="8280" w:hanging="360"/>
      </w:pPr>
      <w:rPr>
        <w:rFonts w:ascii="Wingdings" w:hAnsi="Wingdings" w:hint="default"/>
      </w:rPr>
    </w:lvl>
  </w:abstractNum>
  <w:abstractNum w:abstractNumId="41">
    <w:nsid w:val="6E0038B0"/>
    <w:multiLevelType w:val="hybridMultilevel"/>
    <w:tmpl w:val="EBA47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445BD2"/>
    <w:multiLevelType w:val="hybridMultilevel"/>
    <w:tmpl w:val="ADC6FD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7D20A2"/>
    <w:multiLevelType w:val="multilevel"/>
    <w:tmpl w:val="2F9E0F8E"/>
    <w:styleLink w:val="RTF5fNum2019"/>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44">
    <w:nsid w:val="7517348D"/>
    <w:multiLevelType w:val="hybridMultilevel"/>
    <w:tmpl w:val="3A567386"/>
    <w:lvl w:ilvl="0" w:tplc="33D875EC">
      <w:start w:val="17"/>
      <w:numFmt w:val="upperLetter"/>
      <w:lvlText w:val="%1."/>
      <w:lvlJc w:val="left"/>
      <w:pPr>
        <w:tabs>
          <w:tab w:val="num" w:pos="1080"/>
        </w:tabs>
        <w:ind w:left="1080" w:hanging="720"/>
      </w:pPr>
      <w:rPr>
        <w:rFonts w:hint="default"/>
        <w:b/>
      </w:rPr>
    </w:lvl>
    <w:lvl w:ilvl="1" w:tplc="79BEED8A" w:tentative="1">
      <w:start w:val="1"/>
      <w:numFmt w:val="lowerLetter"/>
      <w:lvlText w:val="%2."/>
      <w:lvlJc w:val="left"/>
      <w:pPr>
        <w:tabs>
          <w:tab w:val="num" w:pos="1440"/>
        </w:tabs>
        <w:ind w:left="1440" w:hanging="360"/>
      </w:pPr>
    </w:lvl>
    <w:lvl w:ilvl="2" w:tplc="672A16B2" w:tentative="1">
      <w:start w:val="1"/>
      <w:numFmt w:val="lowerRoman"/>
      <w:lvlText w:val="%3."/>
      <w:lvlJc w:val="right"/>
      <w:pPr>
        <w:tabs>
          <w:tab w:val="num" w:pos="2160"/>
        </w:tabs>
        <w:ind w:left="2160" w:hanging="180"/>
      </w:pPr>
    </w:lvl>
    <w:lvl w:ilvl="3" w:tplc="2EACE7A4" w:tentative="1">
      <w:start w:val="1"/>
      <w:numFmt w:val="decimal"/>
      <w:lvlText w:val="%4."/>
      <w:lvlJc w:val="left"/>
      <w:pPr>
        <w:tabs>
          <w:tab w:val="num" w:pos="2880"/>
        </w:tabs>
        <w:ind w:left="2880" w:hanging="360"/>
      </w:pPr>
    </w:lvl>
    <w:lvl w:ilvl="4" w:tplc="218A1562" w:tentative="1">
      <w:start w:val="1"/>
      <w:numFmt w:val="lowerLetter"/>
      <w:lvlText w:val="%5."/>
      <w:lvlJc w:val="left"/>
      <w:pPr>
        <w:tabs>
          <w:tab w:val="num" w:pos="3600"/>
        </w:tabs>
        <w:ind w:left="3600" w:hanging="360"/>
      </w:pPr>
    </w:lvl>
    <w:lvl w:ilvl="5" w:tplc="C3C2A392" w:tentative="1">
      <w:start w:val="1"/>
      <w:numFmt w:val="lowerRoman"/>
      <w:lvlText w:val="%6."/>
      <w:lvlJc w:val="right"/>
      <w:pPr>
        <w:tabs>
          <w:tab w:val="num" w:pos="4320"/>
        </w:tabs>
        <w:ind w:left="4320" w:hanging="180"/>
      </w:pPr>
    </w:lvl>
    <w:lvl w:ilvl="6" w:tplc="A3B02CBE" w:tentative="1">
      <w:start w:val="1"/>
      <w:numFmt w:val="decimal"/>
      <w:lvlText w:val="%7."/>
      <w:lvlJc w:val="left"/>
      <w:pPr>
        <w:tabs>
          <w:tab w:val="num" w:pos="5040"/>
        </w:tabs>
        <w:ind w:left="5040" w:hanging="360"/>
      </w:pPr>
    </w:lvl>
    <w:lvl w:ilvl="7" w:tplc="DFC4E3F0" w:tentative="1">
      <w:start w:val="1"/>
      <w:numFmt w:val="lowerLetter"/>
      <w:lvlText w:val="%8."/>
      <w:lvlJc w:val="left"/>
      <w:pPr>
        <w:tabs>
          <w:tab w:val="num" w:pos="5760"/>
        </w:tabs>
        <w:ind w:left="5760" w:hanging="360"/>
      </w:pPr>
    </w:lvl>
    <w:lvl w:ilvl="8" w:tplc="2CD68B3E" w:tentative="1">
      <w:start w:val="1"/>
      <w:numFmt w:val="lowerRoman"/>
      <w:lvlText w:val="%9."/>
      <w:lvlJc w:val="right"/>
      <w:pPr>
        <w:tabs>
          <w:tab w:val="num" w:pos="6480"/>
        </w:tabs>
        <w:ind w:left="6480" w:hanging="180"/>
      </w:pPr>
    </w:lvl>
  </w:abstractNum>
  <w:num w:numId="1">
    <w:abstractNumId w:val="44"/>
  </w:num>
  <w:num w:numId="2">
    <w:abstractNumId w:val="35"/>
  </w:num>
  <w:num w:numId="3">
    <w:abstractNumId w:val="25"/>
  </w:num>
  <w:num w:numId="4">
    <w:abstractNumId w:val="2"/>
  </w:num>
  <w:num w:numId="5">
    <w:abstractNumId w:val="28"/>
  </w:num>
  <w:num w:numId="6">
    <w:abstractNumId w:val="22"/>
  </w:num>
  <w:num w:numId="7">
    <w:abstractNumId w:val="1"/>
  </w:num>
  <w:num w:numId="8">
    <w:abstractNumId w:val="9"/>
  </w:num>
  <w:num w:numId="9">
    <w:abstractNumId w:val="32"/>
  </w:num>
  <w:num w:numId="10">
    <w:abstractNumId w:val="4"/>
  </w:num>
  <w:num w:numId="11">
    <w:abstractNumId w:val="34"/>
  </w:num>
  <w:num w:numId="12">
    <w:abstractNumId w:val="40"/>
  </w:num>
  <w:num w:numId="13">
    <w:abstractNumId w:val="36"/>
  </w:num>
  <w:num w:numId="14">
    <w:abstractNumId w:val="8"/>
  </w:num>
  <w:num w:numId="15">
    <w:abstractNumId w:val="29"/>
  </w:num>
  <w:num w:numId="16">
    <w:abstractNumId w:val="37"/>
  </w:num>
  <w:num w:numId="17">
    <w:abstractNumId w:val="43"/>
  </w:num>
  <w:num w:numId="18">
    <w:abstractNumId w:val="11"/>
  </w:num>
  <w:num w:numId="19">
    <w:abstractNumId w:val="26"/>
  </w:num>
  <w:num w:numId="20">
    <w:abstractNumId w:val="19"/>
  </w:num>
  <w:num w:numId="21">
    <w:abstractNumId w:val="7"/>
  </w:num>
  <w:num w:numId="22">
    <w:abstractNumId w:val="0"/>
  </w:num>
  <w:num w:numId="23">
    <w:abstractNumId w:val="42"/>
  </w:num>
  <w:num w:numId="24">
    <w:abstractNumId w:val="24"/>
  </w:num>
  <w:num w:numId="25">
    <w:abstractNumId w:val="20"/>
  </w:num>
  <w:num w:numId="26">
    <w:abstractNumId w:val="38"/>
  </w:num>
  <w:num w:numId="27">
    <w:abstractNumId w:val="6"/>
  </w:num>
  <w:num w:numId="28">
    <w:abstractNumId w:val="41"/>
  </w:num>
  <w:num w:numId="29">
    <w:abstractNumId w:val="3"/>
  </w:num>
  <w:num w:numId="30">
    <w:abstractNumId w:val="17"/>
  </w:num>
  <w:num w:numId="31">
    <w:abstractNumId w:val="15"/>
  </w:num>
  <w:num w:numId="32">
    <w:abstractNumId w:val="23"/>
  </w:num>
  <w:num w:numId="33">
    <w:abstractNumId w:val="5"/>
  </w:num>
  <w:num w:numId="34">
    <w:abstractNumId w:val="39"/>
  </w:num>
  <w:num w:numId="35">
    <w:abstractNumId w:val="33"/>
  </w:num>
  <w:num w:numId="36">
    <w:abstractNumId w:val="12"/>
  </w:num>
  <w:num w:numId="37">
    <w:abstractNumId w:val="10"/>
  </w:num>
  <w:num w:numId="38">
    <w:abstractNumId w:val="13"/>
  </w:num>
  <w:num w:numId="39">
    <w:abstractNumId w:val="31"/>
  </w:num>
  <w:num w:numId="40">
    <w:abstractNumId w:val="14"/>
  </w:num>
  <w:num w:numId="41">
    <w:abstractNumId w:val="21"/>
  </w:num>
  <w:num w:numId="42">
    <w:abstractNumId w:val="18"/>
  </w:num>
  <w:num w:numId="43">
    <w:abstractNumId w:val="30"/>
  </w:num>
  <w:num w:numId="44">
    <w:abstractNumId w:val="27"/>
  </w:num>
  <w:num w:numId="4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37889"/>
  </w:hdrShapeDefaults>
  <w:footnotePr>
    <w:footnote w:id="-1"/>
    <w:footnote w:id="0"/>
  </w:footnotePr>
  <w:endnotePr>
    <w:endnote w:id="-1"/>
    <w:endnote w:id="0"/>
  </w:endnotePr>
  <w:compat/>
  <w:rsids>
    <w:rsidRoot w:val="00714745"/>
    <w:rsid w:val="00000B82"/>
    <w:rsid w:val="00000C41"/>
    <w:rsid w:val="00000CB3"/>
    <w:rsid w:val="00006524"/>
    <w:rsid w:val="00010BCB"/>
    <w:rsid w:val="00011C15"/>
    <w:rsid w:val="00012C47"/>
    <w:rsid w:val="00013F1A"/>
    <w:rsid w:val="0002210A"/>
    <w:rsid w:val="00024B53"/>
    <w:rsid w:val="00026C24"/>
    <w:rsid w:val="00032009"/>
    <w:rsid w:val="00033210"/>
    <w:rsid w:val="00034BAA"/>
    <w:rsid w:val="00035AF7"/>
    <w:rsid w:val="00042823"/>
    <w:rsid w:val="00047B93"/>
    <w:rsid w:val="00050D12"/>
    <w:rsid w:val="00056420"/>
    <w:rsid w:val="000643D7"/>
    <w:rsid w:val="0006604A"/>
    <w:rsid w:val="00070168"/>
    <w:rsid w:val="000819B8"/>
    <w:rsid w:val="00085D79"/>
    <w:rsid w:val="00090CA6"/>
    <w:rsid w:val="00092D11"/>
    <w:rsid w:val="00095125"/>
    <w:rsid w:val="0009774D"/>
    <w:rsid w:val="000A50F0"/>
    <w:rsid w:val="000A6BA0"/>
    <w:rsid w:val="000B173E"/>
    <w:rsid w:val="000B189D"/>
    <w:rsid w:val="000B2EEF"/>
    <w:rsid w:val="000B3DF2"/>
    <w:rsid w:val="000B4B34"/>
    <w:rsid w:val="000B7B28"/>
    <w:rsid w:val="000C46F3"/>
    <w:rsid w:val="000D1366"/>
    <w:rsid w:val="000E7D80"/>
    <w:rsid w:val="000F3D92"/>
    <w:rsid w:val="000F774F"/>
    <w:rsid w:val="00101FFD"/>
    <w:rsid w:val="00103512"/>
    <w:rsid w:val="00104A72"/>
    <w:rsid w:val="00106C33"/>
    <w:rsid w:val="00106CDE"/>
    <w:rsid w:val="00107865"/>
    <w:rsid w:val="00113061"/>
    <w:rsid w:val="00113BF8"/>
    <w:rsid w:val="0011450D"/>
    <w:rsid w:val="00115ED0"/>
    <w:rsid w:val="001206A4"/>
    <w:rsid w:val="0013092E"/>
    <w:rsid w:val="0013182C"/>
    <w:rsid w:val="00136C92"/>
    <w:rsid w:val="00140B0F"/>
    <w:rsid w:val="00146604"/>
    <w:rsid w:val="00154470"/>
    <w:rsid w:val="00157B8E"/>
    <w:rsid w:val="00157DFA"/>
    <w:rsid w:val="001636FF"/>
    <w:rsid w:val="001677A6"/>
    <w:rsid w:val="001707A1"/>
    <w:rsid w:val="00170900"/>
    <w:rsid w:val="00170FFC"/>
    <w:rsid w:val="00171F31"/>
    <w:rsid w:val="00173C4D"/>
    <w:rsid w:val="00174BB0"/>
    <w:rsid w:val="0017652B"/>
    <w:rsid w:val="00176691"/>
    <w:rsid w:val="0018205A"/>
    <w:rsid w:val="00184328"/>
    <w:rsid w:val="00184346"/>
    <w:rsid w:val="00194585"/>
    <w:rsid w:val="00194BA1"/>
    <w:rsid w:val="00194DDB"/>
    <w:rsid w:val="001954C3"/>
    <w:rsid w:val="00195FE8"/>
    <w:rsid w:val="001A10BA"/>
    <w:rsid w:val="001A41C3"/>
    <w:rsid w:val="001A6B1B"/>
    <w:rsid w:val="001B0C8A"/>
    <w:rsid w:val="001C273F"/>
    <w:rsid w:val="001C438B"/>
    <w:rsid w:val="001C636D"/>
    <w:rsid w:val="001D00F9"/>
    <w:rsid w:val="001D53CF"/>
    <w:rsid w:val="001D727C"/>
    <w:rsid w:val="001E1BF8"/>
    <w:rsid w:val="001E28AF"/>
    <w:rsid w:val="001E67C8"/>
    <w:rsid w:val="001E6C82"/>
    <w:rsid w:val="001E6E76"/>
    <w:rsid w:val="001F0D32"/>
    <w:rsid w:val="001F3133"/>
    <w:rsid w:val="001F608D"/>
    <w:rsid w:val="001F750B"/>
    <w:rsid w:val="002051D2"/>
    <w:rsid w:val="00211486"/>
    <w:rsid w:val="0021414E"/>
    <w:rsid w:val="002148B3"/>
    <w:rsid w:val="00214D88"/>
    <w:rsid w:val="002156E2"/>
    <w:rsid w:val="00215B46"/>
    <w:rsid w:val="00216A6C"/>
    <w:rsid w:val="00217547"/>
    <w:rsid w:val="002227CE"/>
    <w:rsid w:val="002245FC"/>
    <w:rsid w:val="0022664C"/>
    <w:rsid w:val="0023038B"/>
    <w:rsid w:val="00237241"/>
    <w:rsid w:val="0024013F"/>
    <w:rsid w:val="00242CD2"/>
    <w:rsid w:val="00244A9E"/>
    <w:rsid w:val="00245484"/>
    <w:rsid w:val="002458B3"/>
    <w:rsid w:val="002466CB"/>
    <w:rsid w:val="00247F5A"/>
    <w:rsid w:val="0025428D"/>
    <w:rsid w:val="00255C9A"/>
    <w:rsid w:val="00257757"/>
    <w:rsid w:val="00261485"/>
    <w:rsid w:val="002646EA"/>
    <w:rsid w:val="00265A27"/>
    <w:rsid w:val="00266FE2"/>
    <w:rsid w:val="00267565"/>
    <w:rsid w:val="00271405"/>
    <w:rsid w:val="0027725A"/>
    <w:rsid w:val="002847C8"/>
    <w:rsid w:val="002847D3"/>
    <w:rsid w:val="00285F13"/>
    <w:rsid w:val="0028785C"/>
    <w:rsid w:val="00287D7E"/>
    <w:rsid w:val="00292F5D"/>
    <w:rsid w:val="002A0469"/>
    <w:rsid w:val="002A1E65"/>
    <w:rsid w:val="002A2D65"/>
    <w:rsid w:val="002A3454"/>
    <w:rsid w:val="002A4BCC"/>
    <w:rsid w:val="002A6974"/>
    <w:rsid w:val="002B232F"/>
    <w:rsid w:val="002B2F5B"/>
    <w:rsid w:val="002B42A0"/>
    <w:rsid w:val="002B7A2B"/>
    <w:rsid w:val="002C32C0"/>
    <w:rsid w:val="002C33B7"/>
    <w:rsid w:val="002C36C4"/>
    <w:rsid w:val="002C3A7A"/>
    <w:rsid w:val="002C74F5"/>
    <w:rsid w:val="002D1242"/>
    <w:rsid w:val="002D333A"/>
    <w:rsid w:val="002D396C"/>
    <w:rsid w:val="002D4D77"/>
    <w:rsid w:val="002E0408"/>
    <w:rsid w:val="002E0D2C"/>
    <w:rsid w:val="002E35E8"/>
    <w:rsid w:val="002E385C"/>
    <w:rsid w:val="002E5251"/>
    <w:rsid w:val="002E5C3D"/>
    <w:rsid w:val="002F5D67"/>
    <w:rsid w:val="00301103"/>
    <w:rsid w:val="00301E74"/>
    <w:rsid w:val="003038FF"/>
    <w:rsid w:val="00304DA8"/>
    <w:rsid w:val="00305F14"/>
    <w:rsid w:val="00306778"/>
    <w:rsid w:val="00307CFF"/>
    <w:rsid w:val="00312818"/>
    <w:rsid w:val="00313F92"/>
    <w:rsid w:val="00315A06"/>
    <w:rsid w:val="00322C5A"/>
    <w:rsid w:val="003238C3"/>
    <w:rsid w:val="00325874"/>
    <w:rsid w:val="003324CA"/>
    <w:rsid w:val="003412AF"/>
    <w:rsid w:val="0034305F"/>
    <w:rsid w:val="0034449D"/>
    <w:rsid w:val="00354568"/>
    <w:rsid w:val="00360C6B"/>
    <w:rsid w:val="00361171"/>
    <w:rsid w:val="00361B78"/>
    <w:rsid w:val="00363462"/>
    <w:rsid w:val="00370DB9"/>
    <w:rsid w:val="0037120E"/>
    <w:rsid w:val="00396C6F"/>
    <w:rsid w:val="00396F82"/>
    <w:rsid w:val="003A2019"/>
    <w:rsid w:val="003A2DD7"/>
    <w:rsid w:val="003A41DC"/>
    <w:rsid w:val="003A6B28"/>
    <w:rsid w:val="003A75C2"/>
    <w:rsid w:val="003B1C6A"/>
    <w:rsid w:val="003B2C52"/>
    <w:rsid w:val="003B5C03"/>
    <w:rsid w:val="003B7CC7"/>
    <w:rsid w:val="003C2787"/>
    <w:rsid w:val="003C27D6"/>
    <w:rsid w:val="003C4F62"/>
    <w:rsid w:val="003C7EC6"/>
    <w:rsid w:val="003D253D"/>
    <w:rsid w:val="003D3B4D"/>
    <w:rsid w:val="003D41D2"/>
    <w:rsid w:val="003D681B"/>
    <w:rsid w:val="003E2DE6"/>
    <w:rsid w:val="003E456D"/>
    <w:rsid w:val="003E4985"/>
    <w:rsid w:val="003E54BC"/>
    <w:rsid w:val="003E7515"/>
    <w:rsid w:val="003F1097"/>
    <w:rsid w:val="003F225B"/>
    <w:rsid w:val="003F7185"/>
    <w:rsid w:val="003F7692"/>
    <w:rsid w:val="00407489"/>
    <w:rsid w:val="00411644"/>
    <w:rsid w:val="00411BBB"/>
    <w:rsid w:val="004144B7"/>
    <w:rsid w:val="00415799"/>
    <w:rsid w:val="00415DFE"/>
    <w:rsid w:val="004169F7"/>
    <w:rsid w:val="00417321"/>
    <w:rsid w:val="0041770D"/>
    <w:rsid w:val="00420EDD"/>
    <w:rsid w:val="00421855"/>
    <w:rsid w:val="00422305"/>
    <w:rsid w:val="00426929"/>
    <w:rsid w:val="004327CC"/>
    <w:rsid w:val="00435A89"/>
    <w:rsid w:val="00436949"/>
    <w:rsid w:val="00436FF2"/>
    <w:rsid w:val="0044124A"/>
    <w:rsid w:val="0044385F"/>
    <w:rsid w:val="004444A0"/>
    <w:rsid w:val="0045243D"/>
    <w:rsid w:val="00452967"/>
    <w:rsid w:val="00455266"/>
    <w:rsid w:val="00461450"/>
    <w:rsid w:val="00462095"/>
    <w:rsid w:val="004650E1"/>
    <w:rsid w:val="00465F0F"/>
    <w:rsid w:val="00466E5A"/>
    <w:rsid w:val="004675A9"/>
    <w:rsid w:val="0047046A"/>
    <w:rsid w:val="0047462C"/>
    <w:rsid w:val="00474E69"/>
    <w:rsid w:val="00475D6D"/>
    <w:rsid w:val="0047703B"/>
    <w:rsid w:val="00482BD8"/>
    <w:rsid w:val="0048490F"/>
    <w:rsid w:val="004877F0"/>
    <w:rsid w:val="00491575"/>
    <w:rsid w:val="0049220E"/>
    <w:rsid w:val="004931CA"/>
    <w:rsid w:val="004961BE"/>
    <w:rsid w:val="00497CD4"/>
    <w:rsid w:val="004A1A76"/>
    <w:rsid w:val="004A2D16"/>
    <w:rsid w:val="004A3836"/>
    <w:rsid w:val="004A7461"/>
    <w:rsid w:val="004B4851"/>
    <w:rsid w:val="004B58A9"/>
    <w:rsid w:val="004B60D1"/>
    <w:rsid w:val="004B7859"/>
    <w:rsid w:val="004C1234"/>
    <w:rsid w:val="004C2016"/>
    <w:rsid w:val="004C38F5"/>
    <w:rsid w:val="004C3D46"/>
    <w:rsid w:val="004C5E3E"/>
    <w:rsid w:val="004C6714"/>
    <w:rsid w:val="004D0379"/>
    <w:rsid w:val="004D0770"/>
    <w:rsid w:val="004D13B2"/>
    <w:rsid w:val="004D4684"/>
    <w:rsid w:val="004D4CF0"/>
    <w:rsid w:val="004D5BCA"/>
    <w:rsid w:val="004E345E"/>
    <w:rsid w:val="004E530D"/>
    <w:rsid w:val="004E7ADA"/>
    <w:rsid w:val="004F0383"/>
    <w:rsid w:val="004F03B6"/>
    <w:rsid w:val="004F1F14"/>
    <w:rsid w:val="004F6AC6"/>
    <w:rsid w:val="004F7716"/>
    <w:rsid w:val="004F7E21"/>
    <w:rsid w:val="005006C8"/>
    <w:rsid w:val="0050198B"/>
    <w:rsid w:val="00501A5F"/>
    <w:rsid w:val="005024AA"/>
    <w:rsid w:val="0050254E"/>
    <w:rsid w:val="005037DB"/>
    <w:rsid w:val="00503BF7"/>
    <w:rsid w:val="005065AD"/>
    <w:rsid w:val="00507E59"/>
    <w:rsid w:val="0051150B"/>
    <w:rsid w:val="00511EB3"/>
    <w:rsid w:val="00514CE5"/>
    <w:rsid w:val="00515684"/>
    <w:rsid w:val="00516483"/>
    <w:rsid w:val="00522885"/>
    <w:rsid w:val="00524D05"/>
    <w:rsid w:val="00531A8F"/>
    <w:rsid w:val="00534C5B"/>
    <w:rsid w:val="00535B6D"/>
    <w:rsid w:val="00537DE0"/>
    <w:rsid w:val="00541DB1"/>
    <w:rsid w:val="0054403E"/>
    <w:rsid w:val="00545DC0"/>
    <w:rsid w:val="00546478"/>
    <w:rsid w:val="0054677A"/>
    <w:rsid w:val="0056558A"/>
    <w:rsid w:val="00565F4C"/>
    <w:rsid w:val="005662B4"/>
    <w:rsid w:val="00567C23"/>
    <w:rsid w:val="00567D1D"/>
    <w:rsid w:val="00573BCD"/>
    <w:rsid w:val="00580B1A"/>
    <w:rsid w:val="00580DA4"/>
    <w:rsid w:val="00591942"/>
    <w:rsid w:val="00592062"/>
    <w:rsid w:val="00592EB5"/>
    <w:rsid w:val="005A194C"/>
    <w:rsid w:val="005A25CA"/>
    <w:rsid w:val="005A4853"/>
    <w:rsid w:val="005A6E32"/>
    <w:rsid w:val="005B1F6C"/>
    <w:rsid w:val="005B40EC"/>
    <w:rsid w:val="005B40F5"/>
    <w:rsid w:val="005C2843"/>
    <w:rsid w:val="005C3BBF"/>
    <w:rsid w:val="005C47FD"/>
    <w:rsid w:val="005C66A9"/>
    <w:rsid w:val="005C6F1B"/>
    <w:rsid w:val="005C75F7"/>
    <w:rsid w:val="005D4CDA"/>
    <w:rsid w:val="005D5554"/>
    <w:rsid w:val="005E3639"/>
    <w:rsid w:val="005E4A58"/>
    <w:rsid w:val="005E4A92"/>
    <w:rsid w:val="005F062C"/>
    <w:rsid w:val="005F073B"/>
    <w:rsid w:val="005F0D48"/>
    <w:rsid w:val="005F1B90"/>
    <w:rsid w:val="005F4128"/>
    <w:rsid w:val="005F4E50"/>
    <w:rsid w:val="005F6EFC"/>
    <w:rsid w:val="0061431F"/>
    <w:rsid w:val="00621F75"/>
    <w:rsid w:val="00627B74"/>
    <w:rsid w:val="00630502"/>
    <w:rsid w:val="006318DE"/>
    <w:rsid w:val="00632B9F"/>
    <w:rsid w:val="00637B06"/>
    <w:rsid w:val="00654B07"/>
    <w:rsid w:val="00662164"/>
    <w:rsid w:val="006621FE"/>
    <w:rsid w:val="006673F3"/>
    <w:rsid w:val="00667FF4"/>
    <w:rsid w:val="006700B0"/>
    <w:rsid w:val="00670FDB"/>
    <w:rsid w:val="006722FB"/>
    <w:rsid w:val="0067238C"/>
    <w:rsid w:val="0067519A"/>
    <w:rsid w:val="00675655"/>
    <w:rsid w:val="00675DA8"/>
    <w:rsid w:val="0068340B"/>
    <w:rsid w:val="00687B8E"/>
    <w:rsid w:val="00691FC5"/>
    <w:rsid w:val="0069616D"/>
    <w:rsid w:val="00697C28"/>
    <w:rsid w:val="006A0695"/>
    <w:rsid w:val="006A3F61"/>
    <w:rsid w:val="006A6851"/>
    <w:rsid w:val="006A7266"/>
    <w:rsid w:val="006A7D42"/>
    <w:rsid w:val="006B23FF"/>
    <w:rsid w:val="006B369C"/>
    <w:rsid w:val="006B7A49"/>
    <w:rsid w:val="006C0446"/>
    <w:rsid w:val="006C0A1E"/>
    <w:rsid w:val="006C6B82"/>
    <w:rsid w:val="006E0EEA"/>
    <w:rsid w:val="006E169A"/>
    <w:rsid w:val="006F1CDA"/>
    <w:rsid w:val="006F22AE"/>
    <w:rsid w:val="00700CDF"/>
    <w:rsid w:val="00702EDC"/>
    <w:rsid w:val="00706A68"/>
    <w:rsid w:val="00712A95"/>
    <w:rsid w:val="00713863"/>
    <w:rsid w:val="00714745"/>
    <w:rsid w:val="00714BCE"/>
    <w:rsid w:val="00715A30"/>
    <w:rsid w:val="007167B6"/>
    <w:rsid w:val="0072230B"/>
    <w:rsid w:val="00723CC3"/>
    <w:rsid w:val="00732550"/>
    <w:rsid w:val="00732591"/>
    <w:rsid w:val="00732B0A"/>
    <w:rsid w:val="007356EB"/>
    <w:rsid w:val="00737489"/>
    <w:rsid w:val="00740919"/>
    <w:rsid w:val="00745236"/>
    <w:rsid w:val="00746A97"/>
    <w:rsid w:val="00751929"/>
    <w:rsid w:val="0075486A"/>
    <w:rsid w:val="007609D2"/>
    <w:rsid w:val="00761317"/>
    <w:rsid w:val="00765B85"/>
    <w:rsid w:val="00765CC1"/>
    <w:rsid w:val="00766993"/>
    <w:rsid w:val="00772329"/>
    <w:rsid w:val="0077462A"/>
    <w:rsid w:val="00781953"/>
    <w:rsid w:val="00782595"/>
    <w:rsid w:val="00784C57"/>
    <w:rsid w:val="00786903"/>
    <w:rsid w:val="007869FF"/>
    <w:rsid w:val="00787906"/>
    <w:rsid w:val="00790D92"/>
    <w:rsid w:val="0079101B"/>
    <w:rsid w:val="00791C7F"/>
    <w:rsid w:val="007937C2"/>
    <w:rsid w:val="00797603"/>
    <w:rsid w:val="007A4F36"/>
    <w:rsid w:val="007A6930"/>
    <w:rsid w:val="007A6CA5"/>
    <w:rsid w:val="007B130D"/>
    <w:rsid w:val="007B15C6"/>
    <w:rsid w:val="007B1FEF"/>
    <w:rsid w:val="007B2940"/>
    <w:rsid w:val="007B444A"/>
    <w:rsid w:val="007C1892"/>
    <w:rsid w:val="007C4323"/>
    <w:rsid w:val="007C6A26"/>
    <w:rsid w:val="007C7E7F"/>
    <w:rsid w:val="007D2622"/>
    <w:rsid w:val="007D7ADA"/>
    <w:rsid w:val="007E116C"/>
    <w:rsid w:val="007E3B10"/>
    <w:rsid w:val="007E40D7"/>
    <w:rsid w:val="007E4E0D"/>
    <w:rsid w:val="007E504D"/>
    <w:rsid w:val="007F0CE9"/>
    <w:rsid w:val="007F3799"/>
    <w:rsid w:val="007F4150"/>
    <w:rsid w:val="007F763D"/>
    <w:rsid w:val="007F7FE3"/>
    <w:rsid w:val="00805B06"/>
    <w:rsid w:val="008132E3"/>
    <w:rsid w:val="00813A49"/>
    <w:rsid w:val="00816081"/>
    <w:rsid w:val="00817385"/>
    <w:rsid w:val="00821750"/>
    <w:rsid w:val="00821A0B"/>
    <w:rsid w:val="00821DAF"/>
    <w:rsid w:val="00823D82"/>
    <w:rsid w:val="008247FC"/>
    <w:rsid w:val="008256CD"/>
    <w:rsid w:val="008257A0"/>
    <w:rsid w:val="00826FA2"/>
    <w:rsid w:val="00830789"/>
    <w:rsid w:val="00830CE0"/>
    <w:rsid w:val="00834E7B"/>
    <w:rsid w:val="008375C3"/>
    <w:rsid w:val="008421FD"/>
    <w:rsid w:val="00842807"/>
    <w:rsid w:val="00843497"/>
    <w:rsid w:val="00843640"/>
    <w:rsid w:val="0084366A"/>
    <w:rsid w:val="00844EEE"/>
    <w:rsid w:val="00850152"/>
    <w:rsid w:val="00854F08"/>
    <w:rsid w:val="008560E4"/>
    <w:rsid w:val="0085678F"/>
    <w:rsid w:val="0085683D"/>
    <w:rsid w:val="00860D3B"/>
    <w:rsid w:val="00861054"/>
    <w:rsid w:val="008646D5"/>
    <w:rsid w:val="008714C1"/>
    <w:rsid w:val="00874334"/>
    <w:rsid w:val="00874AC9"/>
    <w:rsid w:val="00875307"/>
    <w:rsid w:val="008758EC"/>
    <w:rsid w:val="0088037B"/>
    <w:rsid w:val="00883AC8"/>
    <w:rsid w:val="0088463A"/>
    <w:rsid w:val="00886F58"/>
    <w:rsid w:val="00890993"/>
    <w:rsid w:val="00895CC2"/>
    <w:rsid w:val="00895FDD"/>
    <w:rsid w:val="00897AFF"/>
    <w:rsid w:val="008A0104"/>
    <w:rsid w:val="008A5F2D"/>
    <w:rsid w:val="008B140C"/>
    <w:rsid w:val="008B161F"/>
    <w:rsid w:val="008B2D89"/>
    <w:rsid w:val="008B2DB8"/>
    <w:rsid w:val="008B4AA8"/>
    <w:rsid w:val="008B5F9C"/>
    <w:rsid w:val="008C008A"/>
    <w:rsid w:val="008C0EEF"/>
    <w:rsid w:val="008C50C6"/>
    <w:rsid w:val="008C60BA"/>
    <w:rsid w:val="008D2D52"/>
    <w:rsid w:val="008D37E8"/>
    <w:rsid w:val="008D7CBA"/>
    <w:rsid w:val="008E44C8"/>
    <w:rsid w:val="008E5A9D"/>
    <w:rsid w:val="008E60C4"/>
    <w:rsid w:val="008E7A98"/>
    <w:rsid w:val="008F0DED"/>
    <w:rsid w:val="008F1AF6"/>
    <w:rsid w:val="008F410D"/>
    <w:rsid w:val="008F439F"/>
    <w:rsid w:val="008F55BF"/>
    <w:rsid w:val="008F6589"/>
    <w:rsid w:val="008F73A7"/>
    <w:rsid w:val="008F73C1"/>
    <w:rsid w:val="009015E1"/>
    <w:rsid w:val="0090316C"/>
    <w:rsid w:val="009046F8"/>
    <w:rsid w:val="009067B7"/>
    <w:rsid w:val="0090745C"/>
    <w:rsid w:val="009124C0"/>
    <w:rsid w:val="009130EC"/>
    <w:rsid w:val="00914EEA"/>
    <w:rsid w:val="00916707"/>
    <w:rsid w:val="009169F8"/>
    <w:rsid w:val="00922B53"/>
    <w:rsid w:val="009234CF"/>
    <w:rsid w:val="0092414D"/>
    <w:rsid w:val="00930F78"/>
    <w:rsid w:val="00931564"/>
    <w:rsid w:val="00932812"/>
    <w:rsid w:val="009347A3"/>
    <w:rsid w:val="00940021"/>
    <w:rsid w:val="00946DB4"/>
    <w:rsid w:val="009474D7"/>
    <w:rsid w:val="00950898"/>
    <w:rsid w:val="00954FE8"/>
    <w:rsid w:val="0095794E"/>
    <w:rsid w:val="0096046A"/>
    <w:rsid w:val="00961E73"/>
    <w:rsid w:val="009631A6"/>
    <w:rsid w:val="009640BF"/>
    <w:rsid w:val="00971B7D"/>
    <w:rsid w:val="00975245"/>
    <w:rsid w:val="00986612"/>
    <w:rsid w:val="009904AA"/>
    <w:rsid w:val="00992F5C"/>
    <w:rsid w:val="009A2CD0"/>
    <w:rsid w:val="009A53E2"/>
    <w:rsid w:val="009A77BF"/>
    <w:rsid w:val="009A7D8C"/>
    <w:rsid w:val="009B2B04"/>
    <w:rsid w:val="009B4868"/>
    <w:rsid w:val="009B5E44"/>
    <w:rsid w:val="009B71C8"/>
    <w:rsid w:val="009C26F0"/>
    <w:rsid w:val="009C471E"/>
    <w:rsid w:val="009C4FA6"/>
    <w:rsid w:val="009C757F"/>
    <w:rsid w:val="009C799D"/>
    <w:rsid w:val="009D2D9E"/>
    <w:rsid w:val="009D342C"/>
    <w:rsid w:val="009D586D"/>
    <w:rsid w:val="009E6CE4"/>
    <w:rsid w:val="009F51F0"/>
    <w:rsid w:val="009F54BB"/>
    <w:rsid w:val="00A0151E"/>
    <w:rsid w:val="00A12BC8"/>
    <w:rsid w:val="00A13CF2"/>
    <w:rsid w:val="00A14AED"/>
    <w:rsid w:val="00A164E7"/>
    <w:rsid w:val="00A214CE"/>
    <w:rsid w:val="00A228C1"/>
    <w:rsid w:val="00A24023"/>
    <w:rsid w:val="00A251C0"/>
    <w:rsid w:val="00A25C17"/>
    <w:rsid w:val="00A31C1F"/>
    <w:rsid w:val="00A32FC4"/>
    <w:rsid w:val="00A42274"/>
    <w:rsid w:val="00A44A82"/>
    <w:rsid w:val="00A45285"/>
    <w:rsid w:val="00A466DE"/>
    <w:rsid w:val="00A505C3"/>
    <w:rsid w:val="00A51B88"/>
    <w:rsid w:val="00A52FBA"/>
    <w:rsid w:val="00A5357D"/>
    <w:rsid w:val="00A53703"/>
    <w:rsid w:val="00A54D4C"/>
    <w:rsid w:val="00A55AD7"/>
    <w:rsid w:val="00A5647F"/>
    <w:rsid w:val="00A56755"/>
    <w:rsid w:val="00A56927"/>
    <w:rsid w:val="00A61D14"/>
    <w:rsid w:val="00A6360B"/>
    <w:rsid w:val="00A63A51"/>
    <w:rsid w:val="00A64AAD"/>
    <w:rsid w:val="00A65113"/>
    <w:rsid w:val="00A716F3"/>
    <w:rsid w:val="00A72D67"/>
    <w:rsid w:val="00A73F8A"/>
    <w:rsid w:val="00A755F0"/>
    <w:rsid w:val="00A8188F"/>
    <w:rsid w:val="00A81EC3"/>
    <w:rsid w:val="00A86CAF"/>
    <w:rsid w:val="00A87DD1"/>
    <w:rsid w:val="00A90338"/>
    <w:rsid w:val="00A910C4"/>
    <w:rsid w:val="00A918E5"/>
    <w:rsid w:val="00A92DE0"/>
    <w:rsid w:val="00A96254"/>
    <w:rsid w:val="00A9774B"/>
    <w:rsid w:val="00AA098B"/>
    <w:rsid w:val="00AA0A62"/>
    <w:rsid w:val="00AA10FC"/>
    <w:rsid w:val="00AA12CE"/>
    <w:rsid w:val="00AA54EC"/>
    <w:rsid w:val="00AA6051"/>
    <w:rsid w:val="00AB04FD"/>
    <w:rsid w:val="00AB0501"/>
    <w:rsid w:val="00AB3F26"/>
    <w:rsid w:val="00AB6A70"/>
    <w:rsid w:val="00AC3D93"/>
    <w:rsid w:val="00AC696A"/>
    <w:rsid w:val="00AD25C4"/>
    <w:rsid w:val="00AD2F8C"/>
    <w:rsid w:val="00AD31ED"/>
    <w:rsid w:val="00AD6B64"/>
    <w:rsid w:val="00AD7D42"/>
    <w:rsid w:val="00AE7914"/>
    <w:rsid w:val="00AF047B"/>
    <w:rsid w:val="00AF0ECA"/>
    <w:rsid w:val="00AF1B8C"/>
    <w:rsid w:val="00AF58EF"/>
    <w:rsid w:val="00AF62AC"/>
    <w:rsid w:val="00AF6644"/>
    <w:rsid w:val="00B0347E"/>
    <w:rsid w:val="00B131FC"/>
    <w:rsid w:val="00B1350E"/>
    <w:rsid w:val="00B16478"/>
    <w:rsid w:val="00B17433"/>
    <w:rsid w:val="00B20533"/>
    <w:rsid w:val="00B22BFB"/>
    <w:rsid w:val="00B25084"/>
    <w:rsid w:val="00B26D99"/>
    <w:rsid w:val="00B2765A"/>
    <w:rsid w:val="00B3119B"/>
    <w:rsid w:val="00B32D4D"/>
    <w:rsid w:val="00B34E28"/>
    <w:rsid w:val="00B3631B"/>
    <w:rsid w:val="00B36D8C"/>
    <w:rsid w:val="00B36E31"/>
    <w:rsid w:val="00B3778E"/>
    <w:rsid w:val="00B40496"/>
    <w:rsid w:val="00B42432"/>
    <w:rsid w:val="00B432FC"/>
    <w:rsid w:val="00B44758"/>
    <w:rsid w:val="00B4539C"/>
    <w:rsid w:val="00B46814"/>
    <w:rsid w:val="00B4748B"/>
    <w:rsid w:val="00B478DF"/>
    <w:rsid w:val="00B51C3C"/>
    <w:rsid w:val="00B5217A"/>
    <w:rsid w:val="00B5223D"/>
    <w:rsid w:val="00B6062A"/>
    <w:rsid w:val="00B640EE"/>
    <w:rsid w:val="00B664B9"/>
    <w:rsid w:val="00B67635"/>
    <w:rsid w:val="00B677E3"/>
    <w:rsid w:val="00B70129"/>
    <w:rsid w:val="00B718A0"/>
    <w:rsid w:val="00B73521"/>
    <w:rsid w:val="00B744E6"/>
    <w:rsid w:val="00B764FA"/>
    <w:rsid w:val="00B82492"/>
    <w:rsid w:val="00B830BB"/>
    <w:rsid w:val="00B84433"/>
    <w:rsid w:val="00B86011"/>
    <w:rsid w:val="00B86D15"/>
    <w:rsid w:val="00B872D2"/>
    <w:rsid w:val="00B916D8"/>
    <w:rsid w:val="00BA36FD"/>
    <w:rsid w:val="00BA7CD9"/>
    <w:rsid w:val="00BB00DD"/>
    <w:rsid w:val="00BB024B"/>
    <w:rsid w:val="00BB565E"/>
    <w:rsid w:val="00BB5EB4"/>
    <w:rsid w:val="00BB6060"/>
    <w:rsid w:val="00BB7806"/>
    <w:rsid w:val="00BC043D"/>
    <w:rsid w:val="00BC0B46"/>
    <w:rsid w:val="00BC21E0"/>
    <w:rsid w:val="00BC6261"/>
    <w:rsid w:val="00BD28D0"/>
    <w:rsid w:val="00BD3CD9"/>
    <w:rsid w:val="00BD4420"/>
    <w:rsid w:val="00BD57DF"/>
    <w:rsid w:val="00BE03AF"/>
    <w:rsid w:val="00BE1AE2"/>
    <w:rsid w:val="00BE2225"/>
    <w:rsid w:val="00BE23ED"/>
    <w:rsid w:val="00BE56FD"/>
    <w:rsid w:val="00BF20AB"/>
    <w:rsid w:val="00BF6E8D"/>
    <w:rsid w:val="00C05A7E"/>
    <w:rsid w:val="00C05BA8"/>
    <w:rsid w:val="00C070CF"/>
    <w:rsid w:val="00C10A8D"/>
    <w:rsid w:val="00C114C7"/>
    <w:rsid w:val="00C14F0F"/>
    <w:rsid w:val="00C14F95"/>
    <w:rsid w:val="00C153CE"/>
    <w:rsid w:val="00C22171"/>
    <w:rsid w:val="00C25015"/>
    <w:rsid w:val="00C250F5"/>
    <w:rsid w:val="00C27E6A"/>
    <w:rsid w:val="00C32E1E"/>
    <w:rsid w:val="00C47592"/>
    <w:rsid w:val="00C57CFC"/>
    <w:rsid w:val="00C61092"/>
    <w:rsid w:val="00C612C9"/>
    <w:rsid w:val="00C62959"/>
    <w:rsid w:val="00C65CB6"/>
    <w:rsid w:val="00C66BE5"/>
    <w:rsid w:val="00C67C64"/>
    <w:rsid w:val="00C70355"/>
    <w:rsid w:val="00C744BA"/>
    <w:rsid w:val="00C75F7B"/>
    <w:rsid w:val="00C83114"/>
    <w:rsid w:val="00C84676"/>
    <w:rsid w:val="00C85312"/>
    <w:rsid w:val="00C8595B"/>
    <w:rsid w:val="00C85F41"/>
    <w:rsid w:val="00C86B4F"/>
    <w:rsid w:val="00C87F97"/>
    <w:rsid w:val="00C907CB"/>
    <w:rsid w:val="00C923E0"/>
    <w:rsid w:val="00C926B6"/>
    <w:rsid w:val="00C9398A"/>
    <w:rsid w:val="00C95DF2"/>
    <w:rsid w:val="00C9778C"/>
    <w:rsid w:val="00CA005E"/>
    <w:rsid w:val="00CA0FF2"/>
    <w:rsid w:val="00CA1461"/>
    <w:rsid w:val="00CA2E34"/>
    <w:rsid w:val="00CA4577"/>
    <w:rsid w:val="00CB0301"/>
    <w:rsid w:val="00CB2EDA"/>
    <w:rsid w:val="00CB31F4"/>
    <w:rsid w:val="00CB705F"/>
    <w:rsid w:val="00CC0814"/>
    <w:rsid w:val="00CC0854"/>
    <w:rsid w:val="00CC0A3C"/>
    <w:rsid w:val="00CC20AE"/>
    <w:rsid w:val="00CC3024"/>
    <w:rsid w:val="00CC63B4"/>
    <w:rsid w:val="00CD4347"/>
    <w:rsid w:val="00CD5FD7"/>
    <w:rsid w:val="00CD6772"/>
    <w:rsid w:val="00CE3ECF"/>
    <w:rsid w:val="00CE48A4"/>
    <w:rsid w:val="00CF23B9"/>
    <w:rsid w:val="00D003DE"/>
    <w:rsid w:val="00D030F2"/>
    <w:rsid w:val="00D12CC1"/>
    <w:rsid w:val="00D14432"/>
    <w:rsid w:val="00D1528C"/>
    <w:rsid w:val="00D162DD"/>
    <w:rsid w:val="00D17119"/>
    <w:rsid w:val="00D208F6"/>
    <w:rsid w:val="00D2221B"/>
    <w:rsid w:val="00D25C59"/>
    <w:rsid w:val="00D25D8C"/>
    <w:rsid w:val="00D30225"/>
    <w:rsid w:val="00D31423"/>
    <w:rsid w:val="00D342C8"/>
    <w:rsid w:val="00D35572"/>
    <w:rsid w:val="00D37490"/>
    <w:rsid w:val="00D40BC0"/>
    <w:rsid w:val="00D428D2"/>
    <w:rsid w:val="00D4443B"/>
    <w:rsid w:val="00D44F8E"/>
    <w:rsid w:val="00D452CF"/>
    <w:rsid w:val="00D453A9"/>
    <w:rsid w:val="00D4668B"/>
    <w:rsid w:val="00D50065"/>
    <w:rsid w:val="00D519DE"/>
    <w:rsid w:val="00D52B13"/>
    <w:rsid w:val="00D53777"/>
    <w:rsid w:val="00D558E4"/>
    <w:rsid w:val="00D57A2B"/>
    <w:rsid w:val="00D61018"/>
    <w:rsid w:val="00D62C02"/>
    <w:rsid w:val="00D635AE"/>
    <w:rsid w:val="00D63F87"/>
    <w:rsid w:val="00D65ED1"/>
    <w:rsid w:val="00D72AAB"/>
    <w:rsid w:val="00D737CF"/>
    <w:rsid w:val="00D747D8"/>
    <w:rsid w:val="00D76AF7"/>
    <w:rsid w:val="00D77338"/>
    <w:rsid w:val="00D80062"/>
    <w:rsid w:val="00D80428"/>
    <w:rsid w:val="00D82F2C"/>
    <w:rsid w:val="00D84099"/>
    <w:rsid w:val="00D85EF0"/>
    <w:rsid w:val="00D97A34"/>
    <w:rsid w:val="00DA187F"/>
    <w:rsid w:val="00DA2ACF"/>
    <w:rsid w:val="00DA2BD0"/>
    <w:rsid w:val="00DA5150"/>
    <w:rsid w:val="00DA5D8B"/>
    <w:rsid w:val="00DB3916"/>
    <w:rsid w:val="00DB5223"/>
    <w:rsid w:val="00DB523A"/>
    <w:rsid w:val="00DB5700"/>
    <w:rsid w:val="00DB69E4"/>
    <w:rsid w:val="00DC1240"/>
    <w:rsid w:val="00DC23D5"/>
    <w:rsid w:val="00DC5FD2"/>
    <w:rsid w:val="00DC70CC"/>
    <w:rsid w:val="00DC7A1D"/>
    <w:rsid w:val="00DD0042"/>
    <w:rsid w:val="00DD3262"/>
    <w:rsid w:val="00DD4754"/>
    <w:rsid w:val="00DD5554"/>
    <w:rsid w:val="00DE06A6"/>
    <w:rsid w:val="00DE2454"/>
    <w:rsid w:val="00DE27FC"/>
    <w:rsid w:val="00DE559A"/>
    <w:rsid w:val="00DF032E"/>
    <w:rsid w:val="00DF0B60"/>
    <w:rsid w:val="00DF0F4F"/>
    <w:rsid w:val="00DF2446"/>
    <w:rsid w:val="00DF2D1B"/>
    <w:rsid w:val="00DF3300"/>
    <w:rsid w:val="00E02E86"/>
    <w:rsid w:val="00E034C4"/>
    <w:rsid w:val="00E03D53"/>
    <w:rsid w:val="00E04152"/>
    <w:rsid w:val="00E06AA2"/>
    <w:rsid w:val="00E11BAD"/>
    <w:rsid w:val="00E20C0E"/>
    <w:rsid w:val="00E22C5B"/>
    <w:rsid w:val="00E32643"/>
    <w:rsid w:val="00E4006D"/>
    <w:rsid w:val="00E4017B"/>
    <w:rsid w:val="00E411F8"/>
    <w:rsid w:val="00E43DED"/>
    <w:rsid w:val="00E46F89"/>
    <w:rsid w:val="00E47498"/>
    <w:rsid w:val="00E475EE"/>
    <w:rsid w:val="00E47DD9"/>
    <w:rsid w:val="00E506D7"/>
    <w:rsid w:val="00E50859"/>
    <w:rsid w:val="00E50DEC"/>
    <w:rsid w:val="00E5230C"/>
    <w:rsid w:val="00E54086"/>
    <w:rsid w:val="00E61A44"/>
    <w:rsid w:val="00E63021"/>
    <w:rsid w:val="00E6752D"/>
    <w:rsid w:val="00E7069E"/>
    <w:rsid w:val="00E710C6"/>
    <w:rsid w:val="00E74677"/>
    <w:rsid w:val="00E773D5"/>
    <w:rsid w:val="00E77874"/>
    <w:rsid w:val="00E80A2F"/>
    <w:rsid w:val="00E80DC6"/>
    <w:rsid w:val="00E82899"/>
    <w:rsid w:val="00E845CD"/>
    <w:rsid w:val="00E84F5A"/>
    <w:rsid w:val="00E9356F"/>
    <w:rsid w:val="00E9485E"/>
    <w:rsid w:val="00E94F5F"/>
    <w:rsid w:val="00EA1F6A"/>
    <w:rsid w:val="00EA37D5"/>
    <w:rsid w:val="00EA4C48"/>
    <w:rsid w:val="00EA53A3"/>
    <w:rsid w:val="00EA5C52"/>
    <w:rsid w:val="00EB088B"/>
    <w:rsid w:val="00EB0BD2"/>
    <w:rsid w:val="00EB0DE1"/>
    <w:rsid w:val="00EB149C"/>
    <w:rsid w:val="00EB2144"/>
    <w:rsid w:val="00EB6187"/>
    <w:rsid w:val="00EC1C11"/>
    <w:rsid w:val="00EC5C5B"/>
    <w:rsid w:val="00ED1147"/>
    <w:rsid w:val="00ED1848"/>
    <w:rsid w:val="00ED32CF"/>
    <w:rsid w:val="00ED4D02"/>
    <w:rsid w:val="00ED53B1"/>
    <w:rsid w:val="00ED793A"/>
    <w:rsid w:val="00EE3635"/>
    <w:rsid w:val="00EE44C5"/>
    <w:rsid w:val="00EE60C3"/>
    <w:rsid w:val="00EF05CE"/>
    <w:rsid w:val="00EF175F"/>
    <w:rsid w:val="00EF2DCC"/>
    <w:rsid w:val="00EF5983"/>
    <w:rsid w:val="00EF6630"/>
    <w:rsid w:val="00EF7F3F"/>
    <w:rsid w:val="00F003B6"/>
    <w:rsid w:val="00F00517"/>
    <w:rsid w:val="00F01B5E"/>
    <w:rsid w:val="00F021E3"/>
    <w:rsid w:val="00F03743"/>
    <w:rsid w:val="00F047A5"/>
    <w:rsid w:val="00F0482A"/>
    <w:rsid w:val="00F05E46"/>
    <w:rsid w:val="00F06973"/>
    <w:rsid w:val="00F12029"/>
    <w:rsid w:val="00F224D6"/>
    <w:rsid w:val="00F25751"/>
    <w:rsid w:val="00F34328"/>
    <w:rsid w:val="00F3653C"/>
    <w:rsid w:val="00F3686E"/>
    <w:rsid w:val="00F44C12"/>
    <w:rsid w:val="00F47EA8"/>
    <w:rsid w:val="00F5221A"/>
    <w:rsid w:val="00F525F8"/>
    <w:rsid w:val="00F52927"/>
    <w:rsid w:val="00F5559A"/>
    <w:rsid w:val="00F55E9D"/>
    <w:rsid w:val="00F60F69"/>
    <w:rsid w:val="00F73192"/>
    <w:rsid w:val="00F74165"/>
    <w:rsid w:val="00F77A8C"/>
    <w:rsid w:val="00F81964"/>
    <w:rsid w:val="00F822E1"/>
    <w:rsid w:val="00F8563F"/>
    <w:rsid w:val="00F85FD0"/>
    <w:rsid w:val="00F87E11"/>
    <w:rsid w:val="00F90336"/>
    <w:rsid w:val="00F9152A"/>
    <w:rsid w:val="00F91CFF"/>
    <w:rsid w:val="00F921E8"/>
    <w:rsid w:val="00F95959"/>
    <w:rsid w:val="00F965FD"/>
    <w:rsid w:val="00FA1961"/>
    <w:rsid w:val="00FA5383"/>
    <w:rsid w:val="00FA7AEE"/>
    <w:rsid w:val="00FB3419"/>
    <w:rsid w:val="00FB66A1"/>
    <w:rsid w:val="00FC699C"/>
    <w:rsid w:val="00FC6BDA"/>
    <w:rsid w:val="00FC7F3D"/>
    <w:rsid w:val="00FD21B0"/>
    <w:rsid w:val="00FD43AA"/>
    <w:rsid w:val="00FD55E6"/>
    <w:rsid w:val="00FD7272"/>
    <w:rsid w:val="00FD7888"/>
    <w:rsid w:val="00FE4FA1"/>
    <w:rsid w:val="00FE6C26"/>
    <w:rsid w:val="00FE70D4"/>
    <w:rsid w:val="00FE7538"/>
    <w:rsid w:val="00FF0A0E"/>
    <w:rsid w:val="00FF1BA2"/>
    <w:rsid w:val="00FF27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0D12"/>
    <w:rPr>
      <w:sz w:val="24"/>
      <w:szCs w:val="24"/>
    </w:rPr>
  </w:style>
  <w:style w:type="paragraph" w:styleId="Heading1">
    <w:name w:val="heading 1"/>
    <w:basedOn w:val="Normal"/>
    <w:next w:val="Normal"/>
    <w:link w:val="Heading1Char"/>
    <w:qFormat/>
    <w:rsid w:val="00A164E7"/>
    <w:pPr>
      <w:numPr>
        <w:numId w:val="15"/>
      </w:numPr>
      <w:spacing w:line="480" w:lineRule="auto"/>
      <w:ind w:left="0" w:firstLine="0"/>
      <w:jc w:val="center"/>
      <w:outlineLvl w:val="0"/>
    </w:pPr>
    <w:rPr>
      <w:b/>
    </w:rPr>
  </w:style>
  <w:style w:type="paragraph" w:styleId="Heading2">
    <w:name w:val="heading 2"/>
    <w:basedOn w:val="Normal"/>
    <w:next w:val="Normal"/>
    <w:link w:val="Heading2Char"/>
    <w:qFormat/>
    <w:rsid w:val="00BD4420"/>
    <w:pPr>
      <w:keepNext/>
      <w:spacing w:line="480" w:lineRule="auto"/>
      <w:jc w:val="center"/>
      <w:outlineLvl w:val="1"/>
    </w:pPr>
    <w:rPr>
      <w:b/>
      <w:u w:val="single"/>
    </w:rPr>
  </w:style>
  <w:style w:type="paragraph" w:styleId="Heading3">
    <w:name w:val="heading 3"/>
    <w:basedOn w:val="Normal"/>
    <w:next w:val="Normal"/>
    <w:link w:val="Heading3Char"/>
    <w:qFormat/>
    <w:rsid w:val="00A164E7"/>
    <w:pPr>
      <w:tabs>
        <w:tab w:val="left" w:pos="-1440"/>
      </w:tabs>
      <w:spacing w:line="480" w:lineRule="auto"/>
      <w:ind w:left="720" w:hanging="720"/>
      <w:outlineLvl w:val="2"/>
    </w:pPr>
    <w:rPr>
      <w:b/>
      <w:bCs/>
    </w:rPr>
  </w:style>
  <w:style w:type="paragraph" w:styleId="Heading4">
    <w:name w:val="heading 4"/>
    <w:basedOn w:val="Normal"/>
    <w:next w:val="Normal"/>
    <w:link w:val="Heading4Char"/>
    <w:qFormat/>
    <w:rsid w:val="00C14F0F"/>
    <w:pPr>
      <w:keepNext/>
      <w:spacing w:line="480" w:lineRule="auto"/>
      <w:jc w:val="center"/>
      <w:outlineLvl w:val="3"/>
    </w:pPr>
    <w:rPr>
      <w:b/>
      <w:bCs/>
    </w:rPr>
  </w:style>
  <w:style w:type="paragraph" w:styleId="Heading5">
    <w:name w:val="heading 5"/>
    <w:basedOn w:val="Normal"/>
    <w:next w:val="Normal"/>
    <w:link w:val="Heading5Char"/>
    <w:qFormat/>
    <w:rsid w:val="00176691"/>
    <w:pPr>
      <w:keepNext/>
      <w:outlineLvl w:val="4"/>
    </w:pPr>
    <w:rPr>
      <w:b/>
      <w:bCs/>
      <w:color w:val="0000FF"/>
    </w:rPr>
  </w:style>
  <w:style w:type="paragraph" w:styleId="Heading6">
    <w:name w:val="heading 6"/>
    <w:basedOn w:val="Normal"/>
    <w:next w:val="Normal"/>
    <w:link w:val="Heading6Char"/>
    <w:qFormat/>
    <w:rsid w:val="00176691"/>
    <w:pPr>
      <w:keepNext/>
      <w:jc w:val="center"/>
      <w:outlineLvl w:val="5"/>
    </w:pPr>
    <w:rPr>
      <w:b/>
      <w:bCs/>
    </w:rPr>
  </w:style>
  <w:style w:type="paragraph" w:styleId="Heading7">
    <w:name w:val="heading 7"/>
    <w:basedOn w:val="Normal"/>
    <w:next w:val="Normal"/>
    <w:link w:val="Heading7Char"/>
    <w:qFormat/>
    <w:rsid w:val="00772329"/>
    <w:pPr>
      <w:keepNext/>
      <w:spacing w:line="480" w:lineRule="auto"/>
      <w:ind w:left="720" w:hanging="720"/>
      <w:jc w:val="center"/>
      <w:outlineLvl w:val="6"/>
    </w:pPr>
    <w:rPr>
      <w:rFonts w:ascii="Palatino Linotype" w:hAnsi="Palatino Linotype"/>
      <w:b/>
      <w:bCs/>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176691"/>
  </w:style>
  <w:style w:type="character" w:customStyle="1" w:styleId="BodyTextIn">
    <w:name w:val="Body Text In"/>
    <w:rsid w:val="00176691"/>
    <w:rPr>
      <w:rFonts w:ascii="Times New Roman" w:hAnsi="Times New Roman" w:cs="Times New Roman"/>
      <w:sz w:val="24"/>
      <w:szCs w:val="24"/>
    </w:rPr>
  </w:style>
  <w:style w:type="paragraph" w:styleId="Header">
    <w:name w:val="header"/>
    <w:basedOn w:val="Normal"/>
    <w:link w:val="HeaderChar"/>
    <w:rsid w:val="00176691"/>
    <w:pPr>
      <w:tabs>
        <w:tab w:val="center" w:pos="4320"/>
        <w:tab w:val="right" w:pos="8640"/>
      </w:tabs>
    </w:pPr>
  </w:style>
  <w:style w:type="paragraph" w:styleId="Footer">
    <w:name w:val="footer"/>
    <w:basedOn w:val="Normal"/>
    <w:link w:val="FooterChar"/>
    <w:rsid w:val="00176691"/>
    <w:pPr>
      <w:tabs>
        <w:tab w:val="center" w:pos="4320"/>
        <w:tab w:val="right" w:pos="8640"/>
      </w:tabs>
    </w:pPr>
  </w:style>
  <w:style w:type="paragraph" w:styleId="BodyTextIndent">
    <w:name w:val="Body Text Indent"/>
    <w:basedOn w:val="Normal"/>
    <w:link w:val="BodyTextIndentChar"/>
    <w:rsid w:val="00176691"/>
    <w:pPr>
      <w:tabs>
        <w:tab w:val="num" w:pos="0"/>
      </w:tabs>
      <w:spacing w:line="480" w:lineRule="auto"/>
      <w:ind w:firstLine="360"/>
    </w:pPr>
  </w:style>
  <w:style w:type="paragraph" w:styleId="BodyTextIndent2">
    <w:name w:val="Body Text Indent 2"/>
    <w:basedOn w:val="Normal"/>
    <w:link w:val="BodyTextIndent2Char"/>
    <w:rsid w:val="00176691"/>
    <w:pPr>
      <w:spacing w:line="480" w:lineRule="auto"/>
      <w:ind w:left="720" w:hanging="360"/>
    </w:pPr>
  </w:style>
  <w:style w:type="character" w:customStyle="1" w:styleId="QAAnswer">
    <w:name w:val="Q&amp;AAnswer"/>
    <w:rsid w:val="00176691"/>
  </w:style>
  <w:style w:type="paragraph" w:styleId="BodyTextIndent3">
    <w:name w:val="Body Text Indent 3"/>
    <w:basedOn w:val="Normal"/>
    <w:link w:val="BodyTextIndent3Char"/>
    <w:rsid w:val="00176691"/>
    <w:pPr>
      <w:tabs>
        <w:tab w:val="num" w:pos="0"/>
      </w:tabs>
      <w:spacing w:line="480" w:lineRule="auto"/>
      <w:ind w:left="720" w:firstLine="360"/>
    </w:pPr>
  </w:style>
  <w:style w:type="paragraph" w:styleId="BlockText">
    <w:name w:val="Block Text"/>
    <w:basedOn w:val="Normal"/>
    <w:rsid w:val="00176691"/>
    <w:pPr>
      <w:spacing w:line="480" w:lineRule="auto"/>
      <w:ind w:left="2160" w:right="1440"/>
    </w:pPr>
  </w:style>
  <w:style w:type="character" w:styleId="PageNumber">
    <w:name w:val="page number"/>
    <w:basedOn w:val="DefaultParagraphFont"/>
    <w:rsid w:val="00176691"/>
  </w:style>
  <w:style w:type="character" w:styleId="Hyperlink">
    <w:name w:val="Hyperlink"/>
    <w:basedOn w:val="DefaultParagraphFont"/>
    <w:rsid w:val="00176691"/>
    <w:rPr>
      <w:color w:val="0000FF"/>
      <w:u w:val="single"/>
    </w:rPr>
  </w:style>
  <w:style w:type="character" w:styleId="FollowedHyperlink">
    <w:name w:val="FollowedHyperlink"/>
    <w:basedOn w:val="DefaultParagraphFont"/>
    <w:rsid w:val="00176691"/>
    <w:rPr>
      <w:color w:val="800080"/>
      <w:u w:val="single"/>
    </w:rPr>
  </w:style>
  <w:style w:type="paragraph" w:styleId="FootnoteText">
    <w:name w:val="footnote text"/>
    <w:aliases w:val="ALTS FOOTNOTE"/>
    <w:basedOn w:val="Normal"/>
    <w:link w:val="FootnoteTextChar"/>
    <w:rsid w:val="00050D12"/>
    <w:rPr>
      <w:sz w:val="22"/>
      <w:szCs w:val="20"/>
    </w:rPr>
  </w:style>
  <w:style w:type="character" w:styleId="FootnoteReference">
    <w:name w:val="footnote reference"/>
    <w:basedOn w:val="DefaultParagraphFont"/>
    <w:rsid w:val="00176691"/>
    <w:rPr>
      <w:vertAlign w:val="superscript"/>
    </w:rPr>
  </w:style>
  <w:style w:type="paragraph" w:customStyle="1" w:styleId="QUESTION">
    <w:name w:val="QUESTION"/>
    <w:basedOn w:val="Normal"/>
    <w:rsid w:val="0017669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360" w:line="480" w:lineRule="auto"/>
      <w:ind w:left="720" w:right="187" w:hanging="720"/>
    </w:pPr>
    <w:rPr>
      <w:b/>
      <w:caps/>
      <w:szCs w:val="20"/>
    </w:rPr>
  </w:style>
  <w:style w:type="paragraph" w:customStyle="1" w:styleId="Answer">
    <w:name w:val="Answer"/>
    <w:basedOn w:val="Normal"/>
    <w:rsid w:val="00176691"/>
    <w:pPr>
      <w:spacing w:after="360" w:line="480" w:lineRule="auto"/>
      <w:ind w:left="720" w:hanging="720"/>
      <w:jc w:val="both"/>
    </w:pPr>
    <w:rPr>
      <w:szCs w:val="20"/>
    </w:rPr>
  </w:style>
  <w:style w:type="paragraph" w:styleId="BodyText">
    <w:name w:val="Body Text"/>
    <w:basedOn w:val="Normal"/>
    <w:link w:val="BodyTextChar"/>
    <w:rsid w:val="00176691"/>
    <w:pPr>
      <w:spacing w:line="480" w:lineRule="auto"/>
    </w:pPr>
    <w:rPr>
      <w:b/>
    </w:rPr>
  </w:style>
  <w:style w:type="paragraph" w:styleId="BalloonText">
    <w:name w:val="Balloon Text"/>
    <w:basedOn w:val="Normal"/>
    <w:link w:val="BalloonTextChar"/>
    <w:semiHidden/>
    <w:rsid w:val="00176691"/>
    <w:rPr>
      <w:rFonts w:ascii="Tahoma" w:hAnsi="Tahoma" w:cs="Tahoma"/>
      <w:sz w:val="16"/>
      <w:szCs w:val="16"/>
    </w:rPr>
  </w:style>
  <w:style w:type="paragraph" w:styleId="PlainText">
    <w:name w:val="Plain Text"/>
    <w:basedOn w:val="Normal"/>
    <w:rsid w:val="00176691"/>
    <w:rPr>
      <w:rFonts w:ascii="Courier New" w:hAnsi="Courier New" w:cs="Courier New"/>
      <w:sz w:val="20"/>
      <w:szCs w:val="20"/>
    </w:rPr>
  </w:style>
  <w:style w:type="character" w:styleId="CommentReference">
    <w:name w:val="annotation reference"/>
    <w:basedOn w:val="DefaultParagraphFont"/>
    <w:semiHidden/>
    <w:rsid w:val="00176691"/>
    <w:rPr>
      <w:sz w:val="16"/>
    </w:rPr>
  </w:style>
  <w:style w:type="paragraph" w:styleId="CommentText">
    <w:name w:val="annotation text"/>
    <w:basedOn w:val="Normal"/>
    <w:link w:val="CommentTextChar"/>
    <w:semiHidden/>
    <w:rsid w:val="00176691"/>
    <w:rPr>
      <w:sz w:val="20"/>
    </w:rPr>
  </w:style>
  <w:style w:type="paragraph" w:styleId="CommentSubject">
    <w:name w:val="annotation subject"/>
    <w:basedOn w:val="CommentText"/>
    <w:next w:val="CommentText"/>
    <w:link w:val="CommentSubjectChar"/>
    <w:rsid w:val="00E4006D"/>
    <w:rPr>
      <w:b/>
      <w:bCs/>
      <w:szCs w:val="20"/>
    </w:rPr>
  </w:style>
  <w:style w:type="character" w:customStyle="1" w:styleId="CommentTextChar">
    <w:name w:val="Comment Text Char"/>
    <w:basedOn w:val="DefaultParagraphFont"/>
    <w:link w:val="CommentText"/>
    <w:semiHidden/>
    <w:rsid w:val="00E4006D"/>
    <w:rPr>
      <w:rFonts w:ascii="Palatino Linotype" w:hAnsi="Palatino Linotype"/>
      <w:szCs w:val="24"/>
    </w:rPr>
  </w:style>
  <w:style w:type="character" w:customStyle="1" w:styleId="CommentSubjectChar">
    <w:name w:val="Comment Subject Char"/>
    <w:basedOn w:val="CommentTextChar"/>
    <w:link w:val="CommentSubject"/>
    <w:rsid w:val="00E4006D"/>
  </w:style>
  <w:style w:type="paragraph" w:styleId="Title">
    <w:name w:val="Title"/>
    <w:basedOn w:val="Normal"/>
    <w:link w:val="TitleChar"/>
    <w:qFormat/>
    <w:rsid w:val="00AF047B"/>
    <w:pPr>
      <w:jc w:val="center"/>
    </w:pPr>
    <w:rPr>
      <w:b/>
      <w:bCs/>
    </w:rPr>
  </w:style>
  <w:style w:type="character" w:customStyle="1" w:styleId="TitleChar">
    <w:name w:val="Title Char"/>
    <w:basedOn w:val="DefaultParagraphFont"/>
    <w:link w:val="Title"/>
    <w:rsid w:val="00AF047B"/>
    <w:rPr>
      <w:rFonts w:ascii="Palatino Linotype" w:hAnsi="Palatino Linotype"/>
      <w:b/>
      <w:bCs/>
      <w:sz w:val="24"/>
      <w:szCs w:val="24"/>
    </w:rPr>
  </w:style>
  <w:style w:type="character" w:customStyle="1" w:styleId="BodyTextIndent2Char">
    <w:name w:val="Body Text Indent 2 Char"/>
    <w:basedOn w:val="DefaultParagraphFont"/>
    <w:link w:val="BodyTextIndent2"/>
    <w:rsid w:val="00627B74"/>
    <w:rPr>
      <w:rFonts w:ascii="Palatino Linotype" w:hAnsi="Palatino Linotype"/>
      <w:sz w:val="24"/>
      <w:szCs w:val="24"/>
    </w:rPr>
  </w:style>
  <w:style w:type="character" w:customStyle="1" w:styleId="FootnoteTextChar">
    <w:name w:val="Footnote Text Char"/>
    <w:aliases w:val="ALTS FOOTNOTE Char"/>
    <w:basedOn w:val="DefaultParagraphFont"/>
    <w:link w:val="FootnoteText"/>
    <w:rsid w:val="00050D12"/>
    <w:rPr>
      <w:sz w:val="22"/>
    </w:rPr>
  </w:style>
  <w:style w:type="paragraph" w:customStyle="1" w:styleId="P106">
    <w:name w:val="P106"/>
    <w:basedOn w:val="Normal"/>
    <w:hidden/>
    <w:rsid w:val="00627B74"/>
    <w:pPr>
      <w:widowControl w:val="0"/>
      <w:tabs>
        <w:tab w:val="left" w:pos="810"/>
        <w:tab w:val="left" w:pos="1440"/>
      </w:tabs>
      <w:autoSpaceDE w:val="0"/>
      <w:autoSpaceDN w:val="0"/>
      <w:adjustRightInd w:val="0"/>
      <w:spacing w:line="480" w:lineRule="auto"/>
      <w:ind w:firstLine="720"/>
    </w:pPr>
    <w:rPr>
      <w:rFonts w:ascii="Courier" w:hAnsi="Courier" w:cs="Courier"/>
      <w:szCs w:val="20"/>
    </w:rPr>
  </w:style>
  <w:style w:type="paragraph" w:customStyle="1" w:styleId="P31">
    <w:name w:val="P31"/>
    <w:basedOn w:val="Normal"/>
    <w:hidden/>
    <w:rsid w:val="00627B74"/>
    <w:pPr>
      <w:widowControl w:val="0"/>
      <w:tabs>
        <w:tab w:val="left" w:pos="810"/>
        <w:tab w:val="left" w:pos="1440"/>
      </w:tabs>
      <w:autoSpaceDE w:val="0"/>
      <w:autoSpaceDN w:val="0"/>
      <w:adjustRightInd w:val="0"/>
      <w:spacing w:line="480" w:lineRule="auto"/>
      <w:ind w:firstLine="720"/>
    </w:pPr>
    <w:rPr>
      <w:rFonts w:ascii="Courier" w:hAnsi="Courier" w:cs="Courier"/>
      <w:szCs w:val="20"/>
    </w:rPr>
  </w:style>
  <w:style w:type="character" w:customStyle="1" w:styleId="T11">
    <w:name w:val="T11"/>
    <w:hidden/>
    <w:rsid w:val="00627B74"/>
    <w:rPr>
      <w:b/>
    </w:rPr>
  </w:style>
  <w:style w:type="paragraph" w:customStyle="1" w:styleId="P25">
    <w:name w:val="P25"/>
    <w:basedOn w:val="Normal"/>
    <w:hidden/>
    <w:rsid w:val="00627B74"/>
    <w:pPr>
      <w:widowControl w:val="0"/>
      <w:tabs>
        <w:tab w:val="left" w:pos="810"/>
        <w:tab w:val="left" w:pos="1440"/>
      </w:tabs>
      <w:autoSpaceDE w:val="0"/>
      <w:autoSpaceDN w:val="0"/>
      <w:adjustRightInd w:val="0"/>
      <w:spacing w:line="480" w:lineRule="auto"/>
    </w:pPr>
    <w:rPr>
      <w:rFonts w:ascii="Courier" w:hAnsi="Courier" w:cs="Courier"/>
      <w:b/>
      <w:szCs w:val="20"/>
      <w:u w:val="single"/>
    </w:rPr>
  </w:style>
  <w:style w:type="paragraph" w:customStyle="1" w:styleId="P47">
    <w:name w:val="P47"/>
    <w:basedOn w:val="Normal"/>
    <w:hidden/>
    <w:rsid w:val="00627B74"/>
    <w:pPr>
      <w:widowControl w:val="0"/>
      <w:tabs>
        <w:tab w:val="left" w:pos="810"/>
        <w:tab w:val="left" w:pos="1440"/>
      </w:tabs>
      <w:autoSpaceDE w:val="0"/>
      <w:autoSpaceDN w:val="0"/>
      <w:adjustRightInd w:val="0"/>
      <w:ind w:firstLine="720"/>
    </w:pPr>
    <w:rPr>
      <w:rFonts w:ascii="Courier" w:hAnsi="Courier" w:cs="Courier"/>
      <w:szCs w:val="20"/>
    </w:rPr>
  </w:style>
  <w:style w:type="paragraph" w:customStyle="1" w:styleId="P84">
    <w:name w:val="P84"/>
    <w:basedOn w:val="Normal"/>
    <w:hidden/>
    <w:rsid w:val="00627B74"/>
    <w:pPr>
      <w:widowControl w:val="0"/>
      <w:tabs>
        <w:tab w:val="left" w:pos="90"/>
        <w:tab w:val="left" w:pos="720"/>
      </w:tabs>
      <w:autoSpaceDE w:val="0"/>
      <w:autoSpaceDN w:val="0"/>
      <w:adjustRightInd w:val="0"/>
      <w:spacing w:line="480" w:lineRule="auto"/>
      <w:ind w:left="720"/>
    </w:pPr>
    <w:rPr>
      <w:rFonts w:ascii="Courier" w:hAnsi="Courier" w:cs="Courier"/>
      <w:b/>
      <w:szCs w:val="20"/>
    </w:rPr>
  </w:style>
  <w:style w:type="paragraph" w:customStyle="1" w:styleId="P85">
    <w:name w:val="P85"/>
    <w:basedOn w:val="Normal"/>
    <w:hidden/>
    <w:rsid w:val="00627B74"/>
    <w:pPr>
      <w:widowControl w:val="0"/>
      <w:tabs>
        <w:tab w:val="left" w:pos="810"/>
        <w:tab w:val="left" w:pos="1440"/>
      </w:tabs>
      <w:autoSpaceDE w:val="0"/>
      <w:autoSpaceDN w:val="0"/>
      <w:adjustRightInd w:val="0"/>
      <w:spacing w:line="480" w:lineRule="auto"/>
    </w:pPr>
    <w:rPr>
      <w:rFonts w:ascii="Courier" w:hAnsi="Courier" w:cs="Courier"/>
      <w:szCs w:val="20"/>
    </w:rPr>
  </w:style>
  <w:style w:type="paragraph" w:customStyle="1" w:styleId="P101">
    <w:name w:val="P101"/>
    <w:basedOn w:val="Normal"/>
    <w:hidden/>
    <w:rsid w:val="00627B74"/>
    <w:pPr>
      <w:widowControl w:val="0"/>
      <w:tabs>
        <w:tab w:val="left" w:pos="810"/>
        <w:tab w:val="left" w:pos="1440"/>
      </w:tabs>
      <w:autoSpaceDE w:val="0"/>
      <w:autoSpaceDN w:val="0"/>
      <w:adjustRightInd w:val="0"/>
    </w:pPr>
    <w:rPr>
      <w:rFonts w:ascii="Courier" w:hAnsi="Courier" w:cs="Courier"/>
      <w:szCs w:val="20"/>
    </w:rPr>
  </w:style>
  <w:style w:type="character" w:customStyle="1" w:styleId="T5">
    <w:name w:val="T5"/>
    <w:hidden/>
    <w:rsid w:val="00627B74"/>
    <w:rPr>
      <w:u w:val="single"/>
    </w:rPr>
  </w:style>
  <w:style w:type="paragraph" w:customStyle="1" w:styleId="P126">
    <w:name w:val="P126"/>
    <w:basedOn w:val="Normal"/>
    <w:hidden/>
    <w:rsid w:val="00627B74"/>
    <w:pPr>
      <w:widowControl w:val="0"/>
      <w:tabs>
        <w:tab w:val="left" w:pos="810"/>
      </w:tabs>
      <w:autoSpaceDE w:val="0"/>
      <w:autoSpaceDN w:val="0"/>
      <w:adjustRightInd w:val="0"/>
      <w:spacing w:line="480" w:lineRule="auto"/>
    </w:pPr>
    <w:rPr>
      <w:rFonts w:ascii="Courier" w:hAnsi="Courier" w:cs="Courier"/>
      <w:szCs w:val="20"/>
    </w:rPr>
  </w:style>
  <w:style w:type="paragraph" w:customStyle="1" w:styleId="P165">
    <w:name w:val="P165"/>
    <w:basedOn w:val="Normal"/>
    <w:hidden/>
    <w:rsid w:val="00627B74"/>
    <w:pPr>
      <w:widowControl w:val="0"/>
      <w:tabs>
        <w:tab w:val="left" w:pos="3600"/>
      </w:tabs>
      <w:autoSpaceDE w:val="0"/>
      <w:autoSpaceDN w:val="0"/>
      <w:adjustRightInd w:val="0"/>
      <w:spacing w:line="480" w:lineRule="auto"/>
      <w:ind w:left="720"/>
    </w:pPr>
    <w:rPr>
      <w:rFonts w:ascii="Courier" w:hAnsi="Courier" w:cs="Courier"/>
      <w:szCs w:val="20"/>
    </w:rPr>
  </w:style>
  <w:style w:type="paragraph" w:customStyle="1" w:styleId="P190">
    <w:name w:val="P190"/>
    <w:basedOn w:val="Normal"/>
    <w:hidden/>
    <w:rsid w:val="00627B74"/>
    <w:pPr>
      <w:widowControl w:val="0"/>
      <w:tabs>
        <w:tab w:val="left" w:pos="810"/>
        <w:tab w:val="left" w:pos="1440"/>
      </w:tabs>
      <w:autoSpaceDE w:val="0"/>
      <w:autoSpaceDN w:val="0"/>
      <w:adjustRightInd w:val="0"/>
      <w:spacing w:line="480" w:lineRule="auto"/>
      <w:ind w:firstLine="720"/>
    </w:pPr>
    <w:rPr>
      <w:rFonts w:ascii="Courier" w:hAnsi="Courier" w:cs="Courier"/>
      <w:szCs w:val="20"/>
    </w:rPr>
  </w:style>
  <w:style w:type="paragraph" w:customStyle="1" w:styleId="P233">
    <w:name w:val="P233"/>
    <w:basedOn w:val="Normal"/>
    <w:hidden/>
    <w:rsid w:val="00627B74"/>
    <w:pPr>
      <w:widowControl w:val="0"/>
      <w:tabs>
        <w:tab w:val="left" w:pos="810"/>
        <w:tab w:val="left" w:pos="1080"/>
        <w:tab w:val="left" w:pos="1440"/>
        <w:tab w:val="left" w:pos="1880"/>
        <w:tab w:val="left" w:pos="7291"/>
        <w:tab w:val="right" w:pos="8550"/>
      </w:tabs>
      <w:autoSpaceDE w:val="0"/>
      <w:autoSpaceDN w:val="0"/>
      <w:adjustRightInd w:val="0"/>
      <w:spacing w:line="480" w:lineRule="auto"/>
      <w:ind w:firstLine="720"/>
    </w:pPr>
    <w:rPr>
      <w:rFonts w:ascii="Courier" w:hAnsi="Courier" w:cs="Courier"/>
      <w:sz w:val="22"/>
      <w:szCs w:val="20"/>
    </w:rPr>
  </w:style>
  <w:style w:type="paragraph" w:customStyle="1" w:styleId="P234">
    <w:name w:val="P234"/>
    <w:basedOn w:val="Normal"/>
    <w:hidden/>
    <w:rsid w:val="00627B74"/>
    <w:pPr>
      <w:widowControl w:val="0"/>
      <w:tabs>
        <w:tab w:val="left" w:pos="810"/>
        <w:tab w:val="left" w:pos="1080"/>
        <w:tab w:val="left" w:pos="1440"/>
        <w:tab w:val="left" w:pos="1880"/>
        <w:tab w:val="left" w:pos="2520"/>
        <w:tab w:val="left" w:pos="7291"/>
        <w:tab w:val="right" w:pos="8550"/>
      </w:tabs>
      <w:autoSpaceDE w:val="0"/>
      <w:autoSpaceDN w:val="0"/>
      <w:adjustRightInd w:val="0"/>
      <w:spacing w:line="480" w:lineRule="auto"/>
      <w:ind w:firstLine="720"/>
    </w:pPr>
    <w:rPr>
      <w:rFonts w:ascii="Courier" w:hAnsi="Courier" w:cs="Courier"/>
      <w:sz w:val="22"/>
      <w:szCs w:val="20"/>
    </w:rPr>
  </w:style>
  <w:style w:type="paragraph" w:customStyle="1" w:styleId="P249">
    <w:name w:val="P249"/>
    <w:basedOn w:val="Normal"/>
    <w:hidden/>
    <w:rsid w:val="00627B74"/>
    <w:pPr>
      <w:widowControl w:val="0"/>
      <w:tabs>
        <w:tab w:val="left" w:pos="810"/>
        <w:tab w:val="left" w:pos="1440"/>
      </w:tabs>
      <w:autoSpaceDE w:val="0"/>
      <w:autoSpaceDN w:val="0"/>
      <w:adjustRightInd w:val="0"/>
      <w:spacing w:line="480" w:lineRule="auto"/>
    </w:pPr>
    <w:rPr>
      <w:rFonts w:ascii="Courier" w:hAnsi="Courier" w:cs="Courier"/>
      <w:szCs w:val="20"/>
    </w:rPr>
  </w:style>
  <w:style w:type="paragraph" w:customStyle="1" w:styleId="P258">
    <w:name w:val="P258"/>
    <w:basedOn w:val="Normal"/>
    <w:hidden/>
    <w:rsid w:val="00627B74"/>
    <w:pPr>
      <w:widowControl w:val="0"/>
      <w:tabs>
        <w:tab w:val="left" w:pos="720"/>
      </w:tabs>
      <w:autoSpaceDE w:val="0"/>
      <w:autoSpaceDN w:val="0"/>
      <w:adjustRightInd w:val="0"/>
      <w:spacing w:line="480" w:lineRule="auto"/>
      <w:ind w:left="720"/>
    </w:pPr>
    <w:rPr>
      <w:rFonts w:ascii="Courier" w:hAnsi="Courier" w:cs="Courier"/>
      <w:b/>
      <w:szCs w:val="20"/>
    </w:rPr>
  </w:style>
  <w:style w:type="paragraph" w:customStyle="1" w:styleId="P266">
    <w:name w:val="P266"/>
    <w:basedOn w:val="Normal"/>
    <w:hidden/>
    <w:rsid w:val="00627B74"/>
    <w:pPr>
      <w:widowControl w:val="0"/>
      <w:tabs>
        <w:tab w:val="left" w:pos="720"/>
        <w:tab w:val="left" w:pos="810"/>
        <w:tab w:val="left" w:pos="1440"/>
        <w:tab w:val="center" w:pos="5040"/>
        <w:tab w:val="center" w:pos="6480"/>
        <w:tab w:val="center" w:pos="7920"/>
      </w:tabs>
      <w:autoSpaceDE w:val="0"/>
      <w:autoSpaceDN w:val="0"/>
      <w:adjustRightInd w:val="0"/>
      <w:spacing w:line="480" w:lineRule="auto"/>
    </w:pPr>
    <w:rPr>
      <w:rFonts w:ascii="Courier" w:hAnsi="Courier" w:cs="Courier"/>
      <w:b/>
      <w:szCs w:val="20"/>
      <w:u w:val="single"/>
    </w:rPr>
  </w:style>
  <w:style w:type="paragraph" w:customStyle="1" w:styleId="P270">
    <w:name w:val="P270"/>
    <w:basedOn w:val="Normal"/>
    <w:hidden/>
    <w:rsid w:val="00627B74"/>
    <w:pPr>
      <w:widowControl w:val="0"/>
      <w:tabs>
        <w:tab w:val="left" w:pos="-2970"/>
        <w:tab w:val="left" w:pos="90"/>
        <w:tab w:val="left" w:pos="720"/>
        <w:tab w:val="center" w:pos="4320"/>
        <w:tab w:val="center" w:pos="5040"/>
        <w:tab w:val="center" w:pos="5760"/>
        <w:tab w:val="center" w:pos="6480"/>
        <w:tab w:val="center" w:pos="7200"/>
        <w:tab w:val="center" w:pos="7920"/>
      </w:tabs>
      <w:autoSpaceDE w:val="0"/>
      <w:autoSpaceDN w:val="0"/>
      <w:adjustRightInd w:val="0"/>
      <w:spacing w:line="480" w:lineRule="auto"/>
      <w:ind w:left="720"/>
    </w:pPr>
    <w:rPr>
      <w:rFonts w:ascii="Courier" w:hAnsi="Courier" w:cs="Courier"/>
      <w:b/>
      <w:szCs w:val="20"/>
    </w:rPr>
  </w:style>
  <w:style w:type="numbering" w:customStyle="1" w:styleId="RTF5fNum2019">
    <w:name w:val="RTF_5f_Num_20_19"/>
    <w:rsid w:val="00627B74"/>
    <w:pPr>
      <w:numPr>
        <w:numId w:val="17"/>
      </w:numPr>
    </w:pPr>
  </w:style>
  <w:style w:type="paragraph" w:customStyle="1" w:styleId="P24">
    <w:name w:val="P24"/>
    <w:basedOn w:val="Normal"/>
    <w:hidden/>
    <w:rsid w:val="00627B74"/>
    <w:pPr>
      <w:widowControl w:val="0"/>
      <w:tabs>
        <w:tab w:val="left" w:pos="810"/>
      </w:tabs>
      <w:autoSpaceDE w:val="0"/>
      <w:autoSpaceDN w:val="0"/>
      <w:adjustRightInd w:val="0"/>
    </w:pPr>
    <w:rPr>
      <w:rFonts w:ascii="Courier" w:hAnsi="Courier" w:cs="Courier"/>
      <w:szCs w:val="20"/>
    </w:rPr>
  </w:style>
  <w:style w:type="paragraph" w:customStyle="1" w:styleId="P161">
    <w:name w:val="P161"/>
    <w:basedOn w:val="Normal"/>
    <w:hidden/>
    <w:rsid w:val="00627B74"/>
    <w:pPr>
      <w:widowControl w:val="0"/>
      <w:tabs>
        <w:tab w:val="left" w:pos="90"/>
        <w:tab w:val="left" w:pos="720"/>
      </w:tabs>
      <w:autoSpaceDE w:val="0"/>
      <w:autoSpaceDN w:val="0"/>
      <w:adjustRightInd w:val="0"/>
      <w:spacing w:line="480" w:lineRule="auto"/>
      <w:ind w:left="720"/>
    </w:pPr>
    <w:rPr>
      <w:rFonts w:ascii="Courier" w:hAnsi="Courier" w:cs="Courier"/>
      <w:szCs w:val="20"/>
    </w:rPr>
  </w:style>
  <w:style w:type="numbering" w:customStyle="1" w:styleId="RTF5fNum2048">
    <w:name w:val="RTF_5f_Num_20_48"/>
    <w:rsid w:val="00627B74"/>
    <w:pPr>
      <w:numPr>
        <w:numId w:val="18"/>
      </w:numPr>
    </w:pPr>
  </w:style>
  <w:style w:type="paragraph" w:customStyle="1" w:styleId="P252">
    <w:name w:val="P252"/>
    <w:basedOn w:val="Normal"/>
    <w:hidden/>
    <w:rsid w:val="00627B74"/>
    <w:pPr>
      <w:widowControl w:val="0"/>
      <w:tabs>
        <w:tab w:val="left" w:pos="810"/>
        <w:tab w:val="left" w:pos="1440"/>
        <w:tab w:val="left" w:pos="4230"/>
        <w:tab w:val="left" w:pos="5760"/>
      </w:tabs>
      <w:autoSpaceDE w:val="0"/>
      <w:autoSpaceDN w:val="0"/>
      <w:adjustRightInd w:val="0"/>
      <w:spacing w:line="480" w:lineRule="auto"/>
    </w:pPr>
    <w:rPr>
      <w:rFonts w:ascii="Courier" w:hAnsi="Courier" w:cs="Courier"/>
      <w:b/>
      <w:szCs w:val="20"/>
      <w:u w:val="single"/>
    </w:rPr>
  </w:style>
  <w:style w:type="paragraph" w:customStyle="1" w:styleId="P117">
    <w:name w:val="P117"/>
    <w:basedOn w:val="Normal"/>
    <w:hidden/>
    <w:rsid w:val="00627B74"/>
    <w:pPr>
      <w:widowControl w:val="0"/>
      <w:tabs>
        <w:tab w:val="left" w:pos="1440"/>
      </w:tabs>
      <w:autoSpaceDE w:val="0"/>
      <w:autoSpaceDN w:val="0"/>
      <w:adjustRightInd w:val="0"/>
      <w:spacing w:line="480" w:lineRule="auto"/>
      <w:ind w:firstLine="720"/>
    </w:pPr>
    <w:rPr>
      <w:rFonts w:ascii="Courier" w:hAnsi="Courier" w:cs="Courier"/>
      <w:szCs w:val="20"/>
    </w:rPr>
  </w:style>
  <w:style w:type="paragraph" w:customStyle="1" w:styleId="P130">
    <w:name w:val="P130"/>
    <w:basedOn w:val="Normal"/>
    <w:hidden/>
    <w:rsid w:val="00627B74"/>
    <w:pPr>
      <w:widowControl w:val="0"/>
      <w:tabs>
        <w:tab w:val="left" w:pos="629"/>
        <w:tab w:val="left" w:pos="720"/>
      </w:tabs>
      <w:autoSpaceDE w:val="0"/>
      <w:autoSpaceDN w:val="0"/>
      <w:adjustRightInd w:val="0"/>
      <w:spacing w:line="480" w:lineRule="auto"/>
      <w:ind w:left="720"/>
    </w:pPr>
    <w:rPr>
      <w:rFonts w:ascii="Courier" w:hAnsi="Courier" w:cs="Courier"/>
      <w:b/>
      <w:szCs w:val="20"/>
    </w:rPr>
  </w:style>
  <w:style w:type="paragraph" w:customStyle="1" w:styleId="TestBody">
    <w:name w:val="Test Body"/>
    <w:rsid w:val="00627B74"/>
    <w:pPr>
      <w:autoSpaceDE w:val="0"/>
      <w:autoSpaceDN w:val="0"/>
      <w:spacing w:line="480" w:lineRule="atLeast"/>
      <w:ind w:left="720" w:firstLine="1440"/>
      <w:jc w:val="both"/>
    </w:pPr>
    <w:rPr>
      <w:rFonts w:ascii="Palatino" w:hAnsi="Palatino" w:cs="Palatino"/>
      <w:sz w:val="24"/>
      <w:szCs w:val="24"/>
    </w:rPr>
  </w:style>
  <w:style w:type="paragraph" w:customStyle="1" w:styleId="P214">
    <w:name w:val="P214"/>
    <w:basedOn w:val="Normal"/>
    <w:hidden/>
    <w:rsid w:val="00627B74"/>
    <w:pPr>
      <w:widowControl w:val="0"/>
      <w:tabs>
        <w:tab w:val="left" w:pos="810"/>
        <w:tab w:val="left" w:pos="1440"/>
        <w:tab w:val="left" w:pos="2520"/>
      </w:tabs>
      <w:autoSpaceDE w:val="0"/>
      <w:autoSpaceDN w:val="0"/>
      <w:adjustRightInd w:val="0"/>
      <w:spacing w:line="480" w:lineRule="auto"/>
      <w:ind w:firstLine="720"/>
    </w:pPr>
    <w:rPr>
      <w:rFonts w:ascii="Courier" w:hAnsi="Courier" w:cs="Courier"/>
      <w:szCs w:val="20"/>
    </w:rPr>
  </w:style>
  <w:style w:type="paragraph" w:customStyle="1" w:styleId="P128">
    <w:name w:val="P128"/>
    <w:basedOn w:val="Normal"/>
    <w:hidden/>
    <w:rsid w:val="00627B74"/>
    <w:pPr>
      <w:widowControl w:val="0"/>
      <w:tabs>
        <w:tab w:val="left" w:pos="0"/>
        <w:tab w:val="left" w:pos="90"/>
        <w:tab w:val="left" w:pos="720"/>
      </w:tabs>
      <w:autoSpaceDE w:val="0"/>
      <w:autoSpaceDN w:val="0"/>
      <w:adjustRightInd w:val="0"/>
      <w:spacing w:line="480" w:lineRule="auto"/>
      <w:ind w:left="720" w:hanging="720"/>
    </w:pPr>
    <w:rPr>
      <w:rFonts w:ascii="Courier" w:hAnsi="Courier" w:cs="Courier"/>
      <w:b/>
      <w:szCs w:val="20"/>
    </w:rPr>
  </w:style>
  <w:style w:type="paragraph" w:styleId="ListParagraph">
    <w:name w:val="List Paragraph"/>
    <w:basedOn w:val="Normal"/>
    <w:uiPriority w:val="34"/>
    <w:qFormat/>
    <w:rsid w:val="009A53E2"/>
    <w:pPr>
      <w:ind w:left="720"/>
    </w:pPr>
  </w:style>
  <w:style w:type="paragraph" w:styleId="TOCHeading">
    <w:name w:val="TOC Heading"/>
    <w:basedOn w:val="Heading1"/>
    <w:next w:val="Normal"/>
    <w:uiPriority w:val="39"/>
    <w:semiHidden/>
    <w:unhideWhenUsed/>
    <w:qFormat/>
    <w:rsid w:val="00361B78"/>
    <w:pPr>
      <w:keepNext/>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TOC3">
    <w:name w:val="toc 3"/>
    <w:basedOn w:val="Normal"/>
    <w:next w:val="Normal"/>
    <w:autoRedefine/>
    <w:uiPriority w:val="39"/>
    <w:rsid w:val="00361B78"/>
    <w:pPr>
      <w:spacing w:after="100"/>
      <w:ind w:left="480"/>
    </w:pPr>
  </w:style>
  <w:style w:type="paragraph" w:styleId="TOC1">
    <w:name w:val="toc 1"/>
    <w:basedOn w:val="Normal"/>
    <w:next w:val="Normal"/>
    <w:autoRedefine/>
    <w:uiPriority w:val="39"/>
    <w:rsid w:val="00361B78"/>
    <w:pPr>
      <w:spacing w:after="100"/>
    </w:pPr>
  </w:style>
  <w:style w:type="paragraph" w:styleId="TOC2">
    <w:name w:val="toc 2"/>
    <w:basedOn w:val="Normal"/>
    <w:next w:val="Normal"/>
    <w:autoRedefine/>
    <w:uiPriority w:val="39"/>
    <w:rsid w:val="000B7B28"/>
    <w:pPr>
      <w:tabs>
        <w:tab w:val="left" w:pos="1440"/>
        <w:tab w:val="right" w:leader="dot" w:pos="8918"/>
      </w:tabs>
      <w:spacing w:after="100"/>
      <w:ind w:left="720"/>
    </w:pPr>
  </w:style>
  <w:style w:type="table" w:customStyle="1" w:styleId="LightShading1">
    <w:name w:val="Light Shading1"/>
    <w:basedOn w:val="TableNormal"/>
    <w:uiPriority w:val="60"/>
    <w:rsid w:val="00A214C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6A7266"/>
    <w:rPr>
      <w:sz w:val="24"/>
      <w:szCs w:val="24"/>
    </w:rPr>
  </w:style>
  <w:style w:type="character" w:customStyle="1" w:styleId="Heading7Char">
    <w:name w:val="Heading 7 Char"/>
    <w:basedOn w:val="DefaultParagraphFont"/>
    <w:link w:val="Heading7"/>
    <w:rsid w:val="00772329"/>
    <w:rPr>
      <w:rFonts w:ascii="Palatino Linotype" w:hAnsi="Palatino Linotype"/>
      <w:b/>
      <w:bCs/>
      <w:kern w:val="24"/>
      <w:sz w:val="24"/>
      <w:szCs w:val="24"/>
    </w:rPr>
  </w:style>
  <w:style w:type="character" w:customStyle="1" w:styleId="Heading1Char">
    <w:name w:val="Heading 1 Char"/>
    <w:basedOn w:val="DefaultParagraphFont"/>
    <w:link w:val="Heading1"/>
    <w:rsid w:val="00772329"/>
    <w:rPr>
      <w:b/>
      <w:sz w:val="24"/>
      <w:szCs w:val="24"/>
    </w:rPr>
  </w:style>
  <w:style w:type="character" w:customStyle="1" w:styleId="Heading2Char">
    <w:name w:val="Heading 2 Char"/>
    <w:basedOn w:val="DefaultParagraphFont"/>
    <w:link w:val="Heading2"/>
    <w:rsid w:val="00772329"/>
    <w:rPr>
      <w:b/>
      <w:sz w:val="24"/>
      <w:szCs w:val="24"/>
      <w:u w:val="single"/>
    </w:rPr>
  </w:style>
  <w:style w:type="character" w:customStyle="1" w:styleId="Heading3Char">
    <w:name w:val="Heading 3 Char"/>
    <w:basedOn w:val="DefaultParagraphFont"/>
    <w:link w:val="Heading3"/>
    <w:rsid w:val="00772329"/>
    <w:rPr>
      <w:b/>
      <w:bCs/>
      <w:sz w:val="24"/>
      <w:szCs w:val="24"/>
    </w:rPr>
  </w:style>
  <w:style w:type="character" w:customStyle="1" w:styleId="Heading4Char">
    <w:name w:val="Heading 4 Char"/>
    <w:basedOn w:val="DefaultParagraphFont"/>
    <w:link w:val="Heading4"/>
    <w:rsid w:val="00772329"/>
    <w:rPr>
      <w:b/>
      <w:bCs/>
      <w:sz w:val="24"/>
      <w:szCs w:val="24"/>
    </w:rPr>
  </w:style>
  <w:style w:type="character" w:customStyle="1" w:styleId="Heading5Char">
    <w:name w:val="Heading 5 Char"/>
    <w:basedOn w:val="DefaultParagraphFont"/>
    <w:link w:val="Heading5"/>
    <w:rsid w:val="00772329"/>
    <w:rPr>
      <w:b/>
      <w:bCs/>
      <w:color w:val="0000FF"/>
      <w:sz w:val="24"/>
      <w:szCs w:val="24"/>
    </w:rPr>
  </w:style>
  <w:style w:type="character" w:customStyle="1" w:styleId="Heading6Char">
    <w:name w:val="Heading 6 Char"/>
    <w:basedOn w:val="DefaultParagraphFont"/>
    <w:link w:val="Heading6"/>
    <w:rsid w:val="00772329"/>
    <w:rPr>
      <w:b/>
      <w:bCs/>
      <w:sz w:val="24"/>
      <w:szCs w:val="24"/>
    </w:rPr>
  </w:style>
  <w:style w:type="character" w:customStyle="1" w:styleId="BodyTextChar">
    <w:name w:val="Body Text Char"/>
    <w:basedOn w:val="DefaultParagraphFont"/>
    <w:link w:val="BodyText"/>
    <w:rsid w:val="00772329"/>
    <w:rPr>
      <w:b/>
      <w:sz w:val="24"/>
      <w:szCs w:val="24"/>
    </w:rPr>
  </w:style>
  <w:style w:type="character" w:customStyle="1" w:styleId="BodyTextIndentChar">
    <w:name w:val="Body Text Indent Char"/>
    <w:basedOn w:val="DefaultParagraphFont"/>
    <w:link w:val="BodyTextIndent"/>
    <w:rsid w:val="00772329"/>
    <w:rPr>
      <w:sz w:val="24"/>
      <w:szCs w:val="24"/>
    </w:rPr>
  </w:style>
  <w:style w:type="paragraph" w:styleId="BodyText3">
    <w:name w:val="Body Text 3"/>
    <w:basedOn w:val="Normal"/>
    <w:link w:val="BodyText3Char"/>
    <w:rsid w:val="00772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pPr>
    <w:rPr>
      <w:rFonts w:ascii="Palatino Linotype" w:hAnsi="Palatino Linotype"/>
      <w:b/>
      <w:bCs/>
    </w:rPr>
  </w:style>
  <w:style w:type="character" w:customStyle="1" w:styleId="BodyText3Char">
    <w:name w:val="Body Text 3 Char"/>
    <w:basedOn w:val="DefaultParagraphFont"/>
    <w:link w:val="BodyText3"/>
    <w:rsid w:val="00772329"/>
    <w:rPr>
      <w:rFonts w:ascii="Palatino Linotype" w:hAnsi="Palatino Linotype"/>
      <w:b/>
      <w:bCs/>
      <w:sz w:val="24"/>
      <w:szCs w:val="24"/>
    </w:rPr>
  </w:style>
  <w:style w:type="character" w:customStyle="1" w:styleId="HeaderChar">
    <w:name w:val="Header Char"/>
    <w:basedOn w:val="DefaultParagraphFont"/>
    <w:link w:val="Header"/>
    <w:rsid w:val="00772329"/>
    <w:rPr>
      <w:sz w:val="24"/>
      <w:szCs w:val="24"/>
    </w:rPr>
  </w:style>
  <w:style w:type="character" w:customStyle="1" w:styleId="FooterChar">
    <w:name w:val="Footer Char"/>
    <w:basedOn w:val="DefaultParagraphFont"/>
    <w:link w:val="Footer"/>
    <w:rsid w:val="00772329"/>
    <w:rPr>
      <w:sz w:val="24"/>
      <w:szCs w:val="24"/>
    </w:rPr>
  </w:style>
  <w:style w:type="character" w:customStyle="1" w:styleId="BodyTextIndent3Char">
    <w:name w:val="Body Text Indent 3 Char"/>
    <w:basedOn w:val="DefaultParagraphFont"/>
    <w:link w:val="BodyTextIndent3"/>
    <w:rsid w:val="00772329"/>
    <w:rPr>
      <w:sz w:val="24"/>
      <w:szCs w:val="24"/>
    </w:rPr>
  </w:style>
  <w:style w:type="paragraph" w:styleId="BodyText2">
    <w:name w:val="Body Text 2"/>
    <w:basedOn w:val="Normal"/>
    <w:link w:val="BodyText2Char"/>
    <w:rsid w:val="00772329"/>
    <w:rPr>
      <w:b/>
      <w:bCs/>
    </w:rPr>
  </w:style>
  <w:style w:type="character" w:customStyle="1" w:styleId="BodyText2Char">
    <w:name w:val="Body Text 2 Char"/>
    <w:basedOn w:val="DefaultParagraphFont"/>
    <w:link w:val="BodyText2"/>
    <w:rsid w:val="00772329"/>
    <w:rPr>
      <w:b/>
      <w:bCs/>
      <w:sz w:val="24"/>
      <w:szCs w:val="24"/>
    </w:rPr>
  </w:style>
  <w:style w:type="table" w:styleId="TableGrid">
    <w:name w:val="Table Grid"/>
    <w:basedOn w:val="TableNormal"/>
    <w:rsid w:val="007723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semiHidden/>
    <w:rsid w:val="00772329"/>
    <w:rPr>
      <w:rFonts w:ascii="Tahoma" w:hAnsi="Tahoma" w:cs="Tahoma"/>
      <w:sz w:val="16"/>
      <w:szCs w:val="16"/>
    </w:rPr>
  </w:style>
  <w:style w:type="paragraph" w:styleId="NormalWeb">
    <w:name w:val="Normal (Web)"/>
    <w:basedOn w:val="Normal"/>
    <w:uiPriority w:val="99"/>
    <w:unhideWhenUsed/>
    <w:rsid w:val="0077232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51164643">
      <w:bodyDiv w:val="1"/>
      <w:marLeft w:val="0"/>
      <w:marRight w:val="0"/>
      <w:marTop w:val="0"/>
      <w:marBottom w:val="0"/>
      <w:divBdr>
        <w:top w:val="none" w:sz="0" w:space="0" w:color="auto"/>
        <w:left w:val="none" w:sz="0" w:space="0" w:color="auto"/>
        <w:bottom w:val="none" w:sz="0" w:space="0" w:color="auto"/>
        <w:right w:val="none" w:sz="0" w:space="0" w:color="auto"/>
      </w:divBdr>
    </w:div>
    <w:div w:id="291521738">
      <w:bodyDiv w:val="1"/>
      <w:marLeft w:val="0"/>
      <w:marRight w:val="0"/>
      <w:marTop w:val="0"/>
      <w:marBottom w:val="0"/>
      <w:divBdr>
        <w:top w:val="none" w:sz="0" w:space="0" w:color="auto"/>
        <w:left w:val="none" w:sz="0" w:space="0" w:color="auto"/>
        <w:bottom w:val="none" w:sz="0" w:space="0" w:color="auto"/>
        <w:right w:val="none" w:sz="0" w:space="0" w:color="auto"/>
      </w:divBdr>
    </w:div>
    <w:div w:id="710692396">
      <w:bodyDiv w:val="1"/>
      <w:marLeft w:val="0"/>
      <w:marRight w:val="0"/>
      <w:marTop w:val="0"/>
      <w:marBottom w:val="0"/>
      <w:divBdr>
        <w:top w:val="none" w:sz="0" w:space="0" w:color="auto"/>
        <w:left w:val="none" w:sz="0" w:space="0" w:color="auto"/>
        <w:bottom w:val="none" w:sz="0" w:space="0" w:color="auto"/>
        <w:right w:val="none" w:sz="0" w:space="0" w:color="auto"/>
      </w:divBdr>
    </w:div>
    <w:div w:id="903955443">
      <w:bodyDiv w:val="1"/>
      <w:marLeft w:val="0"/>
      <w:marRight w:val="0"/>
      <w:marTop w:val="0"/>
      <w:marBottom w:val="0"/>
      <w:divBdr>
        <w:top w:val="none" w:sz="0" w:space="0" w:color="auto"/>
        <w:left w:val="none" w:sz="0" w:space="0" w:color="auto"/>
        <w:bottom w:val="none" w:sz="0" w:space="0" w:color="auto"/>
        <w:right w:val="none" w:sz="0" w:space="0" w:color="auto"/>
      </w:divBdr>
    </w:div>
    <w:div w:id="162013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ustomXml" Target="../customXml/item3.xml"/><Relationship Id="rId3" Type="http://schemas.openxmlformats.org/officeDocument/2006/relationships/numbering" Target="numbering.xml"/><Relationship Id="rId21" Type="http://schemas.openxmlformats.org/officeDocument/2006/relationships/customXml" Target="../customXml/item6.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G:\5%20day%20and%2048%20hour%20ILECs%202005-1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5%20day%20and%2048%20hour%20ILECs%202005-1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5%20day%20and%2048%20hour%20ILECs%202005-1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5%20day%20and%2048%20hour%20ILECs%202005-1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'chart data'!$A$4</c:f>
              <c:strCache>
                <c:ptCount val="1"/>
                <c:pt idx="0">
                  <c:v>CenturyTel</c:v>
                </c:pt>
              </c:strCache>
            </c:strRef>
          </c:tx>
          <c:spPr>
            <a:ln>
              <a:solidFill>
                <a:srgbClr val="FF0000"/>
              </a:solidFill>
            </a:ln>
          </c:spPr>
          <c:marker>
            <c:symbol val="none"/>
          </c:marker>
          <c:cat>
            <c:strRef>
              <c:f>'chart data'!$B$3:$G$3</c:f>
              <c:strCache>
                <c:ptCount val="6"/>
                <c:pt idx="0">
                  <c:v>FY 2005-06</c:v>
                </c:pt>
                <c:pt idx="1">
                  <c:v>FY 2006-07</c:v>
                </c:pt>
                <c:pt idx="2">
                  <c:v>FY 2007-08</c:v>
                </c:pt>
                <c:pt idx="3">
                  <c:v>FY 2008-09</c:v>
                </c:pt>
                <c:pt idx="4">
                  <c:v>FY 2009-10</c:v>
                </c:pt>
                <c:pt idx="5">
                  <c:v>Average</c:v>
                </c:pt>
              </c:strCache>
            </c:strRef>
          </c:cat>
          <c:val>
            <c:numRef>
              <c:f>'chart data'!$B$4:$G$4</c:f>
              <c:numCache>
                <c:formatCode>0.00</c:formatCode>
                <c:ptCount val="6"/>
                <c:pt idx="0">
                  <c:v>98.727500000000006</c:v>
                </c:pt>
                <c:pt idx="1">
                  <c:v>99.447500000000744</c:v>
                </c:pt>
                <c:pt idx="2">
                  <c:v>99.412499999999994</c:v>
                </c:pt>
                <c:pt idx="3">
                  <c:v>99.475000000000009</c:v>
                </c:pt>
                <c:pt idx="4">
                  <c:v>99.569166666666661</c:v>
                </c:pt>
                <c:pt idx="5">
                  <c:v>99.326333333332528</c:v>
                </c:pt>
              </c:numCache>
            </c:numRef>
          </c:val>
        </c:ser>
        <c:ser>
          <c:idx val="1"/>
          <c:order val="1"/>
          <c:tx>
            <c:strRef>
              <c:f>'chart data'!$A$5</c:f>
              <c:strCache>
                <c:ptCount val="1"/>
                <c:pt idx="0">
                  <c:v>Verizon</c:v>
                </c:pt>
              </c:strCache>
            </c:strRef>
          </c:tx>
          <c:spPr>
            <a:ln>
              <a:solidFill>
                <a:srgbClr val="00B050"/>
              </a:solidFill>
            </a:ln>
          </c:spPr>
          <c:marker>
            <c:symbol val="none"/>
          </c:marker>
          <c:cat>
            <c:strRef>
              <c:f>'chart data'!$B$3:$G$3</c:f>
              <c:strCache>
                <c:ptCount val="6"/>
                <c:pt idx="0">
                  <c:v>FY 2005-06</c:v>
                </c:pt>
                <c:pt idx="1">
                  <c:v>FY 2006-07</c:v>
                </c:pt>
                <c:pt idx="2">
                  <c:v>FY 2007-08</c:v>
                </c:pt>
                <c:pt idx="3">
                  <c:v>FY 2008-09</c:v>
                </c:pt>
                <c:pt idx="4">
                  <c:v>FY 2009-10</c:v>
                </c:pt>
                <c:pt idx="5">
                  <c:v>Average</c:v>
                </c:pt>
              </c:strCache>
            </c:strRef>
          </c:cat>
          <c:val>
            <c:numRef>
              <c:f>'chart data'!$B$5:$G$5</c:f>
              <c:numCache>
                <c:formatCode>0.00</c:formatCode>
                <c:ptCount val="6"/>
                <c:pt idx="0">
                  <c:v>94.403333333333308</c:v>
                </c:pt>
                <c:pt idx="1">
                  <c:v>93.304999999999993</c:v>
                </c:pt>
                <c:pt idx="2">
                  <c:v>91.96333333333331</c:v>
                </c:pt>
                <c:pt idx="3">
                  <c:v>89.560833333333278</c:v>
                </c:pt>
                <c:pt idx="4">
                  <c:v>95.396666666666661</c:v>
                </c:pt>
                <c:pt idx="5">
                  <c:v>92.925833333333259</c:v>
                </c:pt>
              </c:numCache>
            </c:numRef>
          </c:val>
        </c:ser>
        <c:ser>
          <c:idx val="2"/>
          <c:order val="2"/>
          <c:tx>
            <c:strRef>
              <c:f>'chart data'!$A$6</c:f>
              <c:strCache>
                <c:ptCount val="1"/>
                <c:pt idx="0">
                  <c:v>Qwest</c:v>
                </c:pt>
              </c:strCache>
            </c:strRef>
          </c:tx>
          <c:spPr>
            <a:ln>
              <a:solidFill>
                <a:srgbClr val="FFFF00"/>
              </a:solidFill>
            </a:ln>
          </c:spPr>
          <c:marker>
            <c:symbol val="none"/>
          </c:marker>
          <c:cat>
            <c:strRef>
              <c:f>'chart data'!$B$3:$G$3</c:f>
              <c:strCache>
                <c:ptCount val="6"/>
                <c:pt idx="0">
                  <c:v>FY 2005-06</c:v>
                </c:pt>
                <c:pt idx="1">
                  <c:v>FY 2006-07</c:v>
                </c:pt>
                <c:pt idx="2">
                  <c:v>FY 2007-08</c:v>
                </c:pt>
                <c:pt idx="3">
                  <c:v>FY 2008-09</c:v>
                </c:pt>
                <c:pt idx="4">
                  <c:v>FY 2009-10</c:v>
                </c:pt>
                <c:pt idx="5">
                  <c:v>Average</c:v>
                </c:pt>
              </c:strCache>
            </c:strRef>
          </c:cat>
          <c:val>
            <c:numRef>
              <c:f>'chart data'!$B$6:$G$6</c:f>
              <c:numCache>
                <c:formatCode>0.00</c:formatCode>
                <c:ptCount val="6"/>
                <c:pt idx="0">
                  <c:v>98.404166666666697</c:v>
                </c:pt>
                <c:pt idx="1">
                  <c:v>98.916666666666927</c:v>
                </c:pt>
                <c:pt idx="2">
                  <c:v>98.945000000000007</c:v>
                </c:pt>
                <c:pt idx="3">
                  <c:v>98.827500000000001</c:v>
                </c:pt>
                <c:pt idx="4">
                  <c:v>99.003333333333288</c:v>
                </c:pt>
                <c:pt idx="5">
                  <c:v>98.819333333333319</c:v>
                </c:pt>
              </c:numCache>
            </c:numRef>
          </c:val>
        </c:ser>
        <c:ser>
          <c:idx val="3"/>
          <c:order val="3"/>
          <c:tx>
            <c:strRef>
              <c:f>'chart data'!$A$7</c:f>
              <c:strCache>
                <c:ptCount val="1"/>
                <c:pt idx="0">
                  <c:v>Embarq</c:v>
                </c:pt>
              </c:strCache>
            </c:strRef>
          </c:tx>
          <c:spPr>
            <a:ln>
              <a:solidFill>
                <a:srgbClr val="7030A0"/>
              </a:solidFill>
            </a:ln>
          </c:spPr>
          <c:marker>
            <c:symbol val="none"/>
          </c:marker>
          <c:cat>
            <c:strRef>
              <c:f>'chart data'!$B$3:$G$3</c:f>
              <c:strCache>
                <c:ptCount val="6"/>
                <c:pt idx="0">
                  <c:v>FY 2005-06</c:v>
                </c:pt>
                <c:pt idx="1">
                  <c:v>FY 2006-07</c:v>
                </c:pt>
                <c:pt idx="2">
                  <c:v>FY 2007-08</c:v>
                </c:pt>
                <c:pt idx="3">
                  <c:v>FY 2008-09</c:v>
                </c:pt>
                <c:pt idx="4">
                  <c:v>FY 2009-10</c:v>
                </c:pt>
                <c:pt idx="5">
                  <c:v>Average</c:v>
                </c:pt>
              </c:strCache>
            </c:strRef>
          </c:cat>
          <c:val>
            <c:numRef>
              <c:f>'chart data'!$B$7:$G$7</c:f>
              <c:numCache>
                <c:formatCode>0.00</c:formatCode>
                <c:ptCount val="6"/>
                <c:pt idx="0">
                  <c:v>97.296666666666667</c:v>
                </c:pt>
                <c:pt idx="1">
                  <c:v>97.144166666666663</c:v>
                </c:pt>
                <c:pt idx="2">
                  <c:v>98.525833333332585</c:v>
                </c:pt>
                <c:pt idx="3">
                  <c:v>97.505833333333058</c:v>
                </c:pt>
                <c:pt idx="4">
                  <c:v>98.630833333333058</c:v>
                </c:pt>
                <c:pt idx="5">
                  <c:v>97.820666666666668</c:v>
                </c:pt>
              </c:numCache>
            </c:numRef>
          </c:val>
        </c:ser>
        <c:marker val="1"/>
        <c:axId val="84191104"/>
        <c:axId val="84192640"/>
      </c:lineChart>
      <c:catAx>
        <c:axId val="84191104"/>
        <c:scaling>
          <c:orientation val="minMax"/>
        </c:scaling>
        <c:axPos val="b"/>
        <c:tickLblPos val="low"/>
        <c:txPr>
          <a:bodyPr rot="-4500000"/>
          <a:lstStyle/>
          <a:p>
            <a:pPr>
              <a:defRPr/>
            </a:pPr>
            <a:endParaRPr lang="en-US"/>
          </a:p>
        </c:txPr>
        <c:crossAx val="84192640"/>
        <c:crosses val="autoZero"/>
        <c:auto val="1"/>
        <c:lblAlgn val="ctr"/>
        <c:lblOffset val="100"/>
      </c:catAx>
      <c:valAx>
        <c:axId val="84192640"/>
        <c:scaling>
          <c:orientation val="minMax"/>
          <c:max val="100"/>
          <c:min val="85"/>
        </c:scaling>
        <c:axPos val="l"/>
        <c:majorGridlines/>
        <c:numFmt formatCode="0.0" sourceLinked="0"/>
        <c:tickLblPos val="nextTo"/>
        <c:crossAx val="84191104"/>
        <c:crosses val="autoZero"/>
        <c:crossBetween val="between"/>
        <c:majorUnit val="5"/>
      </c:valAx>
      <c:spPr>
        <a:gradFill>
          <a:gsLst>
            <a:gs pos="0">
              <a:schemeClr val="accent1">
                <a:lumMod val="60000"/>
                <a:lumOff val="40000"/>
              </a:schemeClr>
            </a:gs>
            <a:gs pos="50000">
              <a:srgbClr val="4F81BD">
                <a:tint val="44500"/>
                <a:satMod val="160000"/>
              </a:srgbClr>
            </a:gs>
            <a:gs pos="100000">
              <a:srgbClr val="4F81BD">
                <a:tint val="23500"/>
                <a:satMod val="160000"/>
              </a:srgbClr>
            </a:gs>
          </a:gsLst>
          <a:lin ang="5400000" scaled="0"/>
        </a:gradFill>
      </c:spPr>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'chart data'!$A$12</c:f>
              <c:strCache>
                <c:ptCount val="1"/>
                <c:pt idx="0">
                  <c:v>CenturyTel</c:v>
                </c:pt>
              </c:strCache>
            </c:strRef>
          </c:tx>
          <c:spPr>
            <a:ln>
              <a:solidFill>
                <a:srgbClr val="FF0000"/>
              </a:solidFill>
            </a:ln>
          </c:spPr>
          <c:marker>
            <c:symbol val="none"/>
          </c:marker>
          <c:cat>
            <c:strRef>
              <c:f>'chart data'!$B$11:$G$11</c:f>
              <c:strCache>
                <c:ptCount val="6"/>
                <c:pt idx="0">
                  <c:v>FY 2005-06</c:v>
                </c:pt>
                <c:pt idx="1">
                  <c:v>FY 2006-07</c:v>
                </c:pt>
                <c:pt idx="2">
                  <c:v>FY 2007-08</c:v>
                </c:pt>
                <c:pt idx="3">
                  <c:v>FY 2008-09</c:v>
                </c:pt>
                <c:pt idx="4">
                  <c:v>FY 2009-10</c:v>
                </c:pt>
                <c:pt idx="5">
                  <c:v>Average</c:v>
                </c:pt>
              </c:strCache>
            </c:strRef>
          </c:cat>
          <c:val>
            <c:numRef>
              <c:f>'chart data'!$B$12:$G$12</c:f>
              <c:numCache>
                <c:formatCode>0.00</c:formatCode>
                <c:ptCount val="6"/>
                <c:pt idx="0">
                  <c:v>98.004166666666663</c:v>
                </c:pt>
                <c:pt idx="1">
                  <c:v>95.972499999999982</c:v>
                </c:pt>
                <c:pt idx="2">
                  <c:v>98.277500000000003</c:v>
                </c:pt>
                <c:pt idx="3">
                  <c:v>98.593333333333248</c:v>
                </c:pt>
                <c:pt idx="4">
                  <c:v>99.473916666666653</c:v>
                </c:pt>
                <c:pt idx="5">
                  <c:v>98.064283333333307</c:v>
                </c:pt>
              </c:numCache>
            </c:numRef>
          </c:val>
        </c:ser>
        <c:ser>
          <c:idx val="1"/>
          <c:order val="1"/>
          <c:tx>
            <c:strRef>
              <c:f>'chart data'!$A$13</c:f>
              <c:strCache>
                <c:ptCount val="1"/>
                <c:pt idx="0">
                  <c:v>Verizon</c:v>
                </c:pt>
              </c:strCache>
            </c:strRef>
          </c:tx>
          <c:spPr>
            <a:ln>
              <a:solidFill>
                <a:srgbClr val="00B050"/>
              </a:solidFill>
            </a:ln>
          </c:spPr>
          <c:marker>
            <c:symbol val="none"/>
          </c:marker>
          <c:cat>
            <c:strRef>
              <c:f>'chart data'!$B$11:$G$11</c:f>
              <c:strCache>
                <c:ptCount val="6"/>
                <c:pt idx="0">
                  <c:v>FY 2005-06</c:v>
                </c:pt>
                <c:pt idx="1">
                  <c:v>FY 2006-07</c:v>
                </c:pt>
                <c:pt idx="2">
                  <c:v>FY 2007-08</c:v>
                </c:pt>
                <c:pt idx="3">
                  <c:v>FY 2008-09</c:v>
                </c:pt>
                <c:pt idx="4">
                  <c:v>FY 2009-10</c:v>
                </c:pt>
                <c:pt idx="5">
                  <c:v>Average</c:v>
                </c:pt>
              </c:strCache>
            </c:strRef>
          </c:cat>
          <c:val>
            <c:numRef>
              <c:f>'chart data'!$B$13:$G$13</c:f>
              <c:numCache>
                <c:formatCode>0.00</c:formatCode>
                <c:ptCount val="6"/>
                <c:pt idx="0">
                  <c:v>98.16249999999998</c:v>
                </c:pt>
                <c:pt idx="1">
                  <c:v>93.675833333332278</c:v>
                </c:pt>
                <c:pt idx="2">
                  <c:v>95.676666666666648</c:v>
                </c:pt>
                <c:pt idx="3">
                  <c:v>94.723333333333258</c:v>
                </c:pt>
                <c:pt idx="4">
                  <c:v>97.680833333332643</c:v>
                </c:pt>
                <c:pt idx="5">
                  <c:v>95.983833333333308</c:v>
                </c:pt>
              </c:numCache>
            </c:numRef>
          </c:val>
        </c:ser>
        <c:ser>
          <c:idx val="2"/>
          <c:order val="2"/>
          <c:tx>
            <c:strRef>
              <c:f>'chart data'!$A$14</c:f>
              <c:strCache>
                <c:ptCount val="1"/>
                <c:pt idx="0">
                  <c:v>Qwest</c:v>
                </c:pt>
              </c:strCache>
            </c:strRef>
          </c:tx>
          <c:spPr>
            <a:ln>
              <a:solidFill>
                <a:srgbClr val="FFFF00"/>
              </a:solidFill>
            </a:ln>
          </c:spPr>
          <c:marker>
            <c:symbol val="none"/>
          </c:marker>
          <c:cat>
            <c:strRef>
              <c:f>'chart data'!$B$11:$G$11</c:f>
              <c:strCache>
                <c:ptCount val="6"/>
                <c:pt idx="0">
                  <c:v>FY 2005-06</c:v>
                </c:pt>
                <c:pt idx="1">
                  <c:v>FY 2006-07</c:v>
                </c:pt>
                <c:pt idx="2">
                  <c:v>FY 2007-08</c:v>
                </c:pt>
                <c:pt idx="3">
                  <c:v>FY 2008-09</c:v>
                </c:pt>
                <c:pt idx="4">
                  <c:v>FY 2009-10</c:v>
                </c:pt>
                <c:pt idx="5">
                  <c:v>Average</c:v>
                </c:pt>
              </c:strCache>
            </c:strRef>
          </c:cat>
          <c:val>
            <c:numRef>
              <c:f>'chart data'!$B$14:$G$14</c:f>
              <c:numCache>
                <c:formatCode>0.00</c:formatCode>
                <c:ptCount val="6"/>
                <c:pt idx="0">
                  <c:v>98.235833333333318</c:v>
                </c:pt>
                <c:pt idx="1">
                  <c:v>97.592499999999987</c:v>
                </c:pt>
                <c:pt idx="2">
                  <c:v>99.152500000000018</c:v>
                </c:pt>
                <c:pt idx="3">
                  <c:v>96.455000000000013</c:v>
                </c:pt>
                <c:pt idx="4">
                  <c:v>97.608333333332297</c:v>
                </c:pt>
                <c:pt idx="5">
                  <c:v>97.808833333332629</c:v>
                </c:pt>
              </c:numCache>
            </c:numRef>
          </c:val>
        </c:ser>
        <c:ser>
          <c:idx val="3"/>
          <c:order val="3"/>
          <c:tx>
            <c:strRef>
              <c:f>'chart data'!$A$15</c:f>
              <c:strCache>
                <c:ptCount val="1"/>
                <c:pt idx="0">
                  <c:v>Embarq</c:v>
                </c:pt>
              </c:strCache>
            </c:strRef>
          </c:tx>
          <c:spPr>
            <a:ln>
              <a:solidFill>
                <a:srgbClr val="7030A0"/>
              </a:solidFill>
            </a:ln>
          </c:spPr>
          <c:marker>
            <c:symbol val="none"/>
          </c:marker>
          <c:cat>
            <c:strRef>
              <c:f>'chart data'!$B$11:$G$11</c:f>
              <c:strCache>
                <c:ptCount val="6"/>
                <c:pt idx="0">
                  <c:v>FY 2005-06</c:v>
                </c:pt>
                <c:pt idx="1">
                  <c:v>FY 2006-07</c:v>
                </c:pt>
                <c:pt idx="2">
                  <c:v>FY 2007-08</c:v>
                </c:pt>
                <c:pt idx="3">
                  <c:v>FY 2008-09</c:v>
                </c:pt>
                <c:pt idx="4">
                  <c:v>FY 2009-10</c:v>
                </c:pt>
                <c:pt idx="5">
                  <c:v>Average</c:v>
                </c:pt>
              </c:strCache>
            </c:strRef>
          </c:cat>
          <c:val>
            <c:numRef>
              <c:f>'chart data'!$B$15:$G$15</c:f>
              <c:numCache>
                <c:formatCode>0.00</c:formatCode>
                <c:ptCount val="6"/>
                <c:pt idx="0">
                  <c:v>98.733333333333249</c:v>
                </c:pt>
                <c:pt idx="1">
                  <c:v>98.883333333332658</c:v>
                </c:pt>
                <c:pt idx="2">
                  <c:v>98.958333333333258</c:v>
                </c:pt>
                <c:pt idx="3">
                  <c:v>98.29083333333331</c:v>
                </c:pt>
                <c:pt idx="4">
                  <c:v>98.791666666666927</c:v>
                </c:pt>
                <c:pt idx="5">
                  <c:v>98.731499999999997</c:v>
                </c:pt>
              </c:numCache>
            </c:numRef>
          </c:val>
        </c:ser>
        <c:marker val="1"/>
        <c:axId val="56238080"/>
        <c:axId val="56239616"/>
      </c:lineChart>
      <c:catAx>
        <c:axId val="56238080"/>
        <c:scaling>
          <c:orientation val="minMax"/>
        </c:scaling>
        <c:axPos val="b"/>
        <c:tickLblPos val="nextTo"/>
        <c:txPr>
          <a:bodyPr rot="-4500000"/>
          <a:lstStyle/>
          <a:p>
            <a:pPr>
              <a:defRPr/>
            </a:pPr>
            <a:endParaRPr lang="en-US"/>
          </a:p>
        </c:txPr>
        <c:crossAx val="56239616"/>
        <c:crosses val="autoZero"/>
        <c:auto val="1"/>
        <c:lblAlgn val="ctr"/>
        <c:lblOffset val="100"/>
      </c:catAx>
      <c:valAx>
        <c:axId val="56239616"/>
        <c:scaling>
          <c:orientation val="minMax"/>
          <c:max val="100"/>
          <c:min val="90"/>
        </c:scaling>
        <c:axPos val="l"/>
        <c:majorGridlines/>
        <c:numFmt formatCode="0.0" sourceLinked="0"/>
        <c:tickLblPos val="nextTo"/>
        <c:crossAx val="56238080"/>
        <c:crosses val="autoZero"/>
        <c:crossBetween val="between"/>
        <c:majorUnit val="5"/>
      </c:valAx>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'chart data'!$A$19</c:f>
              <c:strCache>
                <c:ptCount val="1"/>
                <c:pt idx="0">
                  <c:v>CenturyTel</c:v>
                </c:pt>
              </c:strCache>
            </c:strRef>
          </c:tx>
          <c:spPr>
            <a:ln>
              <a:solidFill>
                <a:srgbClr val="FF0000"/>
              </a:solidFill>
            </a:ln>
          </c:spPr>
          <c:marker>
            <c:symbol val="none"/>
          </c:marker>
          <c:cat>
            <c:strRef>
              <c:f>'chart data'!$B$18:$G$18</c:f>
              <c:strCache>
                <c:ptCount val="6"/>
                <c:pt idx="0">
                  <c:v>FY 2005-06</c:v>
                </c:pt>
                <c:pt idx="1">
                  <c:v>FY 2006-07</c:v>
                </c:pt>
                <c:pt idx="2">
                  <c:v>FY 2007-08</c:v>
                </c:pt>
                <c:pt idx="3">
                  <c:v>FY 2008-09</c:v>
                </c:pt>
                <c:pt idx="4">
                  <c:v>FY 2009-10</c:v>
                </c:pt>
                <c:pt idx="5">
                  <c:v>Average</c:v>
                </c:pt>
              </c:strCache>
            </c:strRef>
          </c:cat>
          <c:val>
            <c:numRef>
              <c:f>'chart data'!$B$19:$G$19</c:f>
              <c:numCache>
                <c:formatCode>0.00</c:formatCode>
                <c:ptCount val="6"/>
                <c:pt idx="0">
                  <c:v>98.623333333332624</c:v>
                </c:pt>
                <c:pt idx="1">
                  <c:v>96.306666666666672</c:v>
                </c:pt>
                <c:pt idx="2">
                  <c:v>98.310000000000016</c:v>
                </c:pt>
                <c:pt idx="3">
                  <c:v>98.455833333333288</c:v>
                </c:pt>
                <c:pt idx="4">
                  <c:v>99.154999999999987</c:v>
                </c:pt>
                <c:pt idx="5">
                  <c:v>98.170166666666589</c:v>
                </c:pt>
              </c:numCache>
            </c:numRef>
          </c:val>
        </c:ser>
        <c:ser>
          <c:idx val="1"/>
          <c:order val="1"/>
          <c:tx>
            <c:strRef>
              <c:f>'chart data'!$A$20</c:f>
              <c:strCache>
                <c:ptCount val="1"/>
                <c:pt idx="0">
                  <c:v>Verizon</c:v>
                </c:pt>
              </c:strCache>
            </c:strRef>
          </c:tx>
          <c:spPr>
            <a:ln>
              <a:solidFill>
                <a:srgbClr val="00B050"/>
              </a:solidFill>
            </a:ln>
          </c:spPr>
          <c:marker>
            <c:symbol val="none"/>
          </c:marker>
          <c:cat>
            <c:strRef>
              <c:f>'chart data'!$B$18:$G$18</c:f>
              <c:strCache>
                <c:ptCount val="6"/>
                <c:pt idx="0">
                  <c:v>FY 2005-06</c:v>
                </c:pt>
                <c:pt idx="1">
                  <c:v>FY 2006-07</c:v>
                </c:pt>
                <c:pt idx="2">
                  <c:v>FY 2007-08</c:v>
                </c:pt>
                <c:pt idx="3">
                  <c:v>FY 2008-09</c:v>
                </c:pt>
                <c:pt idx="4">
                  <c:v>FY 2009-10</c:v>
                </c:pt>
                <c:pt idx="5">
                  <c:v>Average</c:v>
                </c:pt>
              </c:strCache>
            </c:strRef>
          </c:cat>
          <c:val>
            <c:numRef>
              <c:f>'chart data'!$B$20:$G$20</c:f>
              <c:numCache>
                <c:formatCode>0.00</c:formatCode>
                <c:ptCount val="6"/>
                <c:pt idx="0">
                  <c:v>98.555833333332828</c:v>
                </c:pt>
                <c:pt idx="1">
                  <c:v>96.393333333333288</c:v>
                </c:pt>
                <c:pt idx="2">
                  <c:v>98.138333333332625</c:v>
                </c:pt>
                <c:pt idx="3">
                  <c:v>95.640833333333319</c:v>
                </c:pt>
                <c:pt idx="4">
                  <c:v>98.368333333332814</c:v>
                </c:pt>
                <c:pt idx="5">
                  <c:v>97.419333333333313</c:v>
                </c:pt>
              </c:numCache>
            </c:numRef>
          </c:val>
        </c:ser>
        <c:ser>
          <c:idx val="2"/>
          <c:order val="2"/>
          <c:tx>
            <c:strRef>
              <c:f>'chart data'!$A$21</c:f>
              <c:strCache>
                <c:ptCount val="1"/>
                <c:pt idx="0">
                  <c:v>Qwest</c:v>
                </c:pt>
              </c:strCache>
            </c:strRef>
          </c:tx>
          <c:spPr>
            <a:ln>
              <a:solidFill>
                <a:srgbClr val="FFFF00"/>
              </a:solidFill>
            </a:ln>
          </c:spPr>
          <c:marker>
            <c:symbol val="none"/>
          </c:marker>
          <c:cat>
            <c:strRef>
              <c:f>'chart data'!$B$18:$G$18</c:f>
              <c:strCache>
                <c:ptCount val="6"/>
                <c:pt idx="0">
                  <c:v>FY 2005-06</c:v>
                </c:pt>
                <c:pt idx="1">
                  <c:v>FY 2006-07</c:v>
                </c:pt>
                <c:pt idx="2">
                  <c:v>FY 2007-08</c:v>
                </c:pt>
                <c:pt idx="3">
                  <c:v>FY 2008-09</c:v>
                </c:pt>
                <c:pt idx="4">
                  <c:v>FY 2009-10</c:v>
                </c:pt>
                <c:pt idx="5">
                  <c:v>Average</c:v>
                </c:pt>
              </c:strCache>
            </c:strRef>
          </c:cat>
          <c:val>
            <c:numRef>
              <c:f>'chart data'!$B$21:$G$21</c:f>
              <c:numCache>
                <c:formatCode>0.00</c:formatCode>
                <c:ptCount val="6"/>
                <c:pt idx="0">
                  <c:v>98.858333333332638</c:v>
                </c:pt>
                <c:pt idx="1">
                  <c:v>98.901666666666827</c:v>
                </c:pt>
                <c:pt idx="2">
                  <c:v>99.54</c:v>
                </c:pt>
                <c:pt idx="3">
                  <c:v>97.569166666666661</c:v>
                </c:pt>
                <c:pt idx="4">
                  <c:v>98.970833333333289</c:v>
                </c:pt>
                <c:pt idx="5">
                  <c:v>98.768000000000001</c:v>
                </c:pt>
              </c:numCache>
            </c:numRef>
          </c:val>
        </c:ser>
        <c:ser>
          <c:idx val="3"/>
          <c:order val="3"/>
          <c:tx>
            <c:strRef>
              <c:f>'chart data'!$A$22</c:f>
              <c:strCache>
                <c:ptCount val="1"/>
                <c:pt idx="0">
                  <c:v>Embarq</c:v>
                </c:pt>
              </c:strCache>
            </c:strRef>
          </c:tx>
          <c:spPr>
            <a:ln>
              <a:solidFill>
                <a:srgbClr val="7030A0"/>
              </a:solidFill>
            </a:ln>
          </c:spPr>
          <c:marker>
            <c:symbol val="none"/>
          </c:marker>
          <c:cat>
            <c:strRef>
              <c:f>'chart data'!$B$18:$G$18</c:f>
              <c:strCache>
                <c:ptCount val="6"/>
                <c:pt idx="0">
                  <c:v>FY 2005-06</c:v>
                </c:pt>
                <c:pt idx="1">
                  <c:v>FY 2006-07</c:v>
                </c:pt>
                <c:pt idx="2">
                  <c:v>FY 2007-08</c:v>
                </c:pt>
                <c:pt idx="3">
                  <c:v>FY 2008-09</c:v>
                </c:pt>
                <c:pt idx="4">
                  <c:v>FY 2009-10</c:v>
                </c:pt>
                <c:pt idx="5">
                  <c:v>Average</c:v>
                </c:pt>
              </c:strCache>
            </c:strRef>
          </c:cat>
          <c:val>
            <c:numRef>
              <c:f>'chart data'!$B$22:$G$22</c:f>
              <c:numCache>
                <c:formatCode>0.00</c:formatCode>
                <c:ptCount val="6"/>
                <c:pt idx="0">
                  <c:v>94.525833333332756</c:v>
                </c:pt>
                <c:pt idx="1">
                  <c:v>96.200833333333279</c:v>
                </c:pt>
                <c:pt idx="2">
                  <c:v>99.270833333333258</c:v>
                </c:pt>
                <c:pt idx="3">
                  <c:v>98.344166666666666</c:v>
                </c:pt>
                <c:pt idx="4">
                  <c:v>98.15916666666665</c:v>
                </c:pt>
                <c:pt idx="5">
                  <c:v>97.300166666666655</c:v>
                </c:pt>
              </c:numCache>
            </c:numRef>
          </c:val>
        </c:ser>
        <c:marker val="1"/>
        <c:axId val="56278016"/>
        <c:axId val="56300288"/>
      </c:lineChart>
      <c:catAx>
        <c:axId val="56278016"/>
        <c:scaling>
          <c:orientation val="minMax"/>
        </c:scaling>
        <c:axPos val="b"/>
        <c:tickLblPos val="nextTo"/>
        <c:txPr>
          <a:bodyPr rot="-4500000"/>
          <a:lstStyle/>
          <a:p>
            <a:pPr>
              <a:defRPr/>
            </a:pPr>
            <a:endParaRPr lang="en-US"/>
          </a:p>
        </c:txPr>
        <c:crossAx val="56300288"/>
        <c:crosses val="autoZero"/>
        <c:auto val="1"/>
        <c:lblAlgn val="ctr"/>
        <c:lblOffset val="100"/>
      </c:catAx>
      <c:valAx>
        <c:axId val="56300288"/>
        <c:scaling>
          <c:orientation val="minMax"/>
          <c:max val="100"/>
          <c:min val="90"/>
        </c:scaling>
        <c:axPos val="l"/>
        <c:majorGridlines/>
        <c:numFmt formatCode="0.00" sourceLinked="1"/>
        <c:tickLblPos val="nextTo"/>
        <c:crossAx val="56278016"/>
        <c:crosses val="autoZero"/>
        <c:crossBetween val="between"/>
        <c:majorUnit val="5"/>
      </c:valAx>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9.4474628171478767E-2"/>
          <c:y val="6.528944298629337E-2"/>
          <c:w val="0.62920581802275122"/>
          <c:h val="0.55900941794040804"/>
        </c:manualLayout>
      </c:layout>
      <c:lineChart>
        <c:grouping val="standard"/>
        <c:ser>
          <c:idx val="2"/>
          <c:order val="0"/>
          <c:tx>
            <c:strRef>
              <c:f>complaints!$C$40</c:f>
              <c:strCache>
                <c:ptCount val="1"/>
                <c:pt idx="0">
                  <c:v>Qwest</c:v>
                </c:pt>
              </c:strCache>
            </c:strRef>
          </c:tx>
          <c:spPr>
            <a:ln>
              <a:solidFill>
                <a:srgbClr val="FFFF00"/>
              </a:solidFill>
            </a:ln>
          </c:spPr>
          <c:marker>
            <c:symbol val="none"/>
          </c:marker>
          <c:cat>
            <c:numRef>
              <c:f>complaints!$D$39:$H$39</c:f>
              <c:numCache>
                <c:formatCode>General</c:formatCode>
                <c:ptCount val="5"/>
                <c:pt idx="0">
                  <c:v>2005</c:v>
                </c:pt>
                <c:pt idx="1">
                  <c:v>2006</c:v>
                </c:pt>
                <c:pt idx="2">
                  <c:v>2007</c:v>
                </c:pt>
                <c:pt idx="3">
                  <c:v>2008</c:v>
                </c:pt>
                <c:pt idx="4">
                  <c:v>2009</c:v>
                </c:pt>
              </c:numCache>
            </c:numRef>
          </c:cat>
          <c:val>
            <c:numRef>
              <c:f>complaints!$D$40:$H$40</c:f>
              <c:numCache>
                <c:formatCode>0.00</c:formatCode>
                <c:ptCount val="5"/>
                <c:pt idx="0">
                  <c:v>0.4913223358173</c:v>
                </c:pt>
                <c:pt idx="1">
                  <c:v>0.58860397307681822</c:v>
                </c:pt>
                <c:pt idx="2">
                  <c:v>0.23581346211892634</c:v>
                </c:pt>
                <c:pt idx="3">
                  <c:v>0.4053973985960776</c:v>
                </c:pt>
                <c:pt idx="4">
                  <c:v>0.55508259192385956</c:v>
                </c:pt>
              </c:numCache>
            </c:numRef>
          </c:val>
        </c:ser>
        <c:ser>
          <c:idx val="0"/>
          <c:order val="1"/>
          <c:tx>
            <c:strRef>
              <c:f>complaints!$C$41</c:f>
              <c:strCache>
                <c:ptCount val="1"/>
                <c:pt idx="0">
                  <c:v>CenturyLink</c:v>
                </c:pt>
              </c:strCache>
            </c:strRef>
          </c:tx>
          <c:spPr>
            <a:ln>
              <a:solidFill>
                <a:srgbClr val="FF0000"/>
              </a:solidFill>
            </a:ln>
          </c:spPr>
          <c:marker>
            <c:symbol val="none"/>
          </c:marker>
          <c:cat>
            <c:numRef>
              <c:f>complaints!$D$39:$H$39</c:f>
              <c:numCache>
                <c:formatCode>General</c:formatCode>
                <c:ptCount val="5"/>
                <c:pt idx="0">
                  <c:v>2005</c:v>
                </c:pt>
                <c:pt idx="1">
                  <c:v>2006</c:v>
                </c:pt>
                <c:pt idx="2">
                  <c:v>2007</c:v>
                </c:pt>
                <c:pt idx="3">
                  <c:v>2008</c:v>
                </c:pt>
                <c:pt idx="4">
                  <c:v>2009</c:v>
                </c:pt>
              </c:numCache>
            </c:numRef>
          </c:cat>
          <c:val>
            <c:numRef>
              <c:f>complaints!$D$41:$H$41</c:f>
              <c:numCache>
                <c:formatCode>0.00</c:formatCode>
                <c:ptCount val="5"/>
                <c:pt idx="0">
                  <c:v>2.1885366752672448</c:v>
                </c:pt>
                <c:pt idx="1">
                  <c:v>1.71304113745931</c:v>
                </c:pt>
                <c:pt idx="2">
                  <c:v>1.8632622509492998</c:v>
                </c:pt>
                <c:pt idx="3">
                  <c:v>1.2526123560319877</c:v>
                </c:pt>
                <c:pt idx="4">
                  <c:v>0.3296348305347338</c:v>
                </c:pt>
              </c:numCache>
            </c:numRef>
          </c:val>
        </c:ser>
        <c:marker val="1"/>
        <c:axId val="56338304"/>
        <c:axId val="56339840"/>
      </c:lineChart>
      <c:catAx>
        <c:axId val="56338304"/>
        <c:scaling>
          <c:orientation val="minMax"/>
        </c:scaling>
        <c:axPos val="b"/>
        <c:numFmt formatCode="General" sourceLinked="1"/>
        <c:tickLblPos val="nextTo"/>
        <c:txPr>
          <a:bodyPr rot="-2100000"/>
          <a:lstStyle/>
          <a:p>
            <a:pPr>
              <a:defRPr/>
            </a:pPr>
            <a:endParaRPr lang="en-US"/>
          </a:p>
        </c:txPr>
        <c:crossAx val="56339840"/>
        <c:crosses val="autoZero"/>
        <c:auto val="1"/>
        <c:lblAlgn val="ctr"/>
        <c:lblOffset val="100"/>
      </c:catAx>
      <c:valAx>
        <c:axId val="56339840"/>
        <c:scaling>
          <c:orientation val="minMax"/>
        </c:scaling>
        <c:axPos val="l"/>
        <c:majorGridlines/>
        <c:numFmt formatCode="0.00" sourceLinked="1"/>
        <c:tickLblPos val="nextTo"/>
        <c:crossAx val="56338304"/>
        <c:crosses val="autoZero"/>
        <c:crossBetween val="between"/>
      </c:valAx>
      <c:spPr>
        <a:solidFill>
          <a:schemeClr val="accent1">
            <a:lumMod val="60000"/>
            <a:lumOff val="40000"/>
          </a:schemeClr>
        </a:solidFill>
      </c:spPr>
    </c:plotArea>
    <c:legend>
      <c:legendPos val="r"/>
      <c:layout/>
    </c:legend>
    <c:plotVisOnly val="1"/>
  </c:chart>
  <c:spPr>
    <a:ln>
      <a:solidFill>
        <a:schemeClr val="tx1"/>
      </a:solid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2010-09-27T07:00:00+00:00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10CF030-6B50-4D11-9A21-DD8B8418D988}"/>
</file>

<file path=customXml/itemProps2.xml><?xml version="1.0" encoding="utf-8"?>
<ds:datastoreItem xmlns:ds="http://schemas.openxmlformats.org/officeDocument/2006/customXml" ds:itemID="{618F8981-983A-4E72-B1EC-284ECB750D17}"/>
</file>

<file path=customXml/itemProps3.xml><?xml version="1.0" encoding="utf-8"?>
<ds:datastoreItem xmlns:ds="http://schemas.openxmlformats.org/officeDocument/2006/customXml" ds:itemID="{386632EA-061C-4F99-BAE2-62419EC194AE}"/>
</file>

<file path=customXml/itemProps4.xml><?xml version="1.0" encoding="utf-8"?>
<ds:datastoreItem xmlns:ds="http://schemas.openxmlformats.org/officeDocument/2006/customXml" ds:itemID="{E3EB6977-9D42-4B26-BB75-D38943252712}"/>
</file>

<file path=customXml/itemProps5.xml><?xml version="1.0" encoding="utf-8"?>
<ds:datastoreItem xmlns:ds="http://schemas.openxmlformats.org/officeDocument/2006/customXml" ds:itemID="{BCE07FF0-4FFB-4D4B-98DD-E2650F312BE8}"/>
</file>

<file path=customXml/itemProps6.xml><?xml version="1.0" encoding="utf-8"?>
<ds:datastoreItem xmlns:ds="http://schemas.openxmlformats.org/officeDocument/2006/customXml" ds:itemID="{7DA1878A-0A00-48DF-8D35-2A557629DD53}"/>
</file>

<file path=docProps/app.xml><?xml version="1.0" encoding="utf-8"?>
<Properties xmlns="http://schemas.openxmlformats.org/officeDocument/2006/extended-properties" xmlns:vt="http://schemas.openxmlformats.org/officeDocument/2006/docPropsVTypes">
  <Template>Normal.dotm</Template>
  <TotalTime>40</TotalTime>
  <Pages>28</Pages>
  <Words>5528</Words>
  <Characters>30701</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36157</CharactersWithSpaces>
  <SharedDoc>false</SharedDoc>
  <HLinks>
    <vt:vector size="6" baseType="variant">
      <vt:variant>
        <vt:i4>1572981</vt:i4>
      </vt:variant>
      <vt:variant>
        <vt:i4>0</vt:i4>
      </vt:variant>
      <vt:variant>
        <vt:i4>0</vt:i4>
      </vt:variant>
      <vt:variant>
        <vt:i4>5</vt:i4>
      </vt:variant>
      <vt:variant>
        <vt:lpwstr>mailto:tzawisla@utc.wa.gov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Services</dc:creator>
  <cp:keywords/>
  <dc:description/>
  <cp:lastModifiedBy>Jennifer Cameron-Rulkowski</cp:lastModifiedBy>
  <cp:revision>22</cp:revision>
  <cp:lastPrinted>2010-09-24T23:43:00Z</cp:lastPrinted>
  <dcterms:created xsi:type="dcterms:W3CDTF">2010-09-24T23:46:00Z</dcterms:created>
  <dcterms:modified xsi:type="dcterms:W3CDTF">2010-09-27T17:36:00Z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