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08" w:rsidRPr="004F7AA7" w:rsidRDefault="00DB2108" w:rsidP="00DB2108">
      <w:pPr>
        <w:spacing w:after="0" w:line="240" w:lineRule="auto"/>
        <w:ind w:right="18" w:firstLine="4860"/>
        <w:contextualSpacing/>
        <w:rPr>
          <w:rFonts w:ascii="Times New Roman" w:hAnsi="Times New Roman" w:cs="Times New Roman"/>
          <w:b/>
          <w:sz w:val="24"/>
          <w:szCs w:val="24"/>
          <w:lang w:val="fr-FR"/>
        </w:rPr>
      </w:pPr>
      <w:r w:rsidRPr="004F7AA7">
        <w:rPr>
          <w:rFonts w:ascii="Times New Roman" w:hAnsi="Times New Roman" w:cs="Times New Roman"/>
          <w:b/>
          <w:sz w:val="24"/>
          <w:szCs w:val="24"/>
        </w:rPr>
        <w:t>Exhibit</w:t>
      </w:r>
      <w:r w:rsidRPr="004F7AA7">
        <w:rPr>
          <w:rFonts w:ascii="Times New Roman" w:hAnsi="Times New Roman" w:cs="Times New Roman"/>
          <w:b/>
          <w:sz w:val="24"/>
          <w:szCs w:val="24"/>
          <w:lang w:val="fr-FR"/>
        </w:rPr>
        <w:t xml:space="preserve"> No. ___ HCT (</w:t>
      </w:r>
      <w:proofErr w:type="spellStart"/>
      <w:r w:rsidRPr="004F7AA7">
        <w:rPr>
          <w:rFonts w:ascii="Times New Roman" w:hAnsi="Times New Roman" w:cs="Times New Roman"/>
          <w:b/>
          <w:sz w:val="24"/>
          <w:szCs w:val="24"/>
          <w:lang w:val="fr-FR"/>
        </w:rPr>
        <w:t>JL</w:t>
      </w:r>
      <w:proofErr w:type="spellEnd"/>
      <w:r w:rsidRPr="004F7AA7">
        <w:rPr>
          <w:rFonts w:ascii="Times New Roman" w:hAnsi="Times New Roman" w:cs="Times New Roman"/>
          <w:b/>
          <w:sz w:val="24"/>
          <w:szCs w:val="24"/>
          <w:lang w:val="fr-FR"/>
        </w:rPr>
        <w:t>-1HCT)</w:t>
      </w:r>
    </w:p>
    <w:p w:rsidR="00DB2108" w:rsidRPr="004F7AA7" w:rsidRDefault="00DB2108" w:rsidP="00DB2108">
      <w:pPr>
        <w:spacing w:after="0" w:line="240" w:lineRule="auto"/>
        <w:ind w:firstLine="4860"/>
        <w:contextualSpacing/>
        <w:rPr>
          <w:rFonts w:ascii="Times New Roman" w:hAnsi="Times New Roman" w:cs="Times New Roman"/>
          <w:b/>
          <w:sz w:val="24"/>
          <w:szCs w:val="24"/>
        </w:rPr>
      </w:pPr>
      <w:r w:rsidRPr="004F7AA7">
        <w:rPr>
          <w:rFonts w:ascii="Times New Roman" w:hAnsi="Times New Roman" w:cs="Times New Roman"/>
          <w:b/>
          <w:sz w:val="24"/>
          <w:szCs w:val="24"/>
        </w:rPr>
        <w:t>Docket UT-100820</w:t>
      </w:r>
    </w:p>
    <w:p w:rsidR="00DB2108" w:rsidRPr="004F7AA7" w:rsidRDefault="00DB2108" w:rsidP="00DB2108">
      <w:pPr>
        <w:spacing w:after="0" w:line="240" w:lineRule="auto"/>
        <w:ind w:firstLine="4860"/>
        <w:contextualSpacing/>
        <w:rPr>
          <w:rFonts w:ascii="Times New Roman" w:hAnsi="Times New Roman" w:cs="Times New Roman"/>
          <w:b/>
          <w:sz w:val="24"/>
          <w:szCs w:val="24"/>
        </w:rPr>
      </w:pPr>
      <w:r w:rsidRPr="004F7AA7">
        <w:rPr>
          <w:rFonts w:ascii="Times New Roman" w:hAnsi="Times New Roman" w:cs="Times New Roman"/>
          <w:b/>
          <w:sz w:val="24"/>
          <w:szCs w:val="24"/>
        </w:rPr>
        <w:t>Witness:  Jing Liu</w:t>
      </w:r>
    </w:p>
    <w:p w:rsidR="00DB2108" w:rsidRPr="004F7AA7" w:rsidRDefault="0048446C" w:rsidP="00DB2108">
      <w:pPr>
        <w:spacing w:after="0" w:line="240" w:lineRule="auto"/>
        <w:ind w:firstLine="4860"/>
        <w:contextualSpacing/>
        <w:rPr>
          <w:rFonts w:ascii="Times New Roman" w:hAnsi="Times New Roman" w:cs="Times New Roman"/>
          <w:b/>
          <w:sz w:val="24"/>
          <w:szCs w:val="24"/>
        </w:rPr>
      </w:pPr>
      <w:r>
        <w:rPr>
          <w:rFonts w:ascii="Times New Roman" w:hAnsi="Times New Roman" w:cs="Times New Roman"/>
          <w:b/>
          <w:sz w:val="24"/>
          <w:szCs w:val="24"/>
        </w:rPr>
        <w:t>REDACTED</w:t>
      </w:r>
      <w:r w:rsidR="00DB2108" w:rsidRPr="004F7AA7">
        <w:rPr>
          <w:rFonts w:ascii="Times New Roman" w:hAnsi="Times New Roman" w:cs="Times New Roman"/>
          <w:b/>
          <w:sz w:val="24"/>
          <w:szCs w:val="24"/>
        </w:rPr>
        <w:t xml:space="preserve"> VERSION</w:t>
      </w:r>
    </w:p>
    <w:p w:rsidR="00DB2108" w:rsidRPr="004F7AA7" w:rsidRDefault="00DB2108" w:rsidP="00DB2108">
      <w:pPr>
        <w:spacing w:after="0" w:line="240" w:lineRule="auto"/>
        <w:ind w:firstLine="5670"/>
        <w:contextualSpacing/>
        <w:rPr>
          <w:rFonts w:ascii="Times New Roman" w:hAnsi="Times New Roman" w:cs="Times New Roman"/>
          <w:b/>
          <w:sz w:val="24"/>
          <w:szCs w:val="24"/>
        </w:rPr>
      </w:pPr>
    </w:p>
    <w:p w:rsidR="00DB2108" w:rsidRPr="004F7AA7" w:rsidRDefault="00DB2108" w:rsidP="00DB2108">
      <w:pPr>
        <w:pStyle w:val="BlockText"/>
        <w:spacing w:line="240" w:lineRule="auto"/>
        <w:ind w:left="0"/>
        <w:contextualSpacing/>
        <w:rPr>
          <w:b/>
          <w:color w:val="0000FF"/>
        </w:rPr>
      </w:pPr>
    </w:p>
    <w:p w:rsidR="00DB2108" w:rsidRPr="004F7AA7" w:rsidRDefault="00DB2108" w:rsidP="00DB2108">
      <w:pPr>
        <w:pStyle w:val="BlockText"/>
        <w:spacing w:line="240" w:lineRule="auto"/>
        <w:ind w:left="0"/>
        <w:contextualSpacing/>
        <w:rPr>
          <w:b/>
          <w:color w:val="0000FF"/>
        </w:rPr>
      </w:pPr>
    </w:p>
    <w:p w:rsidR="00DB2108" w:rsidRPr="004F7AA7" w:rsidRDefault="00DB2108" w:rsidP="00DB2108">
      <w:pPr>
        <w:pStyle w:val="BlockText"/>
        <w:spacing w:line="240" w:lineRule="auto"/>
        <w:ind w:left="0"/>
        <w:contextualSpacing/>
        <w:rPr>
          <w:b/>
          <w:color w:val="0000FF"/>
        </w:rPr>
      </w:pPr>
    </w:p>
    <w:p w:rsidR="00DB2108" w:rsidRPr="004F7AA7" w:rsidRDefault="00DB2108" w:rsidP="00DB2108">
      <w:pPr>
        <w:tabs>
          <w:tab w:val="center" w:pos="4680"/>
        </w:tabs>
        <w:spacing w:after="0" w:line="240" w:lineRule="auto"/>
        <w:ind w:right="-108" w:hanging="180"/>
        <w:contextualSpacing/>
        <w:jc w:val="both"/>
        <w:rPr>
          <w:rFonts w:ascii="Times New Roman" w:hAnsi="Times New Roman" w:cs="Times New Roman"/>
          <w:b/>
          <w:sz w:val="24"/>
          <w:szCs w:val="24"/>
        </w:rPr>
      </w:pPr>
      <w:r w:rsidRPr="004F7AA7">
        <w:rPr>
          <w:rFonts w:ascii="Times New Roman" w:hAnsi="Times New Roman" w:cs="Times New Roman"/>
          <w:b/>
          <w:sz w:val="24"/>
          <w:szCs w:val="24"/>
        </w:rPr>
        <w:t>BEFORE THE WASHINGTON UTILITIES AND TRANSPORTATION COMMISSION</w:t>
      </w:r>
    </w:p>
    <w:p w:rsidR="00DB2108" w:rsidRPr="004F7AA7" w:rsidRDefault="00DB2108" w:rsidP="00DB2108">
      <w:pPr>
        <w:spacing w:after="0" w:line="240" w:lineRule="auto"/>
        <w:contextualSpacing/>
        <w:jc w:val="both"/>
        <w:rPr>
          <w:rFonts w:ascii="Times New Roman" w:hAnsi="Times New Roman" w:cs="Times New Roman"/>
          <w:b/>
          <w:sz w:val="24"/>
          <w:szCs w:val="24"/>
        </w:rPr>
      </w:pPr>
    </w:p>
    <w:p w:rsidR="00DB2108" w:rsidRPr="004F7AA7" w:rsidRDefault="00DB2108" w:rsidP="00DB2108">
      <w:pPr>
        <w:spacing w:after="0" w:line="240" w:lineRule="auto"/>
        <w:contextualSpacing/>
        <w:jc w:val="both"/>
        <w:rPr>
          <w:rFonts w:ascii="Times New Roman" w:hAnsi="Times New Roman" w:cs="Times New Roman"/>
          <w:b/>
          <w:sz w:val="24"/>
          <w:szCs w:val="24"/>
        </w:rPr>
      </w:pPr>
    </w:p>
    <w:tbl>
      <w:tblPr>
        <w:tblW w:w="9180" w:type="dxa"/>
        <w:tblInd w:w="124" w:type="dxa"/>
        <w:tblLayout w:type="fixed"/>
        <w:tblCellMar>
          <w:left w:w="124" w:type="dxa"/>
          <w:right w:w="124" w:type="dxa"/>
        </w:tblCellMar>
        <w:tblLook w:val="0000"/>
      </w:tblPr>
      <w:tblGrid>
        <w:gridCol w:w="4590"/>
        <w:gridCol w:w="4590"/>
      </w:tblGrid>
      <w:tr w:rsidR="00DB2108" w:rsidRPr="004F7AA7" w:rsidTr="00DB2108">
        <w:tc>
          <w:tcPr>
            <w:tcW w:w="4590" w:type="dxa"/>
            <w:tcBorders>
              <w:top w:val="single" w:sz="6" w:space="0" w:color="FFFFFF"/>
              <w:left w:val="single" w:sz="6" w:space="0" w:color="FFFFFF"/>
              <w:bottom w:val="single" w:sz="7" w:space="0" w:color="000000"/>
              <w:right w:val="single" w:sz="6" w:space="0" w:color="FFFFFF"/>
            </w:tcBorders>
          </w:tcPr>
          <w:p w:rsidR="00DB2108" w:rsidRPr="004F7AA7" w:rsidRDefault="00DB2108" w:rsidP="00DB2108">
            <w:pPr>
              <w:spacing w:after="0" w:line="240" w:lineRule="auto"/>
              <w:contextualSpacing/>
              <w:rPr>
                <w:rFonts w:ascii="Times New Roman" w:hAnsi="Times New Roman" w:cs="Times New Roman"/>
                <w:b/>
                <w:sz w:val="24"/>
                <w:szCs w:val="24"/>
              </w:rPr>
            </w:pPr>
          </w:p>
          <w:p w:rsidR="004F7AA7" w:rsidRPr="004F7AA7" w:rsidRDefault="004F7AA7" w:rsidP="004F7AA7">
            <w:pPr>
              <w:spacing w:after="19"/>
              <w:rPr>
                <w:rFonts w:ascii="Times New Roman" w:hAnsi="Times New Roman" w:cs="Times New Roman"/>
                <w:b/>
                <w:sz w:val="24"/>
                <w:szCs w:val="24"/>
              </w:rPr>
            </w:pPr>
            <w:r w:rsidRPr="004F7AA7">
              <w:rPr>
                <w:rFonts w:ascii="Times New Roman" w:hAnsi="Times New Roman" w:cs="Times New Roman"/>
                <w:b/>
                <w:sz w:val="24"/>
                <w:szCs w:val="24"/>
              </w:rPr>
              <w:t xml:space="preserve">In the Matter of the Joint Application of </w:t>
            </w:r>
          </w:p>
          <w:p w:rsidR="004F7AA7" w:rsidRPr="004F7AA7" w:rsidRDefault="004F7AA7" w:rsidP="004F7AA7">
            <w:pPr>
              <w:spacing w:after="19"/>
              <w:rPr>
                <w:rFonts w:ascii="Times New Roman" w:hAnsi="Times New Roman" w:cs="Times New Roman"/>
                <w:b/>
                <w:sz w:val="24"/>
                <w:szCs w:val="24"/>
              </w:rPr>
            </w:pPr>
          </w:p>
          <w:p w:rsidR="004F7AA7" w:rsidRPr="004F7AA7" w:rsidRDefault="004F7AA7" w:rsidP="004F7AA7">
            <w:pPr>
              <w:spacing w:after="19"/>
              <w:rPr>
                <w:rFonts w:ascii="Times New Roman" w:hAnsi="Times New Roman" w:cs="Times New Roman"/>
                <w:b/>
                <w:sz w:val="24"/>
                <w:szCs w:val="24"/>
              </w:rPr>
            </w:pPr>
            <w:r w:rsidRPr="004F7AA7">
              <w:rPr>
                <w:rFonts w:ascii="Times New Roman" w:hAnsi="Times New Roman" w:cs="Times New Roman"/>
                <w:b/>
                <w:sz w:val="24"/>
                <w:szCs w:val="24"/>
              </w:rPr>
              <w:t>QWEST COMMUNICATIONS INTERNATIONAL INC. and CENTURYTEL, INC.</w:t>
            </w:r>
          </w:p>
          <w:p w:rsidR="004F7AA7" w:rsidRPr="004F7AA7" w:rsidRDefault="004F7AA7" w:rsidP="004F7AA7">
            <w:pPr>
              <w:spacing w:after="19"/>
              <w:rPr>
                <w:rFonts w:ascii="Times New Roman" w:hAnsi="Times New Roman" w:cs="Times New Roman"/>
                <w:b/>
                <w:sz w:val="24"/>
                <w:szCs w:val="24"/>
              </w:rPr>
            </w:pPr>
          </w:p>
          <w:p w:rsidR="004F7AA7" w:rsidRPr="004F7AA7" w:rsidRDefault="004F7AA7" w:rsidP="004F7AA7">
            <w:pPr>
              <w:spacing w:after="19"/>
              <w:rPr>
                <w:rFonts w:ascii="Times New Roman" w:hAnsi="Times New Roman" w:cs="Times New Roman"/>
                <w:b/>
                <w:sz w:val="24"/>
                <w:szCs w:val="24"/>
              </w:rPr>
            </w:pPr>
            <w:r w:rsidRPr="004F7AA7">
              <w:rPr>
                <w:rFonts w:ascii="Times New Roman" w:hAnsi="Times New Roman" w:cs="Times New Roman"/>
                <w:b/>
                <w:sz w:val="24"/>
                <w:szCs w:val="24"/>
              </w:rPr>
              <w:t>for Approval of Indirect Transfer of Control of Qwest Corporation, Qwest Communications Company LLC, and Qwest LD Corp.</w:t>
            </w:r>
          </w:p>
          <w:p w:rsidR="00DB2108" w:rsidRPr="004F7AA7" w:rsidRDefault="00DB2108" w:rsidP="00DB2108">
            <w:pPr>
              <w:spacing w:after="0" w:line="240" w:lineRule="auto"/>
              <w:contextualSpacing/>
              <w:rPr>
                <w:rFonts w:ascii="Times New Roman" w:hAnsi="Times New Roman" w:cs="Times New Roman"/>
                <w:b/>
                <w:sz w:val="24"/>
                <w:szCs w:val="24"/>
              </w:rPr>
            </w:pPr>
          </w:p>
        </w:tc>
        <w:tc>
          <w:tcPr>
            <w:tcW w:w="4590" w:type="dxa"/>
            <w:tcBorders>
              <w:top w:val="single" w:sz="6" w:space="0" w:color="FFFFFF"/>
              <w:left w:val="single" w:sz="7" w:space="0" w:color="000000"/>
              <w:bottom w:val="single" w:sz="6" w:space="0" w:color="FFFFFF"/>
              <w:right w:val="single" w:sz="6" w:space="0" w:color="FFFFFF"/>
            </w:tcBorders>
          </w:tcPr>
          <w:p w:rsidR="00DB2108" w:rsidRPr="004F7AA7" w:rsidRDefault="00DB2108" w:rsidP="00DB2108">
            <w:pPr>
              <w:spacing w:after="0" w:line="240" w:lineRule="auto"/>
              <w:ind w:firstLine="720"/>
              <w:contextualSpacing/>
              <w:rPr>
                <w:rFonts w:ascii="Times New Roman" w:hAnsi="Times New Roman" w:cs="Times New Roman"/>
                <w:b/>
                <w:sz w:val="24"/>
                <w:szCs w:val="24"/>
              </w:rPr>
            </w:pPr>
          </w:p>
          <w:p w:rsidR="00DB2108" w:rsidRPr="004F7AA7" w:rsidRDefault="00DB2108" w:rsidP="00DB2108">
            <w:pPr>
              <w:spacing w:after="0" w:line="240" w:lineRule="auto"/>
              <w:ind w:firstLine="720"/>
              <w:contextualSpacing/>
              <w:rPr>
                <w:rFonts w:ascii="Times New Roman" w:hAnsi="Times New Roman" w:cs="Times New Roman"/>
                <w:b/>
                <w:sz w:val="24"/>
                <w:szCs w:val="24"/>
              </w:rPr>
            </w:pPr>
            <w:r w:rsidRPr="004F7AA7">
              <w:rPr>
                <w:rFonts w:ascii="Times New Roman" w:hAnsi="Times New Roman" w:cs="Times New Roman"/>
                <w:b/>
                <w:sz w:val="24"/>
                <w:szCs w:val="24"/>
              </w:rPr>
              <w:t>DOCKET UT-100820</w:t>
            </w:r>
          </w:p>
          <w:p w:rsidR="00DB2108" w:rsidRPr="004F7AA7" w:rsidRDefault="00DB2108" w:rsidP="00DB2108">
            <w:pPr>
              <w:spacing w:after="0" w:line="240" w:lineRule="auto"/>
              <w:contextualSpacing/>
              <w:rPr>
                <w:rFonts w:ascii="Times New Roman" w:hAnsi="Times New Roman" w:cs="Times New Roman"/>
                <w:b/>
                <w:sz w:val="24"/>
                <w:szCs w:val="24"/>
              </w:rPr>
            </w:pPr>
          </w:p>
          <w:p w:rsidR="00DB2108" w:rsidRPr="004F7AA7" w:rsidRDefault="00DB2108" w:rsidP="00DB2108">
            <w:pPr>
              <w:spacing w:after="0" w:line="240" w:lineRule="auto"/>
              <w:ind w:left="720"/>
              <w:contextualSpacing/>
              <w:rPr>
                <w:rFonts w:ascii="Times New Roman" w:hAnsi="Times New Roman" w:cs="Times New Roman"/>
                <w:b/>
                <w:sz w:val="24"/>
                <w:szCs w:val="24"/>
              </w:rPr>
            </w:pPr>
            <w:r w:rsidRPr="004F7AA7">
              <w:rPr>
                <w:rFonts w:ascii="Times New Roman" w:hAnsi="Times New Roman" w:cs="Times New Roman"/>
                <w:b/>
                <w:sz w:val="24"/>
                <w:szCs w:val="24"/>
              </w:rPr>
              <w:t xml:space="preserve"> </w:t>
            </w:r>
          </w:p>
        </w:tc>
      </w:tr>
    </w:tbl>
    <w:p w:rsidR="00DB2108" w:rsidRPr="004F7AA7" w:rsidRDefault="00DB2108" w:rsidP="00DB2108">
      <w:pPr>
        <w:spacing w:after="0" w:line="240" w:lineRule="auto"/>
        <w:contextualSpacing/>
        <w:jc w:val="both"/>
        <w:rPr>
          <w:rFonts w:ascii="Times New Roman" w:hAnsi="Times New Roman" w:cs="Times New Roman"/>
          <w:sz w:val="24"/>
          <w:szCs w:val="24"/>
        </w:rPr>
      </w:pPr>
    </w:p>
    <w:p w:rsidR="00DB2108" w:rsidRPr="004F7AA7" w:rsidRDefault="00DB2108" w:rsidP="00DB2108">
      <w:pPr>
        <w:spacing w:after="0" w:line="240" w:lineRule="auto"/>
        <w:contextualSpacing/>
        <w:rPr>
          <w:rFonts w:ascii="Times New Roman" w:hAnsi="Times New Roman" w:cs="Times New Roman"/>
          <w:b/>
          <w:bCs/>
          <w:sz w:val="24"/>
          <w:szCs w:val="24"/>
        </w:rPr>
      </w:pPr>
    </w:p>
    <w:p w:rsidR="00DB2108" w:rsidRPr="004F7AA7" w:rsidRDefault="00DB2108" w:rsidP="00DB2108">
      <w:pPr>
        <w:spacing w:after="0" w:line="240" w:lineRule="auto"/>
        <w:contextualSpacing/>
        <w:rPr>
          <w:rFonts w:ascii="Times New Roman" w:hAnsi="Times New Roman" w:cs="Times New Roman"/>
          <w:b/>
          <w:bCs/>
          <w:sz w:val="24"/>
          <w:szCs w:val="24"/>
        </w:rPr>
      </w:pPr>
    </w:p>
    <w:p w:rsidR="00DB2108" w:rsidRPr="004F7AA7" w:rsidRDefault="00DB2108" w:rsidP="00DB2108">
      <w:pPr>
        <w:spacing w:after="0" w:line="240" w:lineRule="auto"/>
        <w:contextualSpacing/>
        <w:jc w:val="center"/>
        <w:rPr>
          <w:rFonts w:ascii="Times New Roman" w:hAnsi="Times New Roman" w:cs="Times New Roman"/>
          <w:b/>
          <w:bCs/>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TESTIMONY</w:t>
      </w:r>
    </w:p>
    <w:p w:rsidR="00DB2108" w:rsidRPr="004F7AA7" w:rsidRDefault="00DB2108" w:rsidP="00DB2108">
      <w:pPr>
        <w:spacing w:after="0" w:line="240" w:lineRule="auto"/>
        <w:contextualSpacing/>
        <w:jc w:val="center"/>
        <w:rPr>
          <w:rFonts w:ascii="Times New Roman" w:hAnsi="Times New Roman" w:cs="Times New Roman"/>
          <w:b/>
          <w:sz w:val="24"/>
          <w:szCs w:val="24"/>
        </w:rPr>
      </w:pPr>
    </w:p>
    <w:p w:rsidR="00DB2108" w:rsidRPr="004F7AA7" w:rsidRDefault="00DB2108" w:rsidP="00DB2108">
      <w:pPr>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OF</w:t>
      </w:r>
    </w:p>
    <w:p w:rsidR="00DB2108" w:rsidRPr="004F7AA7" w:rsidRDefault="00DB2108" w:rsidP="00DB2108">
      <w:pPr>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JING LIU</w:t>
      </w:r>
    </w:p>
    <w:p w:rsidR="00DB2108" w:rsidRPr="004F7AA7" w:rsidRDefault="00DB2108" w:rsidP="00DB2108">
      <w:pPr>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STAFF OF</w:t>
      </w: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WASHINGTON UTILITIES AND</w:t>
      </w: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r w:rsidRPr="004F7AA7">
        <w:rPr>
          <w:rFonts w:ascii="Times New Roman" w:hAnsi="Times New Roman" w:cs="Times New Roman"/>
          <w:b/>
          <w:sz w:val="24"/>
          <w:szCs w:val="24"/>
        </w:rPr>
        <w:t>TRANSPORTATION COMMISSION</w:t>
      </w: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pPr>
    </w:p>
    <w:p w:rsidR="00DB2108" w:rsidRPr="004F7AA7" w:rsidRDefault="00DB2108" w:rsidP="007138D7">
      <w:pPr>
        <w:spacing w:after="0" w:line="240" w:lineRule="auto"/>
        <w:contextualSpacing/>
        <w:jc w:val="center"/>
        <w:rPr>
          <w:rFonts w:ascii="Times New Roman" w:hAnsi="Times New Roman" w:cs="Times New Roman"/>
          <w:b/>
          <w:sz w:val="24"/>
          <w:szCs w:val="24"/>
        </w:rPr>
      </w:pPr>
    </w:p>
    <w:p w:rsidR="00DB2108" w:rsidRPr="004F7AA7" w:rsidRDefault="00DB2108" w:rsidP="00DB2108">
      <w:pPr>
        <w:tabs>
          <w:tab w:val="center" w:pos="4680"/>
        </w:tabs>
        <w:spacing w:after="0" w:line="240" w:lineRule="auto"/>
        <w:contextualSpacing/>
        <w:jc w:val="center"/>
        <w:rPr>
          <w:rFonts w:ascii="Times New Roman" w:hAnsi="Times New Roman" w:cs="Times New Roman"/>
          <w:b/>
          <w:sz w:val="24"/>
          <w:szCs w:val="24"/>
        </w:rPr>
        <w:sectPr w:rsidR="00DB2108" w:rsidRPr="004F7AA7" w:rsidSect="00DB2108">
          <w:footerReference w:type="default" r:id="rId8"/>
          <w:footerReference w:type="first" r:id="rId9"/>
          <w:pgSz w:w="12240" w:h="15840" w:code="1"/>
          <w:pgMar w:top="1440" w:right="1440" w:bottom="1440" w:left="1872" w:header="720" w:footer="720" w:gutter="0"/>
          <w:pgNumType w:fmt="lowerRoman" w:start="1"/>
          <w:cols w:space="720"/>
          <w:titlePg/>
          <w:docGrid w:linePitch="360"/>
        </w:sectPr>
      </w:pPr>
      <w:r w:rsidRPr="004F7AA7">
        <w:rPr>
          <w:rFonts w:ascii="Times New Roman" w:hAnsi="Times New Roman" w:cs="Times New Roman"/>
          <w:b/>
          <w:sz w:val="24"/>
          <w:szCs w:val="24"/>
        </w:rPr>
        <w:t>September 27, 2010</w:t>
      </w:r>
    </w:p>
    <w:p w:rsidR="00DB2108" w:rsidRPr="004F7AA7" w:rsidRDefault="00DB2108" w:rsidP="00DB2108">
      <w:pPr>
        <w:spacing w:after="0" w:line="240" w:lineRule="auto"/>
        <w:jc w:val="center"/>
        <w:rPr>
          <w:rFonts w:ascii="Times New Roman" w:hAnsi="Times New Roman" w:cs="Times New Roman"/>
          <w:b/>
          <w:sz w:val="24"/>
          <w:szCs w:val="24"/>
        </w:rPr>
      </w:pPr>
      <w:r w:rsidRPr="004F7AA7">
        <w:rPr>
          <w:rFonts w:ascii="Times New Roman" w:hAnsi="Times New Roman" w:cs="Times New Roman"/>
          <w:b/>
          <w:sz w:val="24"/>
          <w:szCs w:val="24"/>
        </w:rPr>
        <w:lastRenderedPageBreak/>
        <w:t>TABLE OF CONTENTS</w:t>
      </w:r>
    </w:p>
    <w:p w:rsidR="00DB2108" w:rsidRPr="004F7AA7" w:rsidRDefault="00DB2108" w:rsidP="00DB2108">
      <w:pPr>
        <w:spacing w:after="0" w:line="240" w:lineRule="auto"/>
        <w:jc w:val="center"/>
        <w:rPr>
          <w:rFonts w:ascii="Times New Roman" w:hAnsi="Times New Roman" w:cs="Times New Roman"/>
          <w:b/>
          <w:sz w:val="24"/>
          <w:szCs w:val="24"/>
        </w:rPr>
      </w:pPr>
    </w:p>
    <w:p w:rsidR="00DB2108" w:rsidRPr="004F7AA7" w:rsidRDefault="00DB2108" w:rsidP="00DB2108">
      <w:pPr>
        <w:spacing w:after="0"/>
        <w:contextualSpacing/>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rPr>
        <w:id w:val="2018045"/>
        <w:docPartObj>
          <w:docPartGallery w:val="Table of Contents"/>
          <w:docPartUnique/>
        </w:docPartObj>
      </w:sdtPr>
      <w:sdtContent>
        <w:p w:rsidR="00167A6B" w:rsidRPr="00167A6B" w:rsidRDefault="00167A6B">
          <w:pPr>
            <w:pStyle w:val="TOCHeading"/>
            <w:rPr>
              <w:rFonts w:ascii="Times New Roman" w:hAnsi="Times New Roman" w:cs="Times New Roman"/>
              <w:sz w:val="24"/>
              <w:szCs w:val="24"/>
            </w:rPr>
          </w:pPr>
        </w:p>
        <w:p w:rsidR="002C1DF7" w:rsidRPr="00BA4434" w:rsidRDefault="003D577C" w:rsidP="007F3088">
          <w:pPr>
            <w:pStyle w:val="TOC1"/>
            <w:rPr>
              <w:rFonts w:ascii="Times New Roman" w:eastAsiaTheme="minorEastAsia" w:hAnsi="Times New Roman" w:cs="Times New Roman"/>
              <w:noProof/>
            </w:rPr>
          </w:pPr>
          <w:r w:rsidRPr="003D577C">
            <w:rPr>
              <w:rFonts w:ascii="Times New Roman" w:hAnsi="Times New Roman" w:cs="Times New Roman"/>
            </w:rPr>
            <w:fldChar w:fldCharType="begin"/>
          </w:r>
          <w:r w:rsidR="00167A6B" w:rsidRPr="00BA4434">
            <w:rPr>
              <w:rFonts w:ascii="Times New Roman" w:hAnsi="Times New Roman" w:cs="Times New Roman"/>
            </w:rPr>
            <w:instrText xml:space="preserve"> TOC \o "1-3" \h \z \u </w:instrText>
          </w:r>
          <w:r w:rsidRPr="003D577C">
            <w:rPr>
              <w:rFonts w:ascii="Times New Roman" w:hAnsi="Times New Roman" w:cs="Times New Roman"/>
            </w:rPr>
            <w:fldChar w:fldCharType="separate"/>
          </w:r>
          <w:hyperlink w:anchor="_Toc273089707" w:history="1">
            <w:r w:rsidR="002C1DF7" w:rsidRPr="00BA4434">
              <w:rPr>
                <w:rStyle w:val="Hyperlink"/>
                <w:rFonts w:ascii="Times New Roman" w:hAnsi="Times New Roman" w:cs="Times New Roman"/>
                <w:noProof/>
                <w:sz w:val="24"/>
                <w:szCs w:val="24"/>
              </w:rPr>
              <w:t>I.</w:t>
            </w:r>
            <w:r w:rsidR="002C1DF7" w:rsidRPr="00BA4434">
              <w:rPr>
                <w:rFonts w:ascii="Times New Roman" w:eastAsiaTheme="minorEastAsia" w:hAnsi="Times New Roman" w:cs="Times New Roman"/>
                <w:noProof/>
              </w:rPr>
              <w:tab/>
            </w:r>
            <w:r w:rsidR="002C1DF7" w:rsidRPr="00BA4434">
              <w:rPr>
                <w:rStyle w:val="Hyperlink"/>
                <w:rFonts w:ascii="Times New Roman" w:hAnsi="Times New Roman" w:cs="Times New Roman"/>
                <w:noProof/>
                <w:sz w:val="24"/>
                <w:szCs w:val="24"/>
              </w:rPr>
              <w:t>INTRODUCTION</w:t>
            </w:r>
            <w:r w:rsidR="002C1DF7" w:rsidRPr="00BA4434">
              <w:rPr>
                <w:rFonts w:ascii="Times New Roman" w:hAnsi="Times New Roman" w:cs="Times New Roman"/>
                <w:noProof/>
                <w:webHidden/>
              </w:rPr>
              <w:tab/>
            </w:r>
            <w:r w:rsidRPr="00BA4434">
              <w:rPr>
                <w:rFonts w:ascii="Times New Roman" w:hAnsi="Times New Roman" w:cs="Times New Roman"/>
                <w:noProof/>
                <w:webHidden/>
              </w:rPr>
              <w:fldChar w:fldCharType="begin"/>
            </w:r>
            <w:r w:rsidR="002C1DF7" w:rsidRPr="00BA4434">
              <w:rPr>
                <w:rFonts w:ascii="Times New Roman" w:hAnsi="Times New Roman" w:cs="Times New Roman"/>
                <w:noProof/>
                <w:webHidden/>
              </w:rPr>
              <w:instrText xml:space="preserve"> PAGEREF _Toc273089707 \h </w:instrText>
            </w:r>
            <w:r w:rsidRPr="00BA4434">
              <w:rPr>
                <w:rFonts w:ascii="Times New Roman" w:hAnsi="Times New Roman" w:cs="Times New Roman"/>
                <w:noProof/>
                <w:webHidden/>
              </w:rPr>
            </w:r>
            <w:r w:rsidRPr="00BA4434">
              <w:rPr>
                <w:rFonts w:ascii="Times New Roman" w:hAnsi="Times New Roman" w:cs="Times New Roman"/>
                <w:noProof/>
                <w:webHidden/>
              </w:rPr>
              <w:fldChar w:fldCharType="separate"/>
            </w:r>
            <w:r w:rsidR="00EE7CD3">
              <w:rPr>
                <w:rFonts w:ascii="Times New Roman" w:hAnsi="Times New Roman" w:cs="Times New Roman"/>
                <w:noProof/>
                <w:webHidden/>
              </w:rPr>
              <w:t>1</w:t>
            </w:r>
            <w:r w:rsidRPr="00BA4434">
              <w:rPr>
                <w:rFonts w:ascii="Times New Roman" w:hAnsi="Times New Roman" w:cs="Times New Roman"/>
                <w:noProof/>
                <w:webHidden/>
              </w:rPr>
              <w:fldChar w:fldCharType="end"/>
            </w:r>
          </w:hyperlink>
        </w:p>
        <w:p w:rsidR="002C1DF7" w:rsidRPr="00BA4434" w:rsidRDefault="003D577C" w:rsidP="007F3088">
          <w:pPr>
            <w:pStyle w:val="TOC1"/>
            <w:rPr>
              <w:rFonts w:ascii="Times New Roman" w:eastAsiaTheme="minorEastAsia" w:hAnsi="Times New Roman" w:cs="Times New Roman"/>
              <w:noProof/>
            </w:rPr>
          </w:pPr>
          <w:hyperlink w:anchor="_Toc273089708" w:history="1">
            <w:r w:rsidR="002C1DF7" w:rsidRPr="00BA4434">
              <w:rPr>
                <w:rStyle w:val="Hyperlink"/>
                <w:rFonts w:ascii="Times New Roman" w:hAnsi="Times New Roman" w:cs="Times New Roman"/>
                <w:noProof/>
                <w:sz w:val="24"/>
                <w:szCs w:val="24"/>
              </w:rPr>
              <w:t>II.</w:t>
            </w:r>
            <w:r w:rsidR="007F3088" w:rsidRPr="00BA4434">
              <w:rPr>
                <w:rFonts w:ascii="Times New Roman" w:eastAsiaTheme="minorEastAsia" w:hAnsi="Times New Roman" w:cs="Times New Roman"/>
                <w:noProof/>
              </w:rPr>
              <w:tab/>
            </w:r>
            <w:r w:rsidR="002C1DF7" w:rsidRPr="00BA4434">
              <w:rPr>
                <w:rStyle w:val="Hyperlink"/>
                <w:rFonts w:ascii="Times New Roman" w:hAnsi="Times New Roman" w:cs="Times New Roman"/>
                <w:noProof/>
                <w:sz w:val="24"/>
                <w:szCs w:val="24"/>
              </w:rPr>
              <w:t>BROADBAND DEPLOYMENT</w:t>
            </w:r>
            <w:r w:rsidR="002C1DF7" w:rsidRPr="00BA4434">
              <w:rPr>
                <w:rFonts w:ascii="Times New Roman" w:hAnsi="Times New Roman" w:cs="Times New Roman"/>
                <w:noProof/>
                <w:webHidden/>
              </w:rPr>
              <w:tab/>
            </w:r>
            <w:r w:rsidRPr="00BA4434">
              <w:rPr>
                <w:rFonts w:ascii="Times New Roman" w:hAnsi="Times New Roman" w:cs="Times New Roman"/>
                <w:noProof/>
                <w:webHidden/>
              </w:rPr>
              <w:fldChar w:fldCharType="begin"/>
            </w:r>
            <w:r w:rsidR="002C1DF7" w:rsidRPr="00BA4434">
              <w:rPr>
                <w:rFonts w:ascii="Times New Roman" w:hAnsi="Times New Roman" w:cs="Times New Roman"/>
                <w:noProof/>
                <w:webHidden/>
              </w:rPr>
              <w:instrText xml:space="preserve"> PAGEREF _Toc273089708 \h </w:instrText>
            </w:r>
            <w:r w:rsidRPr="00BA4434">
              <w:rPr>
                <w:rFonts w:ascii="Times New Roman" w:hAnsi="Times New Roman" w:cs="Times New Roman"/>
                <w:noProof/>
                <w:webHidden/>
              </w:rPr>
            </w:r>
            <w:r w:rsidRPr="00BA4434">
              <w:rPr>
                <w:rFonts w:ascii="Times New Roman" w:hAnsi="Times New Roman" w:cs="Times New Roman"/>
                <w:noProof/>
                <w:webHidden/>
              </w:rPr>
              <w:fldChar w:fldCharType="separate"/>
            </w:r>
            <w:r w:rsidR="00EE7CD3">
              <w:rPr>
                <w:rFonts w:ascii="Times New Roman" w:hAnsi="Times New Roman" w:cs="Times New Roman"/>
                <w:noProof/>
                <w:webHidden/>
              </w:rPr>
              <w:t>4</w:t>
            </w:r>
            <w:r w:rsidRPr="00BA4434">
              <w:rPr>
                <w:rFonts w:ascii="Times New Roman" w:hAnsi="Times New Roman" w:cs="Times New Roman"/>
                <w:noProof/>
                <w:webHidden/>
              </w:rPr>
              <w:fldChar w:fldCharType="end"/>
            </w:r>
          </w:hyperlink>
        </w:p>
        <w:p w:rsidR="002C1DF7" w:rsidRPr="00BA4434" w:rsidRDefault="003D577C" w:rsidP="007F3088">
          <w:pPr>
            <w:pStyle w:val="TOC1"/>
            <w:rPr>
              <w:rFonts w:ascii="Times New Roman" w:eastAsiaTheme="minorEastAsia" w:hAnsi="Times New Roman" w:cs="Times New Roman"/>
              <w:noProof/>
            </w:rPr>
          </w:pPr>
          <w:hyperlink w:anchor="_Toc273089709" w:history="1">
            <w:r w:rsidR="002C1DF7" w:rsidRPr="00BA4434">
              <w:rPr>
                <w:rStyle w:val="Hyperlink"/>
                <w:rFonts w:ascii="Times New Roman" w:hAnsi="Times New Roman" w:cs="Times New Roman"/>
                <w:noProof/>
                <w:sz w:val="24"/>
                <w:szCs w:val="24"/>
              </w:rPr>
              <w:t>III.</w:t>
            </w:r>
            <w:r w:rsidR="007F3088" w:rsidRPr="00BA4434">
              <w:rPr>
                <w:rFonts w:ascii="Times New Roman" w:eastAsiaTheme="minorEastAsia" w:hAnsi="Times New Roman" w:cs="Times New Roman"/>
                <w:noProof/>
              </w:rPr>
              <w:tab/>
            </w:r>
            <w:r w:rsidR="002C1DF7" w:rsidRPr="00BA4434">
              <w:rPr>
                <w:rStyle w:val="Hyperlink"/>
                <w:rFonts w:ascii="Times New Roman" w:hAnsi="Times New Roman" w:cs="Times New Roman"/>
                <w:noProof/>
                <w:sz w:val="24"/>
                <w:szCs w:val="24"/>
              </w:rPr>
              <w:t>BROADBAND OFFERS AND PRICES</w:t>
            </w:r>
            <w:r w:rsidR="002C1DF7" w:rsidRPr="00BA4434">
              <w:rPr>
                <w:rFonts w:ascii="Times New Roman" w:hAnsi="Times New Roman" w:cs="Times New Roman"/>
                <w:noProof/>
                <w:webHidden/>
              </w:rPr>
              <w:tab/>
            </w:r>
            <w:r w:rsidRPr="00BA4434">
              <w:rPr>
                <w:rFonts w:ascii="Times New Roman" w:hAnsi="Times New Roman" w:cs="Times New Roman"/>
                <w:noProof/>
                <w:webHidden/>
              </w:rPr>
              <w:fldChar w:fldCharType="begin"/>
            </w:r>
            <w:r w:rsidR="002C1DF7" w:rsidRPr="00BA4434">
              <w:rPr>
                <w:rFonts w:ascii="Times New Roman" w:hAnsi="Times New Roman" w:cs="Times New Roman"/>
                <w:noProof/>
                <w:webHidden/>
              </w:rPr>
              <w:instrText xml:space="preserve"> PAGEREF _Toc273089709 \h </w:instrText>
            </w:r>
            <w:r w:rsidRPr="00BA4434">
              <w:rPr>
                <w:rFonts w:ascii="Times New Roman" w:hAnsi="Times New Roman" w:cs="Times New Roman"/>
                <w:noProof/>
                <w:webHidden/>
              </w:rPr>
            </w:r>
            <w:r w:rsidRPr="00BA4434">
              <w:rPr>
                <w:rFonts w:ascii="Times New Roman" w:hAnsi="Times New Roman" w:cs="Times New Roman"/>
                <w:noProof/>
                <w:webHidden/>
              </w:rPr>
              <w:fldChar w:fldCharType="separate"/>
            </w:r>
            <w:r w:rsidR="00EE7CD3">
              <w:rPr>
                <w:rFonts w:ascii="Times New Roman" w:hAnsi="Times New Roman" w:cs="Times New Roman"/>
                <w:noProof/>
                <w:webHidden/>
              </w:rPr>
              <w:t>13</w:t>
            </w:r>
            <w:r w:rsidRPr="00BA4434">
              <w:rPr>
                <w:rFonts w:ascii="Times New Roman" w:hAnsi="Times New Roman" w:cs="Times New Roman"/>
                <w:noProof/>
                <w:webHidden/>
              </w:rPr>
              <w:fldChar w:fldCharType="end"/>
            </w:r>
          </w:hyperlink>
        </w:p>
        <w:p w:rsidR="00167A6B" w:rsidRPr="00BA4434" w:rsidRDefault="003D577C">
          <w:pPr>
            <w:rPr>
              <w:rFonts w:ascii="Times New Roman" w:hAnsi="Times New Roman" w:cs="Times New Roman"/>
              <w:sz w:val="24"/>
              <w:szCs w:val="24"/>
            </w:rPr>
          </w:pPr>
          <w:r w:rsidRPr="00BA4434">
            <w:rPr>
              <w:rFonts w:ascii="Times New Roman" w:hAnsi="Times New Roman" w:cs="Times New Roman"/>
              <w:sz w:val="24"/>
              <w:szCs w:val="24"/>
            </w:rPr>
            <w:fldChar w:fldCharType="end"/>
          </w:r>
        </w:p>
      </w:sdtContent>
    </w:sdt>
    <w:p w:rsidR="00DB2108" w:rsidRPr="00BA7D2D" w:rsidRDefault="00DB2108" w:rsidP="00DB2108">
      <w:pPr>
        <w:tabs>
          <w:tab w:val="left" w:pos="1980"/>
          <w:tab w:val="right" w:leader="dot" w:pos="9360"/>
        </w:tabs>
        <w:spacing w:after="0"/>
        <w:contextualSpacing/>
        <w:rPr>
          <w:rFonts w:ascii="Times New Roman" w:hAnsi="Times New Roman" w:cs="Times New Roman"/>
        </w:rPr>
      </w:pPr>
    </w:p>
    <w:p w:rsidR="00DB2108" w:rsidRPr="00BA7D2D" w:rsidRDefault="00DB2108" w:rsidP="00DB2108">
      <w:pPr>
        <w:tabs>
          <w:tab w:val="left" w:pos="1980"/>
          <w:tab w:val="right" w:leader="dot" w:pos="9360"/>
        </w:tabs>
        <w:spacing w:after="0"/>
        <w:contextualSpacing/>
        <w:rPr>
          <w:rFonts w:ascii="Times New Roman" w:hAnsi="Times New Roman" w:cs="Times New Roman"/>
        </w:rPr>
      </w:pPr>
    </w:p>
    <w:p w:rsidR="00DB2108" w:rsidRPr="00BA7D2D" w:rsidRDefault="00DB2108" w:rsidP="00DB2108">
      <w:pPr>
        <w:tabs>
          <w:tab w:val="left" w:pos="1980"/>
          <w:tab w:val="right" w:leader="dot" w:pos="9360"/>
        </w:tabs>
        <w:spacing w:after="0"/>
        <w:contextualSpacing/>
        <w:rPr>
          <w:rFonts w:ascii="Times New Roman" w:hAnsi="Times New Roman" w:cs="Times New Roman"/>
        </w:rPr>
      </w:pPr>
    </w:p>
    <w:p w:rsidR="00DB2108" w:rsidRPr="00BA7D2D" w:rsidRDefault="00DB2108" w:rsidP="00DB2108">
      <w:pPr>
        <w:spacing w:after="0" w:line="240" w:lineRule="auto"/>
        <w:rPr>
          <w:rFonts w:ascii="Times New Roman" w:hAnsi="Times New Roman" w:cs="Times New Roman"/>
          <w:b/>
        </w:rPr>
      </w:pPr>
    </w:p>
    <w:p w:rsidR="00DB2108" w:rsidRPr="00BA7D2D" w:rsidRDefault="00DB2108" w:rsidP="00DB2108">
      <w:pPr>
        <w:spacing w:after="0" w:line="240" w:lineRule="auto"/>
        <w:rPr>
          <w:rFonts w:ascii="Times New Roman" w:hAnsi="Times New Roman" w:cs="Times New Roman"/>
          <w:b/>
        </w:rPr>
      </w:pPr>
    </w:p>
    <w:p w:rsidR="00DB2108" w:rsidRPr="00BA7D2D" w:rsidRDefault="00DB2108" w:rsidP="00DB2108">
      <w:pPr>
        <w:spacing w:after="0" w:line="240" w:lineRule="auto"/>
        <w:rPr>
          <w:rFonts w:ascii="Times New Roman" w:hAnsi="Times New Roman" w:cs="Times New Roman"/>
          <w:b/>
        </w:rPr>
      </w:pPr>
    </w:p>
    <w:p w:rsidR="00DB2108" w:rsidRPr="00BA7D2D" w:rsidRDefault="00DB2108" w:rsidP="00DB2108">
      <w:pPr>
        <w:spacing w:after="0" w:line="240" w:lineRule="auto"/>
        <w:rPr>
          <w:rFonts w:ascii="Times New Roman" w:hAnsi="Times New Roman" w:cs="Times New Roman"/>
          <w:b/>
        </w:rPr>
      </w:pPr>
    </w:p>
    <w:p w:rsidR="00DB2108" w:rsidRPr="00BA7D2D" w:rsidRDefault="00DB2108" w:rsidP="00DB2108">
      <w:pPr>
        <w:spacing w:after="0" w:line="240" w:lineRule="auto"/>
        <w:rPr>
          <w:rFonts w:ascii="Times New Roman" w:hAnsi="Times New Roman" w:cs="Times New Roman"/>
          <w:b/>
        </w:rPr>
      </w:pPr>
      <w:r w:rsidRPr="00BA7D2D">
        <w:rPr>
          <w:rFonts w:ascii="Times New Roman" w:hAnsi="Times New Roman" w:cs="Times New Roman"/>
          <w:b/>
        </w:rPr>
        <w:br w:type="page"/>
      </w:r>
    </w:p>
    <w:p w:rsidR="00DB2108" w:rsidRPr="00BA7D2D" w:rsidRDefault="00DB2108" w:rsidP="00DB2108">
      <w:pPr>
        <w:spacing w:after="0" w:line="240" w:lineRule="auto"/>
        <w:contextualSpacing/>
        <w:jc w:val="center"/>
        <w:rPr>
          <w:rFonts w:ascii="Times New Roman" w:hAnsi="Times New Roman" w:cs="Times New Roman"/>
          <w:b/>
        </w:rPr>
      </w:pPr>
      <w:r w:rsidRPr="00BA7D2D">
        <w:rPr>
          <w:rFonts w:ascii="Times New Roman" w:hAnsi="Times New Roman" w:cs="Times New Roman"/>
          <w:b/>
        </w:rPr>
        <w:lastRenderedPageBreak/>
        <w:t>EXHIBIT LIST</w:t>
      </w:r>
    </w:p>
    <w:p w:rsidR="00DB2108" w:rsidRPr="00BA7D2D" w:rsidRDefault="00DB2108" w:rsidP="00DB2108">
      <w:pPr>
        <w:spacing w:after="0" w:line="240" w:lineRule="auto"/>
        <w:contextualSpacing/>
        <w:jc w:val="center"/>
        <w:rPr>
          <w:rFonts w:ascii="Times New Roman" w:hAnsi="Times New Roman" w:cs="Times New Roman"/>
          <w:b/>
        </w:rPr>
      </w:pPr>
    </w:p>
    <w:p w:rsidR="00DB2108" w:rsidRPr="00A20976" w:rsidRDefault="00DB2108" w:rsidP="00DB2108">
      <w:pPr>
        <w:spacing w:after="0" w:line="240" w:lineRule="auto"/>
        <w:contextualSpacing/>
        <w:rPr>
          <w:rFonts w:ascii="Times New Roman" w:hAnsi="Times New Roman" w:cs="Times New Roman"/>
          <w:sz w:val="24"/>
          <w:szCs w:val="24"/>
        </w:rPr>
      </w:pPr>
    </w:p>
    <w:p w:rsidR="007301EC" w:rsidRDefault="00DB2108" w:rsidP="00421B95">
      <w:pPr>
        <w:spacing w:after="0" w:line="240" w:lineRule="auto"/>
        <w:ind w:left="3600" w:hanging="3600"/>
        <w:contextualSpacing/>
        <w:rPr>
          <w:rFonts w:ascii="Times New Roman" w:hAnsi="Times New Roman" w:cs="Times New Roman"/>
          <w:sz w:val="24"/>
          <w:szCs w:val="24"/>
        </w:rPr>
      </w:pPr>
      <w:r w:rsidRPr="00A20976">
        <w:rPr>
          <w:rFonts w:ascii="Times New Roman" w:hAnsi="Times New Roman" w:cs="Times New Roman"/>
          <w:sz w:val="24"/>
          <w:szCs w:val="24"/>
        </w:rPr>
        <w:t>Exhibit No. ___ HC (</w:t>
      </w:r>
      <w:proofErr w:type="spellStart"/>
      <w:r w:rsidRPr="00A20976">
        <w:rPr>
          <w:rFonts w:ascii="Times New Roman" w:hAnsi="Times New Roman" w:cs="Times New Roman"/>
          <w:sz w:val="24"/>
          <w:szCs w:val="24"/>
        </w:rPr>
        <w:t>JL-2HC</w:t>
      </w:r>
      <w:proofErr w:type="spellEnd"/>
      <w:r w:rsidRPr="00A20976">
        <w:rPr>
          <w:rFonts w:ascii="Times New Roman" w:hAnsi="Times New Roman" w:cs="Times New Roman"/>
          <w:sz w:val="24"/>
          <w:szCs w:val="24"/>
        </w:rPr>
        <w:t>)</w:t>
      </w:r>
      <w:r w:rsidR="006B1CD6" w:rsidRPr="00A20976">
        <w:rPr>
          <w:rFonts w:ascii="Times New Roman" w:hAnsi="Times New Roman" w:cs="Times New Roman"/>
          <w:sz w:val="24"/>
          <w:szCs w:val="24"/>
        </w:rPr>
        <w:tab/>
      </w:r>
      <w:r w:rsidR="00073495" w:rsidRPr="00A20976">
        <w:rPr>
          <w:rFonts w:ascii="Times New Roman" w:hAnsi="Times New Roman" w:cs="Times New Roman"/>
          <w:sz w:val="24"/>
          <w:szCs w:val="24"/>
        </w:rPr>
        <w:t>DSL Availability</w:t>
      </w:r>
      <w:r w:rsidR="00421B95" w:rsidRPr="00A20976">
        <w:rPr>
          <w:rFonts w:ascii="Times New Roman" w:hAnsi="Times New Roman" w:cs="Times New Roman"/>
          <w:sz w:val="24"/>
          <w:szCs w:val="24"/>
        </w:rPr>
        <w:t xml:space="preserve"> and Household Density</w:t>
      </w:r>
      <w:r w:rsidR="00365775" w:rsidRPr="00A20976">
        <w:rPr>
          <w:rFonts w:ascii="Times New Roman" w:hAnsi="Times New Roman" w:cs="Times New Roman"/>
          <w:sz w:val="24"/>
          <w:szCs w:val="24"/>
        </w:rPr>
        <w:t xml:space="preserve"> Scatter Plot</w:t>
      </w:r>
    </w:p>
    <w:p w:rsidR="00A20976" w:rsidRPr="00A20976" w:rsidRDefault="00A20976" w:rsidP="00421B95">
      <w:pPr>
        <w:spacing w:after="0" w:line="240" w:lineRule="auto"/>
        <w:ind w:left="3600" w:hanging="3600"/>
        <w:contextualSpacing/>
        <w:rPr>
          <w:rFonts w:ascii="Times New Roman" w:hAnsi="Times New Roman" w:cs="Times New Roman"/>
          <w:sz w:val="24"/>
          <w:szCs w:val="24"/>
        </w:rPr>
      </w:pPr>
    </w:p>
    <w:p w:rsidR="007301EC" w:rsidRPr="00A20976" w:rsidRDefault="007301EC" w:rsidP="00421B95">
      <w:pPr>
        <w:spacing w:after="0" w:line="240" w:lineRule="auto"/>
        <w:ind w:left="3600" w:hanging="3600"/>
        <w:contextualSpacing/>
        <w:rPr>
          <w:rFonts w:ascii="Times New Roman" w:hAnsi="Times New Roman" w:cs="Times New Roman"/>
          <w:sz w:val="24"/>
          <w:szCs w:val="24"/>
        </w:rPr>
      </w:pPr>
      <w:r w:rsidRPr="00A20976">
        <w:rPr>
          <w:rFonts w:ascii="Times New Roman" w:hAnsi="Times New Roman" w:cs="Times New Roman"/>
          <w:sz w:val="24"/>
          <w:szCs w:val="24"/>
        </w:rPr>
        <w:t>Exhibit No. ___ HC (</w:t>
      </w:r>
      <w:proofErr w:type="spellStart"/>
      <w:r w:rsidRPr="00A20976">
        <w:rPr>
          <w:rFonts w:ascii="Times New Roman" w:hAnsi="Times New Roman" w:cs="Times New Roman"/>
          <w:sz w:val="24"/>
          <w:szCs w:val="24"/>
        </w:rPr>
        <w:t>JL</w:t>
      </w:r>
      <w:proofErr w:type="spellEnd"/>
      <w:r w:rsidRPr="00A20976">
        <w:rPr>
          <w:rFonts w:ascii="Times New Roman" w:hAnsi="Times New Roman" w:cs="Times New Roman"/>
          <w:sz w:val="24"/>
          <w:szCs w:val="24"/>
        </w:rPr>
        <w:t>-3HC)</w:t>
      </w:r>
      <w:r w:rsidR="006B1CD6" w:rsidRPr="00A20976">
        <w:rPr>
          <w:rFonts w:ascii="Times New Roman" w:hAnsi="Times New Roman" w:cs="Times New Roman"/>
          <w:sz w:val="24"/>
          <w:szCs w:val="24"/>
        </w:rPr>
        <w:tab/>
        <w:t xml:space="preserve">DSL Availability </w:t>
      </w:r>
      <w:r w:rsidR="00911BA4" w:rsidRPr="00A20976">
        <w:rPr>
          <w:rFonts w:ascii="Times New Roman" w:hAnsi="Times New Roman" w:cs="Times New Roman"/>
          <w:sz w:val="24"/>
          <w:szCs w:val="24"/>
        </w:rPr>
        <w:t>at Wire Center Level</w:t>
      </w:r>
    </w:p>
    <w:p w:rsidR="007301EC" w:rsidRPr="00A20976" w:rsidRDefault="007301EC" w:rsidP="00DB2108">
      <w:pPr>
        <w:tabs>
          <w:tab w:val="left" w:pos="2700"/>
        </w:tabs>
        <w:spacing w:after="0" w:line="240" w:lineRule="auto"/>
        <w:contextualSpacing/>
        <w:rPr>
          <w:rFonts w:ascii="Times New Roman" w:hAnsi="Times New Roman" w:cs="Times New Roman"/>
          <w:sz w:val="24"/>
          <w:szCs w:val="24"/>
        </w:rPr>
      </w:pPr>
    </w:p>
    <w:p w:rsidR="00DB2108" w:rsidRPr="00BA7D2D" w:rsidRDefault="00DB2108" w:rsidP="00DB2108">
      <w:pPr>
        <w:tabs>
          <w:tab w:val="left" w:pos="2700"/>
        </w:tabs>
        <w:spacing w:after="0" w:line="240" w:lineRule="auto"/>
        <w:contextualSpacing/>
        <w:rPr>
          <w:rFonts w:ascii="Times New Roman" w:hAnsi="Times New Roman" w:cs="Times New Roman"/>
        </w:rPr>
        <w:sectPr w:rsidR="00DB2108" w:rsidRPr="00BA7D2D" w:rsidSect="00DB2108">
          <w:footerReference w:type="default" r:id="rId10"/>
          <w:pgSz w:w="12240" w:h="15840" w:code="1"/>
          <w:pgMar w:top="1440" w:right="1440" w:bottom="1008" w:left="1872" w:header="720" w:footer="720" w:gutter="0"/>
          <w:pgNumType w:fmt="lowerRoman" w:start="1"/>
          <w:cols w:space="720"/>
          <w:docGrid w:linePitch="360"/>
        </w:sectPr>
      </w:pPr>
      <w:r w:rsidRPr="00BA7D2D">
        <w:rPr>
          <w:rFonts w:ascii="Times New Roman" w:hAnsi="Times New Roman" w:cs="Times New Roman"/>
        </w:rPr>
        <w:tab/>
      </w:r>
    </w:p>
    <w:p w:rsidR="00DB2108" w:rsidRDefault="00DB2108" w:rsidP="007138D7">
      <w:pPr>
        <w:pStyle w:val="Heading1"/>
        <w:numPr>
          <w:ilvl w:val="0"/>
          <w:numId w:val="11"/>
        </w:numPr>
        <w:spacing w:before="0" w:line="480" w:lineRule="auto"/>
        <w:ind w:left="0" w:firstLine="0"/>
        <w:jc w:val="center"/>
        <w:rPr>
          <w:rFonts w:ascii="Times New Roman" w:hAnsi="Times New Roman" w:cs="Times New Roman"/>
          <w:color w:val="auto"/>
          <w:sz w:val="24"/>
          <w:szCs w:val="24"/>
        </w:rPr>
      </w:pPr>
      <w:bookmarkStart w:id="0" w:name="_Toc273089707"/>
      <w:r w:rsidRPr="002C1DF7">
        <w:rPr>
          <w:rFonts w:ascii="Times New Roman" w:hAnsi="Times New Roman" w:cs="Times New Roman"/>
          <w:color w:val="auto"/>
          <w:sz w:val="24"/>
          <w:szCs w:val="24"/>
        </w:rPr>
        <w:t>INTRODUCTION</w:t>
      </w:r>
      <w:bookmarkEnd w:id="0"/>
    </w:p>
    <w:p w:rsidR="00DB2108" w:rsidRPr="00BA7D2D" w:rsidRDefault="00DB2108" w:rsidP="007138D7">
      <w:pPr>
        <w:pStyle w:val="NoSpacing"/>
        <w:spacing w:line="480" w:lineRule="auto"/>
        <w:rPr>
          <w:b/>
        </w:rPr>
      </w:pPr>
    </w:p>
    <w:p w:rsidR="00DB2108" w:rsidRPr="00BA7D2D" w:rsidRDefault="00DB2108" w:rsidP="007138D7">
      <w:pPr>
        <w:pStyle w:val="NoSpacing"/>
        <w:spacing w:line="480" w:lineRule="auto"/>
        <w:ind w:left="720" w:hanging="720"/>
        <w:rPr>
          <w:b/>
        </w:rPr>
      </w:pPr>
      <w:r w:rsidRPr="00BA7D2D">
        <w:rPr>
          <w:b/>
        </w:rPr>
        <w:t>Q.</w:t>
      </w:r>
      <w:r w:rsidRPr="00BA7D2D">
        <w:rPr>
          <w:b/>
        </w:rPr>
        <w:tab/>
        <w:t>Please state your name and business address.</w:t>
      </w:r>
    </w:p>
    <w:p w:rsidR="00DB2108" w:rsidRPr="00BA7D2D" w:rsidRDefault="00DB2108" w:rsidP="007138D7">
      <w:pPr>
        <w:pStyle w:val="NoSpacing"/>
        <w:spacing w:line="480" w:lineRule="auto"/>
        <w:ind w:left="720" w:hanging="720"/>
      </w:pPr>
      <w:r w:rsidRPr="00BA7D2D">
        <w:t>A.</w:t>
      </w:r>
      <w:r w:rsidRPr="00BA7D2D">
        <w:tab/>
        <w:t xml:space="preserve">My name is Jing Liu.  My business address is </w:t>
      </w:r>
      <w:smartTag w:uri="urn:schemas-microsoft-com:office:smarttags" w:element="address">
        <w:smartTag w:uri="urn:schemas-microsoft-com:office:smarttags" w:element="Street">
          <w:r w:rsidRPr="00BA7D2D">
            <w:t>1300 South Evergreen Park Drive Southwest, P. O. Box 47250</w:t>
          </w:r>
        </w:smartTag>
        <w:r w:rsidRPr="00BA7D2D">
          <w:t xml:space="preserve">, </w:t>
        </w:r>
        <w:smartTag w:uri="urn:schemas-microsoft-com:office:smarttags" w:element="City">
          <w:r w:rsidRPr="00BA7D2D">
            <w:t>Olympia</w:t>
          </w:r>
        </w:smartTag>
        <w:r w:rsidRPr="00BA7D2D">
          <w:t xml:space="preserve">, </w:t>
        </w:r>
        <w:smartTag w:uri="urn:schemas-microsoft-com:office:smarttags" w:element="State">
          <w:r w:rsidRPr="00BA7D2D">
            <w:t>Washington</w:t>
          </w:r>
        </w:smartTag>
        <w:r w:rsidRPr="00BA7D2D">
          <w:t xml:space="preserve">, </w:t>
        </w:r>
        <w:smartTag w:uri="urn:schemas-microsoft-com:office:smarttags" w:element="PostalCode">
          <w:r w:rsidRPr="00BA7D2D">
            <w:t>98504</w:t>
          </w:r>
        </w:smartTag>
      </w:smartTag>
      <w:r w:rsidRPr="00BA7D2D">
        <w:t xml:space="preserve">.  My business email address is </w:t>
      </w:r>
      <w:r w:rsidRPr="00B52652">
        <w:t>jliu@utc.wa.gov</w:t>
      </w:r>
      <w:r w:rsidRPr="00BA7D2D">
        <w:t xml:space="preserve">. </w:t>
      </w:r>
    </w:p>
    <w:p w:rsidR="00DB2108" w:rsidRPr="00BA7D2D" w:rsidRDefault="00DB2108" w:rsidP="007138D7">
      <w:pPr>
        <w:pStyle w:val="NoSpacing"/>
        <w:spacing w:line="480" w:lineRule="auto"/>
        <w:ind w:left="720" w:hanging="720"/>
      </w:pPr>
    </w:p>
    <w:p w:rsidR="00DB2108" w:rsidRPr="00BA7D2D" w:rsidRDefault="00DB2108" w:rsidP="00DB2108">
      <w:pPr>
        <w:pStyle w:val="NoSpacing"/>
        <w:spacing w:line="480" w:lineRule="auto"/>
        <w:ind w:left="720" w:hanging="720"/>
        <w:rPr>
          <w:b/>
        </w:rPr>
      </w:pPr>
      <w:r w:rsidRPr="00BA7D2D">
        <w:rPr>
          <w:b/>
        </w:rPr>
        <w:t>Q.</w:t>
      </w:r>
      <w:r w:rsidRPr="00BA7D2D">
        <w:rPr>
          <w:b/>
        </w:rPr>
        <w:tab/>
        <w:t xml:space="preserve">By whom are you employed and in what capacity? </w:t>
      </w:r>
    </w:p>
    <w:p w:rsidR="00DB2108" w:rsidRPr="00BA7D2D" w:rsidRDefault="00DB2108" w:rsidP="00DB2108">
      <w:pPr>
        <w:pStyle w:val="NoSpacing"/>
        <w:spacing w:line="480" w:lineRule="auto"/>
        <w:ind w:left="720" w:hanging="720"/>
      </w:pPr>
      <w:r w:rsidRPr="00BA7D2D">
        <w:t>A.</w:t>
      </w:r>
      <w:r w:rsidRPr="00BA7D2D">
        <w:tab/>
        <w:t xml:space="preserve">I am employed by the Washington Utilities and Transportation Commission (Commission) as a regulatory analyst in the telecommunications section. </w:t>
      </w:r>
    </w:p>
    <w:p w:rsidR="00DB2108" w:rsidRPr="00BA7D2D" w:rsidRDefault="00DB2108" w:rsidP="00DB2108">
      <w:pPr>
        <w:pStyle w:val="NoSpacing"/>
        <w:spacing w:line="480" w:lineRule="auto"/>
        <w:ind w:left="720" w:hanging="720"/>
      </w:pPr>
    </w:p>
    <w:p w:rsidR="00DB2108" w:rsidRPr="00BA7D2D" w:rsidRDefault="00DB2108" w:rsidP="00DB2108">
      <w:pPr>
        <w:pStyle w:val="NoSpacing"/>
        <w:spacing w:line="480" w:lineRule="auto"/>
        <w:ind w:left="720" w:hanging="720"/>
        <w:rPr>
          <w:b/>
        </w:rPr>
      </w:pPr>
      <w:r w:rsidRPr="00BA7D2D">
        <w:rPr>
          <w:b/>
        </w:rPr>
        <w:t>Q.</w:t>
      </w:r>
      <w:r w:rsidRPr="00BA7D2D">
        <w:rPr>
          <w:b/>
        </w:rPr>
        <w:tab/>
        <w:t>What are your education and experience qualifications?</w:t>
      </w:r>
    </w:p>
    <w:p w:rsidR="00DB2108" w:rsidRPr="00BA7D2D" w:rsidRDefault="00DB2108" w:rsidP="00DB2108">
      <w:pPr>
        <w:pStyle w:val="NoSpacing"/>
        <w:spacing w:line="480" w:lineRule="auto"/>
        <w:ind w:left="720" w:hanging="720"/>
      </w:pPr>
      <w:r w:rsidRPr="00BA7D2D">
        <w:t>A.</w:t>
      </w:r>
      <w:r w:rsidRPr="00BA7D2D">
        <w:tab/>
        <w:t xml:space="preserve">I hold a Master of Arts degree in organizational communication and a Master of Science degree in communication technology and policy from Ohio University.  I also completed four years of doctoral study in public policy </w:t>
      </w:r>
      <w:r w:rsidR="00B52652">
        <w:t>at</w:t>
      </w:r>
      <w:r w:rsidR="00B52652" w:rsidRPr="00BA7D2D">
        <w:t xml:space="preserve"> </w:t>
      </w:r>
      <w:r w:rsidRPr="00BA7D2D">
        <w:t>Ohio State University.  I worked as a graduate research associate at the National Regulatory Research Institute (</w:t>
      </w:r>
      <w:proofErr w:type="spellStart"/>
      <w:r w:rsidRPr="00BA7D2D">
        <w:t>NRRI</w:t>
      </w:r>
      <w:proofErr w:type="spellEnd"/>
      <w:r w:rsidRPr="00BA7D2D">
        <w:t xml:space="preserve">) from 2005 to 2007.  During that period, I authored and coauthored five papers published by the </w:t>
      </w:r>
      <w:proofErr w:type="spellStart"/>
      <w:r w:rsidRPr="00BA7D2D">
        <w:t>NRRI</w:t>
      </w:r>
      <w:proofErr w:type="spellEnd"/>
      <w:r w:rsidRPr="00BA7D2D">
        <w:t>, primarily on universal service and inter-carrier compensation issues.  In 2009, I provided testimony in the proceedings on United Telephone Company of the Northwest Inc.’s intrastate access charges (UT-081393) and on the acquisition of Verizon Northwest, Inc. by Frontier Communication Corporation</w:t>
      </w:r>
      <w:r w:rsidR="00D94264" w:rsidRPr="00BA7D2D">
        <w:t xml:space="preserve"> (UT-090842)</w:t>
      </w:r>
      <w:r w:rsidRPr="00BA7D2D">
        <w:t xml:space="preserve">.  </w:t>
      </w:r>
      <w:r w:rsidR="00D94264" w:rsidRPr="00BA7D2D">
        <w:t xml:space="preserve">I coauthored a research paper on state high cost funds published by the </w:t>
      </w:r>
      <w:proofErr w:type="spellStart"/>
      <w:r w:rsidR="00D94264" w:rsidRPr="00BA7D2D">
        <w:t>NRRI</w:t>
      </w:r>
      <w:proofErr w:type="spellEnd"/>
      <w:r w:rsidR="00D94264" w:rsidRPr="00BA7D2D">
        <w:t xml:space="preserve"> in January 2010.  </w:t>
      </w:r>
    </w:p>
    <w:p w:rsidR="00DB2108" w:rsidRPr="00BA7D2D" w:rsidRDefault="00DB2108" w:rsidP="00DB2108">
      <w:pPr>
        <w:pStyle w:val="NoSpacing"/>
        <w:keepNext/>
        <w:keepLines/>
        <w:spacing w:line="480" w:lineRule="auto"/>
        <w:ind w:left="720" w:hanging="720"/>
        <w:rPr>
          <w:b/>
        </w:rPr>
      </w:pPr>
      <w:r w:rsidRPr="00BA7D2D">
        <w:rPr>
          <w:b/>
        </w:rPr>
        <w:t>Q.</w:t>
      </w:r>
      <w:r w:rsidRPr="00BA7D2D">
        <w:rPr>
          <w:b/>
        </w:rPr>
        <w:tab/>
        <w:t>What is the scope of your testimony?</w:t>
      </w:r>
    </w:p>
    <w:p w:rsidR="00DB2108" w:rsidRPr="00BA7D2D" w:rsidRDefault="00DB2108" w:rsidP="00DB2108">
      <w:pPr>
        <w:pStyle w:val="NoSpacing"/>
        <w:keepNext/>
        <w:keepLines/>
        <w:spacing w:line="480" w:lineRule="auto"/>
        <w:ind w:left="720" w:hanging="720"/>
      </w:pPr>
      <w:r w:rsidRPr="00BA7D2D">
        <w:t>A.</w:t>
      </w:r>
      <w:r w:rsidRPr="00BA7D2D">
        <w:tab/>
        <w:t xml:space="preserve">My testimony addresses </w:t>
      </w:r>
      <w:r w:rsidR="00D94264" w:rsidRPr="00BA7D2D">
        <w:t xml:space="preserve">the </w:t>
      </w:r>
      <w:r w:rsidR="005F058D">
        <w:t xml:space="preserve">Joint Applicants’ </w:t>
      </w:r>
      <w:r w:rsidR="00D94264" w:rsidRPr="00BA7D2D">
        <w:t>future</w:t>
      </w:r>
      <w:r w:rsidRPr="00BA7D2D">
        <w:t xml:space="preserve"> investment </w:t>
      </w:r>
      <w:r w:rsidR="00B52652">
        <w:t>i</w:t>
      </w:r>
      <w:r w:rsidR="00D94264" w:rsidRPr="00BA7D2D">
        <w:t xml:space="preserve">n deploying Digital </w:t>
      </w:r>
      <w:r w:rsidR="005B5A46">
        <w:t>Subscriber</w:t>
      </w:r>
      <w:r w:rsidR="005B5A46" w:rsidRPr="00BA7D2D">
        <w:t xml:space="preserve"> </w:t>
      </w:r>
      <w:r w:rsidR="00D94264" w:rsidRPr="00BA7D2D">
        <w:t xml:space="preserve">Line (DSL) services </w:t>
      </w:r>
      <w:r w:rsidRPr="00BA7D2D">
        <w:t xml:space="preserve">in Washington.  It supplements Mr. </w:t>
      </w:r>
      <w:r w:rsidR="00D94264" w:rsidRPr="00BA7D2D">
        <w:t xml:space="preserve">Mark </w:t>
      </w:r>
      <w:proofErr w:type="spellStart"/>
      <w:r w:rsidR="00D94264" w:rsidRPr="00BA7D2D">
        <w:t>Vasconi</w:t>
      </w:r>
      <w:r w:rsidRPr="00BA7D2D">
        <w:t>’s</w:t>
      </w:r>
      <w:proofErr w:type="spellEnd"/>
      <w:r w:rsidRPr="00BA7D2D">
        <w:t xml:space="preserve"> overall recommendation on the proposed transaction.  </w:t>
      </w:r>
      <w:r w:rsidR="000A3BF6" w:rsidRPr="00BA7D2D">
        <w:t>While the</w:t>
      </w:r>
      <w:r w:rsidR="00D94264" w:rsidRPr="00BA7D2D">
        <w:t xml:space="preserve"> </w:t>
      </w:r>
      <w:r w:rsidR="005F058D">
        <w:t>J</w:t>
      </w:r>
      <w:r w:rsidR="000A3BF6" w:rsidRPr="00BA7D2D">
        <w:t xml:space="preserve">oint </w:t>
      </w:r>
      <w:r w:rsidR="005F058D">
        <w:t>A</w:t>
      </w:r>
      <w:r w:rsidR="005F058D" w:rsidRPr="00BA7D2D">
        <w:t xml:space="preserve">pplicants </w:t>
      </w:r>
      <w:r w:rsidR="003146A4" w:rsidRPr="00BA7D2D">
        <w:t xml:space="preserve">indicate in </w:t>
      </w:r>
      <w:r w:rsidR="000A3BF6" w:rsidRPr="00BA7D2D">
        <w:t xml:space="preserve">the application </w:t>
      </w:r>
      <w:r w:rsidR="00AE72C7" w:rsidRPr="00BA7D2D">
        <w:t xml:space="preserve">that the </w:t>
      </w:r>
      <w:r w:rsidR="00D94264" w:rsidRPr="00BA7D2D">
        <w:t xml:space="preserve">proposed </w:t>
      </w:r>
      <w:r w:rsidR="003146A4" w:rsidRPr="00BA7D2D">
        <w:t xml:space="preserve">acquisition </w:t>
      </w:r>
      <w:r w:rsidR="000A3BF6" w:rsidRPr="00BA7D2D">
        <w:t>of Qwest</w:t>
      </w:r>
      <w:r w:rsidR="00FB0896">
        <w:t xml:space="preserve"> </w:t>
      </w:r>
      <w:r w:rsidR="0000307F">
        <w:t>Corporation and other subsidiaries of Communications International, Inc. (</w:t>
      </w:r>
      <w:proofErr w:type="spellStart"/>
      <w:r w:rsidR="0000307F">
        <w:t>QCII</w:t>
      </w:r>
      <w:proofErr w:type="spellEnd"/>
      <w:r w:rsidR="0000307F">
        <w:t>)</w:t>
      </w:r>
      <w:r w:rsidR="00E46A96">
        <w:t xml:space="preserve"> </w:t>
      </w:r>
      <w:r w:rsidR="00E46A96" w:rsidRPr="00BA7D2D">
        <w:t>by</w:t>
      </w:r>
      <w:r w:rsidR="003146A4" w:rsidRPr="00BA7D2D">
        <w:t xml:space="preserve"> Century</w:t>
      </w:r>
      <w:r w:rsidR="005F058D">
        <w:t>Link</w:t>
      </w:r>
      <w:r w:rsidR="00FB0896">
        <w:t>, Inc.</w:t>
      </w:r>
      <w:r w:rsidR="003146A4" w:rsidRPr="00BA7D2D">
        <w:t xml:space="preserve"> </w:t>
      </w:r>
      <w:r w:rsidR="000014AF">
        <w:t xml:space="preserve">(CenturyLink) </w:t>
      </w:r>
      <w:r w:rsidR="00AE72C7" w:rsidRPr="00BA7D2D">
        <w:t>would facilitate the expansion of broadband availability and increasing broadband speeds to consumers</w:t>
      </w:r>
      <w:r w:rsidR="00DA5244">
        <w:t>,</w:t>
      </w:r>
      <w:r w:rsidR="000A3BF6" w:rsidRPr="00BA7D2D">
        <w:rPr>
          <w:rStyle w:val="FootnoteReference"/>
        </w:rPr>
        <w:footnoteReference w:id="1"/>
      </w:r>
      <w:r w:rsidR="00A52D6C" w:rsidRPr="00BA7D2D">
        <w:t xml:space="preserve"> </w:t>
      </w:r>
      <w:r w:rsidR="00D94264" w:rsidRPr="00BA7D2D">
        <w:t xml:space="preserve">I recommend </w:t>
      </w:r>
      <w:r w:rsidRPr="00BA7D2D">
        <w:t xml:space="preserve">the Commission </w:t>
      </w:r>
      <w:r w:rsidR="00D94264" w:rsidRPr="00BA7D2D">
        <w:t xml:space="preserve">condition approval </w:t>
      </w:r>
      <w:r w:rsidR="0000307F">
        <w:t xml:space="preserve">of the transaction </w:t>
      </w:r>
      <w:r w:rsidRPr="00BA7D2D">
        <w:t xml:space="preserve">on the broadband deployment targets I </w:t>
      </w:r>
      <w:r w:rsidR="00D94264" w:rsidRPr="00BA7D2D">
        <w:t>specify</w:t>
      </w:r>
      <w:r w:rsidRPr="00BA7D2D">
        <w:t xml:space="preserve"> below</w:t>
      </w:r>
      <w:r w:rsidR="003146A4" w:rsidRPr="00BA7D2D">
        <w:t xml:space="preserve"> in order to ensure that the </w:t>
      </w:r>
      <w:r w:rsidR="00AE72C7" w:rsidRPr="00BA7D2D">
        <w:t>post-transaction</w:t>
      </w:r>
      <w:r w:rsidR="003146A4" w:rsidRPr="00BA7D2D">
        <w:t xml:space="preserve"> company will pass through </w:t>
      </w:r>
      <w:r w:rsidR="005F058D">
        <w:t>merger</w:t>
      </w:r>
      <w:r w:rsidR="005F058D" w:rsidRPr="00BA7D2D">
        <w:t xml:space="preserve"> </w:t>
      </w:r>
      <w:r w:rsidR="00587CBC" w:rsidRPr="00BA7D2D">
        <w:t>benefits</w:t>
      </w:r>
      <w:r w:rsidR="003146A4" w:rsidRPr="00BA7D2D">
        <w:t xml:space="preserve"> to Washington consumers.</w:t>
      </w:r>
      <w:r w:rsidRPr="00BA7D2D">
        <w:t xml:space="preserve"> </w:t>
      </w:r>
    </w:p>
    <w:p w:rsidR="002C1DF7" w:rsidRDefault="002C1DF7" w:rsidP="003F0A82">
      <w:pPr>
        <w:pStyle w:val="NoSpacing"/>
        <w:spacing w:line="480" w:lineRule="auto"/>
      </w:pPr>
    </w:p>
    <w:p w:rsidR="00DB2108" w:rsidRPr="00BA7D2D" w:rsidRDefault="00DB2108" w:rsidP="00DB2108">
      <w:pPr>
        <w:pStyle w:val="NoSpacing"/>
        <w:spacing w:line="480" w:lineRule="auto"/>
        <w:ind w:left="720" w:hanging="720"/>
        <w:rPr>
          <w:b/>
        </w:rPr>
      </w:pPr>
      <w:r w:rsidRPr="00BA7D2D">
        <w:rPr>
          <w:b/>
        </w:rPr>
        <w:t>Q.</w:t>
      </w:r>
      <w:r w:rsidRPr="00BA7D2D">
        <w:rPr>
          <w:b/>
        </w:rPr>
        <w:tab/>
        <w:t xml:space="preserve">On what basis do you propose the conditions on the company’s future broadband deployment? </w:t>
      </w:r>
    </w:p>
    <w:p w:rsidR="00B93A82" w:rsidRPr="00BA7D2D" w:rsidRDefault="00DB2108" w:rsidP="00B93A82">
      <w:pPr>
        <w:pStyle w:val="NoSpacing"/>
        <w:spacing w:line="480" w:lineRule="auto"/>
        <w:ind w:left="720" w:hanging="720"/>
      </w:pPr>
      <w:r w:rsidRPr="00BA7D2D">
        <w:t>A.</w:t>
      </w:r>
      <w:r w:rsidRPr="00BA7D2D">
        <w:tab/>
      </w:r>
      <w:r w:rsidR="00B93A82" w:rsidRPr="00BA7D2D">
        <w:t>The Joint Applicants have repeatedly emphasized</w:t>
      </w:r>
      <w:r w:rsidR="00FB0896">
        <w:t xml:space="preserve"> that the deployment of</w:t>
      </w:r>
      <w:r w:rsidR="00B93A82" w:rsidRPr="00BA7D2D">
        <w:t xml:space="preserve"> </w:t>
      </w:r>
      <w:r w:rsidRPr="00BA7D2D">
        <w:t>broadband services</w:t>
      </w:r>
      <w:r w:rsidR="00FB0896">
        <w:t xml:space="preserve"> in their</w:t>
      </w:r>
      <w:r w:rsidR="002A6D36">
        <w:t xml:space="preserve"> incumbent local exchange carrier (ILEC)</w:t>
      </w:r>
      <w:r w:rsidR="00AF6EBC">
        <w:rPr>
          <w:rStyle w:val="FootnoteReference"/>
        </w:rPr>
        <w:footnoteReference w:id="2"/>
      </w:r>
      <w:r w:rsidR="002A6D36">
        <w:t xml:space="preserve"> service areas</w:t>
      </w:r>
      <w:r w:rsidR="00AF6EBC">
        <w:t xml:space="preserve"> </w:t>
      </w:r>
      <w:r w:rsidR="00FB0896">
        <w:t xml:space="preserve"> </w:t>
      </w:r>
      <w:r w:rsidR="00B93A82" w:rsidRPr="00BA7D2D">
        <w:t>as</w:t>
      </w:r>
      <w:r w:rsidRPr="00BA7D2D">
        <w:t xml:space="preserve"> the one of the major benefits </w:t>
      </w:r>
      <w:r w:rsidR="00B93A82" w:rsidRPr="00BA7D2D">
        <w:t>of the proposed transaction</w:t>
      </w:r>
      <w:r w:rsidRPr="00BA7D2D">
        <w:t xml:space="preserve">.  </w:t>
      </w:r>
      <w:r w:rsidR="000A3BF6" w:rsidRPr="00BA7D2D">
        <w:t xml:space="preserve">For example, </w:t>
      </w:r>
      <w:r w:rsidR="00AE72C7" w:rsidRPr="00BA7D2D">
        <w:t xml:space="preserve">Mr. </w:t>
      </w:r>
      <w:r w:rsidR="008D2B95">
        <w:t xml:space="preserve">Mark </w:t>
      </w:r>
      <w:r w:rsidR="00AE72C7" w:rsidRPr="00BA7D2D">
        <w:t>Reynolds states that the combined company will have more financial resources to provide broadband to more customers at higher speeds</w:t>
      </w:r>
      <w:r w:rsidR="002A69E0" w:rsidRPr="00BA7D2D">
        <w:t>; rural customers will benefit from the combined companies’ fiber backbone with greater transport economies; more new services will be developed over VoIP platform.</w:t>
      </w:r>
      <w:r w:rsidR="00AE72C7" w:rsidRPr="00BA7D2D">
        <w:rPr>
          <w:rStyle w:val="FootnoteReference"/>
        </w:rPr>
        <w:footnoteReference w:id="3"/>
      </w:r>
      <w:r w:rsidR="002A69E0" w:rsidRPr="00BA7D2D">
        <w:t xml:space="preserve">  </w:t>
      </w:r>
      <w:r w:rsidR="009568FE" w:rsidRPr="00BA7D2D">
        <w:t xml:space="preserve">Mr. John Jones also emphasizes that the combined network will enable the company to reach customers with a more diverse mix of product offerings, </w:t>
      </w:r>
      <w:r w:rsidR="008D2B95">
        <w:t xml:space="preserve">and </w:t>
      </w:r>
      <w:r w:rsidR="009568FE" w:rsidRPr="00BA7D2D">
        <w:t>advance the deployment of high speed Internet services including triple play of broadband, voice and video.</w:t>
      </w:r>
      <w:r w:rsidR="009568FE" w:rsidRPr="00BA7D2D">
        <w:rPr>
          <w:rStyle w:val="FootnoteReference"/>
        </w:rPr>
        <w:footnoteReference w:id="4"/>
      </w:r>
      <w:r w:rsidR="009568FE" w:rsidRPr="00BA7D2D">
        <w:t xml:space="preserve">  </w:t>
      </w:r>
      <w:r w:rsidR="00B93A82" w:rsidRPr="00BA7D2D">
        <w:t xml:space="preserve">While I have little doubt </w:t>
      </w:r>
      <w:r w:rsidR="00186CEF">
        <w:t>of</w:t>
      </w:r>
      <w:r w:rsidR="00186CEF" w:rsidRPr="00BA7D2D">
        <w:t xml:space="preserve"> </w:t>
      </w:r>
      <w:r w:rsidR="00B93A82" w:rsidRPr="00BA7D2D">
        <w:t xml:space="preserve">the </w:t>
      </w:r>
      <w:r w:rsidR="002A0B52">
        <w:t>J</w:t>
      </w:r>
      <w:r w:rsidR="00B93A82" w:rsidRPr="00BA7D2D">
        <w:t xml:space="preserve">oint </w:t>
      </w:r>
      <w:r w:rsidR="002A0B52">
        <w:t>A</w:t>
      </w:r>
      <w:r w:rsidR="002A0B52" w:rsidRPr="00BA7D2D">
        <w:t xml:space="preserve">pplicants’ </w:t>
      </w:r>
      <w:r w:rsidR="00B93A82" w:rsidRPr="00BA7D2D">
        <w:t xml:space="preserve">intention to enhance broadband products </w:t>
      </w:r>
      <w:r w:rsidR="00167A6B">
        <w:t>and t</w:t>
      </w:r>
      <w:r w:rsidR="003C37DA">
        <w:t>o</w:t>
      </w:r>
      <w:r w:rsidR="003C37DA" w:rsidRPr="00BA7D2D">
        <w:t xml:space="preserve"> </w:t>
      </w:r>
      <w:r w:rsidR="00E66B8B">
        <w:t>maintain a strong position</w:t>
      </w:r>
      <w:r w:rsidR="00B93A82" w:rsidRPr="00BA7D2D">
        <w:t xml:space="preserve"> in the competitive market, I </w:t>
      </w:r>
      <w:r w:rsidR="00E66B8B">
        <w:t>recommend</w:t>
      </w:r>
      <w:r w:rsidR="00E66B8B" w:rsidRPr="00BA7D2D">
        <w:t xml:space="preserve"> </w:t>
      </w:r>
      <w:r w:rsidR="00186CEF">
        <w:t xml:space="preserve">that </w:t>
      </w:r>
      <w:r w:rsidR="00B93A82" w:rsidRPr="00BA7D2D">
        <w:t xml:space="preserve">explicit and measurable conditions be imposed </w:t>
      </w:r>
      <w:r w:rsidRPr="00BA7D2D">
        <w:t xml:space="preserve">on the </w:t>
      </w:r>
      <w:r w:rsidR="00E66B8B">
        <w:t xml:space="preserve">combined </w:t>
      </w:r>
      <w:r w:rsidRPr="00BA7D2D">
        <w:t>company</w:t>
      </w:r>
      <w:r w:rsidR="00E66B8B">
        <w:t xml:space="preserve"> to ensure</w:t>
      </w:r>
      <w:r w:rsidRPr="00BA7D2D">
        <w:t xml:space="preserve"> </w:t>
      </w:r>
      <w:r w:rsidR="003C37DA">
        <w:t>its</w:t>
      </w:r>
      <w:r w:rsidR="00E66B8B">
        <w:t xml:space="preserve"> </w:t>
      </w:r>
      <w:r w:rsidRPr="00BA7D2D">
        <w:t>future broadband de</w:t>
      </w:r>
      <w:r w:rsidR="00B93A82" w:rsidRPr="00BA7D2D">
        <w:t>p</w:t>
      </w:r>
      <w:r w:rsidRPr="00BA7D2D">
        <w:t xml:space="preserve">loyment </w:t>
      </w:r>
      <w:r w:rsidR="00E66B8B">
        <w:t>corresponds with</w:t>
      </w:r>
      <w:r w:rsidR="00B93A82" w:rsidRPr="00BA7D2D">
        <w:t xml:space="preserve"> the</w:t>
      </w:r>
      <w:r w:rsidR="00E66B8B">
        <w:t xml:space="preserve"> best</w:t>
      </w:r>
      <w:r w:rsidR="00B93A82" w:rsidRPr="00BA7D2D">
        <w:t xml:space="preserve"> interests of Washington consumers, especially rural consumers. </w:t>
      </w:r>
    </w:p>
    <w:p w:rsidR="00DB2108" w:rsidRPr="00BA7D2D" w:rsidRDefault="00DB2108" w:rsidP="00DB2108">
      <w:pPr>
        <w:pStyle w:val="NoSpacing"/>
        <w:spacing w:line="480" w:lineRule="auto"/>
        <w:ind w:left="720" w:hanging="720"/>
      </w:pPr>
    </w:p>
    <w:p w:rsidR="00DB2108" w:rsidRPr="00BA7D2D" w:rsidRDefault="00DB2108" w:rsidP="00DB2108">
      <w:pPr>
        <w:pStyle w:val="NoSpacing"/>
        <w:spacing w:line="480" w:lineRule="auto"/>
        <w:ind w:left="720" w:hanging="720"/>
        <w:rPr>
          <w:b/>
        </w:rPr>
      </w:pPr>
      <w:r w:rsidRPr="00BA7D2D">
        <w:rPr>
          <w:b/>
        </w:rPr>
        <w:t>Q.</w:t>
      </w:r>
      <w:r w:rsidRPr="00BA7D2D">
        <w:rPr>
          <w:b/>
        </w:rPr>
        <w:tab/>
      </w:r>
      <w:r w:rsidR="00A0493A">
        <w:rPr>
          <w:b/>
        </w:rPr>
        <w:t>Is</w:t>
      </w:r>
      <w:r w:rsidR="00A0493A" w:rsidRPr="00BA7D2D">
        <w:rPr>
          <w:b/>
        </w:rPr>
        <w:t xml:space="preserve"> </w:t>
      </w:r>
      <w:r w:rsidRPr="00BA7D2D">
        <w:rPr>
          <w:b/>
        </w:rPr>
        <w:t xml:space="preserve">there any precedent for the Commission </w:t>
      </w:r>
      <w:r w:rsidR="00A0493A">
        <w:rPr>
          <w:b/>
        </w:rPr>
        <w:t xml:space="preserve">to </w:t>
      </w:r>
      <w:r w:rsidRPr="00BA7D2D">
        <w:rPr>
          <w:b/>
        </w:rPr>
        <w:t>requir</w:t>
      </w:r>
      <w:r w:rsidR="00A0493A">
        <w:rPr>
          <w:b/>
        </w:rPr>
        <w:t>e</w:t>
      </w:r>
      <w:r w:rsidRPr="00BA7D2D">
        <w:rPr>
          <w:b/>
        </w:rPr>
        <w:t xml:space="preserve"> broadband deployment </w:t>
      </w:r>
      <w:r w:rsidR="00A0493A">
        <w:rPr>
          <w:b/>
        </w:rPr>
        <w:t>by telecommunications carriers</w:t>
      </w:r>
      <w:r w:rsidRPr="00BA7D2D">
        <w:rPr>
          <w:b/>
        </w:rPr>
        <w:t xml:space="preserve">? </w:t>
      </w:r>
    </w:p>
    <w:p w:rsidR="00AA1264" w:rsidRDefault="00DB2108" w:rsidP="00DB2108">
      <w:pPr>
        <w:pStyle w:val="NoSpacing"/>
        <w:spacing w:line="480" w:lineRule="auto"/>
        <w:ind w:left="720" w:hanging="720"/>
      </w:pPr>
      <w:r w:rsidRPr="00BA7D2D">
        <w:t>A.</w:t>
      </w:r>
      <w:r w:rsidRPr="00BA7D2D">
        <w:tab/>
        <w:t xml:space="preserve">Yes.  The Commission conditioned its approval of </w:t>
      </w:r>
      <w:r w:rsidR="00A0493A">
        <w:t xml:space="preserve">several recent </w:t>
      </w:r>
      <w:r w:rsidR="00E545D3">
        <w:t>filings</w:t>
      </w:r>
      <w:r w:rsidR="00A0493A">
        <w:t xml:space="preserve"> on the </w:t>
      </w:r>
      <w:r w:rsidR="00E545D3">
        <w:t>companies</w:t>
      </w:r>
      <w:r w:rsidR="00A0493A">
        <w:t xml:space="preserve">’ </w:t>
      </w:r>
      <w:r w:rsidR="00A0493A" w:rsidRPr="00BA7D2D">
        <w:t xml:space="preserve">specific broadband deployment commitments </w:t>
      </w:r>
      <w:r w:rsidR="00A0493A">
        <w:t xml:space="preserve">in the state.  These </w:t>
      </w:r>
      <w:r w:rsidR="00E545D3">
        <w:t>proceedings</w:t>
      </w:r>
      <w:r w:rsidR="00A0493A">
        <w:t xml:space="preserve"> include</w:t>
      </w:r>
      <w:r w:rsidR="00A0493A" w:rsidRPr="00BA7D2D">
        <w:t xml:space="preserve"> </w:t>
      </w:r>
      <w:r w:rsidRPr="00BA7D2D">
        <w:t>Qwest Corporation’s Altern</w:t>
      </w:r>
      <w:r w:rsidR="00F44B9E" w:rsidRPr="00BA7D2D">
        <w:t>ative Form of Regulation (</w:t>
      </w:r>
      <w:proofErr w:type="spellStart"/>
      <w:r w:rsidR="00F44B9E" w:rsidRPr="00BA7D2D">
        <w:t>AFOR</w:t>
      </w:r>
      <w:proofErr w:type="spellEnd"/>
      <w:r w:rsidR="00F44B9E" w:rsidRPr="00BA7D2D">
        <w:t xml:space="preserve">), </w:t>
      </w:r>
      <w:r w:rsidRPr="00BA7D2D">
        <w:t xml:space="preserve">the merger between Embarq Corporation </w:t>
      </w:r>
      <w:r w:rsidR="00950805">
        <w:t xml:space="preserve">(Embarq) </w:t>
      </w:r>
      <w:r w:rsidRPr="00BA7D2D">
        <w:t xml:space="preserve">and CenturyTel, Inc. </w:t>
      </w:r>
      <w:r w:rsidR="00950805">
        <w:t>(</w:t>
      </w:r>
      <w:r w:rsidR="002C009E">
        <w:t xml:space="preserve">now </w:t>
      </w:r>
      <w:r w:rsidR="00A0493A">
        <w:t xml:space="preserve">known as </w:t>
      </w:r>
      <w:r w:rsidR="002C009E">
        <w:t>CenturyLink</w:t>
      </w:r>
      <w:r w:rsidR="00950805">
        <w:t>)</w:t>
      </w:r>
      <w:r w:rsidR="00A0493A">
        <w:t>,</w:t>
      </w:r>
      <w:r w:rsidR="00950805">
        <w:t xml:space="preserve"> </w:t>
      </w:r>
      <w:r w:rsidR="00F44B9E" w:rsidRPr="00BA7D2D">
        <w:t xml:space="preserve">and the </w:t>
      </w:r>
      <w:r w:rsidR="00A0493A">
        <w:t>acquisition of</w:t>
      </w:r>
      <w:r w:rsidR="00F44B9E" w:rsidRPr="00BA7D2D">
        <w:t xml:space="preserve"> Verizon Northwest, Inc (Verizon) </w:t>
      </w:r>
      <w:r w:rsidR="00A0493A">
        <w:t>by</w:t>
      </w:r>
      <w:r w:rsidR="00A0493A" w:rsidRPr="00BA7D2D">
        <w:t xml:space="preserve"> </w:t>
      </w:r>
      <w:r w:rsidR="00F44B9E" w:rsidRPr="00BA7D2D">
        <w:t>Frontier Communication Corporation (Frontier)</w:t>
      </w:r>
      <w:r w:rsidR="00587CBC">
        <w:t xml:space="preserve">.  </w:t>
      </w:r>
    </w:p>
    <w:p w:rsidR="00DB2108" w:rsidRPr="00BA7D2D" w:rsidRDefault="007F08F6" w:rsidP="00C048E1">
      <w:pPr>
        <w:pStyle w:val="NoSpacing"/>
        <w:spacing w:line="480" w:lineRule="auto"/>
        <w:ind w:left="720" w:firstLine="720"/>
      </w:pPr>
      <w:r>
        <w:t>As illustrated in the broadband deployment requirements in the prior proceedings, t</w:t>
      </w:r>
      <w:r w:rsidR="00587CBC">
        <w:t xml:space="preserve">he Commission considers broadband </w:t>
      </w:r>
      <w:r w:rsidR="00A0493A">
        <w:t xml:space="preserve">to be </w:t>
      </w:r>
      <w:r w:rsidR="00587CBC">
        <w:t xml:space="preserve">an integral component of </w:t>
      </w:r>
      <w:r w:rsidR="005A508B">
        <w:t xml:space="preserve">the </w:t>
      </w:r>
      <w:r w:rsidR="00587CBC">
        <w:t xml:space="preserve">public interest and recognizes the critical role of </w:t>
      </w:r>
      <w:r w:rsidR="000014AF">
        <w:t>ILECs</w:t>
      </w:r>
      <w:r w:rsidR="00587CBC">
        <w:t xml:space="preserve"> in building out broadband infrastructure in </w:t>
      </w:r>
      <w:r w:rsidR="00950805">
        <w:t>the state of Washington</w:t>
      </w:r>
      <w:r w:rsidR="00DB2108" w:rsidRPr="00BA7D2D">
        <w:t>.  In the Qwest</w:t>
      </w:r>
      <w:r w:rsidR="00FB0896">
        <w:t xml:space="preserve"> </w:t>
      </w:r>
      <w:proofErr w:type="spellStart"/>
      <w:r w:rsidR="00DB2108" w:rsidRPr="00BA7D2D">
        <w:t>AFOR</w:t>
      </w:r>
      <w:proofErr w:type="spellEnd"/>
      <w:r w:rsidR="00DB2108" w:rsidRPr="00BA7D2D">
        <w:t xml:space="preserve"> proceeding, Qwest</w:t>
      </w:r>
      <w:r w:rsidR="00FB0896">
        <w:t xml:space="preserve"> </w:t>
      </w:r>
      <w:r w:rsidR="00DB2108" w:rsidRPr="00BA7D2D">
        <w:t>committed to spend at least $4 million to increase the availability of advanced telecommunications services in underserved areas in Washington.</w:t>
      </w:r>
      <w:r w:rsidR="00DB2108" w:rsidRPr="00BA7D2D">
        <w:rPr>
          <w:rStyle w:val="FootnoteReference"/>
        </w:rPr>
        <w:footnoteReference w:id="5"/>
      </w:r>
      <w:r w:rsidR="00DB2108" w:rsidRPr="00BA7D2D">
        <w:t xml:space="preserve">  Similarly, in the Embarq and CenturyTel merger proceeding, the merged company agreed to provision broadband</w:t>
      </w:r>
      <w:r w:rsidR="00B55DC0">
        <w:t xml:space="preserve"> </w:t>
      </w:r>
      <w:r w:rsidR="00B55DC0" w:rsidRPr="00BA7D2D">
        <w:t>within three years after the close of the merger</w:t>
      </w:r>
      <w:r w:rsidR="00B55DC0">
        <w:t xml:space="preserve"> </w:t>
      </w:r>
      <w:r w:rsidR="00DB2108" w:rsidRPr="00BA7D2D">
        <w:t xml:space="preserve">to 2,200 </w:t>
      </w:r>
      <w:r w:rsidR="002C009E">
        <w:t>customers previously without broadband service</w:t>
      </w:r>
      <w:r w:rsidR="00DB2108" w:rsidRPr="00BA7D2D">
        <w:t>.</w:t>
      </w:r>
      <w:r w:rsidR="00DB2108" w:rsidRPr="00BA7D2D">
        <w:rPr>
          <w:rStyle w:val="FootnoteReference"/>
        </w:rPr>
        <w:footnoteReference w:id="6"/>
      </w:r>
      <w:r w:rsidR="00F44B9E" w:rsidRPr="00BA7D2D">
        <w:t xml:space="preserve">  In the Verizon and Frontier merger, </w:t>
      </w:r>
      <w:r w:rsidR="00950805">
        <w:t xml:space="preserve">Frontier </w:t>
      </w:r>
      <w:r w:rsidR="00F44B9E" w:rsidRPr="00BA7D2D">
        <w:t>committed to</w:t>
      </w:r>
      <w:r w:rsidR="00A71F61" w:rsidRPr="00BA7D2D">
        <w:t xml:space="preserve"> a number of broadband-related conditions</w:t>
      </w:r>
      <w:r w:rsidR="00950805">
        <w:t xml:space="preserve">, including </w:t>
      </w:r>
      <w:r w:rsidR="00F44B9E" w:rsidRPr="00BA7D2D">
        <w:t>spend</w:t>
      </w:r>
      <w:r w:rsidR="00A71F61" w:rsidRPr="00BA7D2D">
        <w:t>ing</w:t>
      </w:r>
      <w:r w:rsidR="00F44B9E" w:rsidRPr="00BA7D2D">
        <w:t xml:space="preserve"> at least</w:t>
      </w:r>
      <w:r w:rsidR="00A71F61" w:rsidRPr="00BA7D2D">
        <w:t xml:space="preserve"> $40 million on DSL deployment, meeting specific targets of DSL availability rate at the wire center level</w:t>
      </w:r>
      <w:r w:rsidR="00953A39">
        <w:t>, and</w:t>
      </w:r>
      <w:r w:rsidR="00A71F61" w:rsidRPr="00BA7D2D">
        <w:t xml:space="preserve"> providing a download speed of 3 Mbps to 80</w:t>
      </w:r>
      <w:r w:rsidR="00A1193D">
        <w:t xml:space="preserve"> percent</w:t>
      </w:r>
      <w:r w:rsidR="00A71F61" w:rsidRPr="00BA7D2D">
        <w:t xml:space="preserve"> of households in its service area by the end of 2014.</w:t>
      </w:r>
      <w:r w:rsidR="00AA1264">
        <w:rPr>
          <w:rStyle w:val="FootnoteReference"/>
        </w:rPr>
        <w:footnoteReference w:id="7"/>
      </w:r>
    </w:p>
    <w:p w:rsidR="007F3DDD" w:rsidRDefault="007F3DDD" w:rsidP="00C048E1">
      <w:pPr>
        <w:spacing w:after="0" w:line="480" w:lineRule="auto"/>
        <w:rPr>
          <w:rFonts w:ascii="Times New Roman" w:eastAsiaTheme="majorEastAsia" w:hAnsi="Times New Roman" w:cs="Times New Roman"/>
          <w:b/>
          <w:bCs/>
          <w:sz w:val="24"/>
          <w:szCs w:val="24"/>
        </w:rPr>
      </w:pPr>
      <w:bookmarkStart w:id="1" w:name="_Toc273089708"/>
    </w:p>
    <w:p w:rsidR="00DB2108" w:rsidRDefault="00DB2108" w:rsidP="007138D7">
      <w:pPr>
        <w:pStyle w:val="Heading1"/>
        <w:keepNext w:val="0"/>
        <w:keepLines w:val="0"/>
        <w:numPr>
          <w:ilvl w:val="0"/>
          <w:numId w:val="11"/>
        </w:numPr>
        <w:spacing w:before="0" w:line="480" w:lineRule="auto"/>
        <w:ind w:left="0" w:firstLine="0"/>
        <w:jc w:val="center"/>
        <w:rPr>
          <w:rFonts w:ascii="Times New Roman" w:hAnsi="Times New Roman" w:cs="Times New Roman"/>
          <w:color w:val="auto"/>
          <w:sz w:val="24"/>
          <w:szCs w:val="24"/>
        </w:rPr>
      </w:pPr>
      <w:r w:rsidRPr="002C1DF7">
        <w:rPr>
          <w:rFonts w:ascii="Times New Roman" w:hAnsi="Times New Roman" w:cs="Times New Roman"/>
          <w:color w:val="auto"/>
          <w:sz w:val="24"/>
          <w:szCs w:val="24"/>
        </w:rPr>
        <w:t>BROADBAND DEPLOYMENT</w:t>
      </w:r>
      <w:bookmarkEnd w:id="1"/>
    </w:p>
    <w:p w:rsidR="00C048E1" w:rsidRPr="002C1DF7" w:rsidRDefault="00C048E1" w:rsidP="00C048E1">
      <w:pPr>
        <w:spacing w:after="0" w:line="480" w:lineRule="auto"/>
      </w:pPr>
    </w:p>
    <w:p w:rsidR="00DB2108" w:rsidRPr="00BA7D2D" w:rsidRDefault="00DB2108" w:rsidP="00C048E1">
      <w:pPr>
        <w:pStyle w:val="NoSpacing"/>
        <w:spacing w:line="480" w:lineRule="auto"/>
        <w:ind w:left="720" w:hanging="720"/>
        <w:rPr>
          <w:b/>
        </w:rPr>
      </w:pPr>
      <w:r w:rsidRPr="00BA7D2D">
        <w:rPr>
          <w:b/>
        </w:rPr>
        <w:t>Q.</w:t>
      </w:r>
      <w:r w:rsidRPr="00BA7D2D">
        <w:rPr>
          <w:b/>
        </w:rPr>
        <w:tab/>
      </w:r>
      <w:r w:rsidR="00953A39">
        <w:rPr>
          <w:b/>
        </w:rPr>
        <w:t>Is</w:t>
      </w:r>
      <w:r w:rsidR="00A71F61" w:rsidRPr="00BA7D2D">
        <w:rPr>
          <w:b/>
        </w:rPr>
        <w:t xml:space="preserve"> the merged company </w:t>
      </w:r>
      <w:r w:rsidR="00953A39">
        <w:rPr>
          <w:b/>
        </w:rPr>
        <w:t>likely to</w:t>
      </w:r>
      <w:r w:rsidR="00953A39" w:rsidRPr="00BA7D2D">
        <w:rPr>
          <w:b/>
        </w:rPr>
        <w:t xml:space="preserve"> </w:t>
      </w:r>
      <w:r w:rsidR="00A71F61" w:rsidRPr="00BA7D2D">
        <w:rPr>
          <w:b/>
        </w:rPr>
        <w:t xml:space="preserve">expand broadband deployment in Washington after </w:t>
      </w:r>
      <w:r w:rsidR="00950805">
        <w:rPr>
          <w:b/>
        </w:rPr>
        <w:t>the transaction</w:t>
      </w:r>
      <w:r w:rsidR="00A71F61" w:rsidRPr="00BA7D2D">
        <w:rPr>
          <w:b/>
        </w:rPr>
        <w:t>?</w:t>
      </w:r>
    </w:p>
    <w:p w:rsidR="00CC5ED5" w:rsidRDefault="00A71F61" w:rsidP="00C048E1">
      <w:pPr>
        <w:pStyle w:val="NoSpacing"/>
        <w:spacing w:line="480" w:lineRule="auto"/>
        <w:ind w:left="720" w:hanging="720"/>
      </w:pPr>
      <w:r w:rsidRPr="00C048E1">
        <w:t>A.</w:t>
      </w:r>
      <w:r w:rsidRPr="00C048E1">
        <w:tab/>
      </w:r>
      <w:r w:rsidR="00CE2497" w:rsidRPr="00BA7D2D">
        <w:t xml:space="preserve">Overall, I think the </w:t>
      </w:r>
      <w:r w:rsidR="00950805">
        <w:t>post-transaction</w:t>
      </w:r>
      <w:r w:rsidR="00CE2497" w:rsidRPr="00BA7D2D">
        <w:t xml:space="preserve"> </w:t>
      </w:r>
      <w:r w:rsidR="002C009E">
        <w:t>CenturyLink</w:t>
      </w:r>
      <w:r w:rsidR="00CE2497" w:rsidRPr="00BA7D2D">
        <w:t xml:space="preserve"> will </w:t>
      </w:r>
      <w:r w:rsidR="00950805">
        <w:t xml:space="preserve">expand </w:t>
      </w:r>
      <w:r w:rsidR="00CE2497" w:rsidRPr="00BA7D2D">
        <w:t xml:space="preserve">its broadband footprint and </w:t>
      </w:r>
      <w:r w:rsidR="00AA1264">
        <w:t xml:space="preserve">improve </w:t>
      </w:r>
      <w:r w:rsidR="00CE2497" w:rsidRPr="00BA7D2D">
        <w:t xml:space="preserve">marketing </w:t>
      </w:r>
      <w:r w:rsidR="00DA5244">
        <w:t>of</w:t>
      </w:r>
      <w:r w:rsidR="00DA5244" w:rsidRPr="00BA7D2D">
        <w:t xml:space="preserve"> </w:t>
      </w:r>
      <w:r w:rsidR="00CE2497" w:rsidRPr="00BA7D2D">
        <w:t xml:space="preserve">broadband products.  Joint Applicants </w:t>
      </w:r>
      <w:r w:rsidR="00950805">
        <w:t>state</w:t>
      </w:r>
      <w:r w:rsidR="00CE2497" w:rsidRPr="00BA7D2D">
        <w:t xml:space="preserve"> that the merger will lead to </w:t>
      </w:r>
      <w:r w:rsidR="00AE31DD" w:rsidRPr="00BA7D2D">
        <w:t xml:space="preserve">financial strength and flexibility, </w:t>
      </w:r>
      <w:r w:rsidR="00953A39">
        <w:t xml:space="preserve">a </w:t>
      </w:r>
      <w:r w:rsidR="00AE31DD" w:rsidRPr="00BA7D2D">
        <w:t xml:space="preserve">more diverse mix of product offerings, </w:t>
      </w:r>
      <w:r w:rsidR="00953A39">
        <w:t xml:space="preserve">and </w:t>
      </w:r>
      <w:r w:rsidR="00AE31DD" w:rsidRPr="00BA7D2D">
        <w:t xml:space="preserve">increased economies of scale and </w:t>
      </w:r>
      <w:r w:rsidR="00953A39">
        <w:t xml:space="preserve">a </w:t>
      </w:r>
      <w:r w:rsidR="00AE31DD" w:rsidRPr="00BA7D2D">
        <w:t xml:space="preserve">stronger product portfolio, </w:t>
      </w:r>
      <w:r w:rsidR="00CE2497" w:rsidRPr="00BA7D2D">
        <w:t>making the combined operation more efficient.</w:t>
      </w:r>
      <w:r w:rsidR="00AE31DD" w:rsidRPr="00BA7D2D">
        <w:rPr>
          <w:rStyle w:val="FootnoteReference"/>
        </w:rPr>
        <w:footnoteReference w:id="8"/>
      </w:r>
      <w:r w:rsidR="00CC6D9D" w:rsidRPr="00BA7D2D">
        <w:t xml:space="preserve"> </w:t>
      </w:r>
      <w:r w:rsidR="000B355F" w:rsidRPr="00BA7D2D">
        <w:t xml:space="preserve"> Given that the wireline industry is fac</w:t>
      </w:r>
      <w:r w:rsidR="003146A4" w:rsidRPr="00BA7D2D">
        <w:t>ing</w:t>
      </w:r>
      <w:r w:rsidR="000B355F" w:rsidRPr="00BA7D2D">
        <w:t xml:space="preserve"> intermodal competition </w:t>
      </w:r>
      <w:r w:rsidR="003146A4" w:rsidRPr="00BA7D2D">
        <w:t>from both</w:t>
      </w:r>
      <w:r w:rsidR="000B355F" w:rsidRPr="00BA7D2D">
        <w:t xml:space="preserve"> wireless providers and cable providers, I believe </w:t>
      </w:r>
      <w:r w:rsidR="002C009E">
        <w:t>CenturyLink</w:t>
      </w:r>
      <w:r w:rsidR="000B355F" w:rsidRPr="00BA7D2D">
        <w:t xml:space="preserve"> </w:t>
      </w:r>
      <w:r w:rsidR="003146A4" w:rsidRPr="00BA7D2D">
        <w:t xml:space="preserve">has incentives to </w:t>
      </w:r>
      <w:r w:rsidR="00D12C56" w:rsidRPr="00BA7D2D">
        <w:t xml:space="preserve">improve broadband offers and </w:t>
      </w:r>
      <w:r w:rsidR="00DA5244">
        <w:t>provide</w:t>
      </w:r>
      <w:r w:rsidR="00DA5244" w:rsidRPr="00BA7D2D">
        <w:t xml:space="preserve"> </w:t>
      </w:r>
      <w:r w:rsidR="00D12C56" w:rsidRPr="00BA7D2D">
        <w:t>them at competitive prices.</w:t>
      </w:r>
    </w:p>
    <w:p w:rsidR="00D72619" w:rsidRPr="00BA7D2D" w:rsidRDefault="00D72619" w:rsidP="00D94264">
      <w:pPr>
        <w:pStyle w:val="NoSpacing"/>
        <w:spacing w:line="480" w:lineRule="auto"/>
        <w:ind w:left="720" w:hanging="720"/>
      </w:pPr>
    </w:p>
    <w:p w:rsidR="00D72619" w:rsidRPr="00BA7D2D" w:rsidRDefault="00D72619" w:rsidP="00D94264">
      <w:pPr>
        <w:pStyle w:val="NoSpacing"/>
        <w:spacing w:line="480" w:lineRule="auto"/>
        <w:ind w:left="720" w:hanging="720"/>
        <w:rPr>
          <w:b/>
        </w:rPr>
      </w:pPr>
      <w:r w:rsidRPr="00BA7D2D">
        <w:rPr>
          <w:b/>
        </w:rPr>
        <w:t>Q.</w:t>
      </w:r>
      <w:r w:rsidRPr="00BA7D2D">
        <w:rPr>
          <w:b/>
        </w:rPr>
        <w:tab/>
        <w:t xml:space="preserve">If you believe that the merged company will </w:t>
      </w:r>
      <w:r w:rsidR="00D12C56" w:rsidRPr="00BA7D2D">
        <w:rPr>
          <w:b/>
        </w:rPr>
        <w:t>continue to improve</w:t>
      </w:r>
      <w:r w:rsidRPr="00BA7D2D">
        <w:rPr>
          <w:b/>
        </w:rPr>
        <w:t xml:space="preserve"> broadband </w:t>
      </w:r>
      <w:r w:rsidR="00D12C56" w:rsidRPr="00BA7D2D">
        <w:rPr>
          <w:b/>
        </w:rPr>
        <w:t xml:space="preserve">offerings </w:t>
      </w:r>
      <w:r w:rsidR="000014AF">
        <w:rPr>
          <w:b/>
        </w:rPr>
        <w:t>in a competitive market</w:t>
      </w:r>
      <w:r w:rsidRPr="00BA7D2D">
        <w:rPr>
          <w:b/>
        </w:rPr>
        <w:t xml:space="preserve">, why do you recommend </w:t>
      </w:r>
      <w:r w:rsidR="00D12C56" w:rsidRPr="00BA7D2D">
        <w:rPr>
          <w:b/>
        </w:rPr>
        <w:t xml:space="preserve">that </w:t>
      </w:r>
      <w:r w:rsidRPr="00BA7D2D">
        <w:rPr>
          <w:b/>
        </w:rPr>
        <w:t xml:space="preserve">the Commission impose conditions on the company’s future broadband investment in Washington? </w:t>
      </w:r>
    </w:p>
    <w:p w:rsidR="00D72619" w:rsidRPr="00BA7D2D" w:rsidRDefault="00D72619" w:rsidP="00D94264">
      <w:pPr>
        <w:pStyle w:val="NoSpacing"/>
        <w:spacing w:line="480" w:lineRule="auto"/>
        <w:ind w:left="720" w:hanging="720"/>
      </w:pPr>
      <w:r w:rsidRPr="00BA7D2D">
        <w:t>A.</w:t>
      </w:r>
      <w:r w:rsidRPr="00BA7D2D">
        <w:tab/>
        <w:t xml:space="preserve">The rationale </w:t>
      </w:r>
      <w:r w:rsidR="00D12C56" w:rsidRPr="00BA7D2D">
        <w:t xml:space="preserve">is </w:t>
      </w:r>
      <w:r w:rsidRPr="00BA7D2D">
        <w:t>two</w:t>
      </w:r>
      <w:r w:rsidR="00D12C56" w:rsidRPr="00BA7D2D">
        <w:t>-</w:t>
      </w:r>
      <w:r w:rsidRPr="00BA7D2D">
        <w:t xml:space="preserve">fold.  The proposed merger takes place at the national corporate level. </w:t>
      </w:r>
      <w:r w:rsidR="00AE31DD" w:rsidRPr="00BA7D2D">
        <w:t xml:space="preserve"> The two companies are going to merge across multiple states. </w:t>
      </w:r>
      <w:r w:rsidR="00D12C56" w:rsidRPr="00BA7D2D">
        <w:t xml:space="preserve"> Therefore,</w:t>
      </w:r>
      <w:r w:rsidR="00AE31DD" w:rsidRPr="00BA7D2D">
        <w:t xml:space="preserve"> </w:t>
      </w:r>
      <w:r w:rsidR="00276685">
        <w:t>it is important to</w:t>
      </w:r>
      <w:r w:rsidR="00AE31DD" w:rsidRPr="00BA7D2D">
        <w:t xml:space="preserve"> make sure that </w:t>
      </w:r>
      <w:r w:rsidR="009F4111">
        <w:t>CenturyLink</w:t>
      </w:r>
      <w:r w:rsidR="00AE31DD" w:rsidRPr="00BA7D2D">
        <w:t xml:space="preserve"> will dedicate a fair portion of its synergy savings to the state of Washington.  </w:t>
      </w:r>
    </w:p>
    <w:p w:rsidR="00052EF8" w:rsidRPr="00BA7D2D" w:rsidRDefault="00C048E1" w:rsidP="00D94264">
      <w:pPr>
        <w:pStyle w:val="NoSpacing"/>
        <w:spacing w:line="480" w:lineRule="auto"/>
        <w:ind w:left="720" w:hanging="720"/>
      </w:pPr>
      <w:r>
        <w:tab/>
      </w:r>
      <w:r w:rsidR="00000991" w:rsidRPr="00BA7D2D">
        <w:tab/>
      </w:r>
      <w:r w:rsidR="00276685">
        <w:t>Also</w:t>
      </w:r>
      <w:r w:rsidR="00AE31DD" w:rsidRPr="00BA7D2D">
        <w:t xml:space="preserve">, </w:t>
      </w:r>
      <w:r w:rsidR="00276685">
        <w:t>there is a risk</w:t>
      </w:r>
      <w:r w:rsidR="00D16DD7" w:rsidRPr="00BA7D2D">
        <w:t xml:space="preserve"> that </w:t>
      </w:r>
      <w:r w:rsidR="009F4111">
        <w:t>CenturyLink</w:t>
      </w:r>
      <w:r w:rsidR="00D16DD7" w:rsidRPr="00BA7D2D">
        <w:t xml:space="preserve"> will not </w:t>
      </w:r>
      <w:r w:rsidR="00AE31DD" w:rsidRPr="00BA7D2D">
        <w:t xml:space="preserve">dedicate </w:t>
      </w:r>
      <w:r w:rsidR="009838E0">
        <w:t xml:space="preserve">adequate </w:t>
      </w:r>
      <w:r w:rsidR="00D16DD7" w:rsidRPr="00BA7D2D">
        <w:t xml:space="preserve">resources </w:t>
      </w:r>
      <w:r w:rsidR="00AE31DD" w:rsidRPr="00BA7D2D">
        <w:t xml:space="preserve">to rural areas </w:t>
      </w:r>
      <w:r w:rsidR="009838E0">
        <w:t xml:space="preserve">in Washington. </w:t>
      </w:r>
      <w:r w:rsidR="00AF42E6">
        <w:t xml:space="preserve"> </w:t>
      </w:r>
      <w:r w:rsidR="00DA5244">
        <w:t xml:space="preserve">Left </w:t>
      </w:r>
      <w:r w:rsidR="009838E0">
        <w:t>entirely to market forces</w:t>
      </w:r>
      <w:r w:rsidR="00D12C56" w:rsidRPr="00BA7D2D">
        <w:t xml:space="preserve">, </w:t>
      </w:r>
      <w:r w:rsidR="009838E0">
        <w:t xml:space="preserve">the company </w:t>
      </w:r>
      <w:r w:rsidR="00276685">
        <w:t xml:space="preserve">may </w:t>
      </w:r>
      <w:r w:rsidR="009838E0">
        <w:t xml:space="preserve">focus its </w:t>
      </w:r>
      <w:r w:rsidR="00D12C56" w:rsidRPr="00BA7D2D">
        <w:t xml:space="preserve">broadband activity on urban markets </w:t>
      </w:r>
      <w:r w:rsidR="009838E0">
        <w:t xml:space="preserve">and neglect </w:t>
      </w:r>
      <w:r w:rsidR="00D12C56" w:rsidRPr="00BA7D2D">
        <w:t>rural markets.</w:t>
      </w:r>
      <w:r w:rsidR="007431CF" w:rsidRPr="00BA7D2D">
        <w:t xml:space="preserve"> </w:t>
      </w:r>
      <w:r w:rsidR="000B355F" w:rsidRPr="00BA7D2D">
        <w:t xml:space="preserve"> </w:t>
      </w:r>
      <w:r w:rsidR="00052EF8" w:rsidRPr="00BA7D2D">
        <w:t xml:space="preserve">As a result, we </w:t>
      </w:r>
      <w:r w:rsidR="00276685">
        <w:t>could</w:t>
      </w:r>
      <w:r w:rsidR="00276685" w:rsidRPr="00BA7D2D">
        <w:t xml:space="preserve"> </w:t>
      </w:r>
      <w:r w:rsidR="00052EF8" w:rsidRPr="00BA7D2D">
        <w:t xml:space="preserve">see a widening gap in broadband </w:t>
      </w:r>
      <w:r w:rsidR="00035681" w:rsidRPr="00BA7D2D">
        <w:t xml:space="preserve">infrastructure between rural and urban areas served by </w:t>
      </w:r>
      <w:r w:rsidR="00D12C56" w:rsidRPr="00BA7D2D">
        <w:t>CenturyLink after the acquisition</w:t>
      </w:r>
      <w:r w:rsidR="009838E0">
        <w:t xml:space="preserve">. </w:t>
      </w:r>
      <w:r w:rsidR="00035681" w:rsidRPr="00BA7D2D">
        <w:t xml:space="preserve"> </w:t>
      </w:r>
    </w:p>
    <w:p w:rsidR="00035681" w:rsidRPr="00BA7D2D" w:rsidRDefault="00035681" w:rsidP="00D94264">
      <w:pPr>
        <w:pStyle w:val="NoSpacing"/>
        <w:spacing w:line="480" w:lineRule="auto"/>
        <w:ind w:left="720" w:hanging="720"/>
      </w:pPr>
    </w:p>
    <w:p w:rsidR="00052EF8" w:rsidRPr="00BA7D2D" w:rsidRDefault="00052EF8" w:rsidP="00D94264">
      <w:pPr>
        <w:pStyle w:val="NoSpacing"/>
        <w:spacing w:line="480" w:lineRule="auto"/>
        <w:ind w:left="720" w:hanging="720"/>
        <w:rPr>
          <w:b/>
        </w:rPr>
      </w:pPr>
      <w:r w:rsidRPr="00BA7D2D">
        <w:rPr>
          <w:b/>
        </w:rPr>
        <w:t>Q.</w:t>
      </w:r>
      <w:r w:rsidRPr="00BA7D2D">
        <w:rPr>
          <w:b/>
        </w:rPr>
        <w:tab/>
        <w:t xml:space="preserve">Could you please elaborate </w:t>
      </w:r>
      <w:r w:rsidR="00276685">
        <w:rPr>
          <w:b/>
        </w:rPr>
        <w:t xml:space="preserve">on </w:t>
      </w:r>
      <w:r w:rsidRPr="00BA7D2D">
        <w:rPr>
          <w:b/>
        </w:rPr>
        <w:t xml:space="preserve">your concern </w:t>
      </w:r>
      <w:r w:rsidR="00276685">
        <w:rPr>
          <w:b/>
        </w:rPr>
        <w:t>regarding</w:t>
      </w:r>
      <w:r w:rsidRPr="00BA7D2D">
        <w:rPr>
          <w:b/>
        </w:rPr>
        <w:t xml:space="preserve"> the </w:t>
      </w:r>
      <w:r w:rsidR="00276685">
        <w:rPr>
          <w:b/>
        </w:rPr>
        <w:t>risk of a</w:t>
      </w:r>
      <w:r w:rsidR="00276685" w:rsidRPr="00BA7D2D">
        <w:rPr>
          <w:b/>
        </w:rPr>
        <w:t xml:space="preserve"> </w:t>
      </w:r>
      <w:r w:rsidRPr="00BA7D2D">
        <w:rPr>
          <w:b/>
        </w:rPr>
        <w:t xml:space="preserve">rural and urban </w:t>
      </w:r>
      <w:r w:rsidR="00035681" w:rsidRPr="00BA7D2D">
        <w:rPr>
          <w:b/>
        </w:rPr>
        <w:t xml:space="preserve">gap in broadband investment? </w:t>
      </w:r>
    </w:p>
    <w:p w:rsidR="0080611E" w:rsidRDefault="001E565C" w:rsidP="00D94264">
      <w:pPr>
        <w:pStyle w:val="NoSpacing"/>
        <w:spacing w:line="480" w:lineRule="auto"/>
        <w:ind w:left="720" w:hanging="720"/>
      </w:pPr>
      <w:r w:rsidRPr="00BA7D2D">
        <w:t>A.</w:t>
      </w:r>
      <w:r w:rsidRPr="00BA7D2D">
        <w:tab/>
        <w:t xml:space="preserve">It is common sense that it is less profitable for a company to serve rural areas.  </w:t>
      </w:r>
      <w:r w:rsidR="00D12C56" w:rsidRPr="00BA7D2D">
        <w:t xml:space="preserve">Facility costs to deploy broadband </w:t>
      </w:r>
      <w:r w:rsidR="000014AF">
        <w:t>depend o</w:t>
      </w:r>
      <w:r w:rsidR="00D12C56" w:rsidRPr="00BA7D2D">
        <w:t xml:space="preserve">n customer density and the physical </w:t>
      </w:r>
      <w:r w:rsidR="00A52D6C" w:rsidRPr="00BA7D2D">
        <w:t>distance of</w:t>
      </w:r>
      <w:r w:rsidR="00D12C56" w:rsidRPr="00BA7D2D">
        <w:t xml:space="preserve"> facilities required to </w:t>
      </w:r>
      <w:r w:rsidR="006E322C">
        <w:t>connect the customers to the company’s switch</w:t>
      </w:r>
      <w:r w:rsidR="00D12C56" w:rsidRPr="00BA7D2D">
        <w:t xml:space="preserve">. </w:t>
      </w:r>
      <w:r w:rsidR="006E322C">
        <w:t xml:space="preserve"> </w:t>
      </w:r>
      <w:r w:rsidR="00D12C56" w:rsidRPr="00BA7D2D">
        <w:t xml:space="preserve">In rural parts of Washington, the </w:t>
      </w:r>
      <w:r w:rsidR="006E322C" w:rsidRPr="00BA7D2D">
        <w:t>distances to</w:t>
      </w:r>
      <w:r w:rsidRPr="00BA7D2D">
        <w:t xml:space="preserve"> connect the customers</w:t>
      </w:r>
      <w:r w:rsidR="00A52D6C" w:rsidRPr="00BA7D2D">
        <w:t xml:space="preserve"> </w:t>
      </w:r>
      <w:r w:rsidR="00D32B66" w:rsidRPr="00BA7D2D">
        <w:t>are</w:t>
      </w:r>
      <w:r w:rsidRPr="00BA7D2D">
        <w:t xml:space="preserve"> much </w:t>
      </w:r>
      <w:r w:rsidR="006E322C" w:rsidRPr="00BA7D2D">
        <w:t>longer and</w:t>
      </w:r>
      <w:r w:rsidR="00D32B66" w:rsidRPr="00BA7D2D">
        <w:t xml:space="preserve"> the densities are much lower than in urban areas </w:t>
      </w:r>
      <w:r w:rsidRPr="00BA7D2D">
        <w:t xml:space="preserve">because households are sparsely located.  </w:t>
      </w:r>
      <w:r w:rsidR="0080611E" w:rsidRPr="00BA7D2D">
        <w:t>Exhibit</w:t>
      </w:r>
      <w:r w:rsidR="00276685">
        <w:t xml:space="preserve"> __ (</w:t>
      </w:r>
      <w:proofErr w:type="spellStart"/>
      <w:r w:rsidR="00276685">
        <w:t>JL-</w:t>
      </w:r>
      <w:r w:rsidR="00C30416">
        <w:t>HC2</w:t>
      </w:r>
      <w:proofErr w:type="spellEnd"/>
      <w:r w:rsidR="00276685">
        <w:t>)</w:t>
      </w:r>
      <w:r w:rsidR="0080611E" w:rsidRPr="00BA7D2D">
        <w:t xml:space="preserve"> depicts the relationship between household density (an indicator of “</w:t>
      </w:r>
      <w:proofErr w:type="spellStart"/>
      <w:r w:rsidR="0080611E" w:rsidRPr="00BA7D2D">
        <w:t>ruralness</w:t>
      </w:r>
      <w:proofErr w:type="spellEnd"/>
      <w:r w:rsidR="0080611E" w:rsidRPr="00BA7D2D">
        <w:t xml:space="preserve">” of the community) and </w:t>
      </w:r>
      <w:r w:rsidR="000014AF">
        <w:t xml:space="preserve">current </w:t>
      </w:r>
      <w:r w:rsidR="0080611E" w:rsidRPr="00BA7D2D">
        <w:t xml:space="preserve">DSL availability based on combined </w:t>
      </w:r>
      <w:r w:rsidR="00276685">
        <w:t xml:space="preserve">data from </w:t>
      </w:r>
      <w:r w:rsidR="0080611E" w:rsidRPr="00BA7D2D">
        <w:t>Qwest</w:t>
      </w:r>
      <w:r w:rsidR="009F4111">
        <w:t xml:space="preserve"> </w:t>
      </w:r>
      <w:r w:rsidR="0080611E" w:rsidRPr="00BA7D2D">
        <w:t>and CenturyLink</w:t>
      </w:r>
      <w:r w:rsidR="009F4111">
        <w:t xml:space="preserve"> </w:t>
      </w:r>
      <w:r w:rsidR="0080611E" w:rsidRPr="00BA7D2D">
        <w:t>at the wire center level.  Exhibit</w:t>
      </w:r>
      <w:r w:rsidR="00C30416">
        <w:t xml:space="preserve"> __ (</w:t>
      </w:r>
      <w:proofErr w:type="spellStart"/>
      <w:r w:rsidR="00C30416">
        <w:t>JL-HC3</w:t>
      </w:r>
      <w:proofErr w:type="spellEnd"/>
      <w:r w:rsidR="00C30416">
        <w:t>)</w:t>
      </w:r>
      <w:r w:rsidR="0080611E" w:rsidRPr="00BA7D2D">
        <w:t xml:space="preserve"> is a spreadsheet containing </w:t>
      </w:r>
      <w:r w:rsidR="00AF42E6">
        <w:t xml:space="preserve">the underlying </w:t>
      </w:r>
      <w:r w:rsidR="00AF42E6" w:rsidRPr="00BA7D2D">
        <w:t xml:space="preserve">data </w:t>
      </w:r>
      <w:r w:rsidR="00AF42E6">
        <w:t xml:space="preserve">for </w:t>
      </w:r>
      <w:r w:rsidR="00F17005" w:rsidRPr="00BA7D2D">
        <w:t>Qwest</w:t>
      </w:r>
      <w:r w:rsidR="00F17005">
        <w:t xml:space="preserve">’s </w:t>
      </w:r>
      <w:r w:rsidR="00F17005" w:rsidRPr="00BA7D2D">
        <w:t xml:space="preserve">and </w:t>
      </w:r>
      <w:r w:rsidR="00F17005">
        <w:t xml:space="preserve">the </w:t>
      </w:r>
      <w:r w:rsidR="00F17005" w:rsidRPr="00BA7D2D">
        <w:t>CenturyLink</w:t>
      </w:r>
      <w:r w:rsidR="00F17005">
        <w:t xml:space="preserve"> ILECs’ </w:t>
      </w:r>
      <w:r w:rsidR="00AF42E6">
        <w:t>DSL</w:t>
      </w:r>
      <w:r w:rsidR="00F17005" w:rsidRPr="00BA7D2D">
        <w:t xml:space="preserve"> availability</w:t>
      </w:r>
      <w:r w:rsidR="00167A6B" w:rsidRPr="00BA7D2D">
        <w:t>.</w:t>
      </w:r>
      <w:r w:rsidR="0080611E" w:rsidRPr="00BA7D2D">
        <w:t xml:space="preserve">  </w:t>
      </w:r>
      <w:r w:rsidR="0080611E">
        <w:t>T</w:t>
      </w:r>
      <w:r w:rsidR="0080611E" w:rsidRPr="00BA7D2D">
        <w:t>he scatter plot</w:t>
      </w:r>
      <w:r w:rsidR="0080611E">
        <w:t xml:space="preserve"> in </w:t>
      </w:r>
      <w:r w:rsidR="00C30416" w:rsidRPr="00BA7D2D">
        <w:t>Exhibit</w:t>
      </w:r>
      <w:r w:rsidR="00C30416">
        <w:t xml:space="preserve"> __ (</w:t>
      </w:r>
      <w:proofErr w:type="spellStart"/>
      <w:r w:rsidR="00C30416">
        <w:t>JL-HC2</w:t>
      </w:r>
      <w:proofErr w:type="spellEnd"/>
      <w:r w:rsidR="00C30416">
        <w:t>)</w:t>
      </w:r>
      <w:r w:rsidR="00C30416" w:rsidRPr="00BA7D2D">
        <w:t xml:space="preserve"> </w:t>
      </w:r>
      <w:r w:rsidR="0080611E" w:rsidRPr="00BA7D2D">
        <w:t>clearly indicates that almost all the wire centers with low DSL availability rate</w:t>
      </w:r>
      <w:r w:rsidR="00C30416">
        <w:t>s</w:t>
      </w:r>
      <w:r w:rsidR="0080611E" w:rsidRPr="00BA7D2D">
        <w:t xml:space="preserve"> are the ones with low household density.</w:t>
      </w:r>
      <w:r w:rsidR="0080611E" w:rsidRPr="00BA7D2D">
        <w:rPr>
          <w:rStyle w:val="FootnoteReference"/>
        </w:rPr>
        <w:footnoteReference w:id="9"/>
      </w:r>
      <w:r w:rsidR="0080611E" w:rsidRPr="00BA7D2D">
        <w:t xml:space="preserve">  </w:t>
      </w:r>
    </w:p>
    <w:p w:rsidR="001E565C" w:rsidRPr="00BA7D2D" w:rsidRDefault="00005A16" w:rsidP="00C048E1">
      <w:pPr>
        <w:pStyle w:val="NoSpacing"/>
        <w:spacing w:line="480" w:lineRule="auto"/>
        <w:ind w:left="720" w:firstLine="720"/>
      </w:pPr>
      <w:r w:rsidRPr="0080611E">
        <w:t>Moreover, on the demand side, the income level of rural residents is typically lower than that of urban residents, making broadband less affordable among rural consumers.</w:t>
      </w:r>
      <w:r w:rsidR="009140AF">
        <w:t xml:space="preserve">  In general, median incomes are higher in Qwest service areas and lower in the service areas of CenturyLink ILECs.</w:t>
      </w:r>
      <w:r w:rsidR="009140AF" w:rsidRPr="009140AF">
        <w:rPr>
          <w:rStyle w:val="FootnoteReference"/>
        </w:rPr>
        <w:t xml:space="preserve"> </w:t>
      </w:r>
      <w:r w:rsidR="009140AF" w:rsidRPr="0080611E">
        <w:rPr>
          <w:rStyle w:val="FootnoteReference"/>
        </w:rPr>
        <w:footnoteReference w:id="10"/>
      </w:r>
      <w:r w:rsidR="0080611E">
        <w:t xml:space="preserve">  </w:t>
      </w:r>
      <w:r w:rsidR="003719C5">
        <w:t>W</w:t>
      </w:r>
      <w:r w:rsidR="001E565C" w:rsidRPr="00BA7D2D">
        <w:t xml:space="preserve">ithout investment in </w:t>
      </w:r>
      <w:r w:rsidR="00D32B66" w:rsidRPr="00BA7D2D">
        <w:t xml:space="preserve">broadband </w:t>
      </w:r>
      <w:r w:rsidR="001E565C" w:rsidRPr="00BA7D2D">
        <w:t xml:space="preserve">infrastructure the </w:t>
      </w:r>
      <w:r w:rsidR="00D32B66" w:rsidRPr="00BA7D2D">
        <w:t>gap between urban and rural broadband deployment</w:t>
      </w:r>
      <w:r w:rsidR="001E565C" w:rsidRPr="00BA7D2D">
        <w:t xml:space="preserve"> will </w:t>
      </w:r>
      <w:r w:rsidR="00D32B66" w:rsidRPr="00BA7D2D">
        <w:t>be exacerbated</w:t>
      </w:r>
      <w:r w:rsidR="003719C5">
        <w:t>, and already e</w:t>
      </w:r>
      <w:r w:rsidR="001E565C" w:rsidRPr="00BA7D2D">
        <w:t xml:space="preserve">conomically </w:t>
      </w:r>
      <w:r w:rsidR="00D32B66" w:rsidRPr="00BA7D2D">
        <w:t xml:space="preserve">disadvantaged rural </w:t>
      </w:r>
      <w:r w:rsidR="001E565C" w:rsidRPr="00BA7D2D">
        <w:t xml:space="preserve">communities </w:t>
      </w:r>
      <w:r w:rsidR="00D32B66" w:rsidRPr="00BA7D2D">
        <w:t xml:space="preserve">will find it </w:t>
      </w:r>
      <w:r w:rsidR="003719C5">
        <w:t xml:space="preserve">even </w:t>
      </w:r>
      <w:r w:rsidR="00D32B66" w:rsidRPr="00BA7D2D">
        <w:t xml:space="preserve">harder to develop their economies. </w:t>
      </w:r>
    </w:p>
    <w:p w:rsidR="00204C63" w:rsidRDefault="00204C63" w:rsidP="00000991">
      <w:pPr>
        <w:pStyle w:val="NoSpacing"/>
        <w:spacing w:line="480" w:lineRule="auto"/>
        <w:ind w:left="720" w:hanging="720"/>
      </w:pPr>
    </w:p>
    <w:p w:rsidR="00204C63" w:rsidRPr="00204C63" w:rsidRDefault="00204C63" w:rsidP="00000991">
      <w:pPr>
        <w:pStyle w:val="NoSpacing"/>
        <w:spacing w:line="480" w:lineRule="auto"/>
        <w:ind w:left="720" w:hanging="720"/>
        <w:rPr>
          <w:b/>
        </w:rPr>
      </w:pPr>
      <w:r w:rsidRPr="00204C63">
        <w:rPr>
          <w:b/>
        </w:rPr>
        <w:t>Q.</w:t>
      </w:r>
      <w:r w:rsidRPr="00204C63">
        <w:rPr>
          <w:b/>
        </w:rPr>
        <w:tab/>
        <w:t xml:space="preserve">What are your specific concerns about </w:t>
      </w:r>
      <w:r w:rsidR="00D2186A">
        <w:rPr>
          <w:b/>
        </w:rPr>
        <w:t>CenturyLink’s</w:t>
      </w:r>
      <w:r w:rsidRPr="00204C63">
        <w:rPr>
          <w:b/>
        </w:rPr>
        <w:t xml:space="preserve"> broadband investment after the transaction</w:t>
      </w:r>
      <w:r w:rsidR="00D2186A">
        <w:rPr>
          <w:b/>
        </w:rPr>
        <w:t xml:space="preserve"> closes</w:t>
      </w:r>
      <w:r w:rsidRPr="00204C63">
        <w:rPr>
          <w:b/>
        </w:rPr>
        <w:t>?</w:t>
      </w:r>
    </w:p>
    <w:p w:rsidR="00C048E1" w:rsidRDefault="00204C63" w:rsidP="00204C63">
      <w:pPr>
        <w:pStyle w:val="NoSpacing"/>
        <w:spacing w:line="480" w:lineRule="auto"/>
        <w:ind w:left="720" w:hanging="720"/>
        <w:sectPr w:rsidR="00C048E1" w:rsidSect="00C048E1">
          <w:headerReference w:type="default" r:id="rId11"/>
          <w:footerReference w:type="default" r:id="rId12"/>
          <w:pgSz w:w="12240" w:h="15840"/>
          <w:pgMar w:top="1440" w:right="1440" w:bottom="1440" w:left="1440" w:header="720" w:footer="720" w:gutter="0"/>
          <w:lnNumType w:countBy="1"/>
          <w:pgNumType w:start="1"/>
          <w:cols w:space="720"/>
          <w:docGrid w:linePitch="360"/>
        </w:sectPr>
      </w:pPr>
      <w:r>
        <w:t>A.</w:t>
      </w:r>
      <w:r>
        <w:tab/>
      </w:r>
      <w:r w:rsidRPr="00BA7D2D">
        <w:t>I am concerned that if the Commission does not impose conditions to facilitate DSL deployment i</w:t>
      </w:r>
      <w:r>
        <w:t>n rural wire centers, the post-t</w:t>
      </w:r>
      <w:r w:rsidRPr="00BA7D2D">
        <w:t xml:space="preserve">ransaction company will </w:t>
      </w:r>
      <w:r>
        <w:t>devote</w:t>
      </w:r>
      <w:r w:rsidRPr="00BA7D2D">
        <w:t xml:space="preserve"> more resources to the urban areas </w:t>
      </w:r>
      <w:r>
        <w:t>(mostly Qwest</w:t>
      </w:r>
      <w:r w:rsidR="007E0440">
        <w:t xml:space="preserve">  </w:t>
      </w:r>
      <w:r>
        <w:t xml:space="preserve">service area) </w:t>
      </w:r>
      <w:r w:rsidRPr="00BA7D2D">
        <w:t xml:space="preserve">where profit margins </w:t>
      </w:r>
      <w:r w:rsidR="00AF42E6">
        <w:t>are higher</w:t>
      </w:r>
      <w:r w:rsidR="00940D7C">
        <w:t>,</w:t>
      </w:r>
      <w:r w:rsidR="00AF42E6">
        <w:t xml:space="preserve"> </w:t>
      </w:r>
      <w:r w:rsidRPr="00BA7D2D">
        <w:t>and neglect the broadband infrastructure in rural Washington</w:t>
      </w:r>
      <w:r>
        <w:t xml:space="preserve"> (mostly CenturyLink</w:t>
      </w:r>
      <w:r w:rsidR="007E0440">
        <w:t xml:space="preserve"> ILEC</w:t>
      </w:r>
      <w:r>
        <w:t xml:space="preserve"> </w:t>
      </w:r>
    </w:p>
    <w:p w:rsidR="00204C63" w:rsidRPr="00BA7D2D" w:rsidRDefault="00204C63" w:rsidP="00C048E1">
      <w:pPr>
        <w:pStyle w:val="NoSpacing"/>
        <w:spacing w:line="480" w:lineRule="auto"/>
        <w:ind w:left="720"/>
      </w:pPr>
      <w:r>
        <w:t>service area</w:t>
      </w:r>
      <w:r w:rsidR="00940D7C">
        <w:t>s</w:t>
      </w:r>
      <w:r>
        <w:t>)</w:t>
      </w:r>
      <w:r w:rsidRPr="00BA7D2D">
        <w:t xml:space="preserve">.  </w:t>
      </w:r>
      <w:r w:rsidR="00DA5244">
        <w:t>When examining how best to distribute capital within a company, managers have to choose between competing projects based on the results of business cases which examine relative profitability between projects.</w:t>
      </w:r>
      <w:r w:rsidR="000014AF">
        <w:t xml:space="preserve"> </w:t>
      </w:r>
      <w:r w:rsidR="00DA5244">
        <w:t xml:space="preserve"> Given the relatively high development cost of expanding broadband service in rural areas, coupled with lower potential revenue, </w:t>
      </w:r>
      <w:r w:rsidR="00D9536C">
        <w:t xml:space="preserve">rural broadband deployment is handicapped when compared </w:t>
      </w:r>
      <w:r w:rsidR="0052222E">
        <w:t xml:space="preserve">with </w:t>
      </w:r>
      <w:r w:rsidR="00D9536C">
        <w:t>the potential profitability of broadband deployments in urban areas.</w:t>
      </w:r>
      <w:r>
        <w:t xml:space="preserve"> </w:t>
      </w:r>
      <w:r w:rsidR="00772D00">
        <w:t xml:space="preserve"> </w:t>
      </w:r>
      <w:r w:rsidR="00D9536C">
        <w:t>Therefore,</w:t>
      </w:r>
      <w:r w:rsidRPr="00BA7D2D">
        <w:t xml:space="preserve"> the Commission should </w:t>
      </w:r>
      <w:r w:rsidR="00D9536C">
        <w:t xml:space="preserve">pay particular attention to </w:t>
      </w:r>
      <w:r w:rsidR="00772D00">
        <w:t>remote and rural communities</w:t>
      </w:r>
      <w:r w:rsidRPr="00BA7D2D">
        <w:t xml:space="preserve"> because they are the least attractive </w:t>
      </w:r>
      <w:r w:rsidR="00D9536C">
        <w:t xml:space="preserve">for </w:t>
      </w:r>
      <w:r w:rsidRPr="00BA7D2D">
        <w:t xml:space="preserve">broadband </w:t>
      </w:r>
      <w:r w:rsidR="00772D00">
        <w:t>deployment yet</w:t>
      </w:r>
      <w:r>
        <w:t xml:space="preserve"> in great need of broadband access</w:t>
      </w:r>
      <w:r w:rsidRPr="00BA7D2D">
        <w:t xml:space="preserve">.  </w:t>
      </w:r>
    </w:p>
    <w:p w:rsidR="00204C63" w:rsidRDefault="00204C63" w:rsidP="00204C63">
      <w:pPr>
        <w:pStyle w:val="NoSpacing"/>
        <w:spacing w:line="480" w:lineRule="auto"/>
        <w:ind w:left="720" w:hanging="720"/>
        <w:rPr>
          <w:b/>
        </w:rPr>
      </w:pPr>
    </w:p>
    <w:p w:rsidR="00204C63" w:rsidRPr="00BA7D2D" w:rsidRDefault="00204C63" w:rsidP="00204C63">
      <w:pPr>
        <w:pStyle w:val="NoSpacing"/>
        <w:spacing w:line="480" w:lineRule="auto"/>
        <w:ind w:left="720" w:hanging="720"/>
        <w:rPr>
          <w:b/>
        </w:rPr>
      </w:pPr>
      <w:r w:rsidRPr="00BA7D2D">
        <w:rPr>
          <w:b/>
        </w:rPr>
        <w:t>Q.</w:t>
      </w:r>
      <w:r w:rsidRPr="00BA7D2D">
        <w:rPr>
          <w:b/>
        </w:rPr>
        <w:tab/>
        <w:t xml:space="preserve">Could you please further illustrate the differences between the two companies’ service areas and </w:t>
      </w:r>
      <w:r w:rsidR="004E27FF">
        <w:rPr>
          <w:b/>
        </w:rPr>
        <w:t>the</w:t>
      </w:r>
      <w:r w:rsidR="004E27FF" w:rsidRPr="00BA7D2D">
        <w:rPr>
          <w:b/>
        </w:rPr>
        <w:t xml:space="preserve"> </w:t>
      </w:r>
      <w:r w:rsidRPr="00BA7D2D">
        <w:rPr>
          <w:b/>
        </w:rPr>
        <w:t xml:space="preserve">implication for future </w:t>
      </w:r>
      <w:r w:rsidR="00AF42E6">
        <w:rPr>
          <w:b/>
        </w:rPr>
        <w:t>broadband deployment</w:t>
      </w:r>
      <w:r w:rsidRPr="00BA7D2D">
        <w:rPr>
          <w:b/>
        </w:rPr>
        <w:t xml:space="preserve">? </w:t>
      </w:r>
    </w:p>
    <w:p w:rsidR="00204C63" w:rsidRDefault="00204C63" w:rsidP="00204C63">
      <w:pPr>
        <w:pStyle w:val="NoSpacing"/>
        <w:spacing w:line="480" w:lineRule="auto"/>
        <w:ind w:left="720" w:hanging="720"/>
      </w:pPr>
      <w:r w:rsidRPr="00BA7D2D">
        <w:t>A.</w:t>
      </w:r>
      <w:r w:rsidRPr="00BA7D2D">
        <w:tab/>
        <w:t xml:space="preserve">The service areas of </w:t>
      </w:r>
      <w:r w:rsidR="004E27FF">
        <w:t xml:space="preserve">the </w:t>
      </w:r>
      <w:r w:rsidRPr="00BA7D2D">
        <w:t>CenturyLink</w:t>
      </w:r>
      <w:r w:rsidR="007E0440">
        <w:t xml:space="preserve"> ILECs</w:t>
      </w:r>
      <w:r w:rsidRPr="00BA7D2D">
        <w:t xml:space="preserve"> and Qwest</w:t>
      </w:r>
      <w:r w:rsidR="007E0440">
        <w:t xml:space="preserve"> </w:t>
      </w:r>
      <w:r w:rsidRPr="00BA7D2D">
        <w:t xml:space="preserve">have very different demographic and geographical characteristics.  </w:t>
      </w:r>
      <w:r w:rsidR="004E27FF">
        <w:t xml:space="preserve">The </w:t>
      </w:r>
      <w:r w:rsidRPr="00BA7D2D">
        <w:t>CenturyLink</w:t>
      </w:r>
      <w:r w:rsidR="007E0440">
        <w:t xml:space="preserve"> ILECs</w:t>
      </w:r>
      <w:r w:rsidR="004E27FF">
        <w:t>’</w:t>
      </w:r>
      <w:r w:rsidRPr="00BA7D2D">
        <w:t xml:space="preserve"> service area</w:t>
      </w:r>
      <w:r w:rsidR="004E27FF">
        <w:t>s</w:t>
      </w:r>
      <w:r w:rsidRPr="00BA7D2D">
        <w:t xml:space="preserve"> </w:t>
      </w:r>
      <w:r w:rsidR="004E27FF">
        <w:t>are</w:t>
      </w:r>
      <w:r w:rsidR="004E27FF" w:rsidRPr="00BA7D2D">
        <w:t xml:space="preserve"> </w:t>
      </w:r>
      <w:r w:rsidRPr="00BA7D2D">
        <w:t>much more rural, sparsely populated</w:t>
      </w:r>
      <w:r w:rsidR="004E27FF">
        <w:t>,</w:t>
      </w:r>
      <w:r w:rsidRPr="00BA7D2D">
        <w:t xml:space="preserve"> and more difficult to serve because of terrains and </w:t>
      </w:r>
      <w:r>
        <w:t xml:space="preserve">economic </w:t>
      </w:r>
      <w:r w:rsidR="00330B6B">
        <w:t>conditions</w:t>
      </w:r>
      <w:r w:rsidRPr="00BA7D2D">
        <w:t xml:space="preserve">.  The starkest contrast is shown in the household density in their individual service areas.  On average, there are </w:t>
      </w:r>
      <w:r w:rsidR="003C7130" w:rsidRPr="003C7130">
        <w:rPr>
          <w:highlight w:val="black"/>
        </w:rPr>
        <w:t>XX</w:t>
      </w:r>
      <w:r w:rsidRPr="00BA7D2D">
        <w:t xml:space="preserve"> households per square mile in Qwest</w:t>
      </w:r>
      <w:r w:rsidR="004E27FF">
        <w:t>’s</w:t>
      </w:r>
      <w:r w:rsidR="007E0440">
        <w:t xml:space="preserve"> </w:t>
      </w:r>
      <w:r w:rsidRPr="00BA7D2D">
        <w:t>service are</w:t>
      </w:r>
      <w:r w:rsidR="004E27FF">
        <w:t>a</w:t>
      </w:r>
      <w:r w:rsidRPr="00BA7D2D">
        <w:t xml:space="preserve"> in Washington; </w:t>
      </w:r>
      <w:r w:rsidR="004E27FF">
        <w:t xml:space="preserve">in contrast, </w:t>
      </w:r>
      <w:r w:rsidRPr="00BA7D2D">
        <w:t xml:space="preserve">the household density in several metropolitan areas is higher than </w:t>
      </w:r>
      <w:r w:rsidR="003C7130" w:rsidRPr="003C7130">
        <w:rPr>
          <w:highlight w:val="black"/>
        </w:rPr>
        <w:t>XXX</w:t>
      </w:r>
      <w:r w:rsidRPr="00BA7D2D">
        <w:t xml:space="preserve"> households per square mile.</w:t>
      </w:r>
      <w:r w:rsidR="00DE0329">
        <w:rPr>
          <w:rStyle w:val="FootnoteReference"/>
        </w:rPr>
        <w:footnoteReference w:id="11"/>
      </w:r>
      <w:r w:rsidRPr="00BA7D2D">
        <w:t xml:space="preserve">  In comparison, in </w:t>
      </w:r>
      <w:r w:rsidR="00E20105">
        <w:t xml:space="preserve">the </w:t>
      </w:r>
      <w:r w:rsidRPr="00BA7D2D">
        <w:t>CenturyLink</w:t>
      </w:r>
      <w:r w:rsidR="007E0440">
        <w:t xml:space="preserve"> ILECs</w:t>
      </w:r>
      <w:r w:rsidR="00E20105">
        <w:t>’</w:t>
      </w:r>
      <w:r w:rsidRPr="00BA7D2D">
        <w:t xml:space="preserve"> service area</w:t>
      </w:r>
      <w:r w:rsidR="00E20105">
        <w:t>s</w:t>
      </w:r>
      <w:r w:rsidRPr="00BA7D2D">
        <w:t xml:space="preserve">, there are about </w:t>
      </w:r>
      <w:r w:rsidR="003C7130" w:rsidRPr="003C7130">
        <w:rPr>
          <w:highlight w:val="black"/>
        </w:rPr>
        <w:t>X</w:t>
      </w:r>
      <w:r w:rsidRPr="00BA7D2D">
        <w:t xml:space="preserve"> households per square mile.  At the wire center level, the most populated wire center </w:t>
      </w:r>
      <w:r w:rsidR="00AF42E6">
        <w:t xml:space="preserve">served by CenturyLink </w:t>
      </w:r>
      <w:r w:rsidRPr="00BA7D2D">
        <w:t xml:space="preserve">has </w:t>
      </w:r>
      <w:r w:rsidR="003C7130" w:rsidRPr="003C7130">
        <w:rPr>
          <w:highlight w:val="black"/>
        </w:rPr>
        <w:t>XXX</w:t>
      </w:r>
      <w:r w:rsidRPr="00BA7D2D">
        <w:t xml:space="preserve"> households per square mile; </w:t>
      </w:r>
      <w:r w:rsidR="003C7130" w:rsidRPr="003C7130">
        <w:rPr>
          <w:highlight w:val="black"/>
        </w:rPr>
        <w:t>XX</w:t>
      </w:r>
      <w:r w:rsidR="00A1193D">
        <w:t xml:space="preserve"> percent</w:t>
      </w:r>
      <w:r w:rsidRPr="00BA7D2D">
        <w:t xml:space="preserve"> of the wire centers have a density of lower than 10 households per square mile. </w:t>
      </w:r>
    </w:p>
    <w:p w:rsidR="00204C63" w:rsidRDefault="00C048E1" w:rsidP="00000991">
      <w:pPr>
        <w:pStyle w:val="NoSpacing"/>
        <w:spacing w:line="480" w:lineRule="auto"/>
        <w:ind w:left="720" w:hanging="720"/>
      </w:pPr>
      <w:r>
        <w:tab/>
      </w:r>
      <w:r w:rsidR="00B072DF">
        <w:tab/>
        <w:t>So far, CenturyLink</w:t>
      </w:r>
      <w:r w:rsidR="007E0440">
        <w:t xml:space="preserve"> </w:t>
      </w:r>
      <w:r w:rsidR="00E46A96">
        <w:t>ILECs have</w:t>
      </w:r>
      <w:r w:rsidR="00B072DF">
        <w:t xml:space="preserve"> done a great job extending DSL to </w:t>
      </w:r>
      <w:r w:rsidR="00E20105">
        <w:t xml:space="preserve">their </w:t>
      </w:r>
      <w:r w:rsidR="00B072DF">
        <w:t xml:space="preserve">rural customers.  </w:t>
      </w:r>
      <w:r w:rsidR="00772D00">
        <w:t>But t</w:t>
      </w:r>
      <w:r w:rsidR="00B072DF">
        <w:t xml:space="preserve">he costs of extending DSL facilities to </w:t>
      </w:r>
      <w:r w:rsidR="001805BE">
        <w:t>remaining</w:t>
      </w:r>
      <w:r w:rsidR="00B072DF">
        <w:t xml:space="preserve"> unserved households are likely to be high.  I am concerned that after the merger, the company </w:t>
      </w:r>
      <w:r w:rsidR="000C3C38">
        <w:t xml:space="preserve">may </w:t>
      </w:r>
      <w:r w:rsidR="00B072DF">
        <w:t xml:space="preserve">shift its focus </w:t>
      </w:r>
      <w:r w:rsidR="00D9536C">
        <w:t xml:space="preserve">to </w:t>
      </w:r>
      <w:r w:rsidR="00B072DF">
        <w:t>Qwest</w:t>
      </w:r>
      <w:r w:rsidR="005A314A">
        <w:t xml:space="preserve">’s </w:t>
      </w:r>
      <w:r w:rsidR="00B072DF">
        <w:t xml:space="preserve">urban markets and stall on the broadband investment in </w:t>
      </w:r>
      <w:r w:rsidR="00330B6B">
        <w:t xml:space="preserve">the </w:t>
      </w:r>
      <w:r w:rsidR="00B072DF">
        <w:t>CenturyLink</w:t>
      </w:r>
      <w:r w:rsidR="007E0440">
        <w:t xml:space="preserve"> ILECs’</w:t>
      </w:r>
      <w:r w:rsidR="00B072DF">
        <w:t xml:space="preserve"> service area</w:t>
      </w:r>
      <w:r w:rsidR="000C3C38">
        <w:t>s</w:t>
      </w:r>
      <w:r w:rsidR="00B072DF">
        <w:t xml:space="preserve">. </w:t>
      </w:r>
    </w:p>
    <w:p w:rsidR="00B072DF" w:rsidRPr="00BA7D2D" w:rsidRDefault="00B072DF" w:rsidP="00000991">
      <w:pPr>
        <w:pStyle w:val="NoSpacing"/>
        <w:spacing w:line="480" w:lineRule="auto"/>
        <w:ind w:left="720" w:hanging="720"/>
      </w:pPr>
    </w:p>
    <w:p w:rsidR="007431CF" w:rsidRPr="00BA7D2D" w:rsidRDefault="007431CF" w:rsidP="00D94264">
      <w:pPr>
        <w:pStyle w:val="NoSpacing"/>
        <w:spacing w:line="480" w:lineRule="auto"/>
        <w:ind w:left="720" w:hanging="720"/>
        <w:rPr>
          <w:b/>
        </w:rPr>
      </w:pPr>
      <w:r w:rsidRPr="00BA7D2D">
        <w:rPr>
          <w:b/>
        </w:rPr>
        <w:t xml:space="preserve">Q. </w:t>
      </w:r>
      <w:r w:rsidRPr="00BA7D2D">
        <w:rPr>
          <w:b/>
        </w:rPr>
        <w:tab/>
        <w:t xml:space="preserve">What </w:t>
      </w:r>
      <w:r w:rsidR="004E6D11" w:rsidRPr="00BA7D2D">
        <w:rPr>
          <w:b/>
        </w:rPr>
        <w:t>is</w:t>
      </w:r>
      <w:r w:rsidRPr="00BA7D2D">
        <w:rPr>
          <w:b/>
        </w:rPr>
        <w:t xml:space="preserve"> the status quo of the two companies’ broadband availability? </w:t>
      </w:r>
    </w:p>
    <w:p w:rsidR="00107486" w:rsidRDefault="007431CF" w:rsidP="0080611E">
      <w:pPr>
        <w:pStyle w:val="NoSpacing"/>
        <w:spacing w:line="480" w:lineRule="auto"/>
        <w:ind w:left="720" w:hanging="720"/>
      </w:pPr>
      <w:r w:rsidRPr="00BA7D2D">
        <w:t>A.</w:t>
      </w:r>
      <w:r w:rsidRPr="00BA7D2D">
        <w:tab/>
        <w:t>Current</w:t>
      </w:r>
      <w:r w:rsidR="00431971" w:rsidRPr="00BA7D2D">
        <w:t>ly</w:t>
      </w:r>
      <w:r w:rsidRPr="00BA7D2D">
        <w:t>, Qwest</w:t>
      </w:r>
      <w:r w:rsidR="007E0440">
        <w:t xml:space="preserve"> </w:t>
      </w:r>
      <w:r w:rsidRPr="00BA7D2D">
        <w:t xml:space="preserve">has made DSL available to about </w:t>
      </w:r>
      <w:r w:rsidR="003C7130">
        <w:rPr>
          <w:highlight w:val="black"/>
        </w:rPr>
        <w:t>X</w:t>
      </w:r>
      <w:r w:rsidR="003C7130" w:rsidRPr="003C7130">
        <w:rPr>
          <w:highlight w:val="black"/>
        </w:rPr>
        <w:t>X</w:t>
      </w:r>
      <w:r w:rsidR="003C7130">
        <w:t xml:space="preserve"> </w:t>
      </w:r>
      <w:r w:rsidR="00107486" w:rsidRPr="00D9089B">
        <w:t xml:space="preserve">percent </w:t>
      </w:r>
      <w:r w:rsidRPr="00BA7D2D">
        <w:t>of the households residing within its service area.</w:t>
      </w:r>
      <w:r w:rsidR="00B558C6">
        <w:rPr>
          <w:rStyle w:val="FootnoteReference"/>
        </w:rPr>
        <w:footnoteReference w:id="12"/>
      </w:r>
      <w:r w:rsidRPr="00BA7D2D">
        <w:t xml:space="preserve"> </w:t>
      </w:r>
      <w:r w:rsidR="00C90857" w:rsidRPr="00BA7D2D">
        <w:t xml:space="preserve"> </w:t>
      </w:r>
      <w:r w:rsidR="00D9536C">
        <w:t>Given this level of availability</w:t>
      </w:r>
      <w:r w:rsidR="00B332C8">
        <w:t>,</w:t>
      </w:r>
      <w:r w:rsidR="00D9536C">
        <w:t xml:space="preserve"> Qwest</w:t>
      </w:r>
      <w:r w:rsidR="007E0440">
        <w:t xml:space="preserve"> </w:t>
      </w:r>
      <w:r w:rsidR="00D9536C">
        <w:t xml:space="preserve">has exceeded its commitment in the </w:t>
      </w:r>
      <w:proofErr w:type="spellStart"/>
      <w:r w:rsidR="00D9536C">
        <w:t>AFOR</w:t>
      </w:r>
      <w:proofErr w:type="spellEnd"/>
      <w:r w:rsidR="00B10480">
        <w:t>,</w:t>
      </w:r>
      <w:r w:rsidR="00D9536C">
        <w:t xml:space="preserve"> which was set at 83</w:t>
      </w:r>
      <w:r w:rsidR="00B332C8">
        <w:t xml:space="preserve"> percent</w:t>
      </w:r>
      <w:r w:rsidR="00D9536C">
        <w:t>.</w:t>
      </w:r>
      <w:r w:rsidR="00772D00">
        <w:rPr>
          <w:rStyle w:val="FootnoteReference"/>
        </w:rPr>
        <w:footnoteReference w:id="13"/>
      </w:r>
      <w:r w:rsidR="00D9536C">
        <w:t xml:space="preserve"> </w:t>
      </w:r>
      <w:r w:rsidR="004F71F3">
        <w:t xml:space="preserve"> </w:t>
      </w:r>
      <w:r w:rsidR="00107486">
        <w:t xml:space="preserve">In the </w:t>
      </w:r>
      <w:r w:rsidR="005D2460">
        <w:t xml:space="preserve">aggregated </w:t>
      </w:r>
      <w:r w:rsidR="00107486">
        <w:t>CenturyLink</w:t>
      </w:r>
      <w:r w:rsidR="007E0440">
        <w:t xml:space="preserve"> ILECs</w:t>
      </w:r>
      <w:r w:rsidR="00B10480">
        <w:t>’</w:t>
      </w:r>
      <w:r w:rsidR="00107486">
        <w:t xml:space="preserve"> service area</w:t>
      </w:r>
      <w:r w:rsidR="00B10480">
        <w:t>s</w:t>
      </w:r>
      <w:r w:rsidR="00107486">
        <w:t xml:space="preserve">, </w:t>
      </w:r>
      <w:r w:rsidR="00B10480">
        <w:t>they have</w:t>
      </w:r>
      <w:r w:rsidR="00107486">
        <w:t xml:space="preserve"> made DSL available to </w:t>
      </w:r>
      <w:r w:rsidR="003C7130" w:rsidRPr="003C7130">
        <w:rPr>
          <w:highlight w:val="black"/>
        </w:rPr>
        <w:t>XX</w:t>
      </w:r>
      <w:r w:rsidR="003C7130">
        <w:t xml:space="preserve"> </w:t>
      </w:r>
      <w:r w:rsidR="00107486" w:rsidRPr="00B00C03">
        <w:t>percen</w:t>
      </w:r>
      <w:r w:rsidR="00107486" w:rsidRPr="00173C0C">
        <w:t xml:space="preserve">t </w:t>
      </w:r>
      <w:r w:rsidR="00107486">
        <w:t>of the households.</w:t>
      </w:r>
      <w:r w:rsidR="00107486">
        <w:rPr>
          <w:rStyle w:val="FootnoteReference"/>
        </w:rPr>
        <w:footnoteReference w:id="14"/>
      </w:r>
      <w:r w:rsidR="00107486">
        <w:t xml:space="preserve">  </w:t>
      </w:r>
    </w:p>
    <w:p w:rsidR="00107486" w:rsidRDefault="00107486" w:rsidP="0080611E">
      <w:pPr>
        <w:pStyle w:val="NoSpacing"/>
        <w:spacing w:line="480" w:lineRule="auto"/>
        <w:ind w:left="720" w:hanging="720"/>
      </w:pPr>
    </w:p>
    <w:p w:rsidR="00C048E1" w:rsidRDefault="00B91E99" w:rsidP="00107486">
      <w:pPr>
        <w:pStyle w:val="NoSpacing"/>
        <w:spacing w:line="480" w:lineRule="auto"/>
        <w:ind w:left="720"/>
        <w:sectPr w:rsidR="00C048E1" w:rsidSect="009E6939">
          <w:footerReference w:type="default" r:id="rId13"/>
          <w:type w:val="continuous"/>
          <w:pgSz w:w="12240" w:h="15840"/>
          <w:pgMar w:top="1440" w:right="1440" w:bottom="1440" w:left="1440" w:header="720" w:footer="720" w:gutter="0"/>
          <w:lnNumType w:countBy="1"/>
          <w:cols w:space="720"/>
          <w:docGrid w:linePitch="360"/>
        </w:sectPr>
      </w:pPr>
      <w:r w:rsidRPr="00BA7D2D">
        <w:t>The specific breakdown of wire center counts in terms of DSL availability rate is presented in Table 1.</w:t>
      </w:r>
      <w:r w:rsidR="00D16122">
        <w:t xml:space="preserve">  So far, in the two companies’ combined service area, there are still </w:t>
      </w:r>
      <w:r w:rsidR="00317B83" w:rsidRPr="00317B83">
        <w:rPr>
          <w:highlight w:val="black"/>
        </w:rPr>
        <w:t>XXX</w:t>
      </w:r>
      <w:r w:rsidR="00D16122">
        <w:t xml:space="preserve"> wire centers that do not have DSL available; </w:t>
      </w:r>
      <w:r w:rsidR="00317B83" w:rsidRPr="00317B83">
        <w:rPr>
          <w:highlight w:val="black"/>
        </w:rPr>
        <w:t>XX</w:t>
      </w:r>
      <w:r w:rsidR="00D16122">
        <w:t xml:space="preserve"> wire centers with </w:t>
      </w:r>
      <w:r w:rsidR="00B10480">
        <w:t xml:space="preserve">a </w:t>
      </w:r>
      <w:r w:rsidR="00D16122">
        <w:t xml:space="preserve">DSL availability rate below 50 percent; and </w:t>
      </w:r>
      <w:r w:rsidR="00317B83" w:rsidRPr="00317B83">
        <w:rPr>
          <w:highlight w:val="black"/>
        </w:rPr>
        <w:t>XX</w:t>
      </w:r>
      <w:r w:rsidR="00D16122">
        <w:t xml:space="preserve"> with </w:t>
      </w:r>
      <w:r w:rsidR="00B10480">
        <w:t xml:space="preserve">a </w:t>
      </w:r>
      <w:r w:rsidR="00D16122">
        <w:t xml:space="preserve">DSL availability rate below 90 percent. </w:t>
      </w:r>
    </w:p>
    <w:p w:rsidR="00B1045D" w:rsidRDefault="00B1045D" w:rsidP="00107486">
      <w:pPr>
        <w:pStyle w:val="NoSpacing"/>
        <w:spacing w:line="480" w:lineRule="auto"/>
        <w:ind w:left="720"/>
      </w:pPr>
    </w:p>
    <w:tbl>
      <w:tblPr>
        <w:tblStyle w:val="TableGrid"/>
        <w:tblW w:w="8856" w:type="dxa"/>
        <w:tblInd w:w="720" w:type="dxa"/>
        <w:tblLook w:val="04A0"/>
      </w:tblPr>
      <w:tblGrid>
        <w:gridCol w:w="1633"/>
        <w:gridCol w:w="1149"/>
        <w:gridCol w:w="1571"/>
        <w:gridCol w:w="1571"/>
        <w:gridCol w:w="1572"/>
        <w:gridCol w:w="1360"/>
      </w:tblGrid>
      <w:tr w:rsidR="00000991" w:rsidRPr="00BA7D2D" w:rsidTr="00D9089B">
        <w:trPr>
          <w:tblHeader/>
        </w:trPr>
        <w:tc>
          <w:tcPr>
            <w:tcW w:w="8856" w:type="dxa"/>
            <w:gridSpan w:val="6"/>
            <w:tcBorders>
              <w:top w:val="nil"/>
              <w:left w:val="nil"/>
              <w:right w:val="nil"/>
            </w:tcBorders>
          </w:tcPr>
          <w:p w:rsidR="00000991" w:rsidRPr="00BA7D2D" w:rsidRDefault="00000991" w:rsidP="00000991">
            <w:pPr>
              <w:pStyle w:val="NoSpacing"/>
              <w:spacing w:line="480" w:lineRule="auto"/>
              <w:ind w:left="720" w:hanging="720"/>
              <w:jc w:val="center"/>
              <w:rPr>
                <w:b/>
              </w:rPr>
            </w:pPr>
            <w:r w:rsidRPr="00BA7D2D">
              <w:rPr>
                <w:b/>
              </w:rPr>
              <w:t>Table 1. Counts of Wire Centers With Regard To DSL Availability Rate</w:t>
            </w:r>
          </w:p>
        </w:tc>
      </w:tr>
      <w:tr w:rsidR="00D9089B" w:rsidRPr="00BA7D2D" w:rsidTr="00D9089B">
        <w:trPr>
          <w:tblHeader/>
        </w:trPr>
        <w:tc>
          <w:tcPr>
            <w:tcW w:w="1633" w:type="dxa"/>
          </w:tcPr>
          <w:p w:rsidR="00D9089B" w:rsidRPr="00BA7D2D" w:rsidRDefault="00D9089B" w:rsidP="00D94264">
            <w:pPr>
              <w:pStyle w:val="NoSpacing"/>
              <w:spacing w:line="480" w:lineRule="auto"/>
            </w:pPr>
          </w:p>
        </w:tc>
        <w:tc>
          <w:tcPr>
            <w:tcW w:w="1149" w:type="dxa"/>
          </w:tcPr>
          <w:p w:rsidR="00D9089B" w:rsidRPr="00BA7D2D" w:rsidRDefault="00D9089B" w:rsidP="00431971">
            <w:pPr>
              <w:pStyle w:val="NoSpacing"/>
              <w:spacing w:line="480" w:lineRule="auto"/>
            </w:pPr>
            <w:r w:rsidRPr="00BA7D2D">
              <w:t xml:space="preserve">Number of Wire Centers with No DSL Available </w:t>
            </w:r>
          </w:p>
        </w:tc>
        <w:tc>
          <w:tcPr>
            <w:tcW w:w="1571" w:type="dxa"/>
          </w:tcPr>
          <w:p w:rsidR="00D9089B" w:rsidRPr="00BA7D2D" w:rsidRDefault="00D9089B" w:rsidP="00431971">
            <w:pPr>
              <w:pStyle w:val="NoSpacing"/>
              <w:spacing w:line="480" w:lineRule="auto"/>
            </w:pPr>
            <w:r w:rsidRPr="00BA7D2D">
              <w:t>Number of Wire Centers with DSL Available to &lt;50% of the Households</w:t>
            </w:r>
          </w:p>
        </w:tc>
        <w:tc>
          <w:tcPr>
            <w:tcW w:w="1571" w:type="dxa"/>
          </w:tcPr>
          <w:p w:rsidR="00D9089B" w:rsidRPr="00BA7D2D" w:rsidRDefault="00D9089B" w:rsidP="00D94264">
            <w:pPr>
              <w:pStyle w:val="NoSpacing"/>
              <w:spacing w:line="480" w:lineRule="auto"/>
            </w:pPr>
            <w:r w:rsidRPr="00BA7D2D">
              <w:t>Number of Wire Centers with DSL Available to 50-90%  of the Households</w:t>
            </w:r>
          </w:p>
        </w:tc>
        <w:tc>
          <w:tcPr>
            <w:tcW w:w="1572" w:type="dxa"/>
          </w:tcPr>
          <w:p w:rsidR="00D9089B" w:rsidRPr="00BA7D2D" w:rsidRDefault="00D9089B" w:rsidP="00431971">
            <w:pPr>
              <w:pStyle w:val="NoSpacing"/>
              <w:spacing w:line="480" w:lineRule="auto"/>
            </w:pPr>
            <w:r w:rsidRPr="00BA7D2D">
              <w:t>Number of Wire Centers with DSL Available to &gt;90%  of the Households</w:t>
            </w:r>
          </w:p>
        </w:tc>
        <w:tc>
          <w:tcPr>
            <w:tcW w:w="1360" w:type="dxa"/>
          </w:tcPr>
          <w:p w:rsidR="00D9089B" w:rsidRPr="00BA7D2D" w:rsidRDefault="00D9089B" w:rsidP="00D9089B">
            <w:pPr>
              <w:pStyle w:val="NoSpacing"/>
              <w:spacing w:line="480" w:lineRule="auto"/>
            </w:pPr>
            <w:r w:rsidRPr="00BA7D2D">
              <w:t>Total Number of Wire Centers</w:t>
            </w:r>
          </w:p>
        </w:tc>
      </w:tr>
      <w:tr w:rsidR="00D9089B" w:rsidRPr="00BA7D2D" w:rsidTr="00D9089B">
        <w:tc>
          <w:tcPr>
            <w:tcW w:w="1633" w:type="dxa"/>
          </w:tcPr>
          <w:p w:rsidR="00D9089B" w:rsidRPr="00BA7D2D" w:rsidRDefault="00D9089B" w:rsidP="00D94264">
            <w:pPr>
              <w:pStyle w:val="NoSpacing"/>
              <w:spacing w:line="480" w:lineRule="auto"/>
            </w:pPr>
            <w:r w:rsidRPr="00BA7D2D">
              <w:t>Qwest</w:t>
            </w:r>
          </w:p>
        </w:tc>
        <w:tc>
          <w:tcPr>
            <w:tcW w:w="1149" w:type="dxa"/>
          </w:tcPr>
          <w:p w:rsidR="00D9089B" w:rsidRPr="00FB5B37" w:rsidRDefault="00FB5B37" w:rsidP="00D9089B">
            <w:pPr>
              <w:pStyle w:val="NoSpacing"/>
              <w:spacing w:line="480" w:lineRule="auto"/>
              <w:jc w:val="center"/>
              <w:rPr>
                <w:highlight w:val="black"/>
              </w:rPr>
            </w:pPr>
            <w:r w:rsidRPr="00FB5B37">
              <w:rPr>
                <w:highlight w:val="black"/>
              </w:rPr>
              <w:t>X</w:t>
            </w:r>
          </w:p>
        </w:tc>
        <w:tc>
          <w:tcPr>
            <w:tcW w:w="1571" w:type="dxa"/>
          </w:tcPr>
          <w:p w:rsidR="00D9089B" w:rsidRPr="00FB5B37" w:rsidRDefault="00FB5B37" w:rsidP="00D9089B">
            <w:pPr>
              <w:pStyle w:val="NoSpacing"/>
              <w:spacing w:line="480" w:lineRule="auto"/>
              <w:jc w:val="center"/>
              <w:rPr>
                <w:highlight w:val="black"/>
              </w:rPr>
            </w:pPr>
            <w:r w:rsidRPr="00FB5B37">
              <w:rPr>
                <w:highlight w:val="black"/>
              </w:rPr>
              <w:t>X</w:t>
            </w:r>
          </w:p>
        </w:tc>
        <w:tc>
          <w:tcPr>
            <w:tcW w:w="1571" w:type="dxa"/>
          </w:tcPr>
          <w:p w:rsidR="00D9089B" w:rsidRPr="00FB5B37" w:rsidRDefault="00FB5B37" w:rsidP="00D9089B">
            <w:pPr>
              <w:pStyle w:val="NoSpacing"/>
              <w:spacing w:line="480" w:lineRule="auto"/>
              <w:jc w:val="center"/>
              <w:rPr>
                <w:highlight w:val="black"/>
              </w:rPr>
            </w:pPr>
            <w:r w:rsidRPr="00FB5B37">
              <w:rPr>
                <w:highlight w:val="black"/>
              </w:rPr>
              <w:t>X</w:t>
            </w:r>
          </w:p>
        </w:tc>
        <w:tc>
          <w:tcPr>
            <w:tcW w:w="1572" w:type="dxa"/>
          </w:tcPr>
          <w:p w:rsidR="00B23AB8" w:rsidRPr="00FB5B37" w:rsidRDefault="00FB5B37" w:rsidP="00B23AB8">
            <w:pPr>
              <w:pStyle w:val="NoSpacing"/>
              <w:spacing w:line="480" w:lineRule="auto"/>
              <w:jc w:val="center"/>
              <w:rPr>
                <w:highlight w:val="black"/>
              </w:rPr>
            </w:pPr>
            <w:r w:rsidRPr="00FB5B37">
              <w:rPr>
                <w:highlight w:val="black"/>
              </w:rPr>
              <w:t>X</w:t>
            </w:r>
          </w:p>
        </w:tc>
        <w:tc>
          <w:tcPr>
            <w:tcW w:w="1360" w:type="dxa"/>
          </w:tcPr>
          <w:p w:rsidR="00D9089B" w:rsidRPr="00BA7D2D" w:rsidRDefault="00D9089B" w:rsidP="00D9089B">
            <w:pPr>
              <w:pStyle w:val="NoSpacing"/>
              <w:spacing w:line="480" w:lineRule="auto"/>
              <w:jc w:val="center"/>
            </w:pPr>
            <w:r w:rsidRPr="00BA7D2D">
              <w:t>112</w:t>
            </w:r>
          </w:p>
        </w:tc>
      </w:tr>
      <w:tr w:rsidR="00E43AB5" w:rsidRPr="00BA7D2D" w:rsidTr="00D9089B">
        <w:tc>
          <w:tcPr>
            <w:tcW w:w="1633" w:type="dxa"/>
          </w:tcPr>
          <w:p w:rsidR="00E43AB5" w:rsidRPr="00BA7D2D" w:rsidRDefault="00E43AB5" w:rsidP="00D94264">
            <w:pPr>
              <w:pStyle w:val="NoSpacing"/>
              <w:spacing w:line="480" w:lineRule="auto"/>
            </w:pPr>
            <w:r>
              <w:t xml:space="preserve">CenturyTel of </w:t>
            </w:r>
            <w:proofErr w:type="spellStart"/>
            <w:r>
              <w:t>Cowiche</w:t>
            </w:r>
            <w:proofErr w:type="spellEnd"/>
          </w:p>
        </w:tc>
        <w:tc>
          <w:tcPr>
            <w:tcW w:w="1149" w:type="dxa"/>
          </w:tcPr>
          <w:p w:rsidR="00E43AB5" w:rsidRPr="00D9089B" w:rsidRDefault="00317B83" w:rsidP="00D9089B">
            <w:pPr>
              <w:pStyle w:val="NoSpacing"/>
              <w:spacing w:line="480" w:lineRule="auto"/>
              <w:jc w:val="center"/>
              <w:rPr>
                <w:highlight w:val="lightGray"/>
                <w:u w:val="single"/>
              </w:rPr>
            </w:pPr>
            <w:r w:rsidRPr="00317B83">
              <w:rPr>
                <w:highlight w:val="black"/>
                <w:u w:val="single"/>
              </w:rPr>
              <w:t>X</w:t>
            </w:r>
          </w:p>
        </w:tc>
        <w:tc>
          <w:tcPr>
            <w:tcW w:w="1571" w:type="dxa"/>
          </w:tcPr>
          <w:p w:rsidR="00E43AB5" w:rsidRPr="00D9089B" w:rsidRDefault="00317B83" w:rsidP="00D9089B">
            <w:pPr>
              <w:pStyle w:val="NoSpacing"/>
              <w:spacing w:line="480" w:lineRule="auto"/>
              <w:jc w:val="center"/>
              <w:rPr>
                <w:highlight w:val="lightGray"/>
                <w:u w:val="single"/>
              </w:rPr>
            </w:pPr>
            <w:r w:rsidRPr="00317B83">
              <w:rPr>
                <w:highlight w:val="black"/>
                <w:u w:val="single"/>
              </w:rPr>
              <w:t>X</w:t>
            </w:r>
          </w:p>
        </w:tc>
        <w:tc>
          <w:tcPr>
            <w:tcW w:w="1571" w:type="dxa"/>
          </w:tcPr>
          <w:p w:rsidR="00E43AB5" w:rsidRPr="00D9089B" w:rsidRDefault="00317B83" w:rsidP="00D9089B">
            <w:pPr>
              <w:pStyle w:val="NoSpacing"/>
              <w:spacing w:line="480" w:lineRule="auto"/>
              <w:jc w:val="center"/>
              <w:rPr>
                <w:highlight w:val="lightGray"/>
                <w:u w:val="single"/>
              </w:rPr>
            </w:pPr>
            <w:r w:rsidRPr="00317B83">
              <w:rPr>
                <w:highlight w:val="black"/>
                <w:u w:val="single"/>
              </w:rPr>
              <w:t>X</w:t>
            </w:r>
          </w:p>
        </w:tc>
        <w:tc>
          <w:tcPr>
            <w:tcW w:w="1572" w:type="dxa"/>
          </w:tcPr>
          <w:p w:rsidR="00E43AB5" w:rsidRPr="00D9089B" w:rsidRDefault="00317B83" w:rsidP="00D9089B">
            <w:pPr>
              <w:pStyle w:val="NoSpacing"/>
              <w:spacing w:line="480" w:lineRule="auto"/>
              <w:jc w:val="center"/>
              <w:rPr>
                <w:highlight w:val="lightGray"/>
                <w:u w:val="single"/>
              </w:rPr>
            </w:pPr>
            <w:r w:rsidRPr="00317B83">
              <w:rPr>
                <w:highlight w:val="black"/>
                <w:u w:val="single"/>
              </w:rPr>
              <w:t>X</w:t>
            </w:r>
          </w:p>
        </w:tc>
        <w:tc>
          <w:tcPr>
            <w:tcW w:w="1360" w:type="dxa"/>
          </w:tcPr>
          <w:p w:rsidR="00E43AB5" w:rsidRPr="00BA7D2D" w:rsidRDefault="00E43AB5" w:rsidP="00D9089B">
            <w:pPr>
              <w:pStyle w:val="NoSpacing"/>
              <w:spacing w:line="480" w:lineRule="auto"/>
              <w:jc w:val="center"/>
            </w:pPr>
            <w:r>
              <w:t>3</w:t>
            </w:r>
          </w:p>
        </w:tc>
      </w:tr>
      <w:tr w:rsidR="00E43AB5" w:rsidRPr="00BA7D2D" w:rsidTr="00D9089B">
        <w:tc>
          <w:tcPr>
            <w:tcW w:w="1633" w:type="dxa"/>
          </w:tcPr>
          <w:p w:rsidR="00E43AB5" w:rsidRDefault="00E43AB5" w:rsidP="00D94264">
            <w:pPr>
              <w:pStyle w:val="NoSpacing"/>
              <w:spacing w:line="480" w:lineRule="auto"/>
            </w:pPr>
            <w:r>
              <w:t>CenturyTel of Inter-Island</w:t>
            </w:r>
          </w:p>
        </w:tc>
        <w:tc>
          <w:tcPr>
            <w:tcW w:w="1149"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2"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360" w:type="dxa"/>
          </w:tcPr>
          <w:p w:rsidR="00E43AB5" w:rsidRDefault="00973193" w:rsidP="00D9089B">
            <w:pPr>
              <w:pStyle w:val="NoSpacing"/>
              <w:spacing w:line="480" w:lineRule="auto"/>
              <w:jc w:val="center"/>
            </w:pPr>
            <w:r>
              <w:t>4</w:t>
            </w:r>
          </w:p>
        </w:tc>
      </w:tr>
      <w:tr w:rsidR="00E43AB5" w:rsidRPr="00BA7D2D" w:rsidTr="00D9089B">
        <w:tc>
          <w:tcPr>
            <w:tcW w:w="1633" w:type="dxa"/>
          </w:tcPr>
          <w:p w:rsidR="00E43AB5" w:rsidRPr="00BA7D2D" w:rsidRDefault="00E43AB5" w:rsidP="00D94264">
            <w:pPr>
              <w:pStyle w:val="NoSpacing"/>
              <w:spacing w:line="480" w:lineRule="auto"/>
            </w:pPr>
            <w:r>
              <w:t>CenturyTel of Washington</w:t>
            </w:r>
          </w:p>
        </w:tc>
        <w:tc>
          <w:tcPr>
            <w:tcW w:w="1149"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2" w:type="dxa"/>
          </w:tcPr>
          <w:p w:rsidR="00E43AB5" w:rsidRPr="00317B83" w:rsidRDefault="00317B83" w:rsidP="00BE0765">
            <w:pPr>
              <w:pStyle w:val="NoSpacing"/>
              <w:spacing w:line="480" w:lineRule="auto"/>
              <w:jc w:val="center"/>
              <w:rPr>
                <w:highlight w:val="black"/>
                <w:u w:val="single"/>
              </w:rPr>
            </w:pPr>
            <w:r w:rsidRPr="00317B83">
              <w:rPr>
                <w:highlight w:val="black"/>
                <w:u w:val="single"/>
              </w:rPr>
              <w:t>X</w:t>
            </w:r>
          </w:p>
        </w:tc>
        <w:tc>
          <w:tcPr>
            <w:tcW w:w="1360" w:type="dxa"/>
          </w:tcPr>
          <w:p w:rsidR="00E43AB5" w:rsidRPr="00BA7D2D" w:rsidRDefault="00BE0765" w:rsidP="00973193">
            <w:pPr>
              <w:pStyle w:val="NoSpacing"/>
              <w:spacing w:line="480" w:lineRule="auto"/>
              <w:jc w:val="center"/>
            </w:pPr>
            <w:r>
              <w:t>7</w:t>
            </w:r>
            <w:r w:rsidR="00973193">
              <w:t>8</w:t>
            </w:r>
          </w:p>
        </w:tc>
      </w:tr>
      <w:tr w:rsidR="00E43AB5" w:rsidRPr="00BA7D2D" w:rsidTr="00D9089B">
        <w:tc>
          <w:tcPr>
            <w:tcW w:w="1633" w:type="dxa"/>
          </w:tcPr>
          <w:p w:rsidR="00E43AB5" w:rsidRDefault="00E43AB5" w:rsidP="00D94264">
            <w:pPr>
              <w:pStyle w:val="NoSpacing"/>
              <w:spacing w:line="480" w:lineRule="auto"/>
            </w:pPr>
            <w:r>
              <w:t>United Tel Co of the NW</w:t>
            </w:r>
            <w:r w:rsidR="00B1045D" w:rsidRPr="00BA7D2D">
              <w:rPr>
                <w:rStyle w:val="FootnoteReference"/>
              </w:rPr>
              <w:footnoteReference w:id="15"/>
            </w:r>
          </w:p>
        </w:tc>
        <w:tc>
          <w:tcPr>
            <w:tcW w:w="1149"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2" w:type="dxa"/>
          </w:tcPr>
          <w:p w:rsidR="00E43AB5" w:rsidRPr="00317B83" w:rsidRDefault="00317B83" w:rsidP="00D9089B">
            <w:pPr>
              <w:pStyle w:val="NoSpacing"/>
              <w:spacing w:line="480" w:lineRule="auto"/>
              <w:jc w:val="center"/>
              <w:rPr>
                <w:highlight w:val="black"/>
                <w:u w:val="single"/>
              </w:rPr>
            </w:pPr>
            <w:r w:rsidRPr="00317B83">
              <w:rPr>
                <w:highlight w:val="black"/>
                <w:u w:val="single"/>
              </w:rPr>
              <w:t>X</w:t>
            </w:r>
          </w:p>
        </w:tc>
        <w:tc>
          <w:tcPr>
            <w:tcW w:w="1360" w:type="dxa"/>
          </w:tcPr>
          <w:p w:rsidR="00E43AB5" w:rsidRDefault="00B1045D" w:rsidP="00D9089B">
            <w:pPr>
              <w:pStyle w:val="NoSpacing"/>
              <w:spacing w:line="480" w:lineRule="auto"/>
              <w:jc w:val="center"/>
            </w:pPr>
            <w:r>
              <w:t>26</w:t>
            </w:r>
          </w:p>
        </w:tc>
      </w:tr>
      <w:tr w:rsidR="00D9089B" w:rsidRPr="00BA7D2D" w:rsidTr="00D9089B">
        <w:tc>
          <w:tcPr>
            <w:tcW w:w="1633" w:type="dxa"/>
          </w:tcPr>
          <w:p w:rsidR="00D9089B" w:rsidRPr="00BA7D2D" w:rsidRDefault="00B1045D" w:rsidP="00D94264">
            <w:pPr>
              <w:pStyle w:val="NoSpacing"/>
              <w:spacing w:line="480" w:lineRule="auto"/>
            </w:pPr>
            <w:r>
              <w:t>Total</w:t>
            </w:r>
          </w:p>
        </w:tc>
        <w:tc>
          <w:tcPr>
            <w:tcW w:w="1149" w:type="dxa"/>
          </w:tcPr>
          <w:p w:rsidR="00D9089B"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D9089B"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1" w:type="dxa"/>
          </w:tcPr>
          <w:p w:rsidR="00D9089B" w:rsidRPr="00317B83" w:rsidRDefault="00317B83" w:rsidP="00D9089B">
            <w:pPr>
              <w:pStyle w:val="NoSpacing"/>
              <w:spacing w:line="480" w:lineRule="auto"/>
              <w:jc w:val="center"/>
              <w:rPr>
                <w:highlight w:val="black"/>
                <w:u w:val="single"/>
              </w:rPr>
            </w:pPr>
            <w:r w:rsidRPr="00317B83">
              <w:rPr>
                <w:highlight w:val="black"/>
                <w:u w:val="single"/>
              </w:rPr>
              <w:t>X</w:t>
            </w:r>
          </w:p>
        </w:tc>
        <w:tc>
          <w:tcPr>
            <w:tcW w:w="1572" w:type="dxa"/>
          </w:tcPr>
          <w:p w:rsidR="00D9089B" w:rsidRPr="00317B83" w:rsidRDefault="00317B83" w:rsidP="00D9089B">
            <w:pPr>
              <w:pStyle w:val="NoSpacing"/>
              <w:spacing w:line="480" w:lineRule="auto"/>
              <w:jc w:val="center"/>
              <w:rPr>
                <w:highlight w:val="black"/>
                <w:u w:val="single"/>
              </w:rPr>
            </w:pPr>
            <w:r w:rsidRPr="00317B83">
              <w:rPr>
                <w:highlight w:val="black"/>
                <w:u w:val="single"/>
              </w:rPr>
              <w:t>XX</w:t>
            </w:r>
          </w:p>
        </w:tc>
        <w:tc>
          <w:tcPr>
            <w:tcW w:w="1360" w:type="dxa"/>
          </w:tcPr>
          <w:p w:rsidR="00D9089B" w:rsidRPr="00BA7D2D" w:rsidRDefault="003D577C" w:rsidP="00D9089B">
            <w:pPr>
              <w:pStyle w:val="NoSpacing"/>
              <w:spacing w:line="480" w:lineRule="auto"/>
              <w:jc w:val="center"/>
            </w:pPr>
            <w:fldSimple w:instr=" =SUM(ABOVE) ">
              <w:r w:rsidR="00BE0765">
                <w:rPr>
                  <w:noProof/>
                </w:rPr>
                <w:t>223</w:t>
              </w:r>
            </w:fldSimple>
          </w:p>
        </w:tc>
      </w:tr>
    </w:tbl>
    <w:p w:rsidR="00522009" w:rsidRPr="00BA7D2D" w:rsidRDefault="00522009" w:rsidP="00522009">
      <w:pPr>
        <w:pStyle w:val="NoSpacing"/>
        <w:spacing w:line="480" w:lineRule="auto"/>
        <w:ind w:left="720" w:hanging="720"/>
        <w:rPr>
          <w:b/>
        </w:rPr>
      </w:pPr>
      <w:r w:rsidRPr="00BA7D2D">
        <w:rPr>
          <w:b/>
        </w:rPr>
        <w:t xml:space="preserve">Q. </w:t>
      </w:r>
      <w:r w:rsidRPr="00BA7D2D">
        <w:rPr>
          <w:b/>
        </w:rPr>
        <w:tab/>
        <w:t xml:space="preserve">Do you think there is still unmet demand to justify future investment in </w:t>
      </w:r>
      <w:r w:rsidR="00014DBB">
        <w:rPr>
          <w:b/>
        </w:rPr>
        <w:t>rural</w:t>
      </w:r>
      <w:r w:rsidRPr="00BA7D2D">
        <w:rPr>
          <w:b/>
        </w:rPr>
        <w:t xml:space="preserve"> areas?</w:t>
      </w:r>
    </w:p>
    <w:p w:rsidR="00747011" w:rsidRDefault="00522009" w:rsidP="00522009">
      <w:pPr>
        <w:pStyle w:val="NoSpacing"/>
        <w:spacing w:line="480" w:lineRule="auto"/>
        <w:ind w:left="720" w:hanging="720"/>
      </w:pPr>
      <w:r w:rsidRPr="00BA7D2D">
        <w:t>A.</w:t>
      </w:r>
      <w:r w:rsidRPr="00BA7D2D">
        <w:tab/>
        <w:t>I think so</w:t>
      </w:r>
      <w:r w:rsidR="00424EDE">
        <w:t xml:space="preserve"> given </w:t>
      </w:r>
      <w:r w:rsidR="000014AF">
        <w:t>the current broadband adoption rate in Washington</w:t>
      </w:r>
      <w:r w:rsidR="00424EDE">
        <w:t xml:space="preserve">. </w:t>
      </w:r>
      <w:r w:rsidR="004F71F3">
        <w:t xml:space="preserve"> </w:t>
      </w:r>
      <w:r w:rsidR="00BD74D2">
        <w:t>Based on the statistics released by the Federal Communications Commission</w:t>
      </w:r>
      <w:r w:rsidR="00146EC7">
        <w:t xml:space="preserve"> (FCC)</w:t>
      </w:r>
      <w:r w:rsidR="00747011">
        <w:t xml:space="preserve">, </w:t>
      </w:r>
      <w:r w:rsidR="00BD74D2">
        <w:t>61 percent of Washington households subscribe</w:t>
      </w:r>
      <w:r w:rsidR="00BE5939">
        <w:t>d</w:t>
      </w:r>
      <w:r w:rsidR="00BD74D2">
        <w:t xml:space="preserve"> to high speed Internet (including DSL, cable modem and other technologies)</w:t>
      </w:r>
      <w:r w:rsidR="00FF7760">
        <w:t xml:space="preserve"> by the end of 2008</w:t>
      </w:r>
      <w:r w:rsidR="00BD74D2">
        <w:t>.</w:t>
      </w:r>
      <w:r w:rsidR="00BD74D2">
        <w:rPr>
          <w:rStyle w:val="FootnoteReference"/>
        </w:rPr>
        <w:footnoteReference w:id="16"/>
      </w:r>
      <w:r w:rsidR="00BD74D2">
        <w:t xml:space="preserve">  </w:t>
      </w:r>
      <w:r w:rsidR="008A7C79">
        <w:t>Also as a reference point, t</w:t>
      </w:r>
      <w:r w:rsidR="00FF7760">
        <w:t xml:space="preserve">he Pew Internet &amp; American Life Project survey shows that 66 percent of American adults have a broadband Internet connection at home </w:t>
      </w:r>
      <w:r w:rsidR="002A58D4">
        <w:t xml:space="preserve">in 2010 </w:t>
      </w:r>
      <w:r w:rsidR="00FF7760">
        <w:t>and 5 percent of people continue to use dial-up service.</w:t>
      </w:r>
      <w:r w:rsidR="00FF7760">
        <w:rPr>
          <w:rStyle w:val="FootnoteReference"/>
        </w:rPr>
        <w:footnoteReference w:id="17"/>
      </w:r>
      <w:r w:rsidR="00FF7760">
        <w:t xml:space="preserve">  These figures indicate</w:t>
      </w:r>
      <w:r w:rsidR="00BD74D2">
        <w:t xml:space="preserve"> </w:t>
      </w:r>
      <w:r w:rsidR="00FF7760">
        <w:t xml:space="preserve">that </w:t>
      </w:r>
      <w:r w:rsidR="00BD74D2">
        <w:t>the broadband market is far from saturation</w:t>
      </w:r>
      <w:r w:rsidR="00BE5939">
        <w:t>.</w:t>
      </w:r>
    </w:p>
    <w:p w:rsidR="001D3C85" w:rsidRDefault="00747011" w:rsidP="00C048E1">
      <w:pPr>
        <w:pStyle w:val="NoSpacing"/>
        <w:spacing w:line="480" w:lineRule="auto"/>
        <w:ind w:left="720" w:hanging="720"/>
      </w:pPr>
      <w:r>
        <w:tab/>
      </w:r>
      <w:r w:rsidR="00C048E1">
        <w:tab/>
      </w:r>
      <w:r w:rsidR="00BE5939">
        <w:t>R</w:t>
      </w:r>
      <w:r w:rsidR="00FF7760" w:rsidRPr="00BA7D2D">
        <w:t xml:space="preserve">ural residents </w:t>
      </w:r>
      <w:r w:rsidR="00BE5939">
        <w:t xml:space="preserve">appear to </w:t>
      </w:r>
      <w:r w:rsidR="00FF7760" w:rsidRPr="00BA7D2D">
        <w:t xml:space="preserve">have </w:t>
      </w:r>
      <w:r w:rsidR="00BE5939">
        <w:t xml:space="preserve">a demand for broadband that is </w:t>
      </w:r>
      <w:r w:rsidR="00FF7760" w:rsidRPr="00BA7D2D">
        <w:t>similar</w:t>
      </w:r>
      <w:r w:rsidR="00BE5939">
        <w:t xml:space="preserve"> to</w:t>
      </w:r>
      <w:r w:rsidR="00FF7760" w:rsidRPr="00BA7D2D">
        <w:t>, if not stronger</w:t>
      </w:r>
      <w:r w:rsidR="00BE5939">
        <w:t xml:space="preserve"> than</w:t>
      </w:r>
      <w:r w:rsidR="00FF7760" w:rsidRPr="00BA7D2D">
        <w:t>, their counterparts in urban areas</w:t>
      </w:r>
      <w:r w:rsidR="00FF7760">
        <w:t xml:space="preserve">.  </w:t>
      </w:r>
      <w:r w:rsidR="00522009" w:rsidRPr="00BA7D2D">
        <w:t xml:space="preserve">The existing dial-up customer base is </w:t>
      </w:r>
      <w:r w:rsidR="00FF7760">
        <w:t>a good</w:t>
      </w:r>
      <w:r w:rsidR="00522009" w:rsidRPr="00BA7D2D">
        <w:t xml:space="preserve"> indicator for the demand of rural residents.  </w:t>
      </w:r>
      <w:r w:rsidR="001D3C85">
        <w:t xml:space="preserve">FCC statistics reveal a </w:t>
      </w:r>
      <w:r w:rsidR="00484B6E">
        <w:t xml:space="preserve">consistent </w:t>
      </w:r>
      <w:r w:rsidR="001D3C85">
        <w:t>contrast of rural versus urban demand in terms of Internet access subscribership: rural customers have a</w:t>
      </w:r>
      <w:r w:rsidR="007D3719">
        <w:t xml:space="preserve"> slightly</w:t>
      </w:r>
      <w:r w:rsidR="001D3C85">
        <w:t xml:space="preserve"> lower subscribership to Internet access service</w:t>
      </w:r>
      <w:r w:rsidR="00BE5939">
        <w:t>;</w:t>
      </w:r>
      <w:r w:rsidR="001D3C85">
        <w:t xml:space="preserve"> however, a much larger percent of rural households continue to rely on dial-up service.</w:t>
      </w:r>
      <w:r w:rsidR="001D3C85">
        <w:rPr>
          <w:rStyle w:val="FootnoteReference"/>
        </w:rPr>
        <w:footnoteReference w:id="18"/>
      </w:r>
      <w:r w:rsidR="001D3C85">
        <w:t xml:space="preserve"> </w:t>
      </w:r>
      <w:r w:rsidR="007D3719">
        <w:t xml:space="preserve"> </w:t>
      </w:r>
      <w:r w:rsidR="000014AF">
        <w:t>R</w:t>
      </w:r>
      <w:r w:rsidR="001D3C85">
        <w:t xml:space="preserve">ural </w:t>
      </w:r>
      <w:r w:rsidR="001D3C85" w:rsidRPr="00BA7D2D">
        <w:t xml:space="preserve">customers </w:t>
      </w:r>
      <w:r w:rsidR="00014DBB">
        <w:t>still</w:t>
      </w:r>
      <w:r w:rsidR="001D3C85" w:rsidRPr="00BA7D2D">
        <w:t xml:space="preserve"> resort to the slow dial-up Internet access either because DSL is not available in their area or because the price is too high for them.  </w:t>
      </w:r>
    </w:p>
    <w:p w:rsidR="00014DBB" w:rsidRDefault="00014DBB" w:rsidP="00747011">
      <w:pPr>
        <w:pStyle w:val="NoSpacing"/>
        <w:spacing w:line="480" w:lineRule="auto"/>
        <w:ind w:left="720"/>
      </w:pPr>
    </w:p>
    <w:p w:rsidR="00C048E1" w:rsidRDefault="00014DBB" w:rsidP="00014DBB">
      <w:pPr>
        <w:pStyle w:val="NoSpacing"/>
        <w:spacing w:line="480" w:lineRule="auto"/>
        <w:ind w:left="720" w:hanging="720"/>
        <w:rPr>
          <w:b/>
        </w:rPr>
        <w:sectPr w:rsidR="00C048E1" w:rsidSect="009E6939">
          <w:footerReference w:type="default" r:id="rId14"/>
          <w:type w:val="continuous"/>
          <w:pgSz w:w="12240" w:h="15840"/>
          <w:pgMar w:top="1440" w:right="1440" w:bottom="1440" w:left="1440" w:header="720" w:footer="720" w:gutter="0"/>
          <w:lnNumType w:countBy="1"/>
          <w:cols w:space="720"/>
          <w:docGrid w:linePitch="360"/>
        </w:sectPr>
      </w:pPr>
      <w:r w:rsidRPr="00014DBB">
        <w:rPr>
          <w:b/>
        </w:rPr>
        <w:t>Q.</w:t>
      </w:r>
      <w:r w:rsidRPr="00014DBB">
        <w:rPr>
          <w:b/>
        </w:rPr>
        <w:tab/>
        <w:t xml:space="preserve">Do </w:t>
      </w:r>
      <w:r w:rsidR="00DD3848">
        <w:rPr>
          <w:b/>
        </w:rPr>
        <w:t xml:space="preserve">you think there is unmet demand in </w:t>
      </w:r>
      <w:r w:rsidR="00BE5939">
        <w:rPr>
          <w:b/>
        </w:rPr>
        <w:t xml:space="preserve">the </w:t>
      </w:r>
      <w:r w:rsidRPr="00014DBB">
        <w:rPr>
          <w:b/>
        </w:rPr>
        <w:t>Qwest</w:t>
      </w:r>
      <w:r w:rsidR="007E0440">
        <w:rPr>
          <w:b/>
        </w:rPr>
        <w:t xml:space="preserve"> </w:t>
      </w:r>
      <w:r w:rsidRPr="00014DBB">
        <w:rPr>
          <w:b/>
        </w:rPr>
        <w:t>and CenturyLink</w:t>
      </w:r>
      <w:r w:rsidR="00450DFA">
        <w:rPr>
          <w:b/>
        </w:rPr>
        <w:t xml:space="preserve"> ILECs</w:t>
      </w:r>
      <w:r w:rsidR="00DD3848">
        <w:rPr>
          <w:b/>
        </w:rPr>
        <w:t xml:space="preserve"> service areas</w:t>
      </w:r>
      <w:r w:rsidR="00450DFA">
        <w:rPr>
          <w:b/>
        </w:rPr>
        <w:t xml:space="preserve"> in Washington</w:t>
      </w:r>
      <w:r w:rsidRPr="00014DBB">
        <w:rPr>
          <w:b/>
        </w:rPr>
        <w:t xml:space="preserve">? </w:t>
      </w:r>
    </w:p>
    <w:p w:rsidR="00522009" w:rsidRPr="00BA7D2D" w:rsidRDefault="00014DBB" w:rsidP="00014DBB">
      <w:pPr>
        <w:pStyle w:val="NoSpacing"/>
        <w:spacing w:line="480" w:lineRule="auto"/>
        <w:ind w:left="720" w:hanging="720"/>
      </w:pPr>
      <w:r>
        <w:t>A.</w:t>
      </w:r>
      <w:r>
        <w:tab/>
        <w:t xml:space="preserve">Yes.  </w:t>
      </w:r>
      <w:r w:rsidR="00DD3848">
        <w:t>A</w:t>
      </w:r>
      <w:r w:rsidR="00522009" w:rsidRPr="00BA7D2D">
        <w:t xml:space="preserve">s of </w:t>
      </w:r>
      <w:r w:rsidR="00173C0C">
        <w:t>June 2010</w:t>
      </w:r>
      <w:r w:rsidR="00522009" w:rsidRPr="00BA7D2D">
        <w:t>, Qwest</w:t>
      </w:r>
      <w:r w:rsidR="007E0440">
        <w:t xml:space="preserve"> </w:t>
      </w:r>
      <w:r w:rsidR="00522009" w:rsidRPr="00BA7D2D">
        <w:t xml:space="preserve">has </w:t>
      </w:r>
      <w:r w:rsidR="00FB5B37" w:rsidRPr="00FB5B37">
        <w:rPr>
          <w:highlight w:val="black"/>
        </w:rPr>
        <w:t>XXX</w:t>
      </w:r>
      <w:r w:rsidR="00522009" w:rsidRPr="00BA7D2D">
        <w:t xml:space="preserve"> dial-up customers; </w:t>
      </w:r>
      <w:r w:rsidR="00D57104">
        <w:t xml:space="preserve">and the </w:t>
      </w:r>
      <w:r w:rsidR="00522009" w:rsidRPr="00BA7D2D">
        <w:t>CenturyLink</w:t>
      </w:r>
      <w:r w:rsidR="007E0440">
        <w:t xml:space="preserve"> ILECs</w:t>
      </w:r>
      <w:r w:rsidR="00522009" w:rsidRPr="00BA7D2D">
        <w:t xml:space="preserve"> ha</w:t>
      </w:r>
      <w:r w:rsidR="007E0440">
        <w:t>ve</w:t>
      </w:r>
      <w:r w:rsidR="00522009" w:rsidRPr="00BA7D2D">
        <w:t xml:space="preserve"> </w:t>
      </w:r>
      <w:r w:rsidR="00317B83" w:rsidRPr="00317B83">
        <w:rPr>
          <w:highlight w:val="black"/>
        </w:rPr>
        <w:t>XXX</w:t>
      </w:r>
      <w:r w:rsidR="00317B83">
        <w:t xml:space="preserve"> </w:t>
      </w:r>
      <w:r w:rsidR="00522009" w:rsidRPr="00BA7D2D">
        <w:t>dial-up customers.</w:t>
      </w:r>
      <w:r w:rsidR="00522009" w:rsidRPr="00BA7D2D">
        <w:rPr>
          <w:rStyle w:val="FootnoteReference"/>
        </w:rPr>
        <w:footnoteReference w:id="19"/>
      </w:r>
      <w:r w:rsidR="00522009" w:rsidRPr="00BA7D2D">
        <w:t xml:space="preserve">  </w:t>
      </w:r>
      <w:r w:rsidR="00450DFA" w:rsidRPr="00BA7D2D">
        <w:t>These dial-up customers are high</w:t>
      </w:r>
      <w:r w:rsidR="00D57104">
        <w:t>-</w:t>
      </w:r>
      <w:r w:rsidR="00450DFA" w:rsidRPr="00BA7D2D">
        <w:t xml:space="preserve">potential DSL service adopters once the price or availability circumstances change. </w:t>
      </w:r>
      <w:r w:rsidR="00450DFA">
        <w:t xml:space="preserve"> Not coincidentally, in some areas with low DSL availability, we also see a relatively big percentage of customers using dial-up</w:t>
      </w:r>
      <w:r>
        <w:t xml:space="preserve">.  </w:t>
      </w:r>
      <w:r w:rsidR="00522009" w:rsidRPr="00BA7D2D">
        <w:t xml:space="preserve">For example, in </w:t>
      </w:r>
      <w:r w:rsidR="00DD3848">
        <w:t xml:space="preserve">the </w:t>
      </w:r>
      <w:r w:rsidR="00F17B55">
        <w:t>CenturyTel of Washington</w:t>
      </w:r>
      <w:r w:rsidR="007F08F6">
        <w:t>, Inc.</w:t>
      </w:r>
      <w:r w:rsidR="00F17B55">
        <w:t>’s</w:t>
      </w:r>
      <w:r w:rsidR="002513FD">
        <w:t xml:space="preserve"> </w:t>
      </w:r>
      <w:r w:rsidR="00522009" w:rsidRPr="00BA7D2D">
        <w:t xml:space="preserve">Clearwater exchange, DSL is only available to </w:t>
      </w:r>
      <w:r w:rsidR="00317B83" w:rsidRPr="00317B83">
        <w:rPr>
          <w:highlight w:val="black"/>
        </w:rPr>
        <w:t>XX</w:t>
      </w:r>
      <w:r w:rsidR="00317B83">
        <w:t xml:space="preserve"> </w:t>
      </w:r>
      <w:r w:rsidR="00522009" w:rsidRPr="00B00C03">
        <w:t xml:space="preserve">out of </w:t>
      </w:r>
      <w:r w:rsidR="00317B83" w:rsidRPr="00317B83">
        <w:rPr>
          <w:highlight w:val="black"/>
        </w:rPr>
        <w:t>XX</w:t>
      </w:r>
      <w:r w:rsidR="00522009" w:rsidRPr="00BA7D2D">
        <w:t xml:space="preserve"> households.</w:t>
      </w:r>
      <w:r w:rsidR="000E2B9F">
        <w:rPr>
          <w:rStyle w:val="FootnoteReference"/>
        </w:rPr>
        <w:footnoteReference w:id="20"/>
      </w:r>
      <w:r w:rsidR="00522009" w:rsidRPr="00BA7D2D">
        <w:t xml:space="preserve">  In that area, </w:t>
      </w:r>
      <w:r w:rsidR="00317B83" w:rsidRPr="00317B83">
        <w:rPr>
          <w:highlight w:val="black"/>
        </w:rPr>
        <w:t>XX</w:t>
      </w:r>
      <w:r w:rsidR="000E2B9F" w:rsidRPr="000E2B9F">
        <w:rPr>
          <w:highlight w:val="lightGray"/>
        </w:rPr>
        <w:t xml:space="preserve"> </w:t>
      </w:r>
      <w:r w:rsidR="00522009" w:rsidRPr="00BA7D2D">
        <w:t xml:space="preserve">households, or </w:t>
      </w:r>
      <w:r w:rsidR="00317B83" w:rsidRPr="00317B83">
        <w:rPr>
          <w:highlight w:val="black"/>
        </w:rPr>
        <w:t>XX</w:t>
      </w:r>
      <w:r w:rsidR="00522009" w:rsidRPr="00BA7D2D">
        <w:t xml:space="preserve"> percent, subscribe to dial-up service.</w:t>
      </w:r>
      <w:r w:rsidR="00747011">
        <w:rPr>
          <w:rStyle w:val="FootnoteReference"/>
        </w:rPr>
        <w:footnoteReference w:id="21"/>
      </w:r>
      <w:r w:rsidR="00522009" w:rsidRPr="00BA7D2D">
        <w:t xml:space="preserve">  </w:t>
      </w:r>
      <w:r w:rsidR="00DD3848">
        <w:t xml:space="preserve">In addition, </w:t>
      </w:r>
      <w:r w:rsidR="00373D9A">
        <w:t xml:space="preserve">as reflected in the FCC data I referenced earlier, about 39 percent of Washington households do not subscribe to any broadband service.  </w:t>
      </w:r>
      <w:r w:rsidR="00DD3848">
        <w:t xml:space="preserve">I believe many households in these two companies’ service areas do not </w:t>
      </w:r>
      <w:r w:rsidR="00373D9A">
        <w:t xml:space="preserve">have access to reliable and affordable broadband service.  </w:t>
      </w:r>
    </w:p>
    <w:p w:rsidR="00522009" w:rsidRDefault="00522009" w:rsidP="00014DBB">
      <w:pPr>
        <w:pStyle w:val="NoSpacing"/>
        <w:spacing w:line="480" w:lineRule="auto"/>
        <w:ind w:left="1440" w:hanging="720"/>
      </w:pPr>
    </w:p>
    <w:p w:rsidR="007431CF" w:rsidRPr="00BA7D2D" w:rsidRDefault="007431CF" w:rsidP="00D94264">
      <w:pPr>
        <w:pStyle w:val="NoSpacing"/>
        <w:spacing w:line="480" w:lineRule="auto"/>
        <w:ind w:left="720" w:hanging="720"/>
        <w:rPr>
          <w:b/>
        </w:rPr>
      </w:pPr>
      <w:r w:rsidRPr="00BA7D2D">
        <w:rPr>
          <w:b/>
        </w:rPr>
        <w:t xml:space="preserve">Q. </w:t>
      </w:r>
      <w:r w:rsidRPr="00BA7D2D">
        <w:rPr>
          <w:b/>
        </w:rPr>
        <w:tab/>
        <w:t xml:space="preserve">What is your recommended target for the two companies’ future broadband deployment? </w:t>
      </w:r>
    </w:p>
    <w:p w:rsidR="00C048E1" w:rsidRDefault="00014DBB" w:rsidP="00014DBB">
      <w:pPr>
        <w:pStyle w:val="NoSpacing"/>
        <w:spacing w:line="480" w:lineRule="auto"/>
        <w:ind w:left="720" w:hanging="720"/>
        <w:sectPr w:rsidR="00C048E1" w:rsidSect="009E6939">
          <w:footerReference w:type="default" r:id="rId15"/>
          <w:type w:val="continuous"/>
          <w:pgSz w:w="12240" w:h="15840"/>
          <w:pgMar w:top="1440" w:right="1440" w:bottom="1440" w:left="1440" w:header="720" w:footer="720" w:gutter="0"/>
          <w:lnNumType w:countBy="1"/>
          <w:cols w:space="720"/>
          <w:docGrid w:linePitch="360"/>
        </w:sectPr>
      </w:pPr>
      <w:r>
        <w:t>A.</w:t>
      </w:r>
      <w:r>
        <w:tab/>
      </w:r>
      <w:r w:rsidR="00FD60BA" w:rsidRPr="00BA7D2D">
        <w:t xml:space="preserve">I recommend that within </w:t>
      </w:r>
      <w:r w:rsidR="007D3719">
        <w:t>four</w:t>
      </w:r>
      <w:r w:rsidR="007D3719" w:rsidRPr="00BA7D2D">
        <w:t xml:space="preserve"> </w:t>
      </w:r>
      <w:r w:rsidR="00FD60BA" w:rsidRPr="00BA7D2D">
        <w:t xml:space="preserve">years after the close of the proposed transaction, </w:t>
      </w:r>
      <w:r w:rsidR="00EF776A">
        <w:t xml:space="preserve">the </w:t>
      </w:r>
      <w:r w:rsidR="00FD60BA" w:rsidRPr="00BA7D2D">
        <w:t>CenturyLink</w:t>
      </w:r>
      <w:r w:rsidR="007E0440">
        <w:t xml:space="preserve"> ILECs</w:t>
      </w:r>
      <w:r w:rsidR="00F0144A">
        <w:t xml:space="preserve"> and Qwest </w:t>
      </w:r>
      <w:r w:rsidR="00FD60BA" w:rsidRPr="00BA7D2D">
        <w:t>shall ma</w:t>
      </w:r>
      <w:r w:rsidR="00A1193D">
        <w:t>ke DSL available to at least 92 percent</w:t>
      </w:r>
      <w:r w:rsidR="00FD60BA" w:rsidRPr="00BA7D2D">
        <w:t xml:space="preserve"> of residential households located in </w:t>
      </w:r>
      <w:r w:rsidR="00F0144A">
        <w:t>their</w:t>
      </w:r>
      <w:r w:rsidR="00FD60BA" w:rsidRPr="00BA7D2D">
        <w:t xml:space="preserve"> respective service areas</w:t>
      </w:r>
      <w:r w:rsidR="00F0144A">
        <w:rPr>
          <w:rStyle w:val="FootnoteReference"/>
        </w:rPr>
        <w:footnoteReference w:id="22"/>
      </w:r>
      <w:r w:rsidR="00FD60BA" w:rsidRPr="00BA7D2D">
        <w:t xml:space="preserve"> in Washington. </w:t>
      </w:r>
      <w:r w:rsidR="009942EF" w:rsidRPr="00BA7D2D">
        <w:t xml:space="preserve"> </w:t>
      </w:r>
      <w:r w:rsidR="00FD60BA" w:rsidRPr="00BA7D2D">
        <w:t xml:space="preserve">I also recommend that within </w:t>
      </w:r>
      <w:r w:rsidR="0018383F">
        <w:t>four</w:t>
      </w:r>
      <w:r w:rsidR="0018383F" w:rsidRPr="00BA7D2D">
        <w:t xml:space="preserve"> </w:t>
      </w:r>
      <w:r w:rsidR="00FD60BA" w:rsidRPr="00BA7D2D">
        <w:t xml:space="preserve">years after the close of the proposed transaction, each </w:t>
      </w:r>
    </w:p>
    <w:p w:rsidR="00FD60BA" w:rsidRPr="00BA7D2D" w:rsidRDefault="00F0144A" w:rsidP="00C048E1">
      <w:pPr>
        <w:pStyle w:val="NoSpacing"/>
        <w:spacing w:line="480" w:lineRule="auto"/>
        <w:ind w:left="720"/>
      </w:pPr>
      <w:r>
        <w:t xml:space="preserve">CenturyLink ILEC and Qwest </w:t>
      </w:r>
      <w:r w:rsidR="00FD60BA" w:rsidRPr="00BA7D2D">
        <w:t>shall make D</w:t>
      </w:r>
      <w:r w:rsidR="00A1193D">
        <w:t>SL available to no less than 85 percent</w:t>
      </w:r>
      <w:r w:rsidR="00FD60BA" w:rsidRPr="00BA7D2D">
        <w:t xml:space="preserve"> of all residential households in each wire center in Washington. </w:t>
      </w:r>
    </w:p>
    <w:p w:rsidR="002A0474" w:rsidRPr="00BA7D2D" w:rsidRDefault="002A0474" w:rsidP="00FD60BA">
      <w:pPr>
        <w:pStyle w:val="NoSpacing"/>
        <w:spacing w:line="480" w:lineRule="auto"/>
        <w:ind w:left="720"/>
      </w:pPr>
    </w:p>
    <w:p w:rsidR="007301EC" w:rsidRPr="00BA7D2D" w:rsidRDefault="007301EC" w:rsidP="007301EC">
      <w:pPr>
        <w:pStyle w:val="NoSpacing"/>
        <w:spacing w:line="480" w:lineRule="auto"/>
        <w:ind w:left="720" w:hanging="720"/>
        <w:rPr>
          <w:b/>
        </w:rPr>
      </w:pPr>
      <w:r w:rsidRPr="00BA7D2D">
        <w:rPr>
          <w:b/>
        </w:rPr>
        <w:t>Q.</w:t>
      </w:r>
      <w:r w:rsidRPr="00BA7D2D">
        <w:rPr>
          <w:b/>
        </w:rPr>
        <w:tab/>
        <w:t xml:space="preserve">What do you recommend to enable the Commission to properly oversee the company’s broadband deployment after the </w:t>
      </w:r>
      <w:r w:rsidR="002A58D4">
        <w:rPr>
          <w:b/>
        </w:rPr>
        <w:t>transaction</w:t>
      </w:r>
      <w:r w:rsidR="00105E1A">
        <w:rPr>
          <w:b/>
        </w:rPr>
        <w:t xml:space="preserve"> closes</w:t>
      </w:r>
      <w:r w:rsidRPr="00BA7D2D">
        <w:rPr>
          <w:b/>
        </w:rPr>
        <w:t>?</w:t>
      </w:r>
    </w:p>
    <w:p w:rsidR="007301EC" w:rsidRPr="00BA7D2D" w:rsidRDefault="007301EC" w:rsidP="007301EC">
      <w:pPr>
        <w:pStyle w:val="NoSpacing"/>
        <w:spacing w:line="480" w:lineRule="auto"/>
        <w:ind w:left="720" w:hanging="720"/>
      </w:pPr>
      <w:r w:rsidRPr="00BA7D2D">
        <w:t>A.</w:t>
      </w:r>
      <w:r w:rsidRPr="00BA7D2D">
        <w:tab/>
        <w:t xml:space="preserve">I recommend the Commission require </w:t>
      </w:r>
      <w:r w:rsidR="006204D4">
        <w:t>CenturyLink</w:t>
      </w:r>
      <w:r w:rsidR="00E46A96">
        <w:t xml:space="preserve"> </w:t>
      </w:r>
      <w:r w:rsidRPr="00BA7D2D">
        <w:t xml:space="preserve">to submit an initial plan for broadband deployment within 90 days of the transaction closing date.  The company will consult with Staff regarding the geographic scope of the broadband deployment (including the specific wire centers that will be included) and the timelines for its implementation.  </w:t>
      </w:r>
    </w:p>
    <w:p w:rsidR="007301EC" w:rsidRPr="00BA7D2D" w:rsidRDefault="007301EC" w:rsidP="009942EF">
      <w:pPr>
        <w:pStyle w:val="NoSpacing"/>
        <w:spacing w:line="480" w:lineRule="auto"/>
        <w:ind w:left="720" w:hanging="720"/>
      </w:pPr>
    </w:p>
    <w:p w:rsidR="00DB2108" w:rsidRPr="00BA7D2D" w:rsidRDefault="009942EF" w:rsidP="009942EF">
      <w:pPr>
        <w:pStyle w:val="NoSpacing"/>
        <w:spacing w:line="480" w:lineRule="auto"/>
        <w:ind w:left="720" w:hanging="720"/>
        <w:rPr>
          <w:b/>
        </w:rPr>
      </w:pPr>
      <w:r w:rsidRPr="00BA7D2D">
        <w:rPr>
          <w:b/>
        </w:rPr>
        <w:t>Q.</w:t>
      </w:r>
      <w:r w:rsidRPr="00BA7D2D">
        <w:rPr>
          <w:b/>
        </w:rPr>
        <w:tab/>
        <w:t xml:space="preserve">Do you have </w:t>
      </w:r>
      <w:r w:rsidR="00105E1A">
        <w:rPr>
          <w:b/>
        </w:rPr>
        <w:t xml:space="preserve">a </w:t>
      </w:r>
      <w:r w:rsidRPr="00BA7D2D">
        <w:rPr>
          <w:b/>
        </w:rPr>
        <w:t>recommendation on the company’s reporting obligations to the Commission following the close of the transaction?</w:t>
      </w:r>
    </w:p>
    <w:p w:rsidR="00167A6B" w:rsidRDefault="00204553">
      <w:pPr>
        <w:pStyle w:val="ListParagraph"/>
        <w:spacing w:line="480" w:lineRule="auto"/>
        <w:ind w:hanging="720"/>
        <w:rPr>
          <w:rFonts w:ascii="Times New Roman" w:eastAsia="Calibri" w:hAnsi="Times New Roman" w:cs="Times New Roman"/>
          <w:sz w:val="24"/>
        </w:rPr>
      </w:pPr>
      <w:r w:rsidRPr="00204553">
        <w:rPr>
          <w:rFonts w:ascii="Times New Roman" w:eastAsia="Calibri" w:hAnsi="Times New Roman" w:cs="Times New Roman"/>
          <w:sz w:val="24"/>
        </w:rPr>
        <w:t>A.</w:t>
      </w:r>
      <w:r w:rsidRPr="00204553">
        <w:rPr>
          <w:rFonts w:ascii="Times New Roman" w:eastAsia="Calibri" w:hAnsi="Times New Roman" w:cs="Times New Roman"/>
          <w:sz w:val="24"/>
        </w:rPr>
        <w:tab/>
        <w:t>Yes.  I recommend that the Commission require each CenturyLink ILEC and Qwest file an annual progress report on broadband deployment with the Commission no later than May 1 of each succeeding year following the date the transaction closes until all goals specified in the approval order are achieved.  The annual report must contain information on a wire center basis as of December 31 of the previous year. The following wire center-specific information shall be included:</w:t>
      </w:r>
    </w:p>
    <w:p w:rsidR="00167A6B" w:rsidRDefault="00B24A37" w:rsidP="002875B7">
      <w:pPr>
        <w:pStyle w:val="ListParagraph"/>
        <w:numPr>
          <w:ilvl w:val="0"/>
          <w:numId w:val="10"/>
        </w:numPr>
        <w:spacing w:after="240" w:line="240" w:lineRule="auto"/>
        <w:ind w:left="1440" w:hanging="720"/>
        <w:contextualSpacing w:val="0"/>
        <w:rPr>
          <w:rFonts w:ascii="Times New Roman" w:hAnsi="Times New Roman"/>
          <w:sz w:val="24"/>
          <w:szCs w:val="24"/>
        </w:rPr>
      </w:pPr>
      <w:r w:rsidRPr="0087731A">
        <w:rPr>
          <w:rFonts w:ascii="Times New Roman" w:hAnsi="Times New Roman"/>
          <w:sz w:val="24"/>
          <w:szCs w:val="24"/>
        </w:rPr>
        <w:t>The number of residential households and businesses, respectively;</w:t>
      </w:r>
    </w:p>
    <w:p w:rsidR="00167A6B" w:rsidRDefault="00B24A37" w:rsidP="002875B7">
      <w:pPr>
        <w:pStyle w:val="ListParagraph"/>
        <w:numPr>
          <w:ilvl w:val="0"/>
          <w:numId w:val="10"/>
        </w:numPr>
        <w:spacing w:after="240" w:line="240" w:lineRule="auto"/>
        <w:ind w:left="1440" w:hanging="720"/>
        <w:contextualSpacing w:val="0"/>
        <w:rPr>
          <w:rFonts w:ascii="Times New Roman" w:hAnsi="Times New Roman"/>
          <w:sz w:val="24"/>
          <w:szCs w:val="24"/>
        </w:rPr>
      </w:pPr>
      <w:r w:rsidRPr="0087731A">
        <w:rPr>
          <w:rFonts w:ascii="Times New Roman" w:hAnsi="Times New Roman"/>
          <w:sz w:val="24"/>
          <w:szCs w:val="24"/>
        </w:rPr>
        <w:t>The number of retail residential and business telephone subscriber lines, respectively, served by the company;</w:t>
      </w:r>
    </w:p>
    <w:p w:rsidR="00B75151" w:rsidRDefault="00B24A37" w:rsidP="002875B7">
      <w:pPr>
        <w:pStyle w:val="ListParagraph"/>
        <w:numPr>
          <w:ilvl w:val="0"/>
          <w:numId w:val="10"/>
        </w:numPr>
        <w:spacing w:after="240" w:line="240" w:lineRule="auto"/>
        <w:ind w:left="1440" w:hanging="720"/>
        <w:contextualSpacing w:val="0"/>
        <w:rPr>
          <w:rFonts w:ascii="Times New Roman" w:hAnsi="Times New Roman"/>
          <w:sz w:val="24"/>
          <w:szCs w:val="24"/>
        </w:rPr>
        <w:sectPr w:rsidR="00B75151" w:rsidSect="009E6939">
          <w:footerReference w:type="default" r:id="rId16"/>
          <w:type w:val="continuous"/>
          <w:pgSz w:w="12240" w:h="15840"/>
          <w:pgMar w:top="1440" w:right="1440" w:bottom="1440" w:left="1440" w:header="720" w:footer="720" w:gutter="0"/>
          <w:lnNumType w:countBy="1"/>
          <w:cols w:space="720"/>
          <w:docGrid w:linePitch="360"/>
        </w:sectPr>
      </w:pPr>
      <w:r w:rsidRPr="0087731A">
        <w:rPr>
          <w:rFonts w:ascii="Times New Roman" w:hAnsi="Times New Roman"/>
          <w:sz w:val="24"/>
          <w:szCs w:val="24"/>
        </w:rPr>
        <w:t xml:space="preserve">The number of broadband-capable subscriber lines shown by technology (DSL, </w:t>
      </w:r>
      <w:proofErr w:type="spellStart"/>
      <w:r w:rsidRPr="0087731A">
        <w:rPr>
          <w:rFonts w:ascii="Times New Roman" w:hAnsi="Times New Roman"/>
          <w:sz w:val="24"/>
          <w:szCs w:val="24"/>
        </w:rPr>
        <w:t>FTTP</w:t>
      </w:r>
      <w:proofErr w:type="spellEnd"/>
      <w:r w:rsidRPr="0087731A">
        <w:rPr>
          <w:rFonts w:ascii="Times New Roman" w:hAnsi="Times New Roman"/>
          <w:sz w:val="24"/>
          <w:szCs w:val="24"/>
        </w:rPr>
        <w:t xml:space="preserve"> and others);</w:t>
      </w:r>
    </w:p>
    <w:p w:rsidR="00167A6B" w:rsidRDefault="00B24A37" w:rsidP="002875B7">
      <w:pPr>
        <w:pStyle w:val="ListParagraph"/>
        <w:numPr>
          <w:ilvl w:val="0"/>
          <w:numId w:val="10"/>
        </w:numPr>
        <w:spacing w:after="240" w:line="240" w:lineRule="auto"/>
        <w:ind w:left="1440" w:hanging="720"/>
        <w:contextualSpacing w:val="0"/>
        <w:rPr>
          <w:rFonts w:ascii="Times New Roman" w:hAnsi="Times New Roman"/>
          <w:sz w:val="24"/>
          <w:szCs w:val="24"/>
        </w:rPr>
      </w:pPr>
      <w:r w:rsidRPr="0087731A">
        <w:rPr>
          <w:rFonts w:ascii="Times New Roman" w:hAnsi="Times New Roman"/>
          <w:sz w:val="24"/>
          <w:szCs w:val="24"/>
        </w:rPr>
        <w:t xml:space="preserve">The number of broadband subscribers by technology, including both subscribers of stand-alone broadband services and subscribers of bundles that contain broadband services; and </w:t>
      </w:r>
    </w:p>
    <w:p w:rsidR="00167A6B" w:rsidRDefault="00B24A37" w:rsidP="002875B7">
      <w:pPr>
        <w:pStyle w:val="ListParagraph"/>
        <w:numPr>
          <w:ilvl w:val="0"/>
          <w:numId w:val="10"/>
        </w:numPr>
        <w:spacing w:after="240" w:line="240" w:lineRule="auto"/>
        <w:ind w:left="1440" w:hanging="720"/>
        <w:contextualSpacing w:val="0"/>
        <w:rPr>
          <w:rFonts w:ascii="Times New Roman" w:hAnsi="Times New Roman"/>
          <w:sz w:val="24"/>
          <w:szCs w:val="24"/>
        </w:rPr>
      </w:pPr>
      <w:r w:rsidRPr="002875B7">
        <w:rPr>
          <w:rFonts w:ascii="Times New Roman" w:hAnsi="Times New Roman"/>
          <w:sz w:val="24"/>
          <w:szCs w:val="24"/>
        </w:rPr>
        <w:t>Total capital expenditures associated with new broadband deployment in the previous calendar year by technology.</w:t>
      </w:r>
    </w:p>
    <w:p w:rsidR="002875B7" w:rsidRPr="002875B7" w:rsidRDefault="002875B7" w:rsidP="002875B7">
      <w:pPr>
        <w:spacing w:after="240" w:line="240" w:lineRule="auto"/>
        <w:ind w:left="720"/>
        <w:rPr>
          <w:rFonts w:ascii="Times New Roman" w:hAnsi="Times New Roman"/>
          <w:sz w:val="24"/>
          <w:szCs w:val="24"/>
        </w:rPr>
      </w:pPr>
    </w:p>
    <w:p w:rsidR="00DB2108" w:rsidRDefault="00113C44" w:rsidP="002875B7">
      <w:pPr>
        <w:pStyle w:val="Heading1"/>
        <w:numPr>
          <w:ilvl w:val="0"/>
          <w:numId w:val="11"/>
        </w:numPr>
        <w:spacing w:line="480" w:lineRule="auto"/>
        <w:ind w:left="0" w:firstLine="0"/>
        <w:jc w:val="center"/>
        <w:rPr>
          <w:rFonts w:ascii="Times New Roman" w:hAnsi="Times New Roman" w:cs="Times New Roman"/>
          <w:color w:val="auto"/>
          <w:sz w:val="24"/>
          <w:szCs w:val="24"/>
        </w:rPr>
      </w:pPr>
      <w:bookmarkStart w:id="2" w:name="_Toc273083684"/>
      <w:bookmarkStart w:id="3" w:name="_Toc273083685"/>
      <w:bookmarkStart w:id="4" w:name="_Toc273089709"/>
      <w:bookmarkEnd w:id="2"/>
      <w:bookmarkEnd w:id="3"/>
      <w:r w:rsidRPr="00C85C64">
        <w:rPr>
          <w:rFonts w:ascii="Times New Roman" w:hAnsi="Times New Roman" w:cs="Times New Roman"/>
          <w:color w:val="auto"/>
          <w:sz w:val="24"/>
          <w:szCs w:val="24"/>
        </w:rPr>
        <w:t xml:space="preserve">BROADBAND </w:t>
      </w:r>
      <w:r w:rsidR="00167A6B" w:rsidRPr="00C85C64">
        <w:rPr>
          <w:rFonts w:ascii="Times New Roman" w:hAnsi="Times New Roman" w:cs="Times New Roman"/>
          <w:color w:val="auto"/>
          <w:sz w:val="24"/>
          <w:szCs w:val="24"/>
        </w:rPr>
        <w:t>OFFERS AND PRICES</w:t>
      </w:r>
      <w:bookmarkEnd w:id="4"/>
    </w:p>
    <w:p w:rsidR="007138D7" w:rsidRPr="007138D7" w:rsidRDefault="007138D7" w:rsidP="002875B7">
      <w:pPr>
        <w:spacing w:line="480" w:lineRule="auto"/>
      </w:pPr>
    </w:p>
    <w:p w:rsidR="001D50C5" w:rsidRPr="00A1193D" w:rsidRDefault="00DB2108" w:rsidP="002875B7">
      <w:pPr>
        <w:pStyle w:val="NoSpacing"/>
        <w:spacing w:line="480" w:lineRule="auto"/>
        <w:ind w:left="720" w:hanging="720"/>
        <w:rPr>
          <w:b/>
        </w:rPr>
      </w:pPr>
      <w:r w:rsidRPr="00A1193D">
        <w:rPr>
          <w:b/>
        </w:rPr>
        <w:t>Q.</w:t>
      </w:r>
      <w:r w:rsidRPr="00A1193D">
        <w:rPr>
          <w:b/>
        </w:rPr>
        <w:tab/>
      </w:r>
      <w:r w:rsidR="001D50C5" w:rsidRPr="00A1193D">
        <w:rPr>
          <w:b/>
        </w:rPr>
        <w:t xml:space="preserve">What will be the appropriate objective for a minimum broadband speed? </w:t>
      </w:r>
    </w:p>
    <w:p w:rsidR="000014AF" w:rsidRDefault="001D50C5" w:rsidP="002875B7">
      <w:pPr>
        <w:pStyle w:val="NoSpacing"/>
        <w:spacing w:line="480" w:lineRule="auto"/>
        <w:ind w:left="720" w:hanging="720"/>
      </w:pPr>
      <w:r w:rsidRPr="00A1193D">
        <w:t xml:space="preserve">A. </w:t>
      </w:r>
      <w:r w:rsidRPr="00A1193D">
        <w:tab/>
      </w:r>
      <w:r w:rsidR="00D52A42">
        <w:t xml:space="preserve">In its National Broadband Plan, the FCC has identified a national target of 4 Mbps download and </w:t>
      </w:r>
      <w:proofErr w:type="spellStart"/>
      <w:r w:rsidR="00D52A42">
        <w:t>1Mbps</w:t>
      </w:r>
      <w:proofErr w:type="spellEnd"/>
      <w:r w:rsidR="00D52A42">
        <w:t xml:space="preserve"> upload for broadband speed based on technical and demand analysis.</w:t>
      </w:r>
      <w:r w:rsidR="003550DF" w:rsidRPr="003550DF">
        <w:rPr>
          <w:vertAlign w:val="superscript"/>
        </w:rPr>
        <w:footnoteReference w:id="23"/>
      </w:r>
      <w:r w:rsidR="00D52A42">
        <w:t xml:space="preserve">  </w:t>
      </w:r>
      <w:r w:rsidR="0018383F">
        <w:t xml:space="preserve">The </w:t>
      </w:r>
      <w:r w:rsidR="00D52A42">
        <w:t>broadband-related conditions the Commission impose</w:t>
      </w:r>
      <w:r w:rsidR="0068592F">
        <w:t>s</w:t>
      </w:r>
      <w:r w:rsidR="00D52A42">
        <w:t xml:space="preserve"> on the post-transaction company should be consistent with the national objective. </w:t>
      </w:r>
    </w:p>
    <w:p w:rsidR="000014AF" w:rsidRDefault="000014AF" w:rsidP="000014AF">
      <w:pPr>
        <w:pStyle w:val="NoSpacing"/>
        <w:spacing w:line="480" w:lineRule="auto"/>
        <w:ind w:left="720" w:hanging="720"/>
      </w:pPr>
    </w:p>
    <w:p w:rsidR="000014AF" w:rsidRDefault="001D50C5" w:rsidP="000014AF">
      <w:pPr>
        <w:pStyle w:val="NoSpacing"/>
        <w:spacing w:line="480" w:lineRule="auto"/>
        <w:ind w:left="720" w:hanging="720"/>
        <w:rPr>
          <w:b/>
        </w:rPr>
      </w:pPr>
      <w:r w:rsidRPr="00A1193D">
        <w:rPr>
          <w:b/>
        </w:rPr>
        <w:t>Q.</w:t>
      </w:r>
      <w:r w:rsidRPr="00A1193D">
        <w:rPr>
          <w:b/>
        </w:rPr>
        <w:tab/>
      </w:r>
      <w:r w:rsidR="009500E0" w:rsidRPr="00A1193D">
        <w:rPr>
          <w:b/>
        </w:rPr>
        <w:t xml:space="preserve">What </w:t>
      </w:r>
      <w:r w:rsidRPr="00A1193D">
        <w:rPr>
          <w:b/>
        </w:rPr>
        <w:t xml:space="preserve">are the available </w:t>
      </w:r>
      <w:r w:rsidR="009500E0" w:rsidRPr="00A1193D">
        <w:rPr>
          <w:b/>
        </w:rPr>
        <w:t>broadband speed</w:t>
      </w:r>
      <w:r w:rsidRPr="00A1193D">
        <w:rPr>
          <w:b/>
        </w:rPr>
        <w:t>s</w:t>
      </w:r>
      <w:r w:rsidR="009500E0" w:rsidRPr="00A1193D">
        <w:rPr>
          <w:b/>
        </w:rPr>
        <w:t xml:space="preserve"> currently offered by Qwest</w:t>
      </w:r>
      <w:r w:rsidR="00721CA6">
        <w:rPr>
          <w:b/>
        </w:rPr>
        <w:t xml:space="preserve"> </w:t>
      </w:r>
      <w:r w:rsidR="009500E0" w:rsidRPr="00A1193D">
        <w:rPr>
          <w:b/>
        </w:rPr>
        <w:t xml:space="preserve">and </w:t>
      </w:r>
      <w:r w:rsidR="0062613D">
        <w:rPr>
          <w:b/>
        </w:rPr>
        <w:t xml:space="preserve">the </w:t>
      </w:r>
      <w:r w:rsidR="009500E0" w:rsidRPr="00A1193D">
        <w:rPr>
          <w:b/>
        </w:rPr>
        <w:t>CenturyLink</w:t>
      </w:r>
      <w:r w:rsidR="00721CA6">
        <w:rPr>
          <w:b/>
        </w:rPr>
        <w:t xml:space="preserve"> ILECs</w:t>
      </w:r>
      <w:r w:rsidR="009500E0" w:rsidRPr="00A1193D">
        <w:rPr>
          <w:b/>
        </w:rPr>
        <w:t>?</w:t>
      </w:r>
    </w:p>
    <w:p w:rsidR="00B75151" w:rsidRDefault="009500E0" w:rsidP="000014AF">
      <w:pPr>
        <w:pStyle w:val="NoSpacing"/>
        <w:spacing w:line="480" w:lineRule="auto"/>
        <w:ind w:left="720" w:hanging="720"/>
        <w:sectPr w:rsidR="00B75151" w:rsidSect="009E6939">
          <w:footerReference w:type="default" r:id="rId17"/>
          <w:type w:val="continuous"/>
          <w:pgSz w:w="12240" w:h="15840"/>
          <w:pgMar w:top="1440" w:right="1440" w:bottom="1440" w:left="1440" w:header="720" w:footer="720" w:gutter="0"/>
          <w:lnNumType w:countBy="1"/>
          <w:cols w:space="720"/>
          <w:docGrid w:linePitch="360"/>
        </w:sectPr>
      </w:pPr>
      <w:r w:rsidRPr="00A1193D">
        <w:t>A.</w:t>
      </w:r>
      <w:r w:rsidRPr="00A1193D">
        <w:tab/>
      </w:r>
      <w:r w:rsidR="00DF66D2">
        <w:t xml:space="preserve">Currently, </w:t>
      </w:r>
      <w:r>
        <w:t>CenturyLink</w:t>
      </w:r>
      <w:r w:rsidR="00721CA6">
        <w:t xml:space="preserve"> ILECs</w:t>
      </w:r>
      <w:r>
        <w:t xml:space="preserve"> can provide </w:t>
      </w:r>
      <w:r w:rsidR="002875B7" w:rsidRPr="002875B7">
        <w:rPr>
          <w:highlight w:val="black"/>
        </w:rPr>
        <w:t>XXX</w:t>
      </w:r>
      <w:r w:rsidR="002875B7">
        <w:t xml:space="preserve"> </w:t>
      </w:r>
      <w:r>
        <w:t>customers in Washington with broadband access to 4 Mbps or greater download speeds</w:t>
      </w:r>
      <w:r w:rsidR="00DF66D2">
        <w:t xml:space="preserve">.  In other words, </w:t>
      </w:r>
      <w:r w:rsidR="00A1193D">
        <w:t xml:space="preserve">only </w:t>
      </w:r>
      <w:r w:rsidR="002875B7" w:rsidRPr="002875B7">
        <w:rPr>
          <w:highlight w:val="black"/>
        </w:rPr>
        <w:t>X</w:t>
      </w:r>
      <w:r w:rsidR="002875B7">
        <w:t xml:space="preserve"> </w:t>
      </w:r>
      <w:r w:rsidR="00B00C03">
        <w:t>percent</w:t>
      </w:r>
      <w:r w:rsidR="00DF66D2">
        <w:t xml:space="preserve"> of the households where Century</w:t>
      </w:r>
      <w:r w:rsidR="00F40A3A">
        <w:t>Link ILECs</w:t>
      </w:r>
      <w:r w:rsidR="0062613D">
        <w:t xml:space="preserve"> offer</w:t>
      </w:r>
      <w:r w:rsidR="00DF66D2">
        <w:t xml:space="preserve"> DSL can enjoy a download speed of 4 Mbps or greater.</w:t>
      </w:r>
      <w:r w:rsidR="00DF66D2">
        <w:rPr>
          <w:rStyle w:val="FootnoteReference"/>
        </w:rPr>
        <w:footnoteReference w:id="24"/>
      </w:r>
      <w:r w:rsidR="00DF66D2">
        <w:t xml:space="preserve">  Qwest</w:t>
      </w:r>
      <w:r w:rsidR="00F40A3A">
        <w:t xml:space="preserve"> </w:t>
      </w:r>
      <w:r w:rsidR="00DF66D2">
        <w:t xml:space="preserve">can provide </w:t>
      </w:r>
      <w:proofErr w:type="spellStart"/>
      <w:r w:rsidR="002875B7" w:rsidRPr="002875B7">
        <w:rPr>
          <w:highlight w:val="black"/>
        </w:rPr>
        <w:t>XXXXX</w:t>
      </w:r>
      <w:proofErr w:type="spellEnd"/>
      <w:r w:rsidR="00DF66D2">
        <w:t xml:space="preserve"> living units in Washington with broadband access to 4 Mbps or greater download speeds, about </w:t>
      </w:r>
      <w:r w:rsidR="002875B7" w:rsidRPr="002875B7">
        <w:rPr>
          <w:highlight w:val="black"/>
        </w:rPr>
        <w:t>X</w:t>
      </w:r>
      <w:r w:rsidR="00DF66D2">
        <w:t xml:space="preserve"> percent of its potential </w:t>
      </w:r>
    </w:p>
    <w:p w:rsidR="00B332C8" w:rsidRDefault="00DF66D2" w:rsidP="00D90849">
      <w:pPr>
        <w:pStyle w:val="NoSpacing"/>
        <w:spacing w:line="480" w:lineRule="auto"/>
        <w:ind w:left="720"/>
      </w:pPr>
      <w:r>
        <w:t>DSL subscribers.</w:t>
      </w:r>
      <w:r w:rsidR="001D50C5">
        <w:rPr>
          <w:rStyle w:val="FootnoteReference"/>
        </w:rPr>
        <w:footnoteReference w:id="25"/>
      </w:r>
      <w:r>
        <w:t xml:space="preserve">  This status quo is far </w:t>
      </w:r>
      <w:r w:rsidR="0018383F">
        <w:t xml:space="preserve">below </w:t>
      </w:r>
      <w:r>
        <w:t xml:space="preserve">the </w:t>
      </w:r>
      <w:r w:rsidR="00146EC7">
        <w:t xml:space="preserve">national </w:t>
      </w:r>
      <w:r>
        <w:t xml:space="preserve">objective </w:t>
      </w:r>
      <w:r w:rsidR="00146EC7">
        <w:t>envisioned by the FCC</w:t>
      </w:r>
      <w:r w:rsidRPr="00146EC7">
        <w:t>.</w:t>
      </w:r>
      <w:r>
        <w:t xml:space="preserve"> </w:t>
      </w:r>
    </w:p>
    <w:p w:rsidR="00B332C8" w:rsidRDefault="00B332C8" w:rsidP="00DB2108">
      <w:pPr>
        <w:pStyle w:val="NoSpacing"/>
        <w:keepNext/>
        <w:keepLines/>
        <w:spacing w:line="480" w:lineRule="auto"/>
        <w:ind w:left="720" w:hanging="720"/>
        <w:rPr>
          <w:b/>
        </w:rPr>
      </w:pPr>
    </w:p>
    <w:p w:rsidR="007301EC" w:rsidRPr="00BA7D2D" w:rsidRDefault="009500E0" w:rsidP="00DB2108">
      <w:pPr>
        <w:pStyle w:val="NoSpacing"/>
        <w:keepNext/>
        <w:keepLines/>
        <w:spacing w:line="480" w:lineRule="auto"/>
        <w:ind w:left="720" w:hanging="720"/>
        <w:rPr>
          <w:b/>
        </w:rPr>
      </w:pPr>
      <w:r>
        <w:rPr>
          <w:b/>
        </w:rPr>
        <w:t>Q.</w:t>
      </w:r>
      <w:r>
        <w:rPr>
          <w:b/>
        </w:rPr>
        <w:tab/>
      </w:r>
      <w:r w:rsidR="007301EC" w:rsidRPr="00BA7D2D">
        <w:rPr>
          <w:b/>
        </w:rPr>
        <w:t xml:space="preserve">Do you have </w:t>
      </w:r>
      <w:r w:rsidR="00424EDE">
        <w:rPr>
          <w:b/>
        </w:rPr>
        <w:t xml:space="preserve">a </w:t>
      </w:r>
      <w:r w:rsidR="007301EC" w:rsidRPr="00BA7D2D">
        <w:rPr>
          <w:b/>
        </w:rPr>
        <w:t>recommendation with regard to the speed of broadband offered by the post-</w:t>
      </w:r>
      <w:r w:rsidR="00AA0552">
        <w:rPr>
          <w:b/>
        </w:rPr>
        <w:t>t</w:t>
      </w:r>
      <w:r w:rsidR="007301EC" w:rsidRPr="00BA7D2D">
        <w:rPr>
          <w:b/>
        </w:rPr>
        <w:t xml:space="preserve">ransaction company? </w:t>
      </w:r>
    </w:p>
    <w:p w:rsidR="007301EC" w:rsidRPr="00BA7D2D" w:rsidRDefault="007301EC" w:rsidP="007301EC">
      <w:pPr>
        <w:pStyle w:val="NoSpacing"/>
        <w:spacing w:line="480" w:lineRule="auto"/>
        <w:ind w:left="720" w:hanging="720"/>
      </w:pPr>
      <w:r w:rsidRPr="00BA7D2D">
        <w:t>A.</w:t>
      </w:r>
      <w:r w:rsidRPr="00BA7D2D">
        <w:tab/>
        <w:t xml:space="preserve">Yes.  </w:t>
      </w:r>
      <w:r w:rsidR="0018383F">
        <w:t xml:space="preserve">Consistent with the objective laid out in the FCC’s National Broadband Plan, </w:t>
      </w:r>
      <w:r w:rsidRPr="00BA7D2D">
        <w:t>I recom</w:t>
      </w:r>
      <w:r w:rsidR="00F0144A">
        <w:t xml:space="preserve">mend the Commission require each CenturyLink ILEC and Qwest </w:t>
      </w:r>
      <w:r w:rsidRPr="00BA7D2D">
        <w:t>to make available retail broadband Internet access service with a minimum speed of 4 Mbps download</w:t>
      </w:r>
      <w:r w:rsidR="00E6021F">
        <w:t xml:space="preserve"> and </w:t>
      </w:r>
      <w:r w:rsidRPr="00BA7D2D">
        <w:t>1 Mbps upload to 85</w:t>
      </w:r>
      <w:r w:rsidR="00A1193D">
        <w:t xml:space="preserve"> percent </w:t>
      </w:r>
      <w:r w:rsidRPr="00BA7D2D">
        <w:t xml:space="preserve">of residential households </w:t>
      </w:r>
      <w:r w:rsidR="007C2F0F">
        <w:t xml:space="preserve">located in their respective service areas </w:t>
      </w:r>
      <w:r w:rsidRPr="00BA7D2D">
        <w:t xml:space="preserve">by the end of 2015.  </w:t>
      </w:r>
    </w:p>
    <w:p w:rsidR="007301EC" w:rsidRPr="00BA7D2D" w:rsidRDefault="007301EC" w:rsidP="00DB2108">
      <w:pPr>
        <w:pStyle w:val="NoSpacing"/>
        <w:keepNext/>
        <w:keepLines/>
        <w:spacing w:line="480" w:lineRule="auto"/>
        <w:ind w:left="720" w:hanging="720"/>
        <w:rPr>
          <w:b/>
        </w:rPr>
      </w:pPr>
    </w:p>
    <w:p w:rsidR="00DB2108" w:rsidRPr="00BA7D2D" w:rsidRDefault="007301EC" w:rsidP="00DB2108">
      <w:pPr>
        <w:pStyle w:val="NoSpacing"/>
        <w:keepNext/>
        <w:keepLines/>
        <w:spacing w:line="480" w:lineRule="auto"/>
        <w:ind w:left="720" w:hanging="720"/>
        <w:rPr>
          <w:b/>
        </w:rPr>
      </w:pPr>
      <w:r w:rsidRPr="00BA7D2D">
        <w:rPr>
          <w:b/>
        </w:rPr>
        <w:t>Q.</w:t>
      </w:r>
      <w:r w:rsidRPr="00BA7D2D">
        <w:rPr>
          <w:b/>
        </w:rPr>
        <w:tab/>
      </w:r>
      <w:r w:rsidR="00DB2108" w:rsidRPr="00BA7D2D">
        <w:rPr>
          <w:b/>
        </w:rPr>
        <w:t xml:space="preserve">Do you have any </w:t>
      </w:r>
      <w:r w:rsidR="006116A5">
        <w:rPr>
          <w:b/>
        </w:rPr>
        <w:t>concerns about</w:t>
      </w:r>
      <w:r w:rsidR="00DB2108" w:rsidRPr="00BA7D2D">
        <w:rPr>
          <w:b/>
        </w:rPr>
        <w:t xml:space="preserve"> the </w:t>
      </w:r>
      <w:r w:rsidR="00F40A3A">
        <w:rPr>
          <w:b/>
        </w:rPr>
        <w:t>CenturyLink ILECs</w:t>
      </w:r>
      <w:r w:rsidR="001E0EDD">
        <w:rPr>
          <w:b/>
        </w:rPr>
        <w:t>’</w:t>
      </w:r>
      <w:r w:rsidR="00F40A3A">
        <w:rPr>
          <w:b/>
        </w:rPr>
        <w:t xml:space="preserve"> and Qwest’s</w:t>
      </w:r>
      <w:r w:rsidR="00DB2108" w:rsidRPr="00BA7D2D">
        <w:rPr>
          <w:b/>
        </w:rPr>
        <w:t xml:space="preserve"> future DSL offerings in Washington? </w:t>
      </w:r>
    </w:p>
    <w:p w:rsidR="00D1706E" w:rsidRDefault="001A17B4" w:rsidP="00281413">
      <w:pPr>
        <w:pStyle w:val="NoSpacing"/>
        <w:spacing w:line="480" w:lineRule="auto"/>
        <w:ind w:left="720" w:hanging="720"/>
      </w:pPr>
      <w:r w:rsidRPr="00BA7D2D">
        <w:rPr>
          <w:b/>
        </w:rPr>
        <w:t>A.</w:t>
      </w:r>
      <w:r w:rsidRPr="00BA7D2D">
        <w:rPr>
          <w:b/>
        </w:rPr>
        <w:tab/>
      </w:r>
      <w:r w:rsidR="00C3316C" w:rsidRPr="00BA7D2D">
        <w:t xml:space="preserve">The Joint </w:t>
      </w:r>
      <w:r w:rsidR="00F96BC0">
        <w:t>Applicants</w:t>
      </w:r>
      <w:r w:rsidR="00F96BC0" w:rsidRPr="00BA7D2D">
        <w:t xml:space="preserve"> </w:t>
      </w:r>
      <w:r w:rsidR="00C3316C" w:rsidRPr="00BA7D2D">
        <w:t xml:space="preserve">state that immediately upon completion of the </w:t>
      </w:r>
      <w:r w:rsidR="00AA0552">
        <w:t>t</w:t>
      </w:r>
      <w:r w:rsidR="00C3316C" w:rsidRPr="00BA7D2D">
        <w:t xml:space="preserve">ransaction, </w:t>
      </w:r>
      <w:r w:rsidRPr="00BA7D2D">
        <w:t xml:space="preserve">the </w:t>
      </w:r>
      <w:r w:rsidR="00F40A3A">
        <w:t>companies</w:t>
      </w:r>
      <w:r w:rsidRPr="00BA7D2D">
        <w:t xml:space="preserve"> will continue to offer the service products with the same </w:t>
      </w:r>
      <w:r w:rsidR="00C3316C" w:rsidRPr="00BA7D2D">
        <w:t xml:space="preserve">rates, terms and conditions as immediately prior to the </w:t>
      </w:r>
      <w:r w:rsidR="00AA0552">
        <w:t>t</w:t>
      </w:r>
      <w:r w:rsidR="00C3316C" w:rsidRPr="00BA7D2D">
        <w:t>ransaction.</w:t>
      </w:r>
      <w:r w:rsidRPr="00BA7D2D">
        <w:rPr>
          <w:rStyle w:val="FootnoteReference"/>
        </w:rPr>
        <w:footnoteReference w:id="26"/>
      </w:r>
      <w:r w:rsidR="00C3316C" w:rsidRPr="00BA7D2D">
        <w:t xml:space="preserve"> </w:t>
      </w:r>
      <w:r w:rsidR="00F17B55">
        <w:t xml:space="preserve"> </w:t>
      </w:r>
      <w:r w:rsidR="00C3316C" w:rsidRPr="00BA7D2D">
        <w:t xml:space="preserve">However, the Joint </w:t>
      </w:r>
      <w:r w:rsidR="000C66FD">
        <w:t>Applicants</w:t>
      </w:r>
      <w:r w:rsidR="000C66FD" w:rsidRPr="00BA7D2D">
        <w:t xml:space="preserve"> </w:t>
      </w:r>
      <w:r w:rsidR="00C3316C" w:rsidRPr="00BA7D2D">
        <w:t>also stat</w:t>
      </w:r>
      <w:r w:rsidRPr="00BA7D2D">
        <w:t xml:space="preserve">e that after the </w:t>
      </w:r>
      <w:r w:rsidR="00AA0552">
        <w:t>t</w:t>
      </w:r>
      <w:r w:rsidRPr="00BA7D2D">
        <w:t>ransaction, the compan</w:t>
      </w:r>
      <w:r w:rsidR="00F40A3A">
        <w:t>ies</w:t>
      </w:r>
      <w:r w:rsidRPr="00BA7D2D">
        <w:t xml:space="preserve"> will change prices and product mixes over time to respond to changes in market, technology and business demands.</w:t>
      </w:r>
      <w:r w:rsidRPr="00BA7D2D">
        <w:rPr>
          <w:rStyle w:val="FootnoteReference"/>
        </w:rPr>
        <w:footnoteReference w:id="27"/>
      </w:r>
      <w:r w:rsidRPr="00BA7D2D">
        <w:t xml:space="preserve"> </w:t>
      </w:r>
      <w:r w:rsidR="00E216E4" w:rsidRPr="00BA7D2D">
        <w:t xml:space="preserve"> </w:t>
      </w:r>
      <w:r w:rsidR="00424EDE">
        <w:t>These two st</w:t>
      </w:r>
      <w:r w:rsidR="00B332C8">
        <w:t>ate</w:t>
      </w:r>
      <w:r w:rsidR="00424EDE">
        <w:t>m</w:t>
      </w:r>
      <w:r w:rsidR="000014AF">
        <w:t>ents are somewhat contradictor</w:t>
      </w:r>
      <w:r w:rsidR="00A93B53">
        <w:t>y</w:t>
      </w:r>
      <w:r w:rsidR="000014AF" w:rsidRPr="00405B99">
        <w:t xml:space="preserve">.  </w:t>
      </w:r>
      <w:r w:rsidR="00405B99">
        <w:t>While</w:t>
      </w:r>
      <w:r w:rsidR="00F32FD9" w:rsidRPr="00405B99">
        <w:t xml:space="preserve"> being flexible in prices and product mixes is normal bu</w:t>
      </w:r>
      <w:r w:rsidR="00CE6490" w:rsidRPr="00405B99">
        <w:t xml:space="preserve">siness practice, </w:t>
      </w:r>
      <w:r w:rsidR="000F7529">
        <w:t xml:space="preserve">such </w:t>
      </w:r>
      <w:r w:rsidR="00405B99">
        <w:t>changes</w:t>
      </w:r>
      <w:r w:rsidR="00CE6490" w:rsidRPr="00405B99">
        <w:t xml:space="preserve"> may cause </w:t>
      </w:r>
      <w:r w:rsidR="00F32FD9" w:rsidRPr="00405B99">
        <w:t xml:space="preserve">confusion to customers during the transitional period, disrupt the service contracts customers </w:t>
      </w:r>
      <w:r w:rsidR="00405B99">
        <w:t>entered into</w:t>
      </w:r>
      <w:r w:rsidR="00F32FD9" w:rsidRPr="00405B99">
        <w:t xml:space="preserve"> before the </w:t>
      </w:r>
      <w:r w:rsidR="002A58D4" w:rsidRPr="00405B99">
        <w:t>merger</w:t>
      </w:r>
      <w:r w:rsidR="00405B99">
        <w:t xml:space="preserve">, and </w:t>
      </w:r>
      <w:r w:rsidR="00F32FD9" w:rsidRPr="00405B99">
        <w:t>even diminish the value of the services if the company chooses to raise the price</w:t>
      </w:r>
      <w:r w:rsidR="00F32FD9">
        <w:t xml:space="preserve">.  </w:t>
      </w:r>
    </w:p>
    <w:p w:rsidR="001A17B4" w:rsidRPr="00BA7D2D" w:rsidRDefault="001A17B4" w:rsidP="001A17B4">
      <w:pPr>
        <w:pStyle w:val="NoSpacing"/>
        <w:spacing w:line="480" w:lineRule="auto"/>
        <w:ind w:left="720" w:hanging="720"/>
      </w:pPr>
    </w:p>
    <w:p w:rsidR="00DB2108" w:rsidRPr="00BA7D2D" w:rsidRDefault="00DB2108" w:rsidP="00DB2108">
      <w:pPr>
        <w:pStyle w:val="NoSpacing"/>
        <w:spacing w:line="480" w:lineRule="auto"/>
        <w:ind w:left="720" w:hanging="720"/>
        <w:rPr>
          <w:b/>
        </w:rPr>
      </w:pPr>
      <w:r w:rsidRPr="00BA7D2D">
        <w:rPr>
          <w:b/>
        </w:rPr>
        <w:t>Q.</w:t>
      </w:r>
      <w:r w:rsidRPr="00BA7D2D">
        <w:rPr>
          <w:b/>
        </w:rPr>
        <w:tab/>
        <w:t xml:space="preserve">What do you recommend in terms of </w:t>
      </w:r>
      <w:r w:rsidR="00E216E4" w:rsidRPr="00BA7D2D">
        <w:rPr>
          <w:b/>
        </w:rPr>
        <w:t>the prices, terms and conditions of the company’s DSL-related products</w:t>
      </w:r>
      <w:r w:rsidRPr="00BA7D2D">
        <w:rPr>
          <w:b/>
        </w:rPr>
        <w:t xml:space="preserve">? </w:t>
      </w:r>
    </w:p>
    <w:p w:rsidR="001A17B4" w:rsidRPr="00BA7D2D" w:rsidRDefault="00DB2108" w:rsidP="00DB2108">
      <w:pPr>
        <w:pStyle w:val="NoSpacing"/>
        <w:spacing w:line="480" w:lineRule="auto"/>
        <w:ind w:left="720" w:hanging="720"/>
      </w:pPr>
      <w:r w:rsidRPr="00BA7D2D">
        <w:t>A.</w:t>
      </w:r>
      <w:r w:rsidRPr="00BA7D2D">
        <w:tab/>
      </w:r>
      <w:r w:rsidR="001A17B4" w:rsidRPr="00BA7D2D">
        <w:t>To guarantee some degree of continuity in the services Qwest</w:t>
      </w:r>
      <w:r w:rsidR="00F40A3A">
        <w:t xml:space="preserve"> </w:t>
      </w:r>
      <w:r w:rsidR="001A17B4" w:rsidRPr="00BA7D2D">
        <w:t>and CenturyLink</w:t>
      </w:r>
      <w:r w:rsidR="00F40A3A">
        <w:t xml:space="preserve"> ILECs</w:t>
      </w:r>
      <w:r w:rsidR="001A17B4" w:rsidRPr="00BA7D2D">
        <w:t xml:space="preserve"> customers are </w:t>
      </w:r>
      <w:r w:rsidR="00E216E4" w:rsidRPr="00BA7D2D">
        <w:t xml:space="preserve">currently </w:t>
      </w:r>
      <w:r w:rsidR="00A1645D">
        <w:t xml:space="preserve">are </w:t>
      </w:r>
      <w:r w:rsidR="001A17B4" w:rsidRPr="00BA7D2D">
        <w:t xml:space="preserve">receiving, </w:t>
      </w:r>
      <w:r w:rsidR="00813D0A">
        <w:t xml:space="preserve">and to </w:t>
      </w:r>
      <w:r w:rsidR="0018383F">
        <w:t xml:space="preserve">ensure </w:t>
      </w:r>
      <w:r w:rsidR="00813D0A">
        <w:t xml:space="preserve">that customers are not harmed as a result of the </w:t>
      </w:r>
      <w:r w:rsidR="00762435">
        <w:t>transaction</w:t>
      </w:r>
      <w:r w:rsidR="00813D0A">
        <w:t xml:space="preserve">, </w:t>
      </w:r>
      <w:r w:rsidR="001A17B4" w:rsidRPr="00BA7D2D">
        <w:t xml:space="preserve">I recommend that </w:t>
      </w:r>
      <w:r w:rsidR="003D3946">
        <w:t>the post-</w:t>
      </w:r>
      <w:r w:rsidR="00762435">
        <w:t>t</w:t>
      </w:r>
      <w:r w:rsidR="003D3946">
        <w:t>ransaction co</w:t>
      </w:r>
      <w:r w:rsidR="007C2F0F">
        <w:t xml:space="preserve">mpany offer stand-alone DSL; and </w:t>
      </w:r>
      <w:r w:rsidR="003D3946">
        <w:t>rate</w:t>
      </w:r>
      <w:r w:rsidR="00813D0A">
        <w:t>s</w:t>
      </w:r>
      <w:r w:rsidR="00813D0A" w:rsidRPr="00BA7D2D">
        <w:t xml:space="preserve"> </w:t>
      </w:r>
      <w:r w:rsidR="001A17B4" w:rsidRPr="00BA7D2D">
        <w:t xml:space="preserve">for DSL services, either as stand-alone DSL service or DSL as part of a services bundle, offered by </w:t>
      </w:r>
      <w:r w:rsidR="00573590">
        <w:t>CenturyLink ILECs or Qwest</w:t>
      </w:r>
      <w:r w:rsidR="003D3946">
        <w:t xml:space="preserve"> </w:t>
      </w:r>
      <w:r w:rsidR="001A17B4" w:rsidRPr="00BA7D2D">
        <w:t xml:space="preserve">shall not be increased above pre-transaction levels for 36 months </w:t>
      </w:r>
      <w:r w:rsidR="00573590">
        <w:t xml:space="preserve">following the closing date </w:t>
      </w:r>
      <w:r w:rsidR="001A17B4" w:rsidRPr="00BA7D2D">
        <w:t xml:space="preserve">of the transaction. </w:t>
      </w:r>
    </w:p>
    <w:p w:rsidR="001A17B4" w:rsidRDefault="001A17B4" w:rsidP="00DB2108">
      <w:pPr>
        <w:pStyle w:val="NoSpacing"/>
        <w:spacing w:line="480" w:lineRule="auto"/>
        <w:ind w:left="720" w:hanging="720"/>
      </w:pPr>
    </w:p>
    <w:p w:rsidR="00DB2108" w:rsidRPr="00BA7D2D" w:rsidRDefault="00DB2108" w:rsidP="00DB2108">
      <w:pPr>
        <w:pStyle w:val="NoSpacing"/>
        <w:spacing w:line="480" w:lineRule="auto"/>
        <w:ind w:left="720" w:hanging="720"/>
        <w:rPr>
          <w:b/>
        </w:rPr>
      </w:pPr>
      <w:r w:rsidRPr="00BA7D2D">
        <w:rPr>
          <w:b/>
        </w:rPr>
        <w:t>Q.</w:t>
      </w:r>
      <w:r w:rsidRPr="00BA7D2D">
        <w:rPr>
          <w:b/>
        </w:rPr>
        <w:tab/>
        <w:t>Please summarize your testimony.</w:t>
      </w:r>
    </w:p>
    <w:p w:rsidR="003550DF" w:rsidRDefault="00DB2108" w:rsidP="003550DF">
      <w:pPr>
        <w:pStyle w:val="NoSpacing"/>
        <w:spacing w:line="480" w:lineRule="auto"/>
        <w:ind w:left="720" w:hanging="720"/>
      </w:pPr>
      <w:r w:rsidRPr="00BA7D2D">
        <w:t>A.</w:t>
      </w:r>
      <w:r w:rsidRPr="00BA7D2D">
        <w:tab/>
      </w:r>
      <w:r w:rsidR="00114DE9" w:rsidRPr="00BA7D2D">
        <w:t>I recommend the Commission impose the following the conditions on the post-</w:t>
      </w:r>
      <w:r w:rsidR="004C3AA3">
        <w:t>t</w:t>
      </w:r>
      <w:r w:rsidR="00114DE9" w:rsidRPr="00BA7D2D">
        <w:t>ransaction company: (1) make DSL available to at least 92</w:t>
      </w:r>
      <w:r w:rsidR="00A1193D">
        <w:t xml:space="preserve"> percent </w:t>
      </w:r>
      <w:r w:rsidR="00114DE9" w:rsidRPr="00BA7D2D">
        <w:t xml:space="preserve">of residential households in </w:t>
      </w:r>
      <w:r w:rsidR="007C2F0F">
        <w:t>each</w:t>
      </w:r>
      <w:r w:rsidR="004C3AA3">
        <w:t xml:space="preserve"> </w:t>
      </w:r>
      <w:r w:rsidR="00F40A3A">
        <w:t>CenturyLink ILEC</w:t>
      </w:r>
      <w:r w:rsidR="007C2F0F">
        <w:t>’s</w:t>
      </w:r>
      <w:r w:rsidR="00F40A3A">
        <w:t xml:space="preserve"> and Qwest</w:t>
      </w:r>
      <w:r w:rsidR="007C2F0F">
        <w:t>’s</w:t>
      </w:r>
      <w:r w:rsidR="00F40A3A">
        <w:t xml:space="preserve"> </w:t>
      </w:r>
      <w:r w:rsidR="0018383F">
        <w:t>service area</w:t>
      </w:r>
      <w:r w:rsidR="00F40A3A">
        <w:t>s</w:t>
      </w:r>
      <w:r w:rsidR="0018383F">
        <w:t xml:space="preserve"> in </w:t>
      </w:r>
      <w:r w:rsidR="00114DE9" w:rsidRPr="00BA7D2D">
        <w:t xml:space="preserve">Washington within </w:t>
      </w:r>
      <w:r w:rsidR="0018383F">
        <w:t>four</w:t>
      </w:r>
      <w:r w:rsidR="0018383F" w:rsidRPr="00BA7D2D">
        <w:t xml:space="preserve"> </w:t>
      </w:r>
      <w:r w:rsidR="00114DE9" w:rsidRPr="00BA7D2D">
        <w:t>years after the transaction</w:t>
      </w:r>
      <w:r w:rsidR="004C3AA3">
        <w:t xml:space="preserve"> closes</w:t>
      </w:r>
      <w:r w:rsidR="00114DE9" w:rsidRPr="00BA7D2D">
        <w:t xml:space="preserve">; (2) at the wire center level, </w:t>
      </w:r>
      <w:r w:rsidR="0018383F">
        <w:t xml:space="preserve">make </w:t>
      </w:r>
      <w:r w:rsidR="00114DE9" w:rsidRPr="00BA7D2D">
        <w:t>D</w:t>
      </w:r>
      <w:r w:rsidR="00A1193D">
        <w:t>SL available to no less than 85 percent</w:t>
      </w:r>
      <w:r w:rsidR="00114DE9" w:rsidRPr="00BA7D2D">
        <w:t xml:space="preserve"> of all residential households in each wire center in Washington within </w:t>
      </w:r>
      <w:r w:rsidR="0018383F">
        <w:t xml:space="preserve">four </w:t>
      </w:r>
      <w:r w:rsidR="00114DE9" w:rsidRPr="00BA7D2D">
        <w:t>years after the transaction</w:t>
      </w:r>
      <w:r w:rsidR="004C3AA3">
        <w:t xml:space="preserve"> closes</w:t>
      </w:r>
      <w:r w:rsidR="00114DE9" w:rsidRPr="00BA7D2D">
        <w:t xml:space="preserve">; (3) submit an initial broadband deployment plan </w:t>
      </w:r>
      <w:r w:rsidR="004C3AA3">
        <w:t xml:space="preserve">within 90 days of the date the transaction closes </w:t>
      </w:r>
      <w:r w:rsidR="00114DE9" w:rsidRPr="00BA7D2D">
        <w:t>and an annual progress report thereafter; (4) provide a minimum speed of 4 Mb</w:t>
      </w:r>
      <w:r w:rsidR="00A1193D">
        <w:t>ps download</w:t>
      </w:r>
      <w:r w:rsidR="004C3AA3">
        <w:t xml:space="preserve"> and</w:t>
      </w:r>
      <w:r w:rsidR="007C2F0F">
        <w:t xml:space="preserve"> </w:t>
      </w:r>
      <w:r w:rsidR="00A1193D">
        <w:t>1 Mbps upload to 85 percent</w:t>
      </w:r>
      <w:r w:rsidR="00114DE9" w:rsidRPr="00BA7D2D">
        <w:t xml:space="preserve"> of residential households </w:t>
      </w:r>
      <w:r w:rsidR="007C2F0F" w:rsidRPr="00BA7D2D">
        <w:t xml:space="preserve">in </w:t>
      </w:r>
      <w:r w:rsidR="007C2F0F">
        <w:t xml:space="preserve">each CenturyLink ILEC’s and Qwest’s service areas </w:t>
      </w:r>
      <w:r w:rsidR="0018383F">
        <w:t xml:space="preserve">in Washington </w:t>
      </w:r>
      <w:r w:rsidR="00114DE9" w:rsidRPr="00BA7D2D">
        <w:t xml:space="preserve">by the end of 2015; (5) </w:t>
      </w:r>
      <w:r w:rsidR="003D3946">
        <w:t xml:space="preserve">offer stand-alone DSL; </w:t>
      </w:r>
      <w:r w:rsidR="004C3AA3">
        <w:t xml:space="preserve">and </w:t>
      </w:r>
      <w:r w:rsidR="003D3946">
        <w:t>(6)</w:t>
      </w:r>
      <w:r w:rsidR="007C2F0F">
        <w:t xml:space="preserve"> </w:t>
      </w:r>
      <w:r w:rsidR="00114DE9" w:rsidRPr="00BA7D2D">
        <w:t>cap the rates of existing DSL-related service plans at the current level for 36 months</w:t>
      </w:r>
      <w:r w:rsidR="007C2F0F">
        <w:t xml:space="preserve"> after the transaction closes</w:t>
      </w:r>
      <w:r w:rsidR="00114DE9" w:rsidRPr="00BA7D2D">
        <w:t xml:space="preserve">. </w:t>
      </w:r>
    </w:p>
    <w:p w:rsidR="00DB2108" w:rsidRPr="00BA7D2D" w:rsidRDefault="00DB2108" w:rsidP="00DB2108">
      <w:pPr>
        <w:pStyle w:val="NoSpacing"/>
        <w:spacing w:line="480" w:lineRule="auto"/>
        <w:ind w:left="720" w:hanging="720"/>
      </w:pPr>
      <w:r w:rsidRPr="00BA7D2D">
        <w:t xml:space="preserve"> </w:t>
      </w:r>
    </w:p>
    <w:p w:rsidR="00DB2108" w:rsidRPr="00BA7D2D" w:rsidRDefault="00DB2108" w:rsidP="00DB2108">
      <w:pPr>
        <w:pStyle w:val="NoSpacing"/>
        <w:spacing w:line="480" w:lineRule="auto"/>
        <w:ind w:left="720" w:hanging="720"/>
        <w:rPr>
          <w:b/>
        </w:rPr>
      </w:pPr>
      <w:r w:rsidRPr="00BA7D2D">
        <w:rPr>
          <w:b/>
        </w:rPr>
        <w:t>Q.</w:t>
      </w:r>
      <w:r w:rsidRPr="00BA7D2D">
        <w:rPr>
          <w:b/>
        </w:rPr>
        <w:tab/>
        <w:t>Does this conclude your testimony?</w:t>
      </w:r>
    </w:p>
    <w:p w:rsidR="00DB2108" w:rsidRPr="00BA7D2D" w:rsidRDefault="00DB2108" w:rsidP="00DB2108">
      <w:pPr>
        <w:pStyle w:val="NoSpacing"/>
        <w:spacing w:line="480" w:lineRule="auto"/>
        <w:ind w:left="720" w:hanging="720"/>
      </w:pPr>
      <w:r w:rsidRPr="00BA7D2D">
        <w:t>A.</w:t>
      </w:r>
      <w:r w:rsidRPr="00BA7D2D">
        <w:tab/>
        <w:t xml:space="preserve">Yes.  </w:t>
      </w:r>
    </w:p>
    <w:p w:rsidR="00DB2108" w:rsidRPr="00BA7D2D" w:rsidRDefault="00DB2108" w:rsidP="00DB2108">
      <w:pPr>
        <w:pStyle w:val="NoSpacing"/>
        <w:spacing w:line="480" w:lineRule="auto"/>
        <w:ind w:left="720" w:hanging="720"/>
      </w:pPr>
    </w:p>
    <w:p w:rsidR="00E40602" w:rsidRPr="00BA7D2D" w:rsidRDefault="00E40602" w:rsidP="00C82A9C">
      <w:pPr>
        <w:spacing w:after="0" w:line="240" w:lineRule="auto"/>
        <w:rPr>
          <w:rFonts w:ascii="Times New Roman" w:hAnsi="Times New Roman" w:cs="Times New Roman"/>
          <w:sz w:val="24"/>
          <w:szCs w:val="24"/>
        </w:rPr>
      </w:pPr>
    </w:p>
    <w:sectPr w:rsidR="00E40602" w:rsidRPr="00BA7D2D" w:rsidSect="009E6939">
      <w:footerReference w:type="default" r:id="rId1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6C" w:rsidRDefault="0048446C" w:rsidP="00DB2108">
      <w:pPr>
        <w:spacing w:after="0" w:line="240" w:lineRule="auto"/>
      </w:pPr>
      <w:r>
        <w:separator/>
      </w:r>
    </w:p>
  </w:endnote>
  <w:endnote w:type="continuationSeparator" w:id="0">
    <w:p w:rsidR="0048446C" w:rsidRDefault="0048446C" w:rsidP="00DB2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Pr="00557C40" w:rsidRDefault="0048446C" w:rsidP="00DB2108">
    <w:pPr>
      <w:pStyle w:val="Footer"/>
      <w:rPr>
        <w:sz w:val="22"/>
      </w:rPr>
    </w:pPr>
    <w:r w:rsidRPr="00557C40">
      <w:rPr>
        <w:sz w:val="22"/>
      </w:rPr>
      <w:t xml:space="preserve">TESTIMONY OF </w:t>
    </w:r>
    <w:r>
      <w:rPr>
        <w:sz w:val="22"/>
      </w:rPr>
      <w:t xml:space="preserve">JING LIU  </w:t>
    </w:r>
    <w:r>
      <w:rPr>
        <w:sz w:val="22"/>
      </w:rPr>
      <w:tab/>
    </w:r>
    <w:r>
      <w:rPr>
        <w:sz w:val="22"/>
      </w:rPr>
      <w:tab/>
      <w:t>Exhibit No. ___ HC</w:t>
    </w:r>
    <w:r w:rsidRPr="00557C40">
      <w:rPr>
        <w:sz w:val="22"/>
      </w:rPr>
      <w:t>T (</w:t>
    </w:r>
    <w:proofErr w:type="spellStart"/>
    <w:r w:rsidRPr="00557C40">
      <w:rPr>
        <w:sz w:val="22"/>
      </w:rPr>
      <w:t>J</w:t>
    </w:r>
    <w:r>
      <w:rPr>
        <w:sz w:val="22"/>
      </w:rPr>
      <w:t>L</w:t>
    </w:r>
    <w:proofErr w:type="spellEnd"/>
    <w:r w:rsidRPr="00557C40">
      <w:rPr>
        <w:sz w:val="22"/>
      </w:rPr>
      <w:t>-1</w:t>
    </w:r>
    <w:r>
      <w:rPr>
        <w:sz w:val="22"/>
      </w:rPr>
      <w:t>HC</w:t>
    </w:r>
    <w:r w:rsidRPr="00557C40">
      <w:rPr>
        <w:sz w:val="22"/>
      </w:rPr>
      <w:t xml:space="preserve">T) </w:t>
    </w:r>
    <w:r w:rsidRPr="00557C40">
      <w:rPr>
        <w:sz w:val="22"/>
      </w:rPr>
      <w:br/>
      <w:t>Docket No.  UT-</w:t>
    </w:r>
    <w:r>
      <w:rPr>
        <w:sz w:val="22"/>
      </w:rPr>
      <w:t>100820</w:t>
    </w:r>
    <w:r w:rsidRPr="00557C40">
      <w:rPr>
        <w:sz w:val="22"/>
      </w:rPr>
      <w:tab/>
    </w:r>
    <w:r w:rsidRPr="00557C40">
      <w:rPr>
        <w:sz w:val="22"/>
      </w:rPr>
      <w:tab/>
      <w:t xml:space="preserve">Page </w:t>
    </w:r>
    <w:r w:rsidR="003D577C" w:rsidRPr="00557C40">
      <w:rPr>
        <w:rStyle w:val="PageNumber"/>
        <w:sz w:val="22"/>
      </w:rPr>
      <w:fldChar w:fldCharType="begin"/>
    </w:r>
    <w:r w:rsidRPr="00557C40">
      <w:rPr>
        <w:rStyle w:val="PageNumber"/>
        <w:sz w:val="22"/>
      </w:rPr>
      <w:instrText xml:space="preserve"> PAGE </w:instrText>
    </w:r>
    <w:r w:rsidR="003D577C" w:rsidRPr="00557C40">
      <w:rPr>
        <w:rStyle w:val="PageNumber"/>
        <w:sz w:val="22"/>
      </w:rPr>
      <w:fldChar w:fldCharType="separate"/>
    </w:r>
    <w:r>
      <w:rPr>
        <w:rStyle w:val="PageNumber"/>
        <w:noProof/>
        <w:sz w:val="22"/>
      </w:rPr>
      <w:t>i</w:t>
    </w:r>
    <w:r w:rsidR="003D577C" w:rsidRPr="00557C40">
      <w:rPr>
        <w:rStyle w:val="PageNumber"/>
        <w:sz w:val="22"/>
      </w:rPr>
      <w:fldChar w:fldCharType="end"/>
    </w:r>
  </w:p>
  <w:p w:rsidR="0048446C" w:rsidRPr="008404D4" w:rsidRDefault="0048446C" w:rsidP="00DB210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DB2108">
    <w:pPr>
      <w:pStyle w:val="Footer"/>
      <w:tabs>
        <w:tab w:val="clear" w:pos="9360"/>
        <w:tab w:val="right" w:pos="8910"/>
      </w:tabs>
      <w:spacing w:after="0" w:line="240" w:lineRule="auto"/>
      <w:ind w:right="-72"/>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16</w:t>
    </w:r>
    <w:r w:rsidR="003D577C" w:rsidRPr="00412690">
      <w:rPr>
        <w:rStyle w:val="PageNumber"/>
        <w:sz w:val="20"/>
        <w:szCs w:val="20"/>
      </w:rPr>
      <w:fldChar w:fldCharType="end"/>
    </w:r>
  </w:p>
  <w:p w:rsidR="0048446C" w:rsidRPr="00C048E1" w:rsidRDefault="0048446C" w:rsidP="002875B7">
    <w:pPr>
      <w:pStyle w:val="Footer"/>
      <w:tabs>
        <w:tab w:val="clear" w:pos="4680"/>
        <w:tab w:val="clear" w:pos="9360"/>
        <w:tab w:val="left" w:pos="2310"/>
        <w:tab w:val="right" w:pos="9450"/>
      </w:tabs>
      <w:spacing w:after="0" w:line="240" w:lineRule="auto"/>
      <w:jc w:val="center"/>
      <w:rPr>
        <w:b/>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Pr="007525A5" w:rsidRDefault="0048446C" w:rsidP="00DB2108">
    <w:pPr>
      <w:pStyle w:val="Footer"/>
      <w:jc w:val="center"/>
      <w:rPr>
        <w:b/>
      </w:rPr>
    </w:pPr>
    <w:r>
      <w:rPr>
        <w:b/>
      </w:rPr>
      <w:t>HIGHLY CONFIDENTIAL PER PROTECTIVE ORDER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Pr="00412690" w:rsidRDefault="0048446C" w:rsidP="00DB2108">
    <w:pPr>
      <w:pStyle w:val="Footer"/>
      <w:tabs>
        <w:tab w:val="clear" w:pos="9360"/>
        <w:tab w:val="right" w:pos="8910"/>
      </w:tabs>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DB2108">
    <w:pPr>
      <w:pStyle w:val="Footer"/>
      <w:tabs>
        <w:tab w:val="right" w:pos="8910"/>
      </w:tabs>
      <w:spacing w:after="0" w:line="240" w:lineRule="auto"/>
      <w:rPr>
        <w:sz w:val="20"/>
        <w:szCs w:val="20"/>
      </w:rPr>
    </w:pPr>
    <w:r w:rsidRPr="00412690">
      <w:rPr>
        <w:sz w:val="20"/>
        <w:szCs w:val="20"/>
      </w:rPr>
      <w:t>Docket UT-090842</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i</w:t>
    </w:r>
    <w:r w:rsidR="003D577C" w:rsidRPr="00412690">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2875B7">
    <w:pPr>
      <w:pStyle w:val="Footer"/>
      <w:spacing w:after="0" w:line="240" w:lineRule="auto"/>
      <w:ind w:right="-72"/>
      <w:rPr>
        <w:sz w:val="20"/>
        <w:szCs w:val="20"/>
      </w:rPr>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6</w:t>
    </w:r>
    <w:r w:rsidR="003D577C" w:rsidRPr="00412690">
      <w:rPr>
        <w:rStyle w:val="PageNumber"/>
        <w:sz w:val="20"/>
        <w:szCs w:val="20"/>
      </w:rPr>
      <w:fldChar w:fldCharType="end"/>
    </w:r>
  </w:p>
  <w:p w:rsidR="0048446C" w:rsidRPr="00C048E1" w:rsidRDefault="0048446C" w:rsidP="00C048E1">
    <w:pPr>
      <w:pStyle w:val="Footer"/>
      <w:tabs>
        <w:tab w:val="clear" w:pos="4680"/>
        <w:tab w:val="clear" w:pos="9360"/>
        <w:tab w:val="left" w:pos="2310"/>
      </w:tabs>
      <w:spacing w:after="0" w:line="240" w:lineRule="auto"/>
      <w:jc w:val="center"/>
      <w:rPr>
        <w:b/>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DB2108">
    <w:pPr>
      <w:pStyle w:val="Footer"/>
      <w:tabs>
        <w:tab w:val="clear" w:pos="9360"/>
        <w:tab w:val="right" w:pos="8910"/>
      </w:tabs>
      <w:spacing w:after="0" w:line="240" w:lineRule="auto"/>
      <w:ind w:right="-72"/>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9</w:t>
    </w:r>
    <w:r w:rsidR="003D577C" w:rsidRPr="00412690">
      <w:rPr>
        <w:rStyle w:val="PageNumber"/>
        <w:sz w:val="20"/>
        <w:szCs w:val="20"/>
      </w:rPr>
      <w:fldChar w:fldCharType="end"/>
    </w:r>
  </w:p>
  <w:p w:rsidR="0048446C" w:rsidRPr="00C048E1" w:rsidRDefault="0048446C" w:rsidP="00C048E1">
    <w:pPr>
      <w:pStyle w:val="Footer"/>
      <w:tabs>
        <w:tab w:val="clear" w:pos="4680"/>
        <w:tab w:val="clear" w:pos="9360"/>
        <w:tab w:val="left" w:pos="2310"/>
      </w:tabs>
      <w:spacing w:after="0" w:line="240" w:lineRule="auto"/>
      <w:jc w:val="center"/>
      <w:rPr>
        <w:b/>
        <w:szCs w:val="24"/>
      </w:rPr>
    </w:pPr>
    <w:r w:rsidRPr="00C048E1">
      <w:rPr>
        <w:b/>
        <w:szCs w:val="24"/>
      </w:rPr>
      <w:t>HIGHLY CONFIDENTIAL PER PROTECTIVE ORDER</w:t>
    </w:r>
    <w:r>
      <w:rPr>
        <w:b/>
        <w:szCs w:val="24"/>
      </w:rPr>
      <w:t xml:space="preserve"> – REDACTED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DB2108">
    <w:pPr>
      <w:pStyle w:val="Footer"/>
      <w:tabs>
        <w:tab w:val="clear" w:pos="9360"/>
        <w:tab w:val="right" w:pos="8910"/>
      </w:tabs>
      <w:spacing w:after="0" w:line="240" w:lineRule="auto"/>
      <w:ind w:right="-72"/>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10</w:t>
    </w:r>
    <w:r w:rsidR="003D577C" w:rsidRPr="00412690">
      <w:rPr>
        <w:rStyle w:val="PageNumber"/>
        <w:sz w:val="20"/>
        <w:szCs w:val="20"/>
      </w:rPr>
      <w:fldChar w:fldCharType="end"/>
    </w:r>
  </w:p>
  <w:p w:rsidR="0048446C" w:rsidRPr="00C048E1" w:rsidRDefault="0048446C" w:rsidP="00C048E1">
    <w:pPr>
      <w:pStyle w:val="Footer"/>
      <w:tabs>
        <w:tab w:val="clear" w:pos="4680"/>
        <w:tab w:val="clear" w:pos="9360"/>
        <w:tab w:val="left" w:pos="2310"/>
      </w:tabs>
      <w:spacing w:after="0" w:line="240" w:lineRule="auto"/>
      <w:jc w:val="center"/>
      <w:rPr>
        <w:b/>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DB2108">
    <w:pPr>
      <w:pStyle w:val="Footer"/>
      <w:tabs>
        <w:tab w:val="clear" w:pos="9360"/>
        <w:tab w:val="right" w:pos="8910"/>
      </w:tabs>
      <w:spacing w:after="0" w:line="240" w:lineRule="auto"/>
      <w:ind w:right="-72"/>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11</w:t>
    </w:r>
    <w:r w:rsidR="003D577C" w:rsidRPr="00412690">
      <w:rPr>
        <w:rStyle w:val="PageNumber"/>
        <w:sz w:val="20"/>
        <w:szCs w:val="20"/>
      </w:rPr>
      <w:fldChar w:fldCharType="end"/>
    </w:r>
  </w:p>
  <w:p w:rsidR="0048446C" w:rsidRPr="00412690" w:rsidRDefault="0048446C" w:rsidP="00DB2108">
    <w:pPr>
      <w:pStyle w:val="Footer"/>
      <w:tabs>
        <w:tab w:val="right" w:pos="8910"/>
      </w:tabs>
      <w:spacing w:after="0" w:line="240" w:lineRule="auto"/>
      <w:rPr>
        <w:rStyle w:val="PageNumber"/>
        <w:sz w:val="20"/>
        <w:szCs w:val="20"/>
      </w:rPr>
    </w:pPr>
  </w:p>
  <w:p w:rsidR="0048446C" w:rsidRPr="00C048E1" w:rsidRDefault="0048446C" w:rsidP="00C048E1">
    <w:pPr>
      <w:pStyle w:val="Footer"/>
      <w:tabs>
        <w:tab w:val="clear" w:pos="4680"/>
        <w:tab w:val="clear" w:pos="9360"/>
        <w:tab w:val="left" w:pos="2310"/>
      </w:tabs>
      <w:spacing w:after="0" w:line="240" w:lineRule="auto"/>
      <w:jc w:val="center"/>
      <w:rPr>
        <w:b/>
        <w:szCs w:val="24"/>
      </w:rPr>
    </w:pPr>
    <w:r>
      <w:rPr>
        <w:b/>
        <w:szCs w:val="24"/>
      </w:rPr>
      <w:t xml:space="preserve">HIGHLY CONFIDENTIAL PER PROTECTIVE ORDER – </w:t>
    </w:r>
    <w:r w:rsidR="00FB5B37">
      <w:rPr>
        <w:b/>
        <w:szCs w:val="24"/>
      </w:rPr>
      <w:t>REDACTED</w:t>
    </w:r>
    <w:r>
      <w:rPr>
        <w:b/>
        <w:szCs w:val="24"/>
      </w:rPr>
      <w:t xml:space="preserve">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Pr="00412690"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12</w:t>
    </w:r>
    <w:r w:rsidR="003D577C" w:rsidRPr="00412690">
      <w:rPr>
        <w:rStyle w:val="PageNumber"/>
        <w:sz w:val="20"/>
        <w:szCs w:val="20"/>
      </w:rPr>
      <w:fldChar w:fldCharType="end"/>
    </w:r>
  </w:p>
  <w:p w:rsidR="0048446C" w:rsidRPr="00C048E1" w:rsidRDefault="0048446C" w:rsidP="002875B7">
    <w:pPr>
      <w:pStyle w:val="Footer"/>
      <w:tabs>
        <w:tab w:val="clear" w:pos="4680"/>
        <w:tab w:val="left" w:pos="2310"/>
      </w:tabs>
      <w:spacing w:after="0" w:line="240" w:lineRule="auto"/>
      <w:jc w:val="center"/>
      <w:rPr>
        <w:b/>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rsidP="00DB2108">
    <w:pPr>
      <w:pStyle w:val="Footer"/>
      <w:tabs>
        <w:tab w:val="clear" w:pos="9360"/>
        <w:tab w:val="right" w:pos="8910"/>
      </w:tabs>
      <w:spacing w:after="0" w:line="240" w:lineRule="auto"/>
      <w:ind w:right="-72"/>
    </w:pPr>
  </w:p>
  <w:p w:rsidR="0048446C" w:rsidRPr="00412690" w:rsidRDefault="0048446C" w:rsidP="002875B7">
    <w:pPr>
      <w:pStyle w:val="Footer"/>
      <w:spacing w:after="0" w:line="240" w:lineRule="auto"/>
      <w:ind w:right="-72"/>
      <w:rPr>
        <w:sz w:val="20"/>
        <w:szCs w:val="20"/>
      </w:rPr>
    </w:pPr>
    <w:r w:rsidRPr="00412690">
      <w:rPr>
        <w:sz w:val="20"/>
        <w:szCs w:val="20"/>
      </w:rPr>
      <w:t>TESTIMONY OF JING LIU</w:t>
    </w:r>
    <w:r w:rsidRPr="00412690">
      <w:rPr>
        <w:sz w:val="20"/>
        <w:szCs w:val="20"/>
      </w:rPr>
      <w:tab/>
    </w:r>
    <w:r w:rsidRPr="00412690">
      <w:rPr>
        <w:sz w:val="20"/>
        <w:szCs w:val="20"/>
      </w:rPr>
      <w:tab/>
      <w:t>Exhibit No. ___ HCT (</w:t>
    </w:r>
    <w:proofErr w:type="spellStart"/>
    <w:r w:rsidRPr="00412690">
      <w:rPr>
        <w:sz w:val="20"/>
        <w:szCs w:val="20"/>
      </w:rPr>
      <w:t>JL</w:t>
    </w:r>
    <w:proofErr w:type="spellEnd"/>
    <w:r w:rsidRPr="00412690">
      <w:rPr>
        <w:sz w:val="20"/>
        <w:szCs w:val="20"/>
      </w:rPr>
      <w:t>-1HCT)</w:t>
    </w:r>
  </w:p>
  <w:p w:rsidR="0048446C" w:rsidRDefault="0048446C" w:rsidP="002875B7">
    <w:pPr>
      <w:pStyle w:val="Footer"/>
      <w:spacing w:after="0" w:line="240" w:lineRule="auto"/>
      <w:rPr>
        <w:rStyle w:val="PageNumber"/>
        <w:sz w:val="20"/>
        <w:szCs w:val="20"/>
      </w:rPr>
    </w:pPr>
    <w:r w:rsidRPr="00412690">
      <w:rPr>
        <w:sz w:val="20"/>
        <w:szCs w:val="20"/>
      </w:rPr>
      <w:t>Docket UT-100820</w:t>
    </w:r>
    <w:r w:rsidRPr="00412690">
      <w:rPr>
        <w:sz w:val="20"/>
        <w:szCs w:val="20"/>
        <w:lang w:val="fr-FR"/>
      </w:rPr>
      <w:tab/>
    </w:r>
    <w:r w:rsidRPr="00412690">
      <w:rPr>
        <w:sz w:val="20"/>
        <w:szCs w:val="20"/>
        <w:lang w:val="fr-FR"/>
      </w:rPr>
      <w:tab/>
      <w:t xml:space="preserve">Page </w:t>
    </w:r>
    <w:r w:rsidR="003D577C" w:rsidRPr="00412690">
      <w:rPr>
        <w:rStyle w:val="PageNumber"/>
        <w:sz w:val="20"/>
        <w:szCs w:val="20"/>
      </w:rPr>
      <w:fldChar w:fldCharType="begin"/>
    </w:r>
    <w:r w:rsidRPr="00412690">
      <w:rPr>
        <w:rStyle w:val="PageNumber"/>
        <w:sz w:val="20"/>
        <w:szCs w:val="20"/>
        <w:lang w:val="fr-FR"/>
      </w:rPr>
      <w:instrText xml:space="preserve"> PAGE </w:instrText>
    </w:r>
    <w:r w:rsidR="003D577C" w:rsidRPr="00412690">
      <w:rPr>
        <w:rStyle w:val="PageNumber"/>
        <w:sz w:val="20"/>
        <w:szCs w:val="20"/>
      </w:rPr>
      <w:fldChar w:fldCharType="separate"/>
    </w:r>
    <w:r w:rsidR="00EE7CD3">
      <w:rPr>
        <w:rStyle w:val="PageNumber"/>
        <w:noProof/>
        <w:sz w:val="20"/>
        <w:szCs w:val="20"/>
        <w:lang w:val="fr-FR"/>
      </w:rPr>
      <w:t>13</w:t>
    </w:r>
    <w:r w:rsidR="003D577C" w:rsidRPr="00412690">
      <w:rPr>
        <w:rStyle w:val="PageNumber"/>
        <w:sz w:val="20"/>
        <w:szCs w:val="20"/>
      </w:rPr>
      <w:fldChar w:fldCharType="end"/>
    </w:r>
  </w:p>
  <w:p w:rsidR="0048446C" w:rsidRPr="00412690" w:rsidRDefault="0048446C" w:rsidP="002875B7">
    <w:pPr>
      <w:pStyle w:val="Footer"/>
      <w:spacing w:after="0" w:line="240" w:lineRule="auto"/>
      <w:rPr>
        <w:rStyle w:val="PageNumber"/>
        <w:sz w:val="20"/>
        <w:szCs w:val="20"/>
      </w:rPr>
    </w:pPr>
  </w:p>
  <w:p w:rsidR="0048446C" w:rsidRPr="00C048E1" w:rsidRDefault="0048446C" w:rsidP="00C048E1">
    <w:pPr>
      <w:pStyle w:val="Footer"/>
      <w:tabs>
        <w:tab w:val="clear" w:pos="4680"/>
        <w:tab w:val="clear" w:pos="9360"/>
        <w:tab w:val="left" w:pos="2310"/>
      </w:tabs>
      <w:spacing w:after="0" w:line="240" w:lineRule="auto"/>
      <w:jc w:val="center"/>
      <w:rPr>
        <w:b/>
        <w:szCs w:val="24"/>
      </w:rPr>
    </w:pPr>
    <w:r>
      <w:rPr>
        <w:b/>
        <w:szCs w:val="24"/>
      </w:rPr>
      <w:t xml:space="preserve">HIGHLY CONFIDENTIAL PER PROTECTIVE ORDER – </w:t>
    </w:r>
    <w:r w:rsidR="00FB5B37">
      <w:rPr>
        <w:b/>
        <w:szCs w:val="24"/>
      </w:rPr>
      <w:t>REDACTED</w:t>
    </w:r>
    <w:r>
      <w:rPr>
        <w:b/>
        <w:szCs w:val="24"/>
      </w:rPr>
      <w:t xml:space="preserve">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6C" w:rsidRDefault="0048446C" w:rsidP="00DB2108">
      <w:pPr>
        <w:spacing w:after="0" w:line="240" w:lineRule="auto"/>
      </w:pPr>
      <w:r>
        <w:separator/>
      </w:r>
    </w:p>
  </w:footnote>
  <w:footnote w:type="continuationSeparator" w:id="0">
    <w:p w:rsidR="0048446C" w:rsidRDefault="0048446C" w:rsidP="00DB2108">
      <w:pPr>
        <w:spacing w:after="0" w:line="240" w:lineRule="auto"/>
      </w:pPr>
      <w:r>
        <w:continuationSeparator/>
      </w:r>
    </w:p>
  </w:footnote>
  <w:footnote w:id="1">
    <w:p w:rsidR="0048446C" w:rsidRDefault="0048446C" w:rsidP="00857550">
      <w:pPr>
        <w:pStyle w:val="FootnoteText"/>
        <w:spacing w:after="0" w:line="240" w:lineRule="auto"/>
      </w:pPr>
      <w:r>
        <w:rPr>
          <w:rStyle w:val="FootnoteReference"/>
        </w:rPr>
        <w:footnoteRef/>
      </w:r>
      <w:r>
        <w:t xml:space="preserve"> Joint Application at </w:t>
      </w:r>
      <w:proofErr w:type="spellStart"/>
      <w:r>
        <w:t>p.10</w:t>
      </w:r>
      <w:proofErr w:type="spellEnd"/>
      <w:r>
        <w:t xml:space="preserve">, ¶19. </w:t>
      </w:r>
    </w:p>
  </w:footnote>
  <w:footnote w:id="2">
    <w:p w:rsidR="0048446C" w:rsidRDefault="0048446C" w:rsidP="00857550">
      <w:pPr>
        <w:pStyle w:val="FootnoteText"/>
        <w:spacing w:after="0" w:line="240" w:lineRule="auto"/>
      </w:pPr>
      <w:r>
        <w:rPr>
          <w:rStyle w:val="FootnoteReference"/>
        </w:rPr>
        <w:footnoteRef/>
      </w:r>
      <w:r>
        <w:t xml:space="preserve"> The ILECs are CenturyTel of Washington, Inc., CenturyTel of Inter-Island, Inc., CenturyTel of </w:t>
      </w:r>
      <w:proofErr w:type="spellStart"/>
      <w:r>
        <w:t>Cowiche</w:t>
      </w:r>
      <w:proofErr w:type="spellEnd"/>
      <w:r>
        <w:t>, Inc. and United Telephone Company of the Northwest, (collectively the CenturyLink ILECs) and Qwest Corporation (Qwest).</w:t>
      </w:r>
    </w:p>
  </w:footnote>
  <w:footnote w:id="3">
    <w:p w:rsidR="0048446C" w:rsidRDefault="0048446C" w:rsidP="00857550">
      <w:pPr>
        <w:pStyle w:val="FootnoteText"/>
        <w:spacing w:after="0" w:line="240" w:lineRule="auto"/>
      </w:pPr>
      <w:r>
        <w:rPr>
          <w:rStyle w:val="FootnoteReference"/>
        </w:rPr>
        <w:footnoteRef/>
      </w:r>
      <w:r>
        <w:t xml:space="preserve"> Direct Testimony of Mark Reynolds at 24:3-9.</w:t>
      </w:r>
    </w:p>
  </w:footnote>
  <w:footnote w:id="4">
    <w:p w:rsidR="0048446C" w:rsidRDefault="0048446C" w:rsidP="00857550">
      <w:pPr>
        <w:pStyle w:val="FootnoteText"/>
        <w:spacing w:after="0" w:line="240" w:lineRule="auto"/>
      </w:pPr>
      <w:r>
        <w:rPr>
          <w:rStyle w:val="FootnoteReference"/>
        </w:rPr>
        <w:footnoteRef/>
      </w:r>
      <w:r>
        <w:t xml:space="preserve"> Direct Testimony of John Jones at 9:1-6. </w:t>
      </w:r>
    </w:p>
  </w:footnote>
  <w:footnote w:id="5">
    <w:p w:rsidR="0048446C" w:rsidRDefault="0048446C" w:rsidP="00857550">
      <w:pPr>
        <w:pStyle w:val="FootnoteText"/>
        <w:spacing w:after="0" w:line="240" w:lineRule="auto"/>
      </w:pPr>
      <w:r>
        <w:rPr>
          <w:rStyle w:val="FootnoteReference"/>
        </w:rPr>
        <w:footnoteRef/>
      </w:r>
      <w:r>
        <w:t xml:space="preserve"> Docket </w:t>
      </w:r>
      <w:r w:rsidRPr="00090F19">
        <w:t>UT-061625</w:t>
      </w:r>
      <w:r>
        <w:t xml:space="preserve">, </w:t>
      </w:r>
      <w:r w:rsidRPr="00204553">
        <w:rPr>
          <w:i/>
        </w:rPr>
        <w:t xml:space="preserve">In the Matter of the Petition of </w:t>
      </w:r>
      <w:r w:rsidRPr="00204553">
        <w:rPr>
          <w:i/>
        </w:rPr>
        <w:tab/>
        <w:t>Qwest Corporation For an Alternative Form of Regulation Pursuant to RCW 80.36.135</w:t>
      </w:r>
      <w:r>
        <w:t>, Order 06, at ¶¶29-42.</w:t>
      </w:r>
    </w:p>
  </w:footnote>
  <w:footnote w:id="6">
    <w:p w:rsidR="0048446C" w:rsidRDefault="0048446C" w:rsidP="00857550">
      <w:pPr>
        <w:pStyle w:val="FootnoteText"/>
        <w:spacing w:after="0" w:line="240" w:lineRule="auto"/>
      </w:pPr>
      <w:r>
        <w:rPr>
          <w:rStyle w:val="FootnoteReference"/>
        </w:rPr>
        <w:footnoteRef/>
      </w:r>
      <w:r>
        <w:t xml:space="preserve"> UT-082119, </w:t>
      </w:r>
      <w:r>
        <w:rPr>
          <w:i/>
        </w:rPr>
        <w:t>In the Matter of the Joint Application of Embarq Corporation and CenturyTel, Inc. for Approval of Transfer of Control of United Telephone Company of the Northwest d/b/a Embarq and Embarq Communications, Inc.</w:t>
      </w:r>
      <w:r>
        <w:t>, Order 05, Appendix 1 Settlement Agreement at Condition 8.</w:t>
      </w:r>
    </w:p>
  </w:footnote>
  <w:footnote w:id="7">
    <w:p w:rsidR="0048446C" w:rsidRPr="00AA1264" w:rsidRDefault="0048446C" w:rsidP="00857550">
      <w:pPr>
        <w:pStyle w:val="FootnoteText"/>
        <w:spacing w:after="0" w:line="240" w:lineRule="auto"/>
      </w:pPr>
      <w:r>
        <w:rPr>
          <w:rStyle w:val="FootnoteReference"/>
        </w:rPr>
        <w:footnoteRef/>
      </w:r>
      <w:r>
        <w:t xml:space="preserve"> </w:t>
      </w:r>
      <w:r w:rsidRPr="008D4510">
        <w:t xml:space="preserve">UT-090842, </w:t>
      </w:r>
      <w:r w:rsidRPr="008D4510">
        <w:rPr>
          <w:i/>
        </w:rPr>
        <w:t>In the Matter of the Joint Application of Verizon Communications, Inc., and Frontier Communications Corporation for an Order Declining to Assert Jurisdiction Over, or in the Alternative, Approving the Indirect Transfer of Control of Verizon Northwest, Inc.</w:t>
      </w:r>
      <w:r w:rsidRPr="008D4510">
        <w:t>, Order 06, Appendix A Settlement Agreement between UTC Staff and Joint Applicants at Conditions 13-18</w:t>
      </w:r>
      <w:r w:rsidRPr="00405B99">
        <w:t>.</w:t>
      </w:r>
      <w:r>
        <w:t xml:space="preserve"> </w:t>
      </w:r>
    </w:p>
  </w:footnote>
  <w:footnote w:id="8">
    <w:p w:rsidR="0048446C" w:rsidRDefault="0048446C" w:rsidP="00857550">
      <w:pPr>
        <w:pStyle w:val="FootnoteText"/>
        <w:spacing w:after="0" w:line="240" w:lineRule="auto"/>
      </w:pPr>
      <w:r>
        <w:rPr>
          <w:rStyle w:val="FootnoteReference"/>
        </w:rPr>
        <w:footnoteRef/>
      </w:r>
      <w:r>
        <w:t xml:space="preserve"> Joint Application at </w:t>
      </w:r>
      <w:proofErr w:type="spellStart"/>
      <w:r w:rsidRPr="007F08F6">
        <w:t>p.9</w:t>
      </w:r>
      <w:proofErr w:type="spellEnd"/>
      <w:r w:rsidRPr="007F08F6">
        <w:t>, ¶18.</w:t>
      </w:r>
      <w:r>
        <w:t xml:space="preserve"> </w:t>
      </w:r>
    </w:p>
  </w:footnote>
  <w:footnote w:id="9">
    <w:p w:rsidR="0048446C" w:rsidRDefault="0048446C" w:rsidP="00857550">
      <w:pPr>
        <w:pStyle w:val="FootnoteText"/>
        <w:spacing w:after="0" w:line="240" w:lineRule="auto"/>
      </w:pPr>
      <w:r>
        <w:rPr>
          <w:rStyle w:val="FootnoteReference"/>
        </w:rPr>
        <w:footnoteRef/>
      </w:r>
      <w:r>
        <w:t xml:space="preserve"> Other intervening factors such as geographical features, types and histories of community, and local economic development may explain the varying degree of broadband availability across sparsely populated rural areas. </w:t>
      </w:r>
    </w:p>
  </w:footnote>
  <w:footnote w:id="10">
    <w:p w:rsidR="0048446C" w:rsidRDefault="0048446C" w:rsidP="00DA12D6">
      <w:pPr>
        <w:pStyle w:val="FootnoteText"/>
        <w:spacing w:after="0" w:line="240" w:lineRule="auto"/>
      </w:pPr>
      <w:r>
        <w:rPr>
          <w:rStyle w:val="FootnoteReference"/>
        </w:rPr>
        <w:footnoteRef/>
      </w:r>
      <w:r>
        <w:t xml:space="preserve"> According to the Washington State Office of Financial Management, only six out of 39 counties have a median household income higher than the state average.  See </w:t>
      </w:r>
      <w:r w:rsidRPr="00330B6B">
        <w:t>http://www.ofm.wa.gov/economy/hhinc/</w:t>
      </w:r>
      <w:r>
        <w:t xml:space="preserve">.  They are King, Kitsap, Pierce, San Juan, Snohomish and Thurston, all located in western Washington.  Qwest serves a big portion of King, Kitsap, Pierce and Thurston counties.  The median household income of all the other counties, including the majority of CenturyLink’s service areas, is below the state median. </w:t>
      </w:r>
    </w:p>
  </w:footnote>
  <w:footnote w:id="11">
    <w:p w:rsidR="0048446C" w:rsidRDefault="0048446C" w:rsidP="00DA12D6">
      <w:pPr>
        <w:pStyle w:val="FootnoteText"/>
        <w:spacing w:after="0" w:line="240" w:lineRule="auto"/>
      </w:pPr>
      <w:r>
        <w:rPr>
          <w:rStyle w:val="FootnoteReference"/>
        </w:rPr>
        <w:footnoteRef/>
      </w:r>
      <w:r>
        <w:t xml:space="preserve"> See Exhibit __ (</w:t>
      </w:r>
      <w:proofErr w:type="spellStart"/>
      <w:r>
        <w:t>JL-HC3</w:t>
      </w:r>
      <w:proofErr w:type="spellEnd"/>
      <w:r>
        <w:t>), “Household Density” column.</w:t>
      </w:r>
    </w:p>
  </w:footnote>
  <w:footnote w:id="12">
    <w:p w:rsidR="0048446C" w:rsidRPr="00B10480" w:rsidRDefault="0048446C" w:rsidP="00DA12D6">
      <w:pPr>
        <w:pStyle w:val="FootnoteText"/>
        <w:spacing w:after="0" w:line="240" w:lineRule="auto"/>
      </w:pPr>
      <w:r w:rsidRPr="008D4510">
        <w:rPr>
          <w:rStyle w:val="FootnoteReference"/>
        </w:rPr>
        <w:footnoteRef/>
      </w:r>
      <w:r w:rsidRPr="008D4510">
        <w:t xml:space="preserve"> </w:t>
      </w:r>
      <w:r w:rsidRPr="008D4510">
        <w:rPr>
          <w:i/>
        </w:rPr>
        <w:t xml:space="preserve">See </w:t>
      </w:r>
      <w:r w:rsidRPr="008D4510">
        <w:t>Exhibit __ (</w:t>
      </w:r>
      <w:proofErr w:type="spellStart"/>
      <w:r w:rsidRPr="008D4510">
        <w:t>JL</w:t>
      </w:r>
      <w:proofErr w:type="spellEnd"/>
      <w:r w:rsidRPr="008D4510">
        <w:t>-3HC), “DSL Availability Rate” column. The source of the data is Qwest’s Responses to UTC Staff Data Requests Nos. 32, 135 and 142.</w:t>
      </w:r>
    </w:p>
    <w:p w:rsidR="0048446C" w:rsidRDefault="0048446C" w:rsidP="00DA12D6">
      <w:pPr>
        <w:pStyle w:val="FootnoteText"/>
        <w:spacing w:after="0" w:line="240" w:lineRule="auto"/>
      </w:pPr>
      <w:r>
        <w:t xml:space="preserve">DSL availability rate used in this testimony is calculated by dividing the number of households where DSL is available (regardless of whether the household subscribes to the company’s telephone service) by the total number of households in a wire center. </w:t>
      </w:r>
    </w:p>
  </w:footnote>
  <w:footnote w:id="13">
    <w:p w:rsidR="0048446C" w:rsidRDefault="0048446C" w:rsidP="00DA12D6">
      <w:pPr>
        <w:pStyle w:val="FootnoteText"/>
        <w:spacing w:after="0" w:line="240" w:lineRule="auto"/>
      </w:pPr>
      <w:r>
        <w:rPr>
          <w:rStyle w:val="FootnoteReference"/>
        </w:rPr>
        <w:footnoteRef/>
      </w:r>
      <w:r>
        <w:t xml:space="preserve"> In the </w:t>
      </w:r>
      <w:proofErr w:type="spellStart"/>
      <w:r>
        <w:t>AFOR</w:t>
      </w:r>
      <w:proofErr w:type="spellEnd"/>
      <w:r>
        <w:t xml:space="preserve"> proceeding, Qwest calculates the DSL availability rate differently.  It is measured as the number of households with a working telephone number where DSL is available divided by the total number of households with a working telephone number.  In other words, it committed to make DSL available to 83 percent of its current customers.  So far, it has exceeded this target.  Following Qwest’s way of calculation, the DSL availability among its current customers is 88 percent, coinciding with the DSL availability rate among all households.  </w:t>
      </w:r>
    </w:p>
  </w:footnote>
  <w:footnote w:id="14">
    <w:p w:rsidR="0048446C" w:rsidRDefault="0048446C" w:rsidP="00DA12D6">
      <w:pPr>
        <w:pStyle w:val="FootnoteText"/>
        <w:spacing w:after="0" w:line="240" w:lineRule="auto"/>
      </w:pPr>
      <w:r w:rsidRPr="008D4510">
        <w:rPr>
          <w:rStyle w:val="FootnoteReference"/>
        </w:rPr>
        <w:footnoteRef/>
      </w:r>
      <w:r w:rsidRPr="008D4510">
        <w:t xml:space="preserve"> </w:t>
      </w:r>
      <w:r w:rsidRPr="008D4510">
        <w:rPr>
          <w:i/>
        </w:rPr>
        <w:t xml:space="preserve">See </w:t>
      </w:r>
      <w:r w:rsidRPr="008D4510">
        <w:t>Exhibit __ (</w:t>
      </w:r>
      <w:proofErr w:type="spellStart"/>
      <w:r w:rsidRPr="008D4510">
        <w:t>JL</w:t>
      </w:r>
      <w:proofErr w:type="spellEnd"/>
      <w:r w:rsidRPr="008D4510">
        <w:t>-3HC), “DSL Availability Rate” column. The source of the data is CenturyLink’s Response to UTC Staff Data Request No. 32.</w:t>
      </w:r>
      <w:r w:rsidRPr="00C85C64">
        <w:t xml:space="preserve">  </w:t>
      </w:r>
    </w:p>
  </w:footnote>
  <w:footnote w:id="15">
    <w:p w:rsidR="0048446C" w:rsidRDefault="0048446C" w:rsidP="00DA12D6">
      <w:pPr>
        <w:pStyle w:val="FootnoteText"/>
        <w:spacing w:after="0" w:line="240" w:lineRule="auto"/>
      </w:pPr>
      <w:r>
        <w:rPr>
          <w:rStyle w:val="FootnoteReference"/>
        </w:rPr>
        <w:footnoteRef/>
      </w:r>
      <w:r>
        <w:t xml:space="preserve"> The wire center count does not include the Columbia exchange.  The data show that there are no residential households in Columbia, therefore there are no residential phone lines or DSL lines.  </w:t>
      </w:r>
    </w:p>
  </w:footnote>
  <w:footnote w:id="16">
    <w:p w:rsidR="0048446C" w:rsidRDefault="0048446C" w:rsidP="00DA12D6">
      <w:pPr>
        <w:pStyle w:val="FootnoteText"/>
        <w:spacing w:after="0" w:line="240" w:lineRule="auto"/>
      </w:pPr>
      <w:r>
        <w:rPr>
          <w:rStyle w:val="FootnoteReference"/>
        </w:rPr>
        <w:footnoteRef/>
      </w:r>
      <w:r>
        <w:t xml:space="preserve"> Federal Communications Commission, </w:t>
      </w:r>
      <w:r w:rsidRPr="00BD74D2">
        <w:rPr>
          <w:i/>
        </w:rPr>
        <w:t>High-Speed Services for Internet Access: Status as of December 31, 2008</w:t>
      </w:r>
      <w:r>
        <w:t xml:space="preserve"> (Released February 2010), Table 21.</w:t>
      </w:r>
    </w:p>
  </w:footnote>
  <w:footnote w:id="17">
    <w:p w:rsidR="0048446C" w:rsidRPr="00FF7760" w:rsidRDefault="0048446C" w:rsidP="00DA12D6">
      <w:pPr>
        <w:pStyle w:val="FootnoteText"/>
        <w:spacing w:after="0" w:line="240" w:lineRule="auto"/>
      </w:pPr>
      <w:r>
        <w:rPr>
          <w:rStyle w:val="FootnoteReference"/>
        </w:rPr>
        <w:footnoteRef/>
      </w:r>
      <w:r>
        <w:t xml:space="preserve"> Smith, A. </w:t>
      </w:r>
      <w:r>
        <w:rPr>
          <w:i/>
        </w:rPr>
        <w:t>Home Broadband 2010</w:t>
      </w:r>
      <w:r>
        <w:t xml:space="preserve">.  Pew Internet &amp; American Lifeline Project, released August 11, 2010. </w:t>
      </w:r>
    </w:p>
  </w:footnote>
  <w:footnote w:id="18">
    <w:p w:rsidR="0048446C" w:rsidRDefault="0048446C" w:rsidP="00DA12D6">
      <w:pPr>
        <w:pStyle w:val="FootnoteText"/>
        <w:spacing w:after="0" w:line="240" w:lineRule="auto"/>
      </w:pPr>
      <w:r>
        <w:rPr>
          <w:rStyle w:val="FootnoteReference"/>
        </w:rPr>
        <w:footnoteRef/>
      </w:r>
      <w:r>
        <w:t xml:space="preserve"> Federal Communications Commission, </w:t>
      </w:r>
      <w:r>
        <w:rPr>
          <w:i/>
        </w:rPr>
        <w:t xml:space="preserve">Trends in Telephone Service. </w:t>
      </w:r>
      <w:r>
        <w:t>Released August 2008.  Table 2.9.  As of October 2007, 58.3 percent of rural households subscribe to Internet service (dial-up and high-speed Internet access) as compared to 62.6 percent subscription rate among urban households.  However, 19.3 of rural households subscribe to dial-up Internet service as compared to 8.5 percent of urban households that subscribe to dial-up service.  Also see the reports in prior years.</w:t>
      </w:r>
    </w:p>
  </w:footnote>
  <w:footnote w:id="19">
    <w:p w:rsidR="0048446C" w:rsidRDefault="0048446C" w:rsidP="00DA12D6">
      <w:pPr>
        <w:pStyle w:val="FootnoteText"/>
        <w:spacing w:after="0" w:line="240" w:lineRule="auto"/>
      </w:pPr>
      <w:r>
        <w:rPr>
          <w:rStyle w:val="FootnoteReference"/>
        </w:rPr>
        <w:footnoteRef/>
      </w:r>
      <w:r>
        <w:t xml:space="preserve"> The source of the data is Qwest’s and CenturyLink’s Responses to UTC Staff Data Request </w:t>
      </w:r>
      <w:proofErr w:type="spellStart"/>
      <w:r>
        <w:t>No.143</w:t>
      </w:r>
      <w:proofErr w:type="spellEnd"/>
      <w:r>
        <w:t>.</w:t>
      </w:r>
    </w:p>
    <w:p w:rsidR="0048446C" w:rsidRDefault="0048446C" w:rsidP="00DA12D6">
      <w:pPr>
        <w:pStyle w:val="FootnoteText"/>
        <w:spacing w:after="0" w:line="240" w:lineRule="auto"/>
      </w:pPr>
      <w:r>
        <w:t xml:space="preserve">These figures only include customers who choose Qwest and CenturyLink as the dial-up Internet service provider (ISP).  Customers who subscribe to Qwest and CenturyLink’s telephone service but use other ISPs are not counted here.  Therefore, they are an underestimate of the actual number of dial-up customers in the two companies’ service areas. </w:t>
      </w:r>
    </w:p>
  </w:footnote>
  <w:footnote w:id="20">
    <w:p w:rsidR="0048446C" w:rsidRDefault="0048446C" w:rsidP="00DA12D6">
      <w:pPr>
        <w:pStyle w:val="FootnoteText"/>
        <w:spacing w:after="0" w:line="240" w:lineRule="auto"/>
      </w:pPr>
      <w:r>
        <w:rPr>
          <w:rStyle w:val="FootnoteReference"/>
        </w:rPr>
        <w:footnoteRef/>
      </w:r>
      <w:r>
        <w:t xml:space="preserve"> </w:t>
      </w:r>
      <w:r w:rsidRPr="00405B99">
        <w:rPr>
          <w:i/>
        </w:rPr>
        <w:t xml:space="preserve">See </w:t>
      </w:r>
      <w:r w:rsidRPr="00405B99">
        <w:t>Exhibit __ (</w:t>
      </w:r>
      <w:proofErr w:type="spellStart"/>
      <w:r w:rsidRPr="00405B99">
        <w:t>JL</w:t>
      </w:r>
      <w:proofErr w:type="spellEnd"/>
      <w:r w:rsidRPr="00405B99">
        <w:t>-3HC), “DSL Availability Rate” column. The source of the data is CenturyLink’s Response to UTC Staff Data Request No. 32.</w:t>
      </w:r>
      <w:r w:rsidRPr="00DD0FB1">
        <w:rPr>
          <w:highlight w:val="cyan"/>
        </w:rPr>
        <w:t xml:space="preserve">  </w:t>
      </w:r>
    </w:p>
  </w:footnote>
  <w:footnote w:id="21">
    <w:p w:rsidR="0048446C" w:rsidRPr="00DD0FB1" w:rsidRDefault="0048446C" w:rsidP="00DA12D6">
      <w:pPr>
        <w:pStyle w:val="FootnoteText"/>
        <w:spacing w:after="0" w:line="240" w:lineRule="auto"/>
      </w:pPr>
      <w:r w:rsidRPr="00DD0FB1">
        <w:rPr>
          <w:rStyle w:val="FootnoteReference"/>
        </w:rPr>
        <w:footnoteRef/>
      </w:r>
      <w:r w:rsidRPr="00DD0FB1">
        <w:t xml:space="preserve"> The source of the data is CenturyLink’s Response to UTC Staff Data Request No. 143.</w:t>
      </w:r>
    </w:p>
    <w:p w:rsidR="0048446C" w:rsidRDefault="0048446C" w:rsidP="00DA12D6">
      <w:pPr>
        <w:pStyle w:val="FootnoteText"/>
        <w:spacing w:after="0" w:line="240" w:lineRule="auto"/>
      </w:pPr>
      <w:r>
        <w:t xml:space="preserve">Again, this does not count the customers who subscribe to CenturyLink’s telephone service but use other ISPs for dial-up service. </w:t>
      </w:r>
    </w:p>
  </w:footnote>
  <w:footnote w:id="22">
    <w:p w:rsidR="0048446C" w:rsidRDefault="0048446C" w:rsidP="00DA12D6">
      <w:pPr>
        <w:pStyle w:val="FootnoteText"/>
        <w:spacing w:after="0" w:line="240" w:lineRule="auto"/>
      </w:pPr>
      <w:r>
        <w:rPr>
          <w:rStyle w:val="FootnoteReference"/>
        </w:rPr>
        <w:footnoteRef/>
      </w:r>
      <w:r>
        <w:t xml:space="preserve"> Namely, separate service areas of CenturyTel of Washington, Inc., CenturyTel of Inter-Island, Inc., CenturyTel of </w:t>
      </w:r>
      <w:proofErr w:type="spellStart"/>
      <w:r>
        <w:t>Cowiche</w:t>
      </w:r>
      <w:proofErr w:type="spellEnd"/>
      <w:r>
        <w:t xml:space="preserve">, Inc., United Telephone Company of the Northwest, and Qwest Corporation. </w:t>
      </w:r>
    </w:p>
  </w:footnote>
  <w:footnote w:id="23">
    <w:p w:rsidR="0048446C" w:rsidRPr="00D52A42" w:rsidRDefault="0048446C" w:rsidP="00DA12D6">
      <w:pPr>
        <w:pStyle w:val="FootnoteText"/>
        <w:spacing w:after="0" w:line="240" w:lineRule="auto"/>
      </w:pPr>
      <w:r>
        <w:rPr>
          <w:rStyle w:val="FootnoteReference"/>
        </w:rPr>
        <w:footnoteRef/>
      </w:r>
      <w:r>
        <w:t xml:space="preserve"> Federal Communications Commission, </w:t>
      </w:r>
      <w:r>
        <w:rPr>
          <w:i/>
        </w:rPr>
        <w:t xml:space="preserve">Connecting America: The National Broadband Plan (2010).  </w:t>
      </w:r>
      <w:r>
        <w:t xml:space="preserve">Available at </w:t>
      </w:r>
      <w:r w:rsidRPr="00204553">
        <w:t>www.broadband.gov</w:t>
      </w:r>
      <w:r>
        <w:t xml:space="preserve">. </w:t>
      </w:r>
    </w:p>
  </w:footnote>
  <w:footnote w:id="24">
    <w:p w:rsidR="0048446C" w:rsidRDefault="0048446C" w:rsidP="00DA12D6">
      <w:pPr>
        <w:pStyle w:val="FootnoteText"/>
        <w:spacing w:after="0" w:line="240" w:lineRule="auto"/>
      </w:pPr>
      <w:r>
        <w:rPr>
          <w:rStyle w:val="FootnoteReference"/>
        </w:rPr>
        <w:footnoteRef/>
      </w:r>
      <w:r>
        <w:t xml:space="preserve"> The source of the data is CenturyLink’s Response to Public Counsel Data Request No. 43.</w:t>
      </w:r>
    </w:p>
  </w:footnote>
  <w:footnote w:id="25">
    <w:p w:rsidR="0048446C" w:rsidRDefault="0048446C" w:rsidP="00DA12D6">
      <w:pPr>
        <w:pStyle w:val="FootnoteText"/>
        <w:spacing w:after="0" w:line="240" w:lineRule="auto"/>
      </w:pPr>
      <w:r>
        <w:rPr>
          <w:rStyle w:val="FootnoteReference"/>
        </w:rPr>
        <w:footnoteRef/>
      </w:r>
      <w:r>
        <w:t xml:space="preserve"> The source of the data is Qwest’s Response to Public Counsel Data Request No. 43.</w:t>
      </w:r>
    </w:p>
  </w:footnote>
  <w:footnote w:id="26">
    <w:p w:rsidR="0048446C" w:rsidRDefault="0048446C" w:rsidP="00DA12D6">
      <w:pPr>
        <w:pStyle w:val="FootnoteText"/>
        <w:spacing w:after="0" w:line="240" w:lineRule="auto"/>
      </w:pPr>
      <w:r>
        <w:rPr>
          <w:rStyle w:val="FootnoteReference"/>
        </w:rPr>
        <w:footnoteRef/>
      </w:r>
      <w:r>
        <w:t xml:space="preserve"> Joint Application at </w:t>
      </w:r>
      <w:proofErr w:type="spellStart"/>
      <w:r>
        <w:t>p.5</w:t>
      </w:r>
      <w:proofErr w:type="spellEnd"/>
      <w:r>
        <w:t>, ¶7.</w:t>
      </w:r>
    </w:p>
  </w:footnote>
  <w:footnote w:id="27">
    <w:p w:rsidR="0048446C" w:rsidRDefault="0048446C" w:rsidP="00DA12D6">
      <w:pPr>
        <w:pStyle w:val="FootnoteText"/>
        <w:spacing w:after="0" w:line="240" w:lineRule="auto"/>
      </w:pPr>
      <w:r>
        <w:rPr>
          <w:rStyle w:val="FootnoteReference"/>
        </w:rPr>
        <w:footnoteRef/>
      </w:r>
      <w:r>
        <w:t xml:space="preserve"> Joint Application at </w:t>
      </w:r>
      <w:proofErr w:type="spellStart"/>
      <w:r>
        <w:t>p.5</w:t>
      </w:r>
      <w:proofErr w:type="spellEnd"/>
      <w:r>
        <w:t>, footnote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46C" w:rsidRDefault="00484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8B6"/>
    <w:multiLevelType w:val="hybridMultilevel"/>
    <w:tmpl w:val="D39EC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C0D13"/>
    <w:multiLevelType w:val="hybridMultilevel"/>
    <w:tmpl w:val="7300336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673493"/>
    <w:multiLevelType w:val="hybridMultilevel"/>
    <w:tmpl w:val="D036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B1586"/>
    <w:multiLevelType w:val="hybridMultilevel"/>
    <w:tmpl w:val="90F47B9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F43941"/>
    <w:multiLevelType w:val="hybridMultilevel"/>
    <w:tmpl w:val="4FFAC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5B7CB5"/>
    <w:multiLevelType w:val="hybridMultilevel"/>
    <w:tmpl w:val="34621706"/>
    <w:lvl w:ilvl="0" w:tplc="9A961C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3408C6"/>
    <w:multiLevelType w:val="hybridMultilevel"/>
    <w:tmpl w:val="AE044AA0"/>
    <w:lvl w:ilvl="0" w:tplc="6B483C12">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2616A"/>
    <w:multiLevelType w:val="hybridMultilevel"/>
    <w:tmpl w:val="F9B4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361E5"/>
    <w:multiLevelType w:val="hybridMultilevel"/>
    <w:tmpl w:val="C634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4734A"/>
    <w:multiLevelType w:val="hybridMultilevel"/>
    <w:tmpl w:val="4F8638D6"/>
    <w:lvl w:ilvl="0" w:tplc="1D5A7588">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52F4D64"/>
    <w:multiLevelType w:val="hybridMultilevel"/>
    <w:tmpl w:val="766476F8"/>
    <w:lvl w:ilvl="0" w:tplc="9A961C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9"/>
  </w:num>
  <w:num w:numId="6">
    <w:abstractNumId w:val="5"/>
  </w:num>
  <w:num w:numId="7">
    <w:abstractNumId w:val="4"/>
  </w:num>
  <w:num w:numId="8">
    <w:abstractNumId w:val="6"/>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76418"/>
    <w:rsid w:val="00000991"/>
    <w:rsid w:val="000014AF"/>
    <w:rsid w:val="0000307F"/>
    <w:rsid w:val="00004D65"/>
    <w:rsid w:val="00005A16"/>
    <w:rsid w:val="00014DBB"/>
    <w:rsid w:val="00015DFE"/>
    <w:rsid w:val="000247A1"/>
    <w:rsid w:val="00035681"/>
    <w:rsid w:val="000454F6"/>
    <w:rsid w:val="00052EF8"/>
    <w:rsid w:val="000547BC"/>
    <w:rsid w:val="00057712"/>
    <w:rsid w:val="00073495"/>
    <w:rsid w:val="00076418"/>
    <w:rsid w:val="000A3BF6"/>
    <w:rsid w:val="000B355F"/>
    <w:rsid w:val="000C3C38"/>
    <w:rsid w:val="000C66FD"/>
    <w:rsid w:val="000D3449"/>
    <w:rsid w:val="000E10D6"/>
    <w:rsid w:val="000E2B9F"/>
    <w:rsid w:val="000F7529"/>
    <w:rsid w:val="00105E1A"/>
    <w:rsid w:val="00107486"/>
    <w:rsid w:val="00113C44"/>
    <w:rsid w:val="00114DE9"/>
    <w:rsid w:val="00145B07"/>
    <w:rsid w:val="00146EC7"/>
    <w:rsid w:val="00165FC3"/>
    <w:rsid w:val="00167A6B"/>
    <w:rsid w:val="00173386"/>
    <w:rsid w:val="00173C0C"/>
    <w:rsid w:val="001805BE"/>
    <w:rsid w:val="0018383F"/>
    <w:rsid w:val="00186CEF"/>
    <w:rsid w:val="00197F3F"/>
    <w:rsid w:val="001A17B4"/>
    <w:rsid w:val="001D3C85"/>
    <w:rsid w:val="001D50C5"/>
    <w:rsid w:val="001E0EDD"/>
    <w:rsid w:val="001E565C"/>
    <w:rsid w:val="001F538A"/>
    <w:rsid w:val="00204553"/>
    <w:rsid w:val="00204C63"/>
    <w:rsid w:val="00214D3E"/>
    <w:rsid w:val="00244B0C"/>
    <w:rsid w:val="0024698D"/>
    <w:rsid w:val="002513FD"/>
    <w:rsid w:val="002605F5"/>
    <w:rsid w:val="00276685"/>
    <w:rsid w:val="00281413"/>
    <w:rsid w:val="002875B7"/>
    <w:rsid w:val="002A0474"/>
    <w:rsid w:val="002A0B52"/>
    <w:rsid w:val="002A0C55"/>
    <w:rsid w:val="002A58D4"/>
    <w:rsid w:val="002A69E0"/>
    <w:rsid w:val="002A6D36"/>
    <w:rsid w:val="002C009E"/>
    <w:rsid w:val="002C1DF7"/>
    <w:rsid w:val="002D797D"/>
    <w:rsid w:val="002E61A5"/>
    <w:rsid w:val="003146A4"/>
    <w:rsid w:val="00317B83"/>
    <w:rsid w:val="003265EC"/>
    <w:rsid w:val="00330B6B"/>
    <w:rsid w:val="00352ADD"/>
    <w:rsid w:val="003550DF"/>
    <w:rsid w:val="0036460C"/>
    <w:rsid w:val="00364E2F"/>
    <w:rsid w:val="00365775"/>
    <w:rsid w:val="003719C5"/>
    <w:rsid w:val="00373D9A"/>
    <w:rsid w:val="00375F4C"/>
    <w:rsid w:val="00393331"/>
    <w:rsid w:val="00396255"/>
    <w:rsid w:val="003B0BC2"/>
    <w:rsid w:val="003C37DA"/>
    <w:rsid w:val="003C7130"/>
    <w:rsid w:val="003D3946"/>
    <w:rsid w:val="003D577C"/>
    <w:rsid w:val="003E409D"/>
    <w:rsid w:val="003F0A82"/>
    <w:rsid w:val="003F282D"/>
    <w:rsid w:val="003F7588"/>
    <w:rsid w:val="00405B99"/>
    <w:rsid w:val="00412690"/>
    <w:rsid w:val="00421B95"/>
    <w:rsid w:val="00424EDE"/>
    <w:rsid w:val="00431971"/>
    <w:rsid w:val="00441156"/>
    <w:rsid w:val="00450DFA"/>
    <w:rsid w:val="00460163"/>
    <w:rsid w:val="00464D1D"/>
    <w:rsid w:val="0048446C"/>
    <w:rsid w:val="004844A0"/>
    <w:rsid w:val="00484B6E"/>
    <w:rsid w:val="004B3AD2"/>
    <w:rsid w:val="004C3AA3"/>
    <w:rsid w:val="004C5B5A"/>
    <w:rsid w:val="004D26FA"/>
    <w:rsid w:val="004E27FF"/>
    <w:rsid w:val="004E6D11"/>
    <w:rsid w:val="004F71F3"/>
    <w:rsid w:val="004F7AA7"/>
    <w:rsid w:val="00522009"/>
    <w:rsid w:val="0052222E"/>
    <w:rsid w:val="00573590"/>
    <w:rsid w:val="00584507"/>
    <w:rsid w:val="00585E73"/>
    <w:rsid w:val="00587CBC"/>
    <w:rsid w:val="005945D8"/>
    <w:rsid w:val="005A314A"/>
    <w:rsid w:val="005A508B"/>
    <w:rsid w:val="005A7E35"/>
    <w:rsid w:val="005B033C"/>
    <w:rsid w:val="005B3F8D"/>
    <w:rsid w:val="005B5A46"/>
    <w:rsid w:val="005D2460"/>
    <w:rsid w:val="005F058D"/>
    <w:rsid w:val="006116A5"/>
    <w:rsid w:val="00612DC5"/>
    <w:rsid w:val="006204D4"/>
    <w:rsid w:val="006208C4"/>
    <w:rsid w:val="0062613D"/>
    <w:rsid w:val="0063225D"/>
    <w:rsid w:val="006609A6"/>
    <w:rsid w:val="00671124"/>
    <w:rsid w:val="006726F4"/>
    <w:rsid w:val="00672C89"/>
    <w:rsid w:val="0068592F"/>
    <w:rsid w:val="006A60CB"/>
    <w:rsid w:val="006B1CD6"/>
    <w:rsid w:val="006E322C"/>
    <w:rsid w:val="006E417D"/>
    <w:rsid w:val="006E49C7"/>
    <w:rsid w:val="006F66F3"/>
    <w:rsid w:val="00702427"/>
    <w:rsid w:val="00705B66"/>
    <w:rsid w:val="00712AC8"/>
    <w:rsid w:val="007138D7"/>
    <w:rsid w:val="00715B22"/>
    <w:rsid w:val="00721CA6"/>
    <w:rsid w:val="00727F3E"/>
    <w:rsid w:val="007301EC"/>
    <w:rsid w:val="007431CF"/>
    <w:rsid w:val="00747011"/>
    <w:rsid w:val="00762435"/>
    <w:rsid w:val="00766F6C"/>
    <w:rsid w:val="00767ECF"/>
    <w:rsid w:val="00772D00"/>
    <w:rsid w:val="007773B8"/>
    <w:rsid w:val="00793151"/>
    <w:rsid w:val="007B2950"/>
    <w:rsid w:val="007B6FCE"/>
    <w:rsid w:val="007C28BC"/>
    <w:rsid w:val="007C2F0F"/>
    <w:rsid w:val="007C4CEE"/>
    <w:rsid w:val="007D3719"/>
    <w:rsid w:val="007D3D6D"/>
    <w:rsid w:val="007D571B"/>
    <w:rsid w:val="007E0440"/>
    <w:rsid w:val="007E2EA9"/>
    <w:rsid w:val="007F0881"/>
    <w:rsid w:val="007F08F6"/>
    <w:rsid w:val="007F3088"/>
    <w:rsid w:val="007F3DDD"/>
    <w:rsid w:val="00800D9F"/>
    <w:rsid w:val="0080611E"/>
    <w:rsid w:val="008061BE"/>
    <w:rsid w:val="00813D0A"/>
    <w:rsid w:val="00817F5C"/>
    <w:rsid w:val="00842F97"/>
    <w:rsid w:val="00851717"/>
    <w:rsid w:val="00857550"/>
    <w:rsid w:val="008756CC"/>
    <w:rsid w:val="0088665A"/>
    <w:rsid w:val="0089246E"/>
    <w:rsid w:val="008A7C79"/>
    <w:rsid w:val="008B074F"/>
    <w:rsid w:val="008B1CB6"/>
    <w:rsid w:val="008D2B95"/>
    <w:rsid w:val="008D4510"/>
    <w:rsid w:val="008E618F"/>
    <w:rsid w:val="00911BA4"/>
    <w:rsid w:val="009140AF"/>
    <w:rsid w:val="0093163D"/>
    <w:rsid w:val="0093639D"/>
    <w:rsid w:val="00940D7C"/>
    <w:rsid w:val="00941098"/>
    <w:rsid w:val="009500E0"/>
    <w:rsid w:val="00950805"/>
    <w:rsid w:val="00953A39"/>
    <w:rsid w:val="009568FE"/>
    <w:rsid w:val="00956DCE"/>
    <w:rsid w:val="00973193"/>
    <w:rsid w:val="00980144"/>
    <w:rsid w:val="009838E0"/>
    <w:rsid w:val="009942EF"/>
    <w:rsid w:val="009967AE"/>
    <w:rsid w:val="009E3E8F"/>
    <w:rsid w:val="009E6939"/>
    <w:rsid w:val="009F4111"/>
    <w:rsid w:val="00A0493A"/>
    <w:rsid w:val="00A1193D"/>
    <w:rsid w:val="00A12A3C"/>
    <w:rsid w:val="00A1645D"/>
    <w:rsid w:val="00A20976"/>
    <w:rsid w:val="00A3057F"/>
    <w:rsid w:val="00A4054B"/>
    <w:rsid w:val="00A52D6C"/>
    <w:rsid w:val="00A71F61"/>
    <w:rsid w:val="00A749A5"/>
    <w:rsid w:val="00A8506E"/>
    <w:rsid w:val="00A93B53"/>
    <w:rsid w:val="00AA0552"/>
    <w:rsid w:val="00AA1264"/>
    <w:rsid w:val="00AA6C58"/>
    <w:rsid w:val="00AE31DD"/>
    <w:rsid w:val="00AE72C7"/>
    <w:rsid w:val="00AF42E6"/>
    <w:rsid w:val="00AF6EBC"/>
    <w:rsid w:val="00B00C03"/>
    <w:rsid w:val="00B072DF"/>
    <w:rsid w:val="00B1045D"/>
    <w:rsid w:val="00B10480"/>
    <w:rsid w:val="00B13235"/>
    <w:rsid w:val="00B23AB8"/>
    <w:rsid w:val="00B24A37"/>
    <w:rsid w:val="00B24A4D"/>
    <w:rsid w:val="00B2739D"/>
    <w:rsid w:val="00B327AC"/>
    <w:rsid w:val="00B332C8"/>
    <w:rsid w:val="00B3614C"/>
    <w:rsid w:val="00B36DB8"/>
    <w:rsid w:val="00B37B43"/>
    <w:rsid w:val="00B52652"/>
    <w:rsid w:val="00B52B08"/>
    <w:rsid w:val="00B558C6"/>
    <w:rsid w:val="00B55DC0"/>
    <w:rsid w:val="00B57DB4"/>
    <w:rsid w:val="00B7406B"/>
    <w:rsid w:val="00B75151"/>
    <w:rsid w:val="00B91E99"/>
    <w:rsid w:val="00B93A82"/>
    <w:rsid w:val="00B95532"/>
    <w:rsid w:val="00BA4434"/>
    <w:rsid w:val="00BA7C81"/>
    <w:rsid w:val="00BA7D2D"/>
    <w:rsid w:val="00BB0DBB"/>
    <w:rsid w:val="00BD49EF"/>
    <w:rsid w:val="00BD74D2"/>
    <w:rsid w:val="00BE0765"/>
    <w:rsid w:val="00BE5939"/>
    <w:rsid w:val="00BF3082"/>
    <w:rsid w:val="00C048E1"/>
    <w:rsid w:val="00C253A6"/>
    <w:rsid w:val="00C25C0D"/>
    <w:rsid w:val="00C30416"/>
    <w:rsid w:val="00C3316C"/>
    <w:rsid w:val="00C34EB1"/>
    <w:rsid w:val="00C417A8"/>
    <w:rsid w:val="00C43F3C"/>
    <w:rsid w:val="00C72ABC"/>
    <w:rsid w:val="00C779A1"/>
    <w:rsid w:val="00C82A9C"/>
    <w:rsid w:val="00C85C64"/>
    <w:rsid w:val="00C90857"/>
    <w:rsid w:val="00C91CDD"/>
    <w:rsid w:val="00C97111"/>
    <w:rsid w:val="00CA2868"/>
    <w:rsid w:val="00CC5ED5"/>
    <w:rsid w:val="00CC6D9D"/>
    <w:rsid w:val="00CD0A2C"/>
    <w:rsid w:val="00CE0145"/>
    <w:rsid w:val="00CE2497"/>
    <w:rsid w:val="00CE6490"/>
    <w:rsid w:val="00CE7528"/>
    <w:rsid w:val="00D10A87"/>
    <w:rsid w:val="00D128C8"/>
    <w:rsid w:val="00D12C56"/>
    <w:rsid w:val="00D16116"/>
    <w:rsid w:val="00D16122"/>
    <w:rsid w:val="00D16DD7"/>
    <w:rsid w:val="00D1706E"/>
    <w:rsid w:val="00D21406"/>
    <w:rsid w:val="00D2186A"/>
    <w:rsid w:val="00D23513"/>
    <w:rsid w:val="00D314B3"/>
    <w:rsid w:val="00D31CF7"/>
    <w:rsid w:val="00D32B66"/>
    <w:rsid w:val="00D51A7E"/>
    <w:rsid w:val="00D52A42"/>
    <w:rsid w:val="00D57104"/>
    <w:rsid w:val="00D72619"/>
    <w:rsid w:val="00D90849"/>
    <w:rsid w:val="00D9089B"/>
    <w:rsid w:val="00D94264"/>
    <w:rsid w:val="00D9536C"/>
    <w:rsid w:val="00DA12D6"/>
    <w:rsid w:val="00DA5244"/>
    <w:rsid w:val="00DA5942"/>
    <w:rsid w:val="00DB1B96"/>
    <w:rsid w:val="00DB2108"/>
    <w:rsid w:val="00DD0FB1"/>
    <w:rsid w:val="00DD1907"/>
    <w:rsid w:val="00DD3848"/>
    <w:rsid w:val="00DE0329"/>
    <w:rsid w:val="00DE368C"/>
    <w:rsid w:val="00DF66D2"/>
    <w:rsid w:val="00E058EE"/>
    <w:rsid w:val="00E20105"/>
    <w:rsid w:val="00E216E4"/>
    <w:rsid w:val="00E40602"/>
    <w:rsid w:val="00E43AB5"/>
    <w:rsid w:val="00E46A96"/>
    <w:rsid w:val="00E52155"/>
    <w:rsid w:val="00E545D3"/>
    <w:rsid w:val="00E6021F"/>
    <w:rsid w:val="00E61840"/>
    <w:rsid w:val="00E66B8B"/>
    <w:rsid w:val="00E81533"/>
    <w:rsid w:val="00EA5AA9"/>
    <w:rsid w:val="00EE7CD3"/>
    <w:rsid w:val="00EF776A"/>
    <w:rsid w:val="00F01129"/>
    <w:rsid w:val="00F0144A"/>
    <w:rsid w:val="00F1314A"/>
    <w:rsid w:val="00F17005"/>
    <w:rsid w:val="00F17B55"/>
    <w:rsid w:val="00F26F86"/>
    <w:rsid w:val="00F32FD9"/>
    <w:rsid w:val="00F40A3A"/>
    <w:rsid w:val="00F44B9E"/>
    <w:rsid w:val="00F53A32"/>
    <w:rsid w:val="00F573B1"/>
    <w:rsid w:val="00F76E58"/>
    <w:rsid w:val="00F96BC0"/>
    <w:rsid w:val="00F96BE4"/>
    <w:rsid w:val="00FA4BB9"/>
    <w:rsid w:val="00FA7859"/>
    <w:rsid w:val="00FA78CF"/>
    <w:rsid w:val="00FB0896"/>
    <w:rsid w:val="00FB5B37"/>
    <w:rsid w:val="00FD34CB"/>
    <w:rsid w:val="00FD60BA"/>
    <w:rsid w:val="00FE2318"/>
    <w:rsid w:val="00FF3CA0"/>
    <w:rsid w:val="00FF7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7F"/>
  </w:style>
  <w:style w:type="paragraph" w:styleId="Heading1">
    <w:name w:val="heading 1"/>
    <w:basedOn w:val="Normal"/>
    <w:next w:val="Normal"/>
    <w:link w:val="Heading1Char"/>
    <w:uiPriority w:val="9"/>
    <w:qFormat/>
    <w:rsid w:val="00730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C8"/>
    <w:pPr>
      <w:ind w:left="720"/>
      <w:contextualSpacing/>
    </w:pPr>
  </w:style>
  <w:style w:type="paragraph" w:styleId="NoSpacing">
    <w:name w:val="No Spacing"/>
    <w:link w:val="NoSpacingChar"/>
    <w:uiPriority w:val="1"/>
    <w:qFormat/>
    <w:rsid w:val="00DB2108"/>
    <w:pPr>
      <w:spacing w:after="0" w:line="240" w:lineRule="auto"/>
    </w:pPr>
    <w:rPr>
      <w:rFonts w:ascii="Times New Roman" w:eastAsia="Calibri" w:hAnsi="Times New Roman" w:cs="Times New Roman"/>
      <w:sz w:val="24"/>
    </w:rPr>
  </w:style>
  <w:style w:type="table" w:styleId="TableGrid">
    <w:name w:val="Table Grid"/>
    <w:basedOn w:val="TableNormal"/>
    <w:uiPriority w:val="59"/>
    <w:rsid w:val="00DB210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DB2108"/>
    <w:pPr>
      <w:tabs>
        <w:tab w:val="center" w:pos="4680"/>
        <w:tab w:val="right" w:pos="9360"/>
      </w:tabs>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DB2108"/>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DB2108"/>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DB2108"/>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DB210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B2108"/>
    <w:rPr>
      <w:vertAlign w:val="superscript"/>
    </w:rPr>
  </w:style>
  <w:style w:type="character" w:styleId="Hyperlink">
    <w:name w:val="Hyperlink"/>
    <w:basedOn w:val="DefaultParagraphFont"/>
    <w:uiPriority w:val="99"/>
    <w:unhideWhenUsed/>
    <w:rsid w:val="00DB2108"/>
    <w:rPr>
      <w:color w:val="0000FF"/>
      <w:u w:val="single"/>
    </w:rPr>
  </w:style>
  <w:style w:type="character" w:styleId="PageNumber">
    <w:name w:val="page number"/>
    <w:basedOn w:val="DefaultParagraphFont"/>
    <w:rsid w:val="00DB2108"/>
  </w:style>
  <w:style w:type="paragraph" w:styleId="BlockText">
    <w:name w:val="Block Text"/>
    <w:basedOn w:val="Normal"/>
    <w:rsid w:val="00DB2108"/>
    <w:pPr>
      <w:spacing w:after="0" w:line="480" w:lineRule="auto"/>
      <w:ind w:left="2160" w:right="144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B2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108"/>
  </w:style>
  <w:style w:type="character" w:styleId="LineNumber">
    <w:name w:val="line number"/>
    <w:basedOn w:val="DefaultParagraphFont"/>
    <w:uiPriority w:val="99"/>
    <w:semiHidden/>
    <w:unhideWhenUsed/>
    <w:rsid w:val="00DB2108"/>
  </w:style>
  <w:style w:type="character" w:customStyle="1" w:styleId="Heading1Char">
    <w:name w:val="Heading 1 Char"/>
    <w:basedOn w:val="DefaultParagraphFont"/>
    <w:link w:val="Heading1"/>
    <w:uiPriority w:val="9"/>
    <w:rsid w:val="007301E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301EC"/>
    <w:pPr>
      <w:outlineLvl w:val="9"/>
    </w:pPr>
  </w:style>
  <w:style w:type="paragraph" w:styleId="BalloonText">
    <w:name w:val="Balloon Text"/>
    <w:basedOn w:val="Normal"/>
    <w:link w:val="BalloonTextChar"/>
    <w:uiPriority w:val="99"/>
    <w:semiHidden/>
    <w:unhideWhenUsed/>
    <w:rsid w:val="00730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EC"/>
    <w:rPr>
      <w:rFonts w:ascii="Tahoma" w:hAnsi="Tahoma" w:cs="Tahoma"/>
      <w:sz w:val="16"/>
      <w:szCs w:val="16"/>
    </w:rPr>
  </w:style>
  <w:style w:type="character" w:styleId="CommentReference">
    <w:name w:val="annotation reference"/>
    <w:basedOn w:val="DefaultParagraphFont"/>
    <w:uiPriority w:val="99"/>
    <w:semiHidden/>
    <w:unhideWhenUsed/>
    <w:rsid w:val="00D9536C"/>
    <w:rPr>
      <w:sz w:val="16"/>
      <w:szCs w:val="16"/>
    </w:rPr>
  </w:style>
  <w:style w:type="paragraph" w:styleId="CommentText">
    <w:name w:val="annotation text"/>
    <w:basedOn w:val="Normal"/>
    <w:link w:val="CommentTextChar"/>
    <w:uiPriority w:val="99"/>
    <w:semiHidden/>
    <w:unhideWhenUsed/>
    <w:rsid w:val="00D9536C"/>
    <w:pPr>
      <w:spacing w:line="240" w:lineRule="auto"/>
    </w:pPr>
    <w:rPr>
      <w:sz w:val="20"/>
      <w:szCs w:val="20"/>
    </w:rPr>
  </w:style>
  <w:style w:type="character" w:customStyle="1" w:styleId="CommentTextChar">
    <w:name w:val="Comment Text Char"/>
    <w:basedOn w:val="DefaultParagraphFont"/>
    <w:link w:val="CommentText"/>
    <w:uiPriority w:val="99"/>
    <w:semiHidden/>
    <w:rsid w:val="00D9536C"/>
    <w:rPr>
      <w:sz w:val="20"/>
      <w:szCs w:val="20"/>
    </w:rPr>
  </w:style>
  <w:style w:type="paragraph" w:styleId="CommentSubject">
    <w:name w:val="annotation subject"/>
    <w:basedOn w:val="CommentText"/>
    <w:next w:val="CommentText"/>
    <w:link w:val="CommentSubjectChar"/>
    <w:uiPriority w:val="99"/>
    <w:semiHidden/>
    <w:unhideWhenUsed/>
    <w:rsid w:val="00D9536C"/>
    <w:rPr>
      <w:b/>
      <w:bCs/>
    </w:rPr>
  </w:style>
  <w:style w:type="character" w:customStyle="1" w:styleId="CommentSubjectChar">
    <w:name w:val="Comment Subject Char"/>
    <w:basedOn w:val="CommentTextChar"/>
    <w:link w:val="CommentSubject"/>
    <w:uiPriority w:val="99"/>
    <w:semiHidden/>
    <w:rsid w:val="00D9536C"/>
    <w:rPr>
      <w:b/>
      <w:bCs/>
    </w:rPr>
  </w:style>
  <w:style w:type="paragraph" w:styleId="TOC1">
    <w:name w:val="toc 1"/>
    <w:basedOn w:val="Normal"/>
    <w:next w:val="Normal"/>
    <w:autoRedefine/>
    <w:uiPriority w:val="39"/>
    <w:unhideWhenUsed/>
    <w:rsid w:val="007F3088"/>
    <w:pPr>
      <w:tabs>
        <w:tab w:val="left" w:pos="450"/>
        <w:tab w:val="right" w:leader="dot" w:pos="8918"/>
      </w:tabs>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customXml" Target="../customXml/item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2010-05-13T07:00:00+00:00</OpenedDate>
    <Date1 xmlns="dc463f71-b30c-4ab2-9473-d307f9d35888">2010-09-27T07:00:00+00:00</Date1>
    <IsDocumentOrder xmlns="dc463f71-b30c-4ab2-9473-d307f9d35888" xsi:nil="true"/>
    <IsHighlyConfidential xmlns="dc463f71-b30c-4ab2-9473-d307f9d35888">false</IsHighlyConfidential>
    <CaseCompanyNames xmlns="dc463f71-b30c-4ab2-9473-d307f9d35888">Qwest Corporation;Qwest Communications Company, LLC;Qwest LD Corp.</CaseCompanyNames>
    <DocketNumber xmlns="dc463f71-b30c-4ab2-9473-d307f9d35888">100820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C87BED8F1E1C429DF53B67807A0FD9" ma:contentTypeVersion="131" ma:contentTypeDescription="" ma:contentTypeScope="" ma:versionID="883f018356fdab30a1ca997e47ba995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072A0-12E7-4545-A6BC-0A7FF219A307}"/>
</file>

<file path=customXml/itemProps2.xml><?xml version="1.0" encoding="utf-8"?>
<ds:datastoreItem xmlns:ds="http://schemas.openxmlformats.org/officeDocument/2006/customXml" ds:itemID="{9D6A7444-309F-4C88-BEDA-5B142EFC06F9}"/>
</file>

<file path=customXml/itemProps3.xml><?xml version="1.0" encoding="utf-8"?>
<ds:datastoreItem xmlns:ds="http://schemas.openxmlformats.org/officeDocument/2006/customXml" ds:itemID="{18410D26-381E-43C7-8A2A-F6874C289CAA}"/>
</file>

<file path=customXml/itemProps4.xml><?xml version="1.0" encoding="utf-8"?>
<ds:datastoreItem xmlns:ds="http://schemas.openxmlformats.org/officeDocument/2006/customXml" ds:itemID="{2F2A2CCF-D171-4FE1-B4E9-795D3F0F0EA0}"/>
</file>

<file path=customXml/itemProps5.xml><?xml version="1.0" encoding="utf-8"?>
<ds:datastoreItem xmlns:ds="http://schemas.openxmlformats.org/officeDocument/2006/customXml" ds:itemID="{5E507699-41E2-4EB6-A2DC-EB6804F8B05B}"/>
</file>

<file path=docProps/app.xml><?xml version="1.0" encoding="utf-8"?>
<Properties xmlns="http://schemas.openxmlformats.org/officeDocument/2006/extended-properties" xmlns:vt="http://schemas.openxmlformats.org/officeDocument/2006/docPropsVTypes">
  <Template>Normal.dotm</Template>
  <TotalTime>4</TotalTime>
  <Pages>19</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Liu</dc:creator>
  <cp:lastModifiedBy>BDeMarco</cp:lastModifiedBy>
  <cp:revision>6</cp:revision>
  <cp:lastPrinted>2010-09-27T17:17:00Z</cp:lastPrinted>
  <dcterms:created xsi:type="dcterms:W3CDTF">2010-09-27T16:11:00Z</dcterms:created>
  <dcterms:modified xsi:type="dcterms:W3CDTF">2010-09-27T17:17:00Z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0x0101006E56B4D1795A2E4DB2F0B01679ED314A0005C87BED8F1E1C429DF53B67807A0FD9</vt:lpwstr>
  </property>
  <property fmtid="{D5CDD505-2E9C-101B-9397-08002B2CF9AE}" pid="3" name="_docset_NoMedatataSyncRequired">
    <vt:lpwstr>False</vt:lpwstr>
  </property>
</Properties>
</file>