
<file path=[Content_Types].xml><?xml version="1.0" encoding="utf-8"?>
<Types xmlns="http://schemas.openxmlformats.org/package/2006/content-types">
  <Default Extension="rels" ContentType="application/vnd.openxmlformats-package.relationships+xml"/>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charts/style1.xml" ContentType="application/vnd.ms-office.chartstyle+xml"/>
  <Override PartName="/word/charts/chart1.xml" ContentType="application/vnd.openxmlformats-officedocument.drawingml.chart+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AA705" w14:textId="4B696E27" w:rsidR="004026AD" w:rsidRPr="00F720F8" w:rsidRDefault="004026AD" w:rsidP="004026AD">
      <w:pPr>
        <w:tabs>
          <w:tab w:val="center" w:pos="4680"/>
        </w:tabs>
        <w:ind w:right="-252" w:hanging="360"/>
        <w:jc w:val="both"/>
        <w:rPr>
          <w:rFonts w:eastAsia="Times New Roman"/>
          <w:b/>
          <w:bCs/>
        </w:rPr>
      </w:pPr>
      <w:r w:rsidRPr="00F720F8">
        <w:rPr>
          <w:rFonts w:eastAsia="Times New Roman"/>
          <w:b/>
          <w:bCs/>
        </w:rPr>
        <w:tab/>
      </w:r>
      <w:r w:rsidRPr="00F720F8">
        <w:rPr>
          <w:rFonts w:eastAsia="Times New Roman"/>
          <w:b/>
          <w:bCs/>
        </w:rPr>
        <w:tab/>
      </w:r>
      <w:r w:rsidRPr="00F720F8">
        <w:rPr>
          <w:rFonts w:eastAsia="Times New Roman"/>
          <w:b/>
          <w:bCs/>
        </w:rPr>
        <w:tab/>
      </w:r>
      <w:r w:rsidRPr="00F720F8">
        <w:rPr>
          <w:rFonts w:eastAsia="Times New Roman"/>
          <w:b/>
          <w:bCs/>
        </w:rPr>
        <w:tab/>
        <w:t>Exhibit No. ___</w:t>
      </w:r>
      <w:r w:rsidR="005F4293" w:rsidRPr="00F720F8">
        <w:rPr>
          <w:rFonts w:eastAsia="Times New Roman"/>
          <w:b/>
          <w:bCs/>
        </w:rPr>
        <w:t xml:space="preserve"> (JLB-1</w:t>
      </w:r>
      <w:r w:rsidR="00B13018" w:rsidRPr="00F720F8">
        <w:rPr>
          <w:rFonts w:eastAsia="Times New Roman"/>
          <w:b/>
          <w:bCs/>
        </w:rPr>
        <w:t>T</w:t>
      </w:r>
      <w:r w:rsidR="005F4293" w:rsidRPr="00F720F8">
        <w:rPr>
          <w:rFonts w:eastAsia="Times New Roman"/>
          <w:b/>
          <w:bCs/>
        </w:rPr>
        <w:t>)</w:t>
      </w:r>
      <w:r w:rsidRPr="00F720F8">
        <w:rPr>
          <w:rFonts w:eastAsia="Times New Roman"/>
          <w:b/>
          <w:bCs/>
        </w:rPr>
        <w:t xml:space="preserve"> </w:t>
      </w:r>
    </w:p>
    <w:p w14:paraId="0B0AA706" w14:textId="60C2F79A" w:rsidR="004026AD" w:rsidRPr="00F720F8" w:rsidRDefault="004026AD" w:rsidP="004026AD">
      <w:pPr>
        <w:tabs>
          <w:tab w:val="center" w:pos="4680"/>
        </w:tabs>
        <w:ind w:right="-252" w:hanging="360"/>
        <w:jc w:val="both"/>
        <w:rPr>
          <w:rFonts w:eastAsia="Times New Roman"/>
          <w:b/>
          <w:bCs/>
        </w:rPr>
      </w:pPr>
      <w:r w:rsidRPr="00F720F8">
        <w:rPr>
          <w:rFonts w:eastAsia="Times New Roman"/>
          <w:b/>
          <w:bCs/>
        </w:rPr>
        <w:tab/>
      </w:r>
      <w:r w:rsidRPr="00F720F8">
        <w:rPr>
          <w:rFonts w:eastAsia="Times New Roman"/>
          <w:b/>
          <w:bCs/>
        </w:rPr>
        <w:tab/>
      </w:r>
      <w:r w:rsidRPr="00F720F8">
        <w:rPr>
          <w:rFonts w:eastAsia="Times New Roman"/>
          <w:b/>
          <w:bCs/>
        </w:rPr>
        <w:tab/>
      </w:r>
      <w:r w:rsidRPr="00F720F8">
        <w:rPr>
          <w:rFonts w:eastAsia="Times New Roman"/>
          <w:b/>
          <w:bCs/>
        </w:rPr>
        <w:tab/>
        <w:t>Docket</w:t>
      </w:r>
      <w:r w:rsidR="00BD533D" w:rsidRPr="00F720F8">
        <w:rPr>
          <w:rFonts w:eastAsia="Times New Roman"/>
          <w:b/>
          <w:bCs/>
        </w:rPr>
        <w:t>s</w:t>
      </w:r>
      <w:r w:rsidRPr="00F720F8">
        <w:rPr>
          <w:rFonts w:eastAsia="Times New Roman"/>
          <w:b/>
          <w:bCs/>
        </w:rPr>
        <w:t xml:space="preserve"> </w:t>
      </w:r>
      <w:r w:rsidR="00395EE2">
        <w:rPr>
          <w:b/>
          <w:bCs/>
        </w:rPr>
        <w:t>UE-150204</w:t>
      </w:r>
      <w:r w:rsidR="00395EE2">
        <w:rPr>
          <w:b/>
        </w:rPr>
        <w:t>/UG-150205</w:t>
      </w:r>
    </w:p>
    <w:p w14:paraId="0B0AA707" w14:textId="77777777" w:rsidR="004026AD" w:rsidRPr="00F720F8" w:rsidRDefault="004026AD" w:rsidP="004026AD">
      <w:pPr>
        <w:tabs>
          <w:tab w:val="center" w:pos="4680"/>
        </w:tabs>
        <w:ind w:right="-252" w:hanging="360"/>
        <w:jc w:val="both"/>
        <w:rPr>
          <w:rFonts w:eastAsia="Times New Roman"/>
          <w:b/>
          <w:bCs/>
        </w:rPr>
      </w:pPr>
      <w:r w:rsidRPr="00F720F8">
        <w:rPr>
          <w:rFonts w:eastAsia="Times New Roman"/>
          <w:b/>
          <w:bCs/>
        </w:rPr>
        <w:tab/>
      </w:r>
      <w:r w:rsidRPr="00F720F8">
        <w:rPr>
          <w:rFonts w:eastAsia="Times New Roman"/>
          <w:b/>
          <w:bCs/>
        </w:rPr>
        <w:tab/>
      </w:r>
      <w:r w:rsidRPr="00F720F8">
        <w:rPr>
          <w:rFonts w:eastAsia="Times New Roman"/>
          <w:b/>
          <w:bCs/>
        </w:rPr>
        <w:tab/>
      </w:r>
      <w:r w:rsidRPr="00F720F8">
        <w:rPr>
          <w:rFonts w:eastAsia="Times New Roman"/>
          <w:b/>
          <w:bCs/>
        </w:rPr>
        <w:tab/>
        <w:t xml:space="preserve">Witness: </w:t>
      </w:r>
      <w:r w:rsidR="005F4293" w:rsidRPr="00F720F8">
        <w:rPr>
          <w:rFonts w:eastAsia="Times New Roman"/>
          <w:b/>
          <w:bCs/>
        </w:rPr>
        <w:t>Jason L. Ball</w:t>
      </w:r>
    </w:p>
    <w:p w14:paraId="0B0AA708" w14:textId="77777777" w:rsidR="004026AD" w:rsidRPr="00F720F8" w:rsidRDefault="004026AD" w:rsidP="004026AD">
      <w:pPr>
        <w:tabs>
          <w:tab w:val="center" w:pos="4680"/>
        </w:tabs>
        <w:ind w:right="-252" w:hanging="360"/>
        <w:jc w:val="both"/>
        <w:rPr>
          <w:rFonts w:eastAsia="Times New Roman"/>
          <w:b/>
          <w:bCs/>
        </w:rPr>
      </w:pPr>
      <w:r w:rsidRPr="00F720F8">
        <w:rPr>
          <w:rFonts w:eastAsia="Times New Roman"/>
          <w:b/>
          <w:bCs/>
        </w:rPr>
        <w:tab/>
      </w:r>
      <w:r w:rsidRPr="00F720F8">
        <w:rPr>
          <w:rFonts w:eastAsia="Times New Roman"/>
          <w:b/>
          <w:bCs/>
        </w:rPr>
        <w:tab/>
      </w:r>
      <w:r w:rsidRPr="00F720F8">
        <w:rPr>
          <w:rFonts w:eastAsia="Times New Roman"/>
          <w:b/>
          <w:bCs/>
        </w:rPr>
        <w:tab/>
      </w:r>
    </w:p>
    <w:p w14:paraId="0B0AA709" w14:textId="77777777" w:rsidR="004026AD" w:rsidRPr="00F720F8" w:rsidRDefault="004026AD" w:rsidP="004026AD">
      <w:pPr>
        <w:tabs>
          <w:tab w:val="center" w:pos="4680"/>
        </w:tabs>
        <w:ind w:right="-252" w:hanging="360"/>
        <w:jc w:val="both"/>
        <w:rPr>
          <w:rFonts w:eastAsia="Times New Roman"/>
          <w:b/>
          <w:bCs/>
        </w:rPr>
      </w:pPr>
    </w:p>
    <w:p w14:paraId="0B0AA70A" w14:textId="77777777" w:rsidR="004026AD" w:rsidRPr="00F720F8" w:rsidRDefault="004026AD" w:rsidP="004026AD">
      <w:pPr>
        <w:tabs>
          <w:tab w:val="center" w:pos="4680"/>
        </w:tabs>
        <w:ind w:right="-252" w:hanging="360"/>
        <w:jc w:val="both"/>
        <w:rPr>
          <w:rFonts w:eastAsia="Times New Roman"/>
          <w:b/>
          <w:bCs/>
        </w:rPr>
      </w:pPr>
    </w:p>
    <w:p w14:paraId="11A4E229" w14:textId="0C83FD6E" w:rsidR="00CB69DE" w:rsidRDefault="00FA0296" w:rsidP="00CB69DE">
      <w:pPr>
        <w:tabs>
          <w:tab w:val="center" w:pos="4680"/>
        </w:tabs>
        <w:ind w:right="-432" w:hanging="720"/>
        <w:jc w:val="center"/>
        <w:rPr>
          <w:b/>
        </w:rPr>
      </w:pPr>
      <w:r w:rsidRPr="00F720F8">
        <w:rPr>
          <w:b/>
        </w:rPr>
        <w:t>BEFORE THE</w:t>
      </w:r>
      <w:r w:rsidR="00CB69DE">
        <w:rPr>
          <w:b/>
        </w:rPr>
        <w:t xml:space="preserve"> </w:t>
      </w:r>
      <w:r w:rsidRPr="00F720F8">
        <w:rPr>
          <w:b/>
        </w:rPr>
        <w:t xml:space="preserve">WASHINGTON </w:t>
      </w:r>
    </w:p>
    <w:p w14:paraId="2C1AAA0F" w14:textId="7D84EC5F" w:rsidR="00FA0296" w:rsidRPr="00F720F8" w:rsidRDefault="00FA0296" w:rsidP="00FA0296">
      <w:pPr>
        <w:tabs>
          <w:tab w:val="center" w:pos="4680"/>
        </w:tabs>
        <w:ind w:right="-432" w:hanging="720"/>
        <w:jc w:val="center"/>
        <w:rPr>
          <w:b/>
        </w:rPr>
      </w:pPr>
      <w:r w:rsidRPr="00F720F8">
        <w:rPr>
          <w:b/>
        </w:rPr>
        <w:t>STATE UTILITIES AND TRANSPORTATION COMMISSION</w:t>
      </w:r>
    </w:p>
    <w:p w14:paraId="15FABFDE" w14:textId="77777777" w:rsidR="00FA0296" w:rsidRPr="00F720F8" w:rsidRDefault="00FA0296" w:rsidP="00FA0296">
      <w:pPr>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FA0296" w:rsidRPr="00F720F8" w14:paraId="1145D9F2" w14:textId="77777777" w:rsidTr="009D4E52">
        <w:tc>
          <w:tcPr>
            <w:tcW w:w="4590" w:type="dxa"/>
            <w:tcBorders>
              <w:top w:val="single" w:sz="6" w:space="0" w:color="FFFFFF"/>
              <w:left w:val="single" w:sz="6" w:space="0" w:color="FFFFFF"/>
              <w:bottom w:val="single" w:sz="6" w:space="0" w:color="000000"/>
              <w:right w:val="single" w:sz="6" w:space="0" w:color="FFFFFF"/>
            </w:tcBorders>
          </w:tcPr>
          <w:p w14:paraId="4F9F66E3" w14:textId="77777777" w:rsidR="00FA0296" w:rsidRPr="00F720F8" w:rsidRDefault="00FA0296" w:rsidP="009D4E52">
            <w:pPr>
              <w:rPr>
                <w:b/>
              </w:rPr>
            </w:pPr>
          </w:p>
          <w:p w14:paraId="047A2207" w14:textId="77777777" w:rsidR="00DC7D2A" w:rsidRPr="00FB2A42" w:rsidRDefault="00DC7D2A" w:rsidP="00DC7D2A">
            <w:pPr>
              <w:rPr>
                <w:b/>
              </w:rPr>
            </w:pPr>
            <w:r w:rsidRPr="00FB2A42">
              <w:rPr>
                <w:b/>
              </w:rPr>
              <w:t xml:space="preserve">WASHINGTON UTILITIES AND TRANSPORTATION COMMISSION, </w:t>
            </w:r>
          </w:p>
          <w:p w14:paraId="5C780A95" w14:textId="77777777" w:rsidR="00DC7D2A" w:rsidRPr="00FB2A42" w:rsidRDefault="00DC7D2A" w:rsidP="00DC7D2A">
            <w:pPr>
              <w:rPr>
                <w:b/>
              </w:rPr>
            </w:pPr>
          </w:p>
          <w:p w14:paraId="043ADE22" w14:textId="2B50C26E" w:rsidR="00DC7D2A" w:rsidRPr="00FB2A42" w:rsidRDefault="00DC7D2A" w:rsidP="00DC7D2A">
            <w:pPr>
              <w:rPr>
                <w:b/>
              </w:rPr>
            </w:pPr>
            <w:r w:rsidRPr="00FB2A42">
              <w:rPr>
                <w:b/>
              </w:rPr>
              <w:tab/>
            </w:r>
            <w:r w:rsidRPr="00FB2A42">
              <w:rPr>
                <w:b/>
              </w:rPr>
              <w:tab/>
            </w:r>
            <w:r w:rsidR="00CB69DE">
              <w:rPr>
                <w:b/>
              </w:rPr>
              <w:t xml:space="preserve">     </w:t>
            </w:r>
            <w:r w:rsidRPr="00FB2A42">
              <w:rPr>
                <w:b/>
              </w:rPr>
              <w:t>Complainant,</w:t>
            </w:r>
          </w:p>
          <w:p w14:paraId="61687652" w14:textId="77777777" w:rsidR="00DC7D2A" w:rsidRPr="00FB2A42" w:rsidRDefault="00DC7D2A" w:rsidP="00DC7D2A">
            <w:pPr>
              <w:rPr>
                <w:b/>
              </w:rPr>
            </w:pPr>
          </w:p>
          <w:p w14:paraId="7F901BED" w14:textId="77777777" w:rsidR="00DC7D2A" w:rsidRPr="00FB2A42" w:rsidRDefault="00DC7D2A" w:rsidP="00DC7D2A">
            <w:pPr>
              <w:rPr>
                <w:b/>
              </w:rPr>
            </w:pPr>
            <w:r w:rsidRPr="00FB2A42">
              <w:rPr>
                <w:b/>
              </w:rPr>
              <w:tab/>
              <w:t>v.</w:t>
            </w:r>
          </w:p>
          <w:p w14:paraId="568C41C4" w14:textId="77777777" w:rsidR="00DC7D2A" w:rsidRPr="00FB2A42" w:rsidRDefault="00DC7D2A" w:rsidP="00DC7D2A">
            <w:pPr>
              <w:rPr>
                <w:b/>
              </w:rPr>
            </w:pPr>
          </w:p>
          <w:p w14:paraId="6558269A" w14:textId="3F071360" w:rsidR="005A3130" w:rsidRDefault="005A3130" w:rsidP="00DC7D2A">
            <w:pPr>
              <w:rPr>
                <w:b/>
                <w:lang w:val="es-US"/>
              </w:rPr>
            </w:pPr>
            <w:r>
              <w:rPr>
                <w:b/>
                <w:lang w:val="es-US"/>
              </w:rPr>
              <w:t>AVISTA</w:t>
            </w:r>
            <w:r w:rsidRPr="00631BAE">
              <w:rPr>
                <w:b/>
              </w:rPr>
              <w:t xml:space="preserve"> CORPORATION db</w:t>
            </w:r>
            <w:r w:rsidR="00DC7D2A" w:rsidRPr="00631BAE">
              <w:rPr>
                <w:b/>
              </w:rPr>
              <w:t>a</w:t>
            </w:r>
            <w:r w:rsidR="00DC7D2A" w:rsidRPr="008A1A3C">
              <w:rPr>
                <w:b/>
                <w:lang w:val="es-US"/>
              </w:rPr>
              <w:t xml:space="preserve"> </w:t>
            </w:r>
          </w:p>
          <w:p w14:paraId="5DC3E0FB" w14:textId="01CDC9F3" w:rsidR="00DC7D2A" w:rsidRPr="008A1A3C" w:rsidRDefault="00DC7D2A" w:rsidP="00DC7D2A">
            <w:pPr>
              <w:rPr>
                <w:b/>
                <w:lang w:val="es-US"/>
              </w:rPr>
            </w:pPr>
            <w:r w:rsidRPr="008A1A3C">
              <w:rPr>
                <w:b/>
                <w:lang w:val="es-US"/>
              </w:rPr>
              <w:t>AVISTA</w:t>
            </w:r>
            <w:r w:rsidRPr="00631BAE">
              <w:rPr>
                <w:b/>
              </w:rPr>
              <w:t xml:space="preserve"> UTILITIES</w:t>
            </w:r>
            <w:r w:rsidRPr="008A1A3C">
              <w:rPr>
                <w:b/>
                <w:lang w:val="es-US"/>
              </w:rPr>
              <w:t xml:space="preserve">, </w:t>
            </w:r>
          </w:p>
          <w:p w14:paraId="3E9AE2C9" w14:textId="77777777" w:rsidR="00DC7D2A" w:rsidRPr="008A1A3C" w:rsidRDefault="00DC7D2A" w:rsidP="00DC7D2A">
            <w:pPr>
              <w:rPr>
                <w:b/>
                <w:lang w:val="es-US"/>
              </w:rPr>
            </w:pPr>
          </w:p>
          <w:p w14:paraId="63EA3CBC" w14:textId="77777777" w:rsidR="00FA0296" w:rsidRDefault="00DC7D2A" w:rsidP="00DC7D2A">
            <w:pPr>
              <w:pStyle w:val="Header"/>
              <w:tabs>
                <w:tab w:val="left" w:pos="681"/>
                <w:tab w:val="left" w:pos="1401"/>
              </w:tabs>
              <w:rPr>
                <w:b/>
              </w:rPr>
            </w:pPr>
            <w:r w:rsidRPr="008A1A3C">
              <w:rPr>
                <w:b/>
                <w:lang w:val="es-US"/>
              </w:rPr>
              <w:tab/>
            </w:r>
            <w:r w:rsidRPr="008A1A3C">
              <w:rPr>
                <w:b/>
                <w:lang w:val="es-US"/>
              </w:rPr>
              <w:tab/>
            </w:r>
            <w:r w:rsidR="00CB69DE">
              <w:rPr>
                <w:b/>
                <w:lang w:val="es-US"/>
              </w:rPr>
              <w:t xml:space="preserve">      </w:t>
            </w:r>
            <w:r w:rsidRPr="008A1A3C">
              <w:rPr>
                <w:b/>
              </w:rPr>
              <w:t>Respondent</w:t>
            </w:r>
          </w:p>
          <w:p w14:paraId="04A83310" w14:textId="2C28D61C" w:rsidR="00FA0296" w:rsidRPr="00F720F8" w:rsidRDefault="00FA0296" w:rsidP="00DC7D2A">
            <w:pPr>
              <w:pStyle w:val="Header"/>
              <w:tabs>
                <w:tab w:val="left" w:pos="681"/>
                <w:tab w:val="left" w:pos="1401"/>
              </w:tabs>
              <w:rPr>
                <w:b/>
              </w:rPr>
            </w:pPr>
          </w:p>
        </w:tc>
        <w:tc>
          <w:tcPr>
            <w:tcW w:w="4590" w:type="dxa"/>
            <w:tcBorders>
              <w:top w:val="single" w:sz="6" w:space="0" w:color="FFFFFF"/>
              <w:left w:val="single" w:sz="6" w:space="0" w:color="000000"/>
              <w:bottom w:val="single" w:sz="6" w:space="0" w:color="FFFFFF"/>
              <w:right w:val="single" w:sz="6" w:space="0" w:color="FFFFFF"/>
            </w:tcBorders>
          </w:tcPr>
          <w:p w14:paraId="01EEBC75" w14:textId="77777777" w:rsidR="00395EE2" w:rsidRDefault="00395EE2" w:rsidP="00395EE2">
            <w:pPr>
              <w:pStyle w:val="Header"/>
              <w:ind w:left="416"/>
              <w:rPr>
                <w:b/>
              </w:rPr>
            </w:pPr>
            <w:r w:rsidRPr="00242904">
              <w:rPr>
                <w:b/>
              </w:rPr>
              <w:t>DOCKETS UE-1</w:t>
            </w:r>
            <w:r>
              <w:rPr>
                <w:b/>
              </w:rPr>
              <w:t xml:space="preserve">50204 and </w:t>
            </w:r>
          </w:p>
          <w:p w14:paraId="3EC098FD" w14:textId="77777777" w:rsidR="00395EE2" w:rsidRPr="00242904" w:rsidRDefault="00395EE2" w:rsidP="00395EE2">
            <w:pPr>
              <w:pStyle w:val="Header"/>
              <w:ind w:left="416"/>
              <w:rPr>
                <w:b/>
              </w:rPr>
            </w:pPr>
            <w:r w:rsidRPr="00242904">
              <w:rPr>
                <w:b/>
              </w:rPr>
              <w:t>UG-1</w:t>
            </w:r>
            <w:r>
              <w:rPr>
                <w:b/>
              </w:rPr>
              <w:t>50205</w:t>
            </w:r>
          </w:p>
          <w:p w14:paraId="7DB9FC7F" w14:textId="77777777" w:rsidR="00395EE2" w:rsidRPr="00242904" w:rsidRDefault="00395EE2" w:rsidP="00395EE2">
            <w:pPr>
              <w:pStyle w:val="Header"/>
              <w:ind w:left="1496" w:hanging="1080"/>
              <w:rPr>
                <w:b/>
                <w:i/>
              </w:rPr>
            </w:pPr>
            <w:r w:rsidRPr="00242904">
              <w:rPr>
                <w:b/>
              </w:rPr>
              <w:t>(</w:t>
            </w:r>
            <w:r>
              <w:rPr>
                <w:b/>
                <w:i/>
              </w:rPr>
              <w:t>Consolidated</w:t>
            </w:r>
            <w:r w:rsidRPr="00242904">
              <w:rPr>
                <w:b/>
                <w:i/>
              </w:rPr>
              <w:t>)</w:t>
            </w:r>
          </w:p>
          <w:p w14:paraId="43BBA8C1" w14:textId="4E6004DF" w:rsidR="00FA0296" w:rsidRPr="00F720F8" w:rsidRDefault="00FA0296" w:rsidP="001B5C88">
            <w:pPr>
              <w:ind w:firstLine="720"/>
              <w:rPr>
                <w:b/>
              </w:rPr>
            </w:pPr>
          </w:p>
        </w:tc>
      </w:tr>
    </w:tbl>
    <w:p w14:paraId="0B0AA722" w14:textId="77777777" w:rsidR="004026AD" w:rsidRPr="00F720F8" w:rsidRDefault="004026AD" w:rsidP="004026AD">
      <w:pPr>
        <w:rPr>
          <w:rFonts w:eastAsia="Times New Roman"/>
          <w:b/>
          <w:bCs/>
        </w:rPr>
      </w:pPr>
    </w:p>
    <w:p w14:paraId="1CCB8BB5" w14:textId="77777777" w:rsidR="00CB69DE" w:rsidRPr="00F720F8" w:rsidRDefault="00CB69DE" w:rsidP="004026AD">
      <w:pPr>
        <w:rPr>
          <w:rFonts w:eastAsia="Times New Roman"/>
          <w:b/>
          <w:bCs/>
        </w:rPr>
      </w:pPr>
    </w:p>
    <w:p w14:paraId="0B0AA723" w14:textId="77777777" w:rsidR="00D50AB7" w:rsidRPr="00F720F8" w:rsidRDefault="00D50AB7" w:rsidP="004026AD">
      <w:pPr>
        <w:jc w:val="center"/>
        <w:rPr>
          <w:rFonts w:eastAsia="Times New Roman"/>
          <w:b/>
          <w:bCs/>
        </w:rPr>
      </w:pPr>
    </w:p>
    <w:p w14:paraId="0B0AA724" w14:textId="77777777" w:rsidR="004026AD" w:rsidRPr="00F720F8" w:rsidRDefault="004026AD" w:rsidP="004026AD">
      <w:pPr>
        <w:jc w:val="center"/>
        <w:rPr>
          <w:rFonts w:eastAsia="Times New Roman"/>
          <w:b/>
          <w:bCs/>
        </w:rPr>
      </w:pPr>
      <w:r w:rsidRPr="00F720F8">
        <w:rPr>
          <w:rFonts w:eastAsia="Times New Roman"/>
          <w:b/>
          <w:bCs/>
        </w:rPr>
        <w:t>TESTIMONY OF</w:t>
      </w:r>
    </w:p>
    <w:p w14:paraId="0B0AA725" w14:textId="77777777" w:rsidR="004026AD" w:rsidRPr="00F720F8" w:rsidRDefault="004026AD" w:rsidP="004026AD">
      <w:pPr>
        <w:jc w:val="center"/>
        <w:rPr>
          <w:rFonts w:eastAsia="Times New Roman"/>
          <w:b/>
          <w:bCs/>
        </w:rPr>
      </w:pPr>
    </w:p>
    <w:p w14:paraId="0B0AA726" w14:textId="77777777" w:rsidR="004026AD" w:rsidRPr="00F720F8" w:rsidRDefault="00CC09B5" w:rsidP="004026AD">
      <w:pPr>
        <w:jc w:val="center"/>
        <w:rPr>
          <w:rFonts w:eastAsia="Times New Roman"/>
          <w:b/>
          <w:bCs/>
        </w:rPr>
      </w:pPr>
      <w:r w:rsidRPr="00F720F8">
        <w:rPr>
          <w:rFonts w:eastAsia="Times New Roman"/>
          <w:b/>
          <w:bCs/>
        </w:rPr>
        <w:t>Jason L. Ball</w:t>
      </w:r>
    </w:p>
    <w:p w14:paraId="0B0AA727" w14:textId="77777777" w:rsidR="004026AD" w:rsidRPr="00F720F8" w:rsidRDefault="004026AD" w:rsidP="004026AD">
      <w:pPr>
        <w:jc w:val="center"/>
        <w:rPr>
          <w:rFonts w:eastAsia="Times New Roman"/>
          <w:b/>
          <w:bCs/>
        </w:rPr>
      </w:pPr>
    </w:p>
    <w:p w14:paraId="0B0AA728" w14:textId="77777777" w:rsidR="004026AD" w:rsidRPr="00F720F8" w:rsidRDefault="004026AD" w:rsidP="004026AD">
      <w:pPr>
        <w:jc w:val="center"/>
        <w:rPr>
          <w:rFonts w:eastAsia="Times New Roman"/>
          <w:b/>
          <w:bCs/>
        </w:rPr>
      </w:pPr>
      <w:r w:rsidRPr="00F720F8">
        <w:rPr>
          <w:rFonts w:eastAsia="Times New Roman"/>
          <w:b/>
          <w:bCs/>
        </w:rPr>
        <w:t>STAFF OF</w:t>
      </w:r>
    </w:p>
    <w:p w14:paraId="0B0AA729" w14:textId="77777777" w:rsidR="004026AD" w:rsidRPr="00F720F8" w:rsidRDefault="004026AD" w:rsidP="004026AD">
      <w:pPr>
        <w:jc w:val="center"/>
        <w:rPr>
          <w:rFonts w:eastAsia="Times New Roman"/>
          <w:b/>
          <w:bCs/>
        </w:rPr>
      </w:pPr>
      <w:r w:rsidRPr="00F720F8">
        <w:rPr>
          <w:rFonts w:eastAsia="Times New Roman"/>
          <w:b/>
          <w:bCs/>
        </w:rPr>
        <w:t>WASHINGTON UTILITIES AND</w:t>
      </w:r>
    </w:p>
    <w:p w14:paraId="0B0AA72A" w14:textId="77777777" w:rsidR="004026AD" w:rsidRPr="00F720F8" w:rsidRDefault="004026AD" w:rsidP="004026AD">
      <w:pPr>
        <w:jc w:val="center"/>
        <w:rPr>
          <w:rFonts w:eastAsia="Times New Roman"/>
          <w:b/>
          <w:bCs/>
        </w:rPr>
      </w:pPr>
      <w:r w:rsidRPr="00F720F8">
        <w:rPr>
          <w:rFonts w:eastAsia="Times New Roman"/>
          <w:b/>
          <w:bCs/>
        </w:rPr>
        <w:t>TRANSPORTATION COMMISSION</w:t>
      </w:r>
    </w:p>
    <w:p w14:paraId="0B0AA72B" w14:textId="77777777" w:rsidR="004026AD" w:rsidRPr="00F720F8" w:rsidRDefault="004026AD" w:rsidP="004026AD">
      <w:pPr>
        <w:jc w:val="center"/>
        <w:rPr>
          <w:rFonts w:eastAsia="Times New Roman"/>
          <w:b/>
          <w:bCs/>
        </w:rPr>
      </w:pPr>
    </w:p>
    <w:p w14:paraId="0B0AA72C" w14:textId="77777777" w:rsidR="004026AD" w:rsidRPr="00F720F8" w:rsidRDefault="004026AD" w:rsidP="004026AD">
      <w:pPr>
        <w:jc w:val="center"/>
        <w:rPr>
          <w:rFonts w:eastAsia="Times New Roman"/>
          <w:b/>
          <w:bCs/>
        </w:rPr>
      </w:pPr>
    </w:p>
    <w:p w14:paraId="4C2D547B" w14:textId="77777777" w:rsidR="00CB69DE" w:rsidRPr="00F720F8" w:rsidRDefault="00CB69DE" w:rsidP="004026AD">
      <w:pPr>
        <w:jc w:val="center"/>
        <w:rPr>
          <w:rFonts w:eastAsia="Times New Roman"/>
          <w:b/>
          <w:bCs/>
        </w:rPr>
      </w:pPr>
    </w:p>
    <w:p w14:paraId="7F9ECEE0" w14:textId="7EC28F9C" w:rsidR="00466A9C" w:rsidRPr="00CB69DE" w:rsidRDefault="00466A9C" w:rsidP="00466A9C">
      <w:pPr>
        <w:jc w:val="center"/>
        <w:rPr>
          <w:rFonts w:eastAsia="Times New Roman"/>
          <w:b/>
          <w:i/>
        </w:rPr>
      </w:pPr>
      <w:r w:rsidRPr="00CB69DE">
        <w:rPr>
          <w:rFonts w:eastAsia="Times New Roman"/>
          <w:b/>
          <w:i/>
        </w:rPr>
        <w:t>Restating Adjustments</w:t>
      </w:r>
      <w:r w:rsidR="00CB69DE">
        <w:rPr>
          <w:rFonts w:eastAsia="Times New Roman"/>
          <w:b/>
          <w:bCs/>
          <w:i/>
        </w:rPr>
        <w:t xml:space="preserve"> and </w:t>
      </w:r>
      <w:r w:rsidRPr="00CB69DE">
        <w:rPr>
          <w:rFonts w:eastAsia="Times New Roman"/>
          <w:b/>
          <w:i/>
        </w:rPr>
        <w:t>Expense Adjustments</w:t>
      </w:r>
    </w:p>
    <w:p w14:paraId="0B0AA730" w14:textId="77777777" w:rsidR="004026AD" w:rsidRPr="00F720F8" w:rsidRDefault="004026AD" w:rsidP="004026AD">
      <w:pPr>
        <w:jc w:val="center"/>
        <w:rPr>
          <w:rFonts w:eastAsia="Times New Roman"/>
          <w:b/>
          <w:bCs/>
        </w:rPr>
      </w:pPr>
    </w:p>
    <w:p w14:paraId="176088E8" w14:textId="77777777" w:rsidR="00CB69DE" w:rsidRPr="00F720F8" w:rsidRDefault="00CB69DE" w:rsidP="004026AD">
      <w:pPr>
        <w:jc w:val="center"/>
        <w:rPr>
          <w:rFonts w:eastAsia="Times New Roman"/>
          <w:b/>
          <w:bCs/>
        </w:rPr>
      </w:pPr>
    </w:p>
    <w:p w14:paraId="0B0AA731" w14:textId="0838B0C7" w:rsidR="004026AD" w:rsidRPr="00F720F8" w:rsidRDefault="001B5C88" w:rsidP="004026AD">
      <w:pPr>
        <w:jc w:val="center"/>
        <w:rPr>
          <w:rFonts w:eastAsia="Times New Roman"/>
          <w:b/>
          <w:bCs/>
        </w:rPr>
      </w:pPr>
      <w:r w:rsidRPr="00466A9C">
        <w:rPr>
          <w:rFonts w:eastAsia="Times New Roman"/>
          <w:b/>
          <w:bCs/>
        </w:rPr>
        <w:t xml:space="preserve">July </w:t>
      </w:r>
      <w:r w:rsidR="00466A9C" w:rsidRPr="00466A9C">
        <w:rPr>
          <w:rFonts w:eastAsia="Times New Roman"/>
          <w:b/>
          <w:bCs/>
        </w:rPr>
        <w:t>27</w:t>
      </w:r>
      <w:r w:rsidRPr="00466A9C">
        <w:rPr>
          <w:rFonts w:eastAsia="Times New Roman"/>
          <w:b/>
          <w:bCs/>
        </w:rPr>
        <w:t>, 2015</w:t>
      </w:r>
    </w:p>
    <w:p w14:paraId="0B0AA732" w14:textId="77777777" w:rsidR="004026AD" w:rsidRPr="00F720F8" w:rsidRDefault="004026AD" w:rsidP="004026AD">
      <w:pPr>
        <w:jc w:val="center"/>
        <w:rPr>
          <w:rFonts w:eastAsia="Times New Roman"/>
          <w:b/>
          <w:bCs/>
        </w:rPr>
      </w:pPr>
    </w:p>
    <w:p w14:paraId="0B0AA733" w14:textId="77777777" w:rsidR="004026AD" w:rsidRPr="00F720F8" w:rsidRDefault="004026AD" w:rsidP="004026AD">
      <w:pPr>
        <w:jc w:val="center"/>
        <w:rPr>
          <w:rFonts w:eastAsia="Times New Roman"/>
          <w:b/>
          <w:bCs/>
        </w:rPr>
      </w:pPr>
    </w:p>
    <w:p w14:paraId="0B0AA734" w14:textId="77777777" w:rsidR="004026AD" w:rsidRPr="00F720F8" w:rsidRDefault="004026AD" w:rsidP="004026AD">
      <w:pPr>
        <w:jc w:val="center"/>
        <w:rPr>
          <w:rFonts w:eastAsia="Times New Roman"/>
          <w:b/>
          <w:bCs/>
        </w:rPr>
      </w:pPr>
    </w:p>
    <w:p w14:paraId="0B0AA735" w14:textId="77777777" w:rsidR="004026AD" w:rsidRPr="00F720F8" w:rsidRDefault="004026AD" w:rsidP="004026AD">
      <w:pPr>
        <w:jc w:val="center"/>
        <w:rPr>
          <w:rFonts w:eastAsia="Times New Roman"/>
          <w:b/>
          <w:bCs/>
        </w:rPr>
      </w:pPr>
    </w:p>
    <w:p w14:paraId="0B0AA737" w14:textId="77777777" w:rsidR="004026AD" w:rsidRPr="00F720F8" w:rsidRDefault="004026AD" w:rsidP="004026AD">
      <w:pPr>
        <w:tabs>
          <w:tab w:val="center" w:pos="4680"/>
        </w:tabs>
        <w:rPr>
          <w:rFonts w:eastAsia="Times New Roman"/>
          <w:b/>
          <w:bCs/>
        </w:rPr>
      </w:pPr>
    </w:p>
    <w:p w14:paraId="0B0AA738" w14:textId="77777777" w:rsidR="004026AD" w:rsidRPr="00F720F8" w:rsidRDefault="004026AD" w:rsidP="004026AD">
      <w:pPr>
        <w:jc w:val="center"/>
        <w:rPr>
          <w:rFonts w:eastAsia="Times New Roman"/>
          <w:b/>
        </w:rPr>
        <w:sectPr w:rsidR="004026AD" w:rsidRPr="00F720F8" w:rsidSect="00BD533D">
          <w:footerReference w:type="default" r:id="rId11"/>
          <w:type w:val="continuous"/>
          <w:pgSz w:w="12240" w:h="15840" w:code="1"/>
          <w:pgMar w:top="1440" w:right="1440" w:bottom="1440" w:left="1872" w:header="720" w:footer="720" w:gutter="0"/>
          <w:pgNumType w:start="1"/>
          <w:cols w:space="720"/>
          <w:titlePg/>
          <w:docGrid w:linePitch="360"/>
        </w:sectPr>
      </w:pPr>
    </w:p>
    <w:p w14:paraId="0B0AA739" w14:textId="0E4B1106" w:rsidR="008004C0" w:rsidRPr="00F720F8" w:rsidRDefault="008004C0" w:rsidP="005F4293">
      <w:pPr>
        <w:spacing w:after="240"/>
        <w:jc w:val="center"/>
        <w:rPr>
          <w:rFonts w:eastAsia="Times New Roman"/>
          <w:b/>
        </w:rPr>
      </w:pPr>
      <w:r w:rsidRPr="00F720F8">
        <w:rPr>
          <w:rFonts w:eastAsia="Times New Roman"/>
          <w:b/>
        </w:rPr>
        <w:lastRenderedPageBreak/>
        <w:t>TABLE OF CONTENTS</w:t>
      </w:r>
    </w:p>
    <w:p w14:paraId="0D18FDB6" w14:textId="21EA32A9" w:rsidR="005C74B0" w:rsidRDefault="005C74B0" w:rsidP="006F77B6">
      <w:pPr>
        <w:pStyle w:val="TOC1"/>
      </w:pPr>
      <w:r>
        <w:t>INTRODUCTION</w:t>
      </w:r>
      <w:r>
        <w:tab/>
        <w:t>1</w:t>
      </w:r>
    </w:p>
    <w:p w14:paraId="596AF94E" w14:textId="539D1F0E" w:rsidR="00FD634C" w:rsidRDefault="005C74B0" w:rsidP="006F77B6">
      <w:pPr>
        <w:pStyle w:val="TOC1"/>
      </w:pPr>
      <w:r>
        <w:t>SCOPE OF TESTIMONY</w:t>
      </w:r>
      <w:r>
        <w:tab/>
        <w:t>2</w:t>
      </w:r>
    </w:p>
    <w:p w14:paraId="6903507D" w14:textId="5F3970F3" w:rsidR="005C74B0" w:rsidRDefault="005C74B0" w:rsidP="006F77B6">
      <w:pPr>
        <w:pStyle w:val="TOC1"/>
      </w:pPr>
      <w:r>
        <w:t>GUIDANCE ON PRO</w:t>
      </w:r>
      <w:r w:rsidR="007341F0">
        <w:t xml:space="preserve"> </w:t>
      </w:r>
      <w:r>
        <w:t>FORMA ADJUSTMENTS</w:t>
      </w:r>
      <w:r>
        <w:tab/>
        <w:t>4</w:t>
      </w:r>
    </w:p>
    <w:p w14:paraId="6E4841BB" w14:textId="77777777" w:rsidR="00FD634C" w:rsidRDefault="005C74B0" w:rsidP="006F77B6">
      <w:pPr>
        <w:pStyle w:val="TOC1"/>
      </w:pPr>
      <w:r>
        <w:t>OPERATIONS &amp; MAINTENANCE EXPENSE</w:t>
      </w:r>
      <w:r>
        <w:tab/>
        <w:t>5</w:t>
      </w:r>
    </w:p>
    <w:p w14:paraId="5282B564" w14:textId="77777777" w:rsidR="002B71A0" w:rsidRDefault="002B71A0" w:rsidP="000279CE">
      <w:pPr>
        <w:pStyle w:val="TOC2"/>
      </w:pPr>
      <w:r>
        <w:t>A.</w:t>
      </w:r>
      <w:r>
        <w:tab/>
      </w:r>
      <w:r w:rsidR="005C74B0">
        <w:t>Multi-Party Settlement</w:t>
      </w:r>
      <w:r w:rsidR="005C74B0">
        <w:tab/>
        <w:t>5</w:t>
      </w:r>
    </w:p>
    <w:p w14:paraId="4B27501A" w14:textId="77777777" w:rsidR="002B71A0" w:rsidRDefault="002B71A0" w:rsidP="000279CE">
      <w:pPr>
        <w:pStyle w:val="TOC2"/>
      </w:pPr>
      <w:r>
        <w:t>B.</w:t>
      </w:r>
      <w:r>
        <w:tab/>
        <w:t>A</w:t>
      </w:r>
      <w:r w:rsidR="005C74B0">
        <w:t>djustment 3.10 (Electric) - Pro Forma Major Maintenance Hydro-Thermal-Other</w:t>
      </w:r>
      <w:r w:rsidR="005C74B0">
        <w:tab/>
        <w:t>7</w:t>
      </w:r>
    </w:p>
    <w:p w14:paraId="5A3BE0D6" w14:textId="3E38DDD2" w:rsidR="005C74B0" w:rsidRDefault="005C74B0" w:rsidP="000279CE">
      <w:pPr>
        <w:pStyle w:val="TOC2"/>
      </w:pPr>
      <w:r>
        <w:t>C.</w:t>
      </w:r>
      <w:r>
        <w:tab/>
        <w:t>Adjustment 3.13 – Colstrip &amp; Coyote Springs 2 Operations and Maintenance Expense</w:t>
      </w:r>
      <w:r>
        <w:tab/>
        <w:t>10</w:t>
      </w:r>
    </w:p>
    <w:p w14:paraId="462D522D" w14:textId="6154168D" w:rsidR="005C74B0" w:rsidRDefault="002B71A0" w:rsidP="00F53E7B">
      <w:pPr>
        <w:pStyle w:val="TOC3"/>
        <w:rPr>
          <w:noProof/>
        </w:rPr>
      </w:pPr>
      <w:r>
        <w:rPr>
          <w:noProof/>
        </w:rPr>
        <w:t>1.</w:t>
      </w:r>
      <w:r>
        <w:rPr>
          <w:noProof/>
        </w:rPr>
        <w:tab/>
      </w:r>
      <w:r w:rsidR="005C74B0">
        <w:rPr>
          <w:noProof/>
        </w:rPr>
        <w:t>Colstrip and CS2 Test Year O&amp;M Expense</w:t>
      </w:r>
      <w:r w:rsidR="005C74B0">
        <w:rPr>
          <w:noProof/>
        </w:rPr>
        <w:tab/>
        <w:t>11</w:t>
      </w:r>
    </w:p>
    <w:p w14:paraId="53B6596B" w14:textId="1950923C" w:rsidR="005C74B0" w:rsidRDefault="005C74B0" w:rsidP="00F53E7B">
      <w:pPr>
        <w:pStyle w:val="TOC3"/>
        <w:rPr>
          <w:noProof/>
        </w:rPr>
      </w:pPr>
      <w:r>
        <w:rPr>
          <w:noProof/>
        </w:rPr>
        <w:t>2.</w:t>
      </w:r>
      <w:r>
        <w:rPr>
          <w:noProof/>
        </w:rPr>
        <w:tab/>
        <w:t>Colstrip and CS2 Overhauls</w:t>
      </w:r>
      <w:r>
        <w:rPr>
          <w:noProof/>
        </w:rPr>
        <w:tab/>
        <w:t>12</w:t>
      </w:r>
    </w:p>
    <w:p w14:paraId="15914C3E" w14:textId="729BECC7" w:rsidR="005C74B0" w:rsidRDefault="005C74B0" w:rsidP="006F77B6">
      <w:pPr>
        <w:pStyle w:val="TOC1"/>
      </w:pPr>
      <w:r>
        <w:t>OTHER PRO FORMA ADJUSTMENTS</w:t>
      </w:r>
      <w:r>
        <w:tab/>
        <w:t>16</w:t>
      </w:r>
    </w:p>
    <w:p w14:paraId="0226AF5C" w14:textId="4F645D10" w:rsidR="005C74B0" w:rsidRDefault="005C74B0" w:rsidP="000279CE">
      <w:pPr>
        <w:pStyle w:val="TOC2"/>
      </w:pPr>
      <w:r>
        <w:t>A.</w:t>
      </w:r>
      <w:r>
        <w:tab/>
        <w:t>Adjustment 3.01 (Electric) - Transmission Revenue &amp; Expenses</w:t>
      </w:r>
      <w:r>
        <w:tab/>
        <w:t>16</w:t>
      </w:r>
    </w:p>
    <w:p w14:paraId="2121FED1" w14:textId="4A18A8E5" w:rsidR="005C74B0" w:rsidRDefault="005C74B0" w:rsidP="000279CE">
      <w:pPr>
        <w:pStyle w:val="TOC2"/>
      </w:pPr>
      <w:r>
        <w:t>B.</w:t>
      </w:r>
      <w:r>
        <w:tab/>
      </w:r>
      <w:r w:rsidRPr="006F77B6">
        <w:t>Adjustment</w:t>
      </w:r>
      <w:r>
        <w:t xml:space="preserve"> 3.02 (Electric) &amp; Adjustment 3.00 (Gas) - Pro Forma Labor </w:t>
      </w:r>
      <w:r w:rsidR="006F77B6">
        <w:br/>
      </w:r>
      <w:r w:rsidR="00346AF2">
        <w:t>Non-Executive.</w:t>
      </w:r>
      <w:r w:rsidR="00346AF2">
        <w:tab/>
        <w:t>19</w:t>
      </w:r>
    </w:p>
    <w:p w14:paraId="303959B7" w14:textId="77777777" w:rsidR="005C74B0" w:rsidRDefault="005C74B0" w:rsidP="000279CE">
      <w:pPr>
        <w:pStyle w:val="TOC2"/>
      </w:pPr>
      <w:r>
        <w:t>C.</w:t>
      </w:r>
      <w:r>
        <w:tab/>
        <w:t>Adjustment 3.03 (Electric) &amp; Adjustment 3.01 (Gas) - Pro Forma Labor Executive</w:t>
      </w:r>
      <w:r>
        <w:tab/>
        <w:t>20</w:t>
      </w:r>
    </w:p>
    <w:p w14:paraId="23339E65" w14:textId="5009CA05" w:rsidR="005C74B0" w:rsidRDefault="005C74B0" w:rsidP="000279CE">
      <w:pPr>
        <w:pStyle w:val="TOC2"/>
      </w:pPr>
      <w:r>
        <w:t>D.</w:t>
      </w:r>
      <w:r>
        <w:tab/>
        <w:t xml:space="preserve">Adjustment 3.04 (Electric) &amp; Adjustment 3.02 (Gas) </w:t>
      </w:r>
      <w:r w:rsidR="00346AF2">
        <w:t>- Pro Forma Employee Benefits</w:t>
      </w:r>
      <w:r w:rsidR="00346AF2">
        <w:tab/>
        <w:t>22</w:t>
      </w:r>
    </w:p>
    <w:p w14:paraId="0E504529" w14:textId="77777777" w:rsidR="005C74B0" w:rsidRDefault="005C74B0" w:rsidP="000279CE">
      <w:pPr>
        <w:pStyle w:val="TOC2"/>
      </w:pPr>
      <w:r>
        <w:t>E.</w:t>
      </w:r>
      <w:r>
        <w:tab/>
        <w:t>Adjustment 3.05 (Electric) &amp; Adjustment 3.03 (Gas) - Pro Forma Insurance Expense</w:t>
      </w:r>
      <w:r>
        <w:tab/>
        <w:t>23</w:t>
      </w:r>
    </w:p>
    <w:p w14:paraId="3879FFC6" w14:textId="77777777" w:rsidR="005C74B0" w:rsidRDefault="005C74B0" w:rsidP="000279CE">
      <w:pPr>
        <w:pStyle w:val="TOC2"/>
      </w:pPr>
      <w:r>
        <w:t>F.</w:t>
      </w:r>
      <w:r>
        <w:tab/>
        <w:t>Adjustment 3.07 (Electric and Gas) - Pro Forma Information Technology/Services Expense</w:t>
      </w:r>
      <w:r>
        <w:tab/>
        <w:t>24</w:t>
      </w:r>
    </w:p>
    <w:p w14:paraId="3B562C84" w14:textId="707A71D6" w:rsidR="005C74B0" w:rsidRDefault="005C74B0" w:rsidP="006F77B6">
      <w:pPr>
        <w:pStyle w:val="TOC1"/>
        <w:jc w:val="center"/>
      </w:pPr>
      <w:r>
        <w:t>RESTATING ADJUSTMENTS</w:t>
      </w:r>
      <w:r>
        <w:tab/>
        <w:t>27</w:t>
      </w:r>
    </w:p>
    <w:p w14:paraId="73F698C5" w14:textId="77777777" w:rsidR="005C74B0" w:rsidRDefault="005C74B0" w:rsidP="000279CE">
      <w:pPr>
        <w:pStyle w:val="TOC2"/>
      </w:pPr>
      <w:r>
        <w:t>A.</w:t>
      </w:r>
      <w:r>
        <w:tab/>
        <w:t>Adjustment 2.08 (Electric &amp; Gas) - Restate Excise Tax</w:t>
      </w:r>
      <w:r>
        <w:tab/>
        <w:t>27</w:t>
      </w:r>
    </w:p>
    <w:p w14:paraId="564FAF15" w14:textId="77777777" w:rsidR="005C74B0" w:rsidRDefault="005C74B0" w:rsidP="000279CE">
      <w:pPr>
        <w:pStyle w:val="TOC2"/>
      </w:pPr>
      <w:r>
        <w:t>B.</w:t>
      </w:r>
      <w:r>
        <w:tab/>
        <w:t>Adjustment 2.09 - Net Gains/Losses</w:t>
      </w:r>
      <w:r>
        <w:tab/>
        <w:t>28</w:t>
      </w:r>
    </w:p>
    <w:p w14:paraId="49FC99A9" w14:textId="449857B7" w:rsidR="005C74B0" w:rsidRDefault="005C74B0" w:rsidP="000279CE">
      <w:pPr>
        <w:pStyle w:val="TOC2"/>
      </w:pPr>
      <w:r>
        <w:t>C.</w:t>
      </w:r>
      <w:r>
        <w:tab/>
        <w:t>Adjustment 2.18 (Electric) &amp; Adjustment 2.15 (Gas) - Remove Restricted Stock Units included in Long Term Incentive Plan</w:t>
      </w:r>
      <w:r>
        <w:tab/>
        <w:t>29</w:t>
      </w:r>
    </w:p>
    <w:p w14:paraId="6D39D76A" w14:textId="77777777" w:rsidR="000279CE" w:rsidRDefault="000279CE" w:rsidP="000279CE">
      <w:pPr>
        <w:spacing w:line="276" w:lineRule="auto"/>
        <w:jc w:val="center"/>
        <w:rPr>
          <w:b/>
          <w:bCs/>
          <w:noProof/>
        </w:rPr>
      </w:pPr>
    </w:p>
    <w:p w14:paraId="4AD4EE4C" w14:textId="5079C0F4" w:rsidR="003B1A28" w:rsidRPr="00F720F8" w:rsidRDefault="003B1A28" w:rsidP="003B1A28">
      <w:pPr>
        <w:spacing w:line="480" w:lineRule="auto"/>
        <w:jc w:val="center"/>
        <w:rPr>
          <w:b/>
          <w:bCs/>
          <w:noProof/>
        </w:rPr>
      </w:pPr>
      <w:r w:rsidRPr="00F720F8">
        <w:rPr>
          <w:b/>
          <w:bCs/>
          <w:noProof/>
        </w:rPr>
        <w:t>LIST OF EXHIBITS</w:t>
      </w:r>
    </w:p>
    <w:p w14:paraId="38C3BAD0" w14:textId="2D87FEFA" w:rsidR="003C502C" w:rsidRPr="00D03D35" w:rsidRDefault="003C502C" w:rsidP="00C1573E">
      <w:pPr>
        <w:ind w:left="720"/>
        <w:rPr>
          <w:bCs/>
          <w:noProof/>
        </w:rPr>
      </w:pPr>
      <w:r w:rsidRPr="00D03D35">
        <w:rPr>
          <w:bCs/>
          <w:noProof/>
        </w:rPr>
        <w:t>Exhibit No.</w:t>
      </w:r>
      <w:r w:rsidR="00193AFA">
        <w:rPr>
          <w:bCs/>
          <w:noProof/>
        </w:rPr>
        <w:t xml:space="preserve"> </w:t>
      </w:r>
      <w:r w:rsidRPr="00D03D35">
        <w:rPr>
          <w:bCs/>
          <w:noProof/>
        </w:rPr>
        <w:t>___</w:t>
      </w:r>
      <w:r w:rsidR="00EC6649">
        <w:rPr>
          <w:bCs/>
          <w:noProof/>
        </w:rPr>
        <w:t xml:space="preserve"> </w:t>
      </w:r>
      <w:r w:rsidRPr="00D03D35">
        <w:rPr>
          <w:bCs/>
          <w:noProof/>
        </w:rPr>
        <w:t>(JLB-</w:t>
      </w:r>
      <w:r w:rsidR="003F788B" w:rsidRPr="00D03D35">
        <w:rPr>
          <w:bCs/>
          <w:noProof/>
        </w:rPr>
        <w:t>2C</w:t>
      </w:r>
      <w:r w:rsidR="00C1573E" w:rsidRPr="00D03D35">
        <w:rPr>
          <w:bCs/>
          <w:noProof/>
        </w:rPr>
        <w:t>)</w:t>
      </w:r>
      <w:r w:rsidR="003F788B" w:rsidRPr="00D03D35">
        <w:rPr>
          <w:bCs/>
          <w:noProof/>
        </w:rPr>
        <w:t xml:space="preserve"> – </w:t>
      </w:r>
      <w:r w:rsidR="00D03D35" w:rsidRPr="00D03D35">
        <w:rPr>
          <w:bCs/>
          <w:noProof/>
        </w:rPr>
        <w:t>Electric Adjustments</w:t>
      </w:r>
    </w:p>
    <w:p w14:paraId="42692C25" w14:textId="23CAA70D" w:rsidR="000A2B6E" w:rsidRDefault="00193AFA" w:rsidP="00FA0296">
      <w:pPr>
        <w:ind w:left="720"/>
        <w:rPr>
          <w:bCs/>
          <w:noProof/>
        </w:rPr>
      </w:pPr>
      <w:r>
        <w:rPr>
          <w:bCs/>
          <w:noProof/>
        </w:rPr>
        <w:t xml:space="preserve">Exhibit No. </w:t>
      </w:r>
      <w:r w:rsidR="003F788B" w:rsidRPr="00D03D35">
        <w:rPr>
          <w:bCs/>
          <w:noProof/>
        </w:rPr>
        <w:t>___</w:t>
      </w:r>
      <w:r w:rsidR="00EC6649">
        <w:rPr>
          <w:bCs/>
          <w:noProof/>
        </w:rPr>
        <w:t xml:space="preserve"> </w:t>
      </w:r>
      <w:r w:rsidR="003F788B" w:rsidRPr="00D03D35">
        <w:rPr>
          <w:bCs/>
          <w:noProof/>
        </w:rPr>
        <w:t xml:space="preserve">(JLB-3) – </w:t>
      </w:r>
      <w:r w:rsidR="00D03D35" w:rsidRPr="00D03D35">
        <w:rPr>
          <w:bCs/>
          <w:noProof/>
        </w:rPr>
        <w:t>Gas Adjustments</w:t>
      </w:r>
    </w:p>
    <w:p w14:paraId="4CAC658B" w14:textId="0851D44D" w:rsidR="0011555D" w:rsidRDefault="00D03D35" w:rsidP="00FA0296">
      <w:pPr>
        <w:ind w:left="720"/>
        <w:rPr>
          <w:bCs/>
          <w:noProof/>
        </w:rPr>
      </w:pPr>
      <w:r>
        <w:rPr>
          <w:bCs/>
          <w:noProof/>
        </w:rPr>
        <w:t>Exhibit No. ___</w:t>
      </w:r>
      <w:r w:rsidR="00EC6649">
        <w:rPr>
          <w:bCs/>
          <w:noProof/>
        </w:rPr>
        <w:t xml:space="preserve"> </w:t>
      </w:r>
      <w:r>
        <w:rPr>
          <w:bCs/>
          <w:noProof/>
        </w:rPr>
        <w:t>(JLB-4</w:t>
      </w:r>
      <w:r w:rsidR="00063125">
        <w:rPr>
          <w:bCs/>
          <w:noProof/>
        </w:rPr>
        <w:t>C</w:t>
      </w:r>
      <w:r>
        <w:rPr>
          <w:bCs/>
          <w:noProof/>
        </w:rPr>
        <w:t>)</w:t>
      </w:r>
      <w:r w:rsidR="00645E15">
        <w:rPr>
          <w:bCs/>
          <w:noProof/>
        </w:rPr>
        <w:t xml:space="preserve"> – </w:t>
      </w:r>
      <w:r w:rsidR="00D67C60">
        <w:rPr>
          <w:bCs/>
          <w:noProof/>
        </w:rPr>
        <w:t xml:space="preserve">Colstrip &amp; </w:t>
      </w:r>
      <w:r w:rsidR="0011555D">
        <w:rPr>
          <w:bCs/>
          <w:noProof/>
        </w:rPr>
        <w:t>CS2 O&amp;M</w:t>
      </w:r>
    </w:p>
    <w:p w14:paraId="0774181B" w14:textId="6A1BB8E3" w:rsidR="00D03D35" w:rsidRDefault="0011555D" w:rsidP="00FA0296">
      <w:pPr>
        <w:ind w:left="720"/>
        <w:rPr>
          <w:bCs/>
          <w:noProof/>
        </w:rPr>
      </w:pPr>
      <w:r>
        <w:rPr>
          <w:bCs/>
          <w:noProof/>
        </w:rPr>
        <w:t>Exhibit No.</w:t>
      </w:r>
      <w:r w:rsidR="00193AFA">
        <w:rPr>
          <w:bCs/>
          <w:noProof/>
        </w:rPr>
        <w:t xml:space="preserve"> </w:t>
      </w:r>
      <w:r>
        <w:rPr>
          <w:bCs/>
          <w:noProof/>
        </w:rPr>
        <w:t>___</w:t>
      </w:r>
      <w:r w:rsidR="00EC6649">
        <w:rPr>
          <w:bCs/>
          <w:noProof/>
        </w:rPr>
        <w:t xml:space="preserve"> </w:t>
      </w:r>
      <w:r>
        <w:rPr>
          <w:bCs/>
          <w:noProof/>
        </w:rPr>
        <w:t>(JLB-5</w:t>
      </w:r>
      <w:r w:rsidR="002E2555">
        <w:rPr>
          <w:bCs/>
          <w:noProof/>
        </w:rPr>
        <w:t>C</w:t>
      </w:r>
      <w:r>
        <w:rPr>
          <w:bCs/>
          <w:noProof/>
        </w:rPr>
        <w:t xml:space="preserve">) </w:t>
      </w:r>
      <w:r w:rsidR="00483D4C">
        <w:rPr>
          <w:bCs/>
          <w:noProof/>
        </w:rPr>
        <w:t>–</w:t>
      </w:r>
      <w:r>
        <w:rPr>
          <w:bCs/>
          <w:noProof/>
        </w:rPr>
        <w:t xml:space="preserve"> </w:t>
      </w:r>
      <w:r w:rsidR="00645E15">
        <w:rPr>
          <w:bCs/>
          <w:noProof/>
        </w:rPr>
        <w:t>Transmission Revenue &amp; Expenses</w:t>
      </w:r>
    </w:p>
    <w:p w14:paraId="6ACC3EF3" w14:textId="3CE191AD" w:rsidR="00645E15" w:rsidRDefault="00645E15" w:rsidP="00FA0296">
      <w:pPr>
        <w:ind w:left="720"/>
        <w:rPr>
          <w:bCs/>
          <w:noProof/>
        </w:rPr>
      </w:pPr>
      <w:r>
        <w:rPr>
          <w:bCs/>
          <w:noProof/>
        </w:rPr>
        <w:t>Exhibit No.</w:t>
      </w:r>
      <w:r w:rsidR="00193AFA">
        <w:rPr>
          <w:bCs/>
          <w:noProof/>
        </w:rPr>
        <w:t xml:space="preserve"> </w:t>
      </w:r>
      <w:r>
        <w:rPr>
          <w:bCs/>
          <w:noProof/>
        </w:rPr>
        <w:t>___</w:t>
      </w:r>
      <w:r w:rsidR="00EC6649">
        <w:rPr>
          <w:bCs/>
          <w:noProof/>
        </w:rPr>
        <w:t xml:space="preserve"> </w:t>
      </w:r>
      <w:r>
        <w:rPr>
          <w:bCs/>
          <w:noProof/>
        </w:rPr>
        <w:t>(JLB-</w:t>
      </w:r>
      <w:r w:rsidR="0011555D">
        <w:rPr>
          <w:bCs/>
          <w:noProof/>
        </w:rPr>
        <w:t>6</w:t>
      </w:r>
      <w:r w:rsidR="00B83768">
        <w:rPr>
          <w:bCs/>
          <w:noProof/>
        </w:rPr>
        <w:t xml:space="preserve">C) – IS/IT </w:t>
      </w:r>
      <w:r w:rsidR="002E0E71">
        <w:rPr>
          <w:bCs/>
          <w:noProof/>
        </w:rPr>
        <w:t>Line Items</w:t>
      </w:r>
    </w:p>
    <w:p w14:paraId="57114E74" w14:textId="4716E98D" w:rsidR="000A2B6E" w:rsidRPr="00F720F8" w:rsidRDefault="000A2B6E" w:rsidP="000A2B6E"/>
    <w:p w14:paraId="550AA9CD" w14:textId="77777777" w:rsidR="003B1A28" w:rsidRPr="00F720F8" w:rsidRDefault="003B1A28" w:rsidP="000A2B6E">
      <w:pPr>
        <w:sectPr w:rsidR="003B1A28" w:rsidRPr="00F720F8" w:rsidSect="00BD533D">
          <w:pgSz w:w="12240" w:h="15840" w:code="1"/>
          <w:pgMar w:top="1440" w:right="1440" w:bottom="1440" w:left="1440" w:header="720" w:footer="720" w:gutter="0"/>
          <w:pgNumType w:fmt="lowerRoman" w:start="1"/>
          <w:cols w:space="720"/>
          <w:docGrid w:linePitch="360"/>
        </w:sectPr>
      </w:pPr>
    </w:p>
    <w:p w14:paraId="0B0AA73E" w14:textId="4D24A260" w:rsidR="004026AD" w:rsidRDefault="005A3130" w:rsidP="005C74B0">
      <w:pPr>
        <w:pStyle w:val="Heading1"/>
      </w:pPr>
      <w:bookmarkStart w:id="0" w:name="_Toc424808464"/>
      <w:bookmarkStart w:id="1" w:name="_Toc424808485"/>
      <w:bookmarkStart w:id="2" w:name="_Toc425422177"/>
      <w:bookmarkStart w:id="3" w:name="_Toc425422351"/>
      <w:bookmarkStart w:id="4" w:name="_Toc425423237"/>
      <w:bookmarkStart w:id="5" w:name="_Toc425497653"/>
      <w:r w:rsidRPr="005C74B0">
        <w:lastRenderedPageBreak/>
        <w:t>INTRODUCTION</w:t>
      </w:r>
      <w:bookmarkEnd w:id="0"/>
      <w:bookmarkEnd w:id="1"/>
      <w:bookmarkEnd w:id="2"/>
      <w:bookmarkEnd w:id="3"/>
      <w:bookmarkEnd w:id="4"/>
      <w:bookmarkEnd w:id="5"/>
    </w:p>
    <w:p w14:paraId="26080A87" w14:textId="77777777" w:rsidR="00BD533D" w:rsidRPr="00F720F8" w:rsidRDefault="00BD533D" w:rsidP="008F38DE">
      <w:pPr>
        <w:pStyle w:val="Heading8"/>
      </w:pPr>
      <w:bookmarkStart w:id="6" w:name="_Toc391989915"/>
      <w:bookmarkStart w:id="7" w:name="_Toc391990017"/>
      <w:bookmarkStart w:id="8" w:name="_Toc393023104"/>
      <w:bookmarkStart w:id="9" w:name="_Toc393023310"/>
    </w:p>
    <w:p w14:paraId="0B0AA73F" w14:textId="77777777" w:rsidR="004026AD" w:rsidRPr="00F720F8" w:rsidRDefault="004026AD" w:rsidP="008F38DE">
      <w:pPr>
        <w:pStyle w:val="Heading8"/>
      </w:pPr>
      <w:r w:rsidRPr="00F720F8">
        <w:t>Q.</w:t>
      </w:r>
      <w:r w:rsidRPr="00F720F8">
        <w:tab/>
        <w:t>Please state your name and business address.</w:t>
      </w:r>
      <w:bookmarkEnd w:id="6"/>
      <w:bookmarkEnd w:id="7"/>
      <w:bookmarkEnd w:id="8"/>
      <w:bookmarkEnd w:id="9"/>
      <w:r w:rsidRPr="00F720F8">
        <w:t xml:space="preserve">  </w:t>
      </w:r>
    </w:p>
    <w:p w14:paraId="0B0AA740" w14:textId="6EF8B5F9" w:rsidR="004026AD" w:rsidRPr="00F720F8" w:rsidRDefault="004026AD" w:rsidP="00713027">
      <w:pPr>
        <w:pStyle w:val="NoSpacing"/>
      </w:pPr>
      <w:r w:rsidRPr="00F720F8">
        <w:t>A.</w:t>
      </w:r>
      <w:r w:rsidRPr="00F720F8">
        <w:tab/>
        <w:t xml:space="preserve">My name is </w:t>
      </w:r>
      <w:r w:rsidR="00CC09B5" w:rsidRPr="00F720F8">
        <w:t>Jason L. Ball</w:t>
      </w:r>
      <w:r w:rsidRPr="00F720F8">
        <w:t xml:space="preserve">.  My office address is </w:t>
      </w:r>
      <w:r w:rsidR="003B1A28" w:rsidRPr="00F720F8">
        <w:t>t</w:t>
      </w:r>
      <w:r w:rsidRPr="00F720F8">
        <w:t xml:space="preserve">he Richard Hemstad Building, 1300 South Evergreen Park Drive Southwest, P.O. Box 47250, Olympia, Washington </w:t>
      </w:r>
      <w:r w:rsidR="00927ACA">
        <w:t xml:space="preserve"> </w:t>
      </w:r>
      <w:r w:rsidRPr="00F720F8">
        <w:t xml:space="preserve">98504.  My email address is </w:t>
      </w:r>
      <w:hyperlink r:id="rId12" w:history="1">
        <w:r w:rsidR="00305402" w:rsidRPr="00F720F8">
          <w:rPr>
            <w:rStyle w:val="Hyperlink"/>
            <w:color w:val="auto"/>
          </w:rPr>
          <w:t>jball@utc.wa.gov</w:t>
        </w:r>
      </w:hyperlink>
      <w:r w:rsidRPr="00F720F8">
        <w:t xml:space="preserve">. </w:t>
      </w:r>
    </w:p>
    <w:p w14:paraId="791F60E7" w14:textId="77777777" w:rsidR="00CD0188" w:rsidRPr="00F720F8" w:rsidRDefault="00CD0188" w:rsidP="00713027">
      <w:pPr>
        <w:pStyle w:val="NoSpacing"/>
      </w:pPr>
    </w:p>
    <w:p w14:paraId="0B0AA741" w14:textId="77777777" w:rsidR="004026AD" w:rsidRPr="00F720F8" w:rsidRDefault="004026AD" w:rsidP="008F38DE">
      <w:pPr>
        <w:pStyle w:val="Heading8"/>
      </w:pPr>
      <w:bookmarkStart w:id="10" w:name="_Toc391989916"/>
      <w:bookmarkStart w:id="11" w:name="_Toc391990018"/>
      <w:bookmarkStart w:id="12" w:name="_Toc393023105"/>
      <w:bookmarkStart w:id="13" w:name="_Toc393023311"/>
      <w:r w:rsidRPr="00F720F8">
        <w:t>Q.</w:t>
      </w:r>
      <w:r w:rsidRPr="00F720F8">
        <w:tab/>
        <w:t>By whom are you employed and in what capacity?</w:t>
      </w:r>
      <w:bookmarkEnd w:id="10"/>
      <w:bookmarkEnd w:id="11"/>
      <w:bookmarkEnd w:id="12"/>
      <w:bookmarkEnd w:id="13"/>
      <w:r w:rsidRPr="00F720F8">
        <w:t xml:space="preserve">  </w:t>
      </w:r>
    </w:p>
    <w:p w14:paraId="0B0AA742" w14:textId="5C33F490" w:rsidR="004026AD" w:rsidRPr="00F720F8" w:rsidRDefault="004026AD" w:rsidP="00713027">
      <w:pPr>
        <w:pStyle w:val="NoSpacing"/>
      </w:pPr>
      <w:r w:rsidRPr="00F720F8">
        <w:t>A.</w:t>
      </w:r>
      <w:r w:rsidRPr="00F720F8">
        <w:tab/>
        <w:t xml:space="preserve">I am employed by the Washington Utilities </w:t>
      </w:r>
      <w:r w:rsidR="003B1A28" w:rsidRPr="00F720F8">
        <w:t>and Transportation Commission (</w:t>
      </w:r>
      <w:r w:rsidR="005A3130">
        <w:t>“</w:t>
      </w:r>
      <w:r w:rsidR="003B1A28" w:rsidRPr="00F720F8">
        <w:t>Commission</w:t>
      </w:r>
      <w:r w:rsidR="005A3130">
        <w:t>”</w:t>
      </w:r>
      <w:r w:rsidRPr="00F720F8">
        <w:t xml:space="preserve">) as a </w:t>
      </w:r>
      <w:r w:rsidR="00CC09B5" w:rsidRPr="00F720F8">
        <w:t>Regulatory Analyst</w:t>
      </w:r>
      <w:r w:rsidRPr="00F720F8">
        <w:t>.  Among other duties,</w:t>
      </w:r>
      <w:r w:rsidR="00BB69B5" w:rsidRPr="00F720F8">
        <w:t xml:space="preserve"> I am responsible for </w:t>
      </w:r>
      <w:r w:rsidR="00A572DF" w:rsidRPr="00F720F8">
        <w:t xml:space="preserve">economic, </w:t>
      </w:r>
      <w:r w:rsidR="008D4D0F" w:rsidRPr="00F720F8">
        <w:t>financial</w:t>
      </w:r>
      <w:r w:rsidR="00A572DF" w:rsidRPr="00F720F8">
        <w:t>,</w:t>
      </w:r>
      <w:r w:rsidR="008D4D0F" w:rsidRPr="00F720F8">
        <w:t xml:space="preserve"> and</w:t>
      </w:r>
      <w:r w:rsidR="00BB69B5" w:rsidRPr="00F720F8">
        <w:t xml:space="preserve"> accounting</w:t>
      </w:r>
      <w:r w:rsidR="008D4D0F" w:rsidRPr="00F720F8">
        <w:t xml:space="preserve"> analysis</w:t>
      </w:r>
      <w:r w:rsidR="00BB69B5" w:rsidRPr="00F720F8">
        <w:t xml:space="preserve">, and power supply issues </w:t>
      </w:r>
      <w:r w:rsidR="008D4D0F" w:rsidRPr="00F720F8">
        <w:t>of</w:t>
      </w:r>
      <w:r w:rsidRPr="00F720F8">
        <w:t xml:space="preserve"> the investor-owned electric</w:t>
      </w:r>
      <w:r w:rsidR="00BB69B5" w:rsidRPr="00F720F8">
        <w:t xml:space="preserve"> and gas</w:t>
      </w:r>
      <w:r w:rsidRPr="00F720F8">
        <w:t xml:space="preserve"> utilities under the jurisdiction of the Commission. </w:t>
      </w:r>
    </w:p>
    <w:p w14:paraId="52540BB8" w14:textId="77777777" w:rsidR="00CD0188" w:rsidRPr="00F720F8" w:rsidRDefault="00CD0188" w:rsidP="00713027">
      <w:pPr>
        <w:pStyle w:val="NoSpacing"/>
      </w:pPr>
    </w:p>
    <w:p w14:paraId="0B0AA743" w14:textId="77777777" w:rsidR="004026AD" w:rsidRPr="00F720F8" w:rsidRDefault="004026AD" w:rsidP="008F38DE">
      <w:pPr>
        <w:pStyle w:val="Heading8"/>
      </w:pPr>
      <w:r w:rsidRPr="00F720F8">
        <w:t>Q.</w:t>
      </w:r>
      <w:r w:rsidRPr="00F720F8">
        <w:tab/>
        <w:t>How long have you been employed by the Commission?</w:t>
      </w:r>
    </w:p>
    <w:p w14:paraId="0B0AA744" w14:textId="4AD956D8" w:rsidR="004026AD" w:rsidRPr="00F720F8" w:rsidRDefault="004026AD" w:rsidP="00713027">
      <w:pPr>
        <w:pStyle w:val="NoSpacing"/>
      </w:pPr>
      <w:r w:rsidRPr="00F720F8">
        <w:t>A.</w:t>
      </w:r>
      <w:r w:rsidRPr="00F720F8">
        <w:tab/>
        <w:t>I have been employed by the Commission since</w:t>
      </w:r>
      <w:r w:rsidR="00BB69B5" w:rsidRPr="00F720F8">
        <w:t xml:space="preserve"> June</w:t>
      </w:r>
      <w:r w:rsidRPr="00F720F8">
        <w:t xml:space="preserve"> </w:t>
      </w:r>
      <w:r w:rsidR="00BB69B5" w:rsidRPr="00F720F8">
        <w:t>2013</w:t>
      </w:r>
      <w:r w:rsidRPr="00F720F8">
        <w:t>.</w:t>
      </w:r>
    </w:p>
    <w:p w14:paraId="462CE0CF" w14:textId="77777777" w:rsidR="00CD0188" w:rsidRPr="00F720F8" w:rsidRDefault="00CD0188" w:rsidP="00713027">
      <w:pPr>
        <w:pStyle w:val="NoSpacing"/>
      </w:pPr>
    </w:p>
    <w:p w14:paraId="0B0AA745" w14:textId="77777777" w:rsidR="004026AD" w:rsidRPr="00F720F8" w:rsidRDefault="004026AD" w:rsidP="008F38DE">
      <w:pPr>
        <w:pStyle w:val="Heading8"/>
      </w:pPr>
      <w:bookmarkStart w:id="14" w:name="_Toc391989917"/>
      <w:bookmarkStart w:id="15" w:name="_Toc391990019"/>
      <w:bookmarkStart w:id="16" w:name="_Toc393023106"/>
      <w:bookmarkStart w:id="17" w:name="_Toc393023312"/>
      <w:r w:rsidRPr="00F720F8">
        <w:t>Q.</w:t>
      </w:r>
      <w:r w:rsidRPr="00F720F8">
        <w:tab/>
        <w:t>Would you please state your educational and professional background?</w:t>
      </w:r>
      <w:bookmarkEnd w:id="14"/>
      <w:bookmarkEnd w:id="15"/>
      <w:bookmarkEnd w:id="16"/>
      <w:bookmarkEnd w:id="17"/>
    </w:p>
    <w:p w14:paraId="7B0E12EE" w14:textId="77777777" w:rsidR="00344F9E" w:rsidRDefault="004026AD" w:rsidP="00713027">
      <w:pPr>
        <w:pStyle w:val="NoSpacing"/>
      </w:pPr>
      <w:r w:rsidRPr="00F720F8">
        <w:t>A.</w:t>
      </w:r>
      <w:r w:rsidRPr="00F720F8">
        <w:tab/>
        <w:t xml:space="preserve">I </w:t>
      </w:r>
      <w:r w:rsidR="00BB69B5" w:rsidRPr="00F720F8">
        <w:t>graduated from New Mexico State University in 201</w:t>
      </w:r>
      <w:r w:rsidR="00597817" w:rsidRPr="00F720F8">
        <w:t>0</w:t>
      </w:r>
      <w:r w:rsidR="00BB69B5" w:rsidRPr="00F720F8">
        <w:t xml:space="preserve"> with</w:t>
      </w:r>
      <w:r w:rsidRPr="00F720F8">
        <w:t xml:space="preserve"> a Bachelor of </w:t>
      </w:r>
      <w:r w:rsidR="00BB69B5" w:rsidRPr="00F720F8">
        <w:t>Arts</w:t>
      </w:r>
      <w:r w:rsidRPr="00F720F8">
        <w:t xml:space="preserve"> </w:t>
      </w:r>
      <w:r w:rsidR="00BB69B5" w:rsidRPr="00F720F8">
        <w:t xml:space="preserve">dual-major </w:t>
      </w:r>
      <w:r w:rsidRPr="00F720F8">
        <w:t>in</w:t>
      </w:r>
      <w:r w:rsidR="00BB69B5" w:rsidRPr="00F720F8">
        <w:t xml:space="preserve"> Economics and Government</w:t>
      </w:r>
      <w:r w:rsidR="00597817" w:rsidRPr="00F720F8">
        <w:t>.  In 2013</w:t>
      </w:r>
      <w:r w:rsidRPr="00F720F8">
        <w:t xml:space="preserve">, I </w:t>
      </w:r>
      <w:r w:rsidR="00BB181E" w:rsidRPr="00F720F8">
        <w:t>graduated</w:t>
      </w:r>
      <w:r w:rsidRPr="00F720F8">
        <w:t xml:space="preserve"> </w:t>
      </w:r>
      <w:r w:rsidR="00BB181E" w:rsidRPr="00F720F8">
        <w:t xml:space="preserve">with honors from New Mexico State University with a </w:t>
      </w:r>
      <w:r w:rsidRPr="00F720F8">
        <w:t xml:space="preserve">Masters of </w:t>
      </w:r>
      <w:r w:rsidR="00597817" w:rsidRPr="00F720F8">
        <w:t xml:space="preserve">Economics specializing in Public Utility Policy and Regulation.  </w:t>
      </w:r>
    </w:p>
    <w:p w14:paraId="3B3C0F75" w14:textId="77777777" w:rsidR="00344F9E" w:rsidRDefault="00344F9E" w:rsidP="00713027">
      <w:pPr>
        <w:pStyle w:val="NoSpacing"/>
      </w:pPr>
    </w:p>
    <w:p w14:paraId="144A0CAC" w14:textId="77777777" w:rsidR="00344F9E" w:rsidRDefault="00344F9E" w:rsidP="00C0196D">
      <w:pPr>
        <w:pStyle w:val="NoSpacing"/>
        <w:keepNext/>
        <w:rPr>
          <w:b/>
        </w:rPr>
      </w:pPr>
      <w:r>
        <w:rPr>
          <w:b/>
        </w:rPr>
        <w:lastRenderedPageBreak/>
        <w:t>Q.</w:t>
      </w:r>
      <w:r>
        <w:rPr>
          <w:b/>
        </w:rPr>
        <w:tab/>
        <w:t>Have you previously testified before the Commission?</w:t>
      </w:r>
    </w:p>
    <w:p w14:paraId="0B0AA746" w14:textId="4BDAA51B" w:rsidR="00E91591" w:rsidRPr="00F720F8" w:rsidRDefault="00344F9E" w:rsidP="00713027">
      <w:pPr>
        <w:pStyle w:val="NoSpacing"/>
      </w:pPr>
      <w:r>
        <w:t>A.</w:t>
      </w:r>
      <w:r>
        <w:tab/>
        <w:t xml:space="preserve">Yes.  </w:t>
      </w:r>
      <w:r w:rsidR="00C1573E" w:rsidRPr="00F720F8">
        <w:t>I testified</w:t>
      </w:r>
      <w:r w:rsidR="00E171EA" w:rsidRPr="00F720F8">
        <w:t xml:space="preserve"> on power supply and load forecasting in Avista Corporation’s </w:t>
      </w:r>
      <w:r w:rsidR="00222981" w:rsidRPr="00F720F8">
        <w:t>(</w:t>
      </w:r>
      <w:r>
        <w:t>“</w:t>
      </w:r>
      <w:r w:rsidR="00222981" w:rsidRPr="00F720F8">
        <w:t>Avista</w:t>
      </w:r>
      <w:r>
        <w:t>”</w:t>
      </w:r>
      <w:r w:rsidR="00222981" w:rsidRPr="00F720F8">
        <w:t xml:space="preserve"> or </w:t>
      </w:r>
      <w:r>
        <w:t>the “</w:t>
      </w:r>
      <w:r w:rsidR="00222981" w:rsidRPr="00F720F8">
        <w:t>Company</w:t>
      </w:r>
      <w:r>
        <w:t>”</w:t>
      </w:r>
      <w:r w:rsidR="00222981" w:rsidRPr="00F720F8">
        <w:t xml:space="preserve">) </w:t>
      </w:r>
      <w:r w:rsidR="00E171EA" w:rsidRPr="00F720F8">
        <w:t>general rate case Docket UE-140188</w:t>
      </w:r>
      <w:r w:rsidR="00012BB3" w:rsidRPr="00F720F8">
        <w:t xml:space="preserve">.  I </w:t>
      </w:r>
      <w:r w:rsidR="00195D8A" w:rsidRPr="00F720F8">
        <w:t>co-sponsored</w:t>
      </w:r>
      <w:r w:rsidR="00012BB3" w:rsidRPr="00F720F8">
        <w:t xml:space="preserve"> joint testimony in Puget Sound Energy’s (</w:t>
      </w:r>
      <w:r>
        <w:t>“</w:t>
      </w:r>
      <w:r w:rsidR="00012BB3" w:rsidRPr="00F720F8">
        <w:t>PSE</w:t>
      </w:r>
      <w:r>
        <w:t>”</w:t>
      </w:r>
      <w:r w:rsidR="00012BB3" w:rsidRPr="00F720F8">
        <w:t xml:space="preserve">) power cost only rate case in </w:t>
      </w:r>
      <w:r>
        <w:t>D</w:t>
      </w:r>
      <w:r w:rsidR="00012BB3" w:rsidRPr="00F720F8">
        <w:t xml:space="preserve">ocket UE-141141.  I also </w:t>
      </w:r>
      <w:r w:rsidR="00195D8A" w:rsidRPr="00F720F8">
        <w:t>sponsored</w:t>
      </w:r>
      <w:r w:rsidR="00012BB3" w:rsidRPr="00F720F8">
        <w:t xml:space="preserve"> testimony in P</w:t>
      </w:r>
      <w:r w:rsidR="00860D69" w:rsidRPr="00F720F8">
        <w:t>acific Power and Light</w:t>
      </w:r>
      <w:r w:rsidR="00927ACA">
        <w:t xml:space="preserve"> Company</w:t>
      </w:r>
      <w:r w:rsidR="00F3396F">
        <w:t>’s</w:t>
      </w:r>
      <w:r w:rsidR="00012BB3" w:rsidRPr="00F720F8">
        <w:t xml:space="preserve"> </w:t>
      </w:r>
      <w:r w:rsidR="00264A69" w:rsidRPr="00F720F8">
        <w:t>(</w:t>
      </w:r>
      <w:r>
        <w:t>“</w:t>
      </w:r>
      <w:r w:rsidR="00264A69" w:rsidRPr="00F720F8">
        <w:t>Pacific Power</w:t>
      </w:r>
      <w:r>
        <w:t>”</w:t>
      </w:r>
      <w:r w:rsidR="00264A69" w:rsidRPr="00F720F8">
        <w:t xml:space="preserve">) </w:t>
      </w:r>
      <w:r w:rsidR="00012BB3" w:rsidRPr="00F720F8">
        <w:t xml:space="preserve">general rate case Docket UE-140762 on overall policy, revenue requirement, inflation factors, and the Merwin Fish Collector accounting deferral.  </w:t>
      </w:r>
      <w:r w:rsidR="00A572DF" w:rsidRPr="00F720F8">
        <w:t>I presented an economic feasibility study relating to line extensions in Docket UE-141335</w:t>
      </w:r>
      <w:r w:rsidR="00E551E2" w:rsidRPr="00F720F8">
        <w:t xml:space="preserve">.  </w:t>
      </w:r>
      <w:r w:rsidR="00E91591" w:rsidRPr="00F720F8">
        <w:t xml:space="preserve">I presented Staff recommendations to the Commission at open meetings in </w:t>
      </w:r>
      <w:r w:rsidR="007609ED" w:rsidRPr="00F720F8">
        <w:t>D</w:t>
      </w:r>
      <w:r w:rsidR="00496EF7" w:rsidRPr="00F720F8">
        <w:t>ockets UE</w:t>
      </w:r>
      <w:r w:rsidR="00E91591" w:rsidRPr="00F720F8">
        <w:t>-131623, UE-131565, and UE-</w:t>
      </w:r>
      <w:r w:rsidR="00496EF7" w:rsidRPr="00F720F8">
        <w:t>140617</w:t>
      </w:r>
      <w:r w:rsidR="00346430" w:rsidRPr="00F720F8">
        <w:t>.  I also reviewed</w:t>
      </w:r>
      <w:r w:rsidR="00D202A5" w:rsidRPr="00F720F8">
        <w:t xml:space="preserve"> </w:t>
      </w:r>
      <w:r w:rsidR="00346430" w:rsidRPr="00F720F8">
        <w:t xml:space="preserve">Avista’s Energy Recovery Mechanism </w:t>
      </w:r>
      <w:r w:rsidR="00993883">
        <w:t xml:space="preserve">(ERM) </w:t>
      </w:r>
      <w:r w:rsidR="00346430" w:rsidRPr="00F720F8">
        <w:t xml:space="preserve">annual true-up in </w:t>
      </w:r>
      <w:r w:rsidR="003D686A" w:rsidRPr="00F720F8">
        <w:t>D</w:t>
      </w:r>
      <w:r w:rsidR="00346430" w:rsidRPr="00F720F8">
        <w:t xml:space="preserve">ocket UE-140540. </w:t>
      </w:r>
      <w:r w:rsidR="003D686A" w:rsidRPr="00F720F8">
        <w:t xml:space="preserve"> </w:t>
      </w:r>
      <w:r w:rsidR="00496EF7" w:rsidRPr="00F720F8">
        <w:t xml:space="preserve">I </w:t>
      </w:r>
      <w:r w:rsidR="001F56E7" w:rsidRPr="00F720F8">
        <w:t>am</w:t>
      </w:r>
      <w:r w:rsidR="00D202A5" w:rsidRPr="00F720F8">
        <w:t xml:space="preserve"> the lead analyst for </w:t>
      </w:r>
      <w:r w:rsidR="001F56E7" w:rsidRPr="00F720F8">
        <w:t xml:space="preserve">matters relating </w:t>
      </w:r>
      <w:r w:rsidR="00EB3B65" w:rsidRPr="00F720F8">
        <w:t xml:space="preserve">to </w:t>
      </w:r>
      <w:r w:rsidR="003D686A" w:rsidRPr="00F720F8">
        <w:t xml:space="preserve">the Bonneville Power Administration’s </w:t>
      </w:r>
      <w:r w:rsidR="005714A7">
        <w:t xml:space="preserve">(BPA) </w:t>
      </w:r>
      <w:r w:rsidR="003D686A" w:rsidRPr="00F720F8">
        <w:t xml:space="preserve">Residential Exchange Program, for customers of </w:t>
      </w:r>
      <w:r w:rsidR="0007345F" w:rsidRPr="00F720F8">
        <w:t xml:space="preserve">Avista, PSE, and </w:t>
      </w:r>
      <w:r w:rsidR="00264A69" w:rsidRPr="00F720F8">
        <w:t>Pacific Power</w:t>
      </w:r>
      <w:r w:rsidR="00352C04" w:rsidRPr="00F720F8">
        <w:t xml:space="preserve">.  </w:t>
      </w:r>
    </w:p>
    <w:p w14:paraId="18131F65" w14:textId="77777777" w:rsidR="00434D77" w:rsidRPr="00F720F8" w:rsidRDefault="00434D77" w:rsidP="00713027">
      <w:pPr>
        <w:pStyle w:val="NoSpacing"/>
      </w:pPr>
    </w:p>
    <w:p w14:paraId="05887D49" w14:textId="7149A7CF" w:rsidR="00A31693" w:rsidRPr="00F720F8" w:rsidRDefault="00344F9E" w:rsidP="005C74B0">
      <w:pPr>
        <w:pStyle w:val="Heading1"/>
      </w:pPr>
      <w:bookmarkStart w:id="18" w:name="_Toc424808465"/>
      <w:bookmarkStart w:id="19" w:name="_Toc424808486"/>
      <w:bookmarkStart w:id="20" w:name="_Toc425422178"/>
      <w:bookmarkStart w:id="21" w:name="_Toc425422352"/>
      <w:bookmarkStart w:id="22" w:name="_Toc425423238"/>
      <w:bookmarkStart w:id="23" w:name="_Toc425497654"/>
      <w:r w:rsidRPr="00F720F8">
        <w:t>SCOPE OF TESTIMONY</w:t>
      </w:r>
      <w:bookmarkEnd w:id="18"/>
      <w:bookmarkEnd w:id="19"/>
      <w:bookmarkEnd w:id="20"/>
      <w:bookmarkEnd w:id="21"/>
      <w:bookmarkEnd w:id="22"/>
      <w:bookmarkEnd w:id="23"/>
    </w:p>
    <w:p w14:paraId="5D9DC695" w14:textId="77777777" w:rsidR="003D686A" w:rsidRPr="00F720F8" w:rsidRDefault="003D686A" w:rsidP="00713027">
      <w:pPr>
        <w:pStyle w:val="NoSpacing"/>
      </w:pPr>
    </w:p>
    <w:p w14:paraId="5D88E85B" w14:textId="073AF32A" w:rsidR="00D227E2" w:rsidRPr="00F720F8" w:rsidRDefault="00D227E2" w:rsidP="008F38DE">
      <w:pPr>
        <w:pStyle w:val="Heading8"/>
      </w:pPr>
      <w:r w:rsidRPr="00F720F8">
        <w:t>Q.</w:t>
      </w:r>
      <w:r w:rsidRPr="00F720F8">
        <w:tab/>
      </w:r>
      <w:r w:rsidR="00344F9E">
        <w:t>Please explain the purpose of your testimony</w:t>
      </w:r>
      <w:r w:rsidR="007900E7">
        <w:t>.</w:t>
      </w:r>
    </w:p>
    <w:p w14:paraId="5D9A590E" w14:textId="4E3EED55" w:rsidR="00434D77" w:rsidRDefault="00D227E2" w:rsidP="00713027">
      <w:pPr>
        <w:pStyle w:val="NoSpacing"/>
      </w:pPr>
      <w:r w:rsidRPr="00F720F8">
        <w:t>A.</w:t>
      </w:r>
      <w:r w:rsidRPr="00F720F8">
        <w:tab/>
      </w:r>
      <w:r w:rsidR="00917F5A">
        <w:t>My testimony responds</w:t>
      </w:r>
      <w:r w:rsidR="00D6439B">
        <w:t xml:space="preserve"> to Avista’s restating and pro forma expense adjustments.  </w:t>
      </w:r>
      <w:r w:rsidR="006370FC">
        <w:t>M</w:t>
      </w:r>
      <w:r w:rsidR="00D6439B">
        <w:t xml:space="preserve">y testimony is generally focused on </w:t>
      </w:r>
      <w:r w:rsidR="00BE161D">
        <w:t>several</w:t>
      </w:r>
      <w:r w:rsidR="006127D0" w:rsidRPr="00F720F8">
        <w:t xml:space="preserve"> accounting adjustments in the </w:t>
      </w:r>
      <w:r w:rsidR="006370FC">
        <w:t>Staff’s</w:t>
      </w:r>
      <w:r w:rsidR="006370FC" w:rsidRPr="00F720F8">
        <w:t xml:space="preserve"> </w:t>
      </w:r>
      <w:r w:rsidR="006127D0" w:rsidRPr="00F720F8">
        <w:t>pro forma</w:t>
      </w:r>
      <w:r w:rsidR="00D6439B">
        <w:t xml:space="preserve"> </w:t>
      </w:r>
      <w:r w:rsidR="00692B43">
        <w:t xml:space="preserve">revenue requirement </w:t>
      </w:r>
      <w:r w:rsidR="006127D0" w:rsidRPr="00F720F8">
        <w:t xml:space="preserve">case.  </w:t>
      </w:r>
      <w:r w:rsidR="00BA149F" w:rsidRPr="00F720F8">
        <w:t xml:space="preserve">The table below lists </w:t>
      </w:r>
      <w:r w:rsidR="00D6439B">
        <w:t xml:space="preserve">the specific adjustments Staff contests and their </w:t>
      </w:r>
      <w:r w:rsidR="00BA149F" w:rsidRPr="00F720F8">
        <w:t>Net Operating Income (NOI) impact</w:t>
      </w:r>
      <w:r w:rsidR="0032530A">
        <w:t>.  All numbers are reflected in thousands of dollars</w:t>
      </w:r>
      <w:r w:rsidR="00BA149F" w:rsidRPr="00F720F8">
        <w:t xml:space="preserve">.  </w:t>
      </w:r>
      <w:r w:rsidR="006127D0" w:rsidRPr="00F720F8">
        <w:t xml:space="preserve"> </w:t>
      </w:r>
    </w:p>
    <w:p w14:paraId="67D76B5E" w14:textId="77777777" w:rsidR="006A37CC" w:rsidRPr="00F720F8" w:rsidRDefault="006A37CC" w:rsidP="00713027">
      <w:pPr>
        <w:pStyle w:val="NoSpacing"/>
      </w:pPr>
    </w:p>
    <w:tbl>
      <w:tblPr>
        <w:tblW w:w="8926" w:type="dxa"/>
        <w:tblInd w:w="-5" w:type="dxa"/>
        <w:tblLayout w:type="fixed"/>
        <w:tblLook w:val="04A0" w:firstRow="1" w:lastRow="0" w:firstColumn="1" w:lastColumn="0" w:noHBand="0" w:noVBand="1"/>
      </w:tblPr>
      <w:tblGrid>
        <w:gridCol w:w="4498"/>
        <w:gridCol w:w="1532"/>
        <w:gridCol w:w="1420"/>
        <w:gridCol w:w="1476"/>
      </w:tblGrid>
      <w:tr w:rsidR="00F720F8" w:rsidRPr="004C56B8" w14:paraId="2EBF3A8B" w14:textId="77777777" w:rsidTr="00F02B3B">
        <w:trPr>
          <w:trHeight w:val="350"/>
        </w:trPr>
        <w:tc>
          <w:tcPr>
            <w:tcW w:w="4498" w:type="dxa"/>
            <w:tcBorders>
              <w:bottom w:val="single" w:sz="4" w:space="0" w:color="auto"/>
            </w:tcBorders>
            <w:shd w:val="clear" w:color="auto" w:fill="auto"/>
            <w:vAlign w:val="center"/>
            <w:hideMark/>
          </w:tcPr>
          <w:p w14:paraId="24BD930B" w14:textId="57D217AD" w:rsidR="00D441F2" w:rsidRPr="004C56B8" w:rsidRDefault="00D441F2" w:rsidP="00D441F2">
            <w:pPr>
              <w:jc w:val="center"/>
              <w:rPr>
                <w:rFonts w:eastAsia="Times New Roman"/>
                <w:b/>
              </w:rPr>
            </w:pPr>
            <w:r w:rsidRPr="004C56B8">
              <w:rPr>
                <w:rFonts w:eastAsia="Times New Roman"/>
                <w:b/>
              </w:rPr>
              <w:t xml:space="preserve">Adjustment </w:t>
            </w:r>
          </w:p>
        </w:tc>
        <w:tc>
          <w:tcPr>
            <w:tcW w:w="1532" w:type="dxa"/>
            <w:tcBorders>
              <w:bottom w:val="single" w:sz="4" w:space="0" w:color="auto"/>
            </w:tcBorders>
            <w:shd w:val="clear" w:color="auto" w:fill="auto"/>
            <w:noWrap/>
            <w:vAlign w:val="center"/>
            <w:hideMark/>
          </w:tcPr>
          <w:p w14:paraId="308EE2B3" w14:textId="77777777" w:rsidR="003E39AB" w:rsidRPr="004C56B8" w:rsidRDefault="00D441F2" w:rsidP="00D441F2">
            <w:pPr>
              <w:jc w:val="center"/>
              <w:rPr>
                <w:rFonts w:eastAsia="Times New Roman"/>
                <w:b/>
              </w:rPr>
            </w:pPr>
            <w:r w:rsidRPr="004C56B8">
              <w:rPr>
                <w:rFonts w:eastAsia="Times New Roman"/>
                <w:b/>
              </w:rPr>
              <w:t>Company</w:t>
            </w:r>
            <w:r w:rsidR="003E39AB" w:rsidRPr="004C56B8">
              <w:rPr>
                <w:rFonts w:eastAsia="Times New Roman"/>
                <w:b/>
              </w:rPr>
              <w:t xml:space="preserve"> </w:t>
            </w:r>
          </w:p>
          <w:p w14:paraId="17BEC2E0" w14:textId="2F3F9DA2" w:rsidR="00D441F2" w:rsidRPr="004C56B8" w:rsidRDefault="003E39AB" w:rsidP="00D441F2">
            <w:pPr>
              <w:jc w:val="center"/>
              <w:rPr>
                <w:rFonts w:eastAsia="Times New Roman"/>
                <w:b/>
                <w:i/>
              </w:rPr>
            </w:pPr>
            <w:r w:rsidRPr="004C56B8">
              <w:rPr>
                <w:rFonts w:eastAsia="Times New Roman"/>
                <w:b/>
                <w:i/>
              </w:rPr>
              <w:t>(As filed)</w:t>
            </w:r>
          </w:p>
        </w:tc>
        <w:tc>
          <w:tcPr>
            <w:tcW w:w="1420" w:type="dxa"/>
            <w:tcBorders>
              <w:bottom w:val="single" w:sz="4" w:space="0" w:color="auto"/>
            </w:tcBorders>
            <w:shd w:val="clear" w:color="auto" w:fill="auto"/>
            <w:noWrap/>
            <w:vAlign w:val="center"/>
            <w:hideMark/>
          </w:tcPr>
          <w:p w14:paraId="0C46C67F" w14:textId="77777777" w:rsidR="00D441F2" w:rsidRPr="004C56B8" w:rsidRDefault="00D441F2" w:rsidP="00D441F2">
            <w:pPr>
              <w:jc w:val="center"/>
              <w:rPr>
                <w:rFonts w:eastAsia="Times New Roman"/>
                <w:b/>
              </w:rPr>
            </w:pPr>
            <w:r w:rsidRPr="004C56B8">
              <w:rPr>
                <w:rFonts w:eastAsia="Times New Roman"/>
                <w:b/>
              </w:rPr>
              <w:t>Staff</w:t>
            </w:r>
          </w:p>
        </w:tc>
        <w:tc>
          <w:tcPr>
            <w:tcW w:w="1476" w:type="dxa"/>
            <w:tcBorders>
              <w:bottom w:val="single" w:sz="4" w:space="0" w:color="auto"/>
            </w:tcBorders>
            <w:shd w:val="clear" w:color="auto" w:fill="auto"/>
            <w:vAlign w:val="center"/>
            <w:hideMark/>
          </w:tcPr>
          <w:p w14:paraId="1239B5AE" w14:textId="6A93FCF6" w:rsidR="00D441F2" w:rsidRPr="004C56B8" w:rsidRDefault="00CF1461" w:rsidP="008F5B5D">
            <w:pPr>
              <w:jc w:val="center"/>
              <w:rPr>
                <w:rFonts w:eastAsia="Times New Roman"/>
                <w:b/>
              </w:rPr>
            </w:pPr>
            <w:r w:rsidRPr="004C56B8">
              <w:rPr>
                <w:rFonts w:eastAsia="Times New Roman"/>
                <w:b/>
              </w:rPr>
              <w:t>Difference</w:t>
            </w:r>
          </w:p>
        </w:tc>
      </w:tr>
      <w:tr w:rsidR="00F720F8" w:rsidRPr="004C56B8" w14:paraId="49D17AFD" w14:textId="77777777" w:rsidTr="00784256">
        <w:trPr>
          <w:trHeight w:val="286"/>
        </w:trPr>
        <w:tc>
          <w:tcPr>
            <w:tcW w:w="4498" w:type="dxa"/>
            <w:tcBorders>
              <w:top w:val="nil"/>
              <w:left w:val="single" w:sz="4" w:space="0" w:color="auto"/>
              <w:bottom w:val="single" w:sz="4" w:space="0" w:color="auto"/>
              <w:right w:val="single" w:sz="4" w:space="0" w:color="auto"/>
            </w:tcBorders>
            <w:shd w:val="clear" w:color="auto" w:fill="auto"/>
            <w:noWrap/>
            <w:vAlign w:val="center"/>
          </w:tcPr>
          <w:p w14:paraId="027BC2F2" w14:textId="1E83B8FD" w:rsidR="00D441F2" w:rsidRPr="004C56B8" w:rsidRDefault="00D441F2" w:rsidP="00CF1461">
            <w:pPr>
              <w:rPr>
                <w:rFonts w:eastAsia="Times New Roman"/>
              </w:rPr>
            </w:pPr>
            <w:r w:rsidRPr="004C56B8">
              <w:rPr>
                <w:rFonts w:eastAsia="Times New Roman"/>
              </w:rPr>
              <w:t>2.08 – Restate Excise Tax</w:t>
            </w:r>
          </w:p>
        </w:tc>
        <w:tc>
          <w:tcPr>
            <w:tcW w:w="1532" w:type="dxa"/>
            <w:tcBorders>
              <w:top w:val="nil"/>
              <w:left w:val="nil"/>
              <w:bottom w:val="single" w:sz="4" w:space="0" w:color="auto"/>
              <w:right w:val="single" w:sz="4" w:space="0" w:color="auto"/>
            </w:tcBorders>
            <w:shd w:val="clear" w:color="auto" w:fill="auto"/>
            <w:noWrap/>
            <w:vAlign w:val="center"/>
          </w:tcPr>
          <w:p w14:paraId="60F26B8B" w14:textId="63CFB302" w:rsidR="00D441F2" w:rsidRPr="004C56B8" w:rsidRDefault="00D441F2" w:rsidP="00784256">
            <w:pPr>
              <w:jc w:val="right"/>
              <w:rPr>
                <w:rFonts w:eastAsia="Times New Roman"/>
              </w:rPr>
            </w:pPr>
            <w:r w:rsidRPr="004C56B8">
              <w:rPr>
                <w:rFonts w:eastAsia="Times New Roman"/>
              </w:rPr>
              <w:t xml:space="preserve">$41 </w:t>
            </w:r>
          </w:p>
        </w:tc>
        <w:tc>
          <w:tcPr>
            <w:tcW w:w="1420" w:type="dxa"/>
            <w:tcBorders>
              <w:top w:val="nil"/>
              <w:left w:val="nil"/>
              <w:bottom w:val="single" w:sz="4" w:space="0" w:color="auto"/>
              <w:right w:val="single" w:sz="4" w:space="0" w:color="auto"/>
            </w:tcBorders>
            <w:shd w:val="clear" w:color="auto" w:fill="auto"/>
            <w:noWrap/>
            <w:vAlign w:val="center"/>
          </w:tcPr>
          <w:p w14:paraId="4F14A517" w14:textId="32134133" w:rsidR="00D441F2" w:rsidRPr="004C56B8" w:rsidRDefault="00D441F2" w:rsidP="00784256">
            <w:pPr>
              <w:jc w:val="right"/>
              <w:rPr>
                <w:rFonts w:eastAsia="Times New Roman"/>
              </w:rPr>
            </w:pPr>
            <w:r w:rsidRPr="004C56B8">
              <w:rPr>
                <w:rFonts w:eastAsia="Times New Roman"/>
              </w:rPr>
              <w:t xml:space="preserve">$127 </w:t>
            </w:r>
          </w:p>
        </w:tc>
        <w:tc>
          <w:tcPr>
            <w:tcW w:w="1476" w:type="dxa"/>
            <w:tcBorders>
              <w:top w:val="nil"/>
              <w:left w:val="nil"/>
              <w:bottom w:val="single" w:sz="4" w:space="0" w:color="auto"/>
              <w:right w:val="single" w:sz="4" w:space="0" w:color="auto"/>
            </w:tcBorders>
            <w:shd w:val="clear" w:color="auto" w:fill="auto"/>
            <w:noWrap/>
            <w:vAlign w:val="center"/>
          </w:tcPr>
          <w:p w14:paraId="660E3BEB" w14:textId="30D6C7A8" w:rsidR="00D441F2" w:rsidRPr="004C56B8" w:rsidRDefault="00D441F2" w:rsidP="00784256">
            <w:pPr>
              <w:jc w:val="right"/>
              <w:rPr>
                <w:rFonts w:eastAsia="Times New Roman"/>
              </w:rPr>
            </w:pPr>
            <w:r w:rsidRPr="004C56B8">
              <w:rPr>
                <w:rFonts w:eastAsia="Times New Roman"/>
              </w:rPr>
              <w:t xml:space="preserve">$86 </w:t>
            </w:r>
          </w:p>
        </w:tc>
      </w:tr>
      <w:tr w:rsidR="00F720F8" w:rsidRPr="004C56B8" w14:paraId="56E5C572" w14:textId="77777777" w:rsidTr="00784256">
        <w:trPr>
          <w:trHeight w:val="286"/>
        </w:trPr>
        <w:tc>
          <w:tcPr>
            <w:tcW w:w="4498" w:type="dxa"/>
            <w:tcBorders>
              <w:top w:val="nil"/>
              <w:left w:val="single" w:sz="4" w:space="0" w:color="auto"/>
              <w:bottom w:val="single" w:sz="4" w:space="0" w:color="auto"/>
              <w:right w:val="single" w:sz="4" w:space="0" w:color="auto"/>
            </w:tcBorders>
            <w:shd w:val="clear" w:color="auto" w:fill="auto"/>
            <w:noWrap/>
            <w:vAlign w:val="center"/>
          </w:tcPr>
          <w:p w14:paraId="5F237890" w14:textId="60CC067E" w:rsidR="00D441F2" w:rsidRPr="004C56B8" w:rsidRDefault="00D441F2" w:rsidP="00CF1461">
            <w:pPr>
              <w:rPr>
                <w:rFonts w:eastAsia="Times New Roman"/>
              </w:rPr>
            </w:pPr>
            <w:r w:rsidRPr="004C56B8">
              <w:rPr>
                <w:rFonts w:eastAsia="Times New Roman"/>
              </w:rPr>
              <w:t xml:space="preserve">2.09 – Restate </w:t>
            </w:r>
            <w:r w:rsidR="008F5B5D" w:rsidRPr="004C56B8">
              <w:rPr>
                <w:rFonts w:eastAsia="Times New Roman"/>
              </w:rPr>
              <w:t>Net Gains/Losses</w:t>
            </w:r>
          </w:p>
        </w:tc>
        <w:tc>
          <w:tcPr>
            <w:tcW w:w="1532" w:type="dxa"/>
            <w:tcBorders>
              <w:top w:val="nil"/>
              <w:left w:val="nil"/>
              <w:bottom w:val="single" w:sz="4" w:space="0" w:color="auto"/>
              <w:right w:val="single" w:sz="4" w:space="0" w:color="auto"/>
            </w:tcBorders>
            <w:shd w:val="clear" w:color="auto" w:fill="auto"/>
            <w:noWrap/>
            <w:vAlign w:val="center"/>
          </w:tcPr>
          <w:p w14:paraId="6ED52073" w14:textId="2283E6A4" w:rsidR="00D441F2" w:rsidRPr="004C56B8" w:rsidRDefault="00D441F2" w:rsidP="00784256">
            <w:pPr>
              <w:jc w:val="right"/>
              <w:rPr>
                <w:rFonts w:eastAsia="Times New Roman"/>
              </w:rPr>
            </w:pPr>
            <w:r w:rsidRPr="004C56B8">
              <w:rPr>
                <w:rFonts w:eastAsia="Times New Roman"/>
              </w:rPr>
              <w:t xml:space="preserve">$53 </w:t>
            </w:r>
          </w:p>
        </w:tc>
        <w:tc>
          <w:tcPr>
            <w:tcW w:w="1420" w:type="dxa"/>
            <w:tcBorders>
              <w:top w:val="nil"/>
              <w:left w:val="nil"/>
              <w:bottom w:val="single" w:sz="4" w:space="0" w:color="auto"/>
              <w:right w:val="single" w:sz="4" w:space="0" w:color="auto"/>
            </w:tcBorders>
            <w:shd w:val="clear" w:color="auto" w:fill="auto"/>
            <w:noWrap/>
            <w:vAlign w:val="center"/>
          </w:tcPr>
          <w:p w14:paraId="014ACA73" w14:textId="3933F3DA" w:rsidR="00D441F2" w:rsidRPr="004C56B8" w:rsidRDefault="00D441F2" w:rsidP="00784256">
            <w:pPr>
              <w:jc w:val="right"/>
              <w:rPr>
                <w:rFonts w:eastAsia="Times New Roman"/>
              </w:rPr>
            </w:pPr>
            <w:r w:rsidRPr="004C56B8">
              <w:rPr>
                <w:rFonts w:eastAsia="Times New Roman"/>
              </w:rPr>
              <w:t xml:space="preserve">$59 </w:t>
            </w:r>
          </w:p>
        </w:tc>
        <w:tc>
          <w:tcPr>
            <w:tcW w:w="1476" w:type="dxa"/>
            <w:tcBorders>
              <w:top w:val="nil"/>
              <w:left w:val="nil"/>
              <w:bottom w:val="single" w:sz="4" w:space="0" w:color="auto"/>
              <w:right w:val="single" w:sz="4" w:space="0" w:color="auto"/>
            </w:tcBorders>
            <w:shd w:val="clear" w:color="auto" w:fill="auto"/>
            <w:noWrap/>
            <w:vAlign w:val="center"/>
          </w:tcPr>
          <w:p w14:paraId="2D455C32" w14:textId="191EB69C" w:rsidR="00D441F2" w:rsidRPr="004C56B8" w:rsidRDefault="00D441F2" w:rsidP="00784256">
            <w:pPr>
              <w:jc w:val="right"/>
              <w:rPr>
                <w:rFonts w:eastAsia="Times New Roman"/>
              </w:rPr>
            </w:pPr>
            <w:r w:rsidRPr="004C56B8">
              <w:rPr>
                <w:rFonts w:eastAsia="Times New Roman"/>
              </w:rPr>
              <w:t xml:space="preserve">$6 </w:t>
            </w:r>
          </w:p>
        </w:tc>
      </w:tr>
      <w:tr w:rsidR="00584592" w:rsidRPr="004C56B8" w14:paraId="566B0ACA" w14:textId="77777777" w:rsidTr="00784256">
        <w:trPr>
          <w:trHeight w:val="286"/>
        </w:trPr>
        <w:tc>
          <w:tcPr>
            <w:tcW w:w="4498" w:type="dxa"/>
            <w:tcBorders>
              <w:top w:val="nil"/>
              <w:left w:val="single" w:sz="4" w:space="0" w:color="auto"/>
              <w:bottom w:val="single" w:sz="4" w:space="0" w:color="auto"/>
              <w:right w:val="single" w:sz="4" w:space="0" w:color="auto"/>
            </w:tcBorders>
            <w:shd w:val="clear" w:color="auto" w:fill="auto"/>
            <w:noWrap/>
            <w:vAlign w:val="center"/>
          </w:tcPr>
          <w:p w14:paraId="30FD428A" w14:textId="77777777" w:rsidR="001E2778" w:rsidRDefault="00584592" w:rsidP="00FB2DB9">
            <w:pPr>
              <w:rPr>
                <w:rFonts w:eastAsia="Times New Roman"/>
              </w:rPr>
            </w:pPr>
            <w:r w:rsidRPr="004C56B8">
              <w:rPr>
                <w:rFonts w:eastAsia="Times New Roman"/>
              </w:rPr>
              <w:t>2.1</w:t>
            </w:r>
            <w:r w:rsidR="000166D5" w:rsidRPr="004C56B8">
              <w:rPr>
                <w:rFonts w:eastAsia="Times New Roman"/>
              </w:rPr>
              <w:t>8</w:t>
            </w:r>
            <w:r w:rsidRPr="004C56B8">
              <w:rPr>
                <w:rFonts w:eastAsia="Times New Roman"/>
              </w:rPr>
              <w:t xml:space="preserve"> – Long Term Incentive Plan</w:t>
            </w:r>
            <w:r w:rsidR="00FB2DB9" w:rsidRPr="004C56B8">
              <w:rPr>
                <w:rFonts w:eastAsia="Times New Roman"/>
              </w:rPr>
              <w:t xml:space="preserve"> </w:t>
            </w:r>
          </w:p>
          <w:p w14:paraId="6168423F" w14:textId="1BCFDBA8" w:rsidR="00584592" w:rsidRPr="004C56B8" w:rsidRDefault="001E2778" w:rsidP="001E2778">
            <w:pPr>
              <w:tabs>
                <w:tab w:val="left" w:pos="527"/>
              </w:tabs>
              <w:rPr>
                <w:rFonts w:eastAsia="Times New Roman"/>
                <w:i/>
              </w:rPr>
            </w:pPr>
            <w:r>
              <w:rPr>
                <w:rFonts w:eastAsia="Times New Roman"/>
                <w:i/>
              </w:rPr>
              <w:tab/>
            </w:r>
            <w:r w:rsidR="006536FB" w:rsidRPr="004C56B8">
              <w:rPr>
                <w:rFonts w:eastAsia="Times New Roman"/>
                <w:i/>
              </w:rPr>
              <w:t>New Staff Adjustment</w:t>
            </w:r>
            <w:r w:rsidR="00FB2DB9" w:rsidRPr="004C56B8">
              <w:rPr>
                <w:rFonts w:eastAsia="Times New Roman"/>
                <w:i/>
              </w:rPr>
              <w:tab/>
            </w:r>
          </w:p>
        </w:tc>
        <w:tc>
          <w:tcPr>
            <w:tcW w:w="1532" w:type="dxa"/>
            <w:tcBorders>
              <w:top w:val="nil"/>
              <w:left w:val="nil"/>
              <w:bottom w:val="single" w:sz="4" w:space="0" w:color="auto"/>
              <w:right w:val="single" w:sz="4" w:space="0" w:color="auto"/>
            </w:tcBorders>
            <w:shd w:val="clear" w:color="auto" w:fill="auto"/>
            <w:noWrap/>
            <w:vAlign w:val="center"/>
          </w:tcPr>
          <w:p w14:paraId="77C25369" w14:textId="59436FE9" w:rsidR="00584592" w:rsidRPr="004C56B8" w:rsidRDefault="00584592" w:rsidP="00784256">
            <w:pPr>
              <w:jc w:val="center"/>
              <w:rPr>
                <w:rFonts w:eastAsia="Times New Roman"/>
              </w:rPr>
            </w:pPr>
          </w:p>
        </w:tc>
        <w:tc>
          <w:tcPr>
            <w:tcW w:w="1420" w:type="dxa"/>
            <w:tcBorders>
              <w:top w:val="nil"/>
              <w:left w:val="nil"/>
              <w:bottom w:val="single" w:sz="4" w:space="0" w:color="auto"/>
              <w:right w:val="single" w:sz="4" w:space="0" w:color="auto"/>
            </w:tcBorders>
            <w:shd w:val="clear" w:color="auto" w:fill="auto"/>
            <w:noWrap/>
            <w:vAlign w:val="center"/>
          </w:tcPr>
          <w:p w14:paraId="7506CBE4" w14:textId="45596D0C" w:rsidR="00584592" w:rsidRPr="004C56B8" w:rsidRDefault="00FB2DB9" w:rsidP="00784256">
            <w:pPr>
              <w:jc w:val="right"/>
              <w:rPr>
                <w:rFonts w:eastAsia="Times New Roman"/>
              </w:rPr>
            </w:pPr>
            <w:r w:rsidRPr="004C56B8">
              <w:rPr>
                <w:rFonts w:eastAsia="Times New Roman"/>
              </w:rPr>
              <w:t>$155</w:t>
            </w:r>
          </w:p>
        </w:tc>
        <w:tc>
          <w:tcPr>
            <w:tcW w:w="1476" w:type="dxa"/>
            <w:tcBorders>
              <w:top w:val="nil"/>
              <w:left w:val="nil"/>
              <w:bottom w:val="single" w:sz="4" w:space="0" w:color="auto"/>
              <w:right w:val="single" w:sz="4" w:space="0" w:color="auto"/>
            </w:tcBorders>
            <w:shd w:val="clear" w:color="auto" w:fill="auto"/>
            <w:noWrap/>
            <w:vAlign w:val="center"/>
          </w:tcPr>
          <w:p w14:paraId="20C8E7A3" w14:textId="12B94A24" w:rsidR="00584592" w:rsidRPr="004C56B8" w:rsidRDefault="00FB2DB9" w:rsidP="00784256">
            <w:pPr>
              <w:jc w:val="right"/>
              <w:rPr>
                <w:rFonts w:eastAsia="Times New Roman"/>
              </w:rPr>
            </w:pPr>
            <w:r w:rsidRPr="004C56B8">
              <w:rPr>
                <w:rFonts w:eastAsia="Times New Roman"/>
              </w:rPr>
              <w:t>$155</w:t>
            </w:r>
          </w:p>
        </w:tc>
      </w:tr>
      <w:tr w:rsidR="00F720F8" w:rsidRPr="004C56B8" w14:paraId="586C6DB0" w14:textId="77777777" w:rsidTr="00784256">
        <w:trPr>
          <w:trHeight w:val="286"/>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7935A44F" w14:textId="1AFEE5E5" w:rsidR="00D441F2" w:rsidRPr="004C56B8" w:rsidRDefault="00D441F2" w:rsidP="00CF1461">
            <w:pPr>
              <w:rPr>
                <w:rFonts w:eastAsia="Times New Roman"/>
              </w:rPr>
            </w:pPr>
            <w:r w:rsidRPr="004C56B8">
              <w:rPr>
                <w:rFonts w:eastAsia="Times New Roman"/>
              </w:rPr>
              <w:t>3.01</w:t>
            </w:r>
            <w:r w:rsidR="008F5B5D" w:rsidRPr="004C56B8">
              <w:rPr>
                <w:rFonts w:eastAsia="Times New Roman"/>
              </w:rPr>
              <w:t xml:space="preserve"> </w:t>
            </w:r>
            <w:r w:rsidR="00CF1461" w:rsidRPr="004C56B8">
              <w:rPr>
                <w:rFonts w:eastAsia="Times New Roman"/>
              </w:rPr>
              <w:t>–</w:t>
            </w:r>
            <w:r w:rsidR="008F5B5D" w:rsidRPr="004C56B8">
              <w:rPr>
                <w:rFonts w:eastAsia="Times New Roman"/>
              </w:rPr>
              <w:t xml:space="preserve"> </w:t>
            </w:r>
            <w:r w:rsidR="00CF1461" w:rsidRPr="004C56B8">
              <w:rPr>
                <w:rFonts w:eastAsia="Times New Roman"/>
              </w:rPr>
              <w:t>Transmission Revenue/Expenses</w:t>
            </w:r>
          </w:p>
        </w:tc>
        <w:tc>
          <w:tcPr>
            <w:tcW w:w="1532" w:type="dxa"/>
            <w:tcBorders>
              <w:top w:val="nil"/>
              <w:left w:val="nil"/>
              <w:bottom w:val="single" w:sz="4" w:space="0" w:color="auto"/>
              <w:right w:val="single" w:sz="4" w:space="0" w:color="auto"/>
            </w:tcBorders>
            <w:shd w:val="clear" w:color="auto" w:fill="auto"/>
            <w:noWrap/>
            <w:vAlign w:val="center"/>
            <w:hideMark/>
          </w:tcPr>
          <w:p w14:paraId="19ED6549" w14:textId="77777777" w:rsidR="00D441F2" w:rsidRPr="004C56B8" w:rsidRDefault="00D441F2" w:rsidP="00784256">
            <w:pPr>
              <w:jc w:val="right"/>
              <w:rPr>
                <w:rFonts w:eastAsia="Times New Roman"/>
              </w:rPr>
            </w:pPr>
            <w:r w:rsidRPr="004C56B8">
              <w:rPr>
                <w:rFonts w:eastAsia="Times New Roman"/>
              </w:rPr>
              <w:t>($71)</w:t>
            </w:r>
          </w:p>
        </w:tc>
        <w:tc>
          <w:tcPr>
            <w:tcW w:w="1420" w:type="dxa"/>
            <w:tcBorders>
              <w:top w:val="nil"/>
              <w:left w:val="nil"/>
              <w:bottom w:val="single" w:sz="4" w:space="0" w:color="auto"/>
              <w:right w:val="single" w:sz="4" w:space="0" w:color="auto"/>
            </w:tcBorders>
            <w:shd w:val="clear" w:color="auto" w:fill="auto"/>
            <w:noWrap/>
            <w:vAlign w:val="center"/>
            <w:hideMark/>
          </w:tcPr>
          <w:p w14:paraId="43535B4A" w14:textId="0E70492D" w:rsidR="00D441F2" w:rsidRPr="004C56B8" w:rsidRDefault="00D441F2" w:rsidP="00734FD0">
            <w:pPr>
              <w:jc w:val="right"/>
              <w:rPr>
                <w:rFonts w:eastAsia="Times New Roman"/>
              </w:rPr>
            </w:pPr>
            <w:r w:rsidRPr="004C56B8">
              <w:rPr>
                <w:rFonts w:eastAsia="Times New Roman"/>
              </w:rPr>
              <w:t>$</w:t>
            </w:r>
            <w:r w:rsidR="00734FD0">
              <w:rPr>
                <w:rFonts w:eastAsia="Times New Roman"/>
              </w:rPr>
              <w:t>59</w:t>
            </w:r>
            <w:r w:rsidRPr="004C56B8">
              <w:rPr>
                <w:rFonts w:eastAsia="Times New Roman"/>
              </w:rPr>
              <w:t xml:space="preserve"> </w:t>
            </w:r>
          </w:p>
        </w:tc>
        <w:tc>
          <w:tcPr>
            <w:tcW w:w="1476" w:type="dxa"/>
            <w:tcBorders>
              <w:top w:val="nil"/>
              <w:left w:val="nil"/>
              <w:bottom w:val="single" w:sz="4" w:space="0" w:color="auto"/>
              <w:right w:val="single" w:sz="4" w:space="0" w:color="auto"/>
            </w:tcBorders>
            <w:shd w:val="clear" w:color="auto" w:fill="auto"/>
            <w:noWrap/>
            <w:vAlign w:val="center"/>
            <w:hideMark/>
          </w:tcPr>
          <w:p w14:paraId="6FE20171" w14:textId="6E74AA76" w:rsidR="00D441F2" w:rsidRPr="004C56B8" w:rsidRDefault="00D441F2" w:rsidP="00734FD0">
            <w:pPr>
              <w:jc w:val="right"/>
              <w:rPr>
                <w:rFonts w:eastAsia="Times New Roman"/>
              </w:rPr>
            </w:pPr>
            <w:r w:rsidRPr="004C56B8">
              <w:rPr>
                <w:rFonts w:eastAsia="Times New Roman"/>
              </w:rPr>
              <w:t>$13</w:t>
            </w:r>
            <w:r w:rsidR="00734FD0">
              <w:rPr>
                <w:rFonts w:eastAsia="Times New Roman"/>
              </w:rPr>
              <w:t>0</w:t>
            </w:r>
            <w:r w:rsidRPr="004C56B8">
              <w:rPr>
                <w:rFonts w:eastAsia="Times New Roman"/>
              </w:rPr>
              <w:t xml:space="preserve"> </w:t>
            </w:r>
          </w:p>
        </w:tc>
      </w:tr>
      <w:tr w:rsidR="00F720F8" w:rsidRPr="004C56B8" w14:paraId="74AF1546" w14:textId="77777777" w:rsidTr="00784256">
        <w:trPr>
          <w:trHeight w:val="286"/>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52B8D6BF" w14:textId="4E5AF080" w:rsidR="00D441F2" w:rsidRPr="004C56B8" w:rsidRDefault="00CF1461" w:rsidP="00D470D5">
            <w:pPr>
              <w:rPr>
                <w:rFonts w:eastAsia="Times New Roman"/>
              </w:rPr>
            </w:pPr>
            <w:r w:rsidRPr="004C56B8">
              <w:rPr>
                <w:rFonts w:eastAsia="Times New Roman"/>
              </w:rPr>
              <w:t>3.02 – Labor Non</w:t>
            </w:r>
            <w:r w:rsidR="00D470D5">
              <w:rPr>
                <w:rFonts w:eastAsia="Times New Roman"/>
              </w:rPr>
              <w:t>-</w:t>
            </w:r>
            <w:r w:rsidRPr="004C56B8">
              <w:rPr>
                <w:rFonts w:eastAsia="Times New Roman"/>
              </w:rPr>
              <w:t>Executive</w:t>
            </w:r>
          </w:p>
        </w:tc>
        <w:tc>
          <w:tcPr>
            <w:tcW w:w="1532" w:type="dxa"/>
            <w:tcBorders>
              <w:top w:val="nil"/>
              <w:left w:val="nil"/>
              <w:bottom w:val="single" w:sz="4" w:space="0" w:color="auto"/>
              <w:right w:val="single" w:sz="4" w:space="0" w:color="auto"/>
            </w:tcBorders>
            <w:shd w:val="clear" w:color="auto" w:fill="auto"/>
            <w:noWrap/>
            <w:vAlign w:val="center"/>
            <w:hideMark/>
          </w:tcPr>
          <w:p w14:paraId="1813471D" w14:textId="77777777" w:rsidR="00D441F2" w:rsidRPr="004C56B8" w:rsidRDefault="00D441F2" w:rsidP="00784256">
            <w:pPr>
              <w:jc w:val="right"/>
              <w:rPr>
                <w:rFonts w:eastAsia="Times New Roman"/>
              </w:rPr>
            </w:pPr>
            <w:r w:rsidRPr="004C56B8">
              <w:rPr>
                <w:rFonts w:eastAsia="Times New Roman"/>
              </w:rPr>
              <w:t>($2,503)</w:t>
            </w:r>
          </w:p>
        </w:tc>
        <w:tc>
          <w:tcPr>
            <w:tcW w:w="1420" w:type="dxa"/>
            <w:tcBorders>
              <w:top w:val="nil"/>
              <w:left w:val="nil"/>
              <w:bottom w:val="single" w:sz="4" w:space="0" w:color="auto"/>
              <w:right w:val="single" w:sz="4" w:space="0" w:color="auto"/>
            </w:tcBorders>
            <w:shd w:val="clear" w:color="auto" w:fill="auto"/>
            <w:noWrap/>
            <w:vAlign w:val="center"/>
            <w:hideMark/>
          </w:tcPr>
          <w:p w14:paraId="369BE253" w14:textId="77777777" w:rsidR="00D441F2" w:rsidRPr="004C56B8" w:rsidRDefault="00D441F2" w:rsidP="00784256">
            <w:pPr>
              <w:jc w:val="right"/>
              <w:rPr>
                <w:rFonts w:eastAsia="Times New Roman"/>
              </w:rPr>
            </w:pPr>
            <w:r w:rsidRPr="004C56B8">
              <w:rPr>
                <w:rFonts w:eastAsia="Times New Roman"/>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15466C3D" w14:textId="77777777" w:rsidR="00D441F2" w:rsidRPr="004C56B8" w:rsidRDefault="00D441F2" w:rsidP="00784256">
            <w:pPr>
              <w:jc w:val="right"/>
              <w:rPr>
                <w:rFonts w:eastAsia="Times New Roman"/>
              </w:rPr>
            </w:pPr>
            <w:r w:rsidRPr="004C56B8">
              <w:rPr>
                <w:rFonts w:eastAsia="Times New Roman"/>
              </w:rPr>
              <w:t xml:space="preserve">$631 </w:t>
            </w:r>
          </w:p>
        </w:tc>
      </w:tr>
      <w:tr w:rsidR="00F720F8" w:rsidRPr="004C56B8" w14:paraId="2FBB1DC3" w14:textId="77777777" w:rsidTr="00784256">
        <w:trPr>
          <w:trHeight w:val="286"/>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7BD015DD" w14:textId="61412A39" w:rsidR="00D441F2" w:rsidRPr="004C56B8" w:rsidRDefault="00CF1461" w:rsidP="00CF1461">
            <w:pPr>
              <w:rPr>
                <w:rFonts w:eastAsia="Times New Roman"/>
              </w:rPr>
            </w:pPr>
            <w:r w:rsidRPr="004C56B8">
              <w:rPr>
                <w:rFonts w:eastAsia="Times New Roman"/>
              </w:rPr>
              <w:t>3.03 - Labor Executive</w:t>
            </w:r>
          </w:p>
        </w:tc>
        <w:tc>
          <w:tcPr>
            <w:tcW w:w="1532" w:type="dxa"/>
            <w:tcBorders>
              <w:top w:val="nil"/>
              <w:left w:val="nil"/>
              <w:bottom w:val="single" w:sz="4" w:space="0" w:color="auto"/>
              <w:right w:val="single" w:sz="4" w:space="0" w:color="auto"/>
            </w:tcBorders>
            <w:shd w:val="clear" w:color="auto" w:fill="auto"/>
            <w:noWrap/>
            <w:vAlign w:val="center"/>
            <w:hideMark/>
          </w:tcPr>
          <w:p w14:paraId="78E3ADCD" w14:textId="77777777" w:rsidR="00D441F2" w:rsidRPr="004C56B8" w:rsidRDefault="00D441F2" w:rsidP="00784256">
            <w:pPr>
              <w:jc w:val="right"/>
              <w:rPr>
                <w:rFonts w:eastAsia="Times New Roman"/>
              </w:rPr>
            </w:pPr>
            <w:r w:rsidRPr="004C56B8">
              <w:rPr>
                <w:rFonts w:eastAsia="Times New Roman"/>
              </w:rPr>
              <w:t>($143)</w:t>
            </w:r>
          </w:p>
        </w:tc>
        <w:tc>
          <w:tcPr>
            <w:tcW w:w="1420" w:type="dxa"/>
            <w:tcBorders>
              <w:top w:val="nil"/>
              <w:left w:val="nil"/>
              <w:bottom w:val="single" w:sz="4" w:space="0" w:color="auto"/>
              <w:right w:val="single" w:sz="4" w:space="0" w:color="auto"/>
            </w:tcBorders>
            <w:shd w:val="clear" w:color="auto" w:fill="auto"/>
            <w:noWrap/>
            <w:vAlign w:val="center"/>
            <w:hideMark/>
          </w:tcPr>
          <w:p w14:paraId="518F8EAD" w14:textId="77777777" w:rsidR="00D441F2" w:rsidRPr="004C56B8" w:rsidRDefault="00D441F2" w:rsidP="00784256">
            <w:pPr>
              <w:jc w:val="right"/>
              <w:rPr>
                <w:rFonts w:eastAsia="Times New Roman"/>
              </w:rPr>
            </w:pPr>
            <w:r w:rsidRPr="004C56B8">
              <w:rPr>
                <w:rFonts w:eastAsia="Times New Roman"/>
              </w:rPr>
              <w:t>($79)</w:t>
            </w:r>
          </w:p>
        </w:tc>
        <w:tc>
          <w:tcPr>
            <w:tcW w:w="1476" w:type="dxa"/>
            <w:tcBorders>
              <w:top w:val="nil"/>
              <w:left w:val="nil"/>
              <w:bottom w:val="single" w:sz="4" w:space="0" w:color="auto"/>
              <w:right w:val="single" w:sz="4" w:space="0" w:color="auto"/>
            </w:tcBorders>
            <w:shd w:val="clear" w:color="auto" w:fill="auto"/>
            <w:noWrap/>
            <w:vAlign w:val="center"/>
            <w:hideMark/>
          </w:tcPr>
          <w:p w14:paraId="0B6170C5" w14:textId="77777777" w:rsidR="00D441F2" w:rsidRPr="004C56B8" w:rsidRDefault="00D441F2" w:rsidP="00784256">
            <w:pPr>
              <w:jc w:val="right"/>
              <w:rPr>
                <w:rFonts w:eastAsia="Times New Roman"/>
              </w:rPr>
            </w:pPr>
            <w:r w:rsidRPr="004C56B8">
              <w:rPr>
                <w:rFonts w:eastAsia="Times New Roman"/>
              </w:rPr>
              <w:t xml:space="preserve">$64 </w:t>
            </w:r>
          </w:p>
        </w:tc>
      </w:tr>
      <w:tr w:rsidR="00F720F8" w:rsidRPr="004C56B8" w14:paraId="2377F4B7" w14:textId="77777777" w:rsidTr="00784256">
        <w:trPr>
          <w:trHeight w:val="286"/>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38718161" w14:textId="6F13E659" w:rsidR="00D441F2" w:rsidRPr="004C56B8" w:rsidRDefault="00D441F2" w:rsidP="00CF1461">
            <w:pPr>
              <w:rPr>
                <w:rFonts w:eastAsia="Times New Roman"/>
              </w:rPr>
            </w:pPr>
            <w:r w:rsidRPr="004C56B8">
              <w:rPr>
                <w:rFonts w:eastAsia="Times New Roman"/>
              </w:rPr>
              <w:t>3.04</w:t>
            </w:r>
            <w:r w:rsidR="00CF1461" w:rsidRPr="004C56B8">
              <w:rPr>
                <w:rFonts w:eastAsia="Times New Roman"/>
              </w:rPr>
              <w:t xml:space="preserve"> </w:t>
            </w:r>
            <w:r w:rsidR="001E4D34" w:rsidRPr="004C56B8">
              <w:rPr>
                <w:rFonts w:eastAsia="Times New Roman"/>
              </w:rPr>
              <w:t>–</w:t>
            </w:r>
            <w:r w:rsidR="00CF1461" w:rsidRPr="004C56B8">
              <w:rPr>
                <w:rFonts w:eastAsia="Times New Roman"/>
              </w:rPr>
              <w:t xml:space="preserve"> </w:t>
            </w:r>
            <w:r w:rsidR="001E4D34" w:rsidRPr="004C56B8">
              <w:rPr>
                <w:rFonts w:eastAsia="Times New Roman"/>
              </w:rPr>
              <w:t>Employee Benefits</w:t>
            </w:r>
          </w:p>
        </w:tc>
        <w:tc>
          <w:tcPr>
            <w:tcW w:w="1532" w:type="dxa"/>
            <w:tcBorders>
              <w:top w:val="nil"/>
              <w:left w:val="nil"/>
              <w:bottom w:val="single" w:sz="4" w:space="0" w:color="auto"/>
              <w:right w:val="single" w:sz="4" w:space="0" w:color="auto"/>
            </w:tcBorders>
            <w:shd w:val="clear" w:color="auto" w:fill="auto"/>
            <w:noWrap/>
            <w:vAlign w:val="center"/>
            <w:hideMark/>
          </w:tcPr>
          <w:p w14:paraId="757D4146" w14:textId="77777777" w:rsidR="00D441F2" w:rsidRPr="004C56B8" w:rsidRDefault="00D441F2" w:rsidP="00784256">
            <w:pPr>
              <w:jc w:val="right"/>
              <w:rPr>
                <w:rFonts w:eastAsia="Times New Roman"/>
              </w:rPr>
            </w:pPr>
            <w:r w:rsidRPr="004C56B8">
              <w:rPr>
                <w:rFonts w:eastAsia="Times New Roman"/>
              </w:rPr>
              <w:t>($1,550)</w:t>
            </w:r>
          </w:p>
        </w:tc>
        <w:tc>
          <w:tcPr>
            <w:tcW w:w="1420" w:type="dxa"/>
            <w:tcBorders>
              <w:top w:val="nil"/>
              <w:left w:val="nil"/>
              <w:bottom w:val="single" w:sz="4" w:space="0" w:color="auto"/>
              <w:right w:val="single" w:sz="4" w:space="0" w:color="auto"/>
            </w:tcBorders>
            <w:shd w:val="clear" w:color="auto" w:fill="auto"/>
            <w:noWrap/>
            <w:vAlign w:val="center"/>
            <w:hideMark/>
          </w:tcPr>
          <w:p w14:paraId="613E0EDE" w14:textId="77777777" w:rsidR="00D441F2" w:rsidRPr="004C56B8" w:rsidRDefault="00D441F2" w:rsidP="00784256">
            <w:pPr>
              <w:jc w:val="right"/>
              <w:rPr>
                <w:rFonts w:eastAsia="Times New Roman"/>
              </w:rPr>
            </w:pPr>
            <w:r w:rsidRPr="004C56B8">
              <w:rPr>
                <w:rFonts w:eastAsia="Times New Roman"/>
              </w:rPr>
              <w:t>($2,291)</w:t>
            </w:r>
          </w:p>
        </w:tc>
        <w:tc>
          <w:tcPr>
            <w:tcW w:w="1476" w:type="dxa"/>
            <w:tcBorders>
              <w:top w:val="nil"/>
              <w:left w:val="nil"/>
              <w:bottom w:val="single" w:sz="4" w:space="0" w:color="auto"/>
              <w:right w:val="single" w:sz="4" w:space="0" w:color="auto"/>
            </w:tcBorders>
            <w:shd w:val="clear" w:color="auto" w:fill="auto"/>
            <w:noWrap/>
            <w:vAlign w:val="center"/>
            <w:hideMark/>
          </w:tcPr>
          <w:p w14:paraId="24CD3EFB" w14:textId="77777777" w:rsidR="00D441F2" w:rsidRPr="004C56B8" w:rsidRDefault="00D441F2" w:rsidP="00784256">
            <w:pPr>
              <w:jc w:val="right"/>
              <w:rPr>
                <w:rFonts w:eastAsia="Times New Roman"/>
              </w:rPr>
            </w:pPr>
            <w:r w:rsidRPr="004C56B8">
              <w:rPr>
                <w:rFonts w:eastAsia="Times New Roman"/>
              </w:rPr>
              <w:t>($741)</w:t>
            </w:r>
          </w:p>
        </w:tc>
      </w:tr>
      <w:tr w:rsidR="00F720F8" w:rsidRPr="004C56B8" w14:paraId="350B2DA4" w14:textId="77777777" w:rsidTr="00784256">
        <w:trPr>
          <w:trHeight w:val="286"/>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4BF3C681" w14:textId="7137304E" w:rsidR="00D441F2" w:rsidRPr="004C56B8" w:rsidRDefault="001E4D34" w:rsidP="00CF1461">
            <w:pPr>
              <w:rPr>
                <w:rFonts w:eastAsia="Times New Roman"/>
              </w:rPr>
            </w:pPr>
            <w:r w:rsidRPr="004C56B8">
              <w:rPr>
                <w:rFonts w:eastAsia="Times New Roman"/>
              </w:rPr>
              <w:t>3.05 – Insurance Expense</w:t>
            </w:r>
          </w:p>
        </w:tc>
        <w:tc>
          <w:tcPr>
            <w:tcW w:w="1532" w:type="dxa"/>
            <w:tcBorders>
              <w:top w:val="nil"/>
              <w:left w:val="nil"/>
              <w:bottom w:val="single" w:sz="4" w:space="0" w:color="auto"/>
              <w:right w:val="single" w:sz="4" w:space="0" w:color="auto"/>
            </w:tcBorders>
            <w:shd w:val="clear" w:color="auto" w:fill="auto"/>
            <w:noWrap/>
            <w:vAlign w:val="center"/>
            <w:hideMark/>
          </w:tcPr>
          <w:p w14:paraId="62131B47" w14:textId="77777777" w:rsidR="00D441F2" w:rsidRPr="004C56B8" w:rsidRDefault="00D441F2" w:rsidP="00784256">
            <w:pPr>
              <w:jc w:val="right"/>
              <w:rPr>
                <w:rFonts w:eastAsia="Times New Roman"/>
              </w:rPr>
            </w:pPr>
            <w:r w:rsidRPr="004C56B8">
              <w:rPr>
                <w:rFonts w:eastAsia="Times New Roman"/>
              </w:rPr>
              <w:t>($168)</w:t>
            </w:r>
          </w:p>
        </w:tc>
        <w:tc>
          <w:tcPr>
            <w:tcW w:w="1420" w:type="dxa"/>
            <w:tcBorders>
              <w:top w:val="nil"/>
              <w:left w:val="nil"/>
              <w:bottom w:val="single" w:sz="4" w:space="0" w:color="auto"/>
              <w:right w:val="single" w:sz="4" w:space="0" w:color="auto"/>
            </w:tcBorders>
            <w:shd w:val="clear" w:color="auto" w:fill="auto"/>
            <w:noWrap/>
            <w:vAlign w:val="center"/>
            <w:hideMark/>
          </w:tcPr>
          <w:p w14:paraId="120A5986" w14:textId="55747D17" w:rsidR="00D441F2" w:rsidRPr="004C56B8" w:rsidRDefault="00F720F8" w:rsidP="00784256">
            <w:pPr>
              <w:jc w:val="right"/>
              <w:rPr>
                <w:rFonts w:eastAsia="Times New Roman"/>
              </w:rPr>
            </w:pPr>
            <w:r w:rsidRPr="004C56B8">
              <w:rPr>
                <w:rFonts w:eastAsia="Times New Roman"/>
              </w:rPr>
              <w:t>$ -</w:t>
            </w:r>
            <w:r w:rsidR="00D441F2" w:rsidRPr="004C56B8">
              <w:rPr>
                <w:rFonts w:eastAsia="Times New Roman"/>
              </w:rPr>
              <w:t xml:space="preserve"> </w:t>
            </w:r>
          </w:p>
        </w:tc>
        <w:tc>
          <w:tcPr>
            <w:tcW w:w="1476" w:type="dxa"/>
            <w:tcBorders>
              <w:top w:val="nil"/>
              <w:left w:val="nil"/>
              <w:bottom w:val="single" w:sz="4" w:space="0" w:color="auto"/>
              <w:right w:val="single" w:sz="4" w:space="0" w:color="auto"/>
            </w:tcBorders>
            <w:shd w:val="clear" w:color="auto" w:fill="auto"/>
            <w:noWrap/>
            <w:vAlign w:val="center"/>
            <w:hideMark/>
          </w:tcPr>
          <w:p w14:paraId="32191E48" w14:textId="77777777" w:rsidR="00D441F2" w:rsidRPr="004C56B8" w:rsidRDefault="00D441F2" w:rsidP="00784256">
            <w:pPr>
              <w:jc w:val="right"/>
              <w:rPr>
                <w:rFonts w:eastAsia="Times New Roman"/>
              </w:rPr>
            </w:pPr>
            <w:r w:rsidRPr="004C56B8">
              <w:rPr>
                <w:rFonts w:eastAsia="Times New Roman"/>
              </w:rPr>
              <w:t xml:space="preserve">$168 </w:t>
            </w:r>
          </w:p>
        </w:tc>
      </w:tr>
      <w:tr w:rsidR="00F720F8" w:rsidRPr="004C56B8" w14:paraId="770FBB70" w14:textId="77777777" w:rsidTr="008B0560">
        <w:trPr>
          <w:trHeight w:val="286"/>
        </w:trPr>
        <w:tc>
          <w:tcPr>
            <w:tcW w:w="4498" w:type="dxa"/>
            <w:tcBorders>
              <w:top w:val="nil"/>
              <w:left w:val="single" w:sz="4" w:space="0" w:color="auto"/>
              <w:bottom w:val="single" w:sz="4" w:space="0" w:color="auto"/>
              <w:right w:val="single" w:sz="4" w:space="0" w:color="auto"/>
            </w:tcBorders>
            <w:shd w:val="clear" w:color="auto" w:fill="auto"/>
            <w:noWrap/>
            <w:vAlign w:val="center"/>
          </w:tcPr>
          <w:p w14:paraId="08E2C06D" w14:textId="1006945B" w:rsidR="00D441F2" w:rsidRPr="00793F43" w:rsidRDefault="00FB5589" w:rsidP="00CF1461">
            <w:pPr>
              <w:rPr>
                <w:rFonts w:eastAsia="Times New Roman"/>
              </w:rPr>
            </w:pPr>
            <w:r w:rsidRPr="00793F43">
              <w:rPr>
                <w:rFonts w:eastAsia="Times New Roman"/>
              </w:rPr>
              <w:t>3.07 – Information Servi</w:t>
            </w:r>
            <w:r w:rsidR="00F720F8" w:rsidRPr="00793F43">
              <w:rPr>
                <w:rFonts w:eastAsia="Times New Roman"/>
              </w:rPr>
              <w:t>ces/Information Technology</w:t>
            </w:r>
          </w:p>
        </w:tc>
        <w:tc>
          <w:tcPr>
            <w:tcW w:w="1532" w:type="dxa"/>
            <w:tcBorders>
              <w:top w:val="nil"/>
              <w:left w:val="nil"/>
              <w:bottom w:val="single" w:sz="4" w:space="0" w:color="auto"/>
              <w:right w:val="single" w:sz="4" w:space="0" w:color="auto"/>
            </w:tcBorders>
            <w:shd w:val="clear" w:color="auto" w:fill="auto"/>
            <w:noWrap/>
            <w:vAlign w:val="center"/>
          </w:tcPr>
          <w:p w14:paraId="7DFCD2E3" w14:textId="75EDF455" w:rsidR="00D441F2" w:rsidRPr="00793F43" w:rsidRDefault="00F720F8" w:rsidP="00784256">
            <w:pPr>
              <w:jc w:val="right"/>
              <w:rPr>
                <w:rFonts w:eastAsia="Times New Roman"/>
              </w:rPr>
            </w:pPr>
            <w:r w:rsidRPr="00793F43">
              <w:rPr>
                <w:rFonts w:eastAsia="Times New Roman"/>
              </w:rPr>
              <w:t>($1,091)</w:t>
            </w:r>
          </w:p>
        </w:tc>
        <w:tc>
          <w:tcPr>
            <w:tcW w:w="1420" w:type="dxa"/>
            <w:tcBorders>
              <w:top w:val="nil"/>
              <w:left w:val="nil"/>
              <w:bottom w:val="single" w:sz="4" w:space="0" w:color="auto"/>
              <w:right w:val="single" w:sz="4" w:space="0" w:color="auto"/>
            </w:tcBorders>
            <w:shd w:val="clear" w:color="auto" w:fill="auto"/>
            <w:noWrap/>
            <w:vAlign w:val="center"/>
          </w:tcPr>
          <w:p w14:paraId="67333EA1" w14:textId="2E78AAF5" w:rsidR="00D441F2" w:rsidRPr="00793F43" w:rsidRDefault="00F720F8" w:rsidP="00793F43">
            <w:pPr>
              <w:jc w:val="right"/>
              <w:rPr>
                <w:rFonts w:eastAsia="Times New Roman"/>
              </w:rPr>
            </w:pPr>
            <w:r w:rsidRPr="00793F43">
              <w:rPr>
                <w:rFonts w:eastAsia="Times New Roman"/>
              </w:rPr>
              <w:t>$(</w:t>
            </w:r>
            <w:r w:rsidR="00793F43" w:rsidRPr="00793F43">
              <w:rPr>
                <w:rFonts w:eastAsia="Times New Roman"/>
              </w:rPr>
              <w:t>218</w:t>
            </w:r>
            <w:r w:rsidRPr="00793F43">
              <w:rPr>
                <w:rFonts w:eastAsia="Times New Roman"/>
              </w:rPr>
              <w:t>)</w:t>
            </w:r>
          </w:p>
        </w:tc>
        <w:tc>
          <w:tcPr>
            <w:tcW w:w="1476" w:type="dxa"/>
            <w:tcBorders>
              <w:top w:val="nil"/>
              <w:left w:val="nil"/>
              <w:bottom w:val="single" w:sz="4" w:space="0" w:color="auto"/>
              <w:right w:val="single" w:sz="4" w:space="0" w:color="auto"/>
            </w:tcBorders>
            <w:shd w:val="clear" w:color="auto" w:fill="auto"/>
            <w:noWrap/>
            <w:vAlign w:val="center"/>
          </w:tcPr>
          <w:p w14:paraId="33F6A38B" w14:textId="0B1ECB76" w:rsidR="00D441F2" w:rsidRPr="00793F43" w:rsidRDefault="00F720F8" w:rsidP="00784256">
            <w:pPr>
              <w:jc w:val="right"/>
              <w:rPr>
                <w:rFonts w:eastAsia="Times New Roman"/>
              </w:rPr>
            </w:pPr>
            <w:r w:rsidRPr="00793F43">
              <w:rPr>
                <w:rFonts w:eastAsia="Times New Roman"/>
              </w:rPr>
              <w:t>$</w:t>
            </w:r>
            <w:r w:rsidR="00793F43">
              <w:rPr>
                <w:rFonts w:eastAsia="Times New Roman"/>
              </w:rPr>
              <w:t>873</w:t>
            </w:r>
          </w:p>
        </w:tc>
      </w:tr>
      <w:tr w:rsidR="00F720F8" w:rsidRPr="004C56B8" w14:paraId="05EBA0B3" w14:textId="77777777" w:rsidTr="008B0560">
        <w:trPr>
          <w:trHeight w:val="286"/>
        </w:trPr>
        <w:tc>
          <w:tcPr>
            <w:tcW w:w="4498" w:type="dxa"/>
            <w:tcBorders>
              <w:top w:val="single" w:sz="4" w:space="0" w:color="auto"/>
              <w:left w:val="single" w:sz="4" w:space="0" w:color="auto"/>
              <w:bottom w:val="single" w:sz="2" w:space="0" w:color="auto"/>
              <w:right w:val="single" w:sz="4" w:space="0" w:color="auto"/>
            </w:tcBorders>
            <w:shd w:val="clear" w:color="auto" w:fill="auto"/>
            <w:noWrap/>
            <w:vAlign w:val="center"/>
          </w:tcPr>
          <w:p w14:paraId="31969C8B" w14:textId="2CE4DB1B" w:rsidR="00D441F2" w:rsidRPr="004C56B8" w:rsidRDefault="00F720F8" w:rsidP="00CF1461">
            <w:pPr>
              <w:rPr>
                <w:rFonts w:eastAsia="Times New Roman"/>
              </w:rPr>
            </w:pPr>
            <w:r w:rsidRPr="004C56B8">
              <w:rPr>
                <w:rFonts w:eastAsia="Times New Roman"/>
              </w:rPr>
              <w:t xml:space="preserve">3.10 – Major Maintenance Hydro, Thermal and Other Excluding </w:t>
            </w:r>
            <w:r w:rsidR="00D67C60">
              <w:rPr>
                <w:rFonts w:eastAsia="Times New Roman"/>
              </w:rPr>
              <w:t xml:space="preserve">Colstrip &amp; </w:t>
            </w:r>
            <w:r w:rsidR="004A700C" w:rsidRPr="004C56B8">
              <w:rPr>
                <w:rFonts w:eastAsia="Times New Roman"/>
              </w:rPr>
              <w:t xml:space="preserve">Coyote Springs 2 </w:t>
            </w:r>
          </w:p>
        </w:tc>
        <w:tc>
          <w:tcPr>
            <w:tcW w:w="1532" w:type="dxa"/>
            <w:tcBorders>
              <w:top w:val="single" w:sz="4" w:space="0" w:color="auto"/>
              <w:left w:val="nil"/>
              <w:bottom w:val="single" w:sz="2" w:space="0" w:color="auto"/>
              <w:right w:val="single" w:sz="4" w:space="0" w:color="auto"/>
            </w:tcBorders>
            <w:shd w:val="clear" w:color="auto" w:fill="auto"/>
            <w:noWrap/>
            <w:vAlign w:val="center"/>
          </w:tcPr>
          <w:p w14:paraId="7A0046DA" w14:textId="555B80BB" w:rsidR="00D441F2" w:rsidRPr="004C56B8" w:rsidRDefault="00F720F8" w:rsidP="00784256">
            <w:pPr>
              <w:jc w:val="right"/>
              <w:rPr>
                <w:rFonts w:eastAsia="Times New Roman"/>
              </w:rPr>
            </w:pPr>
            <w:r w:rsidRPr="004C56B8">
              <w:rPr>
                <w:rFonts w:eastAsia="Times New Roman"/>
              </w:rPr>
              <w:t>($1,570)</w:t>
            </w:r>
          </w:p>
        </w:tc>
        <w:tc>
          <w:tcPr>
            <w:tcW w:w="1420" w:type="dxa"/>
            <w:tcBorders>
              <w:top w:val="single" w:sz="4" w:space="0" w:color="auto"/>
              <w:left w:val="nil"/>
              <w:bottom w:val="single" w:sz="2" w:space="0" w:color="auto"/>
              <w:right w:val="single" w:sz="4" w:space="0" w:color="auto"/>
            </w:tcBorders>
            <w:shd w:val="clear" w:color="auto" w:fill="auto"/>
            <w:noWrap/>
            <w:vAlign w:val="center"/>
          </w:tcPr>
          <w:p w14:paraId="77AB0889" w14:textId="7637A478" w:rsidR="00D441F2" w:rsidRPr="004C56B8" w:rsidRDefault="00F720F8" w:rsidP="00784256">
            <w:pPr>
              <w:jc w:val="right"/>
              <w:rPr>
                <w:rFonts w:eastAsia="Times New Roman"/>
              </w:rPr>
            </w:pPr>
            <w:r w:rsidRPr="004C56B8">
              <w:rPr>
                <w:rFonts w:eastAsia="Times New Roman"/>
              </w:rPr>
              <w:t xml:space="preserve">$ - </w:t>
            </w:r>
          </w:p>
        </w:tc>
        <w:tc>
          <w:tcPr>
            <w:tcW w:w="1476" w:type="dxa"/>
            <w:tcBorders>
              <w:top w:val="single" w:sz="4" w:space="0" w:color="auto"/>
              <w:left w:val="nil"/>
              <w:bottom w:val="single" w:sz="2" w:space="0" w:color="auto"/>
              <w:right w:val="single" w:sz="4" w:space="0" w:color="auto"/>
            </w:tcBorders>
            <w:shd w:val="clear" w:color="auto" w:fill="auto"/>
            <w:noWrap/>
            <w:vAlign w:val="center"/>
          </w:tcPr>
          <w:p w14:paraId="77736CF9" w14:textId="3BD846EC" w:rsidR="00D441F2" w:rsidRPr="004C56B8" w:rsidRDefault="00584592" w:rsidP="00784256">
            <w:pPr>
              <w:jc w:val="right"/>
              <w:rPr>
                <w:rFonts w:eastAsia="Times New Roman"/>
              </w:rPr>
            </w:pPr>
            <w:r w:rsidRPr="004C56B8">
              <w:rPr>
                <w:rFonts w:eastAsia="Times New Roman"/>
              </w:rPr>
              <w:t>$1,570</w:t>
            </w:r>
          </w:p>
        </w:tc>
      </w:tr>
      <w:tr w:rsidR="004A700C" w:rsidRPr="004C56B8" w14:paraId="453B3187" w14:textId="77777777" w:rsidTr="00D46BA8">
        <w:trPr>
          <w:trHeight w:val="286"/>
        </w:trPr>
        <w:tc>
          <w:tcPr>
            <w:tcW w:w="4498" w:type="dxa"/>
            <w:tcBorders>
              <w:top w:val="single" w:sz="2" w:space="0" w:color="auto"/>
              <w:left w:val="single" w:sz="4" w:space="0" w:color="auto"/>
              <w:bottom w:val="single" w:sz="18" w:space="0" w:color="auto"/>
              <w:right w:val="single" w:sz="4" w:space="0" w:color="auto"/>
            </w:tcBorders>
            <w:shd w:val="clear" w:color="auto" w:fill="auto"/>
            <w:noWrap/>
            <w:vAlign w:val="center"/>
          </w:tcPr>
          <w:p w14:paraId="7C3BACE1" w14:textId="799233E0" w:rsidR="00457431" w:rsidRPr="004C56B8" w:rsidRDefault="004A700C" w:rsidP="004A700C">
            <w:pPr>
              <w:rPr>
                <w:rFonts w:eastAsia="Times New Roman"/>
              </w:rPr>
            </w:pPr>
            <w:r w:rsidRPr="004C56B8">
              <w:rPr>
                <w:rFonts w:eastAsia="Times New Roman"/>
              </w:rPr>
              <w:t xml:space="preserve">3.13 – </w:t>
            </w:r>
            <w:r w:rsidR="00D67C60">
              <w:rPr>
                <w:rFonts w:eastAsia="Times New Roman"/>
              </w:rPr>
              <w:t xml:space="preserve">Colstrip &amp; </w:t>
            </w:r>
            <w:r w:rsidRPr="004C56B8">
              <w:rPr>
                <w:rFonts w:eastAsia="Times New Roman"/>
              </w:rPr>
              <w:t>Coyote Springs 2 Operations and Maintenance Expense</w:t>
            </w:r>
          </w:p>
          <w:p w14:paraId="39DDBA94" w14:textId="6396A424" w:rsidR="004A700C" w:rsidRPr="004C56B8" w:rsidRDefault="00457431" w:rsidP="00793F43">
            <w:pPr>
              <w:tabs>
                <w:tab w:val="left" w:pos="527"/>
              </w:tabs>
              <w:rPr>
                <w:rFonts w:eastAsia="Times New Roman"/>
              </w:rPr>
            </w:pPr>
            <w:r w:rsidRPr="004C56B8">
              <w:rPr>
                <w:rFonts w:eastAsia="Times New Roman"/>
              </w:rPr>
              <w:tab/>
            </w:r>
            <w:r w:rsidRPr="004C56B8">
              <w:rPr>
                <w:rFonts w:eastAsia="Times New Roman"/>
                <w:i/>
              </w:rPr>
              <w:t xml:space="preserve">New Staff </w:t>
            </w:r>
            <w:r w:rsidR="009B12EC" w:rsidRPr="004C56B8">
              <w:rPr>
                <w:rFonts w:eastAsia="Times New Roman"/>
                <w:i/>
              </w:rPr>
              <w:t>Adjustment/R</w:t>
            </w:r>
            <w:r w:rsidRPr="004C56B8">
              <w:rPr>
                <w:rFonts w:eastAsia="Times New Roman"/>
                <w:i/>
              </w:rPr>
              <w:t>eflect</w:t>
            </w:r>
            <w:r w:rsidR="009B12EC" w:rsidRPr="004C56B8">
              <w:rPr>
                <w:rFonts w:eastAsia="Times New Roman"/>
                <w:i/>
              </w:rPr>
              <w:t>s</w:t>
            </w:r>
            <w:r w:rsidRPr="004C56B8">
              <w:rPr>
                <w:rFonts w:eastAsia="Times New Roman"/>
                <w:i/>
              </w:rPr>
              <w:t xml:space="preserve"> </w:t>
            </w:r>
            <w:r w:rsidR="009B12EC" w:rsidRPr="004C56B8">
              <w:rPr>
                <w:rFonts w:eastAsia="Times New Roman"/>
                <w:i/>
              </w:rPr>
              <w:t>M</w:t>
            </w:r>
            <w:r w:rsidRPr="004C56B8">
              <w:rPr>
                <w:rFonts w:eastAsia="Times New Roman"/>
                <w:i/>
              </w:rPr>
              <w:t>ulti-</w:t>
            </w:r>
            <w:r w:rsidRPr="004C56B8">
              <w:rPr>
                <w:rFonts w:eastAsia="Times New Roman"/>
                <w:i/>
              </w:rPr>
              <w:tab/>
            </w:r>
            <w:r w:rsidR="009B12EC" w:rsidRPr="004C56B8">
              <w:rPr>
                <w:rFonts w:eastAsia="Times New Roman"/>
                <w:i/>
              </w:rPr>
              <w:t>P</w:t>
            </w:r>
            <w:r w:rsidRPr="004C56B8">
              <w:rPr>
                <w:rFonts w:eastAsia="Times New Roman"/>
                <w:i/>
              </w:rPr>
              <w:t xml:space="preserve">arty </w:t>
            </w:r>
            <w:r w:rsidR="009B12EC" w:rsidRPr="004C56B8">
              <w:rPr>
                <w:rFonts w:eastAsia="Times New Roman"/>
                <w:i/>
              </w:rPr>
              <w:t>S</w:t>
            </w:r>
            <w:r w:rsidRPr="004C56B8">
              <w:rPr>
                <w:rFonts w:eastAsia="Times New Roman"/>
                <w:i/>
              </w:rPr>
              <w:t>ettlement</w:t>
            </w:r>
          </w:p>
        </w:tc>
        <w:tc>
          <w:tcPr>
            <w:tcW w:w="1532" w:type="dxa"/>
            <w:tcBorders>
              <w:top w:val="single" w:sz="2" w:space="0" w:color="auto"/>
              <w:left w:val="nil"/>
              <w:bottom w:val="single" w:sz="18" w:space="0" w:color="auto"/>
              <w:right w:val="single" w:sz="4" w:space="0" w:color="auto"/>
            </w:tcBorders>
            <w:shd w:val="clear" w:color="auto" w:fill="auto"/>
            <w:noWrap/>
            <w:vAlign w:val="center"/>
          </w:tcPr>
          <w:p w14:paraId="0A4B812E" w14:textId="0A5CB300" w:rsidR="004A700C" w:rsidRPr="004C56B8" w:rsidRDefault="004A700C" w:rsidP="00784256">
            <w:pPr>
              <w:jc w:val="right"/>
              <w:rPr>
                <w:rFonts w:eastAsia="Times New Roman"/>
              </w:rPr>
            </w:pPr>
            <w:r w:rsidRPr="004C56B8">
              <w:rPr>
                <w:rFonts w:eastAsia="Times New Roman"/>
              </w:rPr>
              <w:t>($2,309)</w:t>
            </w:r>
          </w:p>
        </w:tc>
        <w:tc>
          <w:tcPr>
            <w:tcW w:w="1420" w:type="dxa"/>
            <w:tcBorders>
              <w:top w:val="single" w:sz="2" w:space="0" w:color="auto"/>
              <w:left w:val="nil"/>
              <w:bottom w:val="single" w:sz="18" w:space="0" w:color="auto"/>
              <w:right w:val="single" w:sz="4" w:space="0" w:color="auto"/>
            </w:tcBorders>
            <w:shd w:val="clear" w:color="auto" w:fill="auto"/>
            <w:noWrap/>
            <w:vAlign w:val="center"/>
          </w:tcPr>
          <w:p w14:paraId="0DA78B25" w14:textId="39FB48CE" w:rsidR="004A700C" w:rsidRPr="004C56B8" w:rsidRDefault="004A700C" w:rsidP="00784256">
            <w:pPr>
              <w:jc w:val="right"/>
              <w:rPr>
                <w:rFonts w:eastAsia="Times New Roman"/>
              </w:rPr>
            </w:pPr>
            <w:r w:rsidRPr="004C56B8">
              <w:rPr>
                <w:rFonts w:eastAsia="Times New Roman"/>
              </w:rPr>
              <w:t>$180</w:t>
            </w:r>
          </w:p>
        </w:tc>
        <w:tc>
          <w:tcPr>
            <w:tcW w:w="1476" w:type="dxa"/>
            <w:tcBorders>
              <w:top w:val="single" w:sz="2" w:space="0" w:color="auto"/>
              <w:left w:val="nil"/>
              <w:bottom w:val="single" w:sz="18" w:space="0" w:color="auto"/>
              <w:right w:val="single" w:sz="4" w:space="0" w:color="auto"/>
            </w:tcBorders>
            <w:shd w:val="clear" w:color="auto" w:fill="auto"/>
            <w:noWrap/>
            <w:vAlign w:val="center"/>
          </w:tcPr>
          <w:p w14:paraId="6F91BE37" w14:textId="34FA55AB" w:rsidR="004A700C" w:rsidRPr="004C56B8" w:rsidRDefault="006955DD" w:rsidP="00784256">
            <w:pPr>
              <w:jc w:val="right"/>
              <w:rPr>
                <w:rFonts w:eastAsia="Times New Roman"/>
              </w:rPr>
            </w:pPr>
            <w:r w:rsidRPr="004C56B8">
              <w:rPr>
                <w:rFonts w:eastAsia="Times New Roman"/>
              </w:rPr>
              <w:t>$2,489</w:t>
            </w:r>
          </w:p>
        </w:tc>
      </w:tr>
      <w:tr w:rsidR="00F720F8" w:rsidRPr="004C56B8" w14:paraId="004FCD31" w14:textId="77777777" w:rsidTr="00D46BA8">
        <w:trPr>
          <w:trHeight w:val="286"/>
        </w:trPr>
        <w:tc>
          <w:tcPr>
            <w:tcW w:w="4498"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3B80B51D" w14:textId="06B57976" w:rsidR="00D441F2" w:rsidRPr="00F37DDE" w:rsidRDefault="00D441F2" w:rsidP="00CF1461">
            <w:pPr>
              <w:rPr>
                <w:rFonts w:eastAsia="Times New Roman"/>
              </w:rPr>
            </w:pPr>
            <w:r w:rsidRPr="00F37DDE">
              <w:rPr>
                <w:rFonts w:eastAsia="Times New Roman"/>
              </w:rPr>
              <w:t> </w:t>
            </w:r>
            <w:r w:rsidR="008F5B5D" w:rsidRPr="00F37DDE">
              <w:rPr>
                <w:rFonts w:eastAsia="Times New Roman"/>
              </w:rPr>
              <w:t>Total Electric Adjustments</w:t>
            </w:r>
          </w:p>
        </w:tc>
        <w:tc>
          <w:tcPr>
            <w:tcW w:w="1532"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14:paraId="53B0FB51" w14:textId="45D639DF" w:rsidR="00D441F2" w:rsidRPr="00F37DDE" w:rsidRDefault="000A44E7" w:rsidP="006955DD">
            <w:pPr>
              <w:jc w:val="right"/>
              <w:rPr>
                <w:rFonts w:eastAsia="Times New Roman"/>
              </w:rPr>
            </w:pPr>
            <w:r w:rsidRPr="00F37DDE">
              <w:rPr>
                <w:rFonts w:eastAsia="Times New Roman"/>
              </w:rPr>
              <w:t>$(</w:t>
            </w:r>
            <w:r w:rsidR="006955DD" w:rsidRPr="00F37DDE">
              <w:rPr>
                <w:rFonts w:eastAsia="Times New Roman"/>
              </w:rPr>
              <w:t>9,311</w:t>
            </w:r>
            <w:r w:rsidRPr="00F37DDE">
              <w:rPr>
                <w:rFonts w:eastAsia="Times New Roman"/>
              </w:rPr>
              <w:t>)</w:t>
            </w:r>
          </w:p>
        </w:tc>
        <w:tc>
          <w:tcPr>
            <w:tcW w:w="1420"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14:paraId="47A62DD7" w14:textId="0619AB58" w:rsidR="00D441F2" w:rsidRPr="00F37DDE" w:rsidRDefault="00311191" w:rsidP="00734FD0">
            <w:pPr>
              <w:jc w:val="right"/>
              <w:rPr>
                <w:rFonts w:eastAsia="Times New Roman"/>
              </w:rPr>
            </w:pPr>
            <w:r w:rsidRPr="00F37DDE">
              <w:rPr>
                <w:rFonts w:eastAsia="Times New Roman"/>
              </w:rPr>
              <w:t>$(</w:t>
            </w:r>
            <w:r w:rsidR="00F37DDE">
              <w:rPr>
                <w:rFonts w:eastAsia="Times New Roman"/>
              </w:rPr>
              <w:t>3,880</w:t>
            </w:r>
            <w:r w:rsidRPr="00F37DDE">
              <w:rPr>
                <w:rFonts w:eastAsia="Times New Roman"/>
              </w:rPr>
              <w:t>)</w:t>
            </w:r>
          </w:p>
        </w:tc>
        <w:tc>
          <w:tcPr>
            <w:tcW w:w="147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14:paraId="4D395BA9" w14:textId="10B488D9" w:rsidR="00D441F2" w:rsidRPr="00F37DDE" w:rsidRDefault="006955DD" w:rsidP="00F37DDE">
            <w:pPr>
              <w:jc w:val="right"/>
              <w:rPr>
                <w:rFonts w:eastAsia="Times New Roman"/>
              </w:rPr>
            </w:pPr>
            <w:r w:rsidRPr="00F37DDE">
              <w:rPr>
                <w:rFonts w:eastAsia="Times New Roman"/>
              </w:rPr>
              <w:t>$5,4</w:t>
            </w:r>
            <w:r w:rsidR="00F37DDE">
              <w:rPr>
                <w:rFonts w:eastAsia="Times New Roman"/>
              </w:rPr>
              <w:t>31</w:t>
            </w:r>
          </w:p>
        </w:tc>
      </w:tr>
      <w:tr w:rsidR="00F720F8" w:rsidRPr="004C56B8" w14:paraId="5BEAC294" w14:textId="77777777" w:rsidTr="00D46BA8">
        <w:trPr>
          <w:trHeight w:val="300"/>
        </w:trPr>
        <w:tc>
          <w:tcPr>
            <w:tcW w:w="4498" w:type="dxa"/>
            <w:tcBorders>
              <w:top w:val="single" w:sz="18" w:space="0" w:color="auto"/>
              <w:left w:val="nil"/>
              <w:right w:val="nil"/>
            </w:tcBorders>
            <w:shd w:val="clear" w:color="auto" w:fill="auto"/>
            <w:noWrap/>
            <w:vAlign w:val="center"/>
            <w:hideMark/>
          </w:tcPr>
          <w:p w14:paraId="107F78F7" w14:textId="77777777" w:rsidR="00D441F2" w:rsidRPr="004C56B8" w:rsidRDefault="00D441F2" w:rsidP="00CF1461">
            <w:pPr>
              <w:rPr>
                <w:rFonts w:eastAsia="Times New Roman"/>
              </w:rPr>
            </w:pPr>
          </w:p>
        </w:tc>
        <w:tc>
          <w:tcPr>
            <w:tcW w:w="1532" w:type="dxa"/>
            <w:tcBorders>
              <w:top w:val="single" w:sz="18" w:space="0" w:color="auto"/>
              <w:left w:val="nil"/>
              <w:right w:val="nil"/>
            </w:tcBorders>
            <w:shd w:val="clear" w:color="auto" w:fill="auto"/>
            <w:noWrap/>
            <w:vAlign w:val="bottom"/>
            <w:hideMark/>
          </w:tcPr>
          <w:p w14:paraId="05505D00" w14:textId="77777777" w:rsidR="00D441F2" w:rsidRPr="004C56B8" w:rsidRDefault="00D441F2" w:rsidP="00D441F2">
            <w:pPr>
              <w:rPr>
                <w:rFonts w:eastAsia="Times New Roman"/>
              </w:rPr>
            </w:pPr>
          </w:p>
        </w:tc>
        <w:tc>
          <w:tcPr>
            <w:tcW w:w="1420" w:type="dxa"/>
            <w:tcBorders>
              <w:top w:val="single" w:sz="18" w:space="0" w:color="auto"/>
              <w:left w:val="nil"/>
              <w:right w:val="nil"/>
            </w:tcBorders>
            <w:shd w:val="clear" w:color="auto" w:fill="auto"/>
            <w:noWrap/>
            <w:vAlign w:val="bottom"/>
            <w:hideMark/>
          </w:tcPr>
          <w:p w14:paraId="770C6C7F" w14:textId="77777777" w:rsidR="00D441F2" w:rsidRPr="004C56B8" w:rsidRDefault="00D441F2" w:rsidP="00D441F2">
            <w:pPr>
              <w:rPr>
                <w:rFonts w:eastAsia="Times New Roman"/>
              </w:rPr>
            </w:pPr>
          </w:p>
        </w:tc>
        <w:tc>
          <w:tcPr>
            <w:tcW w:w="1476" w:type="dxa"/>
            <w:tcBorders>
              <w:top w:val="single" w:sz="18" w:space="0" w:color="auto"/>
              <w:left w:val="nil"/>
              <w:right w:val="nil"/>
            </w:tcBorders>
            <w:shd w:val="clear" w:color="auto" w:fill="auto"/>
            <w:noWrap/>
            <w:vAlign w:val="bottom"/>
            <w:hideMark/>
          </w:tcPr>
          <w:p w14:paraId="32AB2992" w14:textId="77777777" w:rsidR="00D441F2" w:rsidRPr="004C56B8" w:rsidRDefault="00D441F2" w:rsidP="00D441F2">
            <w:pPr>
              <w:rPr>
                <w:rFonts w:eastAsia="Times New Roman"/>
              </w:rPr>
            </w:pPr>
          </w:p>
        </w:tc>
      </w:tr>
      <w:tr w:rsidR="00D46BA8" w:rsidRPr="004C56B8" w14:paraId="183C5548" w14:textId="77777777" w:rsidTr="00D46BA8">
        <w:trPr>
          <w:trHeight w:val="572"/>
        </w:trPr>
        <w:tc>
          <w:tcPr>
            <w:tcW w:w="4498" w:type="dxa"/>
            <w:tcBorders>
              <w:bottom w:val="single" w:sz="4" w:space="0" w:color="auto"/>
            </w:tcBorders>
            <w:shd w:val="clear" w:color="auto" w:fill="auto"/>
            <w:vAlign w:val="center"/>
            <w:hideMark/>
          </w:tcPr>
          <w:p w14:paraId="725D2036" w14:textId="11C06AC2" w:rsidR="00D46BA8" w:rsidRPr="004C56B8" w:rsidRDefault="00D46BA8" w:rsidP="00D46BA8">
            <w:pPr>
              <w:jc w:val="center"/>
              <w:rPr>
                <w:rFonts w:eastAsia="Times New Roman"/>
              </w:rPr>
            </w:pPr>
            <w:r w:rsidRPr="004C56B8">
              <w:rPr>
                <w:rFonts w:eastAsia="Times New Roman"/>
                <w:b/>
              </w:rPr>
              <w:t xml:space="preserve">Adjustment </w:t>
            </w:r>
          </w:p>
        </w:tc>
        <w:tc>
          <w:tcPr>
            <w:tcW w:w="1532" w:type="dxa"/>
            <w:tcBorders>
              <w:bottom w:val="single" w:sz="4" w:space="0" w:color="auto"/>
            </w:tcBorders>
            <w:shd w:val="clear" w:color="auto" w:fill="auto"/>
            <w:noWrap/>
            <w:vAlign w:val="center"/>
            <w:hideMark/>
          </w:tcPr>
          <w:p w14:paraId="42417E2E" w14:textId="77777777" w:rsidR="00D46BA8" w:rsidRPr="004C56B8" w:rsidRDefault="00D46BA8" w:rsidP="00D46BA8">
            <w:pPr>
              <w:jc w:val="center"/>
              <w:rPr>
                <w:rFonts w:eastAsia="Times New Roman"/>
                <w:b/>
              </w:rPr>
            </w:pPr>
            <w:r w:rsidRPr="004C56B8">
              <w:rPr>
                <w:rFonts w:eastAsia="Times New Roman"/>
                <w:b/>
              </w:rPr>
              <w:t xml:space="preserve">Company </w:t>
            </w:r>
          </w:p>
          <w:p w14:paraId="79A9B199" w14:textId="659294A8" w:rsidR="00D46BA8" w:rsidRPr="004C56B8" w:rsidRDefault="00D46BA8" w:rsidP="00D46BA8">
            <w:pPr>
              <w:jc w:val="center"/>
              <w:rPr>
                <w:rFonts w:eastAsia="Times New Roman"/>
              </w:rPr>
            </w:pPr>
            <w:r w:rsidRPr="004C56B8">
              <w:rPr>
                <w:rFonts w:eastAsia="Times New Roman"/>
                <w:b/>
                <w:i/>
              </w:rPr>
              <w:t>(As filed)</w:t>
            </w:r>
          </w:p>
        </w:tc>
        <w:tc>
          <w:tcPr>
            <w:tcW w:w="1420" w:type="dxa"/>
            <w:tcBorders>
              <w:bottom w:val="single" w:sz="4" w:space="0" w:color="auto"/>
            </w:tcBorders>
            <w:shd w:val="clear" w:color="auto" w:fill="auto"/>
            <w:noWrap/>
            <w:vAlign w:val="center"/>
            <w:hideMark/>
          </w:tcPr>
          <w:p w14:paraId="7E0F2FB1" w14:textId="0510A714" w:rsidR="00D46BA8" w:rsidRPr="004C56B8" w:rsidRDefault="00D46BA8" w:rsidP="00D46BA8">
            <w:pPr>
              <w:jc w:val="center"/>
              <w:rPr>
                <w:rFonts w:eastAsia="Times New Roman"/>
              </w:rPr>
            </w:pPr>
            <w:r w:rsidRPr="004C56B8">
              <w:rPr>
                <w:rFonts w:eastAsia="Times New Roman"/>
                <w:b/>
              </w:rPr>
              <w:t>Staff</w:t>
            </w:r>
          </w:p>
        </w:tc>
        <w:tc>
          <w:tcPr>
            <w:tcW w:w="1476" w:type="dxa"/>
            <w:tcBorders>
              <w:bottom w:val="single" w:sz="4" w:space="0" w:color="auto"/>
            </w:tcBorders>
            <w:shd w:val="clear" w:color="auto" w:fill="auto"/>
            <w:vAlign w:val="center"/>
            <w:hideMark/>
          </w:tcPr>
          <w:p w14:paraId="27A595E9" w14:textId="217C2126" w:rsidR="00D46BA8" w:rsidRPr="004C56B8" w:rsidRDefault="00D46BA8" w:rsidP="00D46BA8">
            <w:pPr>
              <w:jc w:val="center"/>
              <w:rPr>
                <w:rFonts w:eastAsia="Times New Roman"/>
              </w:rPr>
            </w:pPr>
            <w:r w:rsidRPr="004C56B8">
              <w:rPr>
                <w:rFonts w:eastAsia="Times New Roman"/>
                <w:b/>
              </w:rPr>
              <w:t>Difference</w:t>
            </w:r>
          </w:p>
        </w:tc>
      </w:tr>
      <w:tr w:rsidR="00F720F8" w:rsidRPr="004C56B8" w14:paraId="4371FB1B" w14:textId="77777777" w:rsidTr="00D6305D">
        <w:trPr>
          <w:trHeight w:val="286"/>
        </w:trPr>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C9388" w14:textId="6FA4E81E" w:rsidR="00D441F2" w:rsidRPr="004C56B8" w:rsidRDefault="00D441F2" w:rsidP="00CF1461">
            <w:pPr>
              <w:rPr>
                <w:rFonts w:eastAsia="Times New Roman"/>
              </w:rPr>
            </w:pPr>
            <w:r w:rsidRPr="004C56B8">
              <w:rPr>
                <w:rFonts w:eastAsia="Times New Roman"/>
              </w:rPr>
              <w:t>2.08 – Restate Excise Tax</w:t>
            </w:r>
          </w:p>
        </w:tc>
        <w:tc>
          <w:tcPr>
            <w:tcW w:w="1532" w:type="dxa"/>
            <w:tcBorders>
              <w:top w:val="single" w:sz="4" w:space="0" w:color="auto"/>
              <w:left w:val="nil"/>
              <w:bottom w:val="single" w:sz="4" w:space="0" w:color="auto"/>
              <w:right w:val="single" w:sz="4" w:space="0" w:color="auto"/>
            </w:tcBorders>
            <w:shd w:val="clear" w:color="auto" w:fill="auto"/>
            <w:noWrap/>
            <w:vAlign w:val="center"/>
          </w:tcPr>
          <w:p w14:paraId="62D48938" w14:textId="4865EB3E" w:rsidR="00D441F2" w:rsidRPr="004C56B8" w:rsidRDefault="00D441F2" w:rsidP="00D6305D">
            <w:pPr>
              <w:jc w:val="right"/>
              <w:rPr>
                <w:rFonts w:eastAsia="Times New Roman"/>
              </w:rPr>
            </w:pPr>
            <w:r w:rsidRPr="004C56B8">
              <w:rPr>
                <w:rFonts w:eastAsia="Times New Roman"/>
              </w:rPr>
              <w:t>($213)</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0EA107C2" w14:textId="08FE7355" w:rsidR="00D441F2" w:rsidRPr="004C56B8" w:rsidRDefault="00D441F2" w:rsidP="00D6305D">
            <w:pPr>
              <w:jc w:val="right"/>
              <w:rPr>
                <w:rFonts w:eastAsia="Times New Roman"/>
              </w:rPr>
            </w:pPr>
            <w:r w:rsidRPr="004C56B8">
              <w:rPr>
                <w:rFonts w:eastAsia="Times New Roman"/>
              </w:rPr>
              <w:t xml:space="preserve">$41 </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52B34BDB" w14:textId="338BB925" w:rsidR="00D441F2" w:rsidRPr="004C56B8" w:rsidRDefault="00D441F2" w:rsidP="00D6305D">
            <w:pPr>
              <w:jc w:val="right"/>
              <w:rPr>
                <w:rFonts w:eastAsia="Times New Roman"/>
              </w:rPr>
            </w:pPr>
            <w:r w:rsidRPr="004C56B8">
              <w:rPr>
                <w:rFonts w:eastAsia="Times New Roman"/>
              </w:rPr>
              <w:t xml:space="preserve">$254 </w:t>
            </w:r>
          </w:p>
        </w:tc>
      </w:tr>
      <w:tr w:rsidR="00D46BA8" w:rsidRPr="004C56B8" w14:paraId="26D41536" w14:textId="77777777" w:rsidTr="00D6305D">
        <w:trPr>
          <w:trHeight w:val="286"/>
        </w:trPr>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1A9AE" w14:textId="77777777" w:rsidR="001E2778" w:rsidRDefault="00D46BA8" w:rsidP="000166D5">
            <w:pPr>
              <w:rPr>
                <w:rFonts w:eastAsia="Times New Roman"/>
                <w:i/>
              </w:rPr>
            </w:pPr>
            <w:r w:rsidRPr="004C56B8">
              <w:rPr>
                <w:rFonts w:eastAsia="Times New Roman"/>
              </w:rPr>
              <w:t>2.</w:t>
            </w:r>
            <w:r w:rsidR="00AB157A">
              <w:rPr>
                <w:rFonts w:eastAsia="Times New Roman"/>
              </w:rPr>
              <w:t>15</w:t>
            </w:r>
            <w:r w:rsidR="000166D5" w:rsidRPr="004C56B8">
              <w:rPr>
                <w:rFonts w:eastAsia="Times New Roman"/>
              </w:rPr>
              <w:t xml:space="preserve"> </w:t>
            </w:r>
            <w:r w:rsidRPr="004C56B8">
              <w:rPr>
                <w:rFonts w:eastAsia="Times New Roman"/>
              </w:rPr>
              <w:t>– Long Term Incentive Plan</w:t>
            </w:r>
            <w:r w:rsidR="00D129AD" w:rsidRPr="004C56B8">
              <w:rPr>
                <w:rFonts w:eastAsia="Times New Roman"/>
                <w:i/>
              </w:rPr>
              <w:t xml:space="preserve"> </w:t>
            </w:r>
          </w:p>
          <w:p w14:paraId="6D5FED05" w14:textId="7AE30DED" w:rsidR="00D46BA8" w:rsidRPr="004C56B8" w:rsidRDefault="001E2778" w:rsidP="001E2778">
            <w:pPr>
              <w:tabs>
                <w:tab w:val="left" w:pos="617"/>
              </w:tabs>
              <w:rPr>
                <w:rFonts w:eastAsia="Times New Roman"/>
              </w:rPr>
            </w:pPr>
            <w:r>
              <w:rPr>
                <w:rFonts w:eastAsia="Times New Roman"/>
                <w:i/>
              </w:rPr>
              <w:tab/>
            </w:r>
            <w:r w:rsidRPr="004C56B8">
              <w:rPr>
                <w:rFonts w:eastAsia="Times New Roman"/>
                <w:i/>
              </w:rPr>
              <w:t>New Staff Adjustment</w:t>
            </w:r>
          </w:p>
        </w:tc>
        <w:tc>
          <w:tcPr>
            <w:tcW w:w="1532" w:type="dxa"/>
            <w:tcBorders>
              <w:top w:val="single" w:sz="4" w:space="0" w:color="auto"/>
              <w:left w:val="nil"/>
              <w:bottom w:val="single" w:sz="4" w:space="0" w:color="auto"/>
              <w:right w:val="single" w:sz="4" w:space="0" w:color="auto"/>
            </w:tcBorders>
            <w:shd w:val="clear" w:color="auto" w:fill="auto"/>
            <w:noWrap/>
            <w:vAlign w:val="center"/>
          </w:tcPr>
          <w:p w14:paraId="1414C53E" w14:textId="5F407036" w:rsidR="00D46BA8" w:rsidRPr="004C56B8" w:rsidRDefault="00D46BA8" w:rsidP="006536FB">
            <w:pPr>
              <w:jc w:val="center"/>
              <w:rPr>
                <w:rFonts w:eastAsia="Times New Roman"/>
              </w:rPr>
            </w:pP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7BDF88B4" w14:textId="1E4FE61B" w:rsidR="00D46BA8" w:rsidRPr="004C56B8" w:rsidRDefault="00D46BA8" w:rsidP="00D6305D">
            <w:pPr>
              <w:jc w:val="right"/>
              <w:rPr>
                <w:rFonts w:eastAsia="Times New Roman"/>
              </w:rPr>
            </w:pPr>
            <w:r w:rsidRPr="004C56B8">
              <w:rPr>
                <w:rFonts w:eastAsia="Times New Roman"/>
              </w:rPr>
              <w:t>$46</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498C4F89" w14:textId="7A3B6BDA" w:rsidR="00D46BA8" w:rsidRPr="004C56B8" w:rsidRDefault="00D46BA8" w:rsidP="00D6305D">
            <w:pPr>
              <w:jc w:val="right"/>
              <w:rPr>
                <w:rFonts w:eastAsia="Times New Roman"/>
              </w:rPr>
            </w:pPr>
            <w:r w:rsidRPr="004C56B8">
              <w:rPr>
                <w:rFonts w:eastAsia="Times New Roman"/>
              </w:rPr>
              <w:t>$46</w:t>
            </w:r>
          </w:p>
        </w:tc>
      </w:tr>
      <w:tr w:rsidR="00F720F8" w:rsidRPr="004C56B8" w14:paraId="3B792712" w14:textId="77777777" w:rsidTr="00D6305D">
        <w:trPr>
          <w:trHeight w:val="286"/>
        </w:trPr>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06347" w14:textId="39FFA626" w:rsidR="00D441F2" w:rsidRPr="004C56B8" w:rsidRDefault="00CF1461" w:rsidP="00D470D5">
            <w:pPr>
              <w:rPr>
                <w:rFonts w:eastAsia="Times New Roman"/>
              </w:rPr>
            </w:pPr>
            <w:r w:rsidRPr="004C56B8">
              <w:rPr>
                <w:rFonts w:eastAsia="Times New Roman"/>
              </w:rPr>
              <w:t>3.00 – Labor Non</w:t>
            </w:r>
            <w:r w:rsidR="00D470D5">
              <w:rPr>
                <w:rFonts w:eastAsia="Times New Roman"/>
              </w:rPr>
              <w:t>-</w:t>
            </w:r>
            <w:r w:rsidRPr="004C56B8">
              <w:rPr>
                <w:rFonts w:eastAsia="Times New Roman"/>
              </w:rPr>
              <w:t>Executive</w:t>
            </w: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14:paraId="6D0D7681" w14:textId="77777777" w:rsidR="00D441F2" w:rsidRPr="004C56B8" w:rsidRDefault="00D441F2" w:rsidP="00D6305D">
            <w:pPr>
              <w:jc w:val="right"/>
              <w:rPr>
                <w:rFonts w:eastAsia="Times New Roman"/>
              </w:rPr>
            </w:pPr>
            <w:r w:rsidRPr="004C56B8">
              <w:rPr>
                <w:rFonts w:eastAsia="Times New Roman"/>
              </w:rPr>
              <w:t>($749)</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3888194B" w14:textId="77777777" w:rsidR="00D441F2" w:rsidRPr="004C56B8" w:rsidRDefault="00D441F2" w:rsidP="00D6305D">
            <w:pPr>
              <w:jc w:val="right"/>
              <w:rPr>
                <w:rFonts w:eastAsia="Times New Roman"/>
              </w:rPr>
            </w:pPr>
            <w:r w:rsidRPr="004C56B8">
              <w:rPr>
                <w:rFonts w:eastAsia="Times New Roman"/>
              </w:rPr>
              <w:t>($561)</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583F1169" w14:textId="153A3BFE" w:rsidR="00D441F2" w:rsidRPr="004C56B8" w:rsidRDefault="00D441F2" w:rsidP="00D6305D">
            <w:pPr>
              <w:jc w:val="right"/>
              <w:rPr>
                <w:rFonts w:eastAsia="Times New Roman"/>
              </w:rPr>
            </w:pPr>
            <w:r w:rsidRPr="004C56B8">
              <w:rPr>
                <w:rFonts w:eastAsia="Times New Roman"/>
              </w:rPr>
              <w:t xml:space="preserve">$188 </w:t>
            </w:r>
          </w:p>
        </w:tc>
      </w:tr>
      <w:tr w:rsidR="00F720F8" w:rsidRPr="004C56B8" w14:paraId="33FB5204" w14:textId="77777777" w:rsidTr="00D6305D">
        <w:trPr>
          <w:trHeight w:val="286"/>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31DCBFD9" w14:textId="24CD545C" w:rsidR="00D441F2" w:rsidRPr="004C56B8" w:rsidRDefault="00CF1461" w:rsidP="00CF1461">
            <w:pPr>
              <w:rPr>
                <w:rFonts w:eastAsia="Times New Roman"/>
              </w:rPr>
            </w:pPr>
            <w:r w:rsidRPr="004C56B8">
              <w:rPr>
                <w:rFonts w:eastAsia="Times New Roman"/>
              </w:rPr>
              <w:t>3.01 - Labor Executive</w:t>
            </w:r>
          </w:p>
        </w:tc>
        <w:tc>
          <w:tcPr>
            <w:tcW w:w="1532" w:type="dxa"/>
            <w:tcBorders>
              <w:top w:val="nil"/>
              <w:left w:val="nil"/>
              <w:bottom w:val="single" w:sz="4" w:space="0" w:color="auto"/>
              <w:right w:val="single" w:sz="4" w:space="0" w:color="auto"/>
            </w:tcBorders>
            <w:shd w:val="clear" w:color="auto" w:fill="auto"/>
            <w:noWrap/>
            <w:vAlign w:val="center"/>
            <w:hideMark/>
          </w:tcPr>
          <w:p w14:paraId="7CB8A74B" w14:textId="77777777" w:rsidR="00D441F2" w:rsidRPr="004C56B8" w:rsidRDefault="00D441F2" w:rsidP="00D6305D">
            <w:pPr>
              <w:jc w:val="right"/>
              <w:rPr>
                <w:rFonts w:eastAsia="Times New Roman"/>
              </w:rPr>
            </w:pPr>
            <w:r w:rsidRPr="004C56B8">
              <w:rPr>
                <w:rFonts w:eastAsia="Times New Roman"/>
              </w:rPr>
              <w:t>($33)</w:t>
            </w:r>
          </w:p>
        </w:tc>
        <w:tc>
          <w:tcPr>
            <w:tcW w:w="1420" w:type="dxa"/>
            <w:tcBorders>
              <w:top w:val="nil"/>
              <w:left w:val="nil"/>
              <w:bottom w:val="single" w:sz="4" w:space="0" w:color="auto"/>
              <w:right w:val="single" w:sz="4" w:space="0" w:color="auto"/>
            </w:tcBorders>
            <w:shd w:val="clear" w:color="auto" w:fill="auto"/>
            <w:noWrap/>
            <w:vAlign w:val="center"/>
            <w:hideMark/>
          </w:tcPr>
          <w:p w14:paraId="52F6E2AE" w14:textId="77777777" w:rsidR="00D441F2" w:rsidRPr="004C56B8" w:rsidRDefault="00D441F2" w:rsidP="00D6305D">
            <w:pPr>
              <w:jc w:val="right"/>
              <w:rPr>
                <w:rFonts w:eastAsia="Times New Roman"/>
              </w:rPr>
            </w:pPr>
            <w:r w:rsidRPr="004C56B8">
              <w:rPr>
                <w:rFonts w:eastAsia="Times New Roman"/>
              </w:rPr>
              <w:t>($14)</w:t>
            </w:r>
          </w:p>
        </w:tc>
        <w:tc>
          <w:tcPr>
            <w:tcW w:w="1476" w:type="dxa"/>
            <w:tcBorders>
              <w:top w:val="nil"/>
              <w:left w:val="nil"/>
              <w:bottom w:val="single" w:sz="4" w:space="0" w:color="auto"/>
              <w:right w:val="single" w:sz="4" w:space="0" w:color="auto"/>
            </w:tcBorders>
            <w:shd w:val="clear" w:color="auto" w:fill="auto"/>
            <w:noWrap/>
            <w:vAlign w:val="center"/>
            <w:hideMark/>
          </w:tcPr>
          <w:p w14:paraId="6462FF8E" w14:textId="659A84DA" w:rsidR="00D441F2" w:rsidRPr="004C56B8" w:rsidRDefault="00D441F2" w:rsidP="00D6305D">
            <w:pPr>
              <w:jc w:val="right"/>
              <w:rPr>
                <w:rFonts w:eastAsia="Times New Roman"/>
              </w:rPr>
            </w:pPr>
            <w:r w:rsidRPr="004C56B8">
              <w:rPr>
                <w:rFonts w:eastAsia="Times New Roman"/>
              </w:rPr>
              <w:t xml:space="preserve">$19 </w:t>
            </w:r>
          </w:p>
        </w:tc>
      </w:tr>
      <w:tr w:rsidR="00F720F8" w:rsidRPr="004C56B8" w14:paraId="7D0D3B98" w14:textId="77777777" w:rsidTr="00D6305D">
        <w:trPr>
          <w:trHeight w:val="286"/>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4B863294" w14:textId="0DE8DDED" w:rsidR="00D441F2" w:rsidRPr="004C56B8" w:rsidRDefault="001E4D34" w:rsidP="00CF1461">
            <w:pPr>
              <w:rPr>
                <w:rFonts w:eastAsia="Times New Roman"/>
              </w:rPr>
            </w:pPr>
            <w:r w:rsidRPr="004C56B8">
              <w:rPr>
                <w:rFonts w:eastAsia="Times New Roman"/>
              </w:rPr>
              <w:t>3.02 – Employee Benefits</w:t>
            </w:r>
          </w:p>
        </w:tc>
        <w:tc>
          <w:tcPr>
            <w:tcW w:w="1532" w:type="dxa"/>
            <w:tcBorders>
              <w:top w:val="nil"/>
              <w:left w:val="nil"/>
              <w:bottom w:val="single" w:sz="4" w:space="0" w:color="auto"/>
              <w:right w:val="single" w:sz="4" w:space="0" w:color="auto"/>
            </w:tcBorders>
            <w:shd w:val="clear" w:color="auto" w:fill="auto"/>
            <w:noWrap/>
            <w:vAlign w:val="center"/>
            <w:hideMark/>
          </w:tcPr>
          <w:p w14:paraId="764F2A69" w14:textId="77777777" w:rsidR="00D441F2" w:rsidRPr="004C56B8" w:rsidRDefault="00D441F2" w:rsidP="00D6305D">
            <w:pPr>
              <w:jc w:val="right"/>
              <w:rPr>
                <w:rFonts w:eastAsia="Times New Roman"/>
              </w:rPr>
            </w:pPr>
            <w:r w:rsidRPr="004C56B8">
              <w:rPr>
                <w:rFonts w:eastAsia="Times New Roman"/>
              </w:rPr>
              <w:t>($466)</w:t>
            </w:r>
          </w:p>
        </w:tc>
        <w:tc>
          <w:tcPr>
            <w:tcW w:w="1420" w:type="dxa"/>
            <w:tcBorders>
              <w:top w:val="nil"/>
              <w:left w:val="nil"/>
              <w:bottom w:val="single" w:sz="4" w:space="0" w:color="auto"/>
              <w:right w:val="single" w:sz="4" w:space="0" w:color="auto"/>
            </w:tcBorders>
            <w:shd w:val="clear" w:color="auto" w:fill="auto"/>
            <w:noWrap/>
            <w:vAlign w:val="center"/>
            <w:hideMark/>
          </w:tcPr>
          <w:p w14:paraId="561AE565" w14:textId="77777777" w:rsidR="00D441F2" w:rsidRPr="004C56B8" w:rsidRDefault="00D441F2" w:rsidP="00D6305D">
            <w:pPr>
              <w:jc w:val="right"/>
              <w:rPr>
                <w:rFonts w:eastAsia="Times New Roman"/>
              </w:rPr>
            </w:pPr>
            <w:r w:rsidRPr="004C56B8">
              <w:rPr>
                <w:rFonts w:eastAsia="Times New Roman"/>
              </w:rPr>
              <w:t>($690)</w:t>
            </w:r>
          </w:p>
        </w:tc>
        <w:tc>
          <w:tcPr>
            <w:tcW w:w="1476" w:type="dxa"/>
            <w:tcBorders>
              <w:top w:val="nil"/>
              <w:left w:val="nil"/>
              <w:bottom w:val="single" w:sz="4" w:space="0" w:color="auto"/>
              <w:right w:val="single" w:sz="4" w:space="0" w:color="auto"/>
            </w:tcBorders>
            <w:shd w:val="clear" w:color="auto" w:fill="auto"/>
            <w:noWrap/>
            <w:vAlign w:val="center"/>
            <w:hideMark/>
          </w:tcPr>
          <w:p w14:paraId="60DF3938" w14:textId="7F6573C0" w:rsidR="00D441F2" w:rsidRPr="004C56B8" w:rsidRDefault="00D441F2" w:rsidP="00D6305D">
            <w:pPr>
              <w:jc w:val="right"/>
              <w:rPr>
                <w:rFonts w:eastAsia="Times New Roman"/>
              </w:rPr>
            </w:pPr>
            <w:r w:rsidRPr="004C56B8">
              <w:rPr>
                <w:rFonts w:eastAsia="Times New Roman"/>
              </w:rPr>
              <w:t>($224)</w:t>
            </w:r>
          </w:p>
        </w:tc>
      </w:tr>
      <w:tr w:rsidR="00F720F8" w:rsidRPr="004C56B8" w14:paraId="200899F9" w14:textId="77777777" w:rsidTr="00D6305D">
        <w:trPr>
          <w:trHeight w:val="286"/>
        </w:trPr>
        <w:tc>
          <w:tcPr>
            <w:tcW w:w="4498" w:type="dxa"/>
            <w:tcBorders>
              <w:top w:val="nil"/>
              <w:left w:val="single" w:sz="4" w:space="0" w:color="auto"/>
              <w:bottom w:val="single" w:sz="2" w:space="0" w:color="auto"/>
              <w:right w:val="single" w:sz="4" w:space="0" w:color="auto"/>
            </w:tcBorders>
            <w:shd w:val="clear" w:color="auto" w:fill="auto"/>
            <w:noWrap/>
            <w:vAlign w:val="center"/>
            <w:hideMark/>
          </w:tcPr>
          <w:p w14:paraId="7FB43EF6" w14:textId="177DC2CB" w:rsidR="00D441F2" w:rsidRPr="004C56B8" w:rsidRDefault="001E4D34" w:rsidP="00CF1461">
            <w:pPr>
              <w:rPr>
                <w:rFonts w:eastAsia="Times New Roman"/>
              </w:rPr>
            </w:pPr>
            <w:r w:rsidRPr="004C56B8">
              <w:rPr>
                <w:rFonts w:eastAsia="Times New Roman"/>
              </w:rPr>
              <w:t>3.03 – Insurance Expense</w:t>
            </w:r>
          </w:p>
        </w:tc>
        <w:tc>
          <w:tcPr>
            <w:tcW w:w="1532" w:type="dxa"/>
            <w:tcBorders>
              <w:top w:val="nil"/>
              <w:left w:val="nil"/>
              <w:bottom w:val="single" w:sz="2" w:space="0" w:color="auto"/>
              <w:right w:val="single" w:sz="4" w:space="0" w:color="auto"/>
            </w:tcBorders>
            <w:shd w:val="clear" w:color="auto" w:fill="auto"/>
            <w:noWrap/>
            <w:vAlign w:val="center"/>
            <w:hideMark/>
          </w:tcPr>
          <w:p w14:paraId="40E0503D" w14:textId="77777777" w:rsidR="00D441F2" w:rsidRPr="004C56B8" w:rsidRDefault="00D441F2" w:rsidP="00D6305D">
            <w:pPr>
              <w:jc w:val="right"/>
              <w:rPr>
                <w:rFonts w:eastAsia="Times New Roman"/>
              </w:rPr>
            </w:pPr>
            <w:r w:rsidRPr="004C56B8">
              <w:rPr>
                <w:rFonts w:eastAsia="Times New Roman"/>
              </w:rPr>
              <w:t>($50)</w:t>
            </w:r>
          </w:p>
        </w:tc>
        <w:tc>
          <w:tcPr>
            <w:tcW w:w="1420" w:type="dxa"/>
            <w:tcBorders>
              <w:top w:val="nil"/>
              <w:left w:val="nil"/>
              <w:bottom w:val="single" w:sz="2" w:space="0" w:color="auto"/>
              <w:right w:val="single" w:sz="4" w:space="0" w:color="auto"/>
            </w:tcBorders>
            <w:shd w:val="clear" w:color="auto" w:fill="auto"/>
            <w:noWrap/>
            <w:vAlign w:val="center"/>
            <w:hideMark/>
          </w:tcPr>
          <w:p w14:paraId="78730B26" w14:textId="4B11DEBF" w:rsidR="00D441F2" w:rsidRPr="004C56B8" w:rsidRDefault="004A0C0B" w:rsidP="00D6305D">
            <w:pPr>
              <w:jc w:val="right"/>
              <w:rPr>
                <w:rFonts w:eastAsia="Times New Roman"/>
              </w:rPr>
            </w:pPr>
            <w:r w:rsidRPr="004C56B8">
              <w:rPr>
                <w:rFonts w:eastAsia="Times New Roman"/>
              </w:rPr>
              <w:t>$ -</w:t>
            </w:r>
          </w:p>
        </w:tc>
        <w:tc>
          <w:tcPr>
            <w:tcW w:w="1476" w:type="dxa"/>
            <w:tcBorders>
              <w:top w:val="nil"/>
              <w:left w:val="nil"/>
              <w:bottom w:val="single" w:sz="2" w:space="0" w:color="auto"/>
              <w:right w:val="single" w:sz="4" w:space="0" w:color="auto"/>
            </w:tcBorders>
            <w:shd w:val="clear" w:color="auto" w:fill="auto"/>
            <w:noWrap/>
            <w:vAlign w:val="center"/>
            <w:hideMark/>
          </w:tcPr>
          <w:p w14:paraId="707FAC95" w14:textId="150391D8" w:rsidR="00D441F2" w:rsidRPr="004C56B8" w:rsidRDefault="00D441F2" w:rsidP="00D6305D">
            <w:pPr>
              <w:jc w:val="right"/>
              <w:rPr>
                <w:rFonts w:eastAsia="Times New Roman"/>
              </w:rPr>
            </w:pPr>
            <w:r w:rsidRPr="004C56B8">
              <w:rPr>
                <w:rFonts w:eastAsia="Times New Roman"/>
              </w:rPr>
              <w:t xml:space="preserve">$50 </w:t>
            </w:r>
          </w:p>
        </w:tc>
      </w:tr>
      <w:tr w:rsidR="00D46BA8" w:rsidRPr="004C56B8" w14:paraId="131FB371" w14:textId="77777777" w:rsidTr="00D6305D">
        <w:trPr>
          <w:trHeight w:val="286"/>
        </w:trPr>
        <w:tc>
          <w:tcPr>
            <w:tcW w:w="4498" w:type="dxa"/>
            <w:tcBorders>
              <w:top w:val="single" w:sz="2" w:space="0" w:color="auto"/>
              <w:left w:val="single" w:sz="4" w:space="0" w:color="auto"/>
              <w:bottom w:val="single" w:sz="18" w:space="0" w:color="auto"/>
              <w:right w:val="single" w:sz="4" w:space="0" w:color="auto"/>
            </w:tcBorders>
            <w:shd w:val="clear" w:color="auto" w:fill="auto"/>
            <w:noWrap/>
            <w:vAlign w:val="center"/>
          </w:tcPr>
          <w:p w14:paraId="0139204F" w14:textId="0F06D72B" w:rsidR="00D46BA8" w:rsidRPr="006536FB" w:rsidRDefault="00D46BA8" w:rsidP="00D46BA8">
            <w:pPr>
              <w:rPr>
                <w:rFonts w:eastAsia="Times New Roman"/>
              </w:rPr>
            </w:pPr>
            <w:r w:rsidRPr="006536FB">
              <w:rPr>
                <w:rFonts w:eastAsia="Times New Roman"/>
              </w:rPr>
              <w:t>3.05 – Information Services/Information Technology</w:t>
            </w:r>
          </w:p>
        </w:tc>
        <w:tc>
          <w:tcPr>
            <w:tcW w:w="1532" w:type="dxa"/>
            <w:tcBorders>
              <w:top w:val="single" w:sz="2" w:space="0" w:color="auto"/>
              <w:left w:val="nil"/>
              <w:bottom w:val="single" w:sz="18" w:space="0" w:color="auto"/>
              <w:right w:val="single" w:sz="4" w:space="0" w:color="auto"/>
            </w:tcBorders>
            <w:shd w:val="clear" w:color="auto" w:fill="auto"/>
            <w:noWrap/>
            <w:vAlign w:val="center"/>
          </w:tcPr>
          <w:p w14:paraId="07992A7A" w14:textId="14794F89" w:rsidR="00D46BA8" w:rsidRPr="006536FB" w:rsidRDefault="00D46BA8" w:rsidP="00D6305D">
            <w:pPr>
              <w:jc w:val="right"/>
              <w:rPr>
                <w:rFonts w:eastAsia="Times New Roman"/>
              </w:rPr>
            </w:pPr>
            <w:r w:rsidRPr="006536FB">
              <w:rPr>
                <w:rFonts w:eastAsia="Times New Roman"/>
              </w:rPr>
              <w:t>($268)</w:t>
            </w:r>
          </w:p>
        </w:tc>
        <w:tc>
          <w:tcPr>
            <w:tcW w:w="1420" w:type="dxa"/>
            <w:tcBorders>
              <w:top w:val="single" w:sz="2" w:space="0" w:color="auto"/>
              <w:left w:val="nil"/>
              <w:bottom w:val="single" w:sz="18" w:space="0" w:color="auto"/>
              <w:right w:val="single" w:sz="4" w:space="0" w:color="auto"/>
            </w:tcBorders>
            <w:shd w:val="clear" w:color="auto" w:fill="auto"/>
            <w:noWrap/>
            <w:vAlign w:val="center"/>
          </w:tcPr>
          <w:p w14:paraId="19FF5182" w14:textId="3EDB211E" w:rsidR="00D46BA8" w:rsidRPr="006536FB" w:rsidRDefault="00D46BA8" w:rsidP="006536FB">
            <w:pPr>
              <w:jc w:val="right"/>
              <w:rPr>
                <w:rFonts w:eastAsia="Times New Roman"/>
              </w:rPr>
            </w:pPr>
            <w:r w:rsidRPr="006536FB">
              <w:rPr>
                <w:rFonts w:eastAsia="Times New Roman"/>
              </w:rPr>
              <w:t>$</w:t>
            </w:r>
            <w:r w:rsidR="006536FB" w:rsidRPr="006536FB">
              <w:rPr>
                <w:rFonts w:eastAsia="Times New Roman"/>
              </w:rPr>
              <w:t>(9)</w:t>
            </w:r>
          </w:p>
        </w:tc>
        <w:tc>
          <w:tcPr>
            <w:tcW w:w="1476" w:type="dxa"/>
            <w:tcBorders>
              <w:top w:val="single" w:sz="2" w:space="0" w:color="auto"/>
              <w:left w:val="nil"/>
              <w:bottom w:val="single" w:sz="18" w:space="0" w:color="auto"/>
              <w:right w:val="single" w:sz="4" w:space="0" w:color="auto"/>
            </w:tcBorders>
            <w:shd w:val="clear" w:color="auto" w:fill="auto"/>
            <w:noWrap/>
            <w:vAlign w:val="center"/>
          </w:tcPr>
          <w:p w14:paraId="72E69644" w14:textId="2D9B4E4C" w:rsidR="00D46BA8" w:rsidRPr="006536FB" w:rsidRDefault="00D46BA8" w:rsidP="004A0C0B">
            <w:pPr>
              <w:jc w:val="right"/>
              <w:rPr>
                <w:rFonts w:eastAsia="Times New Roman"/>
              </w:rPr>
            </w:pPr>
            <w:r w:rsidRPr="006536FB">
              <w:rPr>
                <w:rFonts w:eastAsia="Times New Roman"/>
              </w:rPr>
              <w:t>$2</w:t>
            </w:r>
            <w:r w:rsidR="004A0C0B">
              <w:rPr>
                <w:rFonts w:eastAsia="Times New Roman"/>
              </w:rPr>
              <w:t>59</w:t>
            </w:r>
          </w:p>
        </w:tc>
      </w:tr>
      <w:tr w:rsidR="00D46BA8" w:rsidRPr="004C56B8" w14:paraId="391BF7AA" w14:textId="77777777" w:rsidTr="00D6305D">
        <w:trPr>
          <w:trHeight w:val="286"/>
        </w:trPr>
        <w:tc>
          <w:tcPr>
            <w:tcW w:w="4498" w:type="dxa"/>
            <w:tcBorders>
              <w:top w:val="single" w:sz="18" w:space="0" w:color="auto"/>
              <w:left w:val="single" w:sz="18" w:space="0" w:color="auto"/>
              <w:bottom w:val="single" w:sz="18" w:space="0" w:color="auto"/>
              <w:right w:val="single" w:sz="18" w:space="0" w:color="auto"/>
            </w:tcBorders>
            <w:shd w:val="clear" w:color="auto" w:fill="auto"/>
            <w:noWrap/>
            <w:vAlign w:val="center"/>
          </w:tcPr>
          <w:p w14:paraId="6FDE770F" w14:textId="596525C7" w:rsidR="00D46BA8" w:rsidRPr="006536FB" w:rsidRDefault="00D46BA8" w:rsidP="00D46BA8">
            <w:pPr>
              <w:rPr>
                <w:rFonts w:eastAsia="Times New Roman"/>
              </w:rPr>
            </w:pPr>
            <w:r w:rsidRPr="006536FB">
              <w:rPr>
                <w:rFonts w:eastAsia="Times New Roman"/>
              </w:rPr>
              <w:t> Total Gas Adjustments</w:t>
            </w:r>
          </w:p>
        </w:tc>
        <w:tc>
          <w:tcPr>
            <w:tcW w:w="1532" w:type="dxa"/>
            <w:tcBorders>
              <w:top w:val="single" w:sz="18" w:space="0" w:color="auto"/>
              <w:left w:val="single" w:sz="18" w:space="0" w:color="auto"/>
              <w:bottom w:val="single" w:sz="18" w:space="0" w:color="auto"/>
              <w:right w:val="single" w:sz="18" w:space="0" w:color="auto"/>
            </w:tcBorders>
            <w:shd w:val="clear" w:color="auto" w:fill="auto"/>
            <w:noWrap/>
            <w:vAlign w:val="center"/>
          </w:tcPr>
          <w:p w14:paraId="448A801F" w14:textId="6CDF05A6" w:rsidR="00D46BA8" w:rsidRPr="006536FB" w:rsidRDefault="00735298" w:rsidP="00D6305D">
            <w:pPr>
              <w:jc w:val="right"/>
              <w:rPr>
                <w:rFonts w:eastAsia="Times New Roman"/>
              </w:rPr>
            </w:pPr>
            <w:r w:rsidRPr="006536FB">
              <w:rPr>
                <w:rFonts w:eastAsia="Times New Roman"/>
              </w:rPr>
              <w:t>($1,779)</w:t>
            </w:r>
            <w:r w:rsidR="00D46BA8" w:rsidRPr="006536FB">
              <w:rPr>
                <w:rFonts w:eastAsia="Times New Roman"/>
              </w:rPr>
              <w:t> </w:t>
            </w:r>
          </w:p>
        </w:tc>
        <w:tc>
          <w:tcPr>
            <w:tcW w:w="1420" w:type="dxa"/>
            <w:tcBorders>
              <w:top w:val="single" w:sz="18" w:space="0" w:color="auto"/>
              <w:left w:val="single" w:sz="18" w:space="0" w:color="auto"/>
              <w:bottom w:val="single" w:sz="18" w:space="0" w:color="auto"/>
              <w:right w:val="single" w:sz="18" w:space="0" w:color="auto"/>
            </w:tcBorders>
            <w:shd w:val="clear" w:color="auto" w:fill="auto"/>
            <w:noWrap/>
            <w:vAlign w:val="center"/>
          </w:tcPr>
          <w:p w14:paraId="106200E7" w14:textId="2A0052DB" w:rsidR="00D46BA8" w:rsidRPr="006536FB" w:rsidRDefault="00735298" w:rsidP="004A0C0B">
            <w:pPr>
              <w:jc w:val="right"/>
              <w:rPr>
                <w:rFonts w:eastAsia="Times New Roman"/>
              </w:rPr>
            </w:pPr>
            <w:r w:rsidRPr="006536FB">
              <w:rPr>
                <w:rFonts w:eastAsia="Times New Roman"/>
              </w:rPr>
              <w:t>($1,1</w:t>
            </w:r>
            <w:r w:rsidR="004A0C0B">
              <w:rPr>
                <w:rFonts w:eastAsia="Times New Roman"/>
              </w:rPr>
              <w:t>87</w:t>
            </w:r>
            <w:r w:rsidRPr="006536FB">
              <w:rPr>
                <w:rFonts w:eastAsia="Times New Roman"/>
              </w:rPr>
              <w:t>)</w:t>
            </w:r>
          </w:p>
        </w:tc>
        <w:tc>
          <w:tcPr>
            <w:tcW w:w="1476" w:type="dxa"/>
            <w:tcBorders>
              <w:top w:val="single" w:sz="18" w:space="0" w:color="auto"/>
              <w:left w:val="single" w:sz="18" w:space="0" w:color="auto"/>
              <w:bottom w:val="single" w:sz="18" w:space="0" w:color="auto"/>
              <w:right w:val="single" w:sz="18" w:space="0" w:color="auto"/>
            </w:tcBorders>
            <w:shd w:val="clear" w:color="auto" w:fill="auto"/>
            <w:noWrap/>
            <w:vAlign w:val="center"/>
          </w:tcPr>
          <w:p w14:paraId="1AC95704" w14:textId="5940FDC1" w:rsidR="00D46BA8" w:rsidRPr="006536FB" w:rsidRDefault="00735298" w:rsidP="004A0C0B">
            <w:pPr>
              <w:jc w:val="right"/>
              <w:rPr>
                <w:rFonts w:eastAsia="Times New Roman"/>
              </w:rPr>
            </w:pPr>
            <w:r w:rsidRPr="006536FB">
              <w:rPr>
                <w:rFonts w:eastAsia="Times New Roman"/>
              </w:rPr>
              <w:t>$</w:t>
            </w:r>
            <w:r w:rsidR="004A0C0B">
              <w:rPr>
                <w:rFonts w:eastAsia="Times New Roman"/>
              </w:rPr>
              <w:t>592</w:t>
            </w:r>
          </w:p>
        </w:tc>
      </w:tr>
    </w:tbl>
    <w:p w14:paraId="2FEA1248" w14:textId="77777777" w:rsidR="00434D77" w:rsidRPr="00F720F8" w:rsidRDefault="00434D77" w:rsidP="00434D77">
      <w:pPr>
        <w:pStyle w:val="NoSpacing"/>
        <w:ind w:firstLine="0"/>
      </w:pPr>
    </w:p>
    <w:p w14:paraId="3B7481B4" w14:textId="52E957F3" w:rsidR="00FF41F4" w:rsidRDefault="00EE534F" w:rsidP="003102A4">
      <w:pPr>
        <w:pStyle w:val="Heading8"/>
      </w:pPr>
      <w:r>
        <w:t>Q.</w:t>
      </w:r>
      <w:r>
        <w:tab/>
        <w:t>Have you prepared an</w:t>
      </w:r>
      <w:r w:rsidR="00917F5A">
        <w:t>y</w:t>
      </w:r>
      <w:r>
        <w:t xml:space="preserve"> </w:t>
      </w:r>
      <w:r w:rsidR="00917F5A">
        <w:t>exhibits in support of your testimony</w:t>
      </w:r>
      <w:r>
        <w:t>?</w:t>
      </w:r>
      <w:r w:rsidR="00917F5A">
        <w:t xml:space="preserve"> </w:t>
      </w:r>
    </w:p>
    <w:p w14:paraId="2D0ABECD" w14:textId="06B4C3C3" w:rsidR="00EE534F" w:rsidRDefault="00EE534F" w:rsidP="003102A4">
      <w:pPr>
        <w:pStyle w:val="NoSpacing"/>
      </w:pPr>
      <w:r>
        <w:t>A.</w:t>
      </w:r>
      <w:r>
        <w:tab/>
        <w:t xml:space="preserve">Yes.  </w:t>
      </w:r>
      <w:r w:rsidR="0053388B">
        <w:t>I have a</w:t>
      </w:r>
      <w:r>
        <w:t xml:space="preserve">ttached </w:t>
      </w:r>
      <w:r w:rsidR="0053388B">
        <w:t xml:space="preserve">five exhibits. In particular, </w:t>
      </w:r>
      <w:r>
        <w:t>Exhibit No.___</w:t>
      </w:r>
      <w:r w:rsidR="003367B7">
        <w:t xml:space="preserve"> </w:t>
      </w:r>
      <w:r>
        <w:t xml:space="preserve">(JLB-2C) </w:t>
      </w:r>
      <w:r w:rsidR="00022AE3">
        <w:t>is</w:t>
      </w:r>
      <w:r>
        <w:t xml:space="preserve"> </w:t>
      </w:r>
      <w:r w:rsidR="00917F5A">
        <w:t xml:space="preserve">a </w:t>
      </w:r>
      <w:r>
        <w:t xml:space="preserve">detailed breakdown of the electric adjustments listed </w:t>
      </w:r>
      <w:r w:rsidRPr="003102A4">
        <w:t>above</w:t>
      </w:r>
      <w:r w:rsidR="00917F5A">
        <w:t xml:space="preserve">, </w:t>
      </w:r>
      <w:r w:rsidR="0053388B">
        <w:t xml:space="preserve">and </w:t>
      </w:r>
      <w:bookmarkStart w:id="24" w:name="_GoBack"/>
      <w:bookmarkEnd w:id="24"/>
      <w:r>
        <w:t>Exhibit No.___</w:t>
      </w:r>
      <w:r w:rsidR="003367B7">
        <w:t xml:space="preserve"> </w:t>
      </w:r>
      <w:r>
        <w:lastRenderedPageBreak/>
        <w:t xml:space="preserve">(JLB-3) is </w:t>
      </w:r>
      <w:r w:rsidR="00917F5A">
        <w:t xml:space="preserve">a </w:t>
      </w:r>
      <w:r w:rsidR="00D12CF8">
        <w:t xml:space="preserve">detailed breakdown </w:t>
      </w:r>
      <w:r>
        <w:t>for the</w:t>
      </w:r>
      <w:r w:rsidR="000177ED">
        <w:t xml:space="preserve"> above listed</w:t>
      </w:r>
      <w:r>
        <w:t xml:space="preserve"> gas adjustments</w:t>
      </w:r>
      <w:r w:rsidR="00917F5A">
        <w:t>, which is</w:t>
      </w:r>
      <w:r>
        <w:t xml:space="preserve"> discussed in Section VI of my testimony.  </w:t>
      </w:r>
    </w:p>
    <w:p w14:paraId="34A02994" w14:textId="02700390" w:rsidR="00EE534F" w:rsidRPr="00F720F8" w:rsidRDefault="00EE534F" w:rsidP="00713027">
      <w:pPr>
        <w:pStyle w:val="NoSpacing"/>
      </w:pPr>
    </w:p>
    <w:p w14:paraId="4E67E900" w14:textId="77777777" w:rsidR="00B53112" w:rsidRPr="00F720F8" w:rsidRDefault="00B53112" w:rsidP="008F38DE">
      <w:pPr>
        <w:pStyle w:val="Heading8"/>
      </w:pPr>
      <w:r w:rsidRPr="00F720F8">
        <w:t>Q.</w:t>
      </w:r>
      <w:r w:rsidRPr="00F720F8">
        <w:tab/>
        <w:t>How is the remainder of your testimony organized?</w:t>
      </w:r>
    </w:p>
    <w:p w14:paraId="4ED57415" w14:textId="36DDA071" w:rsidR="001659CC" w:rsidRPr="00F720F8" w:rsidRDefault="00B53112" w:rsidP="00B53112">
      <w:pPr>
        <w:pStyle w:val="NoSpacing"/>
        <w:rPr>
          <w:i/>
        </w:rPr>
      </w:pPr>
      <w:r w:rsidRPr="00F720F8">
        <w:t>A.</w:t>
      </w:r>
      <w:bookmarkStart w:id="25" w:name="_Toc404149983"/>
      <w:bookmarkEnd w:id="25"/>
      <w:r w:rsidR="00BE161D">
        <w:tab/>
        <w:t xml:space="preserve">In </w:t>
      </w:r>
      <w:r w:rsidR="00F6639E">
        <w:t>S</w:t>
      </w:r>
      <w:r w:rsidR="00BE161D">
        <w:t xml:space="preserve">ection III, I discuss Staff’s general approach to pro forma adjustments.  In </w:t>
      </w:r>
      <w:r w:rsidR="00F6639E">
        <w:t>S</w:t>
      </w:r>
      <w:r w:rsidR="00BE161D">
        <w:t xml:space="preserve">ection IV, I discuss electric pro forma adjustments related to operations and maintenance expense (3.10 and 3.13).  In </w:t>
      </w:r>
      <w:r w:rsidR="00F6639E">
        <w:t>S</w:t>
      </w:r>
      <w:r w:rsidR="00BE161D">
        <w:t xml:space="preserve">ection V, I discuss the </w:t>
      </w:r>
      <w:r w:rsidR="003122ED">
        <w:t xml:space="preserve">contested </w:t>
      </w:r>
      <w:r w:rsidR="00BE161D">
        <w:t>pro forma</w:t>
      </w:r>
      <w:r w:rsidR="000177ED">
        <w:t xml:space="preserve"> expense</w:t>
      </w:r>
      <w:r w:rsidR="00BE161D">
        <w:t xml:space="preserve"> adjustments</w:t>
      </w:r>
      <w:r w:rsidR="003122ED">
        <w:t xml:space="preserve"> </w:t>
      </w:r>
      <w:r w:rsidR="00BE161D">
        <w:t>for both electric and gas.  Finally,</w:t>
      </w:r>
      <w:r w:rsidR="003122ED">
        <w:t xml:space="preserve"> in </w:t>
      </w:r>
      <w:r w:rsidR="00F6639E">
        <w:t>S</w:t>
      </w:r>
      <w:r w:rsidR="003122ED">
        <w:t>ection VI,</w:t>
      </w:r>
      <w:r w:rsidR="00BE161D">
        <w:t xml:space="preserve"> </w:t>
      </w:r>
      <w:r w:rsidR="003122ED">
        <w:t>I discuss restating adjustments for both electric and gas</w:t>
      </w:r>
      <w:r w:rsidR="00F6639E">
        <w:t xml:space="preserve"> operations</w:t>
      </w:r>
      <w:r w:rsidR="003122ED">
        <w:t xml:space="preserve">.  </w:t>
      </w:r>
    </w:p>
    <w:p w14:paraId="176E1355" w14:textId="36FB5F14" w:rsidR="00434D77" w:rsidRPr="00F720F8" w:rsidRDefault="00434D77" w:rsidP="00B53112">
      <w:pPr>
        <w:pStyle w:val="NoSpacing"/>
      </w:pPr>
    </w:p>
    <w:p w14:paraId="47CDA337" w14:textId="36C350C4" w:rsidR="00434D77" w:rsidRPr="00F720F8" w:rsidRDefault="007341F0" w:rsidP="005C74B0">
      <w:pPr>
        <w:pStyle w:val="Heading1"/>
      </w:pPr>
      <w:bookmarkStart w:id="26" w:name="_Toc424808466"/>
      <w:bookmarkStart w:id="27" w:name="_Toc424808487"/>
      <w:bookmarkStart w:id="28" w:name="_Toc425422179"/>
      <w:bookmarkStart w:id="29" w:name="_Toc425422353"/>
      <w:bookmarkStart w:id="30" w:name="_Toc425423239"/>
      <w:bookmarkStart w:id="31" w:name="_Toc425497655"/>
      <w:r>
        <w:t xml:space="preserve">GUIDANCE ON PRO </w:t>
      </w:r>
      <w:r w:rsidR="00917F5A" w:rsidRPr="00F720F8">
        <w:t>FORMA ADJUSTMENTS</w:t>
      </w:r>
      <w:bookmarkEnd w:id="26"/>
      <w:bookmarkEnd w:id="27"/>
      <w:bookmarkEnd w:id="28"/>
      <w:bookmarkEnd w:id="29"/>
      <w:bookmarkEnd w:id="30"/>
      <w:bookmarkEnd w:id="31"/>
    </w:p>
    <w:p w14:paraId="229021B0" w14:textId="77777777" w:rsidR="000E5C5C" w:rsidRPr="00F720F8" w:rsidRDefault="000E5C5C" w:rsidP="000E5C5C">
      <w:pPr>
        <w:pStyle w:val="NoSpacing"/>
      </w:pPr>
    </w:p>
    <w:p w14:paraId="5A14D249" w14:textId="5AF54EF1" w:rsidR="000E5C5C" w:rsidRPr="00F720F8" w:rsidRDefault="000E5C5C" w:rsidP="00CA40A7">
      <w:pPr>
        <w:pStyle w:val="Heading8"/>
      </w:pPr>
      <w:r w:rsidRPr="00F720F8">
        <w:t>Q.</w:t>
      </w:r>
      <w:r w:rsidRPr="00F720F8">
        <w:tab/>
        <w:t xml:space="preserve">What is the Commission’s </w:t>
      </w:r>
      <w:r w:rsidR="0032340D">
        <w:t xml:space="preserve">standard for accepting </w:t>
      </w:r>
      <w:r w:rsidRPr="00F720F8">
        <w:t>pro forma adjustments?</w:t>
      </w:r>
    </w:p>
    <w:p w14:paraId="6BD41E79" w14:textId="4C0B2C78" w:rsidR="000E5C5C" w:rsidRPr="00F720F8" w:rsidRDefault="000E5C5C" w:rsidP="00CA40A7">
      <w:pPr>
        <w:pStyle w:val="NoSpacing"/>
      </w:pPr>
      <w:r w:rsidRPr="00F720F8">
        <w:t>A.</w:t>
      </w:r>
      <w:r w:rsidRPr="00F720F8">
        <w:tab/>
        <w:t>The Commission</w:t>
      </w:r>
      <w:r w:rsidR="001E6A25">
        <w:t>’s standard is established in</w:t>
      </w:r>
      <w:r w:rsidR="007E3C5C">
        <w:t xml:space="preserve"> Washington Administrative Code (WAC)</w:t>
      </w:r>
      <w:r w:rsidR="001E6A25">
        <w:t xml:space="preserve"> </w:t>
      </w:r>
      <w:r w:rsidR="001E6A25" w:rsidRPr="001E6A25">
        <w:t>480-07-510(3)(iii</w:t>
      </w:r>
      <w:r w:rsidR="001E6A25">
        <w:t>),</w:t>
      </w:r>
      <w:r w:rsidR="009B5F89">
        <w:t xml:space="preserve"> which provides</w:t>
      </w:r>
      <w:r w:rsidRPr="00F720F8">
        <w:t xml:space="preserve"> </w:t>
      </w:r>
      <w:r w:rsidR="00786E73">
        <w:t>that pro forma adjustments must</w:t>
      </w:r>
      <w:r w:rsidRPr="00F720F8">
        <w:t xml:space="preserve"> “give effect for the test period to all known and measurable changes that are not offset by other factors</w:t>
      </w:r>
      <w:r w:rsidRPr="00F720F8">
        <w:rPr>
          <w:rFonts w:ascii="Arial" w:hAnsi="Arial" w:cs="Arial"/>
          <w:sz w:val="22"/>
          <w:szCs w:val="22"/>
        </w:rPr>
        <w:t>.</w:t>
      </w:r>
      <w:r w:rsidRPr="00A34CA1">
        <w:t>”</w:t>
      </w:r>
      <w:r w:rsidR="00017975">
        <w:t xml:space="preserve">  </w:t>
      </w:r>
    </w:p>
    <w:p w14:paraId="24456B83" w14:textId="77777777" w:rsidR="000E5C5C" w:rsidRPr="00F720F8" w:rsidRDefault="000E5C5C" w:rsidP="000E5C5C">
      <w:pPr>
        <w:pStyle w:val="NoSpacing"/>
      </w:pPr>
    </w:p>
    <w:p w14:paraId="5145E1AF" w14:textId="77777777" w:rsidR="000E5C5C" w:rsidRPr="00F720F8" w:rsidRDefault="000E5C5C" w:rsidP="00CA40A7">
      <w:pPr>
        <w:pStyle w:val="Heading8"/>
      </w:pPr>
      <w:r w:rsidRPr="00F720F8">
        <w:t>Q.</w:t>
      </w:r>
      <w:r w:rsidRPr="00F720F8">
        <w:tab/>
        <w:t>Has the Commission provided any recent guidance on pro forma adjustments?</w:t>
      </w:r>
    </w:p>
    <w:p w14:paraId="596B3916" w14:textId="75DFAE36" w:rsidR="00AF28D3" w:rsidRPr="00F720F8" w:rsidRDefault="000E5C5C" w:rsidP="00AF28D3">
      <w:pPr>
        <w:pStyle w:val="NoSpacing"/>
      </w:pPr>
      <w:r w:rsidRPr="00F720F8">
        <w:t xml:space="preserve">A. </w:t>
      </w:r>
      <w:r w:rsidRPr="00F720F8">
        <w:tab/>
        <w:t>Yes</w:t>
      </w:r>
      <w:r w:rsidR="00AF28D3" w:rsidRPr="00F720F8">
        <w:t xml:space="preserve">.  The Commission stated in the most recent Pacific Power </w:t>
      </w:r>
      <w:r w:rsidR="001E6A25">
        <w:t>general</w:t>
      </w:r>
      <w:r w:rsidR="00AF28D3" w:rsidRPr="00F720F8">
        <w:t xml:space="preserve"> rate </w:t>
      </w:r>
      <w:r w:rsidR="001E6A25">
        <w:t>case</w:t>
      </w:r>
      <w:r w:rsidR="00AF28D3" w:rsidRPr="00F720F8">
        <w:t xml:space="preserve"> proceeding: </w:t>
      </w:r>
    </w:p>
    <w:p w14:paraId="0179F463" w14:textId="4E48257B" w:rsidR="00AF28D3" w:rsidRPr="00587160" w:rsidRDefault="00B25158" w:rsidP="005540FA">
      <w:pPr>
        <w:pStyle w:val="NoSpacing"/>
        <w:spacing w:after="240" w:line="240" w:lineRule="auto"/>
        <w:ind w:left="1440" w:firstLine="0"/>
      </w:pPr>
      <w:r w:rsidRPr="00587160">
        <w:t xml:space="preserve">Washington uses a hybrid test year approach that allows </w:t>
      </w:r>
      <w:r w:rsidRPr="00587160">
        <w:rPr>
          <w:i/>
        </w:rPr>
        <w:t>pro forma</w:t>
      </w:r>
      <w:r w:rsidRPr="00587160">
        <w:t xml:space="preserve"> adjustments only for known and measurable changes</w:t>
      </w:r>
      <w:r w:rsidR="00070D52">
        <w:t>—</w:t>
      </w:r>
      <w:r w:rsidRPr="00587160">
        <w:t>not budgeted or projected changes</w:t>
      </w:r>
      <w:r w:rsidR="00070D52">
        <w:t>—</w:t>
      </w:r>
      <w:r w:rsidRPr="00587160">
        <w:t xml:space="preserve">that occur, generally within a reasonable time after the </w:t>
      </w:r>
      <w:r w:rsidRPr="00587160">
        <w:lastRenderedPageBreak/>
        <w:t>end of the test year and, with some exceptions, almost never more than 12 months after the end of the test year.</w:t>
      </w:r>
      <w:r w:rsidR="00AF28D3" w:rsidRPr="00587160">
        <w:rPr>
          <w:rStyle w:val="FootnoteReference"/>
        </w:rPr>
        <w:footnoteReference w:id="2"/>
      </w:r>
      <w:r w:rsidR="00AF28D3" w:rsidRPr="00587160">
        <w:t xml:space="preserve"> </w:t>
      </w:r>
    </w:p>
    <w:p w14:paraId="0F3C02A8" w14:textId="5CEDA6D5" w:rsidR="00D6439B" w:rsidRDefault="005540FA" w:rsidP="005540FA">
      <w:pPr>
        <w:pStyle w:val="NoSpacing"/>
      </w:pPr>
      <w:r>
        <w:tab/>
      </w:r>
      <w:r w:rsidR="00D6439B">
        <w:t xml:space="preserve">Adhering to the known and measurable standard, Staff carefully reviewed any proposed adjustments that were based on budgeted amounts.  Staff </w:t>
      </w:r>
      <w:r w:rsidR="00692B43">
        <w:t>witnesses Christopher</w:t>
      </w:r>
      <w:r w:rsidR="00D6439B">
        <w:t xml:space="preserve"> Hancock and Christopher McGuire elaborate further on the Commission</w:t>
      </w:r>
      <w:r w:rsidR="00D470D5">
        <w:t>’</w:t>
      </w:r>
      <w:r w:rsidR="00D6439B">
        <w:t>s recent guidance for pro forma plant additions.</w:t>
      </w:r>
      <w:r w:rsidR="00D6439B">
        <w:rPr>
          <w:rStyle w:val="FootnoteReference"/>
        </w:rPr>
        <w:footnoteReference w:id="3"/>
      </w:r>
      <w:r w:rsidR="00D6439B">
        <w:t xml:space="preserve">  </w:t>
      </w:r>
    </w:p>
    <w:p w14:paraId="727DE901" w14:textId="7442C431" w:rsidR="009819AC" w:rsidRDefault="005540FA" w:rsidP="00692B43">
      <w:pPr>
        <w:pStyle w:val="NoSpacing"/>
      </w:pPr>
      <w:r>
        <w:tab/>
      </w:r>
      <w:r w:rsidR="004248BB">
        <w:tab/>
      </w:r>
      <w:r w:rsidR="003C788D">
        <w:t xml:space="preserve"> </w:t>
      </w:r>
    </w:p>
    <w:p w14:paraId="3CBC7A41" w14:textId="3BCEE8A2" w:rsidR="002631FE" w:rsidRPr="00F720F8" w:rsidRDefault="002631FE" w:rsidP="00CA40A7">
      <w:pPr>
        <w:pStyle w:val="Heading8"/>
      </w:pPr>
      <w:r w:rsidRPr="00F720F8">
        <w:t>Q.</w:t>
      </w:r>
      <w:r w:rsidRPr="00F720F8">
        <w:tab/>
        <w:t>Does the Commission rely on any other standards to make pro forma adjustments?</w:t>
      </w:r>
    </w:p>
    <w:p w14:paraId="0649B309" w14:textId="6A8F75B6" w:rsidR="002631FE" w:rsidRPr="00165F94" w:rsidRDefault="002631FE" w:rsidP="002631FE">
      <w:pPr>
        <w:pStyle w:val="NoSpacing"/>
      </w:pPr>
      <w:r w:rsidRPr="00F720F8">
        <w:t>A.</w:t>
      </w:r>
      <w:r w:rsidRPr="00F720F8">
        <w:tab/>
        <w:t xml:space="preserve">Yes.  </w:t>
      </w:r>
      <w:r w:rsidR="00D6439B">
        <w:t>T</w:t>
      </w:r>
      <w:r w:rsidR="009819AC">
        <w:t xml:space="preserve">he Commission, as well as </w:t>
      </w:r>
      <w:r w:rsidRPr="00F720F8">
        <w:t>Staff</w:t>
      </w:r>
      <w:r w:rsidR="009819AC">
        <w:t>,</w:t>
      </w:r>
      <w:r w:rsidRPr="00F720F8">
        <w:t xml:space="preserve"> have a strong prefere</w:t>
      </w:r>
      <w:r w:rsidR="009819AC">
        <w:t>nce for adhering</w:t>
      </w:r>
      <w:r w:rsidR="00E6441D">
        <w:t xml:space="preserve"> </w:t>
      </w:r>
      <w:r w:rsidR="00E6441D" w:rsidRPr="00165F94">
        <w:t>to</w:t>
      </w:r>
      <w:r w:rsidRPr="00165F94">
        <w:t xml:space="preserve"> the matching principle wherever possible.</w:t>
      </w:r>
      <w:r w:rsidR="00D6439B">
        <w:rPr>
          <w:rStyle w:val="FootnoteReference"/>
        </w:rPr>
        <w:footnoteReference w:id="4"/>
      </w:r>
      <w:r w:rsidR="00D6439B">
        <w:t xml:space="preserve"> </w:t>
      </w:r>
      <w:r w:rsidRPr="00165F94">
        <w:t xml:space="preserve"> The matching principle is an important accounting standard </w:t>
      </w:r>
      <w:r w:rsidR="00D7785B">
        <w:t>in which</w:t>
      </w:r>
      <w:r w:rsidR="00D7785B" w:rsidRPr="00165F94">
        <w:t xml:space="preserve"> </w:t>
      </w:r>
      <w:r w:rsidRPr="00165F94">
        <w:t xml:space="preserve">expenses </w:t>
      </w:r>
      <w:r w:rsidR="00165F94" w:rsidRPr="00165F94">
        <w:t xml:space="preserve">and revenues are recognized in the same periods that they occur. </w:t>
      </w:r>
    </w:p>
    <w:p w14:paraId="42C799F5" w14:textId="5D84B9E0" w:rsidR="0085747A" w:rsidRPr="00F720F8" w:rsidRDefault="0085747A" w:rsidP="00B53112">
      <w:pPr>
        <w:pStyle w:val="NoSpacing"/>
      </w:pPr>
    </w:p>
    <w:p w14:paraId="5C9AA160" w14:textId="25C533FF" w:rsidR="00283D4B" w:rsidRPr="00F720F8" w:rsidRDefault="00131F74" w:rsidP="005C74B0">
      <w:pPr>
        <w:pStyle w:val="Heading1"/>
      </w:pPr>
      <w:bookmarkStart w:id="32" w:name="_Toc424808467"/>
      <w:bookmarkStart w:id="33" w:name="_Toc424808488"/>
      <w:bookmarkStart w:id="34" w:name="_Toc425422180"/>
      <w:bookmarkStart w:id="35" w:name="_Toc425422354"/>
      <w:bookmarkStart w:id="36" w:name="_Toc425423240"/>
      <w:bookmarkStart w:id="37" w:name="_Toc425497656"/>
      <w:r w:rsidRPr="00F720F8">
        <w:t>OPERATIONS &amp; MAINTENANCE EXPENSE</w:t>
      </w:r>
      <w:bookmarkEnd w:id="32"/>
      <w:bookmarkEnd w:id="33"/>
      <w:bookmarkEnd w:id="34"/>
      <w:bookmarkEnd w:id="35"/>
      <w:bookmarkEnd w:id="36"/>
      <w:bookmarkEnd w:id="37"/>
    </w:p>
    <w:p w14:paraId="6DE9AEA9" w14:textId="77777777" w:rsidR="009D2250" w:rsidRPr="00F720F8" w:rsidRDefault="009D2250" w:rsidP="009D2250">
      <w:pPr>
        <w:pStyle w:val="NoSpacing"/>
      </w:pPr>
    </w:p>
    <w:p w14:paraId="7729608E" w14:textId="6C28A27D" w:rsidR="004940D7" w:rsidRPr="00F720F8" w:rsidRDefault="009D2250" w:rsidP="003367B7">
      <w:pPr>
        <w:pStyle w:val="Heading2"/>
        <w:numPr>
          <w:ilvl w:val="0"/>
          <w:numId w:val="36"/>
        </w:numPr>
        <w:ind w:left="1440" w:hanging="720"/>
      </w:pPr>
      <w:bookmarkStart w:id="38" w:name="_Toc424808468"/>
      <w:bookmarkStart w:id="39" w:name="_Toc424808489"/>
      <w:bookmarkStart w:id="40" w:name="_Toc425422181"/>
      <w:bookmarkStart w:id="41" w:name="_Toc425422355"/>
      <w:bookmarkStart w:id="42" w:name="_Toc425423241"/>
      <w:bookmarkStart w:id="43" w:name="_Toc425497657"/>
      <w:r w:rsidRPr="00F720F8">
        <w:t>Multi-Party Settlement</w:t>
      </w:r>
      <w:bookmarkEnd w:id="38"/>
      <w:bookmarkEnd w:id="39"/>
      <w:bookmarkEnd w:id="40"/>
      <w:bookmarkEnd w:id="41"/>
      <w:bookmarkEnd w:id="42"/>
      <w:bookmarkEnd w:id="43"/>
    </w:p>
    <w:p w14:paraId="4AB07EA5" w14:textId="77777777" w:rsidR="009D2250" w:rsidRPr="00F720F8" w:rsidRDefault="009D2250" w:rsidP="009D2250">
      <w:pPr>
        <w:pStyle w:val="NoSpacing"/>
      </w:pPr>
    </w:p>
    <w:p w14:paraId="70FF2C71" w14:textId="747B577D" w:rsidR="00585107" w:rsidRPr="00F720F8" w:rsidRDefault="00585107" w:rsidP="00585107">
      <w:pPr>
        <w:pStyle w:val="Heading8"/>
      </w:pPr>
      <w:r w:rsidRPr="00F720F8">
        <w:t>Q.</w:t>
      </w:r>
      <w:r w:rsidRPr="00F720F8">
        <w:tab/>
      </w:r>
      <w:r w:rsidR="00D7785B">
        <w:t>Does</w:t>
      </w:r>
      <w:r w:rsidRPr="00F720F8">
        <w:t xml:space="preserve"> the Multi-Party Settlement affect </w:t>
      </w:r>
      <w:r w:rsidR="00432480" w:rsidRPr="00F720F8">
        <w:t>Operations and Maintenance Expense</w:t>
      </w:r>
      <w:r w:rsidRPr="00F720F8">
        <w:t>?</w:t>
      </w:r>
    </w:p>
    <w:p w14:paraId="5D2CACD7" w14:textId="4FA61089" w:rsidR="00585107" w:rsidRPr="00F720F8" w:rsidRDefault="00585107" w:rsidP="00585107">
      <w:pPr>
        <w:pStyle w:val="NoSpacing"/>
      </w:pPr>
      <w:r w:rsidRPr="00F720F8">
        <w:lastRenderedPageBreak/>
        <w:t>A.</w:t>
      </w:r>
      <w:r w:rsidRPr="00F720F8">
        <w:tab/>
      </w:r>
      <w:r w:rsidR="00AD059D">
        <w:t xml:space="preserve">Yes.  </w:t>
      </w:r>
      <w:r w:rsidRPr="00F720F8">
        <w:t xml:space="preserve">For electric operations, the Multi-Party Settlement </w:t>
      </w:r>
      <w:r w:rsidR="00D7785B" w:rsidRPr="00F720F8">
        <w:t>establishe</w:t>
      </w:r>
      <w:r w:rsidR="00D7785B">
        <w:t>s</w:t>
      </w:r>
      <w:r w:rsidR="00D7785B" w:rsidRPr="00F720F8">
        <w:t xml:space="preserve"> </w:t>
      </w:r>
      <w:r w:rsidRPr="00F720F8">
        <w:t>a level of pro</w:t>
      </w:r>
      <w:r w:rsidR="000853DC">
        <w:t xml:space="preserve"> </w:t>
      </w:r>
      <w:r w:rsidRPr="00F720F8">
        <w:t>forma power supply expen</w:t>
      </w:r>
      <w:r w:rsidR="00432480" w:rsidRPr="00F720F8">
        <w:t>se, subject to a future update.</w:t>
      </w:r>
      <w:r w:rsidR="00302643" w:rsidRPr="00F720F8">
        <w:rPr>
          <w:rStyle w:val="FootnoteReference"/>
        </w:rPr>
        <w:footnoteReference w:id="5"/>
      </w:r>
      <w:r w:rsidR="00432480" w:rsidRPr="00F720F8">
        <w:t xml:space="preserve">  Additionally, </w:t>
      </w:r>
      <w:r w:rsidR="006E533B">
        <w:t>Operations and Maintenance Expenses (O&amp;M)</w:t>
      </w:r>
      <w:r w:rsidR="00545F84">
        <w:t xml:space="preserve"> for</w:t>
      </w:r>
      <w:r w:rsidR="00545F84" w:rsidRPr="00F720F8">
        <w:t xml:space="preserve"> </w:t>
      </w:r>
      <w:r w:rsidRPr="00F720F8">
        <w:t xml:space="preserve">Colstrip and Coyote Springs 2 (CS2) </w:t>
      </w:r>
      <w:r w:rsidR="00D7785B">
        <w:t>are</w:t>
      </w:r>
      <w:r w:rsidR="00D7785B" w:rsidRPr="00F720F8">
        <w:t xml:space="preserve"> </w:t>
      </w:r>
      <w:r w:rsidRPr="00F720F8">
        <w:t xml:space="preserve">removed from </w:t>
      </w:r>
      <w:r w:rsidR="00545F84" w:rsidRPr="00F720F8">
        <w:t>adjustment 3.00</w:t>
      </w:r>
      <w:r w:rsidR="00545F84">
        <w:t xml:space="preserve"> </w:t>
      </w:r>
      <w:r w:rsidRPr="00F720F8">
        <w:t>pro</w:t>
      </w:r>
      <w:r w:rsidR="000853DC">
        <w:t xml:space="preserve"> </w:t>
      </w:r>
      <w:r w:rsidRPr="00F720F8">
        <w:t xml:space="preserve">forma power </w:t>
      </w:r>
      <w:r w:rsidR="00545F84">
        <w:t>supply</w:t>
      </w:r>
      <w:r w:rsidRPr="00F720F8">
        <w:t>.  Avista proposed</w:t>
      </w:r>
      <w:r w:rsidR="009A25B4">
        <w:t xml:space="preserve"> through discovery</w:t>
      </w:r>
      <w:r w:rsidRPr="00F720F8">
        <w:t xml:space="preserve"> to include this amount in adjustment 3.10 Pro Forma Overhauls – Hydro, Thermal, and Other.</w:t>
      </w:r>
      <w:r w:rsidRPr="00F720F8">
        <w:rPr>
          <w:rStyle w:val="FootnoteReference"/>
        </w:rPr>
        <w:footnoteReference w:id="6"/>
      </w:r>
      <w:r w:rsidRPr="00F720F8">
        <w:t xml:space="preserve">  </w:t>
      </w:r>
      <w:r w:rsidR="00A82E08">
        <w:t>Per the Multi-Party Settlement, this amount</w:t>
      </w:r>
      <w:r w:rsidRPr="00157CD2">
        <w:t xml:space="preserve"> includes Colstrip’s budgeted O&amp;M for 2016 provided by </w:t>
      </w:r>
      <w:r w:rsidR="00131F74">
        <w:t>the</w:t>
      </w:r>
      <w:r w:rsidRPr="00157CD2">
        <w:t xml:space="preserve"> operator of the plant, </w:t>
      </w:r>
      <w:r w:rsidR="00CB6386" w:rsidRPr="00157CD2">
        <w:t>Talon Energy</w:t>
      </w:r>
      <w:r w:rsidR="00A911B9" w:rsidRPr="00157CD2">
        <w:t>,</w:t>
      </w:r>
      <w:r w:rsidRPr="00157CD2">
        <w:t xml:space="preserve"> and the expected costs and management reserves for overhauls in 2016 for both Colstrip and CS2.</w:t>
      </w:r>
      <w:r w:rsidR="00A911B9" w:rsidRPr="00157CD2">
        <w:rPr>
          <w:rStyle w:val="FootnoteReference"/>
        </w:rPr>
        <w:footnoteReference w:id="7"/>
      </w:r>
      <w:r w:rsidRPr="00157CD2">
        <w:t xml:space="preserve"> </w:t>
      </w:r>
      <w:r w:rsidRPr="00F720F8">
        <w:t xml:space="preserve">  </w:t>
      </w:r>
    </w:p>
    <w:p w14:paraId="52019F81" w14:textId="77777777" w:rsidR="00585107" w:rsidRPr="00F720F8" w:rsidRDefault="00585107" w:rsidP="00585107">
      <w:pPr>
        <w:pStyle w:val="NoSpacing"/>
        <w:ind w:left="0" w:firstLine="0"/>
      </w:pPr>
    </w:p>
    <w:p w14:paraId="2350F154" w14:textId="1516E90E" w:rsidR="00585107" w:rsidRPr="00F720F8" w:rsidRDefault="00585107" w:rsidP="00585107">
      <w:pPr>
        <w:pStyle w:val="Heading8"/>
      </w:pPr>
      <w:r w:rsidRPr="00F720F8">
        <w:t>Q.</w:t>
      </w:r>
      <w:r w:rsidRPr="00F720F8">
        <w:tab/>
        <w:t xml:space="preserve">How does Staff’s </w:t>
      </w:r>
      <w:r w:rsidR="0025685A">
        <w:t>c</w:t>
      </w:r>
      <w:r w:rsidRPr="00F720F8">
        <w:t xml:space="preserve">ase </w:t>
      </w:r>
      <w:r w:rsidR="0093508C" w:rsidRPr="00F720F8">
        <w:t>reflect</w:t>
      </w:r>
      <w:r w:rsidRPr="00F720F8">
        <w:t xml:space="preserve"> the Multi-Party Settlement?</w:t>
      </w:r>
    </w:p>
    <w:p w14:paraId="7346F8B5" w14:textId="5EEBFBEF" w:rsidR="00585107" w:rsidRPr="00F720F8" w:rsidRDefault="00585107" w:rsidP="00585107">
      <w:pPr>
        <w:pStyle w:val="NoSpacing"/>
      </w:pPr>
      <w:r w:rsidRPr="00F720F8">
        <w:t>A.</w:t>
      </w:r>
      <w:r w:rsidRPr="00F720F8">
        <w:tab/>
      </w:r>
      <w:r w:rsidR="00E8468D">
        <w:t>Staff witness Christopher Hancock presents the impacts of the Multi-Party Settlement on the revenue requirement model</w:t>
      </w:r>
      <w:r w:rsidR="000F4581">
        <w:t xml:space="preserve"> for both electric and gas operations</w:t>
      </w:r>
      <w:r w:rsidR="00E8468D">
        <w:t>.</w:t>
      </w:r>
      <w:r w:rsidR="00E8468D">
        <w:rPr>
          <w:rStyle w:val="FootnoteReference"/>
        </w:rPr>
        <w:footnoteReference w:id="8"/>
      </w:r>
      <w:r w:rsidR="00E8468D">
        <w:t xml:space="preserve">  </w:t>
      </w:r>
      <w:r w:rsidR="00AC3456">
        <w:t xml:space="preserve">Additionally, </w:t>
      </w:r>
      <w:r w:rsidR="0025685A">
        <w:t xml:space="preserve">for electric operations </w:t>
      </w:r>
      <w:r w:rsidRPr="00F720F8">
        <w:t xml:space="preserve">Staff has created a new </w:t>
      </w:r>
      <w:r w:rsidR="0016014F">
        <w:t xml:space="preserve">pro forma </w:t>
      </w:r>
      <w:r w:rsidRPr="00F720F8">
        <w:t>adjustment 3.13</w:t>
      </w:r>
      <w:r w:rsidR="0025685A">
        <w:t xml:space="preserve"> </w:t>
      </w:r>
      <w:r w:rsidRPr="00F720F8">
        <w:t xml:space="preserve">to reflect </w:t>
      </w:r>
      <w:r w:rsidR="00397353" w:rsidRPr="00F720F8">
        <w:t xml:space="preserve">O&amp;M </w:t>
      </w:r>
      <w:r w:rsidR="00397353">
        <w:t xml:space="preserve">for </w:t>
      </w:r>
      <w:r w:rsidR="00734FD0">
        <w:t xml:space="preserve">Colstrip and </w:t>
      </w:r>
      <w:r w:rsidR="00397353">
        <w:t>CS2</w:t>
      </w:r>
      <w:r w:rsidRPr="00F720F8">
        <w:t>.</w:t>
      </w:r>
      <w:r w:rsidRPr="00F720F8">
        <w:rPr>
          <w:rStyle w:val="FootnoteReference"/>
        </w:rPr>
        <w:footnoteReference w:id="9"/>
      </w:r>
      <w:r w:rsidRPr="00F720F8">
        <w:t xml:space="preserve">    </w:t>
      </w:r>
    </w:p>
    <w:p w14:paraId="370D7C4F" w14:textId="7CDDD432" w:rsidR="003367B7" w:rsidRDefault="00585107" w:rsidP="00585107">
      <w:pPr>
        <w:pStyle w:val="NoSpacing"/>
      </w:pPr>
      <w:r w:rsidRPr="00F720F8">
        <w:tab/>
      </w:r>
    </w:p>
    <w:p w14:paraId="65228403" w14:textId="77777777" w:rsidR="003367B7" w:rsidRDefault="003367B7">
      <w:pPr>
        <w:rPr>
          <w:rFonts w:eastAsia="Times New Roman"/>
        </w:rPr>
      </w:pPr>
      <w:r>
        <w:br w:type="page"/>
      </w:r>
    </w:p>
    <w:tbl>
      <w:tblPr>
        <w:tblStyle w:val="TableGrid"/>
        <w:tblW w:w="9355" w:type="dxa"/>
        <w:tblInd w:w="270" w:type="dxa"/>
        <w:tblLayout w:type="fixed"/>
        <w:tblLook w:val="04A0" w:firstRow="1" w:lastRow="0" w:firstColumn="1" w:lastColumn="0" w:noHBand="0" w:noVBand="1"/>
      </w:tblPr>
      <w:tblGrid>
        <w:gridCol w:w="2250"/>
        <w:gridCol w:w="1710"/>
        <w:gridCol w:w="3240"/>
        <w:gridCol w:w="2155"/>
      </w:tblGrid>
      <w:tr w:rsidR="00585107" w:rsidRPr="00F720F8" w14:paraId="5604D9CE" w14:textId="77777777" w:rsidTr="0067794A">
        <w:trPr>
          <w:trHeight w:val="350"/>
        </w:trPr>
        <w:tc>
          <w:tcPr>
            <w:tcW w:w="9355" w:type="dxa"/>
            <w:gridSpan w:val="4"/>
            <w:tcBorders>
              <w:top w:val="nil"/>
              <w:left w:val="nil"/>
              <w:right w:val="nil"/>
            </w:tcBorders>
          </w:tcPr>
          <w:p w14:paraId="5A75031A" w14:textId="48C08255" w:rsidR="00585107" w:rsidRPr="00660909" w:rsidRDefault="002B7FD1" w:rsidP="00734FD0">
            <w:pPr>
              <w:pStyle w:val="NoSpacing"/>
              <w:spacing w:after="240" w:line="240" w:lineRule="auto"/>
              <w:ind w:left="0" w:firstLine="0"/>
              <w:jc w:val="center"/>
              <w:rPr>
                <w:b/>
              </w:rPr>
            </w:pPr>
            <w:r>
              <w:rPr>
                <w:b/>
              </w:rPr>
              <w:lastRenderedPageBreak/>
              <w:t>Comparison of Treatment for Colstrip &amp; CS2 O&amp;M</w:t>
            </w:r>
          </w:p>
        </w:tc>
      </w:tr>
      <w:tr w:rsidR="00585107" w:rsidRPr="00F720F8" w14:paraId="069B1B24" w14:textId="77777777" w:rsidTr="0067794A">
        <w:tc>
          <w:tcPr>
            <w:tcW w:w="2250" w:type="dxa"/>
            <w:vAlign w:val="center"/>
          </w:tcPr>
          <w:p w14:paraId="13249A1E" w14:textId="77777777" w:rsidR="00585107" w:rsidRPr="00F720F8" w:rsidRDefault="00585107" w:rsidP="00720A02">
            <w:pPr>
              <w:pStyle w:val="NoSpacing"/>
              <w:spacing w:line="240" w:lineRule="auto"/>
              <w:ind w:left="0" w:firstLine="0"/>
              <w:jc w:val="center"/>
            </w:pPr>
            <w:r w:rsidRPr="00F720F8">
              <w:t>Adjustment</w:t>
            </w:r>
          </w:p>
        </w:tc>
        <w:tc>
          <w:tcPr>
            <w:tcW w:w="1710" w:type="dxa"/>
            <w:vAlign w:val="center"/>
          </w:tcPr>
          <w:p w14:paraId="7E39220C" w14:textId="77777777" w:rsidR="00585107" w:rsidRPr="00F720F8" w:rsidRDefault="00585107" w:rsidP="00720A02">
            <w:pPr>
              <w:pStyle w:val="NoSpacing"/>
              <w:spacing w:line="240" w:lineRule="auto"/>
              <w:ind w:left="0" w:firstLine="0"/>
              <w:jc w:val="center"/>
            </w:pPr>
            <w:r w:rsidRPr="00F720F8">
              <w:t>Initial Filing</w:t>
            </w:r>
          </w:p>
        </w:tc>
        <w:tc>
          <w:tcPr>
            <w:tcW w:w="3240" w:type="dxa"/>
            <w:vAlign w:val="center"/>
          </w:tcPr>
          <w:p w14:paraId="70DC2C8E" w14:textId="13F55FCD" w:rsidR="00585107" w:rsidRPr="00F720F8" w:rsidRDefault="00394483" w:rsidP="00720A02">
            <w:pPr>
              <w:pStyle w:val="NoSpacing"/>
              <w:spacing w:line="240" w:lineRule="auto"/>
              <w:ind w:left="0" w:firstLine="0"/>
              <w:jc w:val="center"/>
            </w:pPr>
            <w:r w:rsidRPr="00394483">
              <w:rPr>
                <w:i/>
                <w:sz w:val="20"/>
              </w:rPr>
              <w:t xml:space="preserve">Exhibit </w:t>
            </w:r>
            <w:r w:rsidR="005B4E92">
              <w:rPr>
                <w:i/>
                <w:sz w:val="20"/>
              </w:rPr>
              <w:t>No.___(CSH-4</w:t>
            </w:r>
            <w:r w:rsidRPr="00394483">
              <w:rPr>
                <w:i/>
                <w:sz w:val="20"/>
              </w:rPr>
              <w:t>)</w:t>
            </w:r>
            <w:r w:rsidR="00585107" w:rsidRPr="00394483">
              <w:rPr>
                <w:i/>
                <w:sz w:val="20"/>
              </w:rPr>
              <w:t xml:space="preserve"> (including updates)</w:t>
            </w:r>
            <w:r w:rsidR="0098408F" w:rsidRPr="00394483">
              <w:rPr>
                <w:sz w:val="20"/>
              </w:rPr>
              <w:t xml:space="preserve"> </w:t>
            </w:r>
          </w:p>
        </w:tc>
        <w:tc>
          <w:tcPr>
            <w:tcW w:w="2155" w:type="dxa"/>
            <w:vAlign w:val="center"/>
          </w:tcPr>
          <w:p w14:paraId="49A629B7" w14:textId="77777777" w:rsidR="00585107" w:rsidRPr="00F720F8" w:rsidRDefault="00585107" w:rsidP="00720A02">
            <w:pPr>
              <w:pStyle w:val="NoSpacing"/>
              <w:spacing w:line="240" w:lineRule="auto"/>
              <w:ind w:left="0" w:firstLine="0"/>
              <w:jc w:val="center"/>
            </w:pPr>
            <w:r w:rsidRPr="00F720F8">
              <w:t>Staff</w:t>
            </w:r>
          </w:p>
        </w:tc>
      </w:tr>
      <w:tr w:rsidR="00585107" w:rsidRPr="00F720F8" w14:paraId="1C46D434" w14:textId="77777777" w:rsidTr="0067794A">
        <w:trPr>
          <w:trHeight w:val="755"/>
        </w:trPr>
        <w:tc>
          <w:tcPr>
            <w:tcW w:w="2250" w:type="dxa"/>
            <w:vAlign w:val="center"/>
          </w:tcPr>
          <w:p w14:paraId="076CD666" w14:textId="2CA739D9" w:rsidR="00585107" w:rsidRPr="001150B7" w:rsidRDefault="00734FD0" w:rsidP="0067794A">
            <w:pPr>
              <w:pStyle w:val="NoSpacing"/>
              <w:spacing w:line="240" w:lineRule="auto"/>
              <w:ind w:left="0" w:firstLine="0"/>
              <w:jc w:val="center"/>
              <w:rPr>
                <w:i/>
              </w:rPr>
            </w:pPr>
            <w:r w:rsidRPr="0067794A">
              <w:t xml:space="preserve">Colstrip &amp; </w:t>
            </w:r>
            <w:r w:rsidR="00585107" w:rsidRPr="0067794A">
              <w:t>CS2 O&amp;M</w:t>
            </w:r>
          </w:p>
        </w:tc>
        <w:tc>
          <w:tcPr>
            <w:tcW w:w="1710" w:type="dxa"/>
            <w:vAlign w:val="center"/>
          </w:tcPr>
          <w:p w14:paraId="7569C1DF" w14:textId="281C5BAA" w:rsidR="00585107" w:rsidRPr="00F720F8" w:rsidRDefault="002B7FD1" w:rsidP="0067794A">
            <w:pPr>
              <w:pStyle w:val="NoSpacing"/>
              <w:spacing w:line="240" w:lineRule="auto"/>
              <w:ind w:left="0" w:firstLine="0"/>
              <w:jc w:val="center"/>
            </w:pPr>
            <w:r>
              <w:t>Included in Adj 3.00 – Power Supply</w:t>
            </w:r>
          </w:p>
        </w:tc>
        <w:tc>
          <w:tcPr>
            <w:tcW w:w="3240" w:type="dxa"/>
            <w:vAlign w:val="center"/>
          </w:tcPr>
          <w:p w14:paraId="753F7867" w14:textId="759315C7" w:rsidR="00585107" w:rsidRPr="00F720F8" w:rsidRDefault="002B7FD1" w:rsidP="0067794A">
            <w:pPr>
              <w:pStyle w:val="NoSpacing"/>
              <w:spacing w:line="240" w:lineRule="auto"/>
              <w:ind w:left="0" w:firstLine="0"/>
              <w:jc w:val="center"/>
            </w:pPr>
            <w:r>
              <w:t xml:space="preserve">Included in Adj 3.10 – </w:t>
            </w:r>
            <w:r w:rsidRPr="00F720F8">
              <w:t>2016 Pro Forma Major Maintenance – Hydro, Thermal, Steam</w:t>
            </w:r>
          </w:p>
        </w:tc>
        <w:tc>
          <w:tcPr>
            <w:tcW w:w="2155" w:type="dxa"/>
            <w:vAlign w:val="center"/>
          </w:tcPr>
          <w:p w14:paraId="1EFAF2F1" w14:textId="56DB4BC6" w:rsidR="00585107" w:rsidRPr="00F720F8" w:rsidRDefault="002B7FD1" w:rsidP="0067794A">
            <w:pPr>
              <w:pStyle w:val="NoSpacing"/>
              <w:spacing w:line="240" w:lineRule="auto"/>
              <w:ind w:left="0" w:firstLine="0"/>
              <w:jc w:val="center"/>
            </w:pPr>
            <w:r>
              <w:t>Included in unique  Adj 3.13 – Colstrip &amp; CS2 O&amp;M</w:t>
            </w:r>
          </w:p>
        </w:tc>
      </w:tr>
    </w:tbl>
    <w:p w14:paraId="650CAE19" w14:textId="77777777" w:rsidR="00585107" w:rsidRPr="00F720F8" w:rsidRDefault="00585107" w:rsidP="00585107">
      <w:pPr>
        <w:pStyle w:val="NoSpacing"/>
      </w:pPr>
    </w:p>
    <w:p w14:paraId="13E6F15A" w14:textId="10B0FA17" w:rsidR="00283D4B" w:rsidRPr="00F720F8" w:rsidRDefault="00283D4B" w:rsidP="003367B7">
      <w:pPr>
        <w:pStyle w:val="Heading2"/>
        <w:numPr>
          <w:ilvl w:val="0"/>
          <w:numId w:val="36"/>
        </w:numPr>
        <w:spacing w:line="240" w:lineRule="auto"/>
        <w:ind w:left="1440" w:hanging="720"/>
      </w:pPr>
      <w:bookmarkStart w:id="44" w:name="_Toc424808469"/>
      <w:bookmarkStart w:id="45" w:name="_Toc424808490"/>
      <w:bookmarkStart w:id="46" w:name="_Toc425422182"/>
      <w:bookmarkStart w:id="47" w:name="_Toc425422356"/>
      <w:bookmarkStart w:id="48" w:name="_Toc425423242"/>
      <w:bookmarkStart w:id="49" w:name="_Toc425497658"/>
      <w:r w:rsidRPr="00F720F8">
        <w:t>Adjustment 3.10</w:t>
      </w:r>
      <w:r w:rsidR="00256F74">
        <w:t xml:space="preserve"> (Electric)</w:t>
      </w:r>
      <w:r w:rsidRPr="00F720F8">
        <w:t xml:space="preserve"> </w:t>
      </w:r>
      <w:r w:rsidR="00547968">
        <w:t xml:space="preserve">- </w:t>
      </w:r>
      <w:r w:rsidRPr="00F720F8">
        <w:t>Pro Forma Major Maintenance Hydro-Thermal-Other</w:t>
      </w:r>
      <w:bookmarkEnd w:id="44"/>
      <w:bookmarkEnd w:id="45"/>
      <w:bookmarkEnd w:id="46"/>
      <w:bookmarkEnd w:id="47"/>
      <w:bookmarkEnd w:id="48"/>
      <w:bookmarkEnd w:id="49"/>
    </w:p>
    <w:p w14:paraId="601348C9" w14:textId="77777777" w:rsidR="00585107" w:rsidRPr="00F720F8" w:rsidRDefault="00585107" w:rsidP="00283D4B">
      <w:pPr>
        <w:spacing w:line="480" w:lineRule="auto"/>
        <w:rPr>
          <w:b/>
        </w:rPr>
      </w:pPr>
    </w:p>
    <w:p w14:paraId="44B24145" w14:textId="79890F26" w:rsidR="00283D4B" w:rsidRPr="00F720F8" w:rsidRDefault="00BB38C9" w:rsidP="00283D4B">
      <w:pPr>
        <w:pStyle w:val="Heading8"/>
      </w:pPr>
      <w:r w:rsidRPr="00F720F8">
        <w:t>Q.</w:t>
      </w:r>
      <w:r w:rsidRPr="00F720F8">
        <w:tab/>
        <w:t>Please describe</w:t>
      </w:r>
      <w:r w:rsidR="00283D4B" w:rsidRPr="00F720F8">
        <w:t xml:space="preserve"> </w:t>
      </w:r>
      <w:r w:rsidR="002A7EFD">
        <w:t>A</w:t>
      </w:r>
      <w:r w:rsidR="00283D4B" w:rsidRPr="00F720F8">
        <w:t>djustment</w:t>
      </w:r>
      <w:r w:rsidRPr="00F720F8">
        <w:t xml:space="preserve"> 3.10</w:t>
      </w:r>
      <w:r w:rsidR="00E341ED">
        <w:t>.</w:t>
      </w:r>
    </w:p>
    <w:p w14:paraId="02B7F2C8" w14:textId="41D30061" w:rsidR="00BB38C9" w:rsidRDefault="00283D4B" w:rsidP="00BB38C9">
      <w:pPr>
        <w:pStyle w:val="NoSpacing"/>
      </w:pPr>
      <w:r w:rsidRPr="00F720F8">
        <w:t>A.</w:t>
      </w:r>
      <w:r w:rsidRPr="00F720F8">
        <w:tab/>
        <w:t xml:space="preserve">The </w:t>
      </w:r>
      <w:r w:rsidR="000853DC">
        <w:t>C</w:t>
      </w:r>
      <w:r w:rsidRPr="00F720F8">
        <w:t>ompany propose</w:t>
      </w:r>
      <w:r w:rsidR="00D45A86">
        <w:t>d</w:t>
      </w:r>
      <w:r w:rsidRPr="00F720F8">
        <w:t xml:space="preserve"> to increase </w:t>
      </w:r>
      <w:r w:rsidR="00F10508" w:rsidRPr="00F720F8" w:rsidDel="00D45A86">
        <w:t>test year</w:t>
      </w:r>
      <w:r w:rsidR="00F10508">
        <w:t xml:space="preserve"> </w:t>
      </w:r>
      <w:r w:rsidR="00D45A86">
        <w:t>major maintenance</w:t>
      </w:r>
      <w:r w:rsidR="00256F74">
        <w:t xml:space="preserve"> expense</w:t>
      </w:r>
      <w:r w:rsidR="00D45A86">
        <w:t xml:space="preserve"> </w:t>
      </w:r>
      <w:r w:rsidR="00256F74">
        <w:t xml:space="preserve">by </w:t>
      </w:r>
      <w:r w:rsidRPr="00F720F8">
        <w:t>$</w:t>
      </w:r>
      <w:r w:rsidR="00A62C63">
        <w:t>2,415,209</w:t>
      </w:r>
      <w:r w:rsidR="00256F74">
        <w:t xml:space="preserve"> </w:t>
      </w:r>
      <w:r w:rsidR="008B3F51">
        <w:t>o</w:t>
      </w:r>
      <w:r w:rsidR="008B3F51" w:rsidRPr="00F720F8">
        <w:t>n a Washington allocated basis</w:t>
      </w:r>
      <w:r w:rsidR="00A62C63">
        <w:t>.  This reduces NOI by $1,569,750</w:t>
      </w:r>
      <w:r w:rsidR="003D21FF">
        <w:t xml:space="preserve"> for electric operations</w:t>
      </w:r>
      <w:r w:rsidR="00A62C63">
        <w:t xml:space="preserve">.  </w:t>
      </w:r>
    </w:p>
    <w:p w14:paraId="6C83FFBC" w14:textId="14EAFCC6" w:rsidR="00D45A86" w:rsidRDefault="00D45A86" w:rsidP="00BB38C9">
      <w:pPr>
        <w:pStyle w:val="NoSpacing"/>
      </w:pPr>
      <w:r>
        <w:tab/>
      </w:r>
      <w:r>
        <w:tab/>
        <w:t xml:space="preserve">The </w:t>
      </w:r>
      <w:r w:rsidR="00482F85">
        <w:t>C</w:t>
      </w:r>
      <w:r>
        <w:t xml:space="preserve">ompany </w:t>
      </w:r>
      <w:r w:rsidR="00F6334E">
        <w:t>includ</w:t>
      </w:r>
      <w:r w:rsidR="004A2F25">
        <w:t>ed</w:t>
      </w:r>
      <w:r w:rsidR="00F6334E">
        <w:t xml:space="preserve"> a correct</w:t>
      </w:r>
      <w:r w:rsidR="00525EB7">
        <w:t>ion</w:t>
      </w:r>
      <w:r w:rsidR="00F6334E">
        <w:t xml:space="preserve"> to</w:t>
      </w:r>
      <w:r>
        <w:t xml:space="preserve"> these numbers in </w:t>
      </w:r>
      <w:r w:rsidR="008B3F51">
        <w:t>its update</w:t>
      </w:r>
      <w:r w:rsidR="008C04E0">
        <w:t xml:space="preserve"> for the Multi-Party Settlement</w:t>
      </w:r>
      <w:r w:rsidR="00F6334E">
        <w:t>.</w:t>
      </w:r>
      <w:r w:rsidR="008C04E0">
        <w:rPr>
          <w:rStyle w:val="FootnoteReference"/>
        </w:rPr>
        <w:footnoteReference w:id="10"/>
      </w:r>
      <w:r w:rsidR="00F6334E">
        <w:t xml:space="preserve">  The </w:t>
      </w:r>
      <w:r w:rsidR="00482F85">
        <w:t xml:space="preserve">correction removed </w:t>
      </w:r>
      <w:r w:rsidR="00730256">
        <w:t xml:space="preserve">operations expense </w:t>
      </w:r>
      <w:r w:rsidR="00F6334E">
        <w:t>inadvertently included</w:t>
      </w:r>
      <w:r w:rsidR="008B5265">
        <w:t xml:space="preserve"> in its original filin</w:t>
      </w:r>
      <w:r w:rsidR="00730256">
        <w:t xml:space="preserve">g.  The Company </w:t>
      </w:r>
      <w:r w:rsidR="00F6334E">
        <w:t>also revised its 2016 non-major expense to reflect 2014 actuals.</w:t>
      </w:r>
      <w:r w:rsidR="00A62C63">
        <w:t xml:space="preserve">  The new</w:t>
      </w:r>
      <w:r w:rsidR="00F6334E">
        <w:t xml:space="preserve"> adjustment to </w:t>
      </w:r>
      <w:r w:rsidR="00A62C63">
        <w:t xml:space="preserve">expense is </w:t>
      </w:r>
      <w:r w:rsidR="00F6334E">
        <w:t>$1,533,435 on</w:t>
      </w:r>
      <w:r w:rsidR="00A62C63">
        <w:t xml:space="preserve"> a Washington allocated basis.  This reduces NOI by $996,733</w:t>
      </w:r>
      <w:r w:rsidR="006447E2">
        <w:t xml:space="preserve"> for electric operations</w:t>
      </w:r>
      <w:r w:rsidR="00A62C63">
        <w:t xml:space="preserve">.  </w:t>
      </w:r>
    </w:p>
    <w:p w14:paraId="75836058" w14:textId="35CEB05A" w:rsidR="00BB38C9" w:rsidRPr="00F720F8" w:rsidRDefault="00BB38C9" w:rsidP="00320EDE">
      <w:pPr>
        <w:pStyle w:val="NoSpacing"/>
      </w:pPr>
    </w:p>
    <w:p w14:paraId="587E0993" w14:textId="50B137C6" w:rsidR="00283D4B" w:rsidRPr="00F720F8" w:rsidRDefault="00283D4B" w:rsidP="00283D4B">
      <w:pPr>
        <w:pStyle w:val="Heading8"/>
      </w:pPr>
      <w:r w:rsidRPr="00F720F8">
        <w:t>Q.</w:t>
      </w:r>
      <w:r w:rsidRPr="00F720F8">
        <w:tab/>
      </w:r>
      <w:r w:rsidR="004D48ED" w:rsidRPr="00F720F8">
        <w:t>D</w:t>
      </w:r>
      <w:r w:rsidRPr="00F720F8">
        <w:t xml:space="preserve">o you </w:t>
      </w:r>
      <w:r w:rsidR="004D48ED" w:rsidRPr="00F720F8">
        <w:t>agree</w:t>
      </w:r>
      <w:r w:rsidRPr="00F720F8">
        <w:t xml:space="preserve"> with </w:t>
      </w:r>
      <w:r w:rsidR="004D48ED" w:rsidRPr="00F720F8">
        <w:t>this</w:t>
      </w:r>
      <w:r w:rsidRPr="00F720F8">
        <w:t xml:space="preserve"> adjustment?</w:t>
      </w:r>
    </w:p>
    <w:p w14:paraId="76422471" w14:textId="5B990E0E" w:rsidR="00283D4B" w:rsidRPr="00F720F8" w:rsidRDefault="00283D4B" w:rsidP="00283D4B">
      <w:pPr>
        <w:pStyle w:val="NoSpacing"/>
      </w:pPr>
      <w:r w:rsidRPr="00F720F8">
        <w:t>A.</w:t>
      </w:r>
      <w:r w:rsidRPr="00F720F8">
        <w:tab/>
      </w:r>
      <w:r w:rsidR="009F0AA1">
        <w:t xml:space="preserve">No, for three reasons.  </w:t>
      </w:r>
      <w:r w:rsidRPr="00F720F8">
        <w:t xml:space="preserve">First, the </w:t>
      </w:r>
      <w:r w:rsidR="000853DC">
        <w:t>C</w:t>
      </w:r>
      <w:r w:rsidRPr="00F720F8">
        <w:t xml:space="preserve">ompany’s adjustment </w:t>
      </w:r>
      <w:r w:rsidR="004D48ED" w:rsidRPr="00F720F8">
        <w:t xml:space="preserve">does not meet the </w:t>
      </w:r>
      <w:r w:rsidRPr="00F720F8">
        <w:t>known and measurable</w:t>
      </w:r>
      <w:r w:rsidR="007235F9">
        <w:t xml:space="preserve"> standard</w:t>
      </w:r>
      <w:r w:rsidRPr="00F720F8">
        <w:t xml:space="preserve">.  </w:t>
      </w:r>
      <w:r w:rsidR="00482F85">
        <w:t xml:space="preserve">There is no underlying cost data, documentation, or even competitive bid process to support </w:t>
      </w:r>
      <w:r w:rsidR="00E341ED">
        <w:t xml:space="preserve">the Company’s </w:t>
      </w:r>
      <w:r w:rsidR="00482F85">
        <w:t xml:space="preserve">cost estimates. </w:t>
      </w:r>
      <w:r w:rsidR="00730256">
        <w:t xml:space="preserve"> </w:t>
      </w:r>
      <w:r w:rsidRPr="00F720F8">
        <w:t>As stated in Avista’s response to Staff D</w:t>
      </w:r>
      <w:r w:rsidR="000853DC">
        <w:t xml:space="preserve">ata </w:t>
      </w:r>
      <w:r w:rsidRPr="00F720F8">
        <w:t>R</w:t>
      </w:r>
      <w:r w:rsidR="000853DC">
        <w:t>equest</w:t>
      </w:r>
      <w:r w:rsidRPr="00F720F8">
        <w:t xml:space="preserve"> </w:t>
      </w:r>
      <w:r w:rsidR="00734FD0">
        <w:t xml:space="preserve">No. </w:t>
      </w:r>
      <w:r w:rsidRPr="00F720F8">
        <w:t>50, these amounts are</w:t>
      </w:r>
      <w:r w:rsidR="000853DC">
        <w:t>:</w:t>
      </w:r>
      <w:r w:rsidRPr="00F720F8">
        <w:t xml:space="preserve"> </w:t>
      </w:r>
    </w:p>
    <w:p w14:paraId="627CED4C" w14:textId="035FEC3A" w:rsidR="00283D4B" w:rsidRPr="00F720F8" w:rsidRDefault="00D17ACD" w:rsidP="00283D4B">
      <w:pPr>
        <w:spacing w:after="240"/>
        <w:ind w:left="1440"/>
      </w:pPr>
      <w:r>
        <w:lastRenderedPageBreak/>
        <w:t>E</w:t>
      </w:r>
      <w:r w:rsidR="00283D4B" w:rsidRPr="00F720F8">
        <w:t>stimates based on past experience by the Company on similar projects.  These amounts will be updated in 2016 ba</w:t>
      </w:r>
      <w:r w:rsidR="00B82BF5">
        <w:t>sed on bids or further analysis</w:t>
      </w:r>
      <w:r w:rsidR="00283D4B" w:rsidRPr="00F720F8">
        <w:t xml:space="preserve">.  </w:t>
      </w:r>
    </w:p>
    <w:p w14:paraId="1B1F4202" w14:textId="0B19BD9E" w:rsidR="00482F85" w:rsidRDefault="00482F85" w:rsidP="00482F85">
      <w:pPr>
        <w:pStyle w:val="NoSpacing"/>
        <w:ind w:firstLine="0"/>
      </w:pPr>
      <w:r>
        <w:t xml:space="preserve"> </w:t>
      </w:r>
      <w:r>
        <w:tab/>
      </w:r>
      <w:r w:rsidR="003E314B">
        <w:t>Second</w:t>
      </w:r>
      <w:r w:rsidR="0020700A" w:rsidRPr="00F720F8">
        <w:t xml:space="preserve">, </w:t>
      </w:r>
      <w:r w:rsidR="009E38A1" w:rsidRPr="00F720F8">
        <w:t xml:space="preserve">the </w:t>
      </w:r>
      <w:r w:rsidR="009E38A1">
        <w:t xml:space="preserve">Company’s projection is not </w:t>
      </w:r>
      <w:r w:rsidR="009E38A1" w:rsidRPr="00F720F8">
        <w:t>representative of on-going major maintenance expenses</w:t>
      </w:r>
      <w:r w:rsidR="00EF4E10">
        <w:t xml:space="preserve"> and represent</w:t>
      </w:r>
      <w:r w:rsidR="007900E7">
        <w:t>s</w:t>
      </w:r>
      <w:r w:rsidR="00EF4E10">
        <w:t xml:space="preserve"> a dramatic departure from recent history.  The same type of major maintenance Avista is proposing for Rathdrum in the present adjustment occurred as recently as 2012.</w:t>
      </w:r>
      <w:r w:rsidR="00913170">
        <w:rPr>
          <w:rStyle w:val="FootnoteReference"/>
        </w:rPr>
        <w:footnoteReference w:id="11"/>
      </w:r>
      <w:r w:rsidR="00EF4E10">
        <w:t xml:space="preserve">  </w:t>
      </w:r>
      <w:r w:rsidR="009E38A1" w:rsidRPr="00F720F8">
        <w:t xml:space="preserve">As the </w:t>
      </w:r>
      <w:r w:rsidR="009E38A1">
        <w:t>graph</w:t>
      </w:r>
      <w:r w:rsidR="009E38A1" w:rsidRPr="00F720F8">
        <w:t xml:space="preserve"> below shows</w:t>
      </w:r>
      <w:r w:rsidR="009E38A1">
        <w:t>,</w:t>
      </w:r>
      <w:r w:rsidR="009E38A1" w:rsidRPr="00F720F8">
        <w:t xml:space="preserve"> </w:t>
      </w:r>
      <w:r w:rsidR="0020700A" w:rsidRPr="00F720F8">
        <w:t>t</w:t>
      </w:r>
      <w:r w:rsidR="00283D4B" w:rsidRPr="00F720F8">
        <w:t xml:space="preserve">he average major maintenance expense over the last </w:t>
      </w:r>
      <w:r w:rsidR="00F3703E">
        <w:t xml:space="preserve">five </w:t>
      </w:r>
      <w:r w:rsidR="00283D4B" w:rsidRPr="00F720F8">
        <w:t xml:space="preserve">years is </w:t>
      </w:r>
      <w:r w:rsidR="00146A56">
        <w:t xml:space="preserve">only </w:t>
      </w:r>
      <w:r w:rsidR="00283D4B" w:rsidRPr="00F720F8">
        <w:t>$1,439,137</w:t>
      </w:r>
      <w:r w:rsidR="00146A56">
        <w:t>.  This is</w:t>
      </w:r>
      <w:r w:rsidR="00840C51">
        <w:t xml:space="preserve"> significantly lower than the Com</w:t>
      </w:r>
      <w:r w:rsidR="00A811DD">
        <w:rPr>
          <w:noProof/>
        </w:rPr>
        <w:drawing>
          <wp:anchor distT="0" distB="0" distL="114300" distR="114300" simplePos="0" relativeHeight="251658240" behindDoc="1" locked="0" layoutInCell="1" allowOverlap="1" wp14:anchorId="0F9BD36A" wp14:editId="17702371">
            <wp:simplePos x="0" y="0"/>
            <wp:positionH relativeFrom="column">
              <wp:posOffset>457200</wp:posOffset>
            </wp:positionH>
            <wp:positionV relativeFrom="paragraph">
              <wp:posOffset>2103120</wp:posOffset>
            </wp:positionV>
            <wp:extent cx="5139055" cy="4015740"/>
            <wp:effectExtent l="0" t="0" r="4445" b="3810"/>
            <wp:wrapTight wrapText="bothSides">
              <wp:wrapPolygon edited="0">
                <wp:start x="0" y="0"/>
                <wp:lineTo x="0" y="21518"/>
                <wp:lineTo x="21539" y="21518"/>
                <wp:lineTo x="21539"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840C51">
        <w:t>pany’s estimates</w:t>
      </w:r>
      <w:r w:rsidR="00283D4B" w:rsidRPr="00F720F8">
        <w:t>.</w:t>
      </w:r>
      <w:r w:rsidR="00283D4B" w:rsidRPr="00F720F8">
        <w:rPr>
          <w:rStyle w:val="FootnoteReference"/>
        </w:rPr>
        <w:footnoteReference w:id="12"/>
      </w:r>
      <w:r>
        <w:t xml:space="preserve"> </w:t>
      </w:r>
    </w:p>
    <w:p w14:paraId="6DA86C53" w14:textId="146F56D4" w:rsidR="00283D4B" w:rsidRPr="00F720F8" w:rsidRDefault="00283D4B" w:rsidP="003E314B">
      <w:pPr>
        <w:spacing w:line="480" w:lineRule="auto"/>
        <w:ind w:left="720" w:firstLine="720"/>
      </w:pPr>
    </w:p>
    <w:p w14:paraId="2F5C9173" w14:textId="00435489" w:rsidR="00283D4B" w:rsidRPr="00F720F8" w:rsidRDefault="00283D4B" w:rsidP="00283D4B">
      <w:pPr>
        <w:spacing w:line="480" w:lineRule="auto"/>
      </w:pPr>
    </w:p>
    <w:p w14:paraId="413C49C7" w14:textId="77777777" w:rsidR="00EF4E10" w:rsidRDefault="00EF4E10" w:rsidP="003E314B">
      <w:pPr>
        <w:pStyle w:val="NoSpacing"/>
        <w:ind w:firstLine="720"/>
      </w:pPr>
    </w:p>
    <w:p w14:paraId="1D5CF958" w14:textId="30347CB9" w:rsidR="00D575AD" w:rsidRDefault="003E314B" w:rsidP="003E314B">
      <w:pPr>
        <w:pStyle w:val="NoSpacing"/>
        <w:ind w:firstLine="720"/>
      </w:pPr>
      <w:r>
        <w:lastRenderedPageBreak/>
        <w:t>Third</w:t>
      </w:r>
      <w:r w:rsidRPr="00F720F8">
        <w:t xml:space="preserve">, the </w:t>
      </w:r>
      <w:r>
        <w:t>C</w:t>
      </w:r>
      <w:r w:rsidRPr="00F720F8">
        <w:t xml:space="preserve">ompany’s projected 2016 major maintenance expense is $4,129,125.  This is more than double the amount of major maintenance expense in the test year.  </w:t>
      </w:r>
    </w:p>
    <w:p w14:paraId="035AD3F0" w14:textId="77777777" w:rsidR="003E314B" w:rsidRDefault="003E314B" w:rsidP="003E314B">
      <w:pPr>
        <w:pStyle w:val="NoSpacing"/>
        <w:ind w:firstLine="720"/>
      </w:pPr>
    </w:p>
    <w:p w14:paraId="0D44AFBD" w14:textId="065529F5" w:rsidR="00283D4B" w:rsidRPr="00F720F8" w:rsidRDefault="00283D4B" w:rsidP="00283D4B">
      <w:pPr>
        <w:pStyle w:val="Heading8"/>
      </w:pPr>
      <w:r w:rsidRPr="00F720F8">
        <w:t>Q.</w:t>
      </w:r>
      <w:r w:rsidRPr="00F720F8">
        <w:tab/>
        <w:t xml:space="preserve">Has the </w:t>
      </w:r>
      <w:r w:rsidR="000853DC">
        <w:t>C</w:t>
      </w:r>
      <w:r w:rsidRPr="00F720F8">
        <w:t>ompany provide</w:t>
      </w:r>
      <w:r w:rsidR="00482F85">
        <w:t>d</w:t>
      </w:r>
      <w:r w:rsidRPr="00F720F8">
        <w:t xml:space="preserve"> an</w:t>
      </w:r>
      <w:r w:rsidR="00482F85">
        <w:t>y</w:t>
      </w:r>
      <w:r w:rsidRPr="00F720F8">
        <w:t xml:space="preserve"> explanation for this </w:t>
      </w:r>
      <w:r w:rsidR="00777847">
        <w:t>abrupt</w:t>
      </w:r>
      <w:r w:rsidR="00777847" w:rsidRPr="00F720F8">
        <w:t xml:space="preserve"> </w:t>
      </w:r>
      <w:r w:rsidRPr="00F720F8">
        <w:t>increase?</w:t>
      </w:r>
    </w:p>
    <w:p w14:paraId="1F1699AA" w14:textId="53560B38" w:rsidR="00283D4B" w:rsidRPr="00F720F8" w:rsidRDefault="00283D4B" w:rsidP="00283D4B">
      <w:pPr>
        <w:pStyle w:val="NoSpacing"/>
      </w:pPr>
      <w:r w:rsidRPr="00F720F8">
        <w:t>A.</w:t>
      </w:r>
      <w:r w:rsidRPr="00F720F8">
        <w:tab/>
        <w:t xml:space="preserve">Yes.  </w:t>
      </w:r>
      <w:r w:rsidR="00D260BD" w:rsidRPr="00F720F8">
        <w:t>The Company explained in response to Staff D</w:t>
      </w:r>
      <w:r w:rsidR="000853DC">
        <w:t xml:space="preserve">ata </w:t>
      </w:r>
      <w:r w:rsidR="00D260BD" w:rsidRPr="00F720F8">
        <w:t>R</w:t>
      </w:r>
      <w:r w:rsidR="000853DC">
        <w:t>equest</w:t>
      </w:r>
      <w:r w:rsidR="00D260BD" w:rsidRPr="00F720F8">
        <w:t xml:space="preserve"> </w:t>
      </w:r>
      <w:r w:rsidR="00734FD0">
        <w:t xml:space="preserve">No. </w:t>
      </w:r>
      <w:r w:rsidR="00D260BD" w:rsidRPr="00F720F8">
        <w:t>48 that:</w:t>
      </w:r>
    </w:p>
    <w:p w14:paraId="4111C47B" w14:textId="0B6B4AA2" w:rsidR="00283D4B" w:rsidRPr="00F720F8" w:rsidRDefault="00283D4B" w:rsidP="00D260BD">
      <w:pPr>
        <w:spacing w:after="240"/>
        <w:ind w:left="1440"/>
      </w:pPr>
      <w:r w:rsidRPr="00F720F8">
        <w:t xml:space="preserve">Specific to 2016 two of the major maintenance projects are performed based on hours of service: the Rathdrum Hot Gas Path maintenance of $710,000 and the Boulder Park 12,000 hour maintenance of $150,000.  And that based on expected operating hours these projects will reach their thresholds and require maintenance in 2016.  </w:t>
      </w:r>
    </w:p>
    <w:p w14:paraId="3985A769" w14:textId="4675CB72" w:rsidR="005D1C41" w:rsidRPr="00F720F8" w:rsidRDefault="00283D4B" w:rsidP="005D1C41">
      <w:pPr>
        <w:pStyle w:val="NoSpacing"/>
        <w:ind w:firstLine="0"/>
      </w:pPr>
      <w:r w:rsidRPr="00F720F8">
        <w:t xml:space="preserve">These amounts </w:t>
      </w:r>
      <w:r w:rsidR="006B4ABB">
        <w:t>sum</w:t>
      </w:r>
      <w:r w:rsidR="006B4ABB" w:rsidRPr="00F720F8">
        <w:t xml:space="preserve"> </w:t>
      </w:r>
      <w:r w:rsidRPr="00F720F8">
        <w:t xml:space="preserve">to $860,000 </w:t>
      </w:r>
      <w:r w:rsidR="00C41E45">
        <w:t xml:space="preserve">and </w:t>
      </w:r>
      <w:r w:rsidR="005D1C41" w:rsidRPr="00F720F8">
        <w:t>do not</w:t>
      </w:r>
      <w:r w:rsidR="00D260BD" w:rsidRPr="00F720F8">
        <w:t xml:space="preserve"> approach</w:t>
      </w:r>
      <w:r w:rsidRPr="00F720F8">
        <w:t xml:space="preserve"> </w:t>
      </w:r>
      <w:r w:rsidR="00D260BD" w:rsidRPr="00F720F8">
        <w:t xml:space="preserve">the </w:t>
      </w:r>
      <w:r w:rsidR="00127E18">
        <w:t>C</w:t>
      </w:r>
      <w:r w:rsidR="005D1C41" w:rsidRPr="00F720F8">
        <w:t>ompany’s</w:t>
      </w:r>
      <w:r w:rsidR="00D260BD" w:rsidRPr="00F720F8">
        <w:t xml:space="preserve"> </w:t>
      </w:r>
      <w:r w:rsidR="00A43B01">
        <w:t>proposed</w:t>
      </w:r>
      <w:r w:rsidR="00D260BD" w:rsidRPr="00F720F8">
        <w:t xml:space="preserve"> increase of $2,352,255 in</w:t>
      </w:r>
      <w:r w:rsidRPr="00F720F8">
        <w:t xml:space="preserve"> test year major maintenance.</w:t>
      </w:r>
      <w:r w:rsidR="005D1C41" w:rsidRPr="00F720F8">
        <w:t xml:space="preserve">  </w:t>
      </w:r>
    </w:p>
    <w:p w14:paraId="61AB8596" w14:textId="283EE55F" w:rsidR="00283D4B" w:rsidRPr="00F720F8" w:rsidRDefault="005D1C41" w:rsidP="007155C3">
      <w:pPr>
        <w:pStyle w:val="NoSpacing"/>
        <w:ind w:firstLine="0"/>
      </w:pPr>
      <w:r w:rsidRPr="00F720F8">
        <w:t xml:space="preserve">The Company </w:t>
      </w:r>
      <w:r w:rsidR="00D854A1">
        <w:t>also explained</w:t>
      </w:r>
      <w:r w:rsidRPr="00F720F8">
        <w:t xml:space="preserve"> t</w:t>
      </w:r>
      <w:r w:rsidR="00283D4B" w:rsidRPr="00F720F8">
        <w:t>h</w:t>
      </w:r>
      <w:r w:rsidRPr="00F720F8">
        <w:t>at:</w:t>
      </w:r>
    </w:p>
    <w:p w14:paraId="0C30C2B5" w14:textId="6BF54D88" w:rsidR="00283D4B" w:rsidRPr="00F720F8" w:rsidRDefault="00D260BD" w:rsidP="00D260BD">
      <w:pPr>
        <w:spacing w:after="240"/>
        <w:ind w:left="1440"/>
      </w:pPr>
      <w:r w:rsidRPr="00F720F8">
        <w:t>T</w:t>
      </w:r>
      <w:r w:rsidR="00283D4B" w:rsidRPr="00F720F8">
        <w:t xml:space="preserve">he timing of major maintenance is affected by the availability of crews to perform not only the maintenance work, but also the planned capital projects.  </w:t>
      </w:r>
    </w:p>
    <w:p w14:paraId="45AA4CDB" w14:textId="08456BE2" w:rsidR="00283D4B" w:rsidRPr="00F720F8" w:rsidRDefault="0093596B" w:rsidP="00D260BD">
      <w:pPr>
        <w:pStyle w:val="NoSpacing"/>
        <w:ind w:firstLine="0"/>
      </w:pPr>
      <w:r w:rsidRPr="00F720F8">
        <w:t>T</w:t>
      </w:r>
      <w:r w:rsidR="0079506E" w:rsidRPr="00F720F8">
        <w:t xml:space="preserve">he </w:t>
      </w:r>
      <w:r w:rsidR="000853DC">
        <w:t>C</w:t>
      </w:r>
      <w:r w:rsidR="0079506E" w:rsidRPr="00F720F8">
        <w:t xml:space="preserve">ompany’s prioritization of capital projects over </w:t>
      </w:r>
      <w:r w:rsidR="00567133">
        <w:t xml:space="preserve">major </w:t>
      </w:r>
      <w:r w:rsidR="0079506E" w:rsidRPr="00F720F8">
        <w:t>maintenance</w:t>
      </w:r>
      <w:r w:rsidRPr="00F720F8">
        <w:t xml:space="preserve"> is not</w:t>
      </w:r>
      <w:r w:rsidR="00C75D43" w:rsidRPr="00F720F8">
        <w:t xml:space="preserve"> an</w:t>
      </w:r>
      <w:r w:rsidRPr="00F720F8">
        <w:t xml:space="preserve"> adequate </w:t>
      </w:r>
      <w:r w:rsidR="0079506E" w:rsidRPr="00F720F8">
        <w:t>justification for</w:t>
      </w:r>
      <w:r w:rsidR="00D51E50" w:rsidRPr="00F720F8">
        <w:t xml:space="preserve"> </w:t>
      </w:r>
      <w:r w:rsidRPr="00F720F8">
        <w:t xml:space="preserve">such </w:t>
      </w:r>
      <w:r w:rsidR="00D51E50" w:rsidRPr="00F720F8">
        <w:t xml:space="preserve">a large </w:t>
      </w:r>
      <w:r w:rsidR="00982698">
        <w:t>increase</w:t>
      </w:r>
      <w:r w:rsidR="00982698" w:rsidRPr="00F720F8">
        <w:t xml:space="preserve"> </w:t>
      </w:r>
      <w:r w:rsidR="00816BD2" w:rsidRPr="00F720F8">
        <w:t>in O&amp;M.  In</w:t>
      </w:r>
      <w:r w:rsidRPr="00F720F8">
        <w:t>deed</w:t>
      </w:r>
      <w:r w:rsidR="00816BD2" w:rsidRPr="00F720F8">
        <w:t xml:space="preserve">, the </w:t>
      </w:r>
      <w:r w:rsidR="000853DC">
        <w:t>C</w:t>
      </w:r>
      <w:r w:rsidR="00816BD2" w:rsidRPr="00F720F8">
        <w:t>ompany’s schedule</w:t>
      </w:r>
      <w:r w:rsidR="0000380F">
        <w:t>d</w:t>
      </w:r>
      <w:r w:rsidRPr="00F720F8">
        <w:t xml:space="preserve"> </w:t>
      </w:r>
      <w:r w:rsidR="0000380F" w:rsidRPr="00F720F8">
        <w:t xml:space="preserve">delay of maintenance and </w:t>
      </w:r>
      <w:r w:rsidR="0000380F">
        <w:t xml:space="preserve">the </w:t>
      </w:r>
      <w:r w:rsidR="0000380F" w:rsidRPr="00F720F8">
        <w:t>prior</w:t>
      </w:r>
      <w:r w:rsidR="0000380F">
        <w:t>itization of capital projects</w:t>
      </w:r>
      <w:r w:rsidR="0000380F" w:rsidRPr="00F720F8">
        <w:t xml:space="preserve"> </w:t>
      </w:r>
      <w:r w:rsidRPr="00F720F8">
        <w:t xml:space="preserve">reflects </w:t>
      </w:r>
      <w:r w:rsidR="0000380F">
        <w:t>how</w:t>
      </w:r>
      <w:r w:rsidR="0000380F" w:rsidRPr="00F720F8">
        <w:t xml:space="preserve"> </w:t>
      </w:r>
      <w:r w:rsidRPr="00F720F8">
        <w:t xml:space="preserve">the </w:t>
      </w:r>
      <w:r w:rsidR="0000380F">
        <w:t>major maintenance</w:t>
      </w:r>
      <w:r w:rsidR="0000380F" w:rsidRPr="00F720F8">
        <w:t xml:space="preserve"> expected</w:t>
      </w:r>
      <w:r w:rsidRPr="00F720F8">
        <w:t xml:space="preserve"> in 2016</w:t>
      </w:r>
      <w:r w:rsidR="0000380F">
        <w:t xml:space="preserve"> does not necessarily occur on a regular yearly basis.</w:t>
      </w:r>
      <w:r w:rsidR="003073CC" w:rsidDel="003073CC">
        <w:t xml:space="preserve"> </w:t>
      </w:r>
    </w:p>
    <w:p w14:paraId="360C21D4" w14:textId="77777777" w:rsidR="00283D4B" w:rsidRDefault="00283D4B" w:rsidP="003F71BB">
      <w:pPr>
        <w:pStyle w:val="NoSpacing"/>
      </w:pPr>
    </w:p>
    <w:p w14:paraId="6D4BF606" w14:textId="251A5B50" w:rsidR="0071426E" w:rsidRDefault="0071426E" w:rsidP="003F71BB">
      <w:pPr>
        <w:pStyle w:val="NoSpacing"/>
        <w:rPr>
          <w:b/>
        </w:rPr>
      </w:pPr>
      <w:r w:rsidRPr="0071426E">
        <w:rPr>
          <w:b/>
        </w:rPr>
        <w:t>Q.</w:t>
      </w:r>
      <w:r w:rsidRPr="0071426E">
        <w:rPr>
          <w:b/>
        </w:rPr>
        <w:tab/>
        <w:t>Please summarize Staff’s recommendation for Adjustment 3.10 (Electric)?</w:t>
      </w:r>
    </w:p>
    <w:p w14:paraId="28717ECE" w14:textId="23C46195" w:rsidR="0071426E" w:rsidRDefault="0071426E" w:rsidP="003F71BB">
      <w:pPr>
        <w:pStyle w:val="NoSpacing"/>
      </w:pPr>
      <w:r>
        <w:t>A.</w:t>
      </w:r>
      <w:r>
        <w:tab/>
        <w:t xml:space="preserve">The Commission should reject the </w:t>
      </w:r>
      <w:r w:rsidR="00146A56">
        <w:t>Company’s</w:t>
      </w:r>
      <w:r>
        <w:t xml:space="preserve"> pro forma adjustment and </w:t>
      </w:r>
      <w:r w:rsidR="00146A56">
        <w:t xml:space="preserve">instead </w:t>
      </w:r>
      <w:r>
        <w:t xml:space="preserve">rely on the test year level of expenses. The test year expenses are in line with the recent average.  </w:t>
      </w:r>
      <w:r w:rsidR="008D2743">
        <w:t>I</w:t>
      </w:r>
      <w:r>
        <w:t xml:space="preserve">ncluding the test year level of expense in revenue requirement can be </w:t>
      </w:r>
      <w:r>
        <w:lastRenderedPageBreak/>
        <w:t xml:space="preserve">expected to pay for major maintenance occurring in the rate year, including </w:t>
      </w:r>
      <w:r w:rsidR="00146A56">
        <w:t xml:space="preserve">both </w:t>
      </w:r>
      <w:r>
        <w:t>the R</w:t>
      </w:r>
      <w:r w:rsidRPr="00F720F8">
        <w:t xml:space="preserve">athdrum </w:t>
      </w:r>
      <w:r>
        <w:t xml:space="preserve">and </w:t>
      </w:r>
      <w:r w:rsidRPr="00F720F8">
        <w:t>Boulder Park</w:t>
      </w:r>
      <w:r>
        <w:t xml:space="preserve"> maintenance.</w:t>
      </w:r>
    </w:p>
    <w:p w14:paraId="43719803" w14:textId="77777777" w:rsidR="0071426E" w:rsidRPr="0071426E" w:rsidRDefault="0071426E" w:rsidP="003F71BB">
      <w:pPr>
        <w:pStyle w:val="NoSpacing"/>
        <w:rPr>
          <w:b/>
        </w:rPr>
      </w:pPr>
    </w:p>
    <w:p w14:paraId="6B62D55A" w14:textId="75ED3FEB" w:rsidR="00592717" w:rsidRDefault="007D3E01" w:rsidP="00592717">
      <w:pPr>
        <w:pStyle w:val="Heading8"/>
      </w:pPr>
      <w:r>
        <w:t>Q.</w:t>
      </w:r>
      <w:r>
        <w:tab/>
      </w:r>
      <w:r w:rsidR="00FE369B">
        <w:t>Does Staff have any alternat</w:t>
      </w:r>
      <w:r w:rsidR="00FD4BA1">
        <w:t>ive</w:t>
      </w:r>
      <w:r w:rsidR="00FE369B">
        <w:t xml:space="preserve"> recommendations on</w:t>
      </w:r>
      <w:r w:rsidR="00592717">
        <w:t xml:space="preserve"> planned maintenance activities?</w:t>
      </w:r>
    </w:p>
    <w:p w14:paraId="6DFA0E91" w14:textId="5D2896B0" w:rsidR="005156A1" w:rsidRDefault="00592717" w:rsidP="005156A1">
      <w:pPr>
        <w:pStyle w:val="NoSpacing"/>
      </w:pPr>
      <w:r>
        <w:t>A.</w:t>
      </w:r>
      <w:r>
        <w:tab/>
        <w:t>Yes</w:t>
      </w:r>
      <w:r w:rsidR="00D854A1">
        <w:t>.</w:t>
      </w:r>
      <w:r w:rsidR="008D2743">
        <w:t xml:space="preserve">  </w:t>
      </w:r>
      <w:r w:rsidR="00D854A1">
        <w:t>I</w:t>
      </w:r>
      <w:r w:rsidR="00C621DE">
        <w:t>f the Commission wish</w:t>
      </w:r>
      <w:r w:rsidR="00150431">
        <w:t>es</w:t>
      </w:r>
      <w:r w:rsidR="00C621DE">
        <w:t xml:space="preserve"> to </w:t>
      </w:r>
      <w:r w:rsidR="00150431">
        <w:t>include</w:t>
      </w:r>
      <w:r w:rsidR="00C621DE">
        <w:t xml:space="preserve"> </w:t>
      </w:r>
      <w:r w:rsidR="00FE7AB1" w:rsidRPr="00F720F8">
        <w:t xml:space="preserve">Rathdrum </w:t>
      </w:r>
      <w:r w:rsidR="00656662">
        <w:t xml:space="preserve">and </w:t>
      </w:r>
      <w:r w:rsidR="00FE7AB1" w:rsidRPr="00F720F8">
        <w:t>Boulder Park</w:t>
      </w:r>
      <w:r w:rsidR="00656662">
        <w:t xml:space="preserve"> maintenance</w:t>
      </w:r>
      <w:r w:rsidR="00150431">
        <w:t xml:space="preserve"> in </w:t>
      </w:r>
      <w:r w:rsidR="00913870">
        <w:t xml:space="preserve">the </w:t>
      </w:r>
      <w:r w:rsidR="00150431">
        <w:t>revenue requirement</w:t>
      </w:r>
      <w:r w:rsidR="00C621DE">
        <w:t xml:space="preserve">, then Staff recommends that the projects be normalized </w:t>
      </w:r>
      <w:r w:rsidR="00E93AC9">
        <w:t xml:space="preserve">in the same manner as Staff’s proposal for </w:t>
      </w:r>
      <w:r w:rsidR="00734FD0">
        <w:t xml:space="preserve">Colstrip and </w:t>
      </w:r>
      <w:r w:rsidR="00E93AC9">
        <w:t>CS2</w:t>
      </w:r>
      <w:r w:rsidR="00C20876" w:rsidRPr="00C20876">
        <w:t xml:space="preserve"> </w:t>
      </w:r>
      <w:r w:rsidR="00C20876">
        <w:t>overhauls</w:t>
      </w:r>
      <w:r w:rsidR="00E93AC9">
        <w:t>, outlined below</w:t>
      </w:r>
      <w:r w:rsidR="00C621DE">
        <w:t xml:space="preserve">.  </w:t>
      </w:r>
      <w:r w:rsidR="00D854A1">
        <w:t xml:space="preserve">That is, the expenses should be normalized over the </w:t>
      </w:r>
      <w:r w:rsidR="0071426E">
        <w:t>length of the maintenance life</w:t>
      </w:r>
      <w:r w:rsidR="008D2743">
        <w:t xml:space="preserve">cycle.  </w:t>
      </w:r>
      <w:r w:rsidR="00C20876">
        <w:t xml:space="preserve">The Rathdrum and Boulder Park maintenance is </w:t>
      </w:r>
      <w:r w:rsidR="00656662">
        <w:t xml:space="preserve">based on run hours </w:t>
      </w:r>
      <w:r w:rsidR="00FE369B">
        <w:t xml:space="preserve">and </w:t>
      </w:r>
      <w:r w:rsidR="0071426E">
        <w:t xml:space="preserve">is </w:t>
      </w:r>
      <w:r w:rsidR="00C20876">
        <w:t>therefore</w:t>
      </w:r>
      <w:r w:rsidR="00656662">
        <w:t xml:space="preserve"> similar in principle to</w:t>
      </w:r>
      <w:r w:rsidR="00FE369B">
        <w:t xml:space="preserve"> the planned </w:t>
      </w:r>
      <w:r w:rsidR="006251D9">
        <w:t>overhaul</w:t>
      </w:r>
      <w:r w:rsidR="00FE369B">
        <w:t xml:space="preserve"> for CS2</w:t>
      </w:r>
      <w:r w:rsidR="00E93AC9">
        <w:t>.</w:t>
      </w:r>
      <w:r w:rsidR="00C621DE">
        <w:rPr>
          <w:rStyle w:val="FootnoteReference"/>
        </w:rPr>
        <w:footnoteReference w:id="13"/>
      </w:r>
      <w:r w:rsidR="00656662">
        <w:t xml:space="preserve">  </w:t>
      </w:r>
    </w:p>
    <w:p w14:paraId="0996EB62" w14:textId="77777777" w:rsidR="007D3E01" w:rsidRPr="00F720F8" w:rsidRDefault="007D3E01" w:rsidP="003F71BB">
      <w:pPr>
        <w:pStyle w:val="NoSpacing"/>
      </w:pPr>
    </w:p>
    <w:p w14:paraId="332DBE36" w14:textId="5820DC6F" w:rsidR="00283D4B" w:rsidRPr="00F720F8" w:rsidRDefault="009D66AC" w:rsidP="00DA24F8">
      <w:pPr>
        <w:pStyle w:val="Heading2"/>
        <w:numPr>
          <w:ilvl w:val="0"/>
          <w:numId w:val="36"/>
        </w:numPr>
        <w:spacing w:line="240" w:lineRule="auto"/>
        <w:ind w:left="1440" w:hanging="720"/>
      </w:pPr>
      <w:bookmarkStart w:id="50" w:name="_Toc424808470"/>
      <w:bookmarkStart w:id="51" w:name="_Toc424808491"/>
      <w:bookmarkStart w:id="52" w:name="_Toc425422183"/>
      <w:bookmarkStart w:id="53" w:name="_Toc425422357"/>
      <w:bookmarkStart w:id="54" w:name="_Toc425423243"/>
      <w:bookmarkStart w:id="55" w:name="_Toc425497659"/>
      <w:r w:rsidRPr="00F720F8">
        <w:t xml:space="preserve">Adjustment 3.13 </w:t>
      </w:r>
      <w:r w:rsidR="00734FD0">
        <w:t>–</w:t>
      </w:r>
      <w:r w:rsidRPr="00F720F8">
        <w:t xml:space="preserve"> </w:t>
      </w:r>
      <w:r w:rsidR="00734FD0">
        <w:t xml:space="preserve">Colstrip &amp; </w:t>
      </w:r>
      <w:r w:rsidR="00283D4B" w:rsidRPr="00F720F8">
        <w:t>Coyote Springs 2 Operations and Maintenance Expense</w:t>
      </w:r>
      <w:bookmarkEnd w:id="50"/>
      <w:bookmarkEnd w:id="51"/>
      <w:bookmarkEnd w:id="52"/>
      <w:bookmarkEnd w:id="53"/>
      <w:bookmarkEnd w:id="54"/>
      <w:bookmarkEnd w:id="55"/>
    </w:p>
    <w:p w14:paraId="7C980DC9" w14:textId="77777777" w:rsidR="001A74DF" w:rsidRDefault="001A74DF" w:rsidP="006906F1">
      <w:pPr>
        <w:pStyle w:val="NoSpacing"/>
        <w:rPr>
          <w:b/>
        </w:rPr>
      </w:pPr>
    </w:p>
    <w:p w14:paraId="6A8E4951" w14:textId="77777777" w:rsidR="006906F1" w:rsidRDefault="006906F1" w:rsidP="006906F1">
      <w:pPr>
        <w:pStyle w:val="NoSpacing"/>
        <w:rPr>
          <w:b/>
        </w:rPr>
      </w:pPr>
      <w:r w:rsidRPr="00FD4BA1">
        <w:rPr>
          <w:b/>
        </w:rPr>
        <w:t>Q.</w:t>
      </w:r>
      <w:r w:rsidRPr="00FD4BA1">
        <w:rPr>
          <w:b/>
        </w:rPr>
        <w:tab/>
        <w:t>Please explain this adjustment.</w:t>
      </w:r>
    </w:p>
    <w:p w14:paraId="4B2145A0" w14:textId="01F8FB40" w:rsidR="00B44053" w:rsidRDefault="006906F1" w:rsidP="006906F1">
      <w:pPr>
        <w:pStyle w:val="NoSpacing"/>
      </w:pPr>
      <w:r>
        <w:t>A.</w:t>
      </w:r>
      <w:r>
        <w:tab/>
        <w:t xml:space="preserve">Adjustment 3.13 is a new adjustment, proposed by Staff, to remove the costs associated with “overhauls” of Colstrip and Coyote Springs 2 (CS2).  The overhauls reflect non-annual expenses and thus should be removed from the test year totals and normalized over the period of the maintenance cycle.  Therefore, Adjustment 3.13 includes two parts: </w:t>
      </w:r>
    </w:p>
    <w:p w14:paraId="1EDB0931" w14:textId="30A541D1" w:rsidR="00B44053" w:rsidRDefault="006906F1" w:rsidP="00B44053">
      <w:pPr>
        <w:pStyle w:val="NoSpacing"/>
        <w:ind w:left="1710" w:hanging="270"/>
      </w:pPr>
      <w:r>
        <w:lastRenderedPageBreak/>
        <w:t xml:space="preserve">1) Reducing base level Colstrip and CS2 </w:t>
      </w:r>
      <w:r w:rsidR="005E6F8A">
        <w:t>Operations and Maintenance Expenses (O&amp;M)</w:t>
      </w:r>
      <w:r>
        <w:t xml:space="preserve"> to reflect typical annual expenses (which should exclude overhauls), and </w:t>
      </w:r>
    </w:p>
    <w:p w14:paraId="6F9F9273" w14:textId="53FC6C39" w:rsidR="006906F1" w:rsidRDefault="006906F1" w:rsidP="00B44053">
      <w:pPr>
        <w:pStyle w:val="NoSpacing"/>
        <w:ind w:left="1710" w:hanging="270"/>
      </w:pPr>
      <w:r>
        <w:t>2) Normalizing those Colstrip and CS2 non-annual overhaul costs over the appropriate period.</w:t>
      </w:r>
    </w:p>
    <w:p w14:paraId="699EB70C" w14:textId="77777777" w:rsidR="003F71BB" w:rsidRPr="00F720F8" w:rsidRDefault="003F71BB" w:rsidP="003F71BB">
      <w:pPr>
        <w:pStyle w:val="NoSpacing"/>
      </w:pPr>
    </w:p>
    <w:p w14:paraId="40A5BF40" w14:textId="77777777" w:rsidR="00C34FD9" w:rsidRPr="00F720F8" w:rsidRDefault="00C34FD9" w:rsidP="00C34FD9">
      <w:pPr>
        <w:pStyle w:val="Heading8"/>
      </w:pPr>
      <w:bookmarkStart w:id="56" w:name="_Toc424808471"/>
      <w:bookmarkStart w:id="57" w:name="_Toc424808492"/>
      <w:bookmarkStart w:id="58" w:name="_Toc425422184"/>
      <w:bookmarkStart w:id="59" w:name="_Toc425422358"/>
      <w:bookmarkStart w:id="60" w:name="_Toc425423244"/>
      <w:bookmarkStart w:id="61" w:name="_Toc391989920"/>
      <w:bookmarkStart w:id="62" w:name="_Toc391990022"/>
      <w:bookmarkStart w:id="63" w:name="_Toc393023109"/>
      <w:bookmarkStart w:id="64" w:name="_Toc393023315"/>
      <w:r w:rsidRPr="00F720F8">
        <w:t>Q.</w:t>
      </w:r>
      <w:r w:rsidRPr="00F720F8">
        <w:tab/>
        <w:t xml:space="preserve">Please provide a description of the Company’s proposed treatment for </w:t>
      </w:r>
      <w:r>
        <w:t xml:space="preserve">Colstrip and </w:t>
      </w:r>
      <w:r w:rsidRPr="00F720F8">
        <w:t>CS2 O&amp;M.</w:t>
      </w:r>
    </w:p>
    <w:p w14:paraId="31A6C0FC" w14:textId="6FF4FF97" w:rsidR="00C34FD9" w:rsidRDefault="00C34FD9" w:rsidP="00C34FD9">
      <w:pPr>
        <w:pStyle w:val="NoSpacing"/>
      </w:pPr>
      <w:r w:rsidRPr="00F720F8">
        <w:t>A.</w:t>
      </w:r>
      <w:r w:rsidRPr="00F720F8">
        <w:tab/>
        <w:t xml:space="preserve">As discussed earlier, Colstrip and CS2 O&amp;M was removed from power supply as a result of the Multi-Party Settlement.  Therefore, Avista </w:t>
      </w:r>
      <w:r>
        <w:t>has proposed</w:t>
      </w:r>
      <w:r w:rsidRPr="00F720F8">
        <w:t xml:space="preserve"> to </w:t>
      </w:r>
      <w:r>
        <w:t xml:space="preserve">include the </w:t>
      </w:r>
      <w:r w:rsidRPr="00F720F8">
        <w:t>$3.4 million</w:t>
      </w:r>
      <w:r>
        <w:t xml:space="preserve"> of </w:t>
      </w:r>
      <w:r w:rsidRPr="00F720F8">
        <w:t xml:space="preserve">expenses </w:t>
      </w:r>
      <w:r>
        <w:t>in</w:t>
      </w:r>
      <w:r w:rsidRPr="00F720F8">
        <w:t xml:space="preserve"> </w:t>
      </w:r>
      <w:r>
        <w:t>A</w:t>
      </w:r>
      <w:r w:rsidRPr="00F720F8">
        <w:t>djustment 3.10 Pro Forma Overhauls – Hydro, Thermal, and Other.</w:t>
      </w:r>
      <w:r w:rsidRPr="00F720F8">
        <w:rPr>
          <w:rStyle w:val="FootnoteReference"/>
        </w:rPr>
        <w:footnoteReference w:id="14"/>
      </w:r>
      <w:r w:rsidRPr="00F720F8">
        <w:t xml:space="preserve">  This </w:t>
      </w:r>
      <w:r>
        <w:t>amount</w:t>
      </w:r>
      <w:r w:rsidRPr="00F720F8">
        <w:t xml:space="preserve"> includes Colstrip’s budgeted O&amp;M for 2016 as provided by operator of the plant, </w:t>
      </w:r>
      <w:r>
        <w:t>Talen Energy,</w:t>
      </w:r>
      <w:r w:rsidRPr="00F720F8">
        <w:t xml:space="preserve"> and the expected costs and management reserves for overhauls in 2016 for both Colstrip and CS2.</w:t>
      </w:r>
      <w:r w:rsidRPr="00664676">
        <w:rPr>
          <w:rStyle w:val="FootnoteReference"/>
        </w:rPr>
        <w:t xml:space="preserve"> </w:t>
      </w:r>
      <w:r w:rsidRPr="00157CD2">
        <w:rPr>
          <w:rStyle w:val="FootnoteReference"/>
        </w:rPr>
        <w:footnoteReference w:id="15"/>
      </w:r>
      <w:r w:rsidRPr="00F720F8">
        <w:t xml:space="preserve">   </w:t>
      </w:r>
    </w:p>
    <w:p w14:paraId="340D3F9C" w14:textId="77777777" w:rsidR="00C34FD9" w:rsidRPr="00F720F8" w:rsidRDefault="00C34FD9" w:rsidP="003F71BB">
      <w:pPr>
        <w:pStyle w:val="NoSpacing"/>
      </w:pPr>
    </w:p>
    <w:p w14:paraId="7CE6EB64" w14:textId="2229B824" w:rsidR="00283D4B" w:rsidRPr="00F720F8" w:rsidRDefault="00794D79" w:rsidP="00DA24F8">
      <w:pPr>
        <w:pStyle w:val="Heading3"/>
        <w:ind w:left="1440"/>
      </w:pPr>
      <w:bookmarkStart w:id="65" w:name="_Toc425497660"/>
      <w:r>
        <w:t xml:space="preserve">Colstrip and CS2 </w:t>
      </w:r>
      <w:r w:rsidR="005700DB" w:rsidRPr="00F720F8">
        <w:t xml:space="preserve">Test Year </w:t>
      </w:r>
      <w:r>
        <w:t xml:space="preserve">O&amp;M </w:t>
      </w:r>
      <w:r w:rsidR="005700DB" w:rsidRPr="00F720F8">
        <w:t>Expense</w:t>
      </w:r>
      <w:bookmarkEnd w:id="56"/>
      <w:bookmarkEnd w:id="57"/>
      <w:bookmarkEnd w:id="58"/>
      <w:bookmarkEnd w:id="59"/>
      <w:bookmarkEnd w:id="60"/>
      <w:bookmarkEnd w:id="65"/>
      <w:r w:rsidR="005700DB" w:rsidRPr="00F720F8">
        <w:t xml:space="preserve"> </w:t>
      </w:r>
    </w:p>
    <w:p w14:paraId="008D7DC7" w14:textId="34AEB5AC" w:rsidR="00794D79" w:rsidRDefault="00794D79" w:rsidP="003F71BB">
      <w:pPr>
        <w:pStyle w:val="NoSpacing"/>
        <w:rPr>
          <w:b/>
        </w:rPr>
      </w:pPr>
    </w:p>
    <w:p w14:paraId="62E575EA" w14:textId="77777777" w:rsidR="00E535AF" w:rsidRPr="00F720F8" w:rsidRDefault="00E535AF" w:rsidP="00E535AF">
      <w:pPr>
        <w:pStyle w:val="Heading8"/>
      </w:pPr>
      <w:r w:rsidRPr="00F720F8">
        <w:t>Q.</w:t>
      </w:r>
      <w:r w:rsidRPr="00F720F8">
        <w:tab/>
        <w:t>Do you agree with the Company’s proposal to use 2016 rate year projections of O&amp;M?</w:t>
      </w:r>
    </w:p>
    <w:p w14:paraId="17E96AF3" w14:textId="2BB26390" w:rsidR="00E535AF" w:rsidRPr="00F720F8" w:rsidRDefault="00E535AF" w:rsidP="00E535AF">
      <w:pPr>
        <w:pStyle w:val="NoSpacing"/>
      </w:pPr>
      <w:r w:rsidRPr="00F720F8">
        <w:t>A.</w:t>
      </w:r>
      <w:r w:rsidRPr="00F720F8">
        <w:tab/>
        <w:t xml:space="preserve">No.  </w:t>
      </w:r>
      <w:r w:rsidR="007101FC">
        <w:t>T</w:t>
      </w:r>
      <w:r w:rsidRPr="00F720F8">
        <w:t xml:space="preserve">he O&amp;M that occurred during the test year was very close to the O&amp;M that was expected to occur during 2014.  Except for upcoming overhauls, there is no need to use a 2016 projection for basic O&amp;M.  </w:t>
      </w:r>
    </w:p>
    <w:p w14:paraId="0DFFDC48" w14:textId="77777777" w:rsidR="003F71BB" w:rsidRPr="00F720F8" w:rsidRDefault="003F71BB" w:rsidP="003F71BB">
      <w:pPr>
        <w:pStyle w:val="NoSpacing"/>
      </w:pPr>
    </w:p>
    <w:p w14:paraId="41E149FF" w14:textId="61902731" w:rsidR="00283D4B" w:rsidRPr="00F720F8" w:rsidRDefault="00283D4B" w:rsidP="00283D4B">
      <w:pPr>
        <w:pStyle w:val="Heading8"/>
      </w:pPr>
      <w:r w:rsidRPr="00F720F8">
        <w:t>Q.</w:t>
      </w:r>
      <w:r w:rsidRPr="00F720F8">
        <w:tab/>
        <w:t xml:space="preserve">What are your recommendations related to O&amp;M for </w:t>
      </w:r>
      <w:r w:rsidR="00734FD0">
        <w:t xml:space="preserve">Colstrip and </w:t>
      </w:r>
      <w:r w:rsidRPr="00F720F8">
        <w:t>CS2 in the test period?</w:t>
      </w:r>
    </w:p>
    <w:p w14:paraId="7AE0A069" w14:textId="5211827D" w:rsidR="00283D4B" w:rsidRPr="00F720F8" w:rsidRDefault="00283D4B" w:rsidP="00283D4B">
      <w:pPr>
        <w:pStyle w:val="NoSpacing"/>
      </w:pPr>
      <w:r w:rsidRPr="00F720F8">
        <w:t>A.</w:t>
      </w:r>
      <w:r w:rsidRPr="00F720F8">
        <w:tab/>
      </w:r>
      <w:r w:rsidR="006906F1">
        <w:t xml:space="preserve">As noted above, </w:t>
      </w:r>
      <w:r w:rsidR="00011C70">
        <w:t xml:space="preserve">Staff </w:t>
      </w:r>
      <w:r w:rsidRPr="00F720F8">
        <w:t>propose</w:t>
      </w:r>
      <w:r w:rsidR="00011C70">
        <w:t>s</w:t>
      </w:r>
      <w:r w:rsidRPr="00F720F8">
        <w:t xml:space="preserve"> to remove the effects of overhauls that occurred during 2014 </w:t>
      </w:r>
      <w:r w:rsidR="00A571F5">
        <w:t>to</w:t>
      </w:r>
      <w:r w:rsidR="00A571F5" w:rsidDel="00A571F5">
        <w:t xml:space="preserve"> </w:t>
      </w:r>
      <w:r w:rsidRPr="00F720F8">
        <w:t xml:space="preserve">be dealt with separately.  </w:t>
      </w:r>
      <w:r w:rsidR="006906F1">
        <w:t>After remov</w:t>
      </w:r>
      <w:r w:rsidR="00D26801">
        <w:t>ing</w:t>
      </w:r>
      <w:r w:rsidR="006906F1">
        <w:t xml:space="preserve"> non-annual overhaul costs, the remaining Colstrip and CS2 expenses more accurately reflect annual O&amp;M costs. </w:t>
      </w:r>
    </w:p>
    <w:p w14:paraId="1676E81D" w14:textId="77777777" w:rsidR="00283D4B" w:rsidRPr="00F720F8" w:rsidRDefault="00283D4B" w:rsidP="00283D4B">
      <w:pPr>
        <w:pStyle w:val="NoSpacing"/>
      </w:pPr>
    </w:p>
    <w:p w14:paraId="6AB35FB3" w14:textId="4B1E79E6" w:rsidR="00283D4B" w:rsidRPr="00F720F8" w:rsidRDefault="00283D4B" w:rsidP="00283D4B">
      <w:pPr>
        <w:pStyle w:val="Heading8"/>
      </w:pPr>
      <w:r w:rsidRPr="00F720F8">
        <w:t>Q.</w:t>
      </w:r>
      <w:r w:rsidRPr="00F720F8">
        <w:tab/>
        <w:t xml:space="preserve">Have you prepared an exhibit </w:t>
      </w:r>
      <w:r w:rsidR="004D56B8">
        <w:t xml:space="preserve">detailing the effects of this adjustment </w:t>
      </w:r>
      <w:r w:rsidRPr="00F720F8">
        <w:t xml:space="preserve">on a </w:t>
      </w:r>
      <w:r w:rsidR="002A7EFD">
        <w:t>p</w:t>
      </w:r>
      <w:r w:rsidRPr="00F720F8">
        <w:t>ro</w:t>
      </w:r>
      <w:r w:rsidR="002A7EFD">
        <w:t xml:space="preserve"> f</w:t>
      </w:r>
      <w:r w:rsidRPr="00F720F8">
        <w:t xml:space="preserve">orma </w:t>
      </w:r>
      <w:r w:rsidR="004D56B8">
        <w:t xml:space="preserve">and attrition </w:t>
      </w:r>
      <w:r w:rsidRPr="00F720F8">
        <w:t xml:space="preserve">basis? </w:t>
      </w:r>
    </w:p>
    <w:p w14:paraId="7E6B3495" w14:textId="12BE572B" w:rsidR="00283D4B" w:rsidRPr="00F720F8" w:rsidRDefault="00283D4B" w:rsidP="00283D4B">
      <w:pPr>
        <w:pStyle w:val="NoSpacing"/>
      </w:pPr>
      <w:r w:rsidRPr="00F720F8">
        <w:t>A.</w:t>
      </w:r>
      <w:r w:rsidRPr="00F720F8">
        <w:tab/>
        <w:t>Yes.  The reduction in test year O&amp;M is reflected on page</w:t>
      </w:r>
      <w:r w:rsidR="00E064D5">
        <w:t>s</w:t>
      </w:r>
      <w:r w:rsidRPr="00F720F8">
        <w:t xml:space="preserve"> </w:t>
      </w:r>
      <w:r w:rsidR="00E064D5">
        <w:t>11-12</w:t>
      </w:r>
      <w:r w:rsidRPr="00F720F8">
        <w:t xml:space="preserve">, line </w:t>
      </w:r>
      <w:r w:rsidR="0024470E">
        <w:t>3</w:t>
      </w:r>
      <w:r w:rsidRPr="00F720F8">
        <w:t xml:space="preserve"> of </w:t>
      </w:r>
      <w:r w:rsidR="00734FD0">
        <w:t>C</w:t>
      </w:r>
      <w:r w:rsidR="0024470E">
        <w:t xml:space="preserve">onfidential </w:t>
      </w:r>
      <w:r w:rsidR="004C1C83">
        <w:t>Exhibit</w:t>
      </w:r>
      <w:r w:rsidR="00734FD0">
        <w:t xml:space="preserve"> No. </w:t>
      </w:r>
      <w:r w:rsidR="004C1C83">
        <w:t>___</w:t>
      </w:r>
      <w:r w:rsidR="00DA24F8">
        <w:t xml:space="preserve"> </w:t>
      </w:r>
      <w:r w:rsidR="004C1C83">
        <w:t>(</w:t>
      </w:r>
      <w:r w:rsidRPr="00F720F8">
        <w:t>JLB-</w:t>
      </w:r>
      <w:r w:rsidR="0024470E">
        <w:t>2C</w:t>
      </w:r>
      <w:r w:rsidRPr="00F720F8">
        <w:t xml:space="preserve">).  </w:t>
      </w:r>
    </w:p>
    <w:p w14:paraId="77AACE76" w14:textId="77777777" w:rsidR="003F71BB" w:rsidRPr="00F720F8" w:rsidRDefault="003F71BB" w:rsidP="00283D4B">
      <w:pPr>
        <w:pStyle w:val="NoSpacing"/>
      </w:pPr>
    </w:p>
    <w:p w14:paraId="475F7EBA" w14:textId="0EB3EEEB" w:rsidR="00283D4B" w:rsidRPr="00F720F8" w:rsidRDefault="00283D4B" w:rsidP="00283D4B">
      <w:pPr>
        <w:pStyle w:val="Heading8"/>
      </w:pPr>
      <w:r w:rsidRPr="00F720F8">
        <w:t>Q.</w:t>
      </w:r>
      <w:r w:rsidRPr="00F720F8">
        <w:tab/>
      </w:r>
      <w:bookmarkEnd w:id="61"/>
      <w:bookmarkEnd w:id="62"/>
      <w:bookmarkEnd w:id="63"/>
      <w:bookmarkEnd w:id="64"/>
      <w:r w:rsidRPr="00F720F8">
        <w:t>After your adjustment, does the test year O&amp;M represent normal operations?</w:t>
      </w:r>
    </w:p>
    <w:p w14:paraId="7C17178D" w14:textId="71F4E236" w:rsidR="00283D4B" w:rsidRPr="00F720F8" w:rsidRDefault="00283D4B" w:rsidP="00F3703E">
      <w:pPr>
        <w:pStyle w:val="NoSpacing"/>
      </w:pPr>
      <w:r w:rsidRPr="00F720F8">
        <w:t>A.</w:t>
      </w:r>
      <w:r w:rsidRPr="00F720F8">
        <w:tab/>
        <w:t>Yes</w:t>
      </w:r>
      <w:r w:rsidR="0007179E">
        <w:t>.  G</w:t>
      </w:r>
      <w:r w:rsidR="004912A8">
        <w:t>iven the size of these two plants i</w:t>
      </w:r>
      <w:r w:rsidR="004912A8" w:rsidRPr="00F720F8">
        <w:t xml:space="preserve">t is important to remove overhauls to get an accurate depiction of </w:t>
      </w:r>
      <w:r w:rsidR="00794D79">
        <w:t xml:space="preserve">typical annual rate of </w:t>
      </w:r>
      <w:r w:rsidR="004912A8" w:rsidRPr="00F720F8">
        <w:t>O&amp;M</w:t>
      </w:r>
      <w:r w:rsidR="00794D79">
        <w:t xml:space="preserve"> expenses</w:t>
      </w:r>
      <w:r w:rsidR="004912A8" w:rsidRPr="00F720F8">
        <w:t>.</w:t>
      </w:r>
      <w:r w:rsidR="004912A8">
        <w:t xml:space="preserve">  </w:t>
      </w:r>
      <w:r w:rsidR="0011555D" w:rsidRPr="00931FD1">
        <w:t xml:space="preserve">Page </w:t>
      </w:r>
      <w:r w:rsidR="00931FD1">
        <w:t>2</w:t>
      </w:r>
      <w:r w:rsidR="0011555D">
        <w:t xml:space="preserve"> of </w:t>
      </w:r>
      <w:r w:rsidR="00DE7108">
        <w:t xml:space="preserve">Confidential </w:t>
      </w:r>
      <w:r w:rsidR="0011555D">
        <w:t>Exhibit No.___</w:t>
      </w:r>
      <w:r w:rsidR="00DA24F8">
        <w:t xml:space="preserve"> </w:t>
      </w:r>
      <w:r w:rsidR="0011555D">
        <w:t>(JLB-</w:t>
      </w:r>
      <w:r w:rsidR="00931FD1">
        <w:t>4</w:t>
      </w:r>
      <w:r w:rsidR="0011555D">
        <w:t xml:space="preserve">C) is a graph that </w:t>
      </w:r>
      <w:r w:rsidR="00EB6931" w:rsidRPr="00F720F8">
        <w:t>shows actual O&amp;M expense</w:t>
      </w:r>
      <w:r w:rsidR="004B5970">
        <w:t xml:space="preserve"> for Colstrip</w:t>
      </w:r>
      <w:r w:rsidR="00EB6931" w:rsidRPr="00F720F8">
        <w:t xml:space="preserve"> since 2008</w:t>
      </w:r>
      <w:r w:rsidR="004B5970">
        <w:t xml:space="preserve">.  Actual expenses are denoted by </w:t>
      </w:r>
      <w:r w:rsidR="004B5970" w:rsidRPr="00931FD1">
        <w:t>the black</w:t>
      </w:r>
      <w:r w:rsidR="009B51FA">
        <w:t xml:space="preserve"> </w:t>
      </w:r>
      <w:r w:rsidR="004B5970" w:rsidRPr="00931FD1">
        <w:t>line</w:t>
      </w:r>
      <w:r w:rsidR="00EB6931" w:rsidRPr="00931FD1">
        <w:t xml:space="preserve"> and the average expected expenses through the test period</w:t>
      </w:r>
      <w:r w:rsidR="004B5970" w:rsidRPr="00931FD1">
        <w:t xml:space="preserve"> are</w:t>
      </w:r>
      <w:r w:rsidR="00EB6931" w:rsidRPr="00931FD1">
        <w:t xml:space="preserve"> in red.</w:t>
      </w:r>
      <w:r w:rsidR="007D0B87" w:rsidRPr="00931FD1">
        <w:t xml:space="preserve">  Page </w:t>
      </w:r>
      <w:r w:rsidR="00931FD1">
        <w:t>4</w:t>
      </w:r>
      <w:r w:rsidR="007D0B87" w:rsidRPr="00F720F8">
        <w:t xml:space="preserve"> is the same chart </w:t>
      </w:r>
      <w:r w:rsidR="007D0B87">
        <w:t>showing</w:t>
      </w:r>
      <w:r w:rsidR="007D0B87" w:rsidRPr="00F720F8">
        <w:t xml:space="preserve"> </w:t>
      </w:r>
      <w:r w:rsidR="007D0B87">
        <w:t xml:space="preserve">actual </w:t>
      </w:r>
      <w:r w:rsidR="00F3703E">
        <w:t>CS</w:t>
      </w:r>
      <w:r w:rsidR="007D0B87" w:rsidRPr="00F720F8">
        <w:t xml:space="preserve">2 O&amp;M </w:t>
      </w:r>
      <w:r w:rsidR="007D0B87">
        <w:t xml:space="preserve">since 2008.  </w:t>
      </w:r>
      <w:r w:rsidRPr="00F720F8">
        <w:t>As</w:t>
      </w:r>
      <w:r w:rsidR="00B60FAA">
        <w:t xml:space="preserve"> </w:t>
      </w:r>
      <w:r w:rsidR="00A67EFA">
        <w:t>the</w:t>
      </w:r>
      <w:r w:rsidR="00A67EFA" w:rsidRPr="00F720F8">
        <w:t xml:space="preserve"> </w:t>
      </w:r>
      <w:r w:rsidRPr="00F720F8">
        <w:t xml:space="preserve">charts illustrate, the O&amp;M that occurred during the test period is in line with the actual O&amp;M expenditures during the last six years.   </w:t>
      </w:r>
    </w:p>
    <w:p w14:paraId="2F9FB3BE" w14:textId="61B98353" w:rsidR="002F668B" w:rsidRPr="00F720F8" w:rsidRDefault="002F668B" w:rsidP="00283D4B">
      <w:pPr>
        <w:pStyle w:val="NoSpacing"/>
      </w:pPr>
    </w:p>
    <w:p w14:paraId="367C455A" w14:textId="5B1065FA" w:rsidR="00283D4B" w:rsidRPr="00F720F8" w:rsidRDefault="00D67C60" w:rsidP="00DA24F8">
      <w:pPr>
        <w:pStyle w:val="Heading3"/>
      </w:pPr>
      <w:bookmarkStart w:id="66" w:name="_Toc424808472"/>
      <w:bookmarkStart w:id="67" w:name="_Toc424808493"/>
      <w:bookmarkStart w:id="68" w:name="_Toc425422185"/>
      <w:bookmarkStart w:id="69" w:name="_Toc425422359"/>
      <w:bookmarkStart w:id="70" w:name="_Toc425423245"/>
      <w:bookmarkStart w:id="71" w:name="_Toc425497661"/>
      <w:r>
        <w:lastRenderedPageBreak/>
        <w:t xml:space="preserve">Colstrip and </w:t>
      </w:r>
      <w:r w:rsidR="009A2EC2" w:rsidRPr="00F720F8">
        <w:t>CS2 Overhauls</w:t>
      </w:r>
      <w:bookmarkEnd w:id="66"/>
      <w:bookmarkEnd w:id="67"/>
      <w:bookmarkEnd w:id="68"/>
      <w:bookmarkEnd w:id="69"/>
      <w:bookmarkEnd w:id="70"/>
      <w:bookmarkEnd w:id="71"/>
    </w:p>
    <w:p w14:paraId="660492B9" w14:textId="77777777" w:rsidR="00E535AF" w:rsidRDefault="00E535AF" w:rsidP="00DA24F8">
      <w:pPr>
        <w:pStyle w:val="Heading8"/>
        <w:keepNext/>
      </w:pPr>
    </w:p>
    <w:p w14:paraId="472E231D" w14:textId="587DBD1D" w:rsidR="00E535AF" w:rsidRPr="00F720F8" w:rsidRDefault="00E535AF" w:rsidP="00E535AF">
      <w:pPr>
        <w:pStyle w:val="Heading8"/>
      </w:pPr>
      <w:r w:rsidRPr="00F720F8">
        <w:t>Q.</w:t>
      </w:r>
      <w:r w:rsidRPr="00F720F8">
        <w:tab/>
        <w:t>Do you agree with Avista’s proposal to include the full amount of 2016 Overhauls in rates?</w:t>
      </w:r>
    </w:p>
    <w:p w14:paraId="5005DF55" w14:textId="77777777" w:rsidR="00E535AF" w:rsidRPr="00F720F8" w:rsidRDefault="00E535AF" w:rsidP="00E535AF">
      <w:pPr>
        <w:pStyle w:val="NoSpacing"/>
      </w:pPr>
      <w:r w:rsidRPr="00F720F8">
        <w:t>A.</w:t>
      </w:r>
      <w:r w:rsidRPr="00F720F8">
        <w:tab/>
        <w:t>No.  The Company’s proposal increases revenue requirement to recover the full amounts of overhauls in one year.  This does not match the costs with the intervals of these maintenance events and violates the matching principle.  For instance, the overhauls proposed for CS2 occur approximately once every four years.  However, the Company’s cost proposal would ultimately receive revenue to recover these costs every year until the next rate proceeding.  All else equal, this results i</w:t>
      </w:r>
      <w:r>
        <w:t>n</w:t>
      </w:r>
      <w:r w:rsidRPr="00F720F8">
        <w:t xml:space="preserve"> four times as much revenue as the actual cost of the overhaul.  </w:t>
      </w:r>
    </w:p>
    <w:p w14:paraId="587D709A" w14:textId="77777777" w:rsidR="00283D4B" w:rsidRPr="00F720F8" w:rsidRDefault="00283D4B" w:rsidP="00283D4B">
      <w:pPr>
        <w:pStyle w:val="Heading8"/>
      </w:pPr>
    </w:p>
    <w:p w14:paraId="5F55A32D" w14:textId="1F495B7B" w:rsidR="00283D4B" w:rsidRPr="00F720F8" w:rsidRDefault="00283D4B" w:rsidP="00283D4B">
      <w:pPr>
        <w:pStyle w:val="Heading8"/>
      </w:pPr>
      <w:r w:rsidRPr="00F720F8">
        <w:t>Q.</w:t>
      </w:r>
      <w:r w:rsidRPr="00F720F8">
        <w:tab/>
        <w:t>What is your</w:t>
      </w:r>
      <w:r w:rsidR="002F668B" w:rsidRPr="00F720F8">
        <w:t xml:space="preserve"> </w:t>
      </w:r>
      <w:r w:rsidRPr="00F720F8">
        <w:t xml:space="preserve">recommendation for treating overhauls scheduled to occur in 2016 for </w:t>
      </w:r>
      <w:r w:rsidR="00D67C60">
        <w:t xml:space="preserve">Colstrip and </w:t>
      </w:r>
      <w:r w:rsidRPr="00F720F8">
        <w:t>CS2?</w:t>
      </w:r>
    </w:p>
    <w:p w14:paraId="3F3C2B71" w14:textId="66BDC93F" w:rsidR="00B60FAA" w:rsidRDefault="00283D4B" w:rsidP="00283D4B">
      <w:pPr>
        <w:pStyle w:val="NoSpacing"/>
      </w:pPr>
      <w:r w:rsidRPr="00F720F8">
        <w:t>A.</w:t>
      </w:r>
      <w:r w:rsidRPr="00F720F8">
        <w:tab/>
      </w:r>
      <w:r w:rsidR="006906F1">
        <w:t xml:space="preserve">As noted above, </w:t>
      </w:r>
      <w:r w:rsidR="004A2378">
        <w:t>these</w:t>
      </w:r>
      <w:r w:rsidRPr="00F720F8">
        <w:t xml:space="preserve"> overhauls </w:t>
      </w:r>
      <w:r w:rsidR="004A2378">
        <w:t xml:space="preserve">should </w:t>
      </w:r>
      <w:r w:rsidRPr="00F720F8">
        <w:t xml:space="preserve">be normalized over the expected overhaul </w:t>
      </w:r>
      <w:r w:rsidR="006906F1">
        <w:t xml:space="preserve">maintenance </w:t>
      </w:r>
      <w:r w:rsidRPr="00F720F8">
        <w:t xml:space="preserve">cycle.  </w:t>
      </w:r>
      <w:r w:rsidR="0045720F">
        <w:t xml:space="preserve">The Company performs an overhaul </w:t>
      </w:r>
      <w:r w:rsidR="0045720F" w:rsidRPr="00F720F8">
        <w:t>every three years</w:t>
      </w:r>
      <w:r w:rsidR="0045720F">
        <w:t xml:space="preserve"> f</w:t>
      </w:r>
      <w:r w:rsidRPr="00F720F8">
        <w:t xml:space="preserve">or </w:t>
      </w:r>
      <w:r w:rsidR="00D67C60">
        <w:t xml:space="preserve">each </w:t>
      </w:r>
      <w:r w:rsidR="00D67C60" w:rsidRPr="00F720F8">
        <w:t xml:space="preserve">Colstrip </w:t>
      </w:r>
      <w:r w:rsidR="00D67C60">
        <w:t>unit</w:t>
      </w:r>
      <w:r w:rsidR="0045720F">
        <w:t xml:space="preserve">; it </w:t>
      </w:r>
      <w:r w:rsidR="0045720F" w:rsidRPr="0045720F">
        <w:t>performs an overhaul</w:t>
      </w:r>
      <w:r w:rsidR="0045720F" w:rsidRPr="0045720F" w:rsidDel="0045720F">
        <w:t xml:space="preserve"> </w:t>
      </w:r>
      <w:r w:rsidR="0045720F" w:rsidRPr="00F720F8">
        <w:t>approximately every four years</w:t>
      </w:r>
      <w:r w:rsidR="0045720F" w:rsidDel="0045720F">
        <w:t xml:space="preserve"> </w:t>
      </w:r>
      <w:r w:rsidR="00D67C60">
        <w:t xml:space="preserve">for </w:t>
      </w:r>
      <w:r w:rsidRPr="00F720F8">
        <w:t>CS2.</w:t>
      </w:r>
      <w:r w:rsidR="00880D29">
        <w:rPr>
          <w:rStyle w:val="FootnoteReference"/>
        </w:rPr>
        <w:footnoteReference w:id="16"/>
      </w:r>
      <w:r w:rsidRPr="00F720F8">
        <w:t xml:space="preserve">  </w:t>
      </w:r>
      <w:r w:rsidR="006906F1">
        <w:t xml:space="preserve">These cycles are documented and predictable. </w:t>
      </w:r>
      <w:r w:rsidR="00AB5F7B">
        <w:t xml:space="preserve"> </w:t>
      </w:r>
      <w:r w:rsidRPr="00F720F8">
        <w:t xml:space="preserve">Normalization provides for consistent matching of revenues </w:t>
      </w:r>
      <w:r w:rsidR="005E6DB3">
        <w:t xml:space="preserve">and </w:t>
      </w:r>
      <w:r w:rsidRPr="00F720F8">
        <w:t>expenses</w:t>
      </w:r>
      <w:r w:rsidR="005E6DB3">
        <w:t xml:space="preserve"> with their appropriate time period</w:t>
      </w:r>
      <w:r w:rsidR="004A2378">
        <w:t>.  Further, t</w:t>
      </w:r>
      <w:r w:rsidRPr="00F720F8">
        <w:t>he projected overhauls</w:t>
      </w:r>
      <w:r w:rsidR="00ED51FD">
        <w:t>’</w:t>
      </w:r>
      <w:r w:rsidRPr="00F720F8">
        <w:t xml:space="preserve"> costs </w:t>
      </w:r>
      <w:r w:rsidR="004A2378">
        <w:t>should be reduced by</w:t>
      </w:r>
      <w:r w:rsidRPr="00F720F8">
        <w:t xml:space="preserve"> removing the management reserve.</w:t>
      </w:r>
    </w:p>
    <w:p w14:paraId="0F4F9CD2" w14:textId="77777777" w:rsidR="00283D4B" w:rsidRPr="00F720F8" w:rsidRDefault="00283D4B" w:rsidP="008D60F5">
      <w:pPr>
        <w:pStyle w:val="NoSpacing"/>
        <w:ind w:left="0" w:firstLine="0"/>
      </w:pPr>
    </w:p>
    <w:p w14:paraId="7C3FE732" w14:textId="77777777" w:rsidR="00283D4B" w:rsidRPr="00F720F8" w:rsidRDefault="00283D4B" w:rsidP="00DA24F8">
      <w:pPr>
        <w:pStyle w:val="Heading8"/>
        <w:keepNext/>
      </w:pPr>
      <w:r w:rsidRPr="00F720F8">
        <w:lastRenderedPageBreak/>
        <w:t>Q.</w:t>
      </w:r>
      <w:r w:rsidRPr="00F720F8">
        <w:tab/>
        <w:t>What is normalization?</w:t>
      </w:r>
    </w:p>
    <w:p w14:paraId="3A95713C" w14:textId="6CE73109" w:rsidR="00283D4B" w:rsidRPr="00F720F8" w:rsidRDefault="00283D4B" w:rsidP="00283D4B">
      <w:pPr>
        <w:pStyle w:val="NoSpacing"/>
      </w:pPr>
      <w:r w:rsidRPr="00F720F8">
        <w:t>A.</w:t>
      </w:r>
      <w:r w:rsidRPr="00F720F8">
        <w:tab/>
      </w:r>
      <w:r w:rsidR="001F75EC">
        <w:t>N</w:t>
      </w:r>
      <w:r w:rsidRPr="00F720F8">
        <w:t xml:space="preserve">ormalization is the spreading of a cost over the period it is expected to occur.  This is similar in principle to the accounting concept of amortization but involves no deferral or accounting entries and is purely a regulatory tool.  </w:t>
      </w:r>
      <w:r w:rsidR="0012689D">
        <w:t>Normalization</w:t>
      </w:r>
      <w:r w:rsidR="00AB5F7B">
        <w:t xml:space="preserve"> </w:t>
      </w:r>
      <w:r w:rsidR="0012689D">
        <w:t xml:space="preserve">combined with </w:t>
      </w:r>
      <w:r w:rsidRPr="00F720F8">
        <w:t>a modified historical test year to set rates</w:t>
      </w:r>
      <w:r w:rsidRPr="00F720F8" w:rsidDel="0012689D">
        <w:t xml:space="preserve"> </w:t>
      </w:r>
      <w:r w:rsidRPr="00F720F8">
        <w:t>provides consistent revenue over th</w:t>
      </w:r>
      <w:r w:rsidR="002631FE" w:rsidRPr="00F720F8">
        <w:t>e expected life cycle of a cost.</w:t>
      </w:r>
    </w:p>
    <w:p w14:paraId="1225DF3F" w14:textId="77777777" w:rsidR="00283D4B" w:rsidRPr="00F720F8" w:rsidRDefault="00283D4B" w:rsidP="00283D4B">
      <w:pPr>
        <w:pStyle w:val="NoSpacing"/>
      </w:pPr>
    </w:p>
    <w:p w14:paraId="00E4FA35" w14:textId="2E602C26" w:rsidR="00283D4B" w:rsidRPr="00F720F8" w:rsidRDefault="00283D4B" w:rsidP="00283D4B">
      <w:pPr>
        <w:pStyle w:val="Heading8"/>
      </w:pPr>
      <w:r w:rsidRPr="00F720F8">
        <w:t>Q.</w:t>
      </w:r>
      <w:r w:rsidRPr="00F720F8">
        <w:tab/>
        <w:t xml:space="preserve">Is normalizing </w:t>
      </w:r>
      <w:r w:rsidR="0045720F">
        <w:t xml:space="preserve">the </w:t>
      </w:r>
      <w:r w:rsidR="00734FD0">
        <w:t xml:space="preserve">Colstrip and </w:t>
      </w:r>
      <w:r w:rsidRPr="00F720F8">
        <w:t>CS2 overhauls consistent with the matching principle?</w:t>
      </w:r>
    </w:p>
    <w:p w14:paraId="6B5F82B7" w14:textId="0FBE1C71" w:rsidR="00283D4B" w:rsidRPr="00F720F8" w:rsidRDefault="00283D4B" w:rsidP="00283D4B">
      <w:pPr>
        <w:pStyle w:val="NoSpacing"/>
      </w:pPr>
      <w:r w:rsidRPr="00F720F8">
        <w:t>A.</w:t>
      </w:r>
      <w:r w:rsidRPr="00F720F8">
        <w:tab/>
        <w:t xml:space="preserve">Yes.  The </w:t>
      </w:r>
      <w:r w:rsidR="00734FD0">
        <w:t xml:space="preserve">Colstrip and </w:t>
      </w:r>
      <w:r w:rsidRPr="00F720F8">
        <w:t>CS2</w:t>
      </w:r>
      <w:r w:rsidRPr="00F720F8" w:rsidDel="00734FD0">
        <w:t xml:space="preserve"> </w:t>
      </w:r>
      <w:r w:rsidRPr="00F720F8">
        <w:t xml:space="preserve">overhauls in this adjustment occur regularly, but not </w:t>
      </w:r>
      <w:r w:rsidR="0045720F">
        <w:t>annually</w:t>
      </w:r>
      <w:r w:rsidRPr="00F720F8">
        <w:t xml:space="preserve">.  By using the normalization process, </w:t>
      </w:r>
      <w:r w:rsidR="00CB5C6A" w:rsidRPr="00F720F8">
        <w:t>the</w:t>
      </w:r>
      <w:r w:rsidR="00CB5C6A">
        <w:t xml:space="preserve"> annual recognized</w:t>
      </w:r>
      <w:r w:rsidR="00CB5C6A" w:rsidRPr="00F720F8">
        <w:t xml:space="preserve"> </w:t>
      </w:r>
      <w:r w:rsidRPr="00F720F8">
        <w:t xml:space="preserve">expenses are aligned with the </w:t>
      </w:r>
      <w:r w:rsidR="009B51FA">
        <w:t>expected period of the benefit</w:t>
      </w:r>
      <w:r w:rsidR="00CB5C6A">
        <w:t>s</w:t>
      </w:r>
      <w:r w:rsidR="009B51FA">
        <w:t xml:space="preserve"> provided by the expenditure</w:t>
      </w:r>
      <w:r w:rsidR="00CB5C6A">
        <w:t>s</w:t>
      </w:r>
      <w:r w:rsidRPr="00F720F8">
        <w:t>.  This is the essence of the matching principle.  For example:</w:t>
      </w:r>
    </w:p>
    <w:tbl>
      <w:tblPr>
        <w:tblW w:w="7520" w:type="dxa"/>
        <w:tblLook w:val="04A0" w:firstRow="1" w:lastRow="0" w:firstColumn="1" w:lastColumn="0" w:noHBand="0" w:noVBand="1"/>
      </w:tblPr>
      <w:tblGrid>
        <w:gridCol w:w="2421"/>
        <w:gridCol w:w="1571"/>
        <w:gridCol w:w="1571"/>
        <w:gridCol w:w="1957"/>
      </w:tblGrid>
      <w:tr w:rsidR="00283D4B" w:rsidRPr="00F720F8" w14:paraId="49DA4462" w14:textId="77777777" w:rsidTr="00F27CF1">
        <w:trPr>
          <w:trHeight w:val="319"/>
        </w:trPr>
        <w:tc>
          <w:tcPr>
            <w:tcW w:w="2421" w:type="dxa"/>
            <w:tcBorders>
              <w:top w:val="nil"/>
              <w:left w:val="nil"/>
              <w:bottom w:val="nil"/>
              <w:right w:val="nil"/>
            </w:tcBorders>
            <w:shd w:val="clear" w:color="000000" w:fill="FFFFFF"/>
            <w:noWrap/>
            <w:vAlign w:val="center"/>
            <w:hideMark/>
          </w:tcPr>
          <w:p w14:paraId="4A26A0EA" w14:textId="77777777" w:rsidR="00283D4B" w:rsidRPr="00F720F8" w:rsidRDefault="00283D4B" w:rsidP="00F27CF1">
            <w:pPr>
              <w:jc w:val="right"/>
              <w:rPr>
                <w:rFonts w:eastAsia="Times New Roman"/>
                <w:sz w:val="20"/>
                <w:szCs w:val="20"/>
              </w:rPr>
            </w:pPr>
            <w:r w:rsidRPr="00F720F8">
              <w:rPr>
                <w:rFonts w:eastAsia="Times New Roman"/>
                <w:sz w:val="20"/>
                <w:szCs w:val="20"/>
              </w:rPr>
              <w:t> </w:t>
            </w:r>
          </w:p>
        </w:tc>
        <w:tc>
          <w:tcPr>
            <w:tcW w:w="1571" w:type="dxa"/>
            <w:tcBorders>
              <w:top w:val="nil"/>
              <w:left w:val="nil"/>
              <w:bottom w:val="nil"/>
              <w:right w:val="nil"/>
            </w:tcBorders>
            <w:shd w:val="clear" w:color="000000" w:fill="FFFFFF"/>
            <w:noWrap/>
            <w:vAlign w:val="center"/>
            <w:hideMark/>
          </w:tcPr>
          <w:p w14:paraId="46F80EBE" w14:textId="77777777" w:rsidR="00283D4B" w:rsidRPr="00F720F8" w:rsidRDefault="00283D4B" w:rsidP="00F27CF1">
            <w:pPr>
              <w:jc w:val="center"/>
              <w:rPr>
                <w:rFonts w:eastAsia="Times New Roman"/>
                <w:sz w:val="20"/>
                <w:szCs w:val="20"/>
              </w:rPr>
            </w:pPr>
            <w:r w:rsidRPr="00F720F8">
              <w:rPr>
                <w:rFonts w:eastAsia="Times New Roman"/>
                <w:sz w:val="20"/>
                <w:szCs w:val="20"/>
              </w:rPr>
              <w:t>Revenues</w:t>
            </w:r>
          </w:p>
        </w:tc>
        <w:tc>
          <w:tcPr>
            <w:tcW w:w="1571" w:type="dxa"/>
            <w:tcBorders>
              <w:top w:val="nil"/>
              <w:left w:val="nil"/>
              <w:bottom w:val="nil"/>
              <w:right w:val="nil"/>
            </w:tcBorders>
            <w:shd w:val="clear" w:color="000000" w:fill="FFFFFF"/>
            <w:noWrap/>
            <w:vAlign w:val="center"/>
            <w:hideMark/>
          </w:tcPr>
          <w:p w14:paraId="355A71C8" w14:textId="77777777" w:rsidR="00283D4B" w:rsidRPr="00F720F8" w:rsidRDefault="00283D4B" w:rsidP="00F27CF1">
            <w:pPr>
              <w:jc w:val="center"/>
              <w:rPr>
                <w:rFonts w:eastAsia="Times New Roman"/>
                <w:sz w:val="20"/>
                <w:szCs w:val="20"/>
              </w:rPr>
            </w:pPr>
            <w:r w:rsidRPr="00F720F8">
              <w:rPr>
                <w:rFonts w:eastAsia="Times New Roman"/>
                <w:sz w:val="20"/>
                <w:szCs w:val="20"/>
              </w:rPr>
              <w:t>Expenses</w:t>
            </w:r>
          </w:p>
        </w:tc>
        <w:tc>
          <w:tcPr>
            <w:tcW w:w="1957" w:type="dxa"/>
            <w:tcBorders>
              <w:top w:val="nil"/>
              <w:left w:val="nil"/>
              <w:bottom w:val="nil"/>
              <w:right w:val="nil"/>
            </w:tcBorders>
            <w:shd w:val="clear" w:color="000000" w:fill="FFFFFF"/>
            <w:noWrap/>
            <w:vAlign w:val="center"/>
            <w:hideMark/>
          </w:tcPr>
          <w:p w14:paraId="69CBC891" w14:textId="77777777" w:rsidR="00283D4B" w:rsidRPr="00F720F8" w:rsidRDefault="00283D4B" w:rsidP="00F27CF1">
            <w:pPr>
              <w:jc w:val="center"/>
              <w:rPr>
                <w:rFonts w:eastAsia="Times New Roman"/>
                <w:sz w:val="20"/>
                <w:szCs w:val="20"/>
              </w:rPr>
            </w:pPr>
            <w:r w:rsidRPr="00F720F8">
              <w:rPr>
                <w:rFonts w:eastAsia="Times New Roman"/>
                <w:sz w:val="20"/>
                <w:szCs w:val="20"/>
              </w:rPr>
              <w:t>Impact on NOI</w:t>
            </w:r>
          </w:p>
        </w:tc>
      </w:tr>
      <w:tr w:rsidR="00283D4B" w:rsidRPr="00F720F8" w14:paraId="58805C62" w14:textId="77777777" w:rsidTr="00F27CF1">
        <w:trPr>
          <w:trHeight w:val="319"/>
        </w:trPr>
        <w:tc>
          <w:tcPr>
            <w:tcW w:w="2421" w:type="dxa"/>
            <w:tcBorders>
              <w:top w:val="nil"/>
              <w:left w:val="nil"/>
              <w:bottom w:val="nil"/>
              <w:right w:val="nil"/>
            </w:tcBorders>
            <w:shd w:val="clear" w:color="000000" w:fill="FFFFFF"/>
            <w:noWrap/>
            <w:vAlign w:val="center"/>
            <w:hideMark/>
          </w:tcPr>
          <w:p w14:paraId="557E380B" w14:textId="77777777" w:rsidR="00283D4B" w:rsidRPr="00F720F8" w:rsidRDefault="00283D4B" w:rsidP="00F27CF1">
            <w:pPr>
              <w:jc w:val="right"/>
              <w:rPr>
                <w:rFonts w:eastAsia="Times New Roman"/>
                <w:sz w:val="20"/>
                <w:szCs w:val="20"/>
              </w:rPr>
            </w:pPr>
            <w:r w:rsidRPr="00F720F8">
              <w:rPr>
                <w:rFonts w:eastAsia="Times New Roman"/>
                <w:sz w:val="20"/>
                <w:szCs w:val="20"/>
              </w:rPr>
              <w:t>Year 1</w:t>
            </w:r>
          </w:p>
        </w:tc>
        <w:tc>
          <w:tcPr>
            <w:tcW w:w="15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38F308" w14:textId="77777777" w:rsidR="00283D4B" w:rsidRPr="00F720F8" w:rsidRDefault="00283D4B" w:rsidP="00F27CF1">
            <w:pPr>
              <w:jc w:val="center"/>
              <w:rPr>
                <w:rFonts w:eastAsia="Times New Roman"/>
                <w:sz w:val="20"/>
                <w:szCs w:val="20"/>
              </w:rPr>
            </w:pPr>
            <w:r w:rsidRPr="00F720F8">
              <w:rPr>
                <w:rFonts w:eastAsia="Times New Roman"/>
                <w:sz w:val="20"/>
                <w:szCs w:val="20"/>
              </w:rPr>
              <w:t xml:space="preserve"> $ 1,000,000 </w:t>
            </w:r>
          </w:p>
        </w:tc>
        <w:tc>
          <w:tcPr>
            <w:tcW w:w="1571" w:type="dxa"/>
            <w:tcBorders>
              <w:top w:val="single" w:sz="4" w:space="0" w:color="auto"/>
              <w:left w:val="nil"/>
              <w:bottom w:val="single" w:sz="4" w:space="0" w:color="auto"/>
              <w:right w:val="single" w:sz="4" w:space="0" w:color="auto"/>
            </w:tcBorders>
            <w:shd w:val="clear" w:color="000000" w:fill="FFFFFF"/>
            <w:noWrap/>
            <w:vAlign w:val="center"/>
            <w:hideMark/>
          </w:tcPr>
          <w:p w14:paraId="31D06F78" w14:textId="73E849C1" w:rsidR="00283D4B" w:rsidRPr="00F720F8" w:rsidRDefault="00283D4B" w:rsidP="00F27CF1">
            <w:pPr>
              <w:jc w:val="center"/>
              <w:rPr>
                <w:rFonts w:eastAsia="Times New Roman"/>
                <w:sz w:val="20"/>
                <w:szCs w:val="20"/>
              </w:rPr>
            </w:pPr>
            <w:r w:rsidRPr="00F720F8">
              <w:rPr>
                <w:rFonts w:eastAsia="Times New Roman"/>
                <w:sz w:val="20"/>
                <w:szCs w:val="20"/>
              </w:rPr>
              <w:t xml:space="preserve"> $       </w:t>
            </w:r>
            <w:r w:rsidR="0045720F">
              <w:rPr>
                <w:rFonts w:eastAsia="Times New Roman"/>
                <w:sz w:val="20"/>
                <w:szCs w:val="20"/>
              </w:rPr>
              <w:t>0</w:t>
            </w:r>
            <w:r w:rsidRPr="00F720F8">
              <w:rPr>
                <w:rFonts w:eastAsia="Times New Roman"/>
                <w:sz w:val="20"/>
                <w:szCs w:val="20"/>
              </w:rPr>
              <w:t xml:space="preserve">        -   </w:t>
            </w:r>
          </w:p>
        </w:tc>
        <w:tc>
          <w:tcPr>
            <w:tcW w:w="1957" w:type="dxa"/>
            <w:tcBorders>
              <w:top w:val="single" w:sz="4" w:space="0" w:color="auto"/>
              <w:left w:val="nil"/>
              <w:bottom w:val="single" w:sz="4" w:space="0" w:color="auto"/>
              <w:right w:val="single" w:sz="4" w:space="0" w:color="auto"/>
            </w:tcBorders>
            <w:shd w:val="clear" w:color="000000" w:fill="FFFFFF"/>
            <w:noWrap/>
            <w:vAlign w:val="center"/>
            <w:hideMark/>
          </w:tcPr>
          <w:p w14:paraId="24512836" w14:textId="77777777" w:rsidR="00283D4B" w:rsidRPr="00F720F8" w:rsidRDefault="00283D4B" w:rsidP="00F27CF1">
            <w:pPr>
              <w:jc w:val="center"/>
              <w:rPr>
                <w:rFonts w:eastAsia="Times New Roman"/>
                <w:sz w:val="20"/>
                <w:szCs w:val="20"/>
              </w:rPr>
            </w:pPr>
            <w:r w:rsidRPr="00F720F8">
              <w:rPr>
                <w:rFonts w:eastAsia="Times New Roman"/>
                <w:sz w:val="20"/>
                <w:szCs w:val="20"/>
              </w:rPr>
              <w:t xml:space="preserve"> $        1,000,000 </w:t>
            </w:r>
          </w:p>
        </w:tc>
      </w:tr>
      <w:tr w:rsidR="00283D4B" w:rsidRPr="00F720F8" w14:paraId="2D06EAA0" w14:textId="77777777" w:rsidTr="00F27CF1">
        <w:trPr>
          <w:trHeight w:val="1277"/>
        </w:trPr>
        <w:tc>
          <w:tcPr>
            <w:tcW w:w="2421" w:type="dxa"/>
            <w:tcBorders>
              <w:top w:val="nil"/>
              <w:left w:val="nil"/>
              <w:bottom w:val="nil"/>
              <w:right w:val="nil"/>
            </w:tcBorders>
            <w:shd w:val="clear" w:color="000000" w:fill="FFFFFF"/>
            <w:vAlign w:val="center"/>
            <w:hideMark/>
          </w:tcPr>
          <w:p w14:paraId="4F65015B" w14:textId="77777777" w:rsidR="00283D4B" w:rsidRPr="00F720F8" w:rsidRDefault="00283D4B" w:rsidP="00F27CF1">
            <w:pPr>
              <w:jc w:val="right"/>
              <w:rPr>
                <w:rFonts w:eastAsia="Times New Roman"/>
                <w:sz w:val="20"/>
                <w:szCs w:val="20"/>
              </w:rPr>
            </w:pPr>
            <w:r w:rsidRPr="00F720F8">
              <w:rPr>
                <w:rFonts w:eastAsia="Times New Roman"/>
                <w:sz w:val="20"/>
                <w:szCs w:val="20"/>
              </w:rPr>
              <w:t xml:space="preserve">Year 2 </w:t>
            </w:r>
            <w:r w:rsidRPr="00F720F8">
              <w:rPr>
                <w:rFonts w:eastAsia="Times New Roman"/>
                <w:sz w:val="20"/>
                <w:szCs w:val="20"/>
              </w:rPr>
              <w:br/>
              <w:t>(Overhauls)</w:t>
            </w:r>
          </w:p>
        </w:tc>
        <w:tc>
          <w:tcPr>
            <w:tcW w:w="1571" w:type="dxa"/>
            <w:tcBorders>
              <w:top w:val="nil"/>
              <w:left w:val="single" w:sz="4" w:space="0" w:color="auto"/>
              <w:bottom w:val="single" w:sz="4" w:space="0" w:color="auto"/>
              <w:right w:val="single" w:sz="4" w:space="0" w:color="auto"/>
            </w:tcBorders>
            <w:shd w:val="clear" w:color="000000" w:fill="FFFFFF"/>
            <w:noWrap/>
            <w:vAlign w:val="center"/>
            <w:hideMark/>
          </w:tcPr>
          <w:p w14:paraId="70F1CD28" w14:textId="77777777" w:rsidR="00283D4B" w:rsidRPr="00F720F8" w:rsidRDefault="00283D4B" w:rsidP="00F27CF1">
            <w:pPr>
              <w:jc w:val="center"/>
              <w:rPr>
                <w:rFonts w:eastAsia="Times New Roman"/>
                <w:sz w:val="20"/>
                <w:szCs w:val="20"/>
              </w:rPr>
            </w:pPr>
            <w:r w:rsidRPr="00F720F8">
              <w:rPr>
                <w:rFonts w:eastAsia="Times New Roman"/>
                <w:sz w:val="20"/>
                <w:szCs w:val="20"/>
              </w:rPr>
              <w:t xml:space="preserve"> $ 1,000,000 </w:t>
            </w:r>
          </w:p>
        </w:tc>
        <w:tc>
          <w:tcPr>
            <w:tcW w:w="1571" w:type="dxa"/>
            <w:tcBorders>
              <w:top w:val="nil"/>
              <w:left w:val="nil"/>
              <w:bottom w:val="single" w:sz="4" w:space="0" w:color="auto"/>
              <w:right w:val="single" w:sz="4" w:space="0" w:color="auto"/>
            </w:tcBorders>
            <w:shd w:val="clear" w:color="000000" w:fill="FFFFFF"/>
            <w:noWrap/>
            <w:vAlign w:val="center"/>
            <w:hideMark/>
          </w:tcPr>
          <w:p w14:paraId="07587437" w14:textId="77777777" w:rsidR="00283D4B" w:rsidRPr="00F720F8" w:rsidRDefault="00283D4B" w:rsidP="00F27CF1">
            <w:pPr>
              <w:jc w:val="center"/>
              <w:rPr>
                <w:rFonts w:eastAsia="Times New Roman"/>
                <w:sz w:val="20"/>
                <w:szCs w:val="20"/>
              </w:rPr>
            </w:pPr>
            <w:r w:rsidRPr="00F720F8">
              <w:rPr>
                <w:rFonts w:eastAsia="Times New Roman"/>
                <w:sz w:val="20"/>
                <w:szCs w:val="20"/>
              </w:rPr>
              <w:t xml:space="preserve"> $ 3,000,000 </w:t>
            </w:r>
          </w:p>
        </w:tc>
        <w:tc>
          <w:tcPr>
            <w:tcW w:w="1957" w:type="dxa"/>
            <w:tcBorders>
              <w:top w:val="nil"/>
              <w:left w:val="nil"/>
              <w:bottom w:val="single" w:sz="4" w:space="0" w:color="auto"/>
              <w:right w:val="single" w:sz="4" w:space="0" w:color="auto"/>
            </w:tcBorders>
            <w:shd w:val="clear" w:color="000000" w:fill="FFFFFF"/>
            <w:noWrap/>
            <w:vAlign w:val="center"/>
            <w:hideMark/>
          </w:tcPr>
          <w:p w14:paraId="676F1F0C" w14:textId="77777777" w:rsidR="00283D4B" w:rsidRPr="00F720F8" w:rsidRDefault="00283D4B" w:rsidP="00F27CF1">
            <w:pPr>
              <w:jc w:val="center"/>
              <w:rPr>
                <w:rFonts w:eastAsia="Times New Roman"/>
                <w:sz w:val="20"/>
                <w:szCs w:val="20"/>
              </w:rPr>
            </w:pPr>
            <w:r w:rsidRPr="00F720F8">
              <w:rPr>
                <w:rFonts w:eastAsia="Times New Roman"/>
                <w:sz w:val="20"/>
                <w:szCs w:val="20"/>
              </w:rPr>
              <w:t xml:space="preserve"> $      (2,000,000)</w:t>
            </w:r>
          </w:p>
        </w:tc>
      </w:tr>
      <w:tr w:rsidR="00283D4B" w:rsidRPr="00F720F8" w14:paraId="73472462" w14:textId="77777777" w:rsidTr="00F27CF1">
        <w:trPr>
          <w:trHeight w:val="319"/>
        </w:trPr>
        <w:tc>
          <w:tcPr>
            <w:tcW w:w="2421" w:type="dxa"/>
            <w:tcBorders>
              <w:top w:val="nil"/>
              <w:left w:val="nil"/>
              <w:bottom w:val="nil"/>
              <w:right w:val="nil"/>
            </w:tcBorders>
            <w:shd w:val="clear" w:color="000000" w:fill="FFFFFF"/>
            <w:noWrap/>
            <w:vAlign w:val="center"/>
            <w:hideMark/>
          </w:tcPr>
          <w:p w14:paraId="7D63B8BD" w14:textId="77777777" w:rsidR="00283D4B" w:rsidRPr="00F720F8" w:rsidRDefault="00283D4B" w:rsidP="00F27CF1">
            <w:pPr>
              <w:jc w:val="right"/>
              <w:rPr>
                <w:rFonts w:eastAsia="Times New Roman"/>
                <w:sz w:val="20"/>
                <w:szCs w:val="20"/>
              </w:rPr>
            </w:pPr>
            <w:r w:rsidRPr="00F720F8">
              <w:rPr>
                <w:rFonts w:eastAsia="Times New Roman"/>
                <w:sz w:val="20"/>
                <w:szCs w:val="20"/>
              </w:rPr>
              <w:t>Year 3</w:t>
            </w:r>
          </w:p>
        </w:tc>
        <w:tc>
          <w:tcPr>
            <w:tcW w:w="1571" w:type="dxa"/>
            <w:tcBorders>
              <w:top w:val="nil"/>
              <w:left w:val="single" w:sz="4" w:space="0" w:color="auto"/>
              <w:bottom w:val="single" w:sz="4" w:space="0" w:color="auto"/>
              <w:right w:val="single" w:sz="4" w:space="0" w:color="auto"/>
            </w:tcBorders>
            <w:shd w:val="clear" w:color="000000" w:fill="FFFFFF"/>
            <w:noWrap/>
            <w:vAlign w:val="center"/>
            <w:hideMark/>
          </w:tcPr>
          <w:p w14:paraId="75B328D6" w14:textId="77777777" w:rsidR="00283D4B" w:rsidRPr="00F720F8" w:rsidRDefault="00283D4B" w:rsidP="00F27CF1">
            <w:pPr>
              <w:jc w:val="center"/>
              <w:rPr>
                <w:rFonts w:eastAsia="Times New Roman"/>
                <w:sz w:val="20"/>
                <w:szCs w:val="20"/>
              </w:rPr>
            </w:pPr>
            <w:r w:rsidRPr="00F720F8">
              <w:rPr>
                <w:rFonts w:eastAsia="Times New Roman"/>
                <w:sz w:val="20"/>
                <w:szCs w:val="20"/>
              </w:rPr>
              <w:t xml:space="preserve"> $ 1,000,000 </w:t>
            </w:r>
          </w:p>
        </w:tc>
        <w:tc>
          <w:tcPr>
            <w:tcW w:w="1571" w:type="dxa"/>
            <w:tcBorders>
              <w:top w:val="nil"/>
              <w:left w:val="nil"/>
              <w:bottom w:val="single" w:sz="4" w:space="0" w:color="auto"/>
              <w:right w:val="single" w:sz="4" w:space="0" w:color="auto"/>
            </w:tcBorders>
            <w:shd w:val="clear" w:color="000000" w:fill="FFFFFF"/>
            <w:noWrap/>
            <w:vAlign w:val="center"/>
            <w:hideMark/>
          </w:tcPr>
          <w:p w14:paraId="75329572" w14:textId="0C04B4B7" w:rsidR="00283D4B" w:rsidRPr="00F720F8" w:rsidRDefault="00283D4B" w:rsidP="00F27CF1">
            <w:pPr>
              <w:jc w:val="center"/>
              <w:rPr>
                <w:rFonts w:eastAsia="Times New Roman"/>
                <w:sz w:val="20"/>
                <w:szCs w:val="20"/>
              </w:rPr>
            </w:pPr>
            <w:r w:rsidRPr="00F720F8">
              <w:rPr>
                <w:rFonts w:eastAsia="Times New Roman"/>
                <w:sz w:val="20"/>
                <w:szCs w:val="20"/>
              </w:rPr>
              <w:t xml:space="preserve"> $      </w:t>
            </w:r>
            <w:r w:rsidR="0045720F">
              <w:rPr>
                <w:rFonts w:eastAsia="Times New Roman"/>
                <w:sz w:val="20"/>
                <w:szCs w:val="20"/>
              </w:rPr>
              <w:t>0</w:t>
            </w:r>
            <w:r w:rsidRPr="00F720F8">
              <w:rPr>
                <w:rFonts w:eastAsia="Times New Roman"/>
                <w:sz w:val="20"/>
                <w:szCs w:val="20"/>
              </w:rPr>
              <w:t xml:space="preserve">         -   </w:t>
            </w:r>
          </w:p>
        </w:tc>
        <w:tc>
          <w:tcPr>
            <w:tcW w:w="1957" w:type="dxa"/>
            <w:tcBorders>
              <w:top w:val="nil"/>
              <w:left w:val="nil"/>
              <w:bottom w:val="single" w:sz="4" w:space="0" w:color="auto"/>
              <w:right w:val="single" w:sz="4" w:space="0" w:color="auto"/>
            </w:tcBorders>
            <w:shd w:val="clear" w:color="000000" w:fill="FFFFFF"/>
            <w:noWrap/>
            <w:vAlign w:val="center"/>
            <w:hideMark/>
          </w:tcPr>
          <w:p w14:paraId="309C326C" w14:textId="77777777" w:rsidR="00283D4B" w:rsidRPr="00F720F8" w:rsidRDefault="00283D4B" w:rsidP="00F27CF1">
            <w:pPr>
              <w:jc w:val="center"/>
              <w:rPr>
                <w:rFonts w:eastAsia="Times New Roman"/>
                <w:sz w:val="20"/>
                <w:szCs w:val="20"/>
              </w:rPr>
            </w:pPr>
            <w:r w:rsidRPr="00F720F8">
              <w:rPr>
                <w:rFonts w:eastAsia="Times New Roman"/>
                <w:sz w:val="20"/>
                <w:szCs w:val="20"/>
              </w:rPr>
              <w:t xml:space="preserve"> $        1,000,000 </w:t>
            </w:r>
          </w:p>
        </w:tc>
      </w:tr>
    </w:tbl>
    <w:p w14:paraId="0B4BCAED" w14:textId="77777777" w:rsidR="00283D4B" w:rsidRPr="00F720F8" w:rsidRDefault="00283D4B" w:rsidP="00283D4B">
      <w:pPr>
        <w:pStyle w:val="NoSpacing"/>
      </w:pPr>
    </w:p>
    <w:p w14:paraId="75B49B5E" w14:textId="744F2E59" w:rsidR="00283D4B" w:rsidRPr="00F720F8" w:rsidRDefault="00283D4B" w:rsidP="00283D4B">
      <w:pPr>
        <w:pStyle w:val="NoSpacing"/>
      </w:pPr>
      <w:r w:rsidRPr="00F720F8">
        <w:tab/>
        <w:t xml:space="preserve">As this simple example </w:t>
      </w:r>
      <w:r w:rsidR="0045720F">
        <w:t>demonstrates</w:t>
      </w:r>
      <w:r w:rsidRPr="00F720F8">
        <w:t xml:space="preserve">, the revenues that occur in year one and year three are in excess of actual expenses, leading to an unusual increase in NOI.  In year two, revenues are significantly lower than the actual expenses leading to a revenue shortfall and a significant reduction in NOI.  Normalizing these expenses aligns the costs with the years of corresponding benefits.  </w:t>
      </w:r>
    </w:p>
    <w:p w14:paraId="2210D959" w14:textId="77777777" w:rsidR="00283D4B" w:rsidRPr="00F720F8" w:rsidRDefault="00283D4B" w:rsidP="00283D4B">
      <w:pPr>
        <w:pStyle w:val="Heading8"/>
      </w:pPr>
    </w:p>
    <w:p w14:paraId="7B6EFC41" w14:textId="53F004F4" w:rsidR="00283D4B" w:rsidRPr="00F720F8" w:rsidRDefault="00283D4B" w:rsidP="00283D4B">
      <w:pPr>
        <w:pStyle w:val="Heading8"/>
      </w:pPr>
      <w:r w:rsidRPr="00F720F8">
        <w:t>Q.</w:t>
      </w:r>
      <w:r w:rsidRPr="00F720F8">
        <w:tab/>
        <w:t xml:space="preserve">Why does Staff </w:t>
      </w:r>
      <w:r w:rsidR="00E535AF">
        <w:t xml:space="preserve">also </w:t>
      </w:r>
      <w:r w:rsidRPr="00F720F8">
        <w:t>recommend removing the management reserve?</w:t>
      </w:r>
    </w:p>
    <w:p w14:paraId="6E9A3BAB" w14:textId="17992B52" w:rsidR="00E535AF" w:rsidRDefault="00283D4B" w:rsidP="00283D4B">
      <w:pPr>
        <w:pStyle w:val="NoSpacing"/>
      </w:pPr>
      <w:r w:rsidRPr="00F720F8">
        <w:t>A.</w:t>
      </w:r>
      <w:r w:rsidRPr="00F720F8">
        <w:tab/>
      </w:r>
      <w:r w:rsidRPr="007C6569">
        <w:t xml:space="preserve">The management reserve is </w:t>
      </w:r>
      <w:r w:rsidR="00E535AF" w:rsidRPr="007C6569">
        <w:t>a dollar amount for</w:t>
      </w:r>
      <w:r w:rsidRPr="007C6569">
        <w:t xml:space="preserve"> cost overruns and unexpected damage discovered during the course of an overhaul.</w:t>
      </w:r>
      <w:r w:rsidRPr="007C6569">
        <w:rPr>
          <w:rStyle w:val="FootnoteReference"/>
        </w:rPr>
        <w:footnoteReference w:id="17"/>
      </w:r>
      <w:r w:rsidRPr="007C6569">
        <w:t xml:space="preserve">  </w:t>
      </w:r>
      <w:r w:rsidRPr="00313421">
        <w:t>Until an overhaul is underway</w:t>
      </w:r>
      <w:r w:rsidR="00E535AF">
        <w:t>,</w:t>
      </w:r>
      <w:r w:rsidRPr="00313421">
        <w:t xml:space="preserve"> there is no way to predict how much, if any, of the reserve will be needed.</w:t>
      </w:r>
      <w:r w:rsidR="00F42D3A" w:rsidRPr="00313421">
        <w:rPr>
          <w:rStyle w:val="FootnoteReference"/>
        </w:rPr>
        <w:footnoteReference w:id="18"/>
      </w:r>
      <w:r w:rsidRPr="00313421">
        <w:t xml:space="preserve">  </w:t>
      </w:r>
    </w:p>
    <w:p w14:paraId="6BD0410C" w14:textId="330A2032" w:rsidR="00283D4B" w:rsidRPr="00F720F8" w:rsidRDefault="00283D4B" w:rsidP="00E535AF">
      <w:pPr>
        <w:pStyle w:val="NoSpacing"/>
        <w:ind w:firstLine="720"/>
      </w:pPr>
      <w:r w:rsidRPr="00313421">
        <w:t>For regulatory purposes</w:t>
      </w:r>
      <w:r w:rsidR="003225D0" w:rsidRPr="00313421">
        <w:t>,</w:t>
      </w:r>
      <w:r w:rsidRPr="00313421">
        <w:t xml:space="preserve"> it makes little sense to include the management reserve</w:t>
      </w:r>
      <w:r w:rsidRPr="00F720F8">
        <w:t xml:space="preserve"> when normalizing a </w:t>
      </w:r>
      <w:r w:rsidR="003225D0">
        <w:t xml:space="preserve">standard </w:t>
      </w:r>
      <w:r w:rsidRPr="00F720F8">
        <w:t xml:space="preserve">overhaul schedule.  If cost overruns do occur they will be captured in the </w:t>
      </w:r>
      <w:r w:rsidR="003C5667" w:rsidRPr="00F720F8">
        <w:t>actual O&amp;M for that year.  In</w:t>
      </w:r>
      <w:r w:rsidRPr="00F720F8">
        <w:t xml:space="preserve"> extreme situations, the </w:t>
      </w:r>
      <w:r w:rsidR="002A7EFD">
        <w:t>C</w:t>
      </w:r>
      <w:r w:rsidRPr="00F720F8">
        <w:t xml:space="preserve">ompany has other regulatory options, such as accounting petitions, to recover the </w:t>
      </w:r>
      <w:r w:rsidR="003225D0">
        <w:t>unexpected</w:t>
      </w:r>
      <w:r w:rsidR="003225D0" w:rsidRPr="00F720F8">
        <w:t xml:space="preserve"> </w:t>
      </w:r>
      <w:r w:rsidRPr="00F720F8">
        <w:t>overhaul expense.</w:t>
      </w:r>
      <w:r w:rsidR="00E535AF">
        <w:t xml:space="preserve"> </w:t>
      </w:r>
      <w:r w:rsidR="00AB61CF">
        <w:t xml:space="preserve"> These tools are designed specifically to handle unexpected or unpredictable costs</w:t>
      </w:r>
      <w:r w:rsidR="007900E7">
        <w:t>.</w:t>
      </w:r>
      <w:r w:rsidR="009163B1">
        <w:t xml:space="preserve"> </w:t>
      </w:r>
    </w:p>
    <w:p w14:paraId="2F5C57E1" w14:textId="77777777" w:rsidR="00283D4B" w:rsidRPr="00F720F8" w:rsidRDefault="00283D4B" w:rsidP="00283D4B">
      <w:pPr>
        <w:pStyle w:val="NoSpacing"/>
      </w:pPr>
    </w:p>
    <w:p w14:paraId="04A42996" w14:textId="77777777" w:rsidR="00283D4B" w:rsidRPr="00F720F8" w:rsidRDefault="00283D4B" w:rsidP="00283D4B">
      <w:pPr>
        <w:pStyle w:val="Heading8"/>
      </w:pPr>
      <w:r w:rsidRPr="00F720F8">
        <w:t>Q.</w:t>
      </w:r>
      <w:r w:rsidRPr="00F720F8">
        <w:tab/>
        <w:t>Has Staff’s proposed treatment been applied in any other case?</w:t>
      </w:r>
    </w:p>
    <w:p w14:paraId="7A170123" w14:textId="08FCB60B" w:rsidR="003225D0" w:rsidRDefault="00283D4B" w:rsidP="00283D4B">
      <w:pPr>
        <w:pStyle w:val="NoSpacing"/>
      </w:pPr>
      <w:r w:rsidRPr="00F720F8">
        <w:t>A.</w:t>
      </w:r>
      <w:r w:rsidRPr="00F720F8">
        <w:tab/>
        <w:t xml:space="preserve">Yes.  </w:t>
      </w:r>
      <w:r w:rsidR="009163B1" w:rsidRPr="00F720F8">
        <w:t xml:space="preserve">The last two settlements </w:t>
      </w:r>
      <w:r w:rsidR="009163B1">
        <w:t xml:space="preserve">of PSE’s </w:t>
      </w:r>
      <w:r w:rsidR="009163B1" w:rsidRPr="00F720F8">
        <w:t>Power Cost Only Rate Cases</w:t>
      </w:r>
      <w:r w:rsidR="009163B1">
        <w:t xml:space="preserve"> </w:t>
      </w:r>
      <w:r w:rsidR="00ED2B16">
        <w:t xml:space="preserve">(PCORC) </w:t>
      </w:r>
      <w:r w:rsidR="009163B1">
        <w:t xml:space="preserve">included </w:t>
      </w:r>
      <w:r w:rsidR="009163B1" w:rsidRPr="00F720F8">
        <w:t>similar</w:t>
      </w:r>
      <w:r w:rsidRPr="00F720F8">
        <w:t xml:space="preserve"> </w:t>
      </w:r>
      <w:r w:rsidR="009163B1">
        <w:t xml:space="preserve">accounting </w:t>
      </w:r>
      <w:r w:rsidRPr="00F720F8">
        <w:t>treatment</w:t>
      </w:r>
      <w:r w:rsidR="009163B1">
        <w:t>s</w:t>
      </w:r>
      <w:r w:rsidRPr="00F720F8">
        <w:t>.</w:t>
      </w:r>
      <w:r w:rsidRPr="00F720F8">
        <w:rPr>
          <w:rStyle w:val="FootnoteReference"/>
        </w:rPr>
        <w:footnoteReference w:id="19"/>
      </w:r>
      <w:r w:rsidRPr="00F720F8">
        <w:t xml:space="preserve">  In the 2014 </w:t>
      </w:r>
      <w:r w:rsidR="009630F0">
        <w:t>PCORC</w:t>
      </w:r>
      <w:r w:rsidR="009163B1">
        <w:t xml:space="preserve"> </w:t>
      </w:r>
      <w:r w:rsidRPr="00F720F8">
        <w:t xml:space="preserve">settlement, </w:t>
      </w:r>
      <w:r w:rsidR="009163B1" w:rsidRPr="00F720F8">
        <w:t xml:space="preserve">the settling parties </w:t>
      </w:r>
      <w:r w:rsidR="009163B1">
        <w:t>also agreed to a</w:t>
      </w:r>
      <w:r w:rsidR="009163B1" w:rsidRPr="00F720F8">
        <w:t xml:space="preserve"> </w:t>
      </w:r>
      <w:r w:rsidRPr="00F720F8">
        <w:t>similar accounting treatment</w:t>
      </w:r>
      <w:r w:rsidR="009630F0">
        <w:t xml:space="preserve"> for Colstrip</w:t>
      </w:r>
      <w:r w:rsidRPr="00F720F8">
        <w:t xml:space="preserve"> as Staff</w:t>
      </w:r>
      <w:r w:rsidR="009163B1">
        <w:t xml:space="preserve"> proposes here</w:t>
      </w:r>
      <w:r w:rsidRPr="00F720F8">
        <w:t>.</w:t>
      </w:r>
      <w:r w:rsidRPr="00F720F8">
        <w:rPr>
          <w:rStyle w:val="FootnoteReference"/>
        </w:rPr>
        <w:footnoteReference w:id="20"/>
      </w:r>
      <w:r w:rsidRPr="00F720F8">
        <w:t xml:space="preserve">  </w:t>
      </w:r>
    </w:p>
    <w:p w14:paraId="28DC009D" w14:textId="15EB573A" w:rsidR="00283D4B" w:rsidRPr="00F720F8" w:rsidRDefault="003225D0" w:rsidP="00283D4B">
      <w:pPr>
        <w:pStyle w:val="NoSpacing"/>
      </w:pPr>
      <w:r>
        <w:lastRenderedPageBreak/>
        <w:tab/>
      </w:r>
      <w:r>
        <w:tab/>
        <w:t xml:space="preserve">In Avista’s 2011 general rate case, the </w:t>
      </w:r>
      <w:r w:rsidR="00E11AF4">
        <w:t>s</w:t>
      </w:r>
      <w:r>
        <w:t>ettling parties agreed to</w:t>
      </w:r>
      <w:r w:rsidR="009163B1">
        <w:t>,</w:t>
      </w:r>
      <w:r>
        <w:t xml:space="preserve"> and the Commission approved</w:t>
      </w:r>
      <w:r w:rsidR="009163B1">
        <w:t>,</w:t>
      </w:r>
      <w:r>
        <w:t xml:space="preserve"> a deferral mechanism to capture differences between actual O&amp;M </w:t>
      </w:r>
      <w:r w:rsidR="000863D3">
        <w:t xml:space="preserve">for Colstrip and CS2 </w:t>
      </w:r>
      <w:r>
        <w:t>and a baseline O&amp;M established by the parties.</w:t>
      </w:r>
      <w:r w:rsidR="000863D3">
        <w:rPr>
          <w:rStyle w:val="FootnoteReference"/>
        </w:rPr>
        <w:footnoteReference w:id="21"/>
      </w:r>
      <w:r>
        <w:t xml:space="preserve">  This mechanism allowed a </w:t>
      </w:r>
      <w:r w:rsidR="00F12C35">
        <w:t>deferral</w:t>
      </w:r>
      <w:r>
        <w:t xml:space="preserve"> of any differences</w:t>
      </w:r>
      <w:r w:rsidR="009163B1">
        <w:t>,</w:t>
      </w:r>
      <w:r>
        <w:t xml:space="preserve"> and </w:t>
      </w:r>
      <w:r w:rsidR="00F12C35">
        <w:t xml:space="preserve">amortized them over a four-year period.  </w:t>
      </w:r>
      <w:r w:rsidR="000863D3">
        <w:t>This mechanism was discontinued as a part of the settlement in Avista’s 2012 general rate case.</w:t>
      </w:r>
      <w:r w:rsidR="00193339">
        <w:rPr>
          <w:rStyle w:val="FootnoteReference"/>
        </w:rPr>
        <w:footnoteReference w:id="22"/>
      </w:r>
      <w:r w:rsidR="000863D3">
        <w:t xml:space="preserve">  </w:t>
      </w:r>
    </w:p>
    <w:p w14:paraId="64266661" w14:textId="77777777" w:rsidR="00283D4B" w:rsidRPr="00F720F8" w:rsidRDefault="00283D4B" w:rsidP="002878E9">
      <w:pPr>
        <w:pStyle w:val="NoSpacing"/>
        <w:ind w:left="0" w:firstLine="0"/>
      </w:pPr>
    </w:p>
    <w:p w14:paraId="58E1AE1D" w14:textId="177340F9" w:rsidR="002878E9" w:rsidRPr="00F720F8" w:rsidRDefault="009163B1" w:rsidP="005C74B0">
      <w:pPr>
        <w:pStyle w:val="Heading1"/>
      </w:pPr>
      <w:bookmarkStart w:id="72" w:name="_Toc424808474"/>
      <w:bookmarkStart w:id="73" w:name="_Toc424808495"/>
      <w:bookmarkStart w:id="74" w:name="_Toc425422187"/>
      <w:bookmarkStart w:id="75" w:name="_Toc425422361"/>
      <w:bookmarkStart w:id="76" w:name="_Toc425423247"/>
      <w:bookmarkStart w:id="77" w:name="_Toc425497662"/>
      <w:r>
        <w:t>OTHER PRO FORMA</w:t>
      </w:r>
      <w:r w:rsidRPr="00F720F8">
        <w:t xml:space="preserve"> ADJUSTMENTS</w:t>
      </w:r>
      <w:bookmarkEnd w:id="72"/>
      <w:bookmarkEnd w:id="73"/>
      <w:bookmarkEnd w:id="74"/>
      <w:bookmarkEnd w:id="75"/>
      <w:bookmarkEnd w:id="76"/>
      <w:bookmarkEnd w:id="77"/>
    </w:p>
    <w:p w14:paraId="611D16DD" w14:textId="77777777" w:rsidR="009A2EC2" w:rsidRPr="00F720F8" w:rsidRDefault="009A2EC2" w:rsidP="004A27B2">
      <w:pPr>
        <w:pStyle w:val="NoSpacing"/>
      </w:pPr>
    </w:p>
    <w:p w14:paraId="564760CC" w14:textId="6D590AC0" w:rsidR="00090908" w:rsidRPr="00F720F8" w:rsidRDefault="00CA40A7" w:rsidP="00DA24F8">
      <w:pPr>
        <w:pStyle w:val="Heading2"/>
        <w:numPr>
          <w:ilvl w:val="0"/>
          <w:numId w:val="33"/>
        </w:numPr>
        <w:ind w:left="1440" w:hanging="720"/>
      </w:pPr>
      <w:bookmarkStart w:id="78" w:name="_Toc424808475"/>
      <w:bookmarkStart w:id="79" w:name="_Toc424808496"/>
      <w:bookmarkStart w:id="80" w:name="_Toc425422188"/>
      <w:bookmarkStart w:id="81" w:name="_Toc425422362"/>
      <w:bookmarkStart w:id="82" w:name="_Toc425423248"/>
      <w:bookmarkStart w:id="83" w:name="_Toc425497663"/>
      <w:r w:rsidRPr="00F720F8">
        <w:t>Adjustment 3.01 (Electric) - Transmission Revenue &amp; Expenses</w:t>
      </w:r>
      <w:bookmarkEnd w:id="78"/>
      <w:bookmarkEnd w:id="79"/>
      <w:bookmarkEnd w:id="80"/>
      <w:bookmarkEnd w:id="81"/>
      <w:bookmarkEnd w:id="82"/>
      <w:bookmarkEnd w:id="83"/>
    </w:p>
    <w:p w14:paraId="0B595611" w14:textId="69EBCA90" w:rsidR="00090908" w:rsidRPr="00F720F8" w:rsidRDefault="00090908" w:rsidP="00090908">
      <w:pPr>
        <w:spacing w:line="480" w:lineRule="auto"/>
        <w:ind w:left="720" w:hanging="720"/>
      </w:pPr>
    </w:p>
    <w:p w14:paraId="7D47897D" w14:textId="396634BD" w:rsidR="00090908" w:rsidRPr="00F720F8" w:rsidRDefault="00090908" w:rsidP="009E6633">
      <w:pPr>
        <w:pStyle w:val="Heading8"/>
      </w:pPr>
      <w:r w:rsidRPr="00F720F8">
        <w:t>Q.</w:t>
      </w:r>
      <w:r w:rsidRPr="00F720F8">
        <w:tab/>
        <w:t>Please describe the Company’s proposed adjustment 3.01 to transmission revenue</w:t>
      </w:r>
      <w:r w:rsidR="003F2974">
        <w:t xml:space="preserve"> &amp;</w:t>
      </w:r>
      <w:r w:rsidR="00184A69">
        <w:t xml:space="preserve"> </w:t>
      </w:r>
      <w:r w:rsidRPr="00F720F8">
        <w:t xml:space="preserve">expenses. </w:t>
      </w:r>
    </w:p>
    <w:p w14:paraId="3C726CE8" w14:textId="63276F40" w:rsidR="00090908" w:rsidRPr="00F720F8" w:rsidRDefault="00090908" w:rsidP="00090908">
      <w:pPr>
        <w:pStyle w:val="NoSpacing"/>
        <w:rPr>
          <w:b/>
        </w:rPr>
      </w:pPr>
      <w:r w:rsidRPr="00F720F8">
        <w:t>A.</w:t>
      </w:r>
      <w:r w:rsidRPr="00F720F8">
        <w:tab/>
        <w:t xml:space="preserve">The Company proposes a pro forma adjustment to increase </w:t>
      </w:r>
      <w:r w:rsidR="00D3385E">
        <w:t xml:space="preserve">electric </w:t>
      </w:r>
      <w:r w:rsidRPr="00F720F8">
        <w:t xml:space="preserve">transmission revenue </w:t>
      </w:r>
      <w:r w:rsidR="00BD0D76">
        <w:t>and</w:t>
      </w:r>
      <w:r w:rsidR="00184A69" w:rsidRPr="00F720F8">
        <w:t xml:space="preserve"> </w:t>
      </w:r>
      <w:r w:rsidR="00863FF0" w:rsidRPr="00F720F8">
        <w:t>expenses</w:t>
      </w:r>
      <w:r w:rsidRPr="00F720F8">
        <w:t xml:space="preserve"> </w:t>
      </w:r>
      <w:r w:rsidR="00A720A7">
        <w:t>for the</w:t>
      </w:r>
      <w:r w:rsidRPr="00F720F8">
        <w:t xml:space="preserve"> rate year.  The effect of the Company’s adjustment reduces </w:t>
      </w:r>
      <w:r w:rsidR="00436132">
        <w:t>NOI</w:t>
      </w:r>
      <w:r w:rsidRPr="00F720F8">
        <w:t xml:space="preserve"> by $71,000.</w:t>
      </w:r>
    </w:p>
    <w:p w14:paraId="0CC8DAB9" w14:textId="77777777" w:rsidR="00090908" w:rsidRPr="00F720F8" w:rsidRDefault="00090908" w:rsidP="00090908">
      <w:pPr>
        <w:spacing w:line="480" w:lineRule="auto"/>
        <w:ind w:left="720" w:hanging="720"/>
        <w:rPr>
          <w:b/>
        </w:rPr>
      </w:pPr>
    </w:p>
    <w:p w14:paraId="107BA7E7" w14:textId="02C782B8" w:rsidR="00090908" w:rsidRPr="00F720F8" w:rsidRDefault="00090908" w:rsidP="00090908">
      <w:pPr>
        <w:pStyle w:val="Heading8"/>
      </w:pPr>
      <w:r w:rsidRPr="00F720F8">
        <w:t>Q.</w:t>
      </w:r>
      <w:r w:rsidRPr="00F720F8">
        <w:tab/>
        <w:t>What is Staff’s recommendation for the transmission revenue</w:t>
      </w:r>
      <w:r w:rsidR="00A720A7">
        <w:t xml:space="preserve"> &amp; </w:t>
      </w:r>
      <w:r w:rsidRPr="00F720F8">
        <w:t>expense adjustment?</w:t>
      </w:r>
    </w:p>
    <w:p w14:paraId="72E50156" w14:textId="32DF21B8" w:rsidR="00090908" w:rsidRPr="00F720F8" w:rsidRDefault="00090908" w:rsidP="00090908">
      <w:pPr>
        <w:pStyle w:val="NoSpacing"/>
      </w:pPr>
      <w:r w:rsidRPr="00F720F8">
        <w:t>A.</w:t>
      </w:r>
      <w:r w:rsidRPr="00F720F8">
        <w:tab/>
        <w:t xml:space="preserve">This particular adjustment involves numerous individual line items.  Staff </w:t>
      </w:r>
      <w:r w:rsidR="00C80848">
        <w:t xml:space="preserve">has reviewed each of the lines items and </w:t>
      </w:r>
      <w:r w:rsidRPr="00F720F8">
        <w:t xml:space="preserve">rejects or modifies seven </w:t>
      </w:r>
      <w:r w:rsidR="00C80848">
        <w:t>of them</w:t>
      </w:r>
      <w:r w:rsidRPr="00F720F8">
        <w:t xml:space="preserve">.  </w:t>
      </w:r>
      <w:r w:rsidR="00CF632C">
        <w:t xml:space="preserve">Staff </w:t>
      </w:r>
      <w:r w:rsidR="00CF632C">
        <w:lastRenderedPageBreak/>
        <w:t xml:space="preserve">modified these </w:t>
      </w:r>
      <w:r w:rsidR="00222F99">
        <w:t>items</w:t>
      </w:r>
      <w:r w:rsidR="00CF632C">
        <w:t xml:space="preserve"> because they did not adhere to the known and measurable standard</w:t>
      </w:r>
      <w:r w:rsidR="00705881">
        <w:t xml:space="preserve"> or were not used and useful.  </w:t>
      </w:r>
    </w:p>
    <w:p w14:paraId="567137D4" w14:textId="77777777" w:rsidR="00090908" w:rsidRPr="00F720F8" w:rsidRDefault="00090908" w:rsidP="00090908">
      <w:pPr>
        <w:spacing w:line="480" w:lineRule="auto"/>
        <w:ind w:left="720" w:hanging="720"/>
      </w:pPr>
    </w:p>
    <w:p w14:paraId="507795F5" w14:textId="77777777" w:rsidR="00090908" w:rsidRPr="00F720F8" w:rsidRDefault="00090908" w:rsidP="00090908">
      <w:pPr>
        <w:pStyle w:val="Heading8"/>
      </w:pPr>
      <w:r w:rsidRPr="00F720F8">
        <w:t>Q.</w:t>
      </w:r>
      <w:r w:rsidRPr="00F720F8">
        <w:tab/>
        <w:t>Which line items does Staff’s recommend modifying or rejecting?</w:t>
      </w:r>
    </w:p>
    <w:p w14:paraId="16C0BEF5" w14:textId="7A16F301" w:rsidR="00090908" w:rsidRPr="00F720F8" w:rsidRDefault="00090908" w:rsidP="00090908">
      <w:pPr>
        <w:pStyle w:val="NoSpacing"/>
      </w:pPr>
      <w:r w:rsidRPr="00F720F8">
        <w:t>A.</w:t>
      </w:r>
      <w:r w:rsidRPr="00F720F8">
        <w:tab/>
        <w:t xml:space="preserve">The seven line items </w:t>
      </w:r>
      <w:r w:rsidR="00436132">
        <w:t>S</w:t>
      </w:r>
      <w:r w:rsidRPr="00F720F8">
        <w:t xml:space="preserve">taff recommends adjustments </w:t>
      </w:r>
      <w:r w:rsidR="00A720A7">
        <w:t>for</w:t>
      </w:r>
      <w:r w:rsidRPr="00F720F8">
        <w:t xml:space="preserve"> are the following:</w:t>
      </w:r>
      <w:r w:rsidRPr="00F720F8">
        <w:tab/>
      </w:r>
    </w:p>
    <w:p w14:paraId="7B6A8681" w14:textId="612AF0A2" w:rsidR="00090908" w:rsidRPr="00A03550" w:rsidRDefault="00090908" w:rsidP="00166C0D">
      <w:pPr>
        <w:pStyle w:val="ListParagraph"/>
        <w:numPr>
          <w:ilvl w:val="0"/>
          <w:numId w:val="21"/>
        </w:numPr>
      </w:pPr>
      <w:r w:rsidRPr="00C50144">
        <w:t xml:space="preserve">C – </w:t>
      </w:r>
      <w:r w:rsidR="005F6EE6" w:rsidRPr="00C50144">
        <w:t>Colstrip Transmission (O&amp;M/</w:t>
      </w:r>
      <w:r w:rsidRPr="00C50144">
        <w:t>500kV Line</w:t>
      </w:r>
      <w:r w:rsidR="005F6EE6" w:rsidRPr="00C50144">
        <w:t>)</w:t>
      </w:r>
      <w:r w:rsidR="004F55A0" w:rsidRPr="00C50144">
        <w:t xml:space="preserve"> - The Company </w:t>
      </w:r>
      <w:r w:rsidR="00CD5F0E" w:rsidRPr="00C50144">
        <w:t xml:space="preserve">proposes an increase in Colstrip transmission </w:t>
      </w:r>
      <w:r w:rsidR="00B67E9C" w:rsidRPr="00C50144">
        <w:t xml:space="preserve">O&amp;M </w:t>
      </w:r>
      <w:r w:rsidR="00CD5F0E" w:rsidRPr="00C50144">
        <w:t>by $36,000.</w:t>
      </w:r>
      <w:r w:rsidR="007B39DD">
        <w:t xml:space="preserve"> </w:t>
      </w:r>
      <w:r w:rsidR="00982A1D">
        <w:t xml:space="preserve"> </w:t>
      </w:r>
      <w:r w:rsidR="00AE5E29" w:rsidRPr="00C50144">
        <w:t>However, the Company’s work</w:t>
      </w:r>
      <w:r w:rsidR="00591F79" w:rsidRPr="00C50144">
        <w:t xml:space="preserve"> </w:t>
      </w:r>
      <w:r w:rsidR="00AE5E29" w:rsidRPr="00C50144">
        <w:t>papers show that for the last several years the actual expense amounts have been well below the budgeted amounts.</w:t>
      </w:r>
      <w:r w:rsidR="00AE5E29" w:rsidRPr="00C50144">
        <w:rPr>
          <w:rStyle w:val="FootnoteReference"/>
        </w:rPr>
        <w:footnoteReference w:id="23"/>
      </w:r>
      <w:r w:rsidR="007B39DD">
        <w:t xml:space="preserve"> </w:t>
      </w:r>
      <w:r w:rsidR="00982A1D">
        <w:t xml:space="preserve"> </w:t>
      </w:r>
      <w:r w:rsidR="004C4B9B" w:rsidRPr="00C50144">
        <w:t>The amount included in the test year is consistent with this analysis</w:t>
      </w:r>
      <w:r w:rsidR="00BD0D76" w:rsidRPr="00C50144">
        <w:t xml:space="preserve">. </w:t>
      </w:r>
      <w:r w:rsidR="00982A1D">
        <w:t xml:space="preserve"> </w:t>
      </w:r>
      <w:r w:rsidR="004F55A0" w:rsidRPr="00C50144">
        <w:t xml:space="preserve">Therefore, Staff rejects the Company’s adjustment and recommends keeping the expense at the </w:t>
      </w:r>
      <w:r w:rsidR="00322017" w:rsidRPr="00C50144">
        <w:t>test year level</w:t>
      </w:r>
      <w:r w:rsidR="004F55A0" w:rsidRPr="00C50144">
        <w:t>.</w:t>
      </w:r>
      <w:r w:rsidRPr="00A03550">
        <w:t xml:space="preserve"> </w:t>
      </w:r>
    </w:p>
    <w:p w14:paraId="4BAB1D03" w14:textId="77777777" w:rsidR="004F55A0" w:rsidRPr="00166C0D" w:rsidRDefault="004F55A0" w:rsidP="00166C0D">
      <w:pPr>
        <w:pStyle w:val="ListParagraph"/>
        <w:ind w:left="1440"/>
      </w:pPr>
    </w:p>
    <w:p w14:paraId="3D398DAE" w14:textId="0A0BDAE5" w:rsidR="003408D6" w:rsidRPr="00C50144" w:rsidRDefault="003408D6" w:rsidP="00166C0D">
      <w:pPr>
        <w:pStyle w:val="ListParagraph"/>
        <w:numPr>
          <w:ilvl w:val="0"/>
          <w:numId w:val="21"/>
        </w:numPr>
      </w:pPr>
      <w:r w:rsidRPr="00C50144">
        <w:t>D – ColumbiaGrid Development</w:t>
      </w:r>
      <w:r w:rsidR="00322017" w:rsidRPr="00C50144">
        <w:t>/RTO</w:t>
      </w:r>
      <w:r w:rsidRPr="00C50144">
        <w:t xml:space="preserve"> - The Company is proposing an i</w:t>
      </w:r>
      <w:r w:rsidR="007B39DD">
        <w:t xml:space="preserve">ncrease in expense of $39,000. </w:t>
      </w:r>
      <w:r w:rsidR="00982A1D">
        <w:t xml:space="preserve"> </w:t>
      </w:r>
      <w:r w:rsidR="00AE5E29" w:rsidRPr="00C50144">
        <w:t>However, t</w:t>
      </w:r>
      <w:r w:rsidRPr="00C50144">
        <w:t xml:space="preserve">he Company’s workpapers show that for the last several years the actual expense amounts have been </w:t>
      </w:r>
      <w:r w:rsidR="00322017" w:rsidRPr="00C50144">
        <w:t xml:space="preserve">well </w:t>
      </w:r>
      <w:r w:rsidRPr="00C50144">
        <w:t>below the budgeted amoun</w:t>
      </w:r>
      <w:r w:rsidR="00322017" w:rsidRPr="00C50144">
        <w:t>ts.</w:t>
      </w:r>
      <w:r w:rsidR="00322017" w:rsidRPr="00C50144">
        <w:rPr>
          <w:rStyle w:val="FootnoteReference"/>
        </w:rPr>
        <w:footnoteReference w:id="24"/>
      </w:r>
      <w:r w:rsidR="007B39DD">
        <w:t xml:space="preserve"> </w:t>
      </w:r>
      <w:r w:rsidR="00982A1D">
        <w:t xml:space="preserve"> </w:t>
      </w:r>
      <w:r w:rsidR="004C4B9B" w:rsidRPr="00C50144">
        <w:t>The amount included in the test year is consistent</w:t>
      </w:r>
      <w:r w:rsidR="00322017" w:rsidRPr="00C50144">
        <w:t xml:space="preserve"> with </w:t>
      </w:r>
      <w:r w:rsidR="004C4B9B" w:rsidRPr="00C50144">
        <w:t>this analysis</w:t>
      </w:r>
      <w:r w:rsidR="007B39DD">
        <w:t xml:space="preserve">. </w:t>
      </w:r>
      <w:r w:rsidR="00982A1D">
        <w:t xml:space="preserve"> </w:t>
      </w:r>
      <w:r w:rsidRPr="00C50144">
        <w:t xml:space="preserve">Therefore, </w:t>
      </w:r>
      <w:r w:rsidR="00322017" w:rsidRPr="00C50144">
        <w:t xml:space="preserve">Staff </w:t>
      </w:r>
      <w:r w:rsidR="007101FC">
        <w:t>recommends rejection of</w:t>
      </w:r>
      <w:r w:rsidR="007101FC" w:rsidRPr="00C50144">
        <w:t xml:space="preserve"> </w:t>
      </w:r>
      <w:r w:rsidR="00322017" w:rsidRPr="00C50144">
        <w:t>the Company’s adjustment and keeping the expense at the test year level.</w:t>
      </w:r>
    </w:p>
    <w:p w14:paraId="337BCDCC" w14:textId="4641C447" w:rsidR="004F55A0" w:rsidRPr="00166C0D" w:rsidRDefault="004F55A0" w:rsidP="00166C0D"/>
    <w:p w14:paraId="330B84EC" w14:textId="28EB1DC0" w:rsidR="004F55A0" w:rsidRPr="00166C0D" w:rsidRDefault="00090908" w:rsidP="00166C0D">
      <w:pPr>
        <w:pStyle w:val="ListParagraph"/>
        <w:numPr>
          <w:ilvl w:val="0"/>
          <w:numId w:val="21"/>
        </w:numPr>
      </w:pPr>
      <w:r w:rsidRPr="00166C0D">
        <w:t>E</w:t>
      </w:r>
      <w:r w:rsidR="00D36DFB" w:rsidRPr="00166C0D">
        <w:t xml:space="preserve"> – ColumbiaGrid Planning - the Company is proposing to increase this line item from $162,000 to $24</w:t>
      </w:r>
      <w:r w:rsidR="007B39DD">
        <w:t xml:space="preserve">8,000, an increase of $86,000.  </w:t>
      </w:r>
      <w:r w:rsidR="00D36DFB" w:rsidRPr="00166C0D">
        <w:t xml:space="preserve">The Company’s proposed increase reflects ColumbiaGrid’s forecasted staffing levels to support the </w:t>
      </w:r>
      <w:r w:rsidR="002A09C6" w:rsidRPr="00166C0D">
        <w:t>ColumbiaGrid Planning and Expansion Functional Agreement (PEFA)</w:t>
      </w:r>
      <w:r w:rsidR="00D36DFB" w:rsidRPr="00166C0D">
        <w:t xml:space="preserve"> and additional activities.  </w:t>
      </w:r>
      <w:r w:rsidR="004D19FD">
        <w:t xml:space="preserve">According to </w:t>
      </w:r>
      <w:r w:rsidR="00D36DFB" w:rsidRPr="00166C0D">
        <w:t>the Company, these positions are anticipated to be filled towards the end of 2015.</w:t>
      </w:r>
      <w:r w:rsidR="00C148EB" w:rsidRPr="00C148EB">
        <w:rPr>
          <w:rStyle w:val="FootnoteReference"/>
        </w:rPr>
        <w:t xml:space="preserve"> </w:t>
      </w:r>
      <w:r w:rsidR="00C148EB">
        <w:rPr>
          <w:rStyle w:val="FootnoteReference"/>
        </w:rPr>
        <w:footnoteReference w:id="25"/>
      </w:r>
      <w:r w:rsidR="00982A1D">
        <w:t xml:space="preserve"> </w:t>
      </w:r>
      <w:r w:rsidR="007B39DD">
        <w:t xml:space="preserve"> </w:t>
      </w:r>
      <w:r w:rsidR="00D36DFB" w:rsidRPr="00166C0D">
        <w:t>Since these position</w:t>
      </w:r>
      <w:r w:rsidR="00A737DC">
        <w:t xml:space="preserve">s are </w:t>
      </w:r>
      <w:r w:rsidR="00F74DE6">
        <w:t>merely anticipated, and thus</w:t>
      </w:r>
      <w:r w:rsidR="00A737DC">
        <w:t xml:space="preserve"> not yet used and useful, </w:t>
      </w:r>
      <w:r w:rsidR="00D36DFB" w:rsidRPr="00166C0D">
        <w:t xml:space="preserve">Staff </w:t>
      </w:r>
      <w:r w:rsidR="00A737DC">
        <w:t>does not include them in this adjustment</w:t>
      </w:r>
      <w:r w:rsidR="00D36DFB" w:rsidRPr="00166C0D">
        <w:t>.</w:t>
      </w:r>
    </w:p>
    <w:p w14:paraId="3B65882D" w14:textId="77777777" w:rsidR="004F55A0" w:rsidRPr="00166C0D" w:rsidRDefault="004F55A0" w:rsidP="00166C0D">
      <w:pPr>
        <w:pStyle w:val="ListParagraph"/>
      </w:pPr>
    </w:p>
    <w:p w14:paraId="2A26A19E" w14:textId="3CF3D2A3" w:rsidR="00090908" w:rsidRPr="004D19FD" w:rsidRDefault="00090908" w:rsidP="00166C0D">
      <w:pPr>
        <w:pStyle w:val="ListParagraph"/>
        <w:numPr>
          <w:ilvl w:val="0"/>
          <w:numId w:val="21"/>
        </w:numPr>
      </w:pPr>
      <w:r w:rsidRPr="004D19FD">
        <w:t>J –</w:t>
      </w:r>
      <w:r w:rsidR="00834C77" w:rsidRPr="004D19FD">
        <w:t xml:space="preserve"> </w:t>
      </w:r>
      <w:r w:rsidR="00712F3B" w:rsidRPr="004D19FD">
        <w:t>OASIS E</w:t>
      </w:r>
      <w:r w:rsidR="00D36DFB" w:rsidRPr="004D19FD">
        <w:t>xpenses</w:t>
      </w:r>
      <w:r w:rsidR="00712F3B" w:rsidRPr="004D19FD">
        <w:t xml:space="preserve"> (Columbia Grid Travel)</w:t>
      </w:r>
      <w:r w:rsidR="00D36DFB" w:rsidRPr="004D19FD">
        <w:t xml:space="preserve"> </w:t>
      </w:r>
      <w:r w:rsidR="00712F3B" w:rsidRPr="004D19FD">
        <w:t xml:space="preserve">- </w:t>
      </w:r>
      <w:r w:rsidR="00D36DFB" w:rsidRPr="004D19FD">
        <w:t xml:space="preserve">the Company is proposing to increase </w:t>
      </w:r>
      <w:r w:rsidR="00834C77" w:rsidRPr="004D19FD">
        <w:t>this</w:t>
      </w:r>
      <w:r w:rsidR="00D36DFB" w:rsidRPr="004D19FD">
        <w:t xml:space="preserve"> expense by $8,000. </w:t>
      </w:r>
      <w:r w:rsidR="00982A1D">
        <w:t xml:space="preserve"> </w:t>
      </w:r>
      <w:r w:rsidR="00D36DFB" w:rsidRPr="004D19FD">
        <w:t>The test year expense level was $17</w:t>
      </w:r>
      <w:r w:rsidR="00834C77" w:rsidRPr="004D19FD">
        <w:t xml:space="preserve">.  </w:t>
      </w:r>
      <w:r w:rsidR="00D36DFB" w:rsidRPr="004D19FD">
        <w:t xml:space="preserve">In the last few rate cases, the Company has proposed an $8,000 - $9,000 expense level for this item, although the actual expense amounts have been below the </w:t>
      </w:r>
      <w:r w:rsidR="007B39DD">
        <w:t>Company’s projected levels.</w:t>
      </w:r>
      <w:r w:rsidR="00D36DFB" w:rsidRPr="004D19FD">
        <w:t xml:space="preserve">  Staff does not </w:t>
      </w:r>
      <w:r w:rsidR="00834C77" w:rsidRPr="004D19FD">
        <w:t>believe</w:t>
      </w:r>
      <w:r w:rsidR="00D36DFB" w:rsidRPr="004D19FD">
        <w:t xml:space="preserve"> that the current level of $17 is indicative of normal expense level and that an accurate expense level falls somewhere in between the current</w:t>
      </w:r>
      <w:r w:rsidR="007B39DD">
        <w:t xml:space="preserve"> and projected expense amount.  </w:t>
      </w:r>
      <w:r w:rsidR="00D36DFB" w:rsidRPr="004D19FD">
        <w:t xml:space="preserve">Staff </w:t>
      </w:r>
      <w:r w:rsidR="00591F79" w:rsidRPr="004D19FD">
        <w:t>considers</w:t>
      </w:r>
      <w:r w:rsidR="00D36DFB" w:rsidRPr="004D19FD" w:rsidDel="00591F79">
        <w:t xml:space="preserve"> the </w:t>
      </w:r>
      <w:r w:rsidR="00D36DFB" w:rsidRPr="004D19FD">
        <w:t>three year average of this item’s actual expense</w:t>
      </w:r>
      <w:r w:rsidR="00834C77" w:rsidRPr="004D19FD">
        <w:t xml:space="preserve"> </w:t>
      </w:r>
      <w:r w:rsidR="007101FC" w:rsidRPr="004D19FD">
        <w:t xml:space="preserve">to </w:t>
      </w:r>
      <w:r w:rsidR="00591F79" w:rsidRPr="004D19FD">
        <w:t xml:space="preserve">better </w:t>
      </w:r>
      <w:r w:rsidR="00591F79" w:rsidRPr="004D19FD">
        <w:lastRenderedPageBreak/>
        <w:t>represent the ongoing expense</w:t>
      </w:r>
      <w:r w:rsidR="007B39DD">
        <w:t xml:space="preserve">. </w:t>
      </w:r>
      <w:r w:rsidR="00591F79" w:rsidRPr="004D19FD">
        <w:t xml:space="preserve">Staff </w:t>
      </w:r>
      <w:r w:rsidR="007101FC" w:rsidRPr="004D19FD">
        <w:t>thus</w:t>
      </w:r>
      <w:r w:rsidR="00591F79" w:rsidRPr="004D19FD">
        <w:t xml:space="preserve"> recommends </w:t>
      </w:r>
      <w:r w:rsidR="00834C77" w:rsidRPr="004D19FD">
        <w:t>$1,500</w:t>
      </w:r>
      <w:r w:rsidR="00591F79" w:rsidRPr="004D19FD">
        <w:t xml:space="preserve"> be allowed for this item</w:t>
      </w:r>
      <w:r w:rsidR="00834C77" w:rsidRPr="004D19FD">
        <w:t xml:space="preserve">.  </w:t>
      </w:r>
    </w:p>
    <w:p w14:paraId="7B163653" w14:textId="77777777" w:rsidR="004F55A0" w:rsidRPr="00166C0D" w:rsidRDefault="004F55A0" w:rsidP="00166C0D"/>
    <w:p w14:paraId="38B8EE6C" w14:textId="00864189" w:rsidR="00D36DFB" w:rsidRPr="00D1006D" w:rsidRDefault="00090908" w:rsidP="00166C0D">
      <w:pPr>
        <w:pStyle w:val="ListParagraph"/>
        <w:numPr>
          <w:ilvl w:val="0"/>
          <w:numId w:val="21"/>
        </w:numPr>
      </w:pPr>
      <w:r w:rsidRPr="00166C0D">
        <w:t>K</w:t>
      </w:r>
      <w:r w:rsidR="00D36DFB" w:rsidRPr="00166C0D">
        <w:t xml:space="preserve"> – BPA Power Factor Penalty - the Company is proposing to increase the expense from the current level of $43,000 to the budgeted level of $80,000.  This is an increase of $37,000.  The “Power Factor Penalty” is a published rate by which BPA recovers the cost of a portion of its fixed transmission assets based upon real and reactive power flow over an </w:t>
      </w:r>
      <w:r w:rsidR="000234B8">
        <w:t xml:space="preserve">interconnection.  However, BPA initiated a rate case on </w:t>
      </w:r>
      <w:r w:rsidR="000234B8" w:rsidRPr="00166C0D">
        <w:t>December 10, 2014</w:t>
      </w:r>
      <w:r w:rsidR="000234B8">
        <w:t xml:space="preserve"> and </w:t>
      </w:r>
      <w:r w:rsidR="000234B8" w:rsidRPr="00166C0D">
        <w:t>there is no Power Factor Penalty charge</w:t>
      </w:r>
      <w:r w:rsidR="000234B8">
        <w:t xml:space="preserve"> in its </w:t>
      </w:r>
      <w:r w:rsidR="00D36DFB" w:rsidRPr="00166C0D">
        <w:t>initial proposal.</w:t>
      </w:r>
      <w:r w:rsidR="000234B8">
        <w:rPr>
          <w:rStyle w:val="FootnoteReference"/>
        </w:rPr>
        <w:footnoteReference w:id="26"/>
      </w:r>
      <w:r w:rsidR="007B39DD">
        <w:t xml:space="preserve"> </w:t>
      </w:r>
      <w:r w:rsidR="00982A1D">
        <w:t xml:space="preserve"> </w:t>
      </w:r>
      <w:r w:rsidR="00D36DFB" w:rsidRPr="00166C0D">
        <w:t xml:space="preserve">Since the rate proceeding is ongoing </w:t>
      </w:r>
      <w:r w:rsidR="00D1006D">
        <w:t xml:space="preserve">and its outcome is undetermined, </w:t>
      </w:r>
      <w:r w:rsidR="00D36DFB" w:rsidRPr="00166C0D">
        <w:t xml:space="preserve">Staff </w:t>
      </w:r>
      <w:r w:rsidR="00D36DFB" w:rsidRPr="00D1006D">
        <w:t xml:space="preserve">recommends that this </w:t>
      </w:r>
      <w:r w:rsidR="002C2115">
        <w:t xml:space="preserve">expense </w:t>
      </w:r>
      <w:r w:rsidR="00D36DFB" w:rsidRPr="00D1006D">
        <w:t xml:space="preserve">item be maintained at the </w:t>
      </w:r>
      <w:r w:rsidR="0027573F">
        <w:t>test year level</w:t>
      </w:r>
      <w:r w:rsidR="00D36DFB" w:rsidRPr="00D1006D">
        <w:t xml:space="preserve"> of $43,000.</w:t>
      </w:r>
    </w:p>
    <w:p w14:paraId="2712F69A" w14:textId="16D29B31" w:rsidR="00090908" w:rsidRPr="00166C0D" w:rsidRDefault="00090908" w:rsidP="00166C0D">
      <w:pPr>
        <w:pStyle w:val="ListParagraph"/>
        <w:ind w:left="1440"/>
      </w:pPr>
    </w:p>
    <w:p w14:paraId="44352C2C" w14:textId="67ABEF5C" w:rsidR="00D36DFB" w:rsidRPr="00166C0D" w:rsidRDefault="00D36DFB" w:rsidP="00BD4F44">
      <w:pPr>
        <w:pStyle w:val="ListParagraph"/>
        <w:numPr>
          <w:ilvl w:val="0"/>
          <w:numId w:val="21"/>
        </w:numPr>
      </w:pPr>
      <w:r w:rsidRPr="00166C0D">
        <w:t xml:space="preserve">L – PEAK Reliability - the Company is proposing an increase of $505,000 </w:t>
      </w:r>
      <w:r w:rsidR="007B39DD">
        <w:t>from the current expense level.</w:t>
      </w:r>
      <w:r w:rsidRPr="00166C0D">
        <w:t xml:space="preserve"> </w:t>
      </w:r>
      <w:r w:rsidR="004374FA">
        <w:t xml:space="preserve"> </w:t>
      </w:r>
      <w:r w:rsidR="00E35CDE" w:rsidRPr="00166C0D">
        <w:t>Peak</w:t>
      </w:r>
      <w:r w:rsidR="004D24A4">
        <w:t xml:space="preserve"> is a new organization that was bifurcated from WECC and</w:t>
      </w:r>
      <w:r w:rsidR="00E35CDE" w:rsidRPr="00166C0D">
        <w:t xml:space="preserve"> provides the Reliability Coordination function that is required under </w:t>
      </w:r>
      <w:r w:rsidR="00E35CDE">
        <w:t xml:space="preserve">national reliability standards.  </w:t>
      </w:r>
      <w:r w:rsidRPr="00166C0D">
        <w:t>The Company’s cost is based upon a ratio involv</w:t>
      </w:r>
      <w:r w:rsidR="007B39DD">
        <w:t xml:space="preserve">ing the entire Peak footprint. </w:t>
      </w:r>
      <w:r w:rsidR="00982A1D">
        <w:t xml:space="preserve"> </w:t>
      </w:r>
      <w:r w:rsidRPr="00166C0D">
        <w:t>Avista explains that the large increase in the proposed expense level is due to the bifurcation and the additional overheads associated with Peak and its duties and responsibilities given its new creation.</w:t>
      </w:r>
      <w:r w:rsidR="004D24A4">
        <w:rPr>
          <w:rStyle w:val="FootnoteReference"/>
        </w:rPr>
        <w:footnoteReference w:id="27"/>
      </w:r>
      <w:r w:rsidRPr="00166C0D">
        <w:t xml:space="preserve">  </w:t>
      </w:r>
      <w:r w:rsidR="00BD4F44">
        <w:t>Staff recommends recalculating the test year expense</w:t>
      </w:r>
      <w:r w:rsidRPr="00166C0D">
        <w:t xml:space="preserve"> based on the </w:t>
      </w:r>
      <w:r w:rsidR="00591F79" w:rsidRPr="004D19FD">
        <w:t xml:space="preserve">known </w:t>
      </w:r>
      <w:r w:rsidRPr="004D19FD">
        <w:t>2015</w:t>
      </w:r>
      <w:r w:rsidR="005A04AC" w:rsidDel="00591F79">
        <w:t xml:space="preserve"> </w:t>
      </w:r>
      <w:r w:rsidRPr="00166C0D">
        <w:t>assessment and Avista’s pro rata share of 1.2750 percent.</w:t>
      </w:r>
      <w:r w:rsidR="004D19FD">
        <w:rPr>
          <w:rStyle w:val="FootnoteReference"/>
        </w:rPr>
        <w:footnoteReference w:id="28"/>
      </w:r>
    </w:p>
    <w:p w14:paraId="53A3FB4B" w14:textId="77777777" w:rsidR="004F55A0" w:rsidRPr="00166C0D" w:rsidRDefault="004F55A0" w:rsidP="00166C0D">
      <w:pPr>
        <w:ind w:left="1080"/>
      </w:pPr>
    </w:p>
    <w:p w14:paraId="0257A1AC" w14:textId="23F3BFF0" w:rsidR="00090908" w:rsidRPr="00DE4FFB" w:rsidRDefault="00090908" w:rsidP="00166C0D">
      <w:pPr>
        <w:pStyle w:val="ListParagraph"/>
        <w:numPr>
          <w:ilvl w:val="0"/>
          <w:numId w:val="21"/>
        </w:numPr>
      </w:pPr>
      <w:r w:rsidRPr="00DE4FFB">
        <w:t>M</w:t>
      </w:r>
      <w:r w:rsidR="00D36DFB" w:rsidRPr="00DE4FFB">
        <w:t xml:space="preserve">C – WECC Loop Flow - the Company’s is proposing to </w:t>
      </w:r>
      <w:r w:rsidR="008D7DB8" w:rsidRPr="00DE4FFB">
        <w:t>increase</w:t>
      </w:r>
      <w:r w:rsidR="00D36DFB" w:rsidRPr="00DE4FFB">
        <w:t xml:space="preserve"> </w:t>
      </w:r>
      <w:r w:rsidR="008D7DB8" w:rsidRPr="00DE4FFB">
        <w:t>the test year</w:t>
      </w:r>
      <w:r w:rsidR="00D36DFB" w:rsidRPr="00DE4FFB">
        <w:t xml:space="preserve"> expense level </w:t>
      </w:r>
      <w:r w:rsidR="007B39DD">
        <w:t xml:space="preserve">by $16,000.  </w:t>
      </w:r>
      <w:r w:rsidR="008D7DB8" w:rsidRPr="00DE4FFB">
        <w:t xml:space="preserve">The Company bases this </w:t>
      </w:r>
      <w:r w:rsidR="00D36DFB" w:rsidRPr="00DE4FFB">
        <w:t xml:space="preserve">higher level of expense </w:t>
      </w:r>
      <w:r w:rsidR="008D7DB8" w:rsidRPr="00DE4FFB">
        <w:t>on increases seen i</w:t>
      </w:r>
      <w:r w:rsidR="00D36DFB" w:rsidRPr="00DE4FFB">
        <w:t xml:space="preserve">n recent years and that Avista has no control over these charges. </w:t>
      </w:r>
      <w:r w:rsidR="00982A1D">
        <w:t xml:space="preserve"> </w:t>
      </w:r>
      <w:r w:rsidR="00D36DFB" w:rsidRPr="00DE4FFB">
        <w:t xml:space="preserve">Staff </w:t>
      </w:r>
      <w:r w:rsidR="008D7DB8" w:rsidRPr="00DE4FFB">
        <w:t xml:space="preserve">analyzed </w:t>
      </w:r>
      <w:r w:rsidR="00D36DFB" w:rsidRPr="00DE4FFB">
        <w:t>actual ex</w:t>
      </w:r>
      <w:r w:rsidR="008D7DB8" w:rsidRPr="00DE4FFB">
        <w:t>pense data for 2006 to 2014 and concluded that the test year amount i</w:t>
      </w:r>
      <w:r w:rsidR="00D36DFB" w:rsidRPr="00DE4FFB">
        <w:t xml:space="preserve">s an accurate </w:t>
      </w:r>
      <w:r w:rsidR="008D7DB8" w:rsidRPr="00DE4FFB">
        <w:t>representation of historical</w:t>
      </w:r>
      <w:r w:rsidR="007B39DD">
        <w:t xml:space="preserve"> expense. </w:t>
      </w:r>
      <w:r w:rsidR="00982A1D">
        <w:t xml:space="preserve"> </w:t>
      </w:r>
      <w:r w:rsidR="00D36DFB" w:rsidRPr="00DE4FFB">
        <w:t xml:space="preserve">Therefore, Staff recommends </w:t>
      </w:r>
      <w:r w:rsidR="004D19FD" w:rsidRPr="00DE4FFB">
        <w:t xml:space="preserve">rejecting the Company’s proposed change and keeping </w:t>
      </w:r>
      <w:r w:rsidR="00D36DFB" w:rsidRPr="00DE4FFB">
        <w:t xml:space="preserve">this expense item at </w:t>
      </w:r>
      <w:r w:rsidR="008D7DB8" w:rsidRPr="00DE4FFB">
        <w:t>test year</w:t>
      </w:r>
      <w:r w:rsidR="00D36DFB" w:rsidRPr="00DE4FFB">
        <w:t xml:space="preserve"> level</w:t>
      </w:r>
      <w:r w:rsidR="008D7DB8" w:rsidRPr="00DE4FFB">
        <w:t>s</w:t>
      </w:r>
      <w:r w:rsidR="00D36DFB" w:rsidRPr="00DE4FFB">
        <w:t>.</w:t>
      </w:r>
    </w:p>
    <w:p w14:paraId="6C66316A" w14:textId="77777777" w:rsidR="00D03D35" w:rsidRDefault="00D03D35" w:rsidP="00D03D35">
      <w:pPr>
        <w:spacing w:line="276" w:lineRule="auto"/>
      </w:pPr>
    </w:p>
    <w:p w14:paraId="36C6F741" w14:textId="003D96C2" w:rsidR="00090908" w:rsidRPr="00F720F8" w:rsidRDefault="00D03D35" w:rsidP="007D76D0">
      <w:pPr>
        <w:pStyle w:val="BodyTextIndent2"/>
        <w:tabs>
          <w:tab w:val="left" w:pos="-3780"/>
          <w:tab w:val="left" w:pos="-3600"/>
        </w:tabs>
        <w:ind w:firstLine="0"/>
      </w:pPr>
      <w:r>
        <w:t>Attache</w:t>
      </w:r>
      <w:r w:rsidR="00645E15">
        <w:t xml:space="preserve">d as </w:t>
      </w:r>
      <w:r w:rsidR="00734FD0">
        <w:t xml:space="preserve">Confidential </w:t>
      </w:r>
      <w:r w:rsidR="00645E15">
        <w:t>Exhibit No.___</w:t>
      </w:r>
      <w:r w:rsidR="00DA24F8">
        <w:t xml:space="preserve"> </w:t>
      </w:r>
      <w:r w:rsidR="00645E15">
        <w:t>(JLB-</w:t>
      </w:r>
      <w:r w:rsidR="008F3EEA">
        <w:t>5</w:t>
      </w:r>
      <w:r w:rsidR="000076F3">
        <w:t>C</w:t>
      </w:r>
      <w:r w:rsidR="00E209C5">
        <w:t xml:space="preserve">) is a breakdown for each of these items.  </w:t>
      </w:r>
    </w:p>
    <w:p w14:paraId="2CF70254" w14:textId="77777777" w:rsidR="0028109C" w:rsidRDefault="0028109C" w:rsidP="000076E1">
      <w:pPr>
        <w:pStyle w:val="Heading8"/>
      </w:pPr>
    </w:p>
    <w:p w14:paraId="0A085275" w14:textId="77777777" w:rsidR="00090908" w:rsidRPr="00F720F8" w:rsidRDefault="00090908" w:rsidP="000076E1">
      <w:pPr>
        <w:pStyle w:val="Heading8"/>
      </w:pPr>
      <w:r w:rsidRPr="00F720F8">
        <w:t>Q.</w:t>
      </w:r>
      <w:r w:rsidRPr="00F720F8">
        <w:tab/>
        <w:t>What is the impact of Staff’s recommendation regarding this adjustment?</w:t>
      </w:r>
    </w:p>
    <w:p w14:paraId="7C4FFDCF" w14:textId="47725983" w:rsidR="00090908" w:rsidRPr="00F720F8" w:rsidRDefault="00090908" w:rsidP="004B2041">
      <w:pPr>
        <w:pStyle w:val="NoSpacing"/>
      </w:pPr>
      <w:r w:rsidRPr="00F720F8">
        <w:t>A.</w:t>
      </w:r>
      <w:r w:rsidRPr="00F720F8">
        <w:tab/>
      </w:r>
      <w:r w:rsidR="004B2041" w:rsidRPr="00F720F8">
        <w:t>The effect</w:t>
      </w:r>
      <w:r w:rsidRPr="00F720F8">
        <w:t xml:space="preserve"> of Staff’s adjustment </w:t>
      </w:r>
      <w:r w:rsidR="004B2041" w:rsidRPr="00F720F8">
        <w:t xml:space="preserve">is to </w:t>
      </w:r>
      <w:r w:rsidRPr="00F720F8">
        <w:t xml:space="preserve">increase </w:t>
      </w:r>
      <w:r w:rsidR="00734FD0">
        <w:t xml:space="preserve">NOI </w:t>
      </w:r>
      <w:r w:rsidR="004B2041" w:rsidRPr="00F720F8">
        <w:t>by $</w:t>
      </w:r>
      <w:r w:rsidR="00AE7C86">
        <w:t>59,000</w:t>
      </w:r>
      <w:r w:rsidR="004B2041" w:rsidRPr="00F720F8">
        <w:t>.</w:t>
      </w:r>
    </w:p>
    <w:p w14:paraId="516A96EC" w14:textId="77777777" w:rsidR="00863FF0" w:rsidRPr="00F720F8" w:rsidRDefault="00863FF0" w:rsidP="00090908">
      <w:pPr>
        <w:spacing w:line="480" w:lineRule="auto"/>
        <w:ind w:left="720" w:hanging="720"/>
      </w:pPr>
    </w:p>
    <w:p w14:paraId="32724835" w14:textId="7C376693" w:rsidR="000076E1" w:rsidRPr="00F720F8" w:rsidRDefault="00035ABE" w:rsidP="00DA24F8">
      <w:pPr>
        <w:pStyle w:val="Heading2"/>
        <w:numPr>
          <w:ilvl w:val="0"/>
          <w:numId w:val="33"/>
        </w:numPr>
        <w:spacing w:line="240" w:lineRule="auto"/>
        <w:ind w:left="1440" w:hanging="720"/>
      </w:pPr>
      <w:bookmarkStart w:id="84" w:name="_Toc424808476"/>
      <w:bookmarkStart w:id="85" w:name="_Toc424808497"/>
      <w:bookmarkStart w:id="86" w:name="_Toc425422189"/>
      <w:bookmarkStart w:id="87" w:name="_Toc425422363"/>
      <w:bookmarkStart w:id="88" w:name="_Toc425423249"/>
      <w:bookmarkStart w:id="89" w:name="_Toc425497664"/>
      <w:r w:rsidRPr="00F720F8">
        <w:t>Adjustment 3.02 (</w:t>
      </w:r>
      <w:r w:rsidRPr="002338B0">
        <w:t>Electric</w:t>
      </w:r>
      <w:r w:rsidRPr="00F720F8">
        <w:t>) &amp; Adjustment 3.00 (Gas) - Pro Forma Labor Non-Executive.</w:t>
      </w:r>
      <w:bookmarkEnd w:id="84"/>
      <w:bookmarkEnd w:id="85"/>
      <w:bookmarkEnd w:id="86"/>
      <w:bookmarkEnd w:id="87"/>
      <w:bookmarkEnd w:id="88"/>
      <w:bookmarkEnd w:id="89"/>
      <w:r w:rsidRPr="00F720F8">
        <w:t xml:space="preserve">  </w:t>
      </w:r>
    </w:p>
    <w:p w14:paraId="6548D558" w14:textId="77777777" w:rsidR="000076E1" w:rsidRPr="00F720F8" w:rsidRDefault="000076E1" w:rsidP="000076E1">
      <w:pPr>
        <w:spacing w:line="480" w:lineRule="auto"/>
        <w:rPr>
          <w:b/>
          <w:strike/>
          <w:u w:val="single"/>
        </w:rPr>
      </w:pPr>
    </w:p>
    <w:p w14:paraId="362D84BC" w14:textId="3A15D958" w:rsidR="000076E1" w:rsidRPr="00F720F8" w:rsidRDefault="000076E1" w:rsidP="000C0B24">
      <w:pPr>
        <w:pStyle w:val="Heading8"/>
      </w:pPr>
      <w:r w:rsidRPr="00F720F8">
        <w:t>Q.</w:t>
      </w:r>
      <w:r w:rsidRPr="00F720F8">
        <w:tab/>
        <w:t>Please describe the Company’s proposed adjustment 3.02</w:t>
      </w:r>
      <w:r w:rsidR="00B82BB6">
        <w:t xml:space="preserve"> (Electric)</w:t>
      </w:r>
      <w:r w:rsidRPr="00F720F8">
        <w:t xml:space="preserve"> and 3.00</w:t>
      </w:r>
      <w:r w:rsidR="00B82BB6">
        <w:t xml:space="preserve"> (Gas)</w:t>
      </w:r>
      <w:r w:rsidRPr="00F720F8">
        <w:t xml:space="preserve"> to </w:t>
      </w:r>
      <w:r w:rsidR="00035ABE" w:rsidRPr="00F720F8">
        <w:t xml:space="preserve">non-executive </w:t>
      </w:r>
      <w:r w:rsidRPr="00F720F8">
        <w:t xml:space="preserve">labor. </w:t>
      </w:r>
    </w:p>
    <w:p w14:paraId="0B49EC21" w14:textId="5D3C0087" w:rsidR="000076E1" w:rsidRPr="00F720F8" w:rsidRDefault="000076E1" w:rsidP="000C0B24">
      <w:pPr>
        <w:pStyle w:val="NoSpacing"/>
      </w:pPr>
      <w:r w:rsidRPr="00F720F8">
        <w:t>A.</w:t>
      </w:r>
      <w:r w:rsidRPr="00F720F8">
        <w:tab/>
        <w:t xml:space="preserve">The Company proposes a pro forma adjustment to increase non-executive wages throughout the end of 2016.  The adjustment accounts for a </w:t>
      </w:r>
      <w:r w:rsidR="00D158AD">
        <w:t>3 percent increase for 2014</w:t>
      </w:r>
      <w:r w:rsidRPr="00F720F8">
        <w:t xml:space="preserve"> </w:t>
      </w:r>
      <w:r w:rsidR="00D158AD">
        <w:t xml:space="preserve">which is annualized for the </w:t>
      </w:r>
      <w:r w:rsidR="00DE4FFB">
        <w:t>entire</w:t>
      </w:r>
      <w:r w:rsidR="00D158AD">
        <w:t xml:space="preserve"> test</w:t>
      </w:r>
      <w:r w:rsidRPr="00F720F8" w:rsidDel="00C14130">
        <w:t xml:space="preserve"> year</w:t>
      </w:r>
      <w:r w:rsidRPr="00F720F8" w:rsidDel="00C402D8">
        <w:t>;</w:t>
      </w:r>
      <w:r w:rsidR="009630F0">
        <w:t xml:space="preserve"> </w:t>
      </w:r>
      <w:r w:rsidRPr="00F720F8" w:rsidDel="0058370D">
        <w:t>a</w:t>
      </w:r>
      <w:r w:rsidRPr="00F720F8">
        <w:t xml:space="preserve"> </w:t>
      </w:r>
      <w:r w:rsidR="00AD62E7">
        <w:t xml:space="preserve">3 </w:t>
      </w:r>
      <w:r w:rsidRPr="00F720F8">
        <w:t>percent increase for March 28, 2015 through March 27, 2016</w:t>
      </w:r>
      <w:r w:rsidR="00467B03" w:rsidDel="0058370D">
        <w:t>;</w:t>
      </w:r>
      <w:r w:rsidRPr="00F720F8">
        <w:t xml:space="preserve"> and another </w:t>
      </w:r>
      <w:r w:rsidR="00AD62E7">
        <w:t xml:space="preserve">3 </w:t>
      </w:r>
      <w:r w:rsidRPr="00F720F8">
        <w:t xml:space="preserve">percent increase for March 28, 2016 through December 2016, </w:t>
      </w:r>
      <w:r w:rsidR="000322FD">
        <w:t>annualized</w:t>
      </w:r>
      <w:r w:rsidR="000322FD" w:rsidRPr="00F720F8">
        <w:t xml:space="preserve"> </w:t>
      </w:r>
      <w:r w:rsidRPr="00F720F8">
        <w:t>for</w:t>
      </w:r>
      <w:r w:rsidRPr="00F720F8" w:rsidDel="00527F68">
        <w:t xml:space="preserve"> </w:t>
      </w:r>
      <w:r w:rsidRPr="00F720F8">
        <w:t xml:space="preserve">nine months of the rate year.  These wage increases are for both union and administrative personnel.  The Company’s proposed adjustment reduces </w:t>
      </w:r>
      <w:r w:rsidR="001336AD">
        <w:t xml:space="preserve">NOI </w:t>
      </w:r>
      <w:r w:rsidRPr="00F720F8">
        <w:t xml:space="preserve">by $2,503,000 </w:t>
      </w:r>
      <w:r w:rsidR="00527F68">
        <w:t>for electric operations</w:t>
      </w:r>
      <w:r w:rsidRPr="00F720F8">
        <w:t xml:space="preserve">, and $749,000 </w:t>
      </w:r>
      <w:r w:rsidR="00527F68">
        <w:t>for gas operations</w:t>
      </w:r>
      <w:r w:rsidRPr="00F720F8">
        <w:t>.</w:t>
      </w:r>
    </w:p>
    <w:p w14:paraId="2DF45A92" w14:textId="77777777" w:rsidR="000076E1" w:rsidRPr="00F720F8" w:rsidRDefault="000076E1" w:rsidP="000076E1">
      <w:pPr>
        <w:spacing w:line="480" w:lineRule="auto"/>
        <w:ind w:left="720" w:firstLine="720"/>
        <w:rPr>
          <w:strike/>
        </w:rPr>
      </w:pPr>
    </w:p>
    <w:p w14:paraId="12436FCE" w14:textId="77777777" w:rsidR="000076E1" w:rsidRPr="00F720F8" w:rsidRDefault="000076E1" w:rsidP="000C0B24">
      <w:pPr>
        <w:pStyle w:val="Heading8"/>
      </w:pPr>
      <w:r w:rsidRPr="00F720F8">
        <w:t>Q.</w:t>
      </w:r>
      <w:r w:rsidRPr="00F720F8">
        <w:tab/>
        <w:t xml:space="preserve">What is Staff’s recommendation for this adjustment? </w:t>
      </w:r>
    </w:p>
    <w:p w14:paraId="4024E05E" w14:textId="25EC5718" w:rsidR="000076E1" w:rsidRPr="00F720F8" w:rsidRDefault="000076E1" w:rsidP="000C0B24">
      <w:pPr>
        <w:pStyle w:val="NoSpacing"/>
      </w:pPr>
      <w:r w:rsidRPr="00F720F8">
        <w:t>A.</w:t>
      </w:r>
      <w:r w:rsidRPr="00F720F8">
        <w:tab/>
        <w:t xml:space="preserve">Staff recommends allowing the wage increase for the test period, annualized for the remainder of the year as proposed by the Company, and the union contracted </w:t>
      </w:r>
      <w:r w:rsidR="00AD62E7">
        <w:t xml:space="preserve">3 </w:t>
      </w:r>
      <w:r w:rsidRPr="00F720F8">
        <w:t>percent increase for March 28, 2015 through March 27, 2016.  The wage increase for administrative personnel follows the union contract increase</w:t>
      </w:r>
      <w:r w:rsidR="00B872C9">
        <w:t>;</w:t>
      </w:r>
      <w:r w:rsidRPr="00F720F8">
        <w:t xml:space="preserve"> </w:t>
      </w:r>
      <w:r w:rsidR="00B872C9">
        <w:t xml:space="preserve">therefore, </w:t>
      </w:r>
      <w:r w:rsidRPr="00F720F8">
        <w:t xml:space="preserve">Staff supports the wage increases for both union and administrative personnel.  However, Staff does not support the </w:t>
      </w:r>
      <w:r w:rsidR="00AD62E7">
        <w:t>3</w:t>
      </w:r>
      <w:r w:rsidRPr="00F720F8">
        <w:t xml:space="preserve"> percent increase that has been proposed by the Company for the nine months ending</w:t>
      </w:r>
      <w:r w:rsidR="00B872C9">
        <w:t xml:space="preserve"> in</w:t>
      </w:r>
      <w:r w:rsidRPr="00F720F8">
        <w:t xml:space="preserve"> 2016.  This increase goes 27 months beyond the test </w:t>
      </w:r>
      <w:r w:rsidRPr="00F720F8">
        <w:lastRenderedPageBreak/>
        <w:t>year and is currently not a c</w:t>
      </w:r>
      <w:r w:rsidR="00B0550D" w:rsidRPr="00F720F8">
        <w:t>ontractually approved increase</w:t>
      </w:r>
      <w:r w:rsidR="007101FC">
        <w:t>. Therefore, the proposed 2016 wage increases</w:t>
      </w:r>
      <w:r w:rsidR="00B0550D" w:rsidRPr="00F720F8">
        <w:t xml:space="preserve"> </w:t>
      </w:r>
      <w:r w:rsidRPr="00F720F8">
        <w:t>do not meet the known and measurable criteria.</w:t>
      </w:r>
    </w:p>
    <w:p w14:paraId="09CBC893" w14:textId="73FD9582" w:rsidR="00BF0F14" w:rsidRDefault="00BF0F14" w:rsidP="000C0B24">
      <w:pPr>
        <w:pStyle w:val="NoSpacing"/>
      </w:pPr>
    </w:p>
    <w:p w14:paraId="1D76ABCC" w14:textId="2DE712C5" w:rsidR="00BF0F14" w:rsidRDefault="00BF0F14" w:rsidP="00BF0F14">
      <w:pPr>
        <w:pStyle w:val="Heading8"/>
      </w:pPr>
      <w:r w:rsidRPr="00F720F8">
        <w:t>Q.</w:t>
      </w:r>
      <w:r w:rsidRPr="00F720F8">
        <w:tab/>
      </w:r>
      <w:r w:rsidR="00B872C9">
        <w:t>H</w:t>
      </w:r>
      <w:r w:rsidR="00204931">
        <w:t xml:space="preserve">as the Commission </w:t>
      </w:r>
      <w:r w:rsidR="00B872C9">
        <w:t xml:space="preserve">previously issued </w:t>
      </w:r>
      <w:r w:rsidR="00204931">
        <w:t xml:space="preserve">an </w:t>
      </w:r>
      <w:r>
        <w:t>order on this issue?</w:t>
      </w:r>
    </w:p>
    <w:p w14:paraId="0A9E50D6" w14:textId="5C5FB507" w:rsidR="00BF0F14" w:rsidRDefault="00BF0F14" w:rsidP="00204931">
      <w:pPr>
        <w:spacing w:line="480" w:lineRule="auto"/>
        <w:ind w:left="720" w:hanging="720"/>
      </w:pPr>
      <w:r>
        <w:t>A.</w:t>
      </w:r>
      <w:r>
        <w:tab/>
        <w:t xml:space="preserve">Yes.  </w:t>
      </w:r>
      <w:r w:rsidR="001F15D6">
        <w:t xml:space="preserve">PSE proposed in its 2009 general rate proceeding to </w:t>
      </w:r>
      <w:r w:rsidR="00204931">
        <w:t>includ</w:t>
      </w:r>
      <w:r w:rsidR="001F15D6">
        <w:t>e</w:t>
      </w:r>
      <w:r w:rsidR="00204931">
        <w:t xml:space="preserve"> several wage increase</w:t>
      </w:r>
      <w:r w:rsidR="001F15D6">
        <w:t>s outside of the test period</w:t>
      </w:r>
      <w:r w:rsidR="00204931">
        <w:t>.  In Order 11, the Commission stated:</w:t>
      </w:r>
    </w:p>
    <w:p w14:paraId="12A05B34" w14:textId="60C1FBAA" w:rsidR="00BF0F14" w:rsidRDefault="00204931" w:rsidP="00BF0F14">
      <w:pPr>
        <w:ind w:left="720" w:hanging="720"/>
      </w:pPr>
      <w:r>
        <w:tab/>
      </w:r>
    </w:p>
    <w:p w14:paraId="6036EDB4" w14:textId="30D3D8D4" w:rsidR="00BF0F14" w:rsidRPr="00BF0F14" w:rsidRDefault="00BF0F14" w:rsidP="00BF0F14">
      <w:pPr>
        <w:ind w:left="1440"/>
      </w:pPr>
      <w:r>
        <w:t>Although outside the test period, we allow the IBEW April 2009 contractual increase, which does not appear to be in dispute, because it is close enough in time to the end of the test year to limit our</w:t>
      </w:r>
      <w:r w:rsidR="00204931">
        <w:t xml:space="preserve"> concerns about possible offsets.  We agree with Public Counsel that the other changes (IBEW and UA in October 2009 and October 2010, and non-union in March 2010) are too remote from the end of the test year to be included without risk of violating the matching principle.</w:t>
      </w:r>
      <w:r w:rsidR="00353712">
        <w:rPr>
          <w:rStyle w:val="FootnoteReference"/>
        </w:rPr>
        <w:footnoteReference w:id="29"/>
      </w:r>
      <w:r>
        <w:t xml:space="preserve">  </w:t>
      </w:r>
    </w:p>
    <w:p w14:paraId="61C04845" w14:textId="77777777" w:rsidR="000076E1" w:rsidRPr="00F720F8" w:rsidRDefault="000076E1" w:rsidP="00204931">
      <w:pPr>
        <w:spacing w:line="480" w:lineRule="auto"/>
      </w:pPr>
    </w:p>
    <w:p w14:paraId="28A15BE8" w14:textId="77777777" w:rsidR="000076E1" w:rsidRPr="00F720F8" w:rsidRDefault="000076E1" w:rsidP="000C0B24">
      <w:pPr>
        <w:pStyle w:val="Heading8"/>
      </w:pPr>
      <w:r w:rsidRPr="00F720F8">
        <w:t>Q.</w:t>
      </w:r>
      <w:r w:rsidRPr="00F720F8">
        <w:tab/>
        <w:t>What is the impact of Staff’s recommendation regarding non-executive labor?</w:t>
      </w:r>
    </w:p>
    <w:p w14:paraId="514F88C8" w14:textId="3D232970" w:rsidR="000076E1" w:rsidRPr="00F720F8" w:rsidRDefault="000076E1" w:rsidP="000C0B24">
      <w:pPr>
        <w:pStyle w:val="NoSpacing"/>
      </w:pPr>
      <w:r w:rsidRPr="00F720F8">
        <w:t>A.</w:t>
      </w:r>
      <w:r w:rsidRPr="00F720F8">
        <w:tab/>
        <w:t>Staff’s recommendation reduce</w:t>
      </w:r>
      <w:r w:rsidR="00B0550D" w:rsidRPr="00F720F8">
        <w:t>s</w:t>
      </w:r>
      <w:r w:rsidRPr="00F720F8">
        <w:t xml:space="preserve"> </w:t>
      </w:r>
      <w:r w:rsidR="001336AD">
        <w:t xml:space="preserve">NOI </w:t>
      </w:r>
      <w:r w:rsidRPr="00F720F8">
        <w:t xml:space="preserve">by $1,872,000 </w:t>
      </w:r>
      <w:r w:rsidR="00B0550D" w:rsidRPr="00F720F8">
        <w:t>for</w:t>
      </w:r>
      <w:r w:rsidRPr="00F720F8">
        <w:t xml:space="preserve"> electric </w:t>
      </w:r>
      <w:r w:rsidR="00B0550D" w:rsidRPr="00F720F8">
        <w:t>operations</w:t>
      </w:r>
      <w:r w:rsidRPr="00F720F8">
        <w:t xml:space="preserve"> and $561,000 </w:t>
      </w:r>
      <w:r w:rsidR="00B0550D" w:rsidRPr="00F720F8">
        <w:t>for gas operations</w:t>
      </w:r>
      <w:r w:rsidRPr="00F720F8">
        <w:t>.</w:t>
      </w:r>
      <w:r w:rsidR="00DE4FFB">
        <w:t xml:space="preserve">  This is lower than </w:t>
      </w:r>
      <w:r w:rsidR="00D710AE">
        <w:t xml:space="preserve">the Company’s adjustments by </w:t>
      </w:r>
      <w:r w:rsidR="00DE4FFB">
        <w:t>$631,000</w:t>
      </w:r>
      <w:r w:rsidR="00D710AE">
        <w:t xml:space="preserve"> for electric operations and $188,000 for gas operations.  </w:t>
      </w:r>
    </w:p>
    <w:p w14:paraId="4CB29BD6" w14:textId="77777777" w:rsidR="000C0B24" w:rsidRPr="00F720F8" w:rsidRDefault="000C0B24" w:rsidP="000C0B24">
      <w:pPr>
        <w:pStyle w:val="NoSpacing"/>
      </w:pPr>
    </w:p>
    <w:p w14:paraId="357B54E4" w14:textId="665CF8B0" w:rsidR="000C0B24" w:rsidRPr="00F720F8" w:rsidRDefault="00B0550D" w:rsidP="00DA24F8">
      <w:pPr>
        <w:pStyle w:val="Heading2"/>
        <w:numPr>
          <w:ilvl w:val="0"/>
          <w:numId w:val="33"/>
        </w:numPr>
        <w:spacing w:line="240" w:lineRule="auto"/>
        <w:ind w:left="1440" w:hanging="720"/>
      </w:pPr>
      <w:bookmarkStart w:id="90" w:name="_Toc424808477"/>
      <w:bookmarkStart w:id="91" w:name="_Toc424808498"/>
      <w:bookmarkStart w:id="92" w:name="_Toc425422190"/>
      <w:bookmarkStart w:id="93" w:name="_Toc425422364"/>
      <w:bookmarkStart w:id="94" w:name="_Toc425423250"/>
      <w:bookmarkStart w:id="95" w:name="_Toc425497665"/>
      <w:r w:rsidRPr="002338B0">
        <w:t>Adjustment</w:t>
      </w:r>
      <w:r w:rsidRPr="00F720F8">
        <w:t xml:space="preserve"> 3.03 (Electric) &amp; Adjustment 3.01 (Gas) - Pro Forma Labor Executive</w:t>
      </w:r>
      <w:bookmarkEnd w:id="90"/>
      <w:bookmarkEnd w:id="91"/>
      <w:bookmarkEnd w:id="92"/>
      <w:bookmarkEnd w:id="93"/>
      <w:bookmarkEnd w:id="94"/>
      <w:bookmarkEnd w:id="95"/>
    </w:p>
    <w:p w14:paraId="577482BF" w14:textId="77777777" w:rsidR="000C0B24" w:rsidRPr="00F720F8" w:rsidRDefault="000C0B24" w:rsidP="000C0B24">
      <w:pPr>
        <w:spacing w:line="480" w:lineRule="auto"/>
      </w:pPr>
    </w:p>
    <w:p w14:paraId="2BC8C403" w14:textId="3D4C116C" w:rsidR="000C0B24" w:rsidRPr="00F720F8" w:rsidRDefault="000C0B24" w:rsidP="000C0B24">
      <w:pPr>
        <w:pStyle w:val="Heading8"/>
      </w:pPr>
      <w:r w:rsidRPr="00F720F8">
        <w:t>Q.</w:t>
      </w:r>
      <w:r w:rsidRPr="00F720F8">
        <w:tab/>
        <w:t xml:space="preserve">Please describe the Company’s proposed </w:t>
      </w:r>
      <w:r w:rsidR="001B0DAD">
        <w:t>ad</w:t>
      </w:r>
      <w:r w:rsidRPr="00F720F8">
        <w:t>justment</w:t>
      </w:r>
      <w:r w:rsidRPr="00F720F8" w:rsidDel="001B0DAD">
        <w:t xml:space="preserve"> </w:t>
      </w:r>
      <w:r w:rsidRPr="00F720F8">
        <w:t>3.03</w:t>
      </w:r>
      <w:r w:rsidR="001B0DAD">
        <w:t xml:space="preserve"> (Electric)</w:t>
      </w:r>
      <w:r w:rsidRPr="00F720F8">
        <w:t xml:space="preserve"> and 3.01</w:t>
      </w:r>
      <w:r w:rsidR="001B0DAD">
        <w:t xml:space="preserve"> (Gas)</w:t>
      </w:r>
      <w:r w:rsidRPr="00F720F8">
        <w:t xml:space="preserve"> to </w:t>
      </w:r>
      <w:r w:rsidR="00B0550D" w:rsidRPr="00F720F8">
        <w:t xml:space="preserve">executive </w:t>
      </w:r>
      <w:r w:rsidRPr="00F720F8">
        <w:t xml:space="preserve">labor. </w:t>
      </w:r>
    </w:p>
    <w:p w14:paraId="50146CC6" w14:textId="3AABED97" w:rsidR="000C0B24" w:rsidRPr="00F720F8" w:rsidRDefault="000C0B24" w:rsidP="000C0B24">
      <w:pPr>
        <w:pStyle w:val="NoSpacing"/>
      </w:pPr>
      <w:r w:rsidRPr="00F720F8">
        <w:t>A.</w:t>
      </w:r>
      <w:r w:rsidRPr="00F720F8">
        <w:tab/>
        <w:t xml:space="preserve">The Company proposes a pro forma adjustment to reflect an annualized 2014 level of allocated executive officer salaries, effective March 2014.  The Company did not </w:t>
      </w:r>
      <w:r w:rsidRPr="00F720F8">
        <w:lastRenderedPageBreak/>
        <w:t>include any additional increases in executive labor for 2015 and 2016.  However, the Company did update its utility</w:t>
      </w:r>
      <w:r w:rsidR="00A16182">
        <w:t xml:space="preserve"> and</w:t>
      </w:r>
      <w:r w:rsidR="00251B66">
        <w:t xml:space="preserve"> </w:t>
      </w:r>
      <w:r w:rsidRPr="00F720F8">
        <w:t xml:space="preserve">non-utility allocation factors </w:t>
      </w:r>
      <w:r w:rsidR="00A16182">
        <w:t>using</w:t>
      </w:r>
      <w:r w:rsidR="00A16182" w:rsidRPr="00F720F8">
        <w:t xml:space="preserve"> </w:t>
      </w:r>
      <w:r w:rsidRPr="00F720F8">
        <w:t>an 89 percent utility to 11 percent non-utility split.</w:t>
      </w:r>
      <w:r w:rsidR="001C39CD">
        <w:rPr>
          <w:rStyle w:val="FootnoteReference"/>
        </w:rPr>
        <w:footnoteReference w:id="30"/>
      </w:r>
      <w:r w:rsidRPr="00F720F8">
        <w:t xml:space="preserve">  These allocations are based on an estimate by each executive of time spent on utility and non-utility activities</w:t>
      </w:r>
      <w:r w:rsidR="00A16182">
        <w:t>,</w:t>
      </w:r>
      <w:r w:rsidRPr="00F720F8">
        <w:t xml:space="preserve"> current and past job responsibilities</w:t>
      </w:r>
      <w:r w:rsidR="00A16182">
        <w:t>,</w:t>
      </w:r>
      <w:r w:rsidRPr="00F720F8">
        <w:t xml:space="preserve"> and anticipated changes </w:t>
      </w:r>
      <w:r w:rsidR="00A16182">
        <w:t xml:space="preserve">in responsibilities </w:t>
      </w:r>
      <w:r w:rsidRPr="00F720F8">
        <w:t xml:space="preserve">due to projects and strategic initiatives </w:t>
      </w:r>
      <w:r w:rsidR="00A16182">
        <w:t>for</w:t>
      </w:r>
      <w:r w:rsidR="00A16182" w:rsidRPr="00F720F8">
        <w:t xml:space="preserve"> </w:t>
      </w:r>
      <w:r w:rsidRPr="00F720F8">
        <w:t>the upcoming year.</w:t>
      </w:r>
      <w:r w:rsidR="00251B66">
        <w:rPr>
          <w:rStyle w:val="FootnoteReference"/>
        </w:rPr>
        <w:footnoteReference w:id="31"/>
      </w:r>
      <w:r w:rsidRPr="00F720F8">
        <w:t xml:space="preserve">  While the level of base salaries did not change from the 2014 level, the </w:t>
      </w:r>
      <w:r w:rsidR="000D5B20">
        <w:t>Company’s proposal</w:t>
      </w:r>
      <w:r w:rsidRPr="00F720F8">
        <w:t xml:space="preserve"> results in a decrease to </w:t>
      </w:r>
      <w:r w:rsidR="001336AD">
        <w:t xml:space="preserve">NOI </w:t>
      </w:r>
      <w:r w:rsidRPr="00F720F8">
        <w:t xml:space="preserve">of $143,000 </w:t>
      </w:r>
      <w:r w:rsidR="00F92B40">
        <w:t>for</w:t>
      </w:r>
      <w:r w:rsidRPr="00F720F8">
        <w:t xml:space="preserve"> electric </w:t>
      </w:r>
      <w:r w:rsidR="000D5B20">
        <w:t>operations</w:t>
      </w:r>
      <w:r w:rsidRPr="00F720F8">
        <w:t xml:space="preserve">, and a decrease to </w:t>
      </w:r>
      <w:r w:rsidR="001336AD">
        <w:t xml:space="preserve">NOI </w:t>
      </w:r>
      <w:r w:rsidRPr="00F720F8">
        <w:t xml:space="preserve">of $33,000 </w:t>
      </w:r>
      <w:r w:rsidR="00F92B40">
        <w:t>for natural</w:t>
      </w:r>
      <w:r w:rsidRPr="00F720F8">
        <w:t xml:space="preserve"> gas </w:t>
      </w:r>
      <w:r w:rsidR="000D5B20">
        <w:t>operations</w:t>
      </w:r>
      <w:r w:rsidRPr="00F720F8">
        <w:t>.</w:t>
      </w:r>
    </w:p>
    <w:p w14:paraId="3A9DBEEC" w14:textId="77777777" w:rsidR="000C0B24" w:rsidRPr="00F720F8" w:rsidRDefault="000C0B24" w:rsidP="000C0B24">
      <w:pPr>
        <w:spacing w:line="480" w:lineRule="auto"/>
        <w:ind w:left="720" w:hanging="720"/>
      </w:pPr>
    </w:p>
    <w:p w14:paraId="50B23927" w14:textId="77777777" w:rsidR="000C0B24" w:rsidRPr="00F720F8" w:rsidRDefault="000C0B24" w:rsidP="000C0B24">
      <w:pPr>
        <w:pStyle w:val="Heading8"/>
      </w:pPr>
      <w:r w:rsidRPr="00F720F8">
        <w:t>Q.</w:t>
      </w:r>
      <w:r w:rsidRPr="00F720F8">
        <w:tab/>
        <w:t xml:space="preserve">What is Staff’s recommendation for this adjustment? </w:t>
      </w:r>
    </w:p>
    <w:p w14:paraId="3BDEA2B7" w14:textId="5338A13C" w:rsidR="00BB28B0" w:rsidRDefault="000C0B24" w:rsidP="000C0B24">
      <w:pPr>
        <w:pStyle w:val="NoSpacing"/>
        <w:rPr>
          <w:rStyle w:val="CommentReference"/>
          <w:rFonts w:eastAsiaTheme="minorHAnsi"/>
        </w:rPr>
      </w:pPr>
      <w:r w:rsidRPr="00F720F8">
        <w:t>A.</w:t>
      </w:r>
      <w:r w:rsidRPr="00F720F8">
        <w:tab/>
        <w:t>Staff analyzed timesheet information</w:t>
      </w:r>
      <w:r w:rsidR="00F55992">
        <w:t xml:space="preserve"> </w:t>
      </w:r>
      <w:r w:rsidR="001C39CD">
        <w:t>during the test year</w:t>
      </w:r>
      <w:r w:rsidR="00251B66">
        <w:t xml:space="preserve"> </w:t>
      </w:r>
      <w:r w:rsidRPr="00F720F8">
        <w:t>provided by the Company</w:t>
      </w:r>
      <w:r w:rsidR="00A85597">
        <w:t xml:space="preserve"> on discovery</w:t>
      </w:r>
      <w:r w:rsidRPr="00F720F8">
        <w:t xml:space="preserve">.  </w:t>
      </w:r>
      <w:r w:rsidR="00A85597">
        <w:t>The actual timesheet data for the test period showed approximate</w:t>
      </w:r>
      <w:r w:rsidRPr="00F720F8">
        <w:t xml:space="preserve"> allocation factors </w:t>
      </w:r>
      <w:r w:rsidR="00A85597">
        <w:t>of</w:t>
      </w:r>
      <w:r w:rsidRPr="00F720F8">
        <w:t xml:space="preserve"> 83 percent </w:t>
      </w:r>
      <w:r w:rsidR="00A85597">
        <w:t xml:space="preserve">to </w:t>
      </w:r>
      <w:r w:rsidRPr="00F720F8">
        <w:t xml:space="preserve">utility </w:t>
      </w:r>
      <w:r w:rsidR="00A85597">
        <w:t>and</w:t>
      </w:r>
      <w:r w:rsidR="00A85597" w:rsidRPr="00F720F8">
        <w:t xml:space="preserve"> </w:t>
      </w:r>
      <w:r w:rsidRPr="00F720F8">
        <w:t xml:space="preserve">17 percent </w:t>
      </w:r>
      <w:r w:rsidR="00A85597">
        <w:t>to</w:t>
      </w:r>
      <w:r w:rsidRPr="00F720F8">
        <w:t xml:space="preserve"> non-utility </w:t>
      </w:r>
      <w:r w:rsidR="00A85597">
        <w:t>operations.</w:t>
      </w:r>
      <w:r w:rsidR="00A85597" w:rsidRPr="00A85597">
        <w:rPr>
          <w:rStyle w:val="FootnoteReference"/>
        </w:rPr>
        <w:t xml:space="preserve"> </w:t>
      </w:r>
      <w:r w:rsidR="00A85597" w:rsidRPr="00F720F8">
        <w:rPr>
          <w:rStyle w:val="FootnoteReference"/>
        </w:rPr>
        <w:footnoteReference w:id="32"/>
      </w:r>
      <w:r w:rsidR="00A85597">
        <w:t xml:space="preserve">  </w:t>
      </w:r>
      <w:r w:rsidR="00F1209A">
        <w:t xml:space="preserve">Further, the Company </w:t>
      </w:r>
      <w:r w:rsidR="00F55992">
        <w:t>did not provide a clear and convincing description of any anticipated changes in current executive responsibilities.</w:t>
      </w:r>
      <w:r w:rsidRPr="00F720F8">
        <w:t xml:space="preserve">  </w:t>
      </w:r>
    </w:p>
    <w:p w14:paraId="604769B4" w14:textId="4AC9F819" w:rsidR="000C0B24" w:rsidRPr="00F720F8" w:rsidRDefault="000C0B24" w:rsidP="00BB28B0">
      <w:pPr>
        <w:pStyle w:val="NoSpacing"/>
        <w:ind w:firstLine="720"/>
      </w:pPr>
      <w:r w:rsidRPr="00F720F8">
        <w:t>Changing the allocation factors to Staff’s recommendation reduce</w:t>
      </w:r>
      <w:r w:rsidR="00BB28B0">
        <w:t>s</w:t>
      </w:r>
      <w:r w:rsidRPr="00F720F8">
        <w:t xml:space="preserve"> </w:t>
      </w:r>
      <w:r w:rsidR="001336AD">
        <w:t xml:space="preserve">NOI </w:t>
      </w:r>
      <w:r w:rsidRPr="00F720F8">
        <w:t xml:space="preserve">by $79,000 </w:t>
      </w:r>
      <w:r w:rsidR="001A4E75" w:rsidRPr="00F720F8">
        <w:t>for</w:t>
      </w:r>
      <w:r w:rsidRPr="00F720F8">
        <w:t xml:space="preserve"> electric </w:t>
      </w:r>
      <w:r w:rsidR="001A4E75" w:rsidRPr="00F720F8">
        <w:t>operations</w:t>
      </w:r>
      <w:r w:rsidRPr="00F720F8">
        <w:t xml:space="preserve">, and </w:t>
      </w:r>
      <w:r w:rsidR="001A4E75" w:rsidRPr="00F720F8">
        <w:t>by $14,000 for gas operations</w:t>
      </w:r>
      <w:r w:rsidRPr="00F720F8">
        <w:t>.</w:t>
      </w:r>
    </w:p>
    <w:p w14:paraId="215F3638" w14:textId="77777777" w:rsidR="000C0B24" w:rsidRPr="00F720F8" w:rsidRDefault="000C0B24" w:rsidP="000C0B24">
      <w:pPr>
        <w:pStyle w:val="NoSpacing"/>
      </w:pPr>
    </w:p>
    <w:p w14:paraId="04120451" w14:textId="7A628732" w:rsidR="000C0B24" w:rsidRPr="00F720F8" w:rsidRDefault="001A4E75" w:rsidP="00DA24F8">
      <w:pPr>
        <w:pStyle w:val="Heading2"/>
        <w:keepNext/>
        <w:numPr>
          <w:ilvl w:val="0"/>
          <w:numId w:val="33"/>
        </w:numPr>
        <w:spacing w:line="240" w:lineRule="auto"/>
        <w:ind w:left="1440" w:hanging="720"/>
      </w:pPr>
      <w:bookmarkStart w:id="96" w:name="_Toc424808478"/>
      <w:bookmarkStart w:id="97" w:name="_Toc424808499"/>
      <w:bookmarkStart w:id="98" w:name="_Toc425422191"/>
      <w:bookmarkStart w:id="99" w:name="_Toc425422365"/>
      <w:bookmarkStart w:id="100" w:name="_Toc425423251"/>
      <w:bookmarkStart w:id="101" w:name="_Toc425497666"/>
      <w:r w:rsidRPr="00F720F8">
        <w:lastRenderedPageBreak/>
        <w:t>Adjustment 3.04 (Electric) &amp; Adjustment 3.02 (Gas) - Pro Forma Employee Benefits</w:t>
      </w:r>
      <w:bookmarkEnd w:id="96"/>
      <w:bookmarkEnd w:id="97"/>
      <w:bookmarkEnd w:id="98"/>
      <w:bookmarkEnd w:id="99"/>
      <w:bookmarkEnd w:id="100"/>
      <w:bookmarkEnd w:id="101"/>
    </w:p>
    <w:p w14:paraId="423C59AA" w14:textId="77777777" w:rsidR="000C0B24" w:rsidRPr="00F720F8" w:rsidRDefault="000C0B24" w:rsidP="00DA24F8">
      <w:pPr>
        <w:keepNext/>
        <w:spacing w:line="480" w:lineRule="auto"/>
        <w:rPr>
          <w:b/>
          <w:u w:val="single"/>
        </w:rPr>
      </w:pPr>
    </w:p>
    <w:p w14:paraId="2048981D" w14:textId="3EDFA97A" w:rsidR="000C0B24" w:rsidRPr="00F720F8" w:rsidRDefault="000C0B24" w:rsidP="000C0B24">
      <w:pPr>
        <w:pStyle w:val="Heading8"/>
      </w:pPr>
      <w:r w:rsidRPr="00F720F8">
        <w:t>Q.</w:t>
      </w:r>
      <w:r w:rsidRPr="00F720F8">
        <w:tab/>
        <w:t>Please describe the Company’s proposed adjustment 3.04</w:t>
      </w:r>
      <w:r w:rsidR="00645ABD">
        <w:t xml:space="preserve"> (Electric)</w:t>
      </w:r>
      <w:r w:rsidRPr="00F720F8">
        <w:t xml:space="preserve"> and 3.02</w:t>
      </w:r>
      <w:r w:rsidR="00645ABD">
        <w:t xml:space="preserve"> (Gas)</w:t>
      </w:r>
      <w:r w:rsidRPr="00F720F8">
        <w:t xml:space="preserve"> to employee benefits. </w:t>
      </w:r>
    </w:p>
    <w:p w14:paraId="1B3BD5AA" w14:textId="453DED6E" w:rsidR="001A4E75" w:rsidRPr="00F720F8" w:rsidRDefault="000C0B24" w:rsidP="000C0B24">
      <w:pPr>
        <w:pStyle w:val="NoSpacing"/>
      </w:pPr>
      <w:r w:rsidRPr="00F720F8">
        <w:t>A.</w:t>
      </w:r>
      <w:r w:rsidRPr="00F720F8">
        <w:tab/>
        <w:t xml:space="preserve">The Company proposes a pro forma adjustment to account for changes in both pension and medical insurance expense.  </w:t>
      </w:r>
      <w:r w:rsidR="00645ABD">
        <w:t xml:space="preserve">The Company states in </w:t>
      </w:r>
      <w:r w:rsidR="001336AD">
        <w:t xml:space="preserve">its </w:t>
      </w:r>
      <w:r w:rsidR="00645ABD">
        <w:t>initial filing</w:t>
      </w:r>
      <w:r w:rsidR="001A4E75" w:rsidRPr="00F720F8">
        <w:t xml:space="preserve">: </w:t>
      </w:r>
    </w:p>
    <w:p w14:paraId="64AAD4D1" w14:textId="7D3D714D" w:rsidR="001A4E75" w:rsidRPr="00F720F8" w:rsidRDefault="000C0B24" w:rsidP="001A4E75">
      <w:pPr>
        <w:pStyle w:val="NoSpacing"/>
        <w:spacing w:after="240" w:line="240" w:lineRule="auto"/>
        <w:ind w:left="1440" w:firstLine="0"/>
      </w:pPr>
      <w:r w:rsidRPr="00F720F8">
        <w:t>The increase in pension expense ($1.6 million Washington electric)</w:t>
      </w:r>
      <w:r w:rsidR="008752C0" w:rsidRPr="00F720F8">
        <w:rPr>
          <w:rStyle w:val="FootnoteReference"/>
        </w:rPr>
        <w:footnoteReference w:id="33"/>
      </w:r>
      <w:r w:rsidRPr="00F720F8">
        <w:t xml:space="preserve"> is primarily due to updated mortality tables, the discount rate on pension liability and expected return on asse</w:t>
      </w:r>
      <w:r w:rsidR="001A4E75" w:rsidRPr="00F720F8">
        <w:t>ts.</w:t>
      </w:r>
      <w:r w:rsidR="001A4E75" w:rsidRPr="00F720F8">
        <w:rPr>
          <w:rStyle w:val="FootnoteReference"/>
        </w:rPr>
        <w:footnoteReference w:id="34"/>
      </w:r>
      <w:r w:rsidR="005B2EFB" w:rsidRPr="00F720F8">
        <w:t xml:space="preserve"> </w:t>
      </w:r>
    </w:p>
    <w:p w14:paraId="1BB60CE8" w14:textId="52BCFE46" w:rsidR="00B36B12" w:rsidRDefault="00B36B12" w:rsidP="001A4E75">
      <w:pPr>
        <w:pStyle w:val="NoSpacing"/>
        <w:ind w:firstLine="0"/>
      </w:pPr>
      <w:r>
        <w:t>Further, C</w:t>
      </w:r>
      <w:r w:rsidR="00A870EA">
        <w:t xml:space="preserve">ompany </w:t>
      </w:r>
      <w:r>
        <w:t xml:space="preserve">witness Jennifer Smith </w:t>
      </w:r>
      <w:r w:rsidR="00A870EA">
        <w:t>explains the</w:t>
      </w:r>
      <w:r w:rsidR="000C0B24" w:rsidRPr="00F720F8">
        <w:t xml:space="preserve"> increase in medical insurance and post-retirement expense ($0.7</w:t>
      </w:r>
      <w:r w:rsidR="00A870EA">
        <w:t xml:space="preserve"> </w:t>
      </w:r>
      <w:r w:rsidR="000C0B24" w:rsidRPr="00F720F8">
        <w:t>million Washington electric)</w:t>
      </w:r>
      <w:r>
        <w:t>:</w:t>
      </w:r>
      <w:r w:rsidR="005B2EFB" w:rsidRPr="00F720F8">
        <w:rPr>
          <w:rStyle w:val="FootnoteReference"/>
        </w:rPr>
        <w:footnoteReference w:id="35"/>
      </w:r>
      <w:r w:rsidR="005B2EFB" w:rsidRPr="00F720F8" w:rsidDel="00B36B12">
        <w:t xml:space="preserve"> </w:t>
      </w:r>
    </w:p>
    <w:p w14:paraId="071C14C9" w14:textId="6C2BDBB2" w:rsidR="00B36B12" w:rsidRDefault="000C0B24" w:rsidP="00B36B12">
      <w:pPr>
        <w:pStyle w:val="NoSpacing"/>
        <w:spacing w:after="240" w:line="240" w:lineRule="auto"/>
        <w:ind w:left="1440" w:firstLine="0"/>
      </w:pPr>
      <w:r w:rsidRPr="00F720F8">
        <w:t>The increase in 2016 represents medical trend and utilization expectations, as well as accounting for Health Care Reform mandates.</w:t>
      </w:r>
      <w:r w:rsidR="00B36B12">
        <w:rPr>
          <w:rStyle w:val="FootnoteReference"/>
        </w:rPr>
        <w:footnoteReference w:id="36"/>
      </w:r>
      <w:r w:rsidRPr="00F720F8">
        <w:t xml:space="preserve">  </w:t>
      </w:r>
    </w:p>
    <w:p w14:paraId="1C0063B5" w14:textId="6519AC43" w:rsidR="000C0B24" w:rsidRPr="00F720F8" w:rsidRDefault="000C0B24" w:rsidP="00B36B12">
      <w:pPr>
        <w:pStyle w:val="NoSpacing"/>
        <w:ind w:firstLine="0"/>
      </w:pPr>
      <w:r w:rsidRPr="00F720F8">
        <w:t xml:space="preserve">The effect of this adjustment is a decrease to </w:t>
      </w:r>
      <w:r w:rsidR="001336AD">
        <w:t xml:space="preserve">NOI </w:t>
      </w:r>
      <w:r w:rsidRPr="00F720F8">
        <w:t>of $1,550,000</w:t>
      </w:r>
      <w:r w:rsidR="005B2EFB" w:rsidRPr="00F720F8">
        <w:t xml:space="preserve"> for electric operations</w:t>
      </w:r>
      <w:r w:rsidRPr="00F720F8">
        <w:t>.</w:t>
      </w:r>
      <w:r w:rsidR="00B36B12">
        <w:t xml:space="preserve">  </w:t>
      </w:r>
    </w:p>
    <w:p w14:paraId="0176AF2E" w14:textId="537B5F6C" w:rsidR="00393FD6" w:rsidRDefault="00A54CBA" w:rsidP="000C0B24">
      <w:pPr>
        <w:pStyle w:val="NoSpacing"/>
      </w:pPr>
      <w:r>
        <w:tab/>
      </w:r>
      <w:r>
        <w:tab/>
      </w:r>
      <w:r w:rsidR="00393FD6">
        <w:t>For gas operations, t</w:t>
      </w:r>
      <w:r w:rsidR="000C0B24" w:rsidRPr="00F720F8">
        <w:t xml:space="preserve">he Company originally proposed an increase </w:t>
      </w:r>
      <w:r w:rsidR="005B2EFB" w:rsidRPr="00F720F8">
        <w:t>of almost</w:t>
      </w:r>
      <w:r w:rsidR="000C0B24" w:rsidRPr="00F720F8">
        <w:t xml:space="preserve"> $0.5 million in pension expense and $0.2 million in medical expense </w:t>
      </w:r>
      <w:r w:rsidR="00A41FBF">
        <w:t>for its</w:t>
      </w:r>
      <w:r w:rsidR="000C0B24" w:rsidRPr="00F720F8">
        <w:t xml:space="preserve"> gas </w:t>
      </w:r>
      <w:r>
        <w:t>operations</w:t>
      </w:r>
      <w:r w:rsidR="000C0B24" w:rsidRPr="00F720F8">
        <w:t>.</w:t>
      </w:r>
      <w:r w:rsidR="000C0B24" w:rsidRPr="00F720F8">
        <w:rPr>
          <w:rStyle w:val="FootnoteReference"/>
        </w:rPr>
        <w:footnoteReference w:id="37"/>
      </w:r>
      <w:r w:rsidR="000C0B24" w:rsidRPr="00F720F8">
        <w:t xml:space="preserve">  The effect of this adjustment is a decrease to </w:t>
      </w:r>
      <w:r w:rsidR="001336AD">
        <w:t xml:space="preserve">NOI </w:t>
      </w:r>
      <w:r w:rsidR="000C0B24" w:rsidRPr="00F720F8">
        <w:t>of $466,000</w:t>
      </w:r>
      <w:r>
        <w:t xml:space="preserve">.  </w:t>
      </w:r>
    </w:p>
    <w:p w14:paraId="55FDE20E" w14:textId="4B9C9BCB" w:rsidR="000C0B24" w:rsidRPr="00F720F8" w:rsidRDefault="00393FD6" w:rsidP="00393FD6">
      <w:pPr>
        <w:pStyle w:val="NoSpacing"/>
        <w:ind w:firstLine="720"/>
      </w:pPr>
      <w:r>
        <w:lastRenderedPageBreak/>
        <w:t>T</w:t>
      </w:r>
      <w:r w:rsidR="00AE103E">
        <w:t xml:space="preserve">he </w:t>
      </w:r>
      <w:r w:rsidR="00BF0F14">
        <w:t>C</w:t>
      </w:r>
      <w:r w:rsidR="00AE103E">
        <w:t>ompany r</w:t>
      </w:r>
      <w:r>
        <w:t>evised these</w:t>
      </w:r>
      <w:r w:rsidR="00AE103E">
        <w:t xml:space="preserve"> number</w:t>
      </w:r>
      <w:r w:rsidR="00AD62E7">
        <w:t>s</w:t>
      </w:r>
      <w:r w:rsidR="00AE103E">
        <w:t xml:space="preserve"> several times during discovery.  </w:t>
      </w:r>
      <w:r>
        <w:t xml:space="preserve">With the revisions, the final effect of these adjustment is a decrease to </w:t>
      </w:r>
      <w:r w:rsidR="001336AD">
        <w:t xml:space="preserve">NOI </w:t>
      </w:r>
      <w:r>
        <w:t>of $2,330,000 for electric operations and</w:t>
      </w:r>
      <w:r w:rsidR="00AE103E">
        <w:t xml:space="preserve"> </w:t>
      </w:r>
      <w:r>
        <w:t xml:space="preserve">a decrease of </w:t>
      </w:r>
      <w:r w:rsidR="00AE103E">
        <w:t xml:space="preserve">$701,000 for gas operations.  </w:t>
      </w:r>
    </w:p>
    <w:p w14:paraId="07D621FC" w14:textId="77777777" w:rsidR="000C0B24" w:rsidRPr="00F720F8" w:rsidRDefault="000C0B24" w:rsidP="000C0B24">
      <w:pPr>
        <w:spacing w:line="480" w:lineRule="auto"/>
        <w:ind w:left="720" w:hanging="720"/>
      </w:pPr>
    </w:p>
    <w:p w14:paraId="3CE26D6E" w14:textId="77777777" w:rsidR="000C0B24" w:rsidRPr="00F720F8" w:rsidRDefault="000C0B24" w:rsidP="000C0B24">
      <w:pPr>
        <w:pStyle w:val="Heading8"/>
      </w:pPr>
      <w:r w:rsidRPr="00F720F8">
        <w:t>Q.</w:t>
      </w:r>
      <w:r w:rsidRPr="00F720F8">
        <w:tab/>
        <w:t xml:space="preserve">What is Staff’s recommendation for this adjustment? </w:t>
      </w:r>
    </w:p>
    <w:p w14:paraId="558CE73B" w14:textId="43CDF061" w:rsidR="000C0B24" w:rsidRPr="00F720F8" w:rsidRDefault="000C0B24" w:rsidP="000C0B24">
      <w:pPr>
        <w:pStyle w:val="NoSpacing"/>
      </w:pPr>
      <w:r w:rsidRPr="00F720F8">
        <w:t>A.</w:t>
      </w:r>
      <w:r w:rsidRPr="00F720F8">
        <w:tab/>
        <w:t xml:space="preserve">Staff accepts the Company’s revised pro forma adjustment, except for a minor calculation error.  Avista </w:t>
      </w:r>
      <w:r w:rsidR="00430B11">
        <w:t xml:space="preserve">inadvertently </w:t>
      </w:r>
      <w:r w:rsidRPr="00F720F8">
        <w:t xml:space="preserve">included </w:t>
      </w:r>
      <w:r w:rsidR="00430B11" w:rsidRPr="00F720F8">
        <w:t xml:space="preserve">$220,000 </w:t>
      </w:r>
      <w:r w:rsidR="00430B11">
        <w:t xml:space="preserve">of </w:t>
      </w:r>
      <w:r w:rsidRPr="00F720F8">
        <w:t xml:space="preserve">administrative </w:t>
      </w:r>
      <w:r w:rsidR="00430B11">
        <w:t xml:space="preserve">fees </w:t>
      </w:r>
      <w:r w:rsidRPr="00F720F8">
        <w:t>in its medical expense calculation</w:t>
      </w:r>
      <w:r w:rsidR="00430B11" w:rsidRPr="00430B11">
        <w:t xml:space="preserve"> </w:t>
      </w:r>
      <w:r w:rsidR="00430B11" w:rsidRPr="00F720F8">
        <w:t>twice</w:t>
      </w:r>
      <w:r w:rsidRPr="00F720F8">
        <w:t xml:space="preserve">.  With the removal of the duplicate administrative fees, the overall effect of the adjustment is a decrease to </w:t>
      </w:r>
      <w:r w:rsidR="001336AD">
        <w:t xml:space="preserve">NOI </w:t>
      </w:r>
      <w:r w:rsidRPr="00F720F8">
        <w:t xml:space="preserve">of $2,291,000 </w:t>
      </w:r>
      <w:r w:rsidR="00861707" w:rsidRPr="00F720F8">
        <w:t xml:space="preserve">for electric operations </w:t>
      </w:r>
      <w:r w:rsidRPr="00F720F8">
        <w:t xml:space="preserve">and </w:t>
      </w:r>
      <w:r w:rsidR="002D54B9">
        <w:t xml:space="preserve">a decrease of </w:t>
      </w:r>
      <w:r w:rsidRPr="00F720F8">
        <w:t xml:space="preserve">$690,000 </w:t>
      </w:r>
      <w:r w:rsidR="00861707" w:rsidRPr="00F720F8">
        <w:t>for gas operations</w:t>
      </w:r>
      <w:r w:rsidRPr="00F720F8">
        <w:t xml:space="preserve">. </w:t>
      </w:r>
    </w:p>
    <w:p w14:paraId="6E7D5C2C" w14:textId="77777777" w:rsidR="000C0B24" w:rsidRPr="00F720F8" w:rsidRDefault="000C0B24" w:rsidP="000C0B24">
      <w:pPr>
        <w:pStyle w:val="NoSpacing"/>
      </w:pPr>
    </w:p>
    <w:p w14:paraId="59E2D17C" w14:textId="38F847A9" w:rsidR="000C0B24" w:rsidRPr="00F720F8" w:rsidRDefault="00861707" w:rsidP="00DA24F8">
      <w:pPr>
        <w:pStyle w:val="Heading2"/>
        <w:numPr>
          <w:ilvl w:val="0"/>
          <w:numId w:val="33"/>
        </w:numPr>
        <w:spacing w:line="240" w:lineRule="auto"/>
        <w:ind w:left="1440" w:hanging="720"/>
      </w:pPr>
      <w:bookmarkStart w:id="102" w:name="_Toc424808479"/>
      <w:bookmarkStart w:id="103" w:name="_Toc424808500"/>
      <w:bookmarkStart w:id="104" w:name="_Toc425422192"/>
      <w:bookmarkStart w:id="105" w:name="_Toc425422366"/>
      <w:bookmarkStart w:id="106" w:name="_Toc425423252"/>
      <w:bookmarkStart w:id="107" w:name="_Toc425497667"/>
      <w:r w:rsidRPr="00F720F8">
        <w:t>Adjustment 3.05 (Electric) &amp; Adjustment 3.03 (Gas) - Pro Forma Insurance Expense</w:t>
      </w:r>
      <w:bookmarkEnd w:id="102"/>
      <w:bookmarkEnd w:id="103"/>
      <w:bookmarkEnd w:id="104"/>
      <w:bookmarkEnd w:id="105"/>
      <w:bookmarkEnd w:id="106"/>
      <w:bookmarkEnd w:id="107"/>
      <w:r w:rsidRPr="00F720F8">
        <w:t xml:space="preserve">  </w:t>
      </w:r>
    </w:p>
    <w:p w14:paraId="6D8B5870" w14:textId="77777777" w:rsidR="000C0B24" w:rsidRPr="00F720F8" w:rsidRDefault="000C0B24" w:rsidP="000C0B24">
      <w:pPr>
        <w:spacing w:line="480" w:lineRule="auto"/>
        <w:rPr>
          <w:b/>
          <w:u w:val="single"/>
        </w:rPr>
      </w:pPr>
    </w:p>
    <w:p w14:paraId="15CCAB17" w14:textId="6A33F8E2" w:rsidR="000C0B24" w:rsidRPr="00F720F8" w:rsidRDefault="000C0B24" w:rsidP="000C0B24">
      <w:pPr>
        <w:pStyle w:val="Heading8"/>
      </w:pPr>
      <w:r w:rsidRPr="00F720F8">
        <w:t>Q.</w:t>
      </w:r>
      <w:r w:rsidRPr="00F720F8">
        <w:tab/>
        <w:t xml:space="preserve">Please describe the Company’s proposed adjustment 3.05 </w:t>
      </w:r>
      <w:r w:rsidR="001336AD">
        <w:t xml:space="preserve">(Electric) </w:t>
      </w:r>
      <w:r w:rsidRPr="00F720F8">
        <w:t xml:space="preserve">and 3.03 </w:t>
      </w:r>
      <w:r w:rsidR="001336AD">
        <w:t xml:space="preserve">(Gas) </w:t>
      </w:r>
      <w:r w:rsidRPr="00F720F8">
        <w:t xml:space="preserve">to insurance expense. </w:t>
      </w:r>
    </w:p>
    <w:p w14:paraId="77AECC17" w14:textId="11555FEB" w:rsidR="00D131EC" w:rsidRDefault="000C0B24" w:rsidP="000C0B24">
      <w:pPr>
        <w:pStyle w:val="NoSpacing"/>
      </w:pPr>
      <w:r w:rsidRPr="00F720F8">
        <w:t>A.</w:t>
      </w:r>
      <w:r w:rsidRPr="00F720F8">
        <w:tab/>
        <w:t xml:space="preserve">The Company proposes a pro forma adjustment to increase insurance expense to reflect the </w:t>
      </w:r>
      <w:r w:rsidR="00540803" w:rsidRPr="00F720F8">
        <w:t xml:space="preserve">2016 </w:t>
      </w:r>
      <w:r w:rsidRPr="00F720F8">
        <w:t xml:space="preserve">expected level of insurance.  The proposed adjustment is an increase in expense of $259,000 </w:t>
      </w:r>
      <w:r w:rsidR="00861707" w:rsidRPr="00F720F8">
        <w:t>for electric operations</w:t>
      </w:r>
      <w:r w:rsidRPr="00F720F8">
        <w:t xml:space="preserve"> and </w:t>
      </w:r>
      <w:r w:rsidR="00861707" w:rsidRPr="00F720F8">
        <w:t>$77,000 for gas operations</w:t>
      </w:r>
      <w:r w:rsidRPr="00F720F8">
        <w:t>.  The effect of th</w:t>
      </w:r>
      <w:r w:rsidR="00224272">
        <w:t xml:space="preserve">is </w:t>
      </w:r>
      <w:r w:rsidRPr="00F720F8">
        <w:t xml:space="preserve">adjustment is a decrease </w:t>
      </w:r>
      <w:r w:rsidR="005E4A7B">
        <w:t xml:space="preserve">to </w:t>
      </w:r>
      <w:r w:rsidR="00BF0F14">
        <w:t>NOI</w:t>
      </w:r>
      <w:r w:rsidRPr="00F720F8">
        <w:t xml:space="preserve"> of $168,000 and</w:t>
      </w:r>
      <w:r w:rsidR="00415708">
        <w:t xml:space="preserve"> a decrease of</w:t>
      </w:r>
      <w:r w:rsidRPr="00F720F8">
        <w:t xml:space="preserve"> $50,000,</w:t>
      </w:r>
      <w:r w:rsidR="00224272">
        <w:t xml:space="preserve"> </w:t>
      </w:r>
      <w:r w:rsidRPr="00F720F8">
        <w:t>respectively.</w:t>
      </w:r>
    </w:p>
    <w:p w14:paraId="3EFFAE1D" w14:textId="77777777" w:rsidR="00D131EC" w:rsidRDefault="00D131EC" w:rsidP="000C0B24">
      <w:pPr>
        <w:pStyle w:val="NoSpacing"/>
      </w:pPr>
    </w:p>
    <w:p w14:paraId="6EDE594B" w14:textId="298613E5" w:rsidR="00D131EC" w:rsidRDefault="00D131EC" w:rsidP="00D131EC">
      <w:pPr>
        <w:pStyle w:val="Heading8"/>
      </w:pPr>
      <w:r>
        <w:t>Q.</w:t>
      </w:r>
      <w:r>
        <w:tab/>
        <w:t xml:space="preserve">Did the </w:t>
      </w:r>
      <w:r w:rsidR="00002D86">
        <w:t>C</w:t>
      </w:r>
      <w:r>
        <w:t>ompany provide an explanation for the increase?</w:t>
      </w:r>
    </w:p>
    <w:p w14:paraId="64C254E5" w14:textId="6B798ADA" w:rsidR="00DF1E4F" w:rsidRDefault="00D131EC" w:rsidP="000C0B24">
      <w:pPr>
        <w:pStyle w:val="NoSpacing"/>
      </w:pPr>
      <w:r>
        <w:t>A.</w:t>
      </w:r>
      <w:r>
        <w:tab/>
        <w:t xml:space="preserve">Yes.  </w:t>
      </w:r>
      <w:r w:rsidR="000C0B24" w:rsidRPr="00F720F8">
        <w:t xml:space="preserve">The Company </w:t>
      </w:r>
      <w:r>
        <w:t>stated in its initial filing</w:t>
      </w:r>
      <w:r w:rsidR="00C97E30" w:rsidRPr="00F720F8">
        <w:t xml:space="preserve"> </w:t>
      </w:r>
      <w:r w:rsidR="000C0B24" w:rsidRPr="00F720F8">
        <w:t xml:space="preserve">that </w:t>
      </w:r>
    </w:p>
    <w:p w14:paraId="67CC4222" w14:textId="4331714D" w:rsidR="000C0B24" w:rsidRPr="00F720F8" w:rsidRDefault="00DF1E4F" w:rsidP="00DF1E4F">
      <w:pPr>
        <w:pStyle w:val="NoSpacing"/>
        <w:spacing w:line="240" w:lineRule="auto"/>
        <w:ind w:left="1440" w:firstLine="0"/>
      </w:pPr>
      <w:r w:rsidRPr="00DF1E4F">
        <w:lastRenderedPageBreak/>
        <w:t>The increase is due to primary insurance policy providers seeking increases due to adverse impacts over the last several years from increased claim history and due to suspension by insurance providers of the continuity credit provided in previous years.</w:t>
      </w:r>
      <w:r>
        <w:rPr>
          <w:rStyle w:val="FootnoteReference"/>
        </w:rPr>
        <w:footnoteReference w:id="38"/>
      </w:r>
    </w:p>
    <w:p w14:paraId="2211F5B5" w14:textId="77777777" w:rsidR="000C0B24" w:rsidRPr="00F720F8" w:rsidRDefault="000C0B24" w:rsidP="000C0B24">
      <w:pPr>
        <w:spacing w:line="480" w:lineRule="auto"/>
        <w:ind w:left="720" w:hanging="720"/>
      </w:pPr>
    </w:p>
    <w:p w14:paraId="260BF50D" w14:textId="77777777" w:rsidR="000C0B24" w:rsidRPr="00F720F8" w:rsidRDefault="000C0B24" w:rsidP="000C0B24">
      <w:pPr>
        <w:pStyle w:val="Heading8"/>
      </w:pPr>
      <w:r w:rsidRPr="00F720F8">
        <w:t>Q.</w:t>
      </w:r>
      <w:r w:rsidRPr="00F720F8">
        <w:tab/>
        <w:t xml:space="preserve">What is Staff’s recommendation for this adjustment? </w:t>
      </w:r>
    </w:p>
    <w:p w14:paraId="1C4BEA50" w14:textId="0120E5C4" w:rsidR="000C0B24" w:rsidRPr="00F720F8" w:rsidRDefault="000C0B24" w:rsidP="00696187">
      <w:pPr>
        <w:pStyle w:val="NoSpacing"/>
      </w:pPr>
      <w:r w:rsidRPr="00F720F8">
        <w:t>A.</w:t>
      </w:r>
      <w:r w:rsidRPr="00F720F8">
        <w:tab/>
        <w:t>Staff recommends rejecting the Company’s pro forma adjustment</w:t>
      </w:r>
      <w:r w:rsidR="004877A6">
        <w:t xml:space="preserve"> and </w:t>
      </w:r>
      <w:r w:rsidRPr="00F720F8">
        <w:t xml:space="preserve">keeping the insurance expense at the test year level.  The Company’s pro forma adjustment is </w:t>
      </w:r>
      <w:r w:rsidR="00E30F65" w:rsidRPr="00F720F8">
        <w:t>more</w:t>
      </w:r>
      <w:r w:rsidRPr="00F720F8">
        <w:t xml:space="preserve"> than a 13 percent increase from the test year.  Staff analyzed insurance expense from 2009 through 2014 and </w:t>
      </w:r>
      <w:r w:rsidR="00944E31">
        <w:t xml:space="preserve">found </w:t>
      </w:r>
      <w:r w:rsidR="0068683D">
        <w:t xml:space="preserve">that </w:t>
      </w:r>
      <w:r w:rsidR="00944E31">
        <w:t xml:space="preserve">the test year increase of 3.3 percent </w:t>
      </w:r>
      <w:r w:rsidR="0068683D">
        <w:t>is</w:t>
      </w:r>
      <w:r w:rsidR="00944E31">
        <w:t xml:space="preserve"> in line with the average 4.6 percent increase since 2009.  However, </w:t>
      </w:r>
      <w:r w:rsidR="004877A6">
        <w:t xml:space="preserve">the </w:t>
      </w:r>
      <w:r w:rsidR="0068683D">
        <w:t>changes in insurance expense</w:t>
      </w:r>
      <w:r w:rsidR="00944E31">
        <w:t xml:space="preserve"> </w:t>
      </w:r>
      <w:r w:rsidR="004877A6">
        <w:t>varied significantl</w:t>
      </w:r>
      <w:r w:rsidR="00944E31">
        <w:t xml:space="preserve">y from 2008 to 2013 with </w:t>
      </w:r>
      <w:r w:rsidR="0068683D">
        <w:t xml:space="preserve">both </w:t>
      </w:r>
      <w:r w:rsidR="00944E31">
        <w:t>decreases and increases occurring</w:t>
      </w:r>
      <w:r w:rsidR="0068683D">
        <w:t xml:space="preserve"> during the period</w:t>
      </w:r>
      <w:r w:rsidR="00944E31">
        <w:t>.</w:t>
      </w:r>
      <w:r w:rsidR="00FF1F41" w:rsidRPr="00F720F8" w:rsidDel="00696187">
        <w:rPr>
          <w:rStyle w:val="FootnoteReference"/>
        </w:rPr>
        <w:footnoteReference w:id="39"/>
      </w:r>
      <w:r w:rsidRPr="00F720F8">
        <w:t xml:space="preserve">  Due to such </w:t>
      </w:r>
      <w:r w:rsidR="004877A6">
        <w:t>variance</w:t>
      </w:r>
      <w:r w:rsidR="00064166">
        <w:t xml:space="preserve"> in the historical amounts</w:t>
      </w:r>
      <w:r w:rsidRPr="00F720F8">
        <w:t xml:space="preserve">, </w:t>
      </w:r>
      <w:r w:rsidR="00E241CB" w:rsidRPr="00F720F8">
        <w:t xml:space="preserve">Staff </w:t>
      </w:r>
      <w:r w:rsidR="00663FE3">
        <w:t xml:space="preserve">determined that is not possible to quantitatively project the expense with sufficient accuracy.  Therefore, </w:t>
      </w:r>
      <w:r w:rsidR="00E241CB" w:rsidRPr="00F720F8">
        <w:t>Staff cannot</w:t>
      </w:r>
      <w:r w:rsidRPr="00F720F8">
        <w:t xml:space="preserve"> support the Company’s</w:t>
      </w:r>
      <w:r w:rsidR="00E241CB" w:rsidRPr="00F720F8">
        <w:t xml:space="preserve"> </w:t>
      </w:r>
      <w:r w:rsidR="00BB221C">
        <w:t xml:space="preserve">projected </w:t>
      </w:r>
      <w:r w:rsidR="00E241CB" w:rsidRPr="00F720F8">
        <w:t>numbers</w:t>
      </w:r>
      <w:r w:rsidRPr="00F720F8">
        <w:t>.</w:t>
      </w:r>
      <w:r w:rsidR="00696187" w:rsidRPr="00696187">
        <w:rPr>
          <w:rStyle w:val="FootnoteReference"/>
        </w:rPr>
        <w:t xml:space="preserve"> </w:t>
      </w:r>
      <w:r w:rsidR="00E241CB" w:rsidRPr="00F720F8" w:rsidDel="00696187">
        <w:t xml:space="preserve"> </w:t>
      </w:r>
      <w:r w:rsidR="00E241CB" w:rsidRPr="00F720F8">
        <w:t xml:space="preserve">Staff’s reliance on the test year amounts </w:t>
      </w:r>
      <w:r w:rsidR="00E55A5B">
        <w:t xml:space="preserve">best </w:t>
      </w:r>
      <w:r w:rsidR="00E241CB" w:rsidRPr="00F720F8">
        <w:t xml:space="preserve">meets the known and measureable standard. </w:t>
      </w:r>
    </w:p>
    <w:p w14:paraId="0F9B0A3E" w14:textId="20816FFC" w:rsidR="000C0B24" w:rsidRPr="00F720F8" w:rsidRDefault="000C0B24" w:rsidP="000C0B24">
      <w:pPr>
        <w:pStyle w:val="NoSpacing"/>
      </w:pPr>
    </w:p>
    <w:p w14:paraId="350EB969" w14:textId="53A6940D" w:rsidR="005D09AB" w:rsidRDefault="00E305A4" w:rsidP="00DA24F8">
      <w:pPr>
        <w:pStyle w:val="Heading2"/>
        <w:numPr>
          <w:ilvl w:val="0"/>
          <w:numId w:val="33"/>
        </w:numPr>
        <w:spacing w:line="240" w:lineRule="auto"/>
        <w:ind w:left="1440" w:hanging="720"/>
      </w:pPr>
      <w:bookmarkStart w:id="108" w:name="_Toc424808480"/>
      <w:bookmarkStart w:id="109" w:name="_Toc424808501"/>
      <w:bookmarkStart w:id="110" w:name="_Toc425422193"/>
      <w:bookmarkStart w:id="111" w:name="_Toc425422367"/>
      <w:bookmarkStart w:id="112" w:name="_Toc425423253"/>
      <w:bookmarkStart w:id="113" w:name="_Toc425497668"/>
      <w:r w:rsidRPr="00F720F8">
        <w:t>Adjustment 3.07 (Electric and Gas) - Pro Forma Information Tech</w:t>
      </w:r>
      <w:r w:rsidR="000C31AB" w:rsidRPr="00F720F8">
        <w:t>nology</w:t>
      </w:r>
      <w:r w:rsidRPr="00F720F8">
        <w:t xml:space="preserve">/Services </w:t>
      </w:r>
      <w:r w:rsidR="005D09AB" w:rsidRPr="00F720F8">
        <w:t>Exp</w:t>
      </w:r>
      <w:r w:rsidRPr="00F720F8">
        <w:t>ense</w:t>
      </w:r>
      <w:bookmarkEnd w:id="108"/>
      <w:bookmarkEnd w:id="109"/>
      <w:bookmarkEnd w:id="110"/>
      <w:bookmarkEnd w:id="111"/>
      <w:bookmarkEnd w:id="112"/>
      <w:bookmarkEnd w:id="113"/>
    </w:p>
    <w:p w14:paraId="1C4F6317" w14:textId="77777777" w:rsidR="00DA24F8" w:rsidRPr="00DA24F8" w:rsidRDefault="00DA24F8" w:rsidP="00DA24F8"/>
    <w:p w14:paraId="74AF10C0" w14:textId="77777777" w:rsidR="00E305A4" w:rsidRPr="00F720F8" w:rsidRDefault="00E305A4" w:rsidP="00E305A4"/>
    <w:p w14:paraId="10EBC42B" w14:textId="5DDDEA3E" w:rsidR="005D09AB" w:rsidRPr="00F720F8" w:rsidRDefault="005D09AB" w:rsidP="005D09AB">
      <w:pPr>
        <w:pStyle w:val="Heading8"/>
      </w:pPr>
      <w:r w:rsidRPr="00F720F8">
        <w:t>Q.</w:t>
      </w:r>
      <w:r w:rsidRPr="00F720F8">
        <w:tab/>
        <w:t>Please provide a description of the Adjustment</w:t>
      </w:r>
      <w:r w:rsidR="00967A9E">
        <w:t xml:space="preserve"> </w:t>
      </w:r>
      <w:r w:rsidR="00967A9E" w:rsidRPr="00967A9E">
        <w:t>3.07 (Electric and Gas) - Pro Forma Information Technology/Services Expense</w:t>
      </w:r>
      <w:r w:rsidR="00967A9E">
        <w:t>.</w:t>
      </w:r>
    </w:p>
    <w:p w14:paraId="4D840399" w14:textId="6686EC04" w:rsidR="00394EF6" w:rsidRPr="00F720F8" w:rsidRDefault="005D09AB" w:rsidP="005D09AB">
      <w:pPr>
        <w:pStyle w:val="NoSpacing"/>
      </w:pPr>
      <w:r w:rsidRPr="00F720F8">
        <w:t>A.</w:t>
      </w:r>
      <w:r w:rsidRPr="00F720F8">
        <w:tab/>
        <w:t xml:space="preserve">The adjustment increases </w:t>
      </w:r>
      <w:r w:rsidR="000C31AB" w:rsidRPr="00F720F8">
        <w:t>expenses related to information technology and services through</w:t>
      </w:r>
      <w:r w:rsidRPr="00F720F8">
        <w:t xml:space="preserve"> </w:t>
      </w:r>
      <w:r w:rsidR="000C31AB" w:rsidRPr="00F720F8">
        <w:t>costs</w:t>
      </w:r>
      <w:r w:rsidRPr="00F720F8">
        <w:t xml:space="preserve"> the </w:t>
      </w:r>
      <w:r w:rsidR="00B06DD3">
        <w:t>C</w:t>
      </w:r>
      <w:r w:rsidRPr="00F720F8">
        <w:t>ompany expects to occur in 2015 and 2016.</w:t>
      </w:r>
      <w:r w:rsidR="005C5295">
        <w:t xml:space="preserve">  The Company’s </w:t>
      </w:r>
      <w:r w:rsidR="005C5295">
        <w:lastRenderedPageBreak/>
        <w:t>adjustment increase</w:t>
      </w:r>
      <w:r w:rsidR="00177C74">
        <w:t>s</w:t>
      </w:r>
      <w:r w:rsidR="005C5295">
        <w:t xml:space="preserve"> operating expenses on a Washington allocated basis by $1,679,000 for electric operations</w:t>
      </w:r>
      <w:r w:rsidR="00394EF6">
        <w:t xml:space="preserve"> and $412,000 for gas operations</w:t>
      </w:r>
      <w:r w:rsidR="005C5295">
        <w:t xml:space="preserve">.  This is a reduction </w:t>
      </w:r>
      <w:r w:rsidR="005714A7">
        <w:t>to</w:t>
      </w:r>
      <w:r w:rsidR="005C5295">
        <w:t xml:space="preserve"> NOI of $1,091,000</w:t>
      </w:r>
      <w:r w:rsidR="00394EF6">
        <w:t xml:space="preserve"> and $268,000, respectively.</w:t>
      </w:r>
    </w:p>
    <w:p w14:paraId="5ECF54AE" w14:textId="77777777" w:rsidR="005D09AB" w:rsidRPr="00F720F8" w:rsidRDefault="005D09AB" w:rsidP="005D09AB">
      <w:pPr>
        <w:spacing w:line="480" w:lineRule="auto"/>
        <w:ind w:left="720" w:hanging="720"/>
      </w:pPr>
    </w:p>
    <w:p w14:paraId="52F09012" w14:textId="1733C8C8" w:rsidR="005D09AB" w:rsidRPr="00F720F8" w:rsidRDefault="005D09AB" w:rsidP="005D09AB">
      <w:pPr>
        <w:pStyle w:val="Heading8"/>
      </w:pPr>
      <w:r w:rsidRPr="00F720F8">
        <w:t>Q.</w:t>
      </w:r>
      <w:r w:rsidRPr="00F720F8">
        <w:tab/>
        <w:t>Do you agree with this adjustment?</w:t>
      </w:r>
    </w:p>
    <w:p w14:paraId="71D3DBDA" w14:textId="6A807279" w:rsidR="005D09AB" w:rsidRPr="00F720F8" w:rsidRDefault="005D09AB" w:rsidP="005D09AB">
      <w:pPr>
        <w:pStyle w:val="NoSpacing"/>
      </w:pPr>
      <w:r w:rsidRPr="00F720F8">
        <w:t>A.</w:t>
      </w:r>
      <w:r w:rsidRPr="00F720F8">
        <w:tab/>
        <w:t xml:space="preserve">No.  Most of the expenses the </w:t>
      </w:r>
      <w:r w:rsidR="005E4A7B">
        <w:t>C</w:t>
      </w:r>
      <w:r w:rsidRPr="00F720F8">
        <w:t xml:space="preserve">ompany includes in this adjustment are not known and measurable.  For example, </w:t>
      </w:r>
      <w:r w:rsidR="00F42B39" w:rsidRPr="00F720F8">
        <w:t xml:space="preserve">the </w:t>
      </w:r>
      <w:r w:rsidR="005E4A7B">
        <w:t>C</w:t>
      </w:r>
      <w:r w:rsidR="00F42B39" w:rsidRPr="00F720F8">
        <w:t>ompany</w:t>
      </w:r>
      <w:r w:rsidRPr="00F720F8">
        <w:t xml:space="preserve"> listed in the </w:t>
      </w:r>
      <w:r w:rsidR="00F42B39" w:rsidRPr="00F720F8">
        <w:t>associated</w:t>
      </w:r>
      <w:r w:rsidRPr="00F720F8">
        <w:t xml:space="preserve"> workpaper </w:t>
      </w:r>
      <w:r w:rsidR="00F42B39" w:rsidRPr="00F720F8">
        <w:t>several contracts with the vendor as “TBD</w:t>
      </w:r>
      <w:r w:rsidR="003610A8">
        <w:t>.</w:t>
      </w:r>
      <w:r w:rsidR="00F42B39" w:rsidRPr="00F720F8">
        <w:t xml:space="preserve">”  In response to </w:t>
      </w:r>
      <w:r w:rsidRPr="00F720F8">
        <w:t>Staff D</w:t>
      </w:r>
      <w:r w:rsidR="005E4A7B">
        <w:t xml:space="preserve">ata </w:t>
      </w:r>
      <w:r w:rsidRPr="00F720F8">
        <w:t>R</w:t>
      </w:r>
      <w:r w:rsidR="005E4A7B">
        <w:t>equest</w:t>
      </w:r>
      <w:r w:rsidRPr="00F720F8">
        <w:t xml:space="preserve"> </w:t>
      </w:r>
      <w:r w:rsidR="00734FD0">
        <w:t xml:space="preserve">No. </w:t>
      </w:r>
      <w:r w:rsidRPr="00F720F8">
        <w:t xml:space="preserve">163 the </w:t>
      </w:r>
      <w:r w:rsidR="005E4A7B">
        <w:t>C</w:t>
      </w:r>
      <w:r w:rsidRPr="00F720F8">
        <w:t xml:space="preserve">ompany </w:t>
      </w:r>
      <w:r w:rsidR="00F42B39" w:rsidRPr="00F720F8">
        <w:t>stated</w:t>
      </w:r>
      <w:r w:rsidR="00CD1721">
        <w:t xml:space="preserve">: </w:t>
      </w:r>
      <w:r w:rsidRPr="00F720F8">
        <w:t xml:space="preserve"> </w:t>
      </w:r>
    </w:p>
    <w:p w14:paraId="67A627D0" w14:textId="7E1619B0" w:rsidR="005D09AB" w:rsidRPr="00F720F8" w:rsidRDefault="005D09AB" w:rsidP="005D09AB">
      <w:pPr>
        <w:spacing w:after="240"/>
        <w:ind w:left="1440"/>
      </w:pPr>
      <w:r w:rsidRPr="00F720F8">
        <w:t>To be determined was used because the vendor is not yet known or contractually engaged with Avista to deliver products or services for the project identified.</w:t>
      </w:r>
    </w:p>
    <w:p w14:paraId="2D382404" w14:textId="0D3EEAEF" w:rsidR="00F42B39" w:rsidRPr="00F720F8" w:rsidRDefault="005D09AB" w:rsidP="00F42B39">
      <w:pPr>
        <w:pStyle w:val="NoSpacing"/>
        <w:ind w:firstLine="0"/>
      </w:pPr>
      <w:r w:rsidRPr="00F720F8">
        <w:t>Since there is no signed agreement or contra</w:t>
      </w:r>
      <w:r w:rsidR="00F42B39" w:rsidRPr="00F720F8">
        <w:t>ct providing a fee schedule or term</w:t>
      </w:r>
      <w:r w:rsidRPr="00F720F8">
        <w:t xml:space="preserve"> of the expense</w:t>
      </w:r>
      <w:r w:rsidR="00F42B39" w:rsidRPr="00F720F8">
        <w:t xml:space="preserve">, </w:t>
      </w:r>
      <w:r w:rsidRPr="00F720F8">
        <w:t xml:space="preserve">these amounts </w:t>
      </w:r>
      <w:r w:rsidR="00177C74">
        <w:t>are not</w:t>
      </w:r>
      <w:r w:rsidRPr="00F720F8">
        <w:t xml:space="preserve"> known and measurable.  </w:t>
      </w:r>
    </w:p>
    <w:p w14:paraId="6C524CDF" w14:textId="7C76274D" w:rsidR="005D09AB" w:rsidRPr="00F720F8" w:rsidRDefault="00F42B39" w:rsidP="00F42B39">
      <w:pPr>
        <w:pStyle w:val="NoSpacing"/>
        <w:ind w:firstLine="720"/>
      </w:pPr>
      <w:r w:rsidRPr="00F720F8">
        <w:t xml:space="preserve">The Company is also </w:t>
      </w:r>
      <w:r w:rsidR="005D09AB" w:rsidRPr="00F720F8">
        <w:t xml:space="preserve">including in the adjustment </w:t>
      </w:r>
      <w:r w:rsidRPr="00F720F8">
        <w:t xml:space="preserve">newly created Avista positions </w:t>
      </w:r>
      <w:r w:rsidR="005D09AB" w:rsidRPr="00F720F8">
        <w:t xml:space="preserve">for 2015 that </w:t>
      </w:r>
      <w:r w:rsidR="0006308B">
        <w:t>will eventually</w:t>
      </w:r>
      <w:r w:rsidR="0006308B" w:rsidRPr="00F720F8">
        <w:t xml:space="preserve"> </w:t>
      </w:r>
      <w:r w:rsidR="005D09AB" w:rsidRPr="00F720F8">
        <w:t>take the place of current outsourcing contracts.</w:t>
      </w:r>
      <w:r w:rsidR="0006308B">
        <w:rPr>
          <w:rStyle w:val="FootnoteReference"/>
        </w:rPr>
        <w:footnoteReference w:id="40"/>
      </w:r>
      <w:r w:rsidR="0030745E">
        <w:t xml:space="preserve"> </w:t>
      </w:r>
      <w:r w:rsidR="000E7935">
        <w:t xml:space="preserve"> </w:t>
      </w:r>
      <w:r w:rsidR="005D09AB" w:rsidRPr="00F720F8">
        <w:t>These positions and</w:t>
      </w:r>
      <w:r w:rsidRPr="00F720F8">
        <w:t xml:space="preserve"> the</w:t>
      </w:r>
      <w:r w:rsidR="005D09AB" w:rsidRPr="00F720F8">
        <w:rPr>
          <w:b/>
        </w:rPr>
        <w:t xml:space="preserve"> </w:t>
      </w:r>
      <w:r w:rsidR="00E25F91" w:rsidRPr="00F720F8">
        <w:t>additional</w:t>
      </w:r>
      <w:r w:rsidR="005D09AB" w:rsidRPr="00F720F8">
        <w:t xml:space="preserve"> contractual savings should be included in revenue requirement </w:t>
      </w:r>
      <w:r w:rsidR="0006308B">
        <w:t xml:space="preserve">only </w:t>
      </w:r>
      <w:r w:rsidR="00177C74">
        <w:t>after</w:t>
      </w:r>
      <w:r w:rsidR="00177C74" w:rsidRPr="00F720F8">
        <w:t xml:space="preserve"> </w:t>
      </w:r>
      <w:r w:rsidR="005D09AB" w:rsidRPr="00F720F8">
        <w:t>the actual position</w:t>
      </w:r>
      <w:r w:rsidR="0002053F">
        <w:t>s</w:t>
      </w:r>
      <w:r w:rsidR="005D09AB" w:rsidRPr="00F720F8">
        <w:t xml:space="preserve"> </w:t>
      </w:r>
      <w:r w:rsidR="00177C74">
        <w:t>are</w:t>
      </w:r>
      <w:r w:rsidR="005D09AB" w:rsidRPr="00F720F8">
        <w:t xml:space="preserve"> filled and the </w:t>
      </w:r>
      <w:r w:rsidR="00177C74">
        <w:t xml:space="preserve">current </w:t>
      </w:r>
      <w:r w:rsidR="005D09AB" w:rsidRPr="00F720F8">
        <w:t>contract</w:t>
      </w:r>
      <w:r w:rsidR="0002053F">
        <w:t>s</w:t>
      </w:r>
      <w:r w:rsidR="005D09AB" w:rsidRPr="00F720F8">
        <w:t xml:space="preserve"> </w:t>
      </w:r>
      <w:r w:rsidR="00177C74">
        <w:t>are</w:t>
      </w:r>
      <w:r w:rsidR="005D09AB" w:rsidRPr="00F720F8">
        <w:t xml:space="preserve"> terminated.  </w:t>
      </w:r>
    </w:p>
    <w:p w14:paraId="2C5BFFF3" w14:textId="77777777" w:rsidR="005D09AB" w:rsidRPr="00F720F8" w:rsidRDefault="005D09AB" w:rsidP="005D09AB">
      <w:pPr>
        <w:spacing w:line="480" w:lineRule="auto"/>
        <w:ind w:left="720" w:hanging="720"/>
      </w:pPr>
    </w:p>
    <w:p w14:paraId="6076C758" w14:textId="2B895BAF" w:rsidR="005D09AB" w:rsidRPr="00F720F8" w:rsidRDefault="005D09AB" w:rsidP="00DA24F8">
      <w:pPr>
        <w:pStyle w:val="Heading8"/>
        <w:keepNext/>
      </w:pPr>
      <w:r w:rsidRPr="00F720F8">
        <w:lastRenderedPageBreak/>
        <w:t>Q</w:t>
      </w:r>
      <w:r w:rsidRPr="00F720F8">
        <w:tab/>
        <w:t>Do</w:t>
      </w:r>
      <w:r w:rsidR="00D82E43">
        <w:t>es</w:t>
      </w:r>
      <w:r w:rsidRPr="00F720F8">
        <w:t xml:space="preserve"> </w:t>
      </w:r>
      <w:r w:rsidR="00D82E43">
        <w:t xml:space="preserve">your adjustment </w:t>
      </w:r>
      <w:r w:rsidR="00C66F68" w:rsidRPr="00F720F8">
        <w:t>include</w:t>
      </w:r>
      <w:r w:rsidRPr="00F720F8">
        <w:t xml:space="preserve"> any </w:t>
      </w:r>
      <w:r w:rsidR="00C66F68" w:rsidRPr="00F720F8">
        <w:t>contract amounts</w:t>
      </w:r>
      <w:r w:rsidRPr="00F720F8">
        <w:t>?</w:t>
      </w:r>
    </w:p>
    <w:p w14:paraId="47CA7267" w14:textId="1761A9E6" w:rsidR="005D09AB" w:rsidRPr="00F720F8" w:rsidRDefault="005D09AB" w:rsidP="00B810D1">
      <w:pPr>
        <w:pStyle w:val="NoSpacing"/>
      </w:pPr>
      <w:r w:rsidRPr="00F720F8">
        <w:t>A.</w:t>
      </w:r>
      <w:r w:rsidRPr="00F720F8">
        <w:tab/>
        <w:t>Yes</w:t>
      </w:r>
      <w:r w:rsidR="0002053F">
        <w:t xml:space="preserve">.  </w:t>
      </w:r>
      <w:r w:rsidR="00D82E43">
        <w:t>The adjustment include</w:t>
      </w:r>
      <w:r w:rsidR="002924F8">
        <w:t>s</w:t>
      </w:r>
      <w:r w:rsidR="00D82E43">
        <w:t xml:space="preserve"> </w:t>
      </w:r>
      <w:r w:rsidRPr="00F720F8">
        <w:t xml:space="preserve">expenses </w:t>
      </w:r>
      <w:r w:rsidR="00492EF1">
        <w:t>for which</w:t>
      </w:r>
      <w:r w:rsidRPr="00F720F8">
        <w:t xml:space="preserve"> the </w:t>
      </w:r>
      <w:r w:rsidR="005E4A7B">
        <w:t>C</w:t>
      </w:r>
      <w:r w:rsidRPr="00F720F8">
        <w:t>ompany provided sig</w:t>
      </w:r>
      <w:r w:rsidR="00C66F68" w:rsidRPr="00F720F8">
        <w:t>ned agreements or contracts.</w:t>
      </w:r>
      <w:r w:rsidR="00C66F68" w:rsidRPr="00F720F8">
        <w:rPr>
          <w:rStyle w:val="FootnoteReference"/>
        </w:rPr>
        <w:footnoteReference w:id="41"/>
      </w:r>
      <w:r w:rsidR="00C66F68" w:rsidRPr="00F720F8">
        <w:t xml:space="preserve">  </w:t>
      </w:r>
      <w:r w:rsidRPr="00F720F8">
        <w:t xml:space="preserve">These agreements and contracts provide a term and fee schedule that are known and measureable.  </w:t>
      </w:r>
    </w:p>
    <w:p w14:paraId="3C93C7CA" w14:textId="77777777" w:rsidR="005D09AB" w:rsidRPr="00F720F8" w:rsidRDefault="005D09AB" w:rsidP="005D09AB">
      <w:pPr>
        <w:spacing w:line="480" w:lineRule="auto"/>
        <w:ind w:left="720" w:hanging="720"/>
      </w:pPr>
    </w:p>
    <w:p w14:paraId="0C645937" w14:textId="26E889ED" w:rsidR="005D09AB" w:rsidRPr="00F720F8" w:rsidRDefault="005D09AB" w:rsidP="00B810D1">
      <w:pPr>
        <w:pStyle w:val="Heading8"/>
      </w:pPr>
      <w:r w:rsidRPr="00F720F8">
        <w:t>Q.</w:t>
      </w:r>
      <w:r w:rsidRPr="00F720F8">
        <w:tab/>
      </w:r>
      <w:r w:rsidR="00CA0D98">
        <w:t xml:space="preserve">Have you prepared an exhibit </w:t>
      </w:r>
      <w:r w:rsidRPr="00F720F8">
        <w:t>describ</w:t>
      </w:r>
      <w:r w:rsidR="00CA0D98">
        <w:t>ing</w:t>
      </w:r>
      <w:r w:rsidRPr="00F720F8">
        <w:t xml:space="preserve"> the incremental expenses you propose including</w:t>
      </w:r>
      <w:r w:rsidR="00CA0D98">
        <w:t>?</w:t>
      </w:r>
    </w:p>
    <w:p w14:paraId="4EC6772E" w14:textId="46DC9E78" w:rsidR="00634AAD" w:rsidRDefault="005D09AB" w:rsidP="0006308B">
      <w:pPr>
        <w:pStyle w:val="NoSpacing"/>
      </w:pPr>
      <w:r w:rsidRPr="00F720F8">
        <w:t>A.</w:t>
      </w:r>
      <w:r w:rsidRPr="00F720F8">
        <w:tab/>
      </w:r>
      <w:r w:rsidR="00CA0D98">
        <w:t xml:space="preserve">Yes.  </w:t>
      </w:r>
      <w:r w:rsidR="0002053F">
        <w:t>Attached as Exhibit No.___(JLB-</w:t>
      </w:r>
      <w:r w:rsidR="00B13EBD">
        <w:t>6</w:t>
      </w:r>
      <w:r w:rsidR="00B83768">
        <w:t>C</w:t>
      </w:r>
      <w:r w:rsidR="0002053F">
        <w:t xml:space="preserve">) is </w:t>
      </w:r>
      <w:r w:rsidR="00634AAD">
        <w:t>a description of each of these contract</w:t>
      </w:r>
      <w:r w:rsidR="001E4BAB">
        <w:t>s</w:t>
      </w:r>
      <w:r w:rsidR="00634AAD">
        <w:t xml:space="preserve"> and Staff’s reasoning for including or excluding them from the adjustment.  </w:t>
      </w:r>
    </w:p>
    <w:p w14:paraId="24416ECD" w14:textId="09AF88F6" w:rsidR="005D09AB" w:rsidRPr="00F720F8" w:rsidRDefault="005D09AB" w:rsidP="00634AAD">
      <w:pPr>
        <w:pStyle w:val="NoSpacing"/>
      </w:pPr>
    </w:p>
    <w:p w14:paraId="7D4462C5" w14:textId="4786210D" w:rsidR="005D09AB" w:rsidRPr="00F720F8" w:rsidRDefault="005D09AB" w:rsidP="00B810D1">
      <w:pPr>
        <w:pStyle w:val="Heading8"/>
      </w:pPr>
      <w:r w:rsidRPr="00F720F8">
        <w:t>Q.</w:t>
      </w:r>
      <w:r w:rsidRPr="00F720F8">
        <w:tab/>
        <w:t xml:space="preserve">Please discuss the </w:t>
      </w:r>
      <w:r w:rsidR="00112B09" w:rsidRPr="00F720F8">
        <w:t>relationship</w:t>
      </w:r>
      <w:r w:rsidRPr="00F720F8">
        <w:t xml:space="preserve"> of this adjustment </w:t>
      </w:r>
      <w:r w:rsidR="00112B09" w:rsidRPr="00F720F8">
        <w:t xml:space="preserve">with </w:t>
      </w:r>
      <w:r w:rsidR="00A33F44">
        <w:t>P</w:t>
      </w:r>
      <w:r w:rsidRPr="00F720F8">
        <w:t>roject Compass</w:t>
      </w:r>
      <w:r w:rsidR="00716F0A" w:rsidRPr="00F720F8">
        <w:t xml:space="preserve">.  </w:t>
      </w:r>
    </w:p>
    <w:p w14:paraId="7716A3BD" w14:textId="334B5F8B" w:rsidR="00F91074" w:rsidRPr="00F720F8" w:rsidRDefault="00112B09" w:rsidP="009526D2">
      <w:pPr>
        <w:pStyle w:val="NoSpacing"/>
      </w:pPr>
      <w:r w:rsidRPr="00F720F8">
        <w:t>A.</w:t>
      </w:r>
      <w:r w:rsidRPr="00F720F8">
        <w:tab/>
      </w:r>
      <w:r w:rsidR="00177C74">
        <w:t>Project</w:t>
      </w:r>
      <w:r w:rsidRPr="00F720F8">
        <w:t xml:space="preserve"> </w:t>
      </w:r>
      <w:r w:rsidR="005D09AB" w:rsidRPr="00F720F8">
        <w:t>Compass</w:t>
      </w:r>
      <w:r w:rsidR="00177C74">
        <w:t>, an</w:t>
      </w:r>
      <w:r w:rsidR="005D09AB" w:rsidRPr="00F720F8">
        <w:t xml:space="preserve"> IT infrastructure </w:t>
      </w:r>
      <w:r w:rsidR="00177C74">
        <w:t>improvement project,</w:t>
      </w:r>
      <w:r w:rsidR="005D09AB" w:rsidRPr="00F720F8">
        <w:t xml:space="preserve"> is discussed in Mr. Gomez’s testimony.  </w:t>
      </w:r>
      <w:r w:rsidR="009526D2">
        <w:t>The Company stated in its i</w:t>
      </w:r>
      <w:r w:rsidR="00F91074" w:rsidRPr="00F720F8">
        <w:t>nitia</w:t>
      </w:r>
      <w:r w:rsidR="009526D2">
        <w:t>l filing</w:t>
      </w:r>
      <w:r w:rsidR="00F91074" w:rsidRPr="00F720F8">
        <w:t>:</w:t>
      </w:r>
    </w:p>
    <w:p w14:paraId="1E68BA92" w14:textId="4A5D1C8F" w:rsidR="00F91074" w:rsidRPr="00F720F8" w:rsidRDefault="00F91074" w:rsidP="00F91074">
      <w:pPr>
        <w:pStyle w:val="NoSpacing"/>
        <w:spacing w:after="240" w:line="240" w:lineRule="auto"/>
        <w:ind w:left="1440" w:firstLine="0"/>
      </w:pPr>
      <w:r w:rsidRPr="00F720F8">
        <w:rPr>
          <w:sz w:val="23"/>
          <w:szCs w:val="23"/>
        </w:rPr>
        <w:t>There will be a net increase of $235,272 over current operating expenses associated with the deployment of the Company’s new Customer Service and Work and Asset Management Systems implemented as part of Project Compass</w:t>
      </w:r>
      <w:r w:rsidR="009526D2">
        <w:rPr>
          <w:sz w:val="23"/>
          <w:szCs w:val="23"/>
        </w:rPr>
        <w:t>.</w:t>
      </w:r>
      <w:r w:rsidR="009526D2">
        <w:rPr>
          <w:rStyle w:val="FootnoteReference"/>
          <w:sz w:val="23"/>
          <w:szCs w:val="23"/>
        </w:rPr>
        <w:footnoteReference w:id="42"/>
      </w:r>
    </w:p>
    <w:p w14:paraId="1486FF9B" w14:textId="64A12DF3" w:rsidR="009A605E" w:rsidRPr="00F720F8" w:rsidRDefault="00F91074" w:rsidP="00F91074">
      <w:pPr>
        <w:spacing w:line="480" w:lineRule="auto"/>
        <w:ind w:left="720" w:hanging="720"/>
      </w:pPr>
      <w:r w:rsidRPr="00F720F8">
        <w:tab/>
        <w:t>Unfortunately, Staff was unable to verify severa</w:t>
      </w:r>
      <w:r w:rsidR="00716F0A" w:rsidRPr="00F720F8">
        <w:t xml:space="preserve">l components of the projected support costs for </w:t>
      </w:r>
      <w:r w:rsidR="00A33F44">
        <w:t>P</w:t>
      </w:r>
      <w:r w:rsidR="00716F0A" w:rsidRPr="00F720F8">
        <w:t>roject Compass</w:t>
      </w:r>
      <w:r w:rsidRPr="00F720F8">
        <w:t xml:space="preserve">.  Of the </w:t>
      </w:r>
      <w:r w:rsidR="00A33F44">
        <w:t xml:space="preserve">15 </w:t>
      </w:r>
      <w:r w:rsidRPr="00F720F8">
        <w:t xml:space="preserve">contracts and projects the Company included in its workpapers related to </w:t>
      </w:r>
      <w:r w:rsidR="00B13EBD">
        <w:t xml:space="preserve">Project </w:t>
      </w:r>
      <w:r w:rsidRPr="00F720F8">
        <w:t xml:space="preserve">Compass, only two had signed </w:t>
      </w:r>
      <w:r w:rsidR="009A605E" w:rsidRPr="00F720F8">
        <w:t>contracts</w:t>
      </w:r>
      <w:r w:rsidRPr="00F720F8">
        <w:t xml:space="preserve">.  </w:t>
      </w:r>
    </w:p>
    <w:p w14:paraId="1FA0B609" w14:textId="2A76B2C8" w:rsidR="005D09AB" w:rsidRPr="00F720F8" w:rsidRDefault="009A605E" w:rsidP="009A605E">
      <w:pPr>
        <w:spacing w:line="480" w:lineRule="auto"/>
        <w:ind w:left="720" w:firstLine="720"/>
      </w:pPr>
      <w:r w:rsidRPr="00F720F8">
        <w:t>Further, Project Compass went live on February 2, 2015</w:t>
      </w:r>
      <w:r w:rsidR="00177C74">
        <w:t>,</w:t>
      </w:r>
      <w:r w:rsidRPr="00F720F8">
        <w:t xml:space="preserve"> well beyond the end of the test year.</w:t>
      </w:r>
      <w:r w:rsidRPr="00F720F8">
        <w:rPr>
          <w:rStyle w:val="FootnoteReference"/>
        </w:rPr>
        <w:footnoteReference w:id="43"/>
      </w:r>
      <w:r w:rsidRPr="00F720F8">
        <w:t xml:space="preserve">  With </w:t>
      </w:r>
      <w:r w:rsidR="00716F0A" w:rsidRPr="00F720F8">
        <w:t xml:space="preserve">no test year data, </w:t>
      </w:r>
      <w:r w:rsidRPr="00F720F8">
        <w:t xml:space="preserve">no historical information (given that it’s a </w:t>
      </w:r>
      <w:r w:rsidRPr="00F720F8">
        <w:lastRenderedPageBreak/>
        <w:t>new system)</w:t>
      </w:r>
      <w:r w:rsidR="00716F0A" w:rsidRPr="00F720F8">
        <w:t>, and no contractual agreements to support future costs</w:t>
      </w:r>
      <w:r w:rsidR="00B06DD3">
        <w:t>,</w:t>
      </w:r>
      <w:r w:rsidR="00716F0A" w:rsidRPr="00F720F8">
        <w:t xml:space="preserve"> </w:t>
      </w:r>
      <w:r w:rsidR="00177C74">
        <w:t xml:space="preserve">the Company’s proposed costs are not known and measurable, and therefore </w:t>
      </w:r>
      <w:r w:rsidR="00716F0A" w:rsidRPr="00F720F8">
        <w:t xml:space="preserve">Staff </w:t>
      </w:r>
      <w:r w:rsidR="00E3395C">
        <w:t>recommends</w:t>
      </w:r>
      <w:r w:rsidR="00716F0A" w:rsidRPr="00F720F8">
        <w:t xml:space="preserve"> maintain</w:t>
      </w:r>
      <w:r w:rsidR="00E3395C">
        <w:t>ing</w:t>
      </w:r>
      <w:r w:rsidR="00716F0A" w:rsidRPr="00F720F8">
        <w:t xml:space="preserve"> the </w:t>
      </w:r>
      <w:r w:rsidR="00052EDB">
        <w:t xml:space="preserve">support costs at the </w:t>
      </w:r>
      <w:r w:rsidR="00716F0A" w:rsidRPr="00F720F8">
        <w:t xml:space="preserve">test year </w:t>
      </w:r>
      <w:r w:rsidR="00052EDB">
        <w:t>level</w:t>
      </w:r>
      <w:r w:rsidR="00716F0A" w:rsidRPr="00F720F8">
        <w:t>.</w:t>
      </w:r>
    </w:p>
    <w:p w14:paraId="73744737" w14:textId="77777777" w:rsidR="005D09AB" w:rsidRPr="00F720F8" w:rsidRDefault="005D09AB" w:rsidP="00B810D1">
      <w:pPr>
        <w:pStyle w:val="Heading8"/>
      </w:pPr>
    </w:p>
    <w:p w14:paraId="4EDD01EA" w14:textId="48AA50BF" w:rsidR="005D09AB" w:rsidRPr="00F720F8" w:rsidRDefault="005D09AB" w:rsidP="005D09AB">
      <w:pPr>
        <w:spacing w:line="480" w:lineRule="auto"/>
        <w:rPr>
          <w:b/>
        </w:rPr>
      </w:pPr>
      <w:r w:rsidRPr="00F720F8">
        <w:rPr>
          <w:b/>
        </w:rPr>
        <w:t>Q.</w:t>
      </w:r>
      <w:r w:rsidRPr="00F720F8">
        <w:rPr>
          <w:b/>
        </w:rPr>
        <w:tab/>
      </w:r>
      <w:r w:rsidR="00703C4A" w:rsidRPr="00F720F8">
        <w:rPr>
          <w:b/>
        </w:rPr>
        <w:t>Has the C</w:t>
      </w:r>
      <w:r w:rsidRPr="00F720F8">
        <w:rPr>
          <w:b/>
        </w:rPr>
        <w:t xml:space="preserve">ompany </w:t>
      </w:r>
      <w:r w:rsidR="00703C4A" w:rsidRPr="00F720F8">
        <w:rPr>
          <w:b/>
        </w:rPr>
        <w:t xml:space="preserve">provided any additional </w:t>
      </w:r>
      <w:r w:rsidRPr="00F720F8">
        <w:rPr>
          <w:b/>
        </w:rPr>
        <w:t>rationale for this adjustment?</w:t>
      </w:r>
    </w:p>
    <w:p w14:paraId="0F9F4E72" w14:textId="2F0493A3" w:rsidR="005D09AB" w:rsidRPr="00F720F8" w:rsidRDefault="005D09AB" w:rsidP="00B810D1">
      <w:pPr>
        <w:pStyle w:val="NoSpacing"/>
      </w:pPr>
      <w:r w:rsidRPr="00F720F8">
        <w:t>A.</w:t>
      </w:r>
      <w:r w:rsidRPr="00F720F8">
        <w:tab/>
      </w:r>
      <w:r w:rsidR="00703C4A" w:rsidRPr="00F720F8">
        <w:t>Yes.  T</w:t>
      </w:r>
      <w:r w:rsidRPr="00F720F8">
        <w:t xml:space="preserve">he Company </w:t>
      </w:r>
      <w:r w:rsidR="00703C4A" w:rsidRPr="00F720F8">
        <w:t>stated</w:t>
      </w:r>
      <w:r w:rsidRPr="00F720F8">
        <w:t xml:space="preserve"> in Staff </w:t>
      </w:r>
      <w:r w:rsidR="00703C4A" w:rsidRPr="00F720F8">
        <w:t xml:space="preserve">Data Request </w:t>
      </w:r>
      <w:r w:rsidR="00734FD0">
        <w:t xml:space="preserve">No. </w:t>
      </w:r>
      <w:r w:rsidR="00703C4A" w:rsidRPr="00F720F8">
        <w:t>163:</w:t>
      </w:r>
    </w:p>
    <w:p w14:paraId="6D91161F" w14:textId="21768046" w:rsidR="005D09AB" w:rsidRPr="00F720F8" w:rsidRDefault="005D09AB" w:rsidP="005D09AB">
      <w:pPr>
        <w:ind w:left="1440"/>
      </w:pPr>
      <w:r w:rsidRPr="00F720F8">
        <w:t>The timing of capital projects going into service in 2015 has a direct effect on the timing of expenses being realized</w:t>
      </w:r>
      <w:r w:rsidR="00177C74">
        <w:t xml:space="preserve"> . . . . </w:t>
      </w:r>
      <w:r w:rsidRPr="00F720F8">
        <w:t>where portions of pro</w:t>
      </w:r>
      <w:r w:rsidR="00A33F44">
        <w:t xml:space="preserve"> </w:t>
      </w:r>
      <w:r w:rsidRPr="00F720F8">
        <w:t>formed expense from Project Compass, as well as subsequent projects dependent on Project Compass completion, are planned to occur now that the Q1 go-live is complete.</w:t>
      </w:r>
    </w:p>
    <w:p w14:paraId="720A91A1" w14:textId="77777777" w:rsidR="005D09AB" w:rsidRPr="00F720F8" w:rsidRDefault="005D09AB" w:rsidP="005D09AB">
      <w:pPr>
        <w:spacing w:line="480" w:lineRule="auto"/>
      </w:pPr>
    </w:p>
    <w:p w14:paraId="1A81BCC2" w14:textId="77777777" w:rsidR="005D09AB" w:rsidRPr="00F720F8" w:rsidRDefault="005D09AB" w:rsidP="00B810D1">
      <w:pPr>
        <w:pStyle w:val="Heading8"/>
      </w:pPr>
      <w:r w:rsidRPr="00F720F8">
        <w:t>Q.</w:t>
      </w:r>
      <w:r w:rsidRPr="00F720F8">
        <w:tab/>
        <w:t>Do you agree with this rationale?</w:t>
      </w:r>
    </w:p>
    <w:p w14:paraId="7E332E46" w14:textId="6698E39C" w:rsidR="005D09AB" w:rsidRPr="00F720F8" w:rsidRDefault="005D09AB" w:rsidP="00AF28D3">
      <w:pPr>
        <w:pStyle w:val="NoSpacing"/>
      </w:pPr>
      <w:r w:rsidRPr="00F720F8">
        <w:t>A.</w:t>
      </w:r>
      <w:r w:rsidRPr="00F720F8">
        <w:tab/>
        <w:t xml:space="preserve">No.  </w:t>
      </w:r>
      <w:r w:rsidR="00AD1919" w:rsidRPr="00F720F8">
        <w:t>The C</w:t>
      </w:r>
      <w:r w:rsidRPr="00F720F8">
        <w:t xml:space="preserve">ompany’s </w:t>
      </w:r>
      <w:r w:rsidR="001722F8" w:rsidRPr="00F720F8">
        <w:t>inclusion of these</w:t>
      </w:r>
      <w:r w:rsidRPr="00F720F8">
        <w:t xml:space="preserve"> expenses</w:t>
      </w:r>
      <w:r w:rsidR="00AF28D3" w:rsidRPr="00F720F8">
        <w:t xml:space="preserve"> is inconsistent with the Commission</w:t>
      </w:r>
      <w:r w:rsidR="00745FBD">
        <w:t>’</w:t>
      </w:r>
      <w:r w:rsidR="00AF28D3" w:rsidRPr="00F720F8">
        <w:t>s guidance on pro forma adjustments</w:t>
      </w:r>
      <w:r w:rsidR="00AB5532">
        <w:t xml:space="preserve"> </w:t>
      </w:r>
      <w:r w:rsidR="00177C74">
        <w:t>because</w:t>
      </w:r>
      <w:r w:rsidR="00AB5532">
        <w:t xml:space="preserve"> they are not known and measurable</w:t>
      </w:r>
      <w:r w:rsidR="00D51E89">
        <w:t xml:space="preserve">.  </w:t>
      </w:r>
      <w:r w:rsidR="00AB5532">
        <w:t>P</w:t>
      </w:r>
      <w:r w:rsidR="00D51E89">
        <w:t xml:space="preserve">rojects </w:t>
      </w:r>
      <w:r w:rsidR="00AB5532">
        <w:t xml:space="preserve">which are “planned” to occur outside the test year </w:t>
      </w:r>
      <w:r w:rsidR="00D51E89">
        <w:t>do</w:t>
      </w:r>
      <w:r w:rsidR="00AB5532">
        <w:t xml:space="preserve"> not meet the known and measurable test.  T</w:t>
      </w:r>
      <w:r w:rsidR="001722F8" w:rsidRPr="00F720F8">
        <w:t>he Company ha</w:t>
      </w:r>
      <w:r w:rsidR="00434D77" w:rsidRPr="00F720F8">
        <w:t xml:space="preserve">s provided no </w:t>
      </w:r>
      <w:r w:rsidR="00AB5532">
        <w:t xml:space="preserve">additional </w:t>
      </w:r>
      <w:r w:rsidR="00434D77" w:rsidRPr="00F720F8">
        <w:t>justification for such significant changes to the</w:t>
      </w:r>
      <w:r w:rsidR="00AF28D3" w:rsidRPr="00F720F8">
        <w:t xml:space="preserve"> test period.  </w:t>
      </w:r>
    </w:p>
    <w:p w14:paraId="7B60CBC7" w14:textId="77777777" w:rsidR="00CA40A7" w:rsidRPr="00F720F8" w:rsidRDefault="00CA40A7" w:rsidP="00434D77">
      <w:pPr>
        <w:pStyle w:val="NoSpacing"/>
        <w:ind w:left="0" w:firstLine="0"/>
      </w:pPr>
    </w:p>
    <w:p w14:paraId="113FB7C0" w14:textId="559F4C20" w:rsidR="002878E9" w:rsidRPr="00F720F8" w:rsidRDefault="004C49FA" w:rsidP="005C74B0">
      <w:pPr>
        <w:pStyle w:val="Heading1"/>
      </w:pPr>
      <w:bookmarkStart w:id="114" w:name="_Toc424808482"/>
      <w:bookmarkStart w:id="115" w:name="_Toc424808503"/>
      <w:bookmarkStart w:id="116" w:name="_Toc425422194"/>
      <w:bookmarkStart w:id="117" w:name="_Toc425422368"/>
      <w:bookmarkStart w:id="118" w:name="_Toc425423254"/>
      <w:bookmarkStart w:id="119" w:name="_Toc425497669"/>
      <w:r w:rsidRPr="00F720F8">
        <w:t>RESTATING ADJUSTMENTS</w:t>
      </w:r>
      <w:bookmarkEnd w:id="114"/>
      <w:bookmarkEnd w:id="115"/>
      <w:bookmarkEnd w:id="116"/>
      <w:bookmarkEnd w:id="117"/>
      <w:bookmarkEnd w:id="118"/>
      <w:bookmarkEnd w:id="119"/>
    </w:p>
    <w:p w14:paraId="20AD660A" w14:textId="77777777" w:rsidR="00CA40A7" w:rsidRPr="00F720F8" w:rsidRDefault="00CA40A7" w:rsidP="00CA40A7"/>
    <w:p w14:paraId="46493487" w14:textId="2102DCC8" w:rsidR="00CA40A7" w:rsidRPr="00F720F8" w:rsidRDefault="00CA40A7" w:rsidP="00DA24F8">
      <w:pPr>
        <w:pStyle w:val="Heading2"/>
        <w:numPr>
          <w:ilvl w:val="0"/>
          <w:numId w:val="34"/>
        </w:numPr>
        <w:ind w:left="1440" w:hanging="720"/>
      </w:pPr>
      <w:bookmarkStart w:id="120" w:name="_Toc424808483"/>
      <w:bookmarkStart w:id="121" w:name="_Toc424808504"/>
      <w:bookmarkStart w:id="122" w:name="_Toc425422195"/>
      <w:bookmarkStart w:id="123" w:name="_Toc425422369"/>
      <w:bookmarkStart w:id="124" w:name="_Toc425423255"/>
      <w:bookmarkStart w:id="125" w:name="_Toc425497670"/>
      <w:r w:rsidRPr="00F720F8">
        <w:t xml:space="preserve">Adjustment 2.08 </w:t>
      </w:r>
      <w:r w:rsidR="00E82C60">
        <w:t xml:space="preserve">(Electric &amp; Gas) </w:t>
      </w:r>
      <w:r w:rsidRPr="00F720F8">
        <w:t>- Restate Excise Tax</w:t>
      </w:r>
      <w:bookmarkEnd w:id="120"/>
      <w:bookmarkEnd w:id="121"/>
      <w:bookmarkEnd w:id="122"/>
      <w:bookmarkEnd w:id="123"/>
      <w:bookmarkEnd w:id="124"/>
      <w:bookmarkEnd w:id="125"/>
    </w:p>
    <w:p w14:paraId="0170EE79" w14:textId="77777777" w:rsidR="00CA40A7" w:rsidRPr="00F720F8" w:rsidRDefault="00CA40A7" w:rsidP="00CA40A7">
      <w:pPr>
        <w:spacing w:line="480" w:lineRule="auto"/>
        <w:ind w:left="720" w:hanging="720"/>
        <w:rPr>
          <w:b/>
          <w:u w:val="single"/>
        </w:rPr>
      </w:pPr>
    </w:p>
    <w:p w14:paraId="647939BF" w14:textId="77777777" w:rsidR="00CA40A7" w:rsidRPr="00F720F8" w:rsidRDefault="00CA40A7" w:rsidP="00CA40A7">
      <w:pPr>
        <w:pStyle w:val="Heading8"/>
      </w:pPr>
      <w:r w:rsidRPr="00F720F8">
        <w:t>Q.</w:t>
      </w:r>
      <w:r w:rsidRPr="00F720F8">
        <w:tab/>
        <w:t xml:space="preserve">Please describe the Company’s restated adjustment 2.08 for excise tax. </w:t>
      </w:r>
    </w:p>
    <w:p w14:paraId="19A95185" w14:textId="48F3113C" w:rsidR="00CA40A7" w:rsidRPr="00F720F8" w:rsidRDefault="00CA40A7" w:rsidP="00CA40A7">
      <w:pPr>
        <w:pStyle w:val="NoSpacing"/>
        <w:rPr>
          <w:strike/>
        </w:rPr>
      </w:pPr>
      <w:r w:rsidRPr="00F720F8">
        <w:t>A.</w:t>
      </w:r>
      <w:r w:rsidRPr="00F720F8">
        <w:tab/>
        <w:t xml:space="preserve">The purpose of this adjustment is to remove the effect of a one-month lag between the collection and the payment of taxes. </w:t>
      </w:r>
      <w:r w:rsidR="003610A8">
        <w:t xml:space="preserve"> </w:t>
      </w:r>
      <w:r w:rsidRPr="00F720F8">
        <w:t xml:space="preserve">In the Company’s initial filing, the effect of </w:t>
      </w:r>
      <w:r w:rsidRPr="00F720F8">
        <w:lastRenderedPageBreak/>
        <w:t>this adjustment increase</w:t>
      </w:r>
      <w:r w:rsidR="007D0B8E">
        <w:t>s</w:t>
      </w:r>
      <w:r w:rsidRPr="00F720F8">
        <w:t xml:space="preserve"> </w:t>
      </w:r>
      <w:r w:rsidR="001336AD">
        <w:t xml:space="preserve">NOI </w:t>
      </w:r>
      <w:r w:rsidR="007D0B8E">
        <w:t>by</w:t>
      </w:r>
      <w:r w:rsidR="007D0B8E" w:rsidRPr="00F720F8">
        <w:t xml:space="preserve"> </w:t>
      </w:r>
      <w:r w:rsidRPr="00F720F8">
        <w:t>$41,000 for electric operations, and reduc</w:t>
      </w:r>
      <w:r w:rsidR="007D0B8E">
        <w:t>es</w:t>
      </w:r>
      <w:r w:rsidRPr="00F720F8">
        <w:t xml:space="preserve"> </w:t>
      </w:r>
      <w:r w:rsidR="001336AD">
        <w:t xml:space="preserve">NOI </w:t>
      </w:r>
      <w:r w:rsidR="007D0B8E" w:rsidRPr="00F720F8">
        <w:t>for gas operations</w:t>
      </w:r>
      <w:r w:rsidR="007D0B8E" w:rsidRPr="00F720F8" w:rsidDel="007D0B8E">
        <w:t xml:space="preserve"> </w:t>
      </w:r>
      <w:r w:rsidR="007D0B8E">
        <w:t>by</w:t>
      </w:r>
      <w:r w:rsidR="007D0B8E" w:rsidRPr="00F720F8">
        <w:t xml:space="preserve"> </w:t>
      </w:r>
      <w:r w:rsidRPr="00F720F8">
        <w:t xml:space="preserve">$213,000.  </w:t>
      </w:r>
    </w:p>
    <w:p w14:paraId="0FA9274C" w14:textId="77777777" w:rsidR="00CA40A7" w:rsidRPr="00F720F8" w:rsidRDefault="00CA40A7" w:rsidP="00CA40A7">
      <w:pPr>
        <w:spacing w:line="480" w:lineRule="auto"/>
        <w:ind w:left="720" w:hanging="720"/>
        <w:rPr>
          <w:strike/>
        </w:rPr>
      </w:pPr>
    </w:p>
    <w:p w14:paraId="67554920" w14:textId="77777777" w:rsidR="00CA40A7" w:rsidRPr="00F720F8" w:rsidRDefault="00CA40A7" w:rsidP="00CA40A7">
      <w:pPr>
        <w:pStyle w:val="Heading8"/>
      </w:pPr>
      <w:r w:rsidRPr="00F720F8">
        <w:t>Q.</w:t>
      </w:r>
      <w:r w:rsidRPr="00F720F8">
        <w:tab/>
        <w:t xml:space="preserve">Please describe Staff’s change to the Company’s excise tax adjustment. </w:t>
      </w:r>
    </w:p>
    <w:p w14:paraId="4DE34B82" w14:textId="177E1095" w:rsidR="00CA40A7" w:rsidRPr="00F720F8" w:rsidRDefault="00CA40A7" w:rsidP="00CA40A7">
      <w:pPr>
        <w:pStyle w:val="NoSpacing"/>
      </w:pPr>
      <w:r w:rsidRPr="00F720F8">
        <w:t>A.</w:t>
      </w:r>
      <w:r w:rsidRPr="00F720F8">
        <w:tab/>
        <w:t xml:space="preserve">Staff analyzed the Company’s workpapers and </w:t>
      </w:r>
      <w:r w:rsidR="004C49FA">
        <w:t>found that</w:t>
      </w:r>
      <w:r w:rsidRPr="00F720F8">
        <w:t xml:space="preserve"> the Company inadvertently recorded the same revenue amount </w:t>
      </w:r>
      <w:r w:rsidR="00DD43A0">
        <w:t xml:space="preserve">as </w:t>
      </w:r>
      <w:r w:rsidRPr="00F720F8">
        <w:t xml:space="preserve">collected in April and May 2014.  The Company acknowledged </w:t>
      </w:r>
      <w:r w:rsidR="004C49FA" w:rsidRPr="00F720F8">
        <w:t>th</w:t>
      </w:r>
      <w:r w:rsidR="004C49FA">
        <w:t>is</w:t>
      </w:r>
      <w:r w:rsidR="004C49FA" w:rsidRPr="00F720F8">
        <w:t xml:space="preserve"> </w:t>
      </w:r>
      <w:r w:rsidRPr="00F720F8">
        <w:t xml:space="preserve">error in </w:t>
      </w:r>
      <w:r w:rsidR="004C49FA">
        <w:t>its</w:t>
      </w:r>
      <w:r w:rsidRPr="00F720F8">
        <w:t xml:space="preserve"> </w:t>
      </w:r>
      <w:r w:rsidR="000C3268">
        <w:t>w</w:t>
      </w:r>
      <w:r w:rsidRPr="00F720F8">
        <w:t>orkpaper and submitted revised pages directly to Staff</w:t>
      </w:r>
      <w:r w:rsidR="00BC513F">
        <w:t>.</w:t>
      </w:r>
      <w:r w:rsidR="00BC513F">
        <w:rPr>
          <w:rStyle w:val="FootnoteReference"/>
        </w:rPr>
        <w:footnoteReference w:id="44"/>
      </w:r>
      <w:r w:rsidRPr="00F720F8">
        <w:t xml:space="preserve">  The effect of the revision is an increase in </w:t>
      </w:r>
      <w:r w:rsidR="00B06DD3">
        <w:t xml:space="preserve">NOI </w:t>
      </w:r>
      <w:r w:rsidRPr="00F720F8">
        <w:t xml:space="preserve">of $127,000 for electric operations and $41,000 for </w:t>
      </w:r>
      <w:r w:rsidR="00E46306">
        <w:t>gas</w:t>
      </w:r>
      <w:r w:rsidR="00E46306" w:rsidRPr="00F720F8">
        <w:t xml:space="preserve"> </w:t>
      </w:r>
      <w:r w:rsidRPr="00F720F8">
        <w:t xml:space="preserve">operations.  </w:t>
      </w:r>
      <w:r w:rsidR="008F6007">
        <w:t>During</w:t>
      </w:r>
      <w:r w:rsidR="00BC513F">
        <w:t xml:space="preserve"> a phone conversation with Staff, t</w:t>
      </w:r>
      <w:r w:rsidRPr="00F720F8">
        <w:t xml:space="preserve">he Company agreed to correct this error on rebuttal.  </w:t>
      </w:r>
      <w:r w:rsidR="00663FE3">
        <w:t xml:space="preserve">Staff supports the corrected amounts. </w:t>
      </w:r>
    </w:p>
    <w:p w14:paraId="23D48FDF" w14:textId="77777777" w:rsidR="00CA40A7" w:rsidRPr="00F720F8" w:rsidRDefault="00CA40A7" w:rsidP="00CA40A7">
      <w:pPr>
        <w:pStyle w:val="NoSpacing"/>
      </w:pPr>
    </w:p>
    <w:p w14:paraId="2CA02917" w14:textId="3FE42BBA" w:rsidR="00CA40A7" w:rsidRPr="00F720F8" w:rsidRDefault="00CA40A7" w:rsidP="00DA24F8">
      <w:pPr>
        <w:pStyle w:val="Heading2"/>
        <w:numPr>
          <w:ilvl w:val="0"/>
          <w:numId w:val="33"/>
        </w:numPr>
        <w:ind w:left="1440" w:hanging="720"/>
        <w:rPr>
          <w:strike/>
        </w:rPr>
      </w:pPr>
      <w:bookmarkStart w:id="126" w:name="_Toc424808484"/>
      <w:bookmarkStart w:id="127" w:name="_Toc424808505"/>
      <w:bookmarkStart w:id="128" w:name="_Toc425422196"/>
      <w:bookmarkStart w:id="129" w:name="_Toc425422370"/>
      <w:bookmarkStart w:id="130" w:name="_Toc425423256"/>
      <w:bookmarkStart w:id="131" w:name="_Toc425497671"/>
      <w:r w:rsidRPr="00F720F8">
        <w:t>Adjustment 2.09 - Net Gains/Losses</w:t>
      </w:r>
      <w:bookmarkEnd w:id="126"/>
      <w:bookmarkEnd w:id="127"/>
      <w:bookmarkEnd w:id="128"/>
      <w:bookmarkEnd w:id="129"/>
      <w:bookmarkEnd w:id="130"/>
      <w:bookmarkEnd w:id="131"/>
    </w:p>
    <w:p w14:paraId="17553159" w14:textId="77777777" w:rsidR="00CA40A7" w:rsidRPr="00F720F8" w:rsidRDefault="00CA40A7" w:rsidP="00CA40A7">
      <w:pPr>
        <w:pStyle w:val="NoSpacing"/>
      </w:pPr>
    </w:p>
    <w:p w14:paraId="3A52DC94" w14:textId="77777777" w:rsidR="00CA40A7" w:rsidRPr="00F720F8" w:rsidRDefault="00CA40A7" w:rsidP="00CA40A7">
      <w:pPr>
        <w:pStyle w:val="Heading8"/>
      </w:pPr>
      <w:r w:rsidRPr="00F720F8">
        <w:t>Q.</w:t>
      </w:r>
      <w:r w:rsidRPr="00F720F8">
        <w:tab/>
        <w:t xml:space="preserve">Please describe the Company’s restating adjustment 2.09 for net gains/losses. </w:t>
      </w:r>
    </w:p>
    <w:p w14:paraId="17E4EAEA" w14:textId="0724E3C4" w:rsidR="00CA40A7" w:rsidRPr="00F720F8" w:rsidRDefault="00CA40A7" w:rsidP="00CA40A7">
      <w:pPr>
        <w:pStyle w:val="NoSpacing"/>
      </w:pPr>
      <w:r w:rsidRPr="00F720F8">
        <w:t>A.</w:t>
      </w:r>
      <w:r w:rsidRPr="00F720F8">
        <w:tab/>
        <w:t xml:space="preserve">This adjustment reflects a ten-year amortization of net gains realized from the sale of property disposed of between 2005 and September 30, 2014.  This adjustment is made as a result of the Commission’s Order in Docket No. UE-050482.  In the Company’s initial filing, the effect of this adjustment </w:t>
      </w:r>
      <w:r w:rsidR="00DD43A0" w:rsidRPr="00F720F8">
        <w:t>increase</w:t>
      </w:r>
      <w:r w:rsidR="00DD43A0">
        <w:t>s</w:t>
      </w:r>
      <w:r w:rsidR="00DD43A0" w:rsidRPr="00F720F8">
        <w:t xml:space="preserve"> </w:t>
      </w:r>
      <w:r w:rsidR="00DD43A0">
        <w:t>NOI by</w:t>
      </w:r>
      <w:r w:rsidR="00DD43A0" w:rsidRPr="00F720F8">
        <w:t xml:space="preserve"> $53,000 </w:t>
      </w:r>
      <w:r w:rsidR="00DD43A0">
        <w:t>for</w:t>
      </w:r>
      <w:r w:rsidRPr="00F720F8">
        <w:t xml:space="preserve"> electric </w:t>
      </w:r>
      <w:r w:rsidR="00DD43A0">
        <w:t xml:space="preserve">operations.  </w:t>
      </w:r>
    </w:p>
    <w:p w14:paraId="4414E1FB" w14:textId="77777777" w:rsidR="00CA40A7" w:rsidRPr="00F720F8" w:rsidRDefault="00CA40A7" w:rsidP="00CA40A7">
      <w:pPr>
        <w:spacing w:line="480" w:lineRule="auto"/>
        <w:ind w:left="720" w:hanging="720"/>
        <w:rPr>
          <w:strike/>
        </w:rPr>
      </w:pPr>
    </w:p>
    <w:p w14:paraId="702E4541" w14:textId="77777777" w:rsidR="00CA40A7" w:rsidRPr="00F720F8" w:rsidRDefault="00CA40A7" w:rsidP="00DA24F8">
      <w:pPr>
        <w:pStyle w:val="Heading8"/>
        <w:keepNext/>
      </w:pPr>
      <w:r w:rsidRPr="00F720F8">
        <w:lastRenderedPageBreak/>
        <w:t>Q.</w:t>
      </w:r>
      <w:r w:rsidRPr="00F720F8">
        <w:tab/>
        <w:t xml:space="preserve">Please describe Staff’s change to the Company’s net gains/losses adjustment. </w:t>
      </w:r>
    </w:p>
    <w:p w14:paraId="3A23BE1B" w14:textId="219C5F87" w:rsidR="00CA40A7" w:rsidRDefault="00CA40A7" w:rsidP="00CA40A7">
      <w:pPr>
        <w:pStyle w:val="NoSpacing"/>
      </w:pPr>
      <w:r w:rsidRPr="00F720F8">
        <w:t>A.</w:t>
      </w:r>
      <w:r w:rsidRPr="00F720F8">
        <w:tab/>
        <w:t xml:space="preserve">Staff analyzed the Company’s workpapers and the Company inadvertently excluded </w:t>
      </w:r>
      <w:r w:rsidR="007A338D">
        <w:t>certain</w:t>
      </w:r>
      <w:r w:rsidR="007A338D" w:rsidRPr="00F720F8">
        <w:t xml:space="preserve"> </w:t>
      </w:r>
      <w:r w:rsidRPr="00F720F8">
        <w:t xml:space="preserve">cells </w:t>
      </w:r>
      <w:r w:rsidR="007A338D">
        <w:t>from the calculation</w:t>
      </w:r>
      <w:r w:rsidRPr="00F720F8">
        <w:t xml:space="preserve">.  </w:t>
      </w:r>
      <w:r w:rsidR="008F6007">
        <w:t>During a phone conversation with Staff, t</w:t>
      </w:r>
      <w:r w:rsidR="008F6007" w:rsidRPr="00F720F8">
        <w:t xml:space="preserve">he Company </w:t>
      </w:r>
      <w:r w:rsidR="008F6007">
        <w:t xml:space="preserve">acknowledge the error and </w:t>
      </w:r>
      <w:r w:rsidR="008F6007" w:rsidRPr="00F720F8">
        <w:t xml:space="preserve">agreed to correct </w:t>
      </w:r>
      <w:r w:rsidR="008F6007">
        <w:t>it</w:t>
      </w:r>
      <w:r w:rsidR="008F6007" w:rsidRPr="00F720F8">
        <w:t xml:space="preserve"> on rebuttal.  </w:t>
      </w:r>
      <w:r w:rsidRPr="00F720F8">
        <w:t>The effect of the revision increase</w:t>
      </w:r>
      <w:r w:rsidR="008E1A17">
        <w:t>s</w:t>
      </w:r>
      <w:r w:rsidRPr="00F720F8">
        <w:t xml:space="preserve"> </w:t>
      </w:r>
      <w:r w:rsidR="001336AD">
        <w:t xml:space="preserve">NOI </w:t>
      </w:r>
      <w:r w:rsidR="008E1A17">
        <w:t>by</w:t>
      </w:r>
      <w:r w:rsidR="008E1A17" w:rsidRPr="00F720F8">
        <w:t xml:space="preserve"> </w:t>
      </w:r>
      <w:r w:rsidRPr="00F720F8">
        <w:t xml:space="preserve">$59,000 for electric operations. </w:t>
      </w:r>
      <w:r w:rsidR="003610A8">
        <w:t xml:space="preserve"> </w:t>
      </w:r>
      <w:r w:rsidRPr="00F720F8">
        <w:t>There was no calculation error in gas operations.</w:t>
      </w:r>
      <w:r w:rsidR="00663FE3">
        <w:t xml:space="preserve">  Staff supports the adjustment for gas operations as filed and supports the revised amount for electric operations. </w:t>
      </w:r>
    </w:p>
    <w:p w14:paraId="6BCBA4FF" w14:textId="77777777" w:rsidR="00587BFC" w:rsidRPr="00F720F8" w:rsidRDefault="00587BFC" w:rsidP="00CA40A7">
      <w:pPr>
        <w:pStyle w:val="NoSpacing"/>
      </w:pPr>
    </w:p>
    <w:p w14:paraId="2F2733F6" w14:textId="22F0BD0C" w:rsidR="00587BFC" w:rsidRPr="00F720F8" w:rsidRDefault="00587BFC" w:rsidP="00DA24F8">
      <w:pPr>
        <w:pStyle w:val="Heading2"/>
        <w:numPr>
          <w:ilvl w:val="0"/>
          <w:numId w:val="33"/>
        </w:numPr>
        <w:spacing w:line="240" w:lineRule="auto"/>
        <w:ind w:left="1440" w:hanging="720"/>
      </w:pPr>
      <w:bookmarkStart w:id="132" w:name="_Toc425422197"/>
      <w:bookmarkStart w:id="133" w:name="_Toc425422371"/>
      <w:bookmarkStart w:id="134" w:name="_Toc425423257"/>
      <w:bookmarkStart w:id="135" w:name="_Toc425497672"/>
      <w:r w:rsidRPr="00F720F8">
        <w:t xml:space="preserve">Adjustment </w:t>
      </w:r>
      <w:r w:rsidR="00E46306">
        <w:t>2.18 (Electric) &amp; Adjustment 2.15 (Gas)</w:t>
      </w:r>
      <w:r>
        <w:t xml:space="preserve"> </w:t>
      </w:r>
      <w:r w:rsidRPr="00F720F8">
        <w:t xml:space="preserve">- Remove Restricted Stock Units </w:t>
      </w:r>
      <w:r>
        <w:t>included in</w:t>
      </w:r>
      <w:r w:rsidRPr="00F720F8">
        <w:t xml:space="preserve"> Long Term Incentive Plan</w:t>
      </w:r>
      <w:bookmarkEnd w:id="132"/>
      <w:bookmarkEnd w:id="133"/>
      <w:bookmarkEnd w:id="134"/>
      <w:bookmarkEnd w:id="135"/>
      <w:r w:rsidRPr="00F720F8">
        <w:t xml:space="preserve"> </w:t>
      </w:r>
    </w:p>
    <w:p w14:paraId="0E012961" w14:textId="77777777" w:rsidR="00587BFC" w:rsidRPr="00F720F8" w:rsidRDefault="00587BFC" w:rsidP="00587BFC">
      <w:pPr>
        <w:pStyle w:val="NoSpacing"/>
      </w:pPr>
    </w:p>
    <w:p w14:paraId="5D9D2CE0" w14:textId="77777777" w:rsidR="00587BFC" w:rsidRPr="00F720F8" w:rsidRDefault="00587BFC" w:rsidP="00587BFC">
      <w:pPr>
        <w:pStyle w:val="Heading8"/>
      </w:pPr>
      <w:r w:rsidRPr="00F720F8">
        <w:t>Q.</w:t>
      </w:r>
      <w:r w:rsidRPr="00F720F8">
        <w:tab/>
        <w:t xml:space="preserve">Please describe Staff’s proposed adjustment 3.14.  </w:t>
      </w:r>
    </w:p>
    <w:p w14:paraId="71CF87E1" w14:textId="3C221CEB" w:rsidR="00587BFC" w:rsidRPr="00F720F8" w:rsidRDefault="00587BFC" w:rsidP="00587BFC">
      <w:pPr>
        <w:pStyle w:val="NoSpacing"/>
        <w:rPr>
          <w:b/>
        </w:rPr>
      </w:pPr>
      <w:r w:rsidRPr="00F720F8">
        <w:t>A.</w:t>
      </w:r>
      <w:r w:rsidRPr="00F720F8">
        <w:tab/>
      </w:r>
      <w:r>
        <w:t>Staff proposes a new a</w:t>
      </w:r>
      <w:r w:rsidRPr="00F720F8">
        <w:t>djustment</w:t>
      </w:r>
      <w:r>
        <w:t xml:space="preserve"> that</w:t>
      </w:r>
      <w:r w:rsidRPr="00F720F8">
        <w:t xml:space="preserve"> removes the Long Term Incentive Plan </w:t>
      </w:r>
      <w:r w:rsidR="00A12FDA">
        <w:t>(LTIP)</w:t>
      </w:r>
      <w:r w:rsidRPr="00F720F8">
        <w:t xml:space="preserve"> expenses included in the results of operations.  This reduces test year expenses by $</w:t>
      </w:r>
      <w:r w:rsidR="009C6D8D">
        <w:t>238,000</w:t>
      </w:r>
      <w:r w:rsidR="00E46306">
        <w:t xml:space="preserve"> for electric operations and $71,000 for gas operations</w:t>
      </w:r>
      <w:r w:rsidRPr="00F720F8">
        <w:t xml:space="preserve">.  </w:t>
      </w:r>
      <w:r w:rsidR="00BB154A">
        <w:t xml:space="preserve">This is an increase in NOI of </w:t>
      </w:r>
      <w:r w:rsidR="00894D30">
        <w:t>$155,000</w:t>
      </w:r>
      <w:r w:rsidR="00BB154A">
        <w:t xml:space="preserve"> and $46,000, respectively.</w:t>
      </w:r>
    </w:p>
    <w:p w14:paraId="419CC244" w14:textId="77777777" w:rsidR="00587BFC" w:rsidRPr="00F720F8" w:rsidRDefault="00587BFC" w:rsidP="00587BFC">
      <w:pPr>
        <w:spacing w:line="480" w:lineRule="auto"/>
        <w:ind w:left="720" w:hanging="720"/>
        <w:rPr>
          <w:b/>
        </w:rPr>
      </w:pPr>
    </w:p>
    <w:p w14:paraId="35D58A8A" w14:textId="3D6DD284" w:rsidR="00587BFC" w:rsidRPr="00F720F8" w:rsidRDefault="00587BFC" w:rsidP="00587BFC">
      <w:pPr>
        <w:pStyle w:val="Heading8"/>
      </w:pPr>
      <w:r w:rsidRPr="00F720F8">
        <w:t>Q.</w:t>
      </w:r>
      <w:r w:rsidRPr="00F720F8">
        <w:tab/>
        <w:t>What is the Long Term Incentive Plan</w:t>
      </w:r>
      <w:r w:rsidR="003E1CD8">
        <w:t>?</w:t>
      </w:r>
    </w:p>
    <w:p w14:paraId="5C308FD2" w14:textId="6B0811CA" w:rsidR="00587BFC" w:rsidRPr="00F720F8" w:rsidRDefault="00587BFC" w:rsidP="00587BFC">
      <w:pPr>
        <w:spacing w:line="480" w:lineRule="auto"/>
        <w:ind w:left="720" w:hanging="720"/>
      </w:pPr>
      <w:r w:rsidRPr="00F720F8">
        <w:t>A.</w:t>
      </w:r>
      <w:r w:rsidRPr="00F720F8">
        <w:tab/>
        <w:t>As stated in the document, “Long-Term Incentive Plan Avista Corporation”</w:t>
      </w:r>
    </w:p>
    <w:p w14:paraId="4E0A5443" w14:textId="4B53EAB8" w:rsidR="00587BFC" w:rsidRPr="00F720F8" w:rsidRDefault="00587BFC" w:rsidP="00587BFC">
      <w:pPr>
        <w:spacing w:after="240"/>
        <w:ind w:left="1440"/>
      </w:pPr>
      <w:r w:rsidRPr="00F720F8">
        <w:t>The purpose of the Avista Corporation Long Term Incentive Plan is to enhance the long-term shareholder value</w:t>
      </w:r>
      <w:r w:rsidR="004C49FA">
        <w:t xml:space="preserve"> . . . . </w:t>
      </w:r>
      <w:r w:rsidRPr="00F720F8">
        <w:t>by offering opportunities to employees, directors and officers</w:t>
      </w:r>
      <w:r w:rsidR="004C49FA">
        <w:t xml:space="preserve"> . . . </w:t>
      </w:r>
      <w:r w:rsidRPr="00F720F8">
        <w:t>to participate in the Company’s growth and success</w:t>
      </w:r>
      <w:r>
        <w:t>.</w:t>
      </w:r>
      <w:r w:rsidRPr="00F720F8">
        <w:rPr>
          <w:rStyle w:val="FootnoteReference"/>
        </w:rPr>
        <w:footnoteReference w:id="45"/>
      </w:r>
    </w:p>
    <w:p w14:paraId="7D4F7A88" w14:textId="24580BFC" w:rsidR="00587BFC" w:rsidRPr="00F720F8" w:rsidRDefault="00587BFC" w:rsidP="00587BFC">
      <w:pPr>
        <w:pStyle w:val="NoSpacing"/>
        <w:ind w:firstLine="0"/>
      </w:pPr>
      <w:r w:rsidRPr="00F720F8">
        <w:lastRenderedPageBreak/>
        <w:t>The LTIP is made up of two components: restricted stock for 25</w:t>
      </w:r>
      <w:r w:rsidR="00222E9D">
        <w:t xml:space="preserve"> percent</w:t>
      </w:r>
      <w:r w:rsidRPr="00F720F8">
        <w:t xml:space="preserve"> of the award and performance shares accounting for 75</w:t>
      </w:r>
      <w:r w:rsidR="00222E9D">
        <w:t xml:space="preserve"> percent</w:t>
      </w:r>
      <w:r w:rsidRPr="00F720F8">
        <w:t xml:space="preserve"> of the award.</w:t>
      </w:r>
      <w:r>
        <w:rPr>
          <w:rStyle w:val="FootnoteReference"/>
        </w:rPr>
        <w:footnoteReference w:id="46"/>
      </w:r>
      <w:r w:rsidRPr="00F720F8">
        <w:t xml:space="preserve">  As stated in </w:t>
      </w:r>
      <w:r>
        <w:t xml:space="preserve">its </w:t>
      </w:r>
      <w:r w:rsidRPr="00F720F8">
        <w:t xml:space="preserve">response to Public Counsel Data Request </w:t>
      </w:r>
      <w:r w:rsidR="00A12FDA">
        <w:t>No.</w:t>
      </w:r>
      <w:r w:rsidRPr="00F720F8">
        <w:t xml:space="preserve"> 17:</w:t>
      </w:r>
    </w:p>
    <w:p w14:paraId="6D1CBEB2" w14:textId="00D9D8FA" w:rsidR="00587BFC" w:rsidRPr="00F720F8" w:rsidRDefault="00587BFC" w:rsidP="00587BFC">
      <w:pPr>
        <w:spacing w:after="240"/>
        <w:ind w:left="1440"/>
      </w:pPr>
      <w:r w:rsidRPr="00F720F8">
        <w:t>The Plan Administrator had determined the basis for Restricted Stock Units is time-based, vesting in three equal annual increments, provided the executive remains employed by the company on the last day of each year of the three year vesting period.</w:t>
      </w:r>
    </w:p>
    <w:p w14:paraId="02CCA648" w14:textId="77777777" w:rsidR="00587BFC" w:rsidRPr="00F720F8" w:rsidRDefault="00587BFC" w:rsidP="00587BFC">
      <w:pPr>
        <w:spacing w:line="480" w:lineRule="auto"/>
        <w:ind w:left="720" w:hanging="720"/>
        <w:rPr>
          <w:b/>
        </w:rPr>
      </w:pPr>
    </w:p>
    <w:p w14:paraId="0013D620" w14:textId="77777777" w:rsidR="00587BFC" w:rsidRPr="00F720F8" w:rsidRDefault="00587BFC" w:rsidP="00587BFC">
      <w:pPr>
        <w:spacing w:line="480" w:lineRule="auto"/>
        <w:ind w:left="720" w:hanging="720"/>
      </w:pPr>
      <w:r w:rsidRPr="00F720F8">
        <w:rPr>
          <w:b/>
        </w:rPr>
        <w:t>Q.</w:t>
      </w:r>
      <w:r w:rsidRPr="00F720F8">
        <w:rPr>
          <w:b/>
        </w:rPr>
        <w:tab/>
        <w:t>Does the Company’s results of operations reflect the entire LTIP for the test year?</w:t>
      </w:r>
    </w:p>
    <w:p w14:paraId="140A456C" w14:textId="66355AD0" w:rsidR="00587BFC" w:rsidRPr="00F720F8" w:rsidRDefault="0030745E" w:rsidP="00587BFC">
      <w:pPr>
        <w:spacing w:line="480" w:lineRule="auto"/>
        <w:ind w:left="720" w:hanging="720"/>
      </w:pPr>
      <w:r>
        <w:t>A.</w:t>
      </w:r>
      <w:r>
        <w:tab/>
        <w:t xml:space="preserve">No. </w:t>
      </w:r>
      <w:r w:rsidR="00587BFC" w:rsidRPr="00F720F8">
        <w:t xml:space="preserve">The results of operations reflect only incentives </w:t>
      </w:r>
      <w:r w:rsidR="00032C72">
        <w:t>relate</w:t>
      </w:r>
      <w:r w:rsidR="00663FE3">
        <w:t>d</w:t>
      </w:r>
      <w:r w:rsidR="00032C72">
        <w:t xml:space="preserve"> to</w:t>
      </w:r>
      <w:r w:rsidR="00587BFC" w:rsidRPr="00F720F8">
        <w:t xml:space="preserve"> restricted stock units (RSU) </w:t>
      </w:r>
      <w:r w:rsidR="00032C72">
        <w:t>for</w:t>
      </w:r>
      <w:r w:rsidR="00587BFC" w:rsidRPr="00F720F8">
        <w:t xml:space="preserve"> executive officers.</w:t>
      </w:r>
      <w:r w:rsidR="00032C72">
        <w:rPr>
          <w:rStyle w:val="FootnoteReference"/>
        </w:rPr>
        <w:footnoteReference w:id="47"/>
      </w:r>
    </w:p>
    <w:p w14:paraId="691608C2" w14:textId="77777777" w:rsidR="00587BFC" w:rsidRPr="00F720F8" w:rsidRDefault="00587BFC" w:rsidP="00587BFC">
      <w:pPr>
        <w:spacing w:line="480" w:lineRule="auto"/>
        <w:ind w:left="720" w:hanging="720"/>
      </w:pPr>
    </w:p>
    <w:p w14:paraId="0D5AE31E" w14:textId="77777777" w:rsidR="00587BFC" w:rsidRPr="00F720F8" w:rsidRDefault="00587BFC" w:rsidP="00587BFC">
      <w:pPr>
        <w:spacing w:line="480" w:lineRule="auto"/>
        <w:ind w:left="720" w:hanging="720"/>
        <w:rPr>
          <w:b/>
        </w:rPr>
      </w:pPr>
      <w:r w:rsidRPr="00F720F8">
        <w:rPr>
          <w:b/>
        </w:rPr>
        <w:t>Q.</w:t>
      </w:r>
      <w:r w:rsidRPr="00F720F8">
        <w:rPr>
          <w:b/>
        </w:rPr>
        <w:tab/>
        <w:t xml:space="preserve">What is the </w:t>
      </w:r>
      <w:r>
        <w:rPr>
          <w:b/>
        </w:rPr>
        <w:t>C</w:t>
      </w:r>
      <w:r w:rsidRPr="00F720F8">
        <w:rPr>
          <w:b/>
        </w:rPr>
        <w:t>ompany’s rationale for including the RSU portion of the LTIP in rates?</w:t>
      </w:r>
    </w:p>
    <w:p w14:paraId="72C7AF97" w14:textId="77777777" w:rsidR="00587BFC" w:rsidRPr="00F720F8" w:rsidRDefault="00587BFC" w:rsidP="00587BFC">
      <w:pPr>
        <w:spacing w:line="480" w:lineRule="auto"/>
        <w:ind w:left="720" w:hanging="720"/>
      </w:pPr>
      <w:r w:rsidRPr="00F720F8">
        <w:t>A.</w:t>
      </w:r>
      <w:r w:rsidRPr="00F720F8">
        <w:tab/>
        <w:t xml:space="preserve">The </w:t>
      </w:r>
      <w:r>
        <w:t>C</w:t>
      </w:r>
      <w:r w:rsidRPr="00F720F8">
        <w:t>ompany states:</w:t>
      </w:r>
    </w:p>
    <w:p w14:paraId="71A82ECF" w14:textId="3165634C" w:rsidR="00587BFC" w:rsidRPr="00F720F8" w:rsidRDefault="00587BFC" w:rsidP="00587BFC">
      <w:pPr>
        <w:spacing w:after="240"/>
        <w:ind w:left="1440"/>
      </w:pPr>
      <w:r w:rsidRPr="00F720F8">
        <w:t xml:space="preserve">The Restricted Stock is </w:t>
      </w:r>
      <w:r>
        <w:t>designed</w:t>
      </w:r>
      <w:r w:rsidRPr="00F720F8">
        <w:t xml:space="preserve"> to provide an incentive for employees to remain employed by </w:t>
      </w:r>
      <w:r>
        <w:t>the Company</w:t>
      </w:r>
      <w:r w:rsidRPr="00F720F8">
        <w:t xml:space="preserve"> and is therefore, appropriate to be included in rates</w:t>
      </w:r>
      <w:r w:rsidR="004C49FA">
        <w:t xml:space="preserve"> . . . </w:t>
      </w:r>
      <w:r>
        <w:t>E</w:t>
      </w:r>
      <w:r w:rsidRPr="00F720F8">
        <w:t xml:space="preserve">mployees with a long tenure of employment with the </w:t>
      </w:r>
      <w:r>
        <w:t>C</w:t>
      </w:r>
      <w:r w:rsidRPr="00F720F8">
        <w:t xml:space="preserve">ompany are well versed in the </w:t>
      </w:r>
      <w:r>
        <w:t>C</w:t>
      </w:r>
      <w:r w:rsidRPr="00F720F8">
        <w:t xml:space="preserve">ompany’s culture and will continue to cultivate the values </w:t>
      </w:r>
      <w:r>
        <w:t>we have built our Company on</w:t>
      </w:r>
      <w:r w:rsidRPr="00F720F8">
        <w:t>.</w:t>
      </w:r>
      <w:r w:rsidRPr="00F720F8">
        <w:rPr>
          <w:rStyle w:val="FootnoteReference"/>
        </w:rPr>
        <w:footnoteReference w:id="48"/>
      </w:r>
      <w:r w:rsidRPr="00F720F8">
        <w:t xml:space="preserve">  </w:t>
      </w:r>
    </w:p>
    <w:p w14:paraId="5C18BE3F" w14:textId="5F43FBAB" w:rsidR="00587BFC" w:rsidRPr="00F720F8" w:rsidRDefault="00587BFC" w:rsidP="00587BFC">
      <w:pPr>
        <w:spacing w:line="480" w:lineRule="auto"/>
        <w:ind w:left="720"/>
      </w:pPr>
      <w:r w:rsidRPr="00F720F8">
        <w:t xml:space="preserve">This is the only justification provided by Avista for the </w:t>
      </w:r>
      <w:r>
        <w:t>RSU</w:t>
      </w:r>
      <w:r w:rsidRPr="00F720F8">
        <w:t xml:space="preserve"> to be included in rates; no Avista witness presented testimony </w:t>
      </w:r>
      <w:r w:rsidR="00BE6C64">
        <w:t>in</w:t>
      </w:r>
      <w:r w:rsidRPr="00F720F8">
        <w:t xml:space="preserve"> the initial filing discussing this topic.  </w:t>
      </w:r>
    </w:p>
    <w:p w14:paraId="3C476B40" w14:textId="77777777" w:rsidR="00587BFC" w:rsidRPr="00F720F8" w:rsidRDefault="00587BFC" w:rsidP="00587BFC">
      <w:pPr>
        <w:spacing w:line="480" w:lineRule="auto"/>
        <w:ind w:left="720" w:hanging="720"/>
      </w:pPr>
    </w:p>
    <w:p w14:paraId="1AEA5377" w14:textId="77777777" w:rsidR="00587BFC" w:rsidRPr="00F720F8" w:rsidRDefault="00587BFC" w:rsidP="00DA24F8">
      <w:pPr>
        <w:keepNext/>
        <w:spacing w:line="480" w:lineRule="auto"/>
        <w:rPr>
          <w:b/>
        </w:rPr>
      </w:pPr>
      <w:r w:rsidRPr="00F720F8">
        <w:rPr>
          <w:b/>
        </w:rPr>
        <w:lastRenderedPageBreak/>
        <w:t>Q.</w:t>
      </w:r>
      <w:r w:rsidRPr="00F720F8">
        <w:rPr>
          <w:b/>
        </w:rPr>
        <w:tab/>
        <w:t>Has the Commission provided direction previously on such incentive programs?</w:t>
      </w:r>
    </w:p>
    <w:p w14:paraId="2A90AE36" w14:textId="77777777" w:rsidR="00587BFC" w:rsidRPr="00F720F8" w:rsidRDefault="00587BFC" w:rsidP="00587BFC">
      <w:pPr>
        <w:spacing w:line="480" w:lineRule="auto"/>
        <w:ind w:left="720" w:hanging="720"/>
      </w:pPr>
      <w:r w:rsidRPr="00F720F8">
        <w:t>A.</w:t>
      </w:r>
      <w:r w:rsidRPr="00F720F8">
        <w:tab/>
        <w:t xml:space="preserve">Yes.  The Commission provided guidance for </w:t>
      </w:r>
      <w:r>
        <w:t>i</w:t>
      </w:r>
      <w:r w:rsidRPr="00F720F8">
        <w:t>ncentive bonuses in Docket UG-920840 by stating:</w:t>
      </w:r>
    </w:p>
    <w:p w14:paraId="0B780704" w14:textId="200AD679" w:rsidR="00587BFC" w:rsidRPr="00F720F8" w:rsidRDefault="00587BFC" w:rsidP="00192E4A">
      <w:pPr>
        <w:spacing w:after="240"/>
        <w:ind w:left="1440"/>
      </w:pPr>
      <w:r w:rsidRPr="00F720F8">
        <w:t>Plans which do not tie payments to goals that clearly and directly benefit ratepayers will face disallowance in future proceedings.</w:t>
      </w:r>
      <w:r w:rsidRPr="00F720F8">
        <w:rPr>
          <w:rStyle w:val="FootnoteReference"/>
        </w:rPr>
        <w:footnoteReference w:id="49"/>
      </w:r>
      <w:r w:rsidRPr="00F720F8">
        <w:t xml:space="preserve"> </w:t>
      </w:r>
    </w:p>
    <w:p w14:paraId="16B1DD2D" w14:textId="77777777" w:rsidR="00587BFC" w:rsidRPr="00F720F8" w:rsidRDefault="00587BFC" w:rsidP="00587BFC">
      <w:pPr>
        <w:spacing w:line="480" w:lineRule="auto"/>
        <w:ind w:left="720" w:hanging="720"/>
      </w:pPr>
    </w:p>
    <w:p w14:paraId="407ECE15" w14:textId="77777777" w:rsidR="00587BFC" w:rsidRPr="00F720F8" w:rsidRDefault="00587BFC" w:rsidP="00587BFC">
      <w:pPr>
        <w:spacing w:line="480" w:lineRule="auto"/>
        <w:ind w:left="720" w:hanging="720"/>
        <w:rPr>
          <w:b/>
        </w:rPr>
      </w:pPr>
      <w:r w:rsidRPr="00F720F8">
        <w:rPr>
          <w:b/>
        </w:rPr>
        <w:t>Q.</w:t>
      </w:r>
      <w:r w:rsidRPr="00F720F8">
        <w:rPr>
          <w:b/>
        </w:rPr>
        <w:tab/>
        <w:t xml:space="preserve">Does the Company’s case meet the </w:t>
      </w:r>
      <w:r>
        <w:rPr>
          <w:b/>
        </w:rPr>
        <w:t>C</w:t>
      </w:r>
      <w:r w:rsidRPr="00F720F8">
        <w:rPr>
          <w:b/>
        </w:rPr>
        <w:t>ommission’s test for providing clear and direct benefits to ratepayers?</w:t>
      </w:r>
    </w:p>
    <w:p w14:paraId="5BB4C116" w14:textId="0D5CBC55" w:rsidR="00587BFC" w:rsidRPr="00F720F8" w:rsidRDefault="00587BFC" w:rsidP="00587BFC">
      <w:pPr>
        <w:spacing w:line="480" w:lineRule="auto"/>
        <w:ind w:left="720" w:hanging="720"/>
      </w:pPr>
      <w:r w:rsidRPr="00F720F8">
        <w:t>A.</w:t>
      </w:r>
      <w:r w:rsidRPr="00F720F8">
        <w:tab/>
        <w:t xml:space="preserve">No.  The LTIP includes none of the defined goals </w:t>
      </w:r>
      <w:r>
        <w:t>included</w:t>
      </w:r>
      <w:r w:rsidRPr="00F720F8">
        <w:t xml:space="preserve"> in the </w:t>
      </w:r>
      <w:r>
        <w:t>C</w:t>
      </w:r>
      <w:r w:rsidRPr="00F720F8">
        <w:t>ompany’s current</w:t>
      </w:r>
      <w:r>
        <w:t>ly</w:t>
      </w:r>
      <w:r w:rsidR="00663FE3">
        <w:t>-</w:t>
      </w:r>
      <w:r>
        <w:t>approved</w:t>
      </w:r>
      <w:r w:rsidRPr="00F720F8">
        <w:t xml:space="preserve"> short term incentive plan</w:t>
      </w:r>
      <w:r w:rsidR="00192E4A">
        <w:t>.  These include</w:t>
      </w:r>
      <w:r>
        <w:t>:</w:t>
      </w:r>
      <w:r w:rsidRPr="00F720F8">
        <w:t xml:space="preserve"> reducing the utility cost per customer</w:t>
      </w:r>
      <w:r w:rsidR="004C49FA">
        <w:t>;</w:t>
      </w:r>
      <w:r w:rsidRPr="00F720F8">
        <w:t xml:space="preserve"> improving customer satisfaction and system reliability</w:t>
      </w:r>
      <w:r w:rsidR="004C49FA">
        <w:t>;</w:t>
      </w:r>
      <w:r w:rsidRPr="00F720F8">
        <w:t xml:space="preserve"> </w:t>
      </w:r>
      <w:r>
        <w:t>or</w:t>
      </w:r>
      <w:r w:rsidRPr="00F720F8">
        <w:t xml:space="preserve"> reducing response time in outages.  </w:t>
      </w:r>
    </w:p>
    <w:p w14:paraId="40605171" w14:textId="77777777" w:rsidR="00587BFC" w:rsidRPr="00F720F8" w:rsidRDefault="00587BFC" w:rsidP="00587BFC">
      <w:pPr>
        <w:spacing w:line="480" w:lineRule="auto"/>
        <w:ind w:left="720" w:hanging="720"/>
      </w:pPr>
    </w:p>
    <w:p w14:paraId="4A213DD5" w14:textId="77777777" w:rsidR="00587BFC" w:rsidRPr="00F720F8" w:rsidRDefault="00587BFC" w:rsidP="00587BFC">
      <w:pPr>
        <w:spacing w:line="480" w:lineRule="auto"/>
        <w:ind w:left="720" w:hanging="720"/>
        <w:rPr>
          <w:b/>
        </w:rPr>
      </w:pPr>
      <w:r w:rsidRPr="00F720F8">
        <w:rPr>
          <w:b/>
        </w:rPr>
        <w:t>Q.</w:t>
      </w:r>
      <w:r w:rsidRPr="00F720F8">
        <w:rPr>
          <w:b/>
        </w:rPr>
        <w:tab/>
        <w:t>Are there other reasons to not allow LTIP in revenue requirement?</w:t>
      </w:r>
    </w:p>
    <w:p w14:paraId="784DEFCA" w14:textId="664AAB40" w:rsidR="00587BFC" w:rsidRPr="00F720F8" w:rsidRDefault="00587BFC" w:rsidP="00587BFC">
      <w:pPr>
        <w:spacing w:line="480" w:lineRule="auto"/>
        <w:ind w:left="720" w:hanging="720"/>
      </w:pPr>
      <w:r w:rsidRPr="00F720F8">
        <w:t>A.</w:t>
      </w:r>
      <w:r w:rsidRPr="00F720F8">
        <w:tab/>
        <w:t xml:space="preserve">Yes.  The LTIP should not be included in revenue requirement for </w:t>
      </w:r>
      <w:r w:rsidR="00B16E1C">
        <w:t>three</w:t>
      </w:r>
      <w:r w:rsidRPr="00F720F8">
        <w:t xml:space="preserve"> additional reasons:</w:t>
      </w:r>
    </w:p>
    <w:p w14:paraId="60F5094C" w14:textId="40A79F91" w:rsidR="00587BFC" w:rsidRPr="00F720F8" w:rsidRDefault="00587BFC" w:rsidP="00587BFC">
      <w:pPr>
        <w:pStyle w:val="ListParagraph"/>
        <w:numPr>
          <w:ilvl w:val="0"/>
          <w:numId w:val="20"/>
        </w:numPr>
        <w:spacing w:line="480" w:lineRule="auto"/>
      </w:pPr>
      <w:r w:rsidRPr="00F720F8">
        <w:t xml:space="preserve">The </w:t>
      </w:r>
      <w:r>
        <w:t>C</w:t>
      </w:r>
      <w:r w:rsidRPr="00F720F8">
        <w:t xml:space="preserve">ompany has not included the LTIP in rates for the last five rate cases </w:t>
      </w:r>
      <w:r w:rsidR="00F659E3">
        <w:t>nor</w:t>
      </w:r>
      <w:r w:rsidR="00F659E3" w:rsidRPr="00F720F8">
        <w:t xml:space="preserve"> </w:t>
      </w:r>
      <w:r w:rsidRPr="00F720F8">
        <w:t>ha</w:t>
      </w:r>
      <w:r>
        <w:t>s</w:t>
      </w:r>
      <w:r w:rsidRPr="00F720F8">
        <w:t xml:space="preserve"> </w:t>
      </w:r>
      <w:r w:rsidR="00B16E1C">
        <w:t>the Company</w:t>
      </w:r>
      <w:r w:rsidRPr="00F720F8">
        <w:t xml:space="preserve"> proposed or implemented any changes to </w:t>
      </w:r>
      <w:r>
        <w:t>its</w:t>
      </w:r>
      <w:r w:rsidRPr="00F720F8">
        <w:t xml:space="preserve"> LTIP.  </w:t>
      </w:r>
      <w:r w:rsidR="00F659E3">
        <w:t>Avista has not provided adequate justification for suddenly including the RSU component of the LTIP in rates.</w:t>
      </w:r>
    </w:p>
    <w:p w14:paraId="33729E9F" w14:textId="3DEDD28A" w:rsidR="00587BFC" w:rsidRPr="00F720F8" w:rsidRDefault="00587BFC" w:rsidP="00587BFC">
      <w:pPr>
        <w:pStyle w:val="ListParagraph"/>
        <w:numPr>
          <w:ilvl w:val="0"/>
          <w:numId w:val="20"/>
        </w:numPr>
        <w:spacing w:line="480" w:lineRule="auto"/>
      </w:pPr>
      <w:r w:rsidRPr="00F720F8">
        <w:t xml:space="preserve">The RSU </w:t>
      </w:r>
      <w:r>
        <w:t>three</w:t>
      </w:r>
      <w:r w:rsidRPr="00F720F8">
        <w:t xml:space="preserve"> year vesting </w:t>
      </w:r>
      <w:r w:rsidR="00B16E1C">
        <w:t xml:space="preserve">component </w:t>
      </w:r>
      <w:r w:rsidRPr="00F720F8">
        <w:t xml:space="preserve">does not incentivize employees to stay with the </w:t>
      </w:r>
      <w:r>
        <w:t>C</w:t>
      </w:r>
      <w:r w:rsidRPr="00F720F8">
        <w:t xml:space="preserve">ompany for longer than </w:t>
      </w:r>
      <w:r>
        <w:t>three</w:t>
      </w:r>
      <w:r w:rsidRPr="00F720F8">
        <w:t xml:space="preserve"> years.  Rather, it only </w:t>
      </w:r>
      <w:r w:rsidRPr="00F720F8">
        <w:lastRenderedPageBreak/>
        <w:t xml:space="preserve">incentivizes employees to stay with the </w:t>
      </w:r>
      <w:r>
        <w:t>C</w:t>
      </w:r>
      <w:r w:rsidRPr="00F720F8">
        <w:t>ompany for the first three years when they are receiving the restricted stock units.</w:t>
      </w:r>
    </w:p>
    <w:p w14:paraId="4F3C16D2" w14:textId="6E816057" w:rsidR="00587BFC" w:rsidRPr="00F720F8" w:rsidRDefault="00587BFC" w:rsidP="00587BFC">
      <w:pPr>
        <w:pStyle w:val="ListParagraph"/>
        <w:numPr>
          <w:ilvl w:val="0"/>
          <w:numId w:val="20"/>
        </w:numPr>
        <w:spacing w:line="480" w:lineRule="auto"/>
      </w:pPr>
      <w:r w:rsidRPr="00F720F8">
        <w:t>Granting stock as an incentive could give employee</w:t>
      </w:r>
      <w:r w:rsidR="00F659E3">
        <w:t>s</w:t>
      </w:r>
      <w:r w:rsidRPr="00F720F8">
        <w:t xml:space="preserve"> the perverse incentive to value only increases in shareholder value</w:t>
      </w:r>
      <w:r w:rsidR="00C226DD">
        <w:t xml:space="preserve"> at the expense of ratepayers</w:t>
      </w:r>
      <w:r w:rsidRPr="00F720F8">
        <w:t>.</w:t>
      </w:r>
    </w:p>
    <w:p w14:paraId="4F44670E" w14:textId="2868D1D6" w:rsidR="00587BFC" w:rsidRPr="00F720F8" w:rsidRDefault="00587BFC" w:rsidP="00587BFC">
      <w:pPr>
        <w:spacing w:line="480" w:lineRule="auto"/>
        <w:ind w:left="720"/>
      </w:pPr>
      <w:r w:rsidRPr="00F720F8">
        <w:t xml:space="preserve">The </w:t>
      </w:r>
      <w:r>
        <w:t>C</w:t>
      </w:r>
      <w:r w:rsidRPr="00F720F8">
        <w:t>ompany has not made a convincing argument as to how the LTIP, specifically the RSU component, tie</w:t>
      </w:r>
      <w:r>
        <w:t>s</w:t>
      </w:r>
      <w:r w:rsidRPr="00F720F8">
        <w:t xml:space="preserve"> in with goals that clearly and directly benefit ratepayers.  </w:t>
      </w:r>
      <w:r w:rsidR="00754988">
        <w:t>Therefore, Avista’s shareholders should continue to bear the costs for the RSU incentive plan</w:t>
      </w:r>
    </w:p>
    <w:p w14:paraId="64BD8BDC" w14:textId="77777777" w:rsidR="002878E9" w:rsidRPr="00F720F8" w:rsidRDefault="002878E9" w:rsidP="00B53112">
      <w:pPr>
        <w:pStyle w:val="NoSpacing"/>
      </w:pPr>
    </w:p>
    <w:p w14:paraId="7F4EBDC6" w14:textId="534D79A3" w:rsidR="002878E9" w:rsidRPr="00F720F8" w:rsidRDefault="00434D77" w:rsidP="00434D77">
      <w:pPr>
        <w:pStyle w:val="Heading8"/>
      </w:pPr>
      <w:r w:rsidRPr="00F720F8">
        <w:t>Q.</w:t>
      </w:r>
      <w:r w:rsidRPr="00F720F8">
        <w:tab/>
        <w:t>Does this conclude your testimony?</w:t>
      </w:r>
    </w:p>
    <w:p w14:paraId="0E7FAE46" w14:textId="4F4EAF57" w:rsidR="00434D77" w:rsidRPr="00F720F8" w:rsidRDefault="00434D77" w:rsidP="00434D77">
      <w:pPr>
        <w:pStyle w:val="NoSpacing"/>
      </w:pPr>
      <w:r w:rsidRPr="00F720F8">
        <w:t>A.</w:t>
      </w:r>
      <w:r w:rsidRPr="00F720F8">
        <w:tab/>
        <w:t>Yes</w:t>
      </w:r>
    </w:p>
    <w:p w14:paraId="5966FFE0" w14:textId="77777777" w:rsidR="00C92AFF" w:rsidRPr="00F720F8" w:rsidRDefault="00C92AFF" w:rsidP="009D62F0">
      <w:pPr>
        <w:pStyle w:val="NoSpacing"/>
      </w:pPr>
    </w:p>
    <w:sectPr w:rsidR="00C92AFF" w:rsidRPr="00F720F8" w:rsidSect="000E0390">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BC602" w14:textId="77777777" w:rsidR="0053388B" w:rsidRDefault="0053388B" w:rsidP="00CC09B5">
      <w:r>
        <w:separator/>
      </w:r>
    </w:p>
    <w:p w14:paraId="14C7F420" w14:textId="77777777" w:rsidR="0053388B" w:rsidRDefault="0053388B"/>
    <w:p w14:paraId="55ED2858" w14:textId="77777777" w:rsidR="0053388B" w:rsidRDefault="0053388B" w:rsidP="00352C04"/>
    <w:p w14:paraId="0631A511" w14:textId="77777777" w:rsidR="0053388B" w:rsidRDefault="0053388B" w:rsidP="00352C04"/>
    <w:p w14:paraId="399642A3" w14:textId="77777777" w:rsidR="0053388B" w:rsidRDefault="0053388B"/>
  </w:endnote>
  <w:endnote w:type="continuationSeparator" w:id="0">
    <w:p w14:paraId="604850C1" w14:textId="77777777" w:rsidR="0053388B" w:rsidRDefault="0053388B" w:rsidP="00CC09B5">
      <w:r>
        <w:continuationSeparator/>
      </w:r>
    </w:p>
    <w:p w14:paraId="514ED786" w14:textId="77777777" w:rsidR="0053388B" w:rsidRDefault="0053388B"/>
    <w:p w14:paraId="58AF2098" w14:textId="77777777" w:rsidR="0053388B" w:rsidRDefault="0053388B" w:rsidP="00352C04"/>
    <w:p w14:paraId="51825D28" w14:textId="77777777" w:rsidR="0053388B" w:rsidRDefault="0053388B" w:rsidP="00352C04"/>
    <w:p w14:paraId="113C9DA1" w14:textId="77777777" w:rsidR="0053388B" w:rsidRDefault="0053388B"/>
  </w:endnote>
  <w:endnote w:type="continuationNotice" w:id="1">
    <w:p w14:paraId="58B2B4EE" w14:textId="77777777" w:rsidR="0053388B" w:rsidRDefault="0053388B"/>
    <w:p w14:paraId="5AD3F051" w14:textId="77777777" w:rsidR="0053388B" w:rsidRDefault="00533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AA77C" w14:textId="77777777" w:rsidR="0053388B" w:rsidRPr="00DC40BC" w:rsidRDefault="0053388B" w:rsidP="00CC09B5">
    <w:pPr>
      <w:pStyle w:val="Footer"/>
      <w:rPr>
        <w:sz w:val="20"/>
        <w:szCs w:val="20"/>
      </w:rPr>
    </w:pPr>
  </w:p>
  <w:p w14:paraId="0B0AA77D" w14:textId="239FA8BE" w:rsidR="0053388B" w:rsidRPr="00022107" w:rsidRDefault="0053388B" w:rsidP="00CC09B5">
    <w:pPr>
      <w:pStyle w:val="Footer"/>
      <w:rPr>
        <w:sz w:val="20"/>
        <w:szCs w:val="20"/>
      </w:rPr>
    </w:pPr>
    <w:r w:rsidRPr="00022107">
      <w:rPr>
        <w:sz w:val="20"/>
        <w:szCs w:val="20"/>
      </w:rPr>
      <w:t xml:space="preserve">TESTIMONY OF JASON L. BALL </w:t>
    </w:r>
    <w:r w:rsidRPr="00022107">
      <w:rPr>
        <w:sz w:val="20"/>
        <w:szCs w:val="20"/>
      </w:rPr>
      <w:tab/>
    </w:r>
    <w:r w:rsidRPr="00022107">
      <w:rPr>
        <w:sz w:val="20"/>
        <w:szCs w:val="20"/>
      </w:rPr>
      <w:tab/>
      <w:t>Exhibit No. ___</w:t>
    </w:r>
    <w:r>
      <w:rPr>
        <w:sz w:val="20"/>
        <w:szCs w:val="20"/>
      </w:rPr>
      <w:t xml:space="preserve"> </w:t>
    </w:r>
    <w:r w:rsidRPr="00022107">
      <w:rPr>
        <w:sz w:val="20"/>
        <w:szCs w:val="20"/>
      </w:rPr>
      <w:t>(JLB-1</w:t>
    </w:r>
    <w:r>
      <w:rPr>
        <w:sz w:val="20"/>
        <w:szCs w:val="20"/>
      </w:rPr>
      <w:t>T</w:t>
    </w:r>
    <w:r w:rsidRPr="00022107">
      <w:rPr>
        <w:sz w:val="20"/>
        <w:szCs w:val="20"/>
      </w:rPr>
      <w:t>)</w:t>
    </w:r>
  </w:p>
  <w:p w14:paraId="0B0AA77E" w14:textId="6E9FD60D" w:rsidR="0053388B" w:rsidRPr="00022107" w:rsidRDefault="0053388B" w:rsidP="00CC09B5">
    <w:pPr>
      <w:pStyle w:val="Footer"/>
      <w:rPr>
        <w:rStyle w:val="PageNumber"/>
        <w:sz w:val="20"/>
        <w:szCs w:val="20"/>
        <w:lang w:val="fr-FR"/>
      </w:rPr>
    </w:pPr>
    <w:r w:rsidRPr="00022107">
      <w:rPr>
        <w:sz w:val="20"/>
        <w:szCs w:val="20"/>
      </w:rPr>
      <w:t>Docket</w:t>
    </w:r>
    <w:r w:rsidRPr="00022107">
      <w:rPr>
        <w:sz w:val="20"/>
        <w:szCs w:val="20"/>
        <w:lang w:val="fr-FR"/>
      </w:rPr>
      <w:t xml:space="preserve"> UE-</w:t>
    </w:r>
    <w:r>
      <w:rPr>
        <w:sz w:val="20"/>
        <w:szCs w:val="20"/>
        <w:lang w:val="fr-FR"/>
      </w:rPr>
      <w:t>150204/UG-150205</w:t>
    </w:r>
    <w:r w:rsidRPr="00022107">
      <w:rPr>
        <w:sz w:val="20"/>
        <w:szCs w:val="20"/>
        <w:lang w:val="fr-FR"/>
      </w:rPr>
      <w:tab/>
    </w:r>
    <w:r w:rsidRPr="00022107">
      <w:rPr>
        <w:sz w:val="20"/>
        <w:szCs w:val="20"/>
        <w:lang w:val="fr-FR"/>
      </w:rPr>
      <w:tab/>
      <w:t xml:space="preserve">Page </w:t>
    </w:r>
    <w:r w:rsidRPr="00022107">
      <w:rPr>
        <w:rStyle w:val="PageNumber"/>
        <w:sz w:val="20"/>
        <w:szCs w:val="20"/>
        <w:lang w:val="fr-FR"/>
      </w:rPr>
      <w:fldChar w:fldCharType="begin"/>
    </w:r>
    <w:r w:rsidRPr="00022107">
      <w:rPr>
        <w:rStyle w:val="PageNumber"/>
        <w:sz w:val="20"/>
        <w:szCs w:val="20"/>
        <w:lang w:val="fr-FR"/>
      </w:rPr>
      <w:instrText xml:space="preserve"> PAGE </w:instrText>
    </w:r>
    <w:r w:rsidRPr="00022107">
      <w:rPr>
        <w:rStyle w:val="PageNumber"/>
        <w:sz w:val="20"/>
        <w:szCs w:val="20"/>
        <w:lang w:val="fr-FR"/>
      </w:rPr>
      <w:fldChar w:fldCharType="separate"/>
    </w:r>
    <w:r w:rsidR="00F42763">
      <w:rPr>
        <w:rStyle w:val="PageNumber"/>
        <w:noProof/>
        <w:sz w:val="20"/>
        <w:szCs w:val="20"/>
        <w:lang w:val="fr-FR"/>
      </w:rPr>
      <w:t>4</w:t>
    </w:r>
    <w:r w:rsidRPr="00022107">
      <w:rPr>
        <w:rStyle w:val="PageNumber"/>
        <w:sz w:val="20"/>
        <w:szCs w:val="20"/>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6F123" w14:textId="77777777" w:rsidR="0053388B" w:rsidRDefault="0053388B">
      <w:r>
        <w:separator/>
      </w:r>
    </w:p>
  </w:footnote>
  <w:footnote w:type="continuationSeparator" w:id="0">
    <w:p w14:paraId="539D39CB" w14:textId="77777777" w:rsidR="0053388B" w:rsidRDefault="0053388B">
      <w:r>
        <w:continuationSeparator/>
      </w:r>
    </w:p>
  </w:footnote>
  <w:footnote w:type="continuationNotice" w:id="1">
    <w:p w14:paraId="26EDBAAD" w14:textId="77777777" w:rsidR="0053388B" w:rsidRPr="009117E3" w:rsidRDefault="0053388B" w:rsidP="009117E3">
      <w:pPr>
        <w:pStyle w:val="Footer"/>
      </w:pPr>
    </w:p>
  </w:footnote>
  <w:footnote w:id="2">
    <w:p w14:paraId="3EA122F3" w14:textId="5FDD66A8" w:rsidR="0053388B" w:rsidRDefault="0053388B" w:rsidP="00AF28D3">
      <w:pPr>
        <w:pStyle w:val="FootnoteText"/>
      </w:pPr>
      <w:r>
        <w:rPr>
          <w:rStyle w:val="FootnoteReference"/>
        </w:rPr>
        <w:footnoteRef/>
      </w:r>
      <w:r>
        <w:t xml:space="preserve"> </w:t>
      </w:r>
      <w:r>
        <w:rPr>
          <w:i/>
        </w:rPr>
        <w:t>Wash. Utils.</w:t>
      </w:r>
      <w:r w:rsidRPr="009A3F67">
        <w:rPr>
          <w:i/>
        </w:rPr>
        <w:t xml:space="preserve"> &amp; Transp. Comm’n v. Pacific Power &amp; Light Co</w:t>
      </w:r>
      <w:r>
        <w:t xml:space="preserve">., Docket </w:t>
      </w:r>
      <w:r w:rsidRPr="00703659">
        <w:t>UE-140762</w:t>
      </w:r>
      <w:r>
        <w:t>, Order 08</w:t>
      </w:r>
      <w:r w:rsidRPr="00703659">
        <w:t xml:space="preserve"> </w:t>
      </w:r>
      <w:r>
        <w:t>(March 25, 2015), ¶</w:t>
      </w:r>
      <w:r w:rsidRPr="00703659">
        <w:t xml:space="preserve"> 4</w:t>
      </w:r>
      <w:r>
        <w:t>4.</w:t>
      </w:r>
    </w:p>
  </w:footnote>
  <w:footnote w:id="3">
    <w:p w14:paraId="1CC5E346" w14:textId="32E61215" w:rsidR="0053388B" w:rsidRDefault="0053388B" w:rsidP="00D6439B">
      <w:pPr>
        <w:pStyle w:val="FootnoteText"/>
      </w:pPr>
      <w:r>
        <w:rPr>
          <w:rStyle w:val="FootnoteReference"/>
        </w:rPr>
        <w:footnoteRef/>
      </w:r>
      <w:r>
        <w:t xml:space="preserve"> Testimony of Christopher Hancock, Exhibit No.___ (CSH-1T), pages 9-14; Testimony of Christopher R. McGuire, Exhibit No</w:t>
      </w:r>
      <w:r w:rsidRPr="001E6A25">
        <w:t>.___</w:t>
      </w:r>
      <w:r>
        <w:t xml:space="preserve"> </w:t>
      </w:r>
      <w:r w:rsidRPr="001E6A25">
        <w:t>(</w:t>
      </w:r>
      <w:r>
        <w:t>CRM-1T), pages</w:t>
      </w:r>
      <w:r w:rsidRPr="001E6A25">
        <w:t xml:space="preserve"> </w:t>
      </w:r>
      <w:r>
        <w:t>11-15.</w:t>
      </w:r>
    </w:p>
  </w:footnote>
  <w:footnote w:id="4">
    <w:p w14:paraId="704656E1" w14:textId="2EAC78E4" w:rsidR="0053388B" w:rsidRDefault="0053388B" w:rsidP="00D6439B">
      <w:pPr>
        <w:pStyle w:val="FootnoteText"/>
      </w:pPr>
      <w:r>
        <w:rPr>
          <w:rStyle w:val="FootnoteReference"/>
        </w:rPr>
        <w:footnoteRef/>
      </w:r>
      <w:r>
        <w:t xml:space="preserve"> </w:t>
      </w:r>
      <w:r w:rsidRPr="009A3F67">
        <w:t xml:space="preserve">Docket </w:t>
      </w:r>
      <w:r>
        <w:t>UE-140762, Order 08, footnote 57 (explaining that deviation from matching principle generally reflects extraordinary rate treatment).</w:t>
      </w:r>
    </w:p>
  </w:footnote>
  <w:footnote w:id="5">
    <w:p w14:paraId="6CB7A512" w14:textId="2F7117E6" w:rsidR="0053388B" w:rsidRDefault="0053388B">
      <w:pPr>
        <w:pStyle w:val="FootnoteText"/>
      </w:pPr>
      <w:r>
        <w:rPr>
          <w:rStyle w:val="FootnoteReference"/>
        </w:rPr>
        <w:footnoteRef/>
      </w:r>
      <w:r>
        <w:t xml:space="preserve"> </w:t>
      </w:r>
      <w:r>
        <w:rPr>
          <w:i/>
        </w:rPr>
        <w:t>See Wash. Utils. &amp; Transp. Comm’n. v. Avista Corp.</w:t>
      </w:r>
      <w:r>
        <w:t>, Multi-Party Settlement Stipulation, (July 24, 2015).</w:t>
      </w:r>
    </w:p>
  </w:footnote>
  <w:footnote w:id="6">
    <w:p w14:paraId="2527ABEE" w14:textId="71F87C5D" w:rsidR="0053388B" w:rsidRDefault="0053388B" w:rsidP="00585107">
      <w:pPr>
        <w:pStyle w:val="FootnoteText"/>
      </w:pPr>
      <w:r>
        <w:rPr>
          <w:rStyle w:val="FootnoteReference"/>
        </w:rPr>
        <w:footnoteRef/>
      </w:r>
      <w:r>
        <w:t xml:space="preserve"> Hancock, Exhibit No. ___ (CSH-4).</w:t>
      </w:r>
    </w:p>
  </w:footnote>
  <w:footnote w:id="7">
    <w:p w14:paraId="5D1E9168" w14:textId="1BAB97DA" w:rsidR="0053388B" w:rsidRDefault="0053388B">
      <w:pPr>
        <w:pStyle w:val="FootnoteText"/>
      </w:pPr>
      <w:r>
        <w:rPr>
          <w:rStyle w:val="FootnoteReference"/>
        </w:rPr>
        <w:footnoteRef/>
      </w:r>
      <w:r>
        <w:t xml:space="preserve"> Avista response to Staff Data Request No. 176.</w:t>
      </w:r>
    </w:p>
  </w:footnote>
  <w:footnote w:id="8">
    <w:p w14:paraId="251012E4" w14:textId="23E20AC2" w:rsidR="0053388B" w:rsidRDefault="0053388B">
      <w:pPr>
        <w:pStyle w:val="FootnoteText"/>
      </w:pPr>
      <w:r>
        <w:rPr>
          <w:rStyle w:val="FootnoteReference"/>
        </w:rPr>
        <w:footnoteRef/>
      </w:r>
      <w:r>
        <w:t xml:space="preserve"> Hancock, Exhibit No. ___ (CSH-4) and Hancock, Exhibit No. ___ (CSH-5).</w:t>
      </w:r>
    </w:p>
  </w:footnote>
  <w:footnote w:id="9">
    <w:p w14:paraId="68DD1F00" w14:textId="3419F4AD" w:rsidR="0053388B" w:rsidRDefault="0053388B" w:rsidP="00585107">
      <w:pPr>
        <w:pStyle w:val="FootnoteText"/>
      </w:pPr>
      <w:r>
        <w:rPr>
          <w:rStyle w:val="FootnoteReference"/>
        </w:rPr>
        <w:footnoteRef/>
      </w:r>
      <w:r>
        <w:t xml:space="preserve"> As shown in Mr. Hancock’s Exhibit No. ___ (CSH-4), the Company </w:t>
      </w:r>
      <w:r w:rsidRPr="00AA5952">
        <w:t>included</w:t>
      </w:r>
      <w:r>
        <w:t xml:space="preserve"> Colstrip and CS2 O&amp;M in adjustment 3.10 and removed it from pro forma power supply adjustment 3.00 in accordance with the Multi-Party Settlement. The O&amp;M for Colstrip and CS2 is a large adjustment.  Including it in adjustment 3.10 needlessly complicates an already contentious component of the revenue requirement (for instance, Staff recommends eliminating the original adjustment 3.10 in its entirety).  Further, this approach makes it difficult to track the changes from the initial filing.   </w:t>
      </w:r>
    </w:p>
  </w:footnote>
  <w:footnote w:id="10">
    <w:p w14:paraId="2BB4C5E2" w14:textId="66DE2B92" w:rsidR="0053388B" w:rsidRDefault="0053388B">
      <w:pPr>
        <w:pStyle w:val="FootnoteText"/>
      </w:pPr>
      <w:r>
        <w:rPr>
          <w:rStyle w:val="FootnoteReference"/>
        </w:rPr>
        <w:footnoteRef/>
      </w:r>
      <w:r>
        <w:t xml:space="preserve"> Hancock, Exh. No. ___ (CSH-4).</w:t>
      </w:r>
    </w:p>
  </w:footnote>
  <w:footnote w:id="11">
    <w:p w14:paraId="776FDBA3" w14:textId="221B6AB2" w:rsidR="0053388B" w:rsidRDefault="0053388B">
      <w:pPr>
        <w:pStyle w:val="FootnoteText"/>
      </w:pPr>
      <w:r>
        <w:rPr>
          <w:rStyle w:val="FootnoteReference"/>
        </w:rPr>
        <w:footnoteRef/>
      </w:r>
      <w:r>
        <w:t xml:space="preserve"> Avista’s response to Staff Data Request No. 171.</w:t>
      </w:r>
    </w:p>
  </w:footnote>
  <w:footnote w:id="12">
    <w:p w14:paraId="7BD77A17" w14:textId="07D1C9D9" w:rsidR="0053388B" w:rsidRDefault="0053388B" w:rsidP="00283D4B">
      <w:pPr>
        <w:pStyle w:val="FootnoteText"/>
      </w:pPr>
      <w:r>
        <w:rPr>
          <w:rStyle w:val="FootnoteReference"/>
        </w:rPr>
        <w:footnoteRef/>
      </w:r>
      <w:r>
        <w:t xml:space="preserve"> Avista’s response to Staff Data Request No. 042, Attachment A.</w:t>
      </w:r>
    </w:p>
  </w:footnote>
  <w:footnote w:id="13">
    <w:p w14:paraId="22A0A621" w14:textId="44856362" w:rsidR="0053388B" w:rsidRDefault="0053388B">
      <w:pPr>
        <w:pStyle w:val="FootnoteText"/>
      </w:pPr>
      <w:r>
        <w:rPr>
          <w:rStyle w:val="FootnoteReference"/>
        </w:rPr>
        <w:footnoteRef/>
      </w:r>
      <w:r>
        <w:t xml:space="preserve"> Avista’s response to Staff Data Request No. 048.</w:t>
      </w:r>
    </w:p>
  </w:footnote>
  <w:footnote w:id="14">
    <w:p w14:paraId="546B93D0" w14:textId="795FD4C1" w:rsidR="0053388B" w:rsidRDefault="0053388B" w:rsidP="00C34FD9">
      <w:pPr>
        <w:pStyle w:val="FootnoteText"/>
      </w:pPr>
      <w:r>
        <w:rPr>
          <w:rStyle w:val="FootnoteReference"/>
        </w:rPr>
        <w:footnoteRef/>
      </w:r>
      <w:r>
        <w:t xml:space="preserve"> Hancock, Exh. No. ___ (CSH-4).</w:t>
      </w:r>
    </w:p>
  </w:footnote>
  <w:footnote w:id="15">
    <w:p w14:paraId="3E127458" w14:textId="701B529F" w:rsidR="0053388B" w:rsidRDefault="0053388B" w:rsidP="00C34FD9">
      <w:pPr>
        <w:pStyle w:val="FootnoteText"/>
      </w:pPr>
      <w:r>
        <w:rPr>
          <w:rStyle w:val="FootnoteReference"/>
        </w:rPr>
        <w:footnoteRef/>
      </w:r>
      <w:r>
        <w:t xml:space="preserve"> Avista response to Staff Data Request No. 176.</w:t>
      </w:r>
    </w:p>
  </w:footnote>
  <w:footnote w:id="16">
    <w:p w14:paraId="13C939C4" w14:textId="2865AF7E" w:rsidR="0053388B" w:rsidRDefault="0053388B">
      <w:pPr>
        <w:pStyle w:val="FootnoteText"/>
      </w:pPr>
      <w:r>
        <w:rPr>
          <w:rStyle w:val="FootnoteReference"/>
        </w:rPr>
        <w:footnoteRef/>
      </w:r>
      <w:r>
        <w:t xml:space="preserve"> Direct Testimony of William Johnson, Exhibit No.___ (WGJ-1T), page 14, lines 18-22.</w:t>
      </w:r>
    </w:p>
  </w:footnote>
  <w:footnote w:id="17">
    <w:p w14:paraId="753CC0F8" w14:textId="16FEC69D" w:rsidR="0053388B" w:rsidRDefault="0053388B" w:rsidP="00283D4B">
      <w:pPr>
        <w:pStyle w:val="FootnoteText"/>
      </w:pPr>
      <w:r>
        <w:rPr>
          <w:rStyle w:val="FootnoteReference"/>
        </w:rPr>
        <w:footnoteRef/>
      </w:r>
      <w:r>
        <w:t xml:space="preserve"> Avista Confidential response to Staff Data Request No. 172C.</w:t>
      </w:r>
    </w:p>
  </w:footnote>
  <w:footnote w:id="18">
    <w:p w14:paraId="37E5E4B6" w14:textId="038CB675" w:rsidR="0053388B" w:rsidRPr="00F42D3A" w:rsidRDefault="0053388B">
      <w:pPr>
        <w:pStyle w:val="FootnoteText"/>
        <w:rPr>
          <w:i/>
        </w:rPr>
      </w:pPr>
      <w:r>
        <w:rPr>
          <w:rStyle w:val="FootnoteReference"/>
        </w:rPr>
        <w:footnoteRef/>
      </w:r>
      <w:r>
        <w:t xml:space="preserve"> </w:t>
      </w:r>
      <w:r>
        <w:rPr>
          <w:i/>
        </w:rPr>
        <w:t xml:space="preserve">Id. </w:t>
      </w:r>
    </w:p>
  </w:footnote>
  <w:footnote w:id="19">
    <w:p w14:paraId="10B06905" w14:textId="56772664" w:rsidR="0053388B" w:rsidRPr="00F40218" w:rsidRDefault="0053388B" w:rsidP="00283D4B">
      <w:pPr>
        <w:pStyle w:val="FootnoteText"/>
      </w:pPr>
      <w:r w:rsidRPr="00283B5C">
        <w:rPr>
          <w:rStyle w:val="FootnoteReference"/>
        </w:rPr>
        <w:footnoteRef/>
      </w:r>
      <w:r w:rsidRPr="00283B5C">
        <w:t xml:space="preserve"> </w:t>
      </w:r>
      <w:r>
        <w:rPr>
          <w:i/>
        </w:rPr>
        <w:t>See Wash. Utils.</w:t>
      </w:r>
      <w:r w:rsidRPr="00283B5C">
        <w:rPr>
          <w:i/>
        </w:rPr>
        <w:t xml:space="preserve"> &amp; Trans</w:t>
      </w:r>
      <w:r>
        <w:rPr>
          <w:i/>
        </w:rPr>
        <w:t>p. Comm’n. v. Puget Sound Energy, Inc.</w:t>
      </w:r>
      <w:r>
        <w:t xml:space="preserve">, </w:t>
      </w:r>
      <w:r w:rsidRPr="00283B5C">
        <w:t xml:space="preserve">Dockets UE-141141, </w:t>
      </w:r>
      <w:r>
        <w:t xml:space="preserve">Order 04, (Nov. 3, 2014), </w:t>
      </w:r>
      <w:r w:rsidRPr="00283B5C">
        <w:t>¶</w:t>
      </w:r>
      <w:r>
        <w:t xml:space="preserve"> </w:t>
      </w:r>
      <w:r w:rsidRPr="00283B5C">
        <w:t>8</w:t>
      </w:r>
      <w:r>
        <w:t xml:space="preserve">; </w:t>
      </w:r>
      <w:r>
        <w:rPr>
          <w:i/>
        </w:rPr>
        <w:t>Wash. Utils.</w:t>
      </w:r>
      <w:r w:rsidRPr="00283B5C">
        <w:rPr>
          <w:i/>
        </w:rPr>
        <w:t xml:space="preserve"> &amp; Transp. Comm’n. v. Puget Sound Energy</w:t>
      </w:r>
      <w:r>
        <w:rPr>
          <w:i/>
        </w:rPr>
        <w:t>, Inc.</w:t>
      </w:r>
      <w:r>
        <w:t>, Dockets UE-130617</w:t>
      </w:r>
      <w:r w:rsidRPr="00283B5C">
        <w:t xml:space="preserve">, </w:t>
      </w:r>
      <w:r>
        <w:t>Order 06, (Oct. 9, 2014) ¶ 20.</w:t>
      </w:r>
    </w:p>
  </w:footnote>
  <w:footnote w:id="20">
    <w:p w14:paraId="5AB9A867" w14:textId="265B4120" w:rsidR="0053388B" w:rsidRDefault="0053388B" w:rsidP="00283D4B">
      <w:pPr>
        <w:pStyle w:val="FootnoteText"/>
      </w:pPr>
      <w:r w:rsidRPr="00F40218">
        <w:rPr>
          <w:rStyle w:val="FootnoteReference"/>
        </w:rPr>
        <w:footnoteRef/>
      </w:r>
      <w:r w:rsidRPr="00F40218">
        <w:t xml:space="preserve"> </w:t>
      </w:r>
      <w:r>
        <w:rPr>
          <w:i/>
        </w:rPr>
        <w:t xml:space="preserve">See </w:t>
      </w:r>
      <w:r>
        <w:t xml:space="preserve">Docket UE-141141, Order 04. </w:t>
      </w:r>
      <w:r w:rsidRPr="00F40218">
        <w:t xml:space="preserve">The PCORC adjusts </w:t>
      </w:r>
      <w:r>
        <w:t>PSE’s</w:t>
      </w:r>
      <w:r w:rsidRPr="00F40218">
        <w:t xml:space="preserve"> Baseline Power Cost Rate which is similar</w:t>
      </w:r>
      <w:r>
        <w:t xml:space="preserve"> in principle to Avista’s ERM. </w:t>
      </w:r>
      <w:r w:rsidRPr="00F40218">
        <w:t>Therefore, the treatment agreed to by the parties is subject to true-up for actuals through the PCA deferral mechanism.</w:t>
      </w:r>
      <w:r>
        <w:t xml:space="preserve">  </w:t>
      </w:r>
    </w:p>
  </w:footnote>
  <w:footnote w:id="21">
    <w:p w14:paraId="583C23B5" w14:textId="036CC2CF" w:rsidR="0053388B" w:rsidRDefault="0053388B">
      <w:pPr>
        <w:pStyle w:val="FootnoteText"/>
      </w:pPr>
      <w:r>
        <w:rPr>
          <w:rStyle w:val="FootnoteReference"/>
        </w:rPr>
        <w:footnoteRef/>
      </w:r>
      <w:r>
        <w:t xml:space="preserve"> </w:t>
      </w:r>
      <w:r>
        <w:rPr>
          <w:i/>
        </w:rPr>
        <w:t>Wash. Utils.</w:t>
      </w:r>
      <w:r w:rsidRPr="00F26EA7">
        <w:rPr>
          <w:i/>
        </w:rPr>
        <w:t xml:space="preserve"> &amp; Transp. Comm’n. v. Avista Corp.</w:t>
      </w:r>
      <w:r w:rsidRPr="00F26EA7">
        <w:t>,</w:t>
      </w:r>
      <w:r>
        <w:t xml:space="preserve"> Docket UE-110876, Order 06, (Dec. 16, 2011), ¶¶ 20-23, ¶¶ 35-37.</w:t>
      </w:r>
    </w:p>
  </w:footnote>
  <w:footnote w:id="22">
    <w:p w14:paraId="75590FDC" w14:textId="549B7A90" w:rsidR="0053388B" w:rsidRDefault="0053388B">
      <w:pPr>
        <w:pStyle w:val="FootnoteText"/>
      </w:pPr>
      <w:r>
        <w:rPr>
          <w:rStyle w:val="FootnoteReference"/>
        </w:rPr>
        <w:footnoteRef/>
      </w:r>
      <w:r>
        <w:t xml:space="preserve"> </w:t>
      </w:r>
      <w:r>
        <w:rPr>
          <w:i/>
        </w:rPr>
        <w:t>Wash. Utils.</w:t>
      </w:r>
      <w:r w:rsidRPr="00F26EA7">
        <w:rPr>
          <w:i/>
        </w:rPr>
        <w:t xml:space="preserve"> &amp; Transp. Comm’n. v. Avista Corp.</w:t>
      </w:r>
      <w:r w:rsidRPr="00F26EA7">
        <w:t xml:space="preserve">, </w:t>
      </w:r>
      <w:r>
        <w:t>Docket UE-120436, Order 09, (Dec. 26, 2012), ¶ 41.</w:t>
      </w:r>
    </w:p>
  </w:footnote>
  <w:footnote w:id="23">
    <w:p w14:paraId="5ABCF581" w14:textId="01B8545F" w:rsidR="0053388B" w:rsidRDefault="0053388B" w:rsidP="00AE5E29">
      <w:pPr>
        <w:pStyle w:val="FootnoteText"/>
      </w:pPr>
      <w:r>
        <w:rPr>
          <w:rStyle w:val="FootnoteReference"/>
        </w:rPr>
        <w:footnoteRef/>
      </w:r>
      <w:r>
        <w:t xml:space="preserve"> Ball, Exh. No. ___ (JLB-5C), page 3.</w:t>
      </w:r>
    </w:p>
  </w:footnote>
  <w:footnote w:id="24">
    <w:p w14:paraId="104054AF" w14:textId="29769203" w:rsidR="0053388B" w:rsidRDefault="0053388B">
      <w:pPr>
        <w:pStyle w:val="FootnoteText"/>
      </w:pPr>
      <w:r>
        <w:rPr>
          <w:rStyle w:val="FootnoteReference"/>
        </w:rPr>
        <w:footnoteRef/>
      </w:r>
      <w:r>
        <w:t xml:space="preserve"> </w:t>
      </w:r>
      <w:r>
        <w:rPr>
          <w:i/>
        </w:rPr>
        <w:t>Id.</w:t>
      </w:r>
      <w:r>
        <w:t xml:space="preserve"> at 4.</w:t>
      </w:r>
    </w:p>
  </w:footnote>
  <w:footnote w:id="25">
    <w:p w14:paraId="469B4352" w14:textId="1B4BC3C5" w:rsidR="0053388B" w:rsidRDefault="0053388B" w:rsidP="00C148EB">
      <w:pPr>
        <w:pStyle w:val="FootnoteText"/>
      </w:pPr>
      <w:r>
        <w:rPr>
          <w:rStyle w:val="FootnoteReference"/>
        </w:rPr>
        <w:footnoteRef/>
      </w:r>
      <w:r>
        <w:t xml:space="preserve"> Avista response to Staff Data Request No. 34.</w:t>
      </w:r>
    </w:p>
  </w:footnote>
  <w:footnote w:id="26">
    <w:p w14:paraId="76A9B89D" w14:textId="263676D5" w:rsidR="0053388B" w:rsidRDefault="0053388B">
      <w:pPr>
        <w:pStyle w:val="FootnoteText"/>
      </w:pPr>
      <w:r>
        <w:rPr>
          <w:rStyle w:val="FootnoteReference"/>
        </w:rPr>
        <w:footnoteRef/>
      </w:r>
      <w:r>
        <w:t xml:space="preserve"> Avista response to Staff Data Request No. 37.</w:t>
      </w:r>
    </w:p>
  </w:footnote>
  <w:footnote w:id="27">
    <w:p w14:paraId="475E7BE2" w14:textId="45717EA5" w:rsidR="0053388B" w:rsidRDefault="0053388B">
      <w:pPr>
        <w:pStyle w:val="FootnoteText"/>
      </w:pPr>
      <w:r>
        <w:rPr>
          <w:rStyle w:val="FootnoteReference"/>
        </w:rPr>
        <w:footnoteRef/>
      </w:r>
      <w:r>
        <w:t xml:space="preserve"> Cox, workpaper “J) – Mc) 566 Misc Xm Expense”.</w:t>
      </w:r>
    </w:p>
  </w:footnote>
  <w:footnote w:id="28">
    <w:p w14:paraId="522BAA3C" w14:textId="3DDD689A" w:rsidR="0053388B" w:rsidRDefault="0053388B">
      <w:pPr>
        <w:pStyle w:val="FootnoteText"/>
      </w:pPr>
      <w:r>
        <w:rPr>
          <w:rStyle w:val="FootnoteReference"/>
        </w:rPr>
        <w:footnoteRef/>
      </w:r>
      <w:r>
        <w:t xml:space="preserve"> Avista response to Staff Data Request No. 38</w:t>
      </w:r>
    </w:p>
  </w:footnote>
  <w:footnote w:id="29">
    <w:p w14:paraId="42046847" w14:textId="7D6896AC" w:rsidR="0053388B" w:rsidRDefault="0053388B">
      <w:pPr>
        <w:pStyle w:val="FootnoteText"/>
      </w:pPr>
      <w:r>
        <w:rPr>
          <w:rStyle w:val="FootnoteReference"/>
        </w:rPr>
        <w:footnoteRef/>
      </w:r>
      <w:r>
        <w:t xml:space="preserve"> </w:t>
      </w:r>
      <w:r w:rsidRPr="00ED1F4A">
        <w:rPr>
          <w:i/>
        </w:rPr>
        <w:t>Wash.</w:t>
      </w:r>
      <w:r>
        <w:t xml:space="preserve"> </w:t>
      </w:r>
      <w:r>
        <w:rPr>
          <w:i/>
        </w:rPr>
        <w:t>Utils.</w:t>
      </w:r>
      <w:r w:rsidRPr="00283B5C">
        <w:rPr>
          <w:i/>
        </w:rPr>
        <w:t xml:space="preserve"> &amp; Transp. Comm’n. v. Puget Sound Energy</w:t>
      </w:r>
      <w:r>
        <w:t xml:space="preserve">, </w:t>
      </w:r>
      <w:r w:rsidRPr="00ED1F4A">
        <w:rPr>
          <w:i/>
        </w:rPr>
        <w:t>Inc.</w:t>
      </w:r>
      <w:r w:rsidRPr="00283B5C">
        <w:t>, Dockets UE-</w:t>
      </w:r>
      <w:r>
        <w:t>090704 and UG-090705</w:t>
      </w:r>
      <w:r w:rsidRPr="00C06498">
        <w:rPr>
          <w:i/>
        </w:rPr>
        <w:t>,</w:t>
      </w:r>
      <w:r>
        <w:rPr>
          <w:i/>
        </w:rPr>
        <w:t xml:space="preserve"> </w:t>
      </w:r>
      <w:r>
        <w:t>Order 11, (Apr. 2, 2010),</w:t>
      </w:r>
      <w:r w:rsidRPr="00283B5C">
        <w:t xml:space="preserve"> ¶</w:t>
      </w:r>
      <w:r>
        <w:t xml:space="preserve"> </w:t>
      </w:r>
      <w:r w:rsidRPr="00283B5C">
        <w:t>8</w:t>
      </w:r>
      <w:r>
        <w:t>8.</w:t>
      </w:r>
    </w:p>
  </w:footnote>
  <w:footnote w:id="30">
    <w:p w14:paraId="40A7917C" w14:textId="59E80558" w:rsidR="0053388B" w:rsidRDefault="0053388B">
      <w:pPr>
        <w:pStyle w:val="FootnoteText"/>
      </w:pPr>
      <w:r>
        <w:rPr>
          <w:rStyle w:val="FootnoteReference"/>
        </w:rPr>
        <w:footnoteRef/>
      </w:r>
      <w:r>
        <w:t xml:space="preserve"> Direct Testimony of Jennifer Smith, Exh. No.___ (JSS-1T), page 27, lines 6-</w:t>
      </w:r>
      <w:r w:rsidRPr="00F720F8">
        <w:t>10</w:t>
      </w:r>
      <w:r>
        <w:t>.</w:t>
      </w:r>
    </w:p>
  </w:footnote>
  <w:footnote w:id="31">
    <w:p w14:paraId="1156E86D" w14:textId="48D1CB88" w:rsidR="0053388B" w:rsidRDefault="0053388B">
      <w:pPr>
        <w:pStyle w:val="FootnoteText"/>
      </w:pPr>
      <w:r>
        <w:rPr>
          <w:rStyle w:val="FootnoteReference"/>
        </w:rPr>
        <w:footnoteRef/>
      </w:r>
      <w:r>
        <w:t xml:space="preserve"> Smith Direct, Exh. No. (JSS-1T), pages 26:17-2</w:t>
      </w:r>
      <w:r w:rsidRPr="00F720F8">
        <w:t>0</w:t>
      </w:r>
      <w:r>
        <w:t xml:space="preserve"> to 27:1.</w:t>
      </w:r>
    </w:p>
  </w:footnote>
  <w:footnote w:id="32">
    <w:p w14:paraId="3AD12B91" w14:textId="4BB81355" w:rsidR="0053388B" w:rsidRDefault="0053388B" w:rsidP="00A85597">
      <w:pPr>
        <w:pStyle w:val="FootnoteText"/>
      </w:pPr>
      <w:r>
        <w:rPr>
          <w:rStyle w:val="FootnoteReference"/>
        </w:rPr>
        <w:footnoteRef/>
      </w:r>
      <w:r>
        <w:t xml:space="preserve"> Avista confidential response to Public Counsel Data Request No. 8.</w:t>
      </w:r>
    </w:p>
  </w:footnote>
  <w:footnote w:id="33">
    <w:p w14:paraId="119F4702" w14:textId="585F72DF" w:rsidR="0053388B" w:rsidRDefault="0053388B" w:rsidP="008752C0">
      <w:pPr>
        <w:pStyle w:val="FootnoteText"/>
      </w:pPr>
      <w:r>
        <w:rPr>
          <w:rStyle w:val="FootnoteReference"/>
        </w:rPr>
        <w:footnoteRef/>
      </w:r>
      <w:r>
        <w:t xml:space="preserve"> The Company updated this figure for electric operations to $2.4 million in response to Staff Data Request No. 131 (Hancock Exh. No.___ (CSH-4)).  The Company adjusted the number again to $2.6 million in response to Public Counsel’s Data Request No. 40.</w:t>
      </w:r>
    </w:p>
  </w:footnote>
  <w:footnote w:id="34">
    <w:p w14:paraId="4B288996" w14:textId="6BF80045" w:rsidR="0053388B" w:rsidRDefault="0053388B">
      <w:pPr>
        <w:pStyle w:val="FootnoteText"/>
      </w:pPr>
      <w:r>
        <w:rPr>
          <w:rStyle w:val="FootnoteReference"/>
        </w:rPr>
        <w:footnoteRef/>
      </w:r>
      <w:r>
        <w:t xml:space="preserve"> Smith Direct, Exh. No. ___ (JSS-1T), pages </w:t>
      </w:r>
      <w:r w:rsidRPr="00F720F8">
        <w:t>27</w:t>
      </w:r>
      <w:r>
        <w:t>:</w:t>
      </w:r>
      <w:r w:rsidRPr="00F720F8">
        <w:t xml:space="preserve">20 </w:t>
      </w:r>
      <w:r>
        <w:t xml:space="preserve">- </w:t>
      </w:r>
      <w:r w:rsidRPr="00F720F8">
        <w:t>28</w:t>
      </w:r>
      <w:r>
        <w:t>:</w:t>
      </w:r>
      <w:r w:rsidRPr="00F720F8">
        <w:t>2</w:t>
      </w:r>
      <w:r>
        <w:t>.</w:t>
      </w:r>
    </w:p>
  </w:footnote>
  <w:footnote w:id="35">
    <w:p w14:paraId="73C292CC" w14:textId="077B4F21" w:rsidR="0053388B" w:rsidRDefault="0053388B" w:rsidP="005B2EFB">
      <w:pPr>
        <w:pStyle w:val="FootnoteText"/>
      </w:pPr>
      <w:r>
        <w:rPr>
          <w:rStyle w:val="FootnoteReference"/>
        </w:rPr>
        <w:footnoteRef/>
      </w:r>
      <w:r>
        <w:t xml:space="preserve"> The Company updated this figure for electric operations to $0.9 million in response to Staff Data Request No. 131 (Hancock Exh. No.___ (CSH-4)).  The Company adjusted the number again to $0.9 million in response to Public Counsel’s Data Request No. 40.</w:t>
      </w:r>
    </w:p>
  </w:footnote>
  <w:footnote w:id="36">
    <w:p w14:paraId="0497FB36" w14:textId="4DEA55D0" w:rsidR="0053388B" w:rsidRDefault="0053388B">
      <w:pPr>
        <w:pStyle w:val="FootnoteText"/>
      </w:pPr>
      <w:r>
        <w:rPr>
          <w:rStyle w:val="FootnoteReference"/>
        </w:rPr>
        <w:footnoteRef/>
      </w:r>
      <w:r>
        <w:t xml:space="preserve"> Smith Direct, Exh. No. ___ (JSS-1T), page </w:t>
      </w:r>
      <w:r w:rsidRPr="00F720F8">
        <w:t>29</w:t>
      </w:r>
      <w:r>
        <w:t xml:space="preserve">, lines </w:t>
      </w:r>
      <w:r w:rsidRPr="00F720F8">
        <w:t>10</w:t>
      </w:r>
      <w:r>
        <w:t>-</w:t>
      </w:r>
      <w:r w:rsidRPr="00F720F8">
        <w:t>12</w:t>
      </w:r>
      <w:r>
        <w:t>.</w:t>
      </w:r>
    </w:p>
  </w:footnote>
  <w:footnote w:id="37">
    <w:p w14:paraId="0722C6CC" w14:textId="7E9320C0" w:rsidR="0053388B" w:rsidRDefault="0053388B" w:rsidP="000C0B24">
      <w:pPr>
        <w:pStyle w:val="FootnoteText"/>
      </w:pPr>
      <w:r>
        <w:rPr>
          <w:rStyle w:val="FootnoteReference"/>
        </w:rPr>
        <w:footnoteRef/>
      </w:r>
      <w:r>
        <w:t xml:space="preserve"> These figures were updated for gas operations in response to Staff’s Data Request No. 131 (Hancock Exh. No.___ (CSH-5))</w:t>
      </w:r>
      <w:r w:rsidDel="00A54CBA">
        <w:t xml:space="preserve"> </w:t>
      </w:r>
      <w:r>
        <w:t xml:space="preserve">to $0.7 million for pension expense and $0.27 million for medical expense. </w:t>
      </w:r>
      <w:r w:rsidRPr="00986BFF">
        <w:t>The Company revised the numbers again in response to Pub</w:t>
      </w:r>
      <w:r>
        <w:t xml:space="preserve">lic Counsel’s Data Request No. </w:t>
      </w:r>
      <w:r w:rsidRPr="00986BFF">
        <w:t>40 to $0.8 million and $0.3 million respectively.</w:t>
      </w:r>
      <w:r w:rsidRPr="00643B09">
        <w:t xml:space="preserve"> </w:t>
      </w:r>
    </w:p>
  </w:footnote>
  <w:footnote w:id="38">
    <w:p w14:paraId="5AD47FF2" w14:textId="074A1673" w:rsidR="0053388B" w:rsidRDefault="0053388B">
      <w:pPr>
        <w:pStyle w:val="FootnoteText"/>
      </w:pPr>
      <w:r>
        <w:rPr>
          <w:rStyle w:val="FootnoteReference"/>
        </w:rPr>
        <w:footnoteRef/>
      </w:r>
      <w:r>
        <w:t xml:space="preserve"> Smith Direct, Exh. No. (JSS-1T), page 30, lines 11-14.</w:t>
      </w:r>
    </w:p>
  </w:footnote>
  <w:footnote w:id="39">
    <w:p w14:paraId="4693F7A2" w14:textId="5E3E07B2" w:rsidR="0053388B" w:rsidDel="00696187" w:rsidRDefault="0053388B" w:rsidP="00FF1F41">
      <w:pPr>
        <w:pStyle w:val="FootnoteText"/>
      </w:pPr>
      <w:r w:rsidDel="00696187">
        <w:rPr>
          <w:rStyle w:val="FootnoteReference"/>
        </w:rPr>
        <w:footnoteRef/>
      </w:r>
      <w:r w:rsidDel="00696187">
        <w:t xml:space="preserve"> </w:t>
      </w:r>
      <w:r>
        <w:t>Based on Staff’s general review of Dockets UE-120436 and UG-120437, and Dockets UE-140188 and UG-140189.</w:t>
      </w:r>
    </w:p>
  </w:footnote>
  <w:footnote w:id="40">
    <w:p w14:paraId="242CF350" w14:textId="079BF1CF" w:rsidR="0053388B" w:rsidRDefault="0053388B">
      <w:pPr>
        <w:pStyle w:val="FootnoteText"/>
      </w:pPr>
      <w:r>
        <w:rPr>
          <w:rStyle w:val="FootnoteReference"/>
        </w:rPr>
        <w:footnoteRef/>
      </w:r>
      <w:r>
        <w:t xml:space="preserve"> Direct Testimony of Jim Kensok, Exh. No.___(JMK-1T), pages 11:41 – 12:2.</w:t>
      </w:r>
    </w:p>
  </w:footnote>
  <w:footnote w:id="41">
    <w:p w14:paraId="4E0ED07C" w14:textId="6110400B" w:rsidR="0053388B" w:rsidRDefault="0053388B">
      <w:pPr>
        <w:pStyle w:val="FootnoteText"/>
      </w:pPr>
      <w:r>
        <w:rPr>
          <w:rStyle w:val="FootnoteReference"/>
        </w:rPr>
        <w:footnoteRef/>
      </w:r>
      <w:r>
        <w:t xml:space="preserve"> Avista confidential response to </w:t>
      </w:r>
      <w:r w:rsidRPr="003B57B8">
        <w:t xml:space="preserve">Staff </w:t>
      </w:r>
      <w:r>
        <w:t>Data Request No.</w:t>
      </w:r>
      <w:r w:rsidRPr="003B57B8">
        <w:t xml:space="preserve"> 180</w:t>
      </w:r>
      <w:r>
        <w:t>.</w:t>
      </w:r>
    </w:p>
  </w:footnote>
  <w:footnote w:id="42">
    <w:p w14:paraId="71F8879F" w14:textId="39F95B69" w:rsidR="0053388B" w:rsidRDefault="0053388B">
      <w:pPr>
        <w:pStyle w:val="FootnoteText"/>
      </w:pPr>
      <w:r>
        <w:rPr>
          <w:rStyle w:val="FootnoteReference"/>
        </w:rPr>
        <w:footnoteRef/>
      </w:r>
      <w:r>
        <w:t xml:space="preserve"> Kensok Direct, Exh. No. ___ (JMK-1T), page 7, lines 26-28. </w:t>
      </w:r>
    </w:p>
  </w:footnote>
  <w:footnote w:id="43">
    <w:p w14:paraId="05B4C2E1" w14:textId="7C46A70B" w:rsidR="0053388B" w:rsidRDefault="0053388B">
      <w:pPr>
        <w:pStyle w:val="FootnoteText"/>
      </w:pPr>
      <w:r>
        <w:rPr>
          <w:rStyle w:val="FootnoteReference"/>
        </w:rPr>
        <w:footnoteRef/>
      </w:r>
      <w:r>
        <w:t xml:space="preserve"> Kensok, Direct Exh. No. ___ (JMK-1T), page 19.</w:t>
      </w:r>
    </w:p>
  </w:footnote>
  <w:footnote w:id="44">
    <w:p w14:paraId="3E99C90E" w14:textId="4876196B" w:rsidR="0053388B" w:rsidRDefault="0053388B">
      <w:pPr>
        <w:pStyle w:val="FootnoteText"/>
      </w:pPr>
      <w:r>
        <w:rPr>
          <w:rStyle w:val="FootnoteReference"/>
        </w:rPr>
        <w:footnoteRef/>
      </w:r>
      <w:r>
        <w:t>The corrected pages were submitted directly to Staff via email on May 20, 2015.</w:t>
      </w:r>
    </w:p>
  </w:footnote>
  <w:footnote w:id="45">
    <w:p w14:paraId="768C5ABB" w14:textId="26A00D72" w:rsidR="0053388B" w:rsidRDefault="0053388B" w:rsidP="00587BFC">
      <w:pPr>
        <w:pStyle w:val="FootnoteText"/>
      </w:pPr>
      <w:r>
        <w:rPr>
          <w:rStyle w:val="FootnoteReference"/>
        </w:rPr>
        <w:footnoteRef/>
      </w:r>
      <w:r>
        <w:t xml:space="preserve"> Avista response to Staff Data Request No. 7, Attachment B, at page 2.</w:t>
      </w:r>
    </w:p>
  </w:footnote>
  <w:footnote w:id="46">
    <w:p w14:paraId="0181A196" w14:textId="653083FC" w:rsidR="0053388B" w:rsidRDefault="0053388B" w:rsidP="00587BFC">
      <w:pPr>
        <w:pStyle w:val="FootnoteText"/>
      </w:pPr>
      <w:r>
        <w:rPr>
          <w:rStyle w:val="FootnoteReference"/>
        </w:rPr>
        <w:footnoteRef/>
      </w:r>
      <w:r>
        <w:t xml:space="preserve"> Avista response to ICNU Data Request No. 31 at Page 2, Line 29-30.</w:t>
      </w:r>
    </w:p>
  </w:footnote>
  <w:footnote w:id="47">
    <w:p w14:paraId="182A67EC" w14:textId="797CA112" w:rsidR="0053388B" w:rsidRDefault="0053388B">
      <w:pPr>
        <w:pStyle w:val="FootnoteText"/>
      </w:pPr>
      <w:r>
        <w:rPr>
          <w:rStyle w:val="FootnoteReference"/>
        </w:rPr>
        <w:footnoteRef/>
      </w:r>
      <w:r>
        <w:t xml:space="preserve"> Avista response to ICNU Data Request No. 31 at Page 2, Lines 39-42.</w:t>
      </w:r>
    </w:p>
  </w:footnote>
  <w:footnote w:id="48">
    <w:p w14:paraId="31F83602" w14:textId="333567CA" w:rsidR="0053388B" w:rsidRDefault="0053388B" w:rsidP="00587BFC">
      <w:pPr>
        <w:pStyle w:val="FootnoteText"/>
      </w:pPr>
      <w:r>
        <w:rPr>
          <w:rStyle w:val="FootnoteReference"/>
        </w:rPr>
        <w:footnoteRef/>
      </w:r>
      <w:r>
        <w:t xml:space="preserve"> </w:t>
      </w:r>
      <w:r>
        <w:rPr>
          <w:i/>
        </w:rPr>
        <w:t>Id.</w:t>
      </w:r>
      <w:r>
        <w:t xml:space="preserve"> at 2, 33-38.</w:t>
      </w:r>
    </w:p>
  </w:footnote>
  <w:footnote w:id="49">
    <w:p w14:paraId="1A3CBE80" w14:textId="35640934" w:rsidR="0053388B" w:rsidRDefault="0053388B" w:rsidP="00587BFC">
      <w:pPr>
        <w:pStyle w:val="FootnoteText"/>
      </w:pPr>
      <w:r>
        <w:rPr>
          <w:rStyle w:val="FootnoteReference"/>
        </w:rPr>
        <w:footnoteRef/>
      </w:r>
      <w:r>
        <w:t xml:space="preserve"> </w:t>
      </w:r>
      <w:r>
        <w:rPr>
          <w:i/>
        </w:rPr>
        <w:t>Wash. Utils.</w:t>
      </w:r>
      <w:r w:rsidRPr="002A2675">
        <w:rPr>
          <w:i/>
        </w:rPr>
        <w:t xml:space="preserve"> &amp; Transp. Comm’n. v.</w:t>
      </w:r>
      <w:r>
        <w:rPr>
          <w:i/>
        </w:rPr>
        <w:t xml:space="preserve"> </w:t>
      </w:r>
      <w:r w:rsidRPr="002A2675">
        <w:rPr>
          <w:i/>
        </w:rPr>
        <w:t>Washington Natural Gas Co.,</w:t>
      </w:r>
      <w:r>
        <w:t xml:space="preserve"> Docket UG-920840, 4</w:t>
      </w:r>
      <w:r w:rsidRPr="00824DD0">
        <w:rPr>
          <w:vertAlign w:val="superscript"/>
        </w:rPr>
        <w:t>th</w:t>
      </w:r>
      <w:r>
        <w:t xml:space="preserve"> Supp. Order (Sep. 27, 1993), p.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E207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0E04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EB48E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C864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603A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3E9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9286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D43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D232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4E46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93249"/>
    <w:multiLevelType w:val="hybridMultilevel"/>
    <w:tmpl w:val="9DBA8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956995"/>
    <w:multiLevelType w:val="hybridMultilevel"/>
    <w:tmpl w:val="012E97D6"/>
    <w:lvl w:ilvl="0" w:tplc="BB9E1A6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0D0E1690"/>
    <w:multiLevelType w:val="hybridMultilevel"/>
    <w:tmpl w:val="A43E638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DA65238"/>
    <w:multiLevelType w:val="hybridMultilevel"/>
    <w:tmpl w:val="E6F01A06"/>
    <w:lvl w:ilvl="0" w:tplc="2FC4F3C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E1870D6"/>
    <w:multiLevelType w:val="hybridMultilevel"/>
    <w:tmpl w:val="EE18A016"/>
    <w:lvl w:ilvl="0" w:tplc="42B4716C">
      <w:start w:val="1"/>
      <w:numFmt w:val="upperRoman"/>
      <w:lvlText w:val="%1."/>
      <w:lvlJc w:val="right"/>
      <w:pPr>
        <w:ind w:left="7110" w:hanging="360"/>
      </w:pPr>
      <w:rPr>
        <w:rFonts w:ascii="Times New Roman" w:hAnsi="Times New Roman" w:hint="default"/>
        <w:sz w:val="24"/>
      </w:rPr>
    </w:lvl>
    <w:lvl w:ilvl="1" w:tplc="C3B2235C">
      <w:start w:val="1"/>
      <w:numFmt w:val="upperLetter"/>
      <w:lvlText w:val="%2."/>
      <w:lvlJc w:val="left"/>
      <w:pPr>
        <w:ind w:left="1440" w:hanging="360"/>
      </w:pPr>
      <w:rPr>
        <w:rFonts w:ascii="Times New Roman" w:hAnsi="Times New Roman" w:cs="Times New Roman" w:hint="default"/>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057ED4"/>
    <w:multiLevelType w:val="hybridMultilevel"/>
    <w:tmpl w:val="178EE0C0"/>
    <w:lvl w:ilvl="0" w:tplc="CD860CEE">
      <w:start w:val="1"/>
      <w:numFmt w:val="upperRoman"/>
      <w:pStyle w:val="Heading1"/>
      <w:lvlText w:val="%1."/>
      <w:lvlJc w:val="right"/>
      <w:pPr>
        <w:ind w:left="7110" w:hanging="360"/>
      </w:pPr>
      <w:rPr>
        <w:rFonts w:ascii="Times New Roman" w:hAnsi="Times New Roman" w:hint="default"/>
        <w:sz w:val="24"/>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6" w15:restartNumberingAfterBreak="0">
    <w:nsid w:val="18970133"/>
    <w:multiLevelType w:val="hybridMultilevel"/>
    <w:tmpl w:val="CA1E9B28"/>
    <w:lvl w:ilvl="0" w:tplc="5E4E2D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A991061"/>
    <w:multiLevelType w:val="hybridMultilevel"/>
    <w:tmpl w:val="3BBE59DA"/>
    <w:lvl w:ilvl="0" w:tplc="D18EC77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24CE3C95"/>
    <w:multiLevelType w:val="hybridMultilevel"/>
    <w:tmpl w:val="28CA2D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9E6219A"/>
    <w:multiLevelType w:val="hybridMultilevel"/>
    <w:tmpl w:val="A5424360"/>
    <w:lvl w:ilvl="0" w:tplc="36FE20D0">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FC3860"/>
    <w:multiLevelType w:val="hybridMultilevel"/>
    <w:tmpl w:val="471EDDEA"/>
    <w:lvl w:ilvl="0" w:tplc="2B0CC9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96347F"/>
    <w:multiLevelType w:val="hybridMultilevel"/>
    <w:tmpl w:val="9468F6C2"/>
    <w:lvl w:ilvl="0" w:tplc="0B24D90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BB0D0F"/>
    <w:multiLevelType w:val="hybridMultilevel"/>
    <w:tmpl w:val="0D40B2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4F15EF"/>
    <w:multiLevelType w:val="hybridMultilevel"/>
    <w:tmpl w:val="039CD1CE"/>
    <w:lvl w:ilvl="0" w:tplc="C3B2235C">
      <w:start w:val="1"/>
      <w:numFmt w:val="upperLetter"/>
      <w:lvlText w:val="%1."/>
      <w:lvlJc w:val="left"/>
      <w:pPr>
        <w:ind w:left="1080" w:hanging="360"/>
      </w:pPr>
      <w:rPr>
        <w:rFonts w:ascii="Times New Roman" w:hAnsi="Times New Roman" w:cs="Times New Roman"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F97157"/>
    <w:multiLevelType w:val="hybridMultilevel"/>
    <w:tmpl w:val="BFAA8E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1F86578"/>
    <w:multiLevelType w:val="hybridMultilevel"/>
    <w:tmpl w:val="E3A4BC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7331ABA"/>
    <w:multiLevelType w:val="hybridMultilevel"/>
    <w:tmpl w:val="2540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B319F"/>
    <w:multiLevelType w:val="hybridMultilevel"/>
    <w:tmpl w:val="B6BCF8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2D67E2E"/>
    <w:multiLevelType w:val="hybridMultilevel"/>
    <w:tmpl w:val="A686E25E"/>
    <w:lvl w:ilvl="0" w:tplc="B0705210">
      <w:start w:val="1"/>
      <w:numFmt w:val="upperRoman"/>
      <w:pStyle w:val="TOC1"/>
      <w:lvlText w:val="%1."/>
      <w:lvlJc w:val="right"/>
      <w:pPr>
        <w:ind w:left="360" w:hanging="360"/>
      </w:pPr>
      <w:rPr>
        <w:rFonts w:ascii="Times New Roman" w:hAnsi="Times New Roman" w:hint="default"/>
        <w:strike w:val="0"/>
        <w:sz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15:restartNumberingAfterBreak="0">
    <w:nsid w:val="64820D45"/>
    <w:multiLevelType w:val="hybridMultilevel"/>
    <w:tmpl w:val="3CC6F992"/>
    <w:lvl w:ilvl="0" w:tplc="04090011">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0" w15:restartNumberingAfterBreak="0">
    <w:nsid w:val="6AFE56E6"/>
    <w:multiLevelType w:val="hybridMultilevel"/>
    <w:tmpl w:val="66D6B9B2"/>
    <w:lvl w:ilvl="0" w:tplc="2ED89102">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656BAB"/>
    <w:multiLevelType w:val="hybridMultilevel"/>
    <w:tmpl w:val="1478B53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3B71023"/>
    <w:multiLevelType w:val="hybridMultilevel"/>
    <w:tmpl w:val="A24255B8"/>
    <w:lvl w:ilvl="0" w:tplc="2B0CC94E">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21"/>
  </w:num>
  <w:num w:numId="3">
    <w:abstractNumId w:val="29"/>
  </w:num>
  <w:num w:numId="4">
    <w:abstractNumId w:val="21"/>
    <w:lvlOverride w:ilvl="0">
      <w:startOverride w:val="1"/>
    </w:lvlOverride>
  </w:num>
  <w:num w:numId="5">
    <w:abstractNumId w:val="15"/>
  </w:num>
  <w:num w:numId="6">
    <w:abstractNumId w:val="32"/>
  </w:num>
  <w:num w:numId="7">
    <w:abstractNumId w:val="10"/>
  </w:num>
  <w:num w:numId="8">
    <w:abstractNumId w:val="12"/>
  </w:num>
  <w:num w:numId="9">
    <w:abstractNumId w:val="24"/>
  </w:num>
  <w:num w:numId="10">
    <w:abstractNumId w:val="31"/>
  </w:num>
  <w:num w:numId="11">
    <w:abstractNumId w:val="15"/>
  </w:num>
  <w:num w:numId="12">
    <w:abstractNumId w:val="13"/>
  </w:num>
  <w:num w:numId="13">
    <w:abstractNumId w:val="15"/>
  </w:num>
  <w:num w:numId="14">
    <w:abstractNumId w:val="9"/>
  </w:num>
  <w:num w:numId="15">
    <w:abstractNumId w:val="7"/>
  </w:num>
  <w:num w:numId="16">
    <w:abstractNumId w:val="22"/>
  </w:num>
  <w:num w:numId="17">
    <w:abstractNumId w:val="30"/>
  </w:num>
  <w:num w:numId="18">
    <w:abstractNumId w:val="23"/>
  </w:num>
  <w:num w:numId="19">
    <w:abstractNumId w:val="19"/>
  </w:num>
  <w:num w:numId="20">
    <w:abstractNumId w:val="18"/>
  </w:num>
  <w:num w:numId="21">
    <w:abstractNumId w:val="25"/>
  </w:num>
  <w:num w:numId="22">
    <w:abstractNumId w:val="1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6"/>
  </w:num>
  <w:num w:numId="32">
    <w:abstractNumId w:val="23"/>
    <w:lvlOverride w:ilvl="0">
      <w:startOverride w:val="1"/>
    </w:lvlOverride>
  </w:num>
  <w:num w:numId="33">
    <w:abstractNumId w:val="23"/>
  </w:num>
  <w:num w:numId="34">
    <w:abstractNumId w:val="23"/>
    <w:lvlOverride w:ilvl="0">
      <w:startOverride w:val="1"/>
    </w:lvlOverride>
  </w:num>
  <w:num w:numId="35">
    <w:abstractNumId w:val="27"/>
  </w:num>
  <w:num w:numId="36">
    <w:abstractNumId w:val="16"/>
  </w:num>
  <w:num w:numId="37">
    <w:abstractNumId w:val="14"/>
  </w:num>
  <w:num w:numId="38">
    <w:abstractNumId w:val="11"/>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39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AD"/>
    <w:rsid w:val="00002D86"/>
    <w:rsid w:val="0000380F"/>
    <w:rsid w:val="00005919"/>
    <w:rsid w:val="00007391"/>
    <w:rsid w:val="000076E1"/>
    <w:rsid w:val="000076F3"/>
    <w:rsid w:val="00011C70"/>
    <w:rsid w:val="00012BB3"/>
    <w:rsid w:val="00013BEB"/>
    <w:rsid w:val="0001544E"/>
    <w:rsid w:val="0001556A"/>
    <w:rsid w:val="000166D5"/>
    <w:rsid w:val="0001674B"/>
    <w:rsid w:val="000177ED"/>
    <w:rsid w:val="00017975"/>
    <w:rsid w:val="0002053F"/>
    <w:rsid w:val="00022107"/>
    <w:rsid w:val="00022AE3"/>
    <w:rsid w:val="000234B8"/>
    <w:rsid w:val="00023E8C"/>
    <w:rsid w:val="00026078"/>
    <w:rsid w:val="00026D4D"/>
    <w:rsid w:val="000279CE"/>
    <w:rsid w:val="000322FD"/>
    <w:rsid w:val="00032935"/>
    <w:rsid w:val="00032C72"/>
    <w:rsid w:val="00033300"/>
    <w:rsid w:val="00034D14"/>
    <w:rsid w:val="000355F5"/>
    <w:rsid w:val="00035ABE"/>
    <w:rsid w:val="0003623E"/>
    <w:rsid w:val="000368CF"/>
    <w:rsid w:val="00036C3A"/>
    <w:rsid w:val="0004009B"/>
    <w:rsid w:val="00040469"/>
    <w:rsid w:val="00042A8F"/>
    <w:rsid w:val="000430BD"/>
    <w:rsid w:val="00043405"/>
    <w:rsid w:val="0004590F"/>
    <w:rsid w:val="00046F2C"/>
    <w:rsid w:val="00046F31"/>
    <w:rsid w:val="00047C0D"/>
    <w:rsid w:val="00050BD7"/>
    <w:rsid w:val="0005166A"/>
    <w:rsid w:val="00052DAA"/>
    <w:rsid w:val="00052EDB"/>
    <w:rsid w:val="00052F74"/>
    <w:rsid w:val="000538CD"/>
    <w:rsid w:val="000543EB"/>
    <w:rsid w:val="000549E4"/>
    <w:rsid w:val="0005661C"/>
    <w:rsid w:val="00057BD1"/>
    <w:rsid w:val="0006056E"/>
    <w:rsid w:val="000610B9"/>
    <w:rsid w:val="00061946"/>
    <w:rsid w:val="00061B84"/>
    <w:rsid w:val="0006308B"/>
    <w:rsid w:val="00063125"/>
    <w:rsid w:val="00064166"/>
    <w:rsid w:val="00065FA3"/>
    <w:rsid w:val="000669B5"/>
    <w:rsid w:val="00066D85"/>
    <w:rsid w:val="00070D52"/>
    <w:rsid w:val="0007179E"/>
    <w:rsid w:val="0007345F"/>
    <w:rsid w:val="00076138"/>
    <w:rsid w:val="00083F63"/>
    <w:rsid w:val="00084B0C"/>
    <w:rsid w:val="00085307"/>
    <w:rsid w:val="000853DC"/>
    <w:rsid w:val="000863D3"/>
    <w:rsid w:val="000867C1"/>
    <w:rsid w:val="00087484"/>
    <w:rsid w:val="00090294"/>
    <w:rsid w:val="00090908"/>
    <w:rsid w:val="000A2B6E"/>
    <w:rsid w:val="000A44E7"/>
    <w:rsid w:val="000A5F6B"/>
    <w:rsid w:val="000A6644"/>
    <w:rsid w:val="000A6937"/>
    <w:rsid w:val="000A7333"/>
    <w:rsid w:val="000A7789"/>
    <w:rsid w:val="000B0E31"/>
    <w:rsid w:val="000B2044"/>
    <w:rsid w:val="000B2B13"/>
    <w:rsid w:val="000B4EFE"/>
    <w:rsid w:val="000B6348"/>
    <w:rsid w:val="000B6C36"/>
    <w:rsid w:val="000B6C89"/>
    <w:rsid w:val="000C02E3"/>
    <w:rsid w:val="000C0B24"/>
    <w:rsid w:val="000C1E37"/>
    <w:rsid w:val="000C2FC3"/>
    <w:rsid w:val="000C3134"/>
    <w:rsid w:val="000C31AB"/>
    <w:rsid w:val="000C3268"/>
    <w:rsid w:val="000C501C"/>
    <w:rsid w:val="000C64C8"/>
    <w:rsid w:val="000C74D4"/>
    <w:rsid w:val="000D0CC2"/>
    <w:rsid w:val="000D1CF7"/>
    <w:rsid w:val="000D2545"/>
    <w:rsid w:val="000D2944"/>
    <w:rsid w:val="000D2A04"/>
    <w:rsid w:val="000D2B89"/>
    <w:rsid w:val="000D5B20"/>
    <w:rsid w:val="000D6B9C"/>
    <w:rsid w:val="000D73F8"/>
    <w:rsid w:val="000D741A"/>
    <w:rsid w:val="000E0390"/>
    <w:rsid w:val="000E0584"/>
    <w:rsid w:val="000E1B43"/>
    <w:rsid w:val="000E259D"/>
    <w:rsid w:val="000E2853"/>
    <w:rsid w:val="000E47B5"/>
    <w:rsid w:val="000E48DB"/>
    <w:rsid w:val="000E5C5C"/>
    <w:rsid w:val="000E640C"/>
    <w:rsid w:val="000E72B5"/>
    <w:rsid w:val="000E7935"/>
    <w:rsid w:val="000E7A01"/>
    <w:rsid w:val="000F0A77"/>
    <w:rsid w:val="000F4581"/>
    <w:rsid w:val="000F4E76"/>
    <w:rsid w:val="000F531D"/>
    <w:rsid w:val="000F5A26"/>
    <w:rsid w:val="000F5ED6"/>
    <w:rsid w:val="000F5F09"/>
    <w:rsid w:val="000F75F7"/>
    <w:rsid w:val="00100C7F"/>
    <w:rsid w:val="00102D3F"/>
    <w:rsid w:val="0010407B"/>
    <w:rsid w:val="001068CF"/>
    <w:rsid w:val="00110B4F"/>
    <w:rsid w:val="00110D01"/>
    <w:rsid w:val="00111748"/>
    <w:rsid w:val="00111BFC"/>
    <w:rsid w:val="00112B09"/>
    <w:rsid w:val="001148F8"/>
    <w:rsid w:val="001150B7"/>
    <w:rsid w:val="001151DA"/>
    <w:rsid w:val="00115341"/>
    <w:rsid w:val="0011555D"/>
    <w:rsid w:val="0011559F"/>
    <w:rsid w:val="001155A7"/>
    <w:rsid w:val="00115AB6"/>
    <w:rsid w:val="00115EAC"/>
    <w:rsid w:val="00122162"/>
    <w:rsid w:val="001233EC"/>
    <w:rsid w:val="00124440"/>
    <w:rsid w:val="00124903"/>
    <w:rsid w:val="00126657"/>
    <w:rsid w:val="001267BD"/>
    <w:rsid w:val="0012689D"/>
    <w:rsid w:val="00126DFB"/>
    <w:rsid w:val="00126E6A"/>
    <w:rsid w:val="00127E18"/>
    <w:rsid w:val="00130261"/>
    <w:rsid w:val="00131AFF"/>
    <w:rsid w:val="00131C3A"/>
    <w:rsid w:val="00131F74"/>
    <w:rsid w:val="001336AD"/>
    <w:rsid w:val="001354C9"/>
    <w:rsid w:val="00135F84"/>
    <w:rsid w:val="00136E68"/>
    <w:rsid w:val="00137417"/>
    <w:rsid w:val="001460C3"/>
    <w:rsid w:val="00146A56"/>
    <w:rsid w:val="00150431"/>
    <w:rsid w:val="00150FB3"/>
    <w:rsid w:val="0015235F"/>
    <w:rsid w:val="0015239D"/>
    <w:rsid w:val="001524D0"/>
    <w:rsid w:val="00153BF3"/>
    <w:rsid w:val="0015401A"/>
    <w:rsid w:val="00154C47"/>
    <w:rsid w:val="001551C8"/>
    <w:rsid w:val="00156760"/>
    <w:rsid w:val="00156E5A"/>
    <w:rsid w:val="00157CD2"/>
    <w:rsid w:val="0016014F"/>
    <w:rsid w:val="00161CA7"/>
    <w:rsid w:val="001624CA"/>
    <w:rsid w:val="001645F1"/>
    <w:rsid w:val="00164A72"/>
    <w:rsid w:val="001659CC"/>
    <w:rsid w:val="00165F94"/>
    <w:rsid w:val="00166C0D"/>
    <w:rsid w:val="001673D9"/>
    <w:rsid w:val="00167DD5"/>
    <w:rsid w:val="00170796"/>
    <w:rsid w:val="00171D6A"/>
    <w:rsid w:val="00171F8F"/>
    <w:rsid w:val="001722F8"/>
    <w:rsid w:val="00173FEB"/>
    <w:rsid w:val="00174634"/>
    <w:rsid w:val="00174E53"/>
    <w:rsid w:val="001767E0"/>
    <w:rsid w:val="00176F15"/>
    <w:rsid w:val="00177C74"/>
    <w:rsid w:val="00180244"/>
    <w:rsid w:val="00181A53"/>
    <w:rsid w:val="001830E6"/>
    <w:rsid w:val="00184A69"/>
    <w:rsid w:val="0018545E"/>
    <w:rsid w:val="0018617F"/>
    <w:rsid w:val="00186ACA"/>
    <w:rsid w:val="00190110"/>
    <w:rsid w:val="00190721"/>
    <w:rsid w:val="00192187"/>
    <w:rsid w:val="00192E4A"/>
    <w:rsid w:val="00193339"/>
    <w:rsid w:val="00193853"/>
    <w:rsid w:val="00193AFA"/>
    <w:rsid w:val="0019571B"/>
    <w:rsid w:val="00195D8A"/>
    <w:rsid w:val="00196321"/>
    <w:rsid w:val="001A07C6"/>
    <w:rsid w:val="001A0BAF"/>
    <w:rsid w:val="001A0C18"/>
    <w:rsid w:val="001A3997"/>
    <w:rsid w:val="001A4E75"/>
    <w:rsid w:val="001A5C82"/>
    <w:rsid w:val="001A6E35"/>
    <w:rsid w:val="001A74DF"/>
    <w:rsid w:val="001B0991"/>
    <w:rsid w:val="001B0DAD"/>
    <w:rsid w:val="001B1A02"/>
    <w:rsid w:val="001B1B57"/>
    <w:rsid w:val="001B3D90"/>
    <w:rsid w:val="001B4376"/>
    <w:rsid w:val="001B5680"/>
    <w:rsid w:val="001B5C88"/>
    <w:rsid w:val="001C0490"/>
    <w:rsid w:val="001C0A56"/>
    <w:rsid w:val="001C39CD"/>
    <w:rsid w:val="001C3A07"/>
    <w:rsid w:val="001C5AB1"/>
    <w:rsid w:val="001C6479"/>
    <w:rsid w:val="001C7314"/>
    <w:rsid w:val="001D2BD5"/>
    <w:rsid w:val="001D3C15"/>
    <w:rsid w:val="001D4BD1"/>
    <w:rsid w:val="001D5AB0"/>
    <w:rsid w:val="001D5E7D"/>
    <w:rsid w:val="001E1027"/>
    <w:rsid w:val="001E1259"/>
    <w:rsid w:val="001E1D7A"/>
    <w:rsid w:val="001E2778"/>
    <w:rsid w:val="001E4BAB"/>
    <w:rsid w:val="001E4D34"/>
    <w:rsid w:val="001E6A25"/>
    <w:rsid w:val="001E7817"/>
    <w:rsid w:val="001F0AA3"/>
    <w:rsid w:val="001F0C24"/>
    <w:rsid w:val="001F125E"/>
    <w:rsid w:val="001F15D6"/>
    <w:rsid w:val="001F3415"/>
    <w:rsid w:val="001F35F8"/>
    <w:rsid w:val="001F45C1"/>
    <w:rsid w:val="001F56E7"/>
    <w:rsid w:val="001F6106"/>
    <w:rsid w:val="001F669A"/>
    <w:rsid w:val="001F734A"/>
    <w:rsid w:val="001F75EC"/>
    <w:rsid w:val="001F7DD6"/>
    <w:rsid w:val="00201CA6"/>
    <w:rsid w:val="0020434A"/>
    <w:rsid w:val="00204931"/>
    <w:rsid w:val="0020694D"/>
    <w:rsid w:val="0020700A"/>
    <w:rsid w:val="0020738C"/>
    <w:rsid w:val="002073E4"/>
    <w:rsid w:val="0021191C"/>
    <w:rsid w:val="00211B1B"/>
    <w:rsid w:val="00215CB7"/>
    <w:rsid w:val="00216B0D"/>
    <w:rsid w:val="00216D27"/>
    <w:rsid w:val="00220F49"/>
    <w:rsid w:val="00221332"/>
    <w:rsid w:val="002217E1"/>
    <w:rsid w:val="002223DE"/>
    <w:rsid w:val="00222602"/>
    <w:rsid w:val="00222981"/>
    <w:rsid w:val="00222D46"/>
    <w:rsid w:val="00222E9D"/>
    <w:rsid w:val="00222F99"/>
    <w:rsid w:val="00224272"/>
    <w:rsid w:val="00224ACE"/>
    <w:rsid w:val="00225599"/>
    <w:rsid w:val="00225F5F"/>
    <w:rsid w:val="002307D1"/>
    <w:rsid w:val="00230CB7"/>
    <w:rsid w:val="00230CBA"/>
    <w:rsid w:val="00231994"/>
    <w:rsid w:val="002327FC"/>
    <w:rsid w:val="0023282C"/>
    <w:rsid w:val="002329FA"/>
    <w:rsid w:val="002338B0"/>
    <w:rsid w:val="002348B0"/>
    <w:rsid w:val="00234EE9"/>
    <w:rsid w:val="00235813"/>
    <w:rsid w:val="00235C4C"/>
    <w:rsid w:val="00235C9D"/>
    <w:rsid w:val="00237969"/>
    <w:rsid w:val="00241879"/>
    <w:rsid w:val="00243780"/>
    <w:rsid w:val="00243BD1"/>
    <w:rsid w:val="0024470E"/>
    <w:rsid w:val="002453AA"/>
    <w:rsid w:val="00245E33"/>
    <w:rsid w:val="002462FD"/>
    <w:rsid w:val="00250CEA"/>
    <w:rsid w:val="00251B66"/>
    <w:rsid w:val="00252B8B"/>
    <w:rsid w:val="00253520"/>
    <w:rsid w:val="00255C70"/>
    <w:rsid w:val="00255F08"/>
    <w:rsid w:val="0025612E"/>
    <w:rsid w:val="002563C4"/>
    <w:rsid w:val="0025685A"/>
    <w:rsid w:val="00256F74"/>
    <w:rsid w:val="00257D00"/>
    <w:rsid w:val="00261E0C"/>
    <w:rsid w:val="002621DC"/>
    <w:rsid w:val="002631FE"/>
    <w:rsid w:val="00264A69"/>
    <w:rsid w:val="00264AF7"/>
    <w:rsid w:val="00264E7F"/>
    <w:rsid w:val="002678B2"/>
    <w:rsid w:val="00267CAA"/>
    <w:rsid w:val="002729F7"/>
    <w:rsid w:val="00272E7A"/>
    <w:rsid w:val="0027357D"/>
    <w:rsid w:val="002737F7"/>
    <w:rsid w:val="00274F25"/>
    <w:rsid w:val="0027573F"/>
    <w:rsid w:val="00275D09"/>
    <w:rsid w:val="00276B63"/>
    <w:rsid w:val="00277522"/>
    <w:rsid w:val="0028084F"/>
    <w:rsid w:val="00280ABE"/>
    <w:rsid w:val="0028109C"/>
    <w:rsid w:val="002810B9"/>
    <w:rsid w:val="00281890"/>
    <w:rsid w:val="00282ED0"/>
    <w:rsid w:val="00283B5C"/>
    <w:rsid w:val="00283D4B"/>
    <w:rsid w:val="002856A8"/>
    <w:rsid w:val="002877B7"/>
    <w:rsid w:val="002878E9"/>
    <w:rsid w:val="00287993"/>
    <w:rsid w:val="00291CA4"/>
    <w:rsid w:val="002924F8"/>
    <w:rsid w:val="00293755"/>
    <w:rsid w:val="00293DE1"/>
    <w:rsid w:val="0029457D"/>
    <w:rsid w:val="00296AFE"/>
    <w:rsid w:val="00296B4E"/>
    <w:rsid w:val="002A0797"/>
    <w:rsid w:val="002A09C6"/>
    <w:rsid w:val="002A2675"/>
    <w:rsid w:val="002A41B0"/>
    <w:rsid w:val="002A55FF"/>
    <w:rsid w:val="002A652F"/>
    <w:rsid w:val="002A65A8"/>
    <w:rsid w:val="002A7659"/>
    <w:rsid w:val="002A7EFD"/>
    <w:rsid w:val="002B4E4D"/>
    <w:rsid w:val="002B5F98"/>
    <w:rsid w:val="002B68CF"/>
    <w:rsid w:val="002B71A0"/>
    <w:rsid w:val="002B7FD1"/>
    <w:rsid w:val="002C039A"/>
    <w:rsid w:val="002C2115"/>
    <w:rsid w:val="002C2E27"/>
    <w:rsid w:val="002C39DC"/>
    <w:rsid w:val="002C3B0A"/>
    <w:rsid w:val="002C6100"/>
    <w:rsid w:val="002C6A6B"/>
    <w:rsid w:val="002C6AF3"/>
    <w:rsid w:val="002D18EF"/>
    <w:rsid w:val="002D1B24"/>
    <w:rsid w:val="002D2EAF"/>
    <w:rsid w:val="002D33C6"/>
    <w:rsid w:val="002D3D19"/>
    <w:rsid w:val="002D54B9"/>
    <w:rsid w:val="002D5666"/>
    <w:rsid w:val="002D5B64"/>
    <w:rsid w:val="002D6E17"/>
    <w:rsid w:val="002E0E71"/>
    <w:rsid w:val="002E0F85"/>
    <w:rsid w:val="002E2555"/>
    <w:rsid w:val="002E39C1"/>
    <w:rsid w:val="002E3CC5"/>
    <w:rsid w:val="002E4F53"/>
    <w:rsid w:val="002E5F9F"/>
    <w:rsid w:val="002E6466"/>
    <w:rsid w:val="002E7E4B"/>
    <w:rsid w:val="002F084B"/>
    <w:rsid w:val="002F0A97"/>
    <w:rsid w:val="002F206F"/>
    <w:rsid w:val="002F36B2"/>
    <w:rsid w:val="002F37CF"/>
    <w:rsid w:val="002F4C22"/>
    <w:rsid w:val="002F668B"/>
    <w:rsid w:val="002F69D9"/>
    <w:rsid w:val="00301271"/>
    <w:rsid w:val="003019EF"/>
    <w:rsid w:val="00302643"/>
    <w:rsid w:val="00303653"/>
    <w:rsid w:val="00304ADA"/>
    <w:rsid w:val="003050E9"/>
    <w:rsid w:val="00305402"/>
    <w:rsid w:val="00305496"/>
    <w:rsid w:val="003056B1"/>
    <w:rsid w:val="0030581B"/>
    <w:rsid w:val="00305E41"/>
    <w:rsid w:val="00305F70"/>
    <w:rsid w:val="003073CC"/>
    <w:rsid w:val="0030745E"/>
    <w:rsid w:val="003102A4"/>
    <w:rsid w:val="003103CE"/>
    <w:rsid w:val="003107A2"/>
    <w:rsid w:val="00311191"/>
    <w:rsid w:val="003111E5"/>
    <w:rsid w:val="0031143B"/>
    <w:rsid w:val="003122ED"/>
    <w:rsid w:val="00313421"/>
    <w:rsid w:val="00313D0B"/>
    <w:rsid w:val="00316424"/>
    <w:rsid w:val="00317E65"/>
    <w:rsid w:val="00320EDE"/>
    <w:rsid w:val="003213C0"/>
    <w:rsid w:val="00321D57"/>
    <w:rsid w:val="00322017"/>
    <w:rsid w:val="003225D0"/>
    <w:rsid w:val="0032340D"/>
    <w:rsid w:val="00323E81"/>
    <w:rsid w:val="0032530A"/>
    <w:rsid w:val="003276EF"/>
    <w:rsid w:val="003310E6"/>
    <w:rsid w:val="00331180"/>
    <w:rsid w:val="00331ED9"/>
    <w:rsid w:val="003320D1"/>
    <w:rsid w:val="00336588"/>
    <w:rsid w:val="003367B7"/>
    <w:rsid w:val="003403B4"/>
    <w:rsid w:val="003408D6"/>
    <w:rsid w:val="00340BDB"/>
    <w:rsid w:val="0034237D"/>
    <w:rsid w:val="00344F9E"/>
    <w:rsid w:val="00346430"/>
    <w:rsid w:val="00346AF2"/>
    <w:rsid w:val="00346E07"/>
    <w:rsid w:val="00351AA1"/>
    <w:rsid w:val="00352C04"/>
    <w:rsid w:val="00353712"/>
    <w:rsid w:val="003541EB"/>
    <w:rsid w:val="00355977"/>
    <w:rsid w:val="00355D49"/>
    <w:rsid w:val="00356B62"/>
    <w:rsid w:val="003607CE"/>
    <w:rsid w:val="003609E0"/>
    <w:rsid w:val="003610A8"/>
    <w:rsid w:val="00361960"/>
    <w:rsid w:val="003625F0"/>
    <w:rsid w:val="0036279B"/>
    <w:rsid w:val="00363F15"/>
    <w:rsid w:val="003703BB"/>
    <w:rsid w:val="00370D3E"/>
    <w:rsid w:val="00371184"/>
    <w:rsid w:val="0037119A"/>
    <w:rsid w:val="00377D39"/>
    <w:rsid w:val="003810FC"/>
    <w:rsid w:val="00381685"/>
    <w:rsid w:val="00381B37"/>
    <w:rsid w:val="003824BD"/>
    <w:rsid w:val="00382AFA"/>
    <w:rsid w:val="00383DCF"/>
    <w:rsid w:val="00386431"/>
    <w:rsid w:val="00390410"/>
    <w:rsid w:val="00391849"/>
    <w:rsid w:val="00392982"/>
    <w:rsid w:val="00393FD6"/>
    <w:rsid w:val="00394483"/>
    <w:rsid w:val="00394E5D"/>
    <w:rsid w:val="00394EF6"/>
    <w:rsid w:val="00395995"/>
    <w:rsid w:val="00395EE2"/>
    <w:rsid w:val="00397353"/>
    <w:rsid w:val="003A1444"/>
    <w:rsid w:val="003A4017"/>
    <w:rsid w:val="003A49FC"/>
    <w:rsid w:val="003A53C0"/>
    <w:rsid w:val="003A6130"/>
    <w:rsid w:val="003B08E1"/>
    <w:rsid w:val="003B1A28"/>
    <w:rsid w:val="003B1AC8"/>
    <w:rsid w:val="003B1B67"/>
    <w:rsid w:val="003B295E"/>
    <w:rsid w:val="003B33B6"/>
    <w:rsid w:val="003B4765"/>
    <w:rsid w:val="003B4FB2"/>
    <w:rsid w:val="003B6E07"/>
    <w:rsid w:val="003B759D"/>
    <w:rsid w:val="003C3776"/>
    <w:rsid w:val="003C385F"/>
    <w:rsid w:val="003C49AB"/>
    <w:rsid w:val="003C502C"/>
    <w:rsid w:val="003C5667"/>
    <w:rsid w:val="003C788D"/>
    <w:rsid w:val="003D0D28"/>
    <w:rsid w:val="003D21FF"/>
    <w:rsid w:val="003D3A78"/>
    <w:rsid w:val="003D4B5A"/>
    <w:rsid w:val="003D52A7"/>
    <w:rsid w:val="003D686A"/>
    <w:rsid w:val="003D6874"/>
    <w:rsid w:val="003D76FF"/>
    <w:rsid w:val="003D7A81"/>
    <w:rsid w:val="003E1CD8"/>
    <w:rsid w:val="003E2604"/>
    <w:rsid w:val="003E314B"/>
    <w:rsid w:val="003E3649"/>
    <w:rsid w:val="003E3664"/>
    <w:rsid w:val="003E39AB"/>
    <w:rsid w:val="003E4330"/>
    <w:rsid w:val="003E4840"/>
    <w:rsid w:val="003E5730"/>
    <w:rsid w:val="003E6BD1"/>
    <w:rsid w:val="003E7393"/>
    <w:rsid w:val="003E78E7"/>
    <w:rsid w:val="003F0598"/>
    <w:rsid w:val="003F1CD8"/>
    <w:rsid w:val="003F26BA"/>
    <w:rsid w:val="003F2974"/>
    <w:rsid w:val="003F2A87"/>
    <w:rsid w:val="003F2C74"/>
    <w:rsid w:val="003F36CC"/>
    <w:rsid w:val="003F5955"/>
    <w:rsid w:val="003F5E46"/>
    <w:rsid w:val="003F71BB"/>
    <w:rsid w:val="003F788B"/>
    <w:rsid w:val="0040003A"/>
    <w:rsid w:val="00400128"/>
    <w:rsid w:val="004015FC"/>
    <w:rsid w:val="004019A6"/>
    <w:rsid w:val="004022A5"/>
    <w:rsid w:val="004026AD"/>
    <w:rsid w:val="004027A6"/>
    <w:rsid w:val="00402AE1"/>
    <w:rsid w:val="00403245"/>
    <w:rsid w:val="004078AC"/>
    <w:rsid w:val="0041061B"/>
    <w:rsid w:val="00411E77"/>
    <w:rsid w:val="00413D72"/>
    <w:rsid w:val="00415708"/>
    <w:rsid w:val="00416149"/>
    <w:rsid w:val="0041627C"/>
    <w:rsid w:val="00416806"/>
    <w:rsid w:val="00417260"/>
    <w:rsid w:val="00417E4A"/>
    <w:rsid w:val="004202F0"/>
    <w:rsid w:val="00420D60"/>
    <w:rsid w:val="0042148E"/>
    <w:rsid w:val="00421EA5"/>
    <w:rsid w:val="004220A3"/>
    <w:rsid w:val="00422BA7"/>
    <w:rsid w:val="00423A56"/>
    <w:rsid w:val="0042424F"/>
    <w:rsid w:val="004248BB"/>
    <w:rsid w:val="00424AA5"/>
    <w:rsid w:val="0042716B"/>
    <w:rsid w:val="00427B54"/>
    <w:rsid w:val="00430880"/>
    <w:rsid w:val="004308DA"/>
    <w:rsid w:val="00430B11"/>
    <w:rsid w:val="0043150A"/>
    <w:rsid w:val="00432473"/>
    <w:rsid w:val="00432480"/>
    <w:rsid w:val="00434D77"/>
    <w:rsid w:val="0043530E"/>
    <w:rsid w:val="00436132"/>
    <w:rsid w:val="004374FA"/>
    <w:rsid w:val="004378C8"/>
    <w:rsid w:val="00437AD4"/>
    <w:rsid w:val="0044004E"/>
    <w:rsid w:val="004413C7"/>
    <w:rsid w:val="00441BA6"/>
    <w:rsid w:val="004423DE"/>
    <w:rsid w:val="00442DC0"/>
    <w:rsid w:val="0044562E"/>
    <w:rsid w:val="0044633A"/>
    <w:rsid w:val="004508B5"/>
    <w:rsid w:val="00452EE9"/>
    <w:rsid w:val="00452EF2"/>
    <w:rsid w:val="0045327A"/>
    <w:rsid w:val="00453326"/>
    <w:rsid w:val="00453AC1"/>
    <w:rsid w:val="004550C9"/>
    <w:rsid w:val="00455AAB"/>
    <w:rsid w:val="0045720F"/>
    <w:rsid w:val="00457431"/>
    <w:rsid w:val="00461111"/>
    <w:rsid w:val="00461B64"/>
    <w:rsid w:val="00462565"/>
    <w:rsid w:val="00463044"/>
    <w:rsid w:val="00463621"/>
    <w:rsid w:val="00464D0C"/>
    <w:rsid w:val="00465567"/>
    <w:rsid w:val="00465CDB"/>
    <w:rsid w:val="00466A9C"/>
    <w:rsid w:val="00467B03"/>
    <w:rsid w:val="00470A3A"/>
    <w:rsid w:val="00470B02"/>
    <w:rsid w:val="00471C3F"/>
    <w:rsid w:val="00471D52"/>
    <w:rsid w:val="004725CA"/>
    <w:rsid w:val="00473BD6"/>
    <w:rsid w:val="00481C6A"/>
    <w:rsid w:val="00481F12"/>
    <w:rsid w:val="00482046"/>
    <w:rsid w:val="00482F85"/>
    <w:rsid w:val="00483D4C"/>
    <w:rsid w:val="00484CBA"/>
    <w:rsid w:val="00486467"/>
    <w:rsid w:val="004867EF"/>
    <w:rsid w:val="004869A4"/>
    <w:rsid w:val="004877A6"/>
    <w:rsid w:val="0048792E"/>
    <w:rsid w:val="00487E1C"/>
    <w:rsid w:val="00490D4E"/>
    <w:rsid w:val="004912A8"/>
    <w:rsid w:val="00491D44"/>
    <w:rsid w:val="00492EF1"/>
    <w:rsid w:val="004940D7"/>
    <w:rsid w:val="0049618E"/>
    <w:rsid w:val="00496EF7"/>
    <w:rsid w:val="00497405"/>
    <w:rsid w:val="004A043C"/>
    <w:rsid w:val="004A0C0B"/>
    <w:rsid w:val="004A2378"/>
    <w:rsid w:val="004A27B2"/>
    <w:rsid w:val="004A2F25"/>
    <w:rsid w:val="004A317D"/>
    <w:rsid w:val="004A3277"/>
    <w:rsid w:val="004A4771"/>
    <w:rsid w:val="004A494C"/>
    <w:rsid w:val="004A51C9"/>
    <w:rsid w:val="004A700C"/>
    <w:rsid w:val="004A7358"/>
    <w:rsid w:val="004B0EE5"/>
    <w:rsid w:val="004B18EA"/>
    <w:rsid w:val="004B2041"/>
    <w:rsid w:val="004B2C7B"/>
    <w:rsid w:val="004B421A"/>
    <w:rsid w:val="004B52EA"/>
    <w:rsid w:val="004B5970"/>
    <w:rsid w:val="004B5FA0"/>
    <w:rsid w:val="004B79A0"/>
    <w:rsid w:val="004C1C83"/>
    <w:rsid w:val="004C3F22"/>
    <w:rsid w:val="004C49FA"/>
    <w:rsid w:val="004C4B9B"/>
    <w:rsid w:val="004C56B8"/>
    <w:rsid w:val="004C6090"/>
    <w:rsid w:val="004C7499"/>
    <w:rsid w:val="004D019A"/>
    <w:rsid w:val="004D0E4B"/>
    <w:rsid w:val="004D19FD"/>
    <w:rsid w:val="004D24A4"/>
    <w:rsid w:val="004D48ED"/>
    <w:rsid w:val="004D5255"/>
    <w:rsid w:val="004D54F5"/>
    <w:rsid w:val="004D56B8"/>
    <w:rsid w:val="004D5A63"/>
    <w:rsid w:val="004D5EE6"/>
    <w:rsid w:val="004D603A"/>
    <w:rsid w:val="004D6C8A"/>
    <w:rsid w:val="004E3C38"/>
    <w:rsid w:val="004E4A0F"/>
    <w:rsid w:val="004E67D2"/>
    <w:rsid w:val="004F464F"/>
    <w:rsid w:val="004F55A0"/>
    <w:rsid w:val="004F55D9"/>
    <w:rsid w:val="004F5D33"/>
    <w:rsid w:val="0050004A"/>
    <w:rsid w:val="00500502"/>
    <w:rsid w:val="00500C80"/>
    <w:rsid w:val="00500DD9"/>
    <w:rsid w:val="0050116B"/>
    <w:rsid w:val="00502633"/>
    <w:rsid w:val="005031A2"/>
    <w:rsid w:val="00503A3F"/>
    <w:rsid w:val="0050423F"/>
    <w:rsid w:val="00504548"/>
    <w:rsid w:val="005045E5"/>
    <w:rsid w:val="0050531B"/>
    <w:rsid w:val="00506A2B"/>
    <w:rsid w:val="00506A57"/>
    <w:rsid w:val="005106A9"/>
    <w:rsid w:val="00511967"/>
    <w:rsid w:val="00512D2E"/>
    <w:rsid w:val="00513A81"/>
    <w:rsid w:val="00513F2D"/>
    <w:rsid w:val="00514D38"/>
    <w:rsid w:val="005156A1"/>
    <w:rsid w:val="00520846"/>
    <w:rsid w:val="00522194"/>
    <w:rsid w:val="00522223"/>
    <w:rsid w:val="0052366E"/>
    <w:rsid w:val="005249FD"/>
    <w:rsid w:val="00525DD0"/>
    <w:rsid w:val="00525EB7"/>
    <w:rsid w:val="005277A1"/>
    <w:rsid w:val="00527F68"/>
    <w:rsid w:val="00530D64"/>
    <w:rsid w:val="00532933"/>
    <w:rsid w:val="00532B34"/>
    <w:rsid w:val="00532CBB"/>
    <w:rsid w:val="005331EC"/>
    <w:rsid w:val="0053388B"/>
    <w:rsid w:val="005359F4"/>
    <w:rsid w:val="00535C9F"/>
    <w:rsid w:val="00536045"/>
    <w:rsid w:val="00540335"/>
    <w:rsid w:val="00540687"/>
    <w:rsid w:val="00540803"/>
    <w:rsid w:val="00541701"/>
    <w:rsid w:val="00541CF9"/>
    <w:rsid w:val="00542C22"/>
    <w:rsid w:val="00544701"/>
    <w:rsid w:val="00544AB8"/>
    <w:rsid w:val="00544D57"/>
    <w:rsid w:val="00545F84"/>
    <w:rsid w:val="0054647F"/>
    <w:rsid w:val="00547908"/>
    <w:rsid w:val="00547968"/>
    <w:rsid w:val="00547F23"/>
    <w:rsid w:val="00550A75"/>
    <w:rsid w:val="00550C97"/>
    <w:rsid w:val="00551CEF"/>
    <w:rsid w:val="00552600"/>
    <w:rsid w:val="00553440"/>
    <w:rsid w:val="005537D8"/>
    <w:rsid w:val="005540FA"/>
    <w:rsid w:val="0055435C"/>
    <w:rsid w:val="00555113"/>
    <w:rsid w:val="00555D94"/>
    <w:rsid w:val="005563BD"/>
    <w:rsid w:val="00557092"/>
    <w:rsid w:val="00557F15"/>
    <w:rsid w:val="005608FB"/>
    <w:rsid w:val="00564E2D"/>
    <w:rsid w:val="00567133"/>
    <w:rsid w:val="005700DB"/>
    <w:rsid w:val="00570359"/>
    <w:rsid w:val="0057042C"/>
    <w:rsid w:val="005707D7"/>
    <w:rsid w:val="005714A7"/>
    <w:rsid w:val="00573157"/>
    <w:rsid w:val="00574E1D"/>
    <w:rsid w:val="0057744D"/>
    <w:rsid w:val="00577689"/>
    <w:rsid w:val="00577A15"/>
    <w:rsid w:val="00582169"/>
    <w:rsid w:val="00582D4C"/>
    <w:rsid w:val="0058370D"/>
    <w:rsid w:val="00584592"/>
    <w:rsid w:val="00585107"/>
    <w:rsid w:val="00586A22"/>
    <w:rsid w:val="00587160"/>
    <w:rsid w:val="00587747"/>
    <w:rsid w:val="00587BFC"/>
    <w:rsid w:val="00591783"/>
    <w:rsid w:val="00591A7A"/>
    <w:rsid w:val="00591C77"/>
    <w:rsid w:val="00591F79"/>
    <w:rsid w:val="00592717"/>
    <w:rsid w:val="005944F2"/>
    <w:rsid w:val="005956EF"/>
    <w:rsid w:val="0059679F"/>
    <w:rsid w:val="00596D32"/>
    <w:rsid w:val="00597817"/>
    <w:rsid w:val="00597F6D"/>
    <w:rsid w:val="005A04AC"/>
    <w:rsid w:val="005A1DDE"/>
    <w:rsid w:val="005A3130"/>
    <w:rsid w:val="005A386F"/>
    <w:rsid w:val="005A3FD8"/>
    <w:rsid w:val="005A411B"/>
    <w:rsid w:val="005A5CBF"/>
    <w:rsid w:val="005A6C74"/>
    <w:rsid w:val="005A6D3A"/>
    <w:rsid w:val="005A7435"/>
    <w:rsid w:val="005B1609"/>
    <w:rsid w:val="005B2EFB"/>
    <w:rsid w:val="005B3BDA"/>
    <w:rsid w:val="005B4CE5"/>
    <w:rsid w:val="005B4E92"/>
    <w:rsid w:val="005B5876"/>
    <w:rsid w:val="005B632C"/>
    <w:rsid w:val="005C468F"/>
    <w:rsid w:val="005C5295"/>
    <w:rsid w:val="005C5394"/>
    <w:rsid w:val="005C5CBC"/>
    <w:rsid w:val="005C5F3A"/>
    <w:rsid w:val="005C689A"/>
    <w:rsid w:val="005C74B0"/>
    <w:rsid w:val="005D09AB"/>
    <w:rsid w:val="005D09DB"/>
    <w:rsid w:val="005D1C41"/>
    <w:rsid w:val="005D3442"/>
    <w:rsid w:val="005D3F0D"/>
    <w:rsid w:val="005D5730"/>
    <w:rsid w:val="005D5748"/>
    <w:rsid w:val="005D6905"/>
    <w:rsid w:val="005D6BA3"/>
    <w:rsid w:val="005E018D"/>
    <w:rsid w:val="005E0A56"/>
    <w:rsid w:val="005E428F"/>
    <w:rsid w:val="005E47CA"/>
    <w:rsid w:val="005E4A7B"/>
    <w:rsid w:val="005E544D"/>
    <w:rsid w:val="005E6D0C"/>
    <w:rsid w:val="005E6DB3"/>
    <w:rsid w:val="005E6F8A"/>
    <w:rsid w:val="005F0C61"/>
    <w:rsid w:val="005F1B2C"/>
    <w:rsid w:val="005F230D"/>
    <w:rsid w:val="005F2C7F"/>
    <w:rsid w:val="005F2EB0"/>
    <w:rsid w:val="005F33C7"/>
    <w:rsid w:val="005F3A9E"/>
    <w:rsid w:val="005F4293"/>
    <w:rsid w:val="005F6EE6"/>
    <w:rsid w:val="00602C03"/>
    <w:rsid w:val="00606A53"/>
    <w:rsid w:val="0061172E"/>
    <w:rsid w:val="00611AA8"/>
    <w:rsid w:val="006127D0"/>
    <w:rsid w:val="00616A37"/>
    <w:rsid w:val="006178DF"/>
    <w:rsid w:val="00624DBC"/>
    <w:rsid w:val="006251D9"/>
    <w:rsid w:val="00625314"/>
    <w:rsid w:val="006262A6"/>
    <w:rsid w:val="00627337"/>
    <w:rsid w:val="006277DE"/>
    <w:rsid w:val="006304C8"/>
    <w:rsid w:val="0063157D"/>
    <w:rsid w:val="00631BAE"/>
    <w:rsid w:val="00632566"/>
    <w:rsid w:val="00632B69"/>
    <w:rsid w:val="00634AAD"/>
    <w:rsid w:val="006370FC"/>
    <w:rsid w:val="0063715A"/>
    <w:rsid w:val="00637E63"/>
    <w:rsid w:val="0064021E"/>
    <w:rsid w:val="006406A4"/>
    <w:rsid w:val="00640D0B"/>
    <w:rsid w:val="00641A32"/>
    <w:rsid w:val="0064290B"/>
    <w:rsid w:val="0064319A"/>
    <w:rsid w:val="006443EE"/>
    <w:rsid w:val="006447E2"/>
    <w:rsid w:val="00644900"/>
    <w:rsid w:val="006457EA"/>
    <w:rsid w:val="00645ABD"/>
    <w:rsid w:val="00645D2F"/>
    <w:rsid w:val="00645E15"/>
    <w:rsid w:val="00650467"/>
    <w:rsid w:val="006508F4"/>
    <w:rsid w:val="00650C1A"/>
    <w:rsid w:val="00650C85"/>
    <w:rsid w:val="00651AC4"/>
    <w:rsid w:val="006525CF"/>
    <w:rsid w:val="006535A0"/>
    <w:rsid w:val="006536FB"/>
    <w:rsid w:val="00653BBA"/>
    <w:rsid w:val="006547C5"/>
    <w:rsid w:val="00654B4F"/>
    <w:rsid w:val="006553E3"/>
    <w:rsid w:val="00655920"/>
    <w:rsid w:val="00656662"/>
    <w:rsid w:val="00657355"/>
    <w:rsid w:val="00660769"/>
    <w:rsid w:val="00660909"/>
    <w:rsid w:val="00660C5F"/>
    <w:rsid w:val="00660E76"/>
    <w:rsid w:val="006625BE"/>
    <w:rsid w:val="00663FE3"/>
    <w:rsid w:val="006644FB"/>
    <w:rsid w:val="00664676"/>
    <w:rsid w:val="006648BA"/>
    <w:rsid w:val="00665426"/>
    <w:rsid w:val="006678E6"/>
    <w:rsid w:val="00667FAE"/>
    <w:rsid w:val="006704A7"/>
    <w:rsid w:val="00671AEB"/>
    <w:rsid w:val="00671FDC"/>
    <w:rsid w:val="00672C93"/>
    <w:rsid w:val="00672F7B"/>
    <w:rsid w:val="00673AA9"/>
    <w:rsid w:val="0067794A"/>
    <w:rsid w:val="006824BA"/>
    <w:rsid w:val="0068394B"/>
    <w:rsid w:val="0068399C"/>
    <w:rsid w:val="0068431A"/>
    <w:rsid w:val="00684353"/>
    <w:rsid w:val="00684FE4"/>
    <w:rsid w:val="0068683D"/>
    <w:rsid w:val="006876B0"/>
    <w:rsid w:val="006906F1"/>
    <w:rsid w:val="00690EA6"/>
    <w:rsid w:val="00692B43"/>
    <w:rsid w:val="00693452"/>
    <w:rsid w:val="006942CD"/>
    <w:rsid w:val="006955DD"/>
    <w:rsid w:val="00696187"/>
    <w:rsid w:val="00697633"/>
    <w:rsid w:val="00697CAC"/>
    <w:rsid w:val="006A0C0E"/>
    <w:rsid w:val="006A153B"/>
    <w:rsid w:val="006A3324"/>
    <w:rsid w:val="006A37CC"/>
    <w:rsid w:val="006A39ED"/>
    <w:rsid w:val="006A41EE"/>
    <w:rsid w:val="006A5ED3"/>
    <w:rsid w:val="006A64A8"/>
    <w:rsid w:val="006A7042"/>
    <w:rsid w:val="006A7340"/>
    <w:rsid w:val="006A74B5"/>
    <w:rsid w:val="006A7F58"/>
    <w:rsid w:val="006B0380"/>
    <w:rsid w:val="006B04A5"/>
    <w:rsid w:val="006B1FCA"/>
    <w:rsid w:val="006B3953"/>
    <w:rsid w:val="006B3F01"/>
    <w:rsid w:val="006B4958"/>
    <w:rsid w:val="006B4ABB"/>
    <w:rsid w:val="006B590E"/>
    <w:rsid w:val="006B683D"/>
    <w:rsid w:val="006C09B1"/>
    <w:rsid w:val="006C3CD7"/>
    <w:rsid w:val="006C4903"/>
    <w:rsid w:val="006C5AF9"/>
    <w:rsid w:val="006D467F"/>
    <w:rsid w:val="006D5801"/>
    <w:rsid w:val="006D5DD0"/>
    <w:rsid w:val="006D7A4C"/>
    <w:rsid w:val="006D7E2C"/>
    <w:rsid w:val="006E18DB"/>
    <w:rsid w:val="006E38F0"/>
    <w:rsid w:val="006E533B"/>
    <w:rsid w:val="006E6177"/>
    <w:rsid w:val="006E7F05"/>
    <w:rsid w:val="006F0FE7"/>
    <w:rsid w:val="006F1230"/>
    <w:rsid w:val="006F4C54"/>
    <w:rsid w:val="006F5EA1"/>
    <w:rsid w:val="006F77B6"/>
    <w:rsid w:val="007000CB"/>
    <w:rsid w:val="00700138"/>
    <w:rsid w:val="00703659"/>
    <w:rsid w:val="00703C4A"/>
    <w:rsid w:val="00704264"/>
    <w:rsid w:val="00705881"/>
    <w:rsid w:val="007079D8"/>
    <w:rsid w:val="00707F57"/>
    <w:rsid w:val="007101FC"/>
    <w:rsid w:val="00710EB1"/>
    <w:rsid w:val="00712CCA"/>
    <w:rsid w:val="00712DE3"/>
    <w:rsid w:val="00712F3B"/>
    <w:rsid w:val="00713027"/>
    <w:rsid w:val="00713883"/>
    <w:rsid w:val="0071426E"/>
    <w:rsid w:val="007155C3"/>
    <w:rsid w:val="00716F0A"/>
    <w:rsid w:val="007205A0"/>
    <w:rsid w:val="00720A02"/>
    <w:rsid w:val="00720C37"/>
    <w:rsid w:val="007211B3"/>
    <w:rsid w:val="00722050"/>
    <w:rsid w:val="0072243D"/>
    <w:rsid w:val="007235F9"/>
    <w:rsid w:val="00723CC9"/>
    <w:rsid w:val="00724793"/>
    <w:rsid w:val="00724898"/>
    <w:rsid w:val="00724AAF"/>
    <w:rsid w:val="00724F97"/>
    <w:rsid w:val="00730256"/>
    <w:rsid w:val="007309F4"/>
    <w:rsid w:val="007316D6"/>
    <w:rsid w:val="007335A2"/>
    <w:rsid w:val="00733752"/>
    <w:rsid w:val="00733FC9"/>
    <w:rsid w:val="007341F0"/>
    <w:rsid w:val="00734FD0"/>
    <w:rsid w:val="00735298"/>
    <w:rsid w:val="007368D1"/>
    <w:rsid w:val="00736EFE"/>
    <w:rsid w:val="00736F65"/>
    <w:rsid w:val="00737360"/>
    <w:rsid w:val="0074037A"/>
    <w:rsid w:val="0074176C"/>
    <w:rsid w:val="00743B6C"/>
    <w:rsid w:val="00743FE7"/>
    <w:rsid w:val="00744D41"/>
    <w:rsid w:val="0074579C"/>
    <w:rsid w:val="00745FBD"/>
    <w:rsid w:val="007501A4"/>
    <w:rsid w:val="0075052C"/>
    <w:rsid w:val="00751F5A"/>
    <w:rsid w:val="00753A36"/>
    <w:rsid w:val="00754164"/>
    <w:rsid w:val="0075453B"/>
    <w:rsid w:val="00754988"/>
    <w:rsid w:val="00756435"/>
    <w:rsid w:val="00760517"/>
    <w:rsid w:val="007609ED"/>
    <w:rsid w:val="00761104"/>
    <w:rsid w:val="007619F5"/>
    <w:rsid w:val="00762548"/>
    <w:rsid w:val="0076274D"/>
    <w:rsid w:val="007637C9"/>
    <w:rsid w:val="00766FF4"/>
    <w:rsid w:val="00770AB8"/>
    <w:rsid w:val="00770F4D"/>
    <w:rsid w:val="0077278A"/>
    <w:rsid w:val="0077292D"/>
    <w:rsid w:val="00772DFE"/>
    <w:rsid w:val="007759B4"/>
    <w:rsid w:val="00777847"/>
    <w:rsid w:val="00777BEA"/>
    <w:rsid w:val="00777FCC"/>
    <w:rsid w:val="0078239E"/>
    <w:rsid w:val="0078379F"/>
    <w:rsid w:val="00783AB3"/>
    <w:rsid w:val="00784256"/>
    <w:rsid w:val="00784C55"/>
    <w:rsid w:val="00784CC4"/>
    <w:rsid w:val="007857B6"/>
    <w:rsid w:val="0078598D"/>
    <w:rsid w:val="00785A4F"/>
    <w:rsid w:val="00786E73"/>
    <w:rsid w:val="00787688"/>
    <w:rsid w:val="007900E7"/>
    <w:rsid w:val="0079017F"/>
    <w:rsid w:val="007920AC"/>
    <w:rsid w:val="007928D2"/>
    <w:rsid w:val="00793F43"/>
    <w:rsid w:val="00794D79"/>
    <w:rsid w:val="00794EF9"/>
    <w:rsid w:val="0079506E"/>
    <w:rsid w:val="007A11AB"/>
    <w:rsid w:val="007A2334"/>
    <w:rsid w:val="007A302A"/>
    <w:rsid w:val="007A3144"/>
    <w:rsid w:val="007A338D"/>
    <w:rsid w:val="007A46CE"/>
    <w:rsid w:val="007A61D9"/>
    <w:rsid w:val="007A65FF"/>
    <w:rsid w:val="007B05AE"/>
    <w:rsid w:val="007B186D"/>
    <w:rsid w:val="007B2535"/>
    <w:rsid w:val="007B39DD"/>
    <w:rsid w:val="007B4A55"/>
    <w:rsid w:val="007B5613"/>
    <w:rsid w:val="007B6AE1"/>
    <w:rsid w:val="007B7155"/>
    <w:rsid w:val="007C0707"/>
    <w:rsid w:val="007C073B"/>
    <w:rsid w:val="007C14AB"/>
    <w:rsid w:val="007C1595"/>
    <w:rsid w:val="007C1B26"/>
    <w:rsid w:val="007C2FA4"/>
    <w:rsid w:val="007C3D1C"/>
    <w:rsid w:val="007C4BEB"/>
    <w:rsid w:val="007C51AA"/>
    <w:rsid w:val="007C5A88"/>
    <w:rsid w:val="007C61F3"/>
    <w:rsid w:val="007C650B"/>
    <w:rsid w:val="007C6569"/>
    <w:rsid w:val="007D08EC"/>
    <w:rsid w:val="007D0B87"/>
    <w:rsid w:val="007D0B8E"/>
    <w:rsid w:val="007D24C9"/>
    <w:rsid w:val="007D34D4"/>
    <w:rsid w:val="007D3E01"/>
    <w:rsid w:val="007D4069"/>
    <w:rsid w:val="007D4B12"/>
    <w:rsid w:val="007D4DEC"/>
    <w:rsid w:val="007D55A6"/>
    <w:rsid w:val="007D6351"/>
    <w:rsid w:val="007D6645"/>
    <w:rsid w:val="007D76D0"/>
    <w:rsid w:val="007D76D2"/>
    <w:rsid w:val="007E02D0"/>
    <w:rsid w:val="007E11CA"/>
    <w:rsid w:val="007E3C5C"/>
    <w:rsid w:val="007E3F98"/>
    <w:rsid w:val="007E6938"/>
    <w:rsid w:val="007E76BC"/>
    <w:rsid w:val="007F0B2B"/>
    <w:rsid w:val="007F0D70"/>
    <w:rsid w:val="007F1CE7"/>
    <w:rsid w:val="007F3100"/>
    <w:rsid w:val="007F4AB3"/>
    <w:rsid w:val="007F5926"/>
    <w:rsid w:val="007F6879"/>
    <w:rsid w:val="007F6B9D"/>
    <w:rsid w:val="00800251"/>
    <w:rsid w:val="008004C0"/>
    <w:rsid w:val="00803052"/>
    <w:rsid w:val="00805849"/>
    <w:rsid w:val="00811D3B"/>
    <w:rsid w:val="00812124"/>
    <w:rsid w:val="0081298B"/>
    <w:rsid w:val="00814B85"/>
    <w:rsid w:val="00815D3F"/>
    <w:rsid w:val="00816BD2"/>
    <w:rsid w:val="008177E2"/>
    <w:rsid w:val="00817CD4"/>
    <w:rsid w:val="008203D4"/>
    <w:rsid w:val="008204D5"/>
    <w:rsid w:val="00820AFB"/>
    <w:rsid w:val="008210BD"/>
    <w:rsid w:val="00821C17"/>
    <w:rsid w:val="00821F6C"/>
    <w:rsid w:val="0082248C"/>
    <w:rsid w:val="008225AD"/>
    <w:rsid w:val="00822AD2"/>
    <w:rsid w:val="00825603"/>
    <w:rsid w:val="0082756A"/>
    <w:rsid w:val="00827FC1"/>
    <w:rsid w:val="00831179"/>
    <w:rsid w:val="0083350E"/>
    <w:rsid w:val="00833731"/>
    <w:rsid w:val="00834C77"/>
    <w:rsid w:val="00836712"/>
    <w:rsid w:val="00836FAD"/>
    <w:rsid w:val="00840C51"/>
    <w:rsid w:val="00843902"/>
    <w:rsid w:val="00843C17"/>
    <w:rsid w:val="0084543A"/>
    <w:rsid w:val="0084655B"/>
    <w:rsid w:val="00846A51"/>
    <w:rsid w:val="00847D50"/>
    <w:rsid w:val="0085089A"/>
    <w:rsid w:val="00850F7D"/>
    <w:rsid w:val="00852B1E"/>
    <w:rsid w:val="00853DB0"/>
    <w:rsid w:val="0085455A"/>
    <w:rsid w:val="0085570A"/>
    <w:rsid w:val="00857232"/>
    <w:rsid w:val="0085747A"/>
    <w:rsid w:val="008574D4"/>
    <w:rsid w:val="0085787B"/>
    <w:rsid w:val="00860D69"/>
    <w:rsid w:val="00860E64"/>
    <w:rsid w:val="0086153D"/>
    <w:rsid w:val="00861707"/>
    <w:rsid w:val="00863FF0"/>
    <w:rsid w:val="0086404F"/>
    <w:rsid w:val="00864D9D"/>
    <w:rsid w:val="008657F4"/>
    <w:rsid w:val="00865CE7"/>
    <w:rsid w:val="00866193"/>
    <w:rsid w:val="00870729"/>
    <w:rsid w:val="00872632"/>
    <w:rsid w:val="008726E1"/>
    <w:rsid w:val="00873BEA"/>
    <w:rsid w:val="008752C0"/>
    <w:rsid w:val="00876299"/>
    <w:rsid w:val="00876D98"/>
    <w:rsid w:val="00880D29"/>
    <w:rsid w:val="0088498A"/>
    <w:rsid w:val="008854AE"/>
    <w:rsid w:val="00885A03"/>
    <w:rsid w:val="008860A2"/>
    <w:rsid w:val="008875B0"/>
    <w:rsid w:val="008876C8"/>
    <w:rsid w:val="0089036C"/>
    <w:rsid w:val="008919E7"/>
    <w:rsid w:val="00891A85"/>
    <w:rsid w:val="00892789"/>
    <w:rsid w:val="008935CF"/>
    <w:rsid w:val="008937AC"/>
    <w:rsid w:val="00894D30"/>
    <w:rsid w:val="00897371"/>
    <w:rsid w:val="008A1CCF"/>
    <w:rsid w:val="008A30E4"/>
    <w:rsid w:val="008A317A"/>
    <w:rsid w:val="008A34A9"/>
    <w:rsid w:val="008A41AF"/>
    <w:rsid w:val="008A5431"/>
    <w:rsid w:val="008A5D66"/>
    <w:rsid w:val="008A6B3B"/>
    <w:rsid w:val="008A7998"/>
    <w:rsid w:val="008B0560"/>
    <w:rsid w:val="008B0EF5"/>
    <w:rsid w:val="008B303F"/>
    <w:rsid w:val="008B3F51"/>
    <w:rsid w:val="008B5265"/>
    <w:rsid w:val="008B55C3"/>
    <w:rsid w:val="008B59C0"/>
    <w:rsid w:val="008C04E0"/>
    <w:rsid w:val="008C06F8"/>
    <w:rsid w:val="008C126B"/>
    <w:rsid w:val="008C1391"/>
    <w:rsid w:val="008C2AF9"/>
    <w:rsid w:val="008C4B11"/>
    <w:rsid w:val="008C51B0"/>
    <w:rsid w:val="008C5F16"/>
    <w:rsid w:val="008C618A"/>
    <w:rsid w:val="008C7136"/>
    <w:rsid w:val="008C7B22"/>
    <w:rsid w:val="008D0DEB"/>
    <w:rsid w:val="008D1569"/>
    <w:rsid w:val="008D2743"/>
    <w:rsid w:val="008D2F24"/>
    <w:rsid w:val="008D3DA7"/>
    <w:rsid w:val="008D414B"/>
    <w:rsid w:val="008D4A2E"/>
    <w:rsid w:val="008D4B08"/>
    <w:rsid w:val="008D4D0F"/>
    <w:rsid w:val="008D506F"/>
    <w:rsid w:val="008D60F5"/>
    <w:rsid w:val="008D7DB8"/>
    <w:rsid w:val="008E02C5"/>
    <w:rsid w:val="008E084B"/>
    <w:rsid w:val="008E1A17"/>
    <w:rsid w:val="008E3ABE"/>
    <w:rsid w:val="008E561C"/>
    <w:rsid w:val="008E57F3"/>
    <w:rsid w:val="008E5BF2"/>
    <w:rsid w:val="008E6A6E"/>
    <w:rsid w:val="008F092C"/>
    <w:rsid w:val="008F13C4"/>
    <w:rsid w:val="008F1AE1"/>
    <w:rsid w:val="008F2EB3"/>
    <w:rsid w:val="008F2F6F"/>
    <w:rsid w:val="008F38DE"/>
    <w:rsid w:val="008F3EEA"/>
    <w:rsid w:val="008F51FF"/>
    <w:rsid w:val="008F5B5D"/>
    <w:rsid w:val="008F6007"/>
    <w:rsid w:val="008F678F"/>
    <w:rsid w:val="008F6F30"/>
    <w:rsid w:val="00903253"/>
    <w:rsid w:val="0090429E"/>
    <w:rsid w:val="009049EE"/>
    <w:rsid w:val="00904E3D"/>
    <w:rsid w:val="00905160"/>
    <w:rsid w:val="00906705"/>
    <w:rsid w:val="00907FA4"/>
    <w:rsid w:val="009111CF"/>
    <w:rsid w:val="009117E3"/>
    <w:rsid w:val="00913170"/>
    <w:rsid w:val="00913870"/>
    <w:rsid w:val="00914318"/>
    <w:rsid w:val="0091525F"/>
    <w:rsid w:val="0091549B"/>
    <w:rsid w:val="009163B1"/>
    <w:rsid w:val="00917F5A"/>
    <w:rsid w:val="00917FE0"/>
    <w:rsid w:val="009201A4"/>
    <w:rsid w:val="009210BC"/>
    <w:rsid w:val="0092150D"/>
    <w:rsid w:val="0092293A"/>
    <w:rsid w:val="00923A9E"/>
    <w:rsid w:val="00923CC1"/>
    <w:rsid w:val="00925684"/>
    <w:rsid w:val="00927650"/>
    <w:rsid w:val="00927ACA"/>
    <w:rsid w:val="009309CF"/>
    <w:rsid w:val="00931602"/>
    <w:rsid w:val="009316BE"/>
    <w:rsid w:val="00931FD1"/>
    <w:rsid w:val="00932D22"/>
    <w:rsid w:val="00933116"/>
    <w:rsid w:val="009342CD"/>
    <w:rsid w:val="0093508C"/>
    <w:rsid w:val="009358EA"/>
    <w:rsid w:val="0093596B"/>
    <w:rsid w:val="0094239A"/>
    <w:rsid w:val="00944E31"/>
    <w:rsid w:val="00945FEF"/>
    <w:rsid w:val="009474A4"/>
    <w:rsid w:val="009510A5"/>
    <w:rsid w:val="009526D2"/>
    <w:rsid w:val="0095345A"/>
    <w:rsid w:val="00954A78"/>
    <w:rsid w:val="009550F7"/>
    <w:rsid w:val="00956328"/>
    <w:rsid w:val="00956CAE"/>
    <w:rsid w:val="00956F33"/>
    <w:rsid w:val="009579E4"/>
    <w:rsid w:val="009630F0"/>
    <w:rsid w:val="00966337"/>
    <w:rsid w:val="009673A9"/>
    <w:rsid w:val="009674AD"/>
    <w:rsid w:val="00967827"/>
    <w:rsid w:val="00967A9E"/>
    <w:rsid w:val="00971B9A"/>
    <w:rsid w:val="0097224B"/>
    <w:rsid w:val="00972D9D"/>
    <w:rsid w:val="00973873"/>
    <w:rsid w:val="00974AE1"/>
    <w:rsid w:val="009776B5"/>
    <w:rsid w:val="00980923"/>
    <w:rsid w:val="00981219"/>
    <w:rsid w:val="009819AC"/>
    <w:rsid w:val="00981F49"/>
    <w:rsid w:val="00982698"/>
    <w:rsid w:val="00982A1D"/>
    <w:rsid w:val="00982C5D"/>
    <w:rsid w:val="0098408F"/>
    <w:rsid w:val="00984D4A"/>
    <w:rsid w:val="00985B4A"/>
    <w:rsid w:val="00985F8E"/>
    <w:rsid w:val="00986A52"/>
    <w:rsid w:val="00986BFF"/>
    <w:rsid w:val="00987068"/>
    <w:rsid w:val="00993883"/>
    <w:rsid w:val="0099510B"/>
    <w:rsid w:val="00996417"/>
    <w:rsid w:val="00997DB2"/>
    <w:rsid w:val="009A21B5"/>
    <w:rsid w:val="009A25B4"/>
    <w:rsid w:val="009A2774"/>
    <w:rsid w:val="009A2B4F"/>
    <w:rsid w:val="009A2EC2"/>
    <w:rsid w:val="009A3CF1"/>
    <w:rsid w:val="009A3E40"/>
    <w:rsid w:val="009A3F67"/>
    <w:rsid w:val="009A605E"/>
    <w:rsid w:val="009A79CC"/>
    <w:rsid w:val="009B0094"/>
    <w:rsid w:val="009B0B07"/>
    <w:rsid w:val="009B12EC"/>
    <w:rsid w:val="009B1D9F"/>
    <w:rsid w:val="009B2D5D"/>
    <w:rsid w:val="009B2FAC"/>
    <w:rsid w:val="009B4D0E"/>
    <w:rsid w:val="009B51FA"/>
    <w:rsid w:val="009B5F89"/>
    <w:rsid w:val="009C2DDD"/>
    <w:rsid w:val="009C6405"/>
    <w:rsid w:val="009C6D8D"/>
    <w:rsid w:val="009C78F0"/>
    <w:rsid w:val="009C7C82"/>
    <w:rsid w:val="009D2250"/>
    <w:rsid w:val="009D266A"/>
    <w:rsid w:val="009D2DC6"/>
    <w:rsid w:val="009D33A1"/>
    <w:rsid w:val="009D4E52"/>
    <w:rsid w:val="009D5024"/>
    <w:rsid w:val="009D62F0"/>
    <w:rsid w:val="009D66AC"/>
    <w:rsid w:val="009D6E8C"/>
    <w:rsid w:val="009D737B"/>
    <w:rsid w:val="009E0F48"/>
    <w:rsid w:val="009E104B"/>
    <w:rsid w:val="009E38A1"/>
    <w:rsid w:val="009E49A5"/>
    <w:rsid w:val="009E6026"/>
    <w:rsid w:val="009E64F9"/>
    <w:rsid w:val="009E6633"/>
    <w:rsid w:val="009E6E56"/>
    <w:rsid w:val="009F0AA1"/>
    <w:rsid w:val="009F0B68"/>
    <w:rsid w:val="009F185D"/>
    <w:rsid w:val="009F25AD"/>
    <w:rsid w:val="009F527E"/>
    <w:rsid w:val="009F7E7D"/>
    <w:rsid w:val="00A020B6"/>
    <w:rsid w:val="00A03550"/>
    <w:rsid w:val="00A04858"/>
    <w:rsid w:val="00A05401"/>
    <w:rsid w:val="00A106E1"/>
    <w:rsid w:val="00A10992"/>
    <w:rsid w:val="00A11403"/>
    <w:rsid w:val="00A12BCF"/>
    <w:rsid w:val="00A12FDA"/>
    <w:rsid w:val="00A13766"/>
    <w:rsid w:val="00A1451E"/>
    <w:rsid w:val="00A15B38"/>
    <w:rsid w:val="00A15CB3"/>
    <w:rsid w:val="00A16182"/>
    <w:rsid w:val="00A16AE7"/>
    <w:rsid w:val="00A21376"/>
    <w:rsid w:val="00A21A9B"/>
    <w:rsid w:val="00A2377E"/>
    <w:rsid w:val="00A243E0"/>
    <w:rsid w:val="00A25890"/>
    <w:rsid w:val="00A26024"/>
    <w:rsid w:val="00A274B2"/>
    <w:rsid w:val="00A276C7"/>
    <w:rsid w:val="00A31693"/>
    <w:rsid w:val="00A33F44"/>
    <w:rsid w:val="00A3442B"/>
    <w:rsid w:val="00A34786"/>
    <w:rsid w:val="00A34CA1"/>
    <w:rsid w:val="00A41FBF"/>
    <w:rsid w:val="00A4326F"/>
    <w:rsid w:val="00A43B01"/>
    <w:rsid w:val="00A456DE"/>
    <w:rsid w:val="00A45C46"/>
    <w:rsid w:val="00A5038D"/>
    <w:rsid w:val="00A5159D"/>
    <w:rsid w:val="00A525BE"/>
    <w:rsid w:val="00A54CBA"/>
    <w:rsid w:val="00A54D61"/>
    <w:rsid w:val="00A55AB3"/>
    <w:rsid w:val="00A5631E"/>
    <w:rsid w:val="00A564D8"/>
    <w:rsid w:val="00A56E98"/>
    <w:rsid w:val="00A571F5"/>
    <w:rsid w:val="00A572DF"/>
    <w:rsid w:val="00A5761E"/>
    <w:rsid w:val="00A57740"/>
    <w:rsid w:val="00A609EA"/>
    <w:rsid w:val="00A60D0D"/>
    <w:rsid w:val="00A60DFE"/>
    <w:rsid w:val="00A61740"/>
    <w:rsid w:val="00A62C63"/>
    <w:rsid w:val="00A63853"/>
    <w:rsid w:val="00A63CC8"/>
    <w:rsid w:val="00A63DE2"/>
    <w:rsid w:val="00A65697"/>
    <w:rsid w:val="00A67EFA"/>
    <w:rsid w:val="00A700E4"/>
    <w:rsid w:val="00A720A7"/>
    <w:rsid w:val="00A73744"/>
    <w:rsid w:val="00A737DC"/>
    <w:rsid w:val="00A74995"/>
    <w:rsid w:val="00A76FA9"/>
    <w:rsid w:val="00A773B3"/>
    <w:rsid w:val="00A77D67"/>
    <w:rsid w:val="00A804A9"/>
    <w:rsid w:val="00A811DD"/>
    <w:rsid w:val="00A81895"/>
    <w:rsid w:val="00A8260A"/>
    <w:rsid w:val="00A82E08"/>
    <w:rsid w:val="00A833A7"/>
    <w:rsid w:val="00A8425F"/>
    <w:rsid w:val="00A84C2A"/>
    <w:rsid w:val="00A85597"/>
    <w:rsid w:val="00A870EA"/>
    <w:rsid w:val="00A8799D"/>
    <w:rsid w:val="00A911B9"/>
    <w:rsid w:val="00A92174"/>
    <w:rsid w:val="00A95199"/>
    <w:rsid w:val="00A9580A"/>
    <w:rsid w:val="00A95B0D"/>
    <w:rsid w:val="00A9698F"/>
    <w:rsid w:val="00AA03CB"/>
    <w:rsid w:val="00AA10D4"/>
    <w:rsid w:val="00AA133F"/>
    <w:rsid w:val="00AA39C5"/>
    <w:rsid w:val="00AA552D"/>
    <w:rsid w:val="00AA5952"/>
    <w:rsid w:val="00AA6CA3"/>
    <w:rsid w:val="00AB08A3"/>
    <w:rsid w:val="00AB0992"/>
    <w:rsid w:val="00AB157A"/>
    <w:rsid w:val="00AB178D"/>
    <w:rsid w:val="00AB1B5F"/>
    <w:rsid w:val="00AB2551"/>
    <w:rsid w:val="00AB3C28"/>
    <w:rsid w:val="00AB5215"/>
    <w:rsid w:val="00AB5532"/>
    <w:rsid w:val="00AB5F7B"/>
    <w:rsid w:val="00AB61CF"/>
    <w:rsid w:val="00AB6600"/>
    <w:rsid w:val="00AB79D3"/>
    <w:rsid w:val="00AC059E"/>
    <w:rsid w:val="00AC146F"/>
    <w:rsid w:val="00AC14C9"/>
    <w:rsid w:val="00AC2C50"/>
    <w:rsid w:val="00AC2EBD"/>
    <w:rsid w:val="00AC3456"/>
    <w:rsid w:val="00AC3599"/>
    <w:rsid w:val="00AC5F5F"/>
    <w:rsid w:val="00AC6943"/>
    <w:rsid w:val="00AC6B26"/>
    <w:rsid w:val="00AD01FF"/>
    <w:rsid w:val="00AD059D"/>
    <w:rsid w:val="00AD1919"/>
    <w:rsid w:val="00AD3312"/>
    <w:rsid w:val="00AD3663"/>
    <w:rsid w:val="00AD5DBE"/>
    <w:rsid w:val="00AD62E7"/>
    <w:rsid w:val="00AD6D5B"/>
    <w:rsid w:val="00AD73F1"/>
    <w:rsid w:val="00AD7F7C"/>
    <w:rsid w:val="00AE099D"/>
    <w:rsid w:val="00AE103E"/>
    <w:rsid w:val="00AE1BBA"/>
    <w:rsid w:val="00AE273E"/>
    <w:rsid w:val="00AE2F22"/>
    <w:rsid w:val="00AE33E8"/>
    <w:rsid w:val="00AE40E3"/>
    <w:rsid w:val="00AE4243"/>
    <w:rsid w:val="00AE5432"/>
    <w:rsid w:val="00AE5E29"/>
    <w:rsid w:val="00AE6A80"/>
    <w:rsid w:val="00AE7C86"/>
    <w:rsid w:val="00AF0463"/>
    <w:rsid w:val="00AF28D3"/>
    <w:rsid w:val="00AF6A4E"/>
    <w:rsid w:val="00AF7327"/>
    <w:rsid w:val="00B0195E"/>
    <w:rsid w:val="00B0301C"/>
    <w:rsid w:val="00B0430C"/>
    <w:rsid w:val="00B04F10"/>
    <w:rsid w:val="00B0504E"/>
    <w:rsid w:val="00B0550D"/>
    <w:rsid w:val="00B06CBB"/>
    <w:rsid w:val="00B06DCD"/>
    <w:rsid w:val="00B06DD3"/>
    <w:rsid w:val="00B10570"/>
    <w:rsid w:val="00B10854"/>
    <w:rsid w:val="00B12C22"/>
    <w:rsid w:val="00B13018"/>
    <w:rsid w:val="00B13041"/>
    <w:rsid w:val="00B13431"/>
    <w:rsid w:val="00B13EBD"/>
    <w:rsid w:val="00B16E1C"/>
    <w:rsid w:val="00B17782"/>
    <w:rsid w:val="00B178F0"/>
    <w:rsid w:val="00B20998"/>
    <w:rsid w:val="00B20ED2"/>
    <w:rsid w:val="00B21252"/>
    <w:rsid w:val="00B2479A"/>
    <w:rsid w:val="00B24A99"/>
    <w:rsid w:val="00B24AAF"/>
    <w:rsid w:val="00B25158"/>
    <w:rsid w:val="00B30926"/>
    <w:rsid w:val="00B32E5C"/>
    <w:rsid w:val="00B33739"/>
    <w:rsid w:val="00B33E2E"/>
    <w:rsid w:val="00B33F80"/>
    <w:rsid w:val="00B3424C"/>
    <w:rsid w:val="00B36B12"/>
    <w:rsid w:val="00B412AB"/>
    <w:rsid w:val="00B44053"/>
    <w:rsid w:val="00B50030"/>
    <w:rsid w:val="00B51750"/>
    <w:rsid w:val="00B53112"/>
    <w:rsid w:val="00B54456"/>
    <w:rsid w:val="00B57A80"/>
    <w:rsid w:val="00B60040"/>
    <w:rsid w:val="00B601AE"/>
    <w:rsid w:val="00B608D0"/>
    <w:rsid w:val="00B60FAA"/>
    <w:rsid w:val="00B61D82"/>
    <w:rsid w:val="00B632B8"/>
    <w:rsid w:val="00B63698"/>
    <w:rsid w:val="00B63DBA"/>
    <w:rsid w:val="00B640A8"/>
    <w:rsid w:val="00B64A40"/>
    <w:rsid w:val="00B65530"/>
    <w:rsid w:val="00B65C8C"/>
    <w:rsid w:val="00B67979"/>
    <w:rsid w:val="00B67E9C"/>
    <w:rsid w:val="00B725D3"/>
    <w:rsid w:val="00B72C62"/>
    <w:rsid w:val="00B762C3"/>
    <w:rsid w:val="00B77AA6"/>
    <w:rsid w:val="00B810D1"/>
    <w:rsid w:val="00B82BB6"/>
    <w:rsid w:val="00B82BF5"/>
    <w:rsid w:val="00B83768"/>
    <w:rsid w:val="00B84388"/>
    <w:rsid w:val="00B85564"/>
    <w:rsid w:val="00B85B03"/>
    <w:rsid w:val="00B85CAA"/>
    <w:rsid w:val="00B86B40"/>
    <w:rsid w:val="00B86EA1"/>
    <w:rsid w:val="00B872C9"/>
    <w:rsid w:val="00B87495"/>
    <w:rsid w:val="00B903C2"/>
    <w:rsid w:val="00B90C90"/>
    <w:rsid w:val="00B92739"/>
    <w:rsid w:val="00B94C57"/>
    <w:rsid w:val="00B9547B"/>
    <w:rsid w:val="00B9629D"/>
    <w:rsid w:val="00B97396"/>
    <w:rsid w:val="00B97954"/>
    <w:rsid w:val="00BA149F"/>
    <w:rsid w:val="00BA2B83"/>
    <w:rsid w:val="00BA5099"/>
    <w:rsid w:val="00BA5445"/>
    <w:rsid w:val="00BA626D"/>
    <w:rsid w:val="00BA7DFC"/>
    <w:rsid w:val="00BB0909"/>
    <w:rsid w:val="00BB154A"/>
    <w:rsid w:val="00BB181E"/>
    <w:rsid w:val="00BB1C67"/>
    <w:rsid w:val="00BB221C"/>
    <w:rsid w:val="00BB2548"/>
    <w:rsid w:val="00BB28B0"/>
    <w:rsid w:val="00BB38C9"/>
    <w:rsid w:val="00BB4C47"/>
    <w:rsid w:val="00BB69B5"/>
    <w:rsid w:val="00BB6BBD"/>
    <w:rsid w:val="00BB6CBF"/>
    <w:rsid w:val="00BC117D"/>
    <w:rsid w:val="00BC38EB"/>
    <w:rsid w:val="00BC41EC"/>
    <w:rsid w:val="00BC4BC7"/>
    <w:rsid w:val="00BC4CA0"/>
    <w:rsid w:val="00BC513F"/>
    <w:rsid w:val="00BC5F4E"/>
    <w:rsid w:val="00BC6048"/>
    <w:rsid w:val="00BD05F9"/>
    <w:rsid w:val="00BD0D76"/>
    <w:rsid w:val="00BD2C72"/>
    <w:rsid w:val="00BD3AC4"/>
    <w:rsid w:val="00BD4C2B"/>
    <w:rsid w:val="00BD4F44"/>
    <w:rsid w:val="00BD533D"/>
    <w:rsid w:val="00BD5CD0"/>
    <w:rsid w:val="00BD5EAE"/>
    <w:rsid w:val="00BD68B7"/>
    <w:rsid w:val="00BD6B8E"/>
    <w:rsid w:val="00BE161D"/>
    <w:rsid w:val="00BE19AA"/>
    <w:rsid w:val="00BE1D2D"/>
    <w:rsid w:val="00BE3710"/>
    <w:rsid w:val="00BE4890"/>
    <w:rsid w:val="00BE4B80"/>
    <w:rsid w:val="00BE63CA"/>
    <w:rsid w:val="00BE675D"/>
    <w:rsid w:val="00BE6A48"/>
    <w:rsid w:val="00BE6C64"/>
    <w:rsid w:val="00BE7D7F"/>
    <w:rsid w:val="00BE7FF9"/>
    <w:rsid w:val="00BF004B"/>
    <w:rsid w:val="00BF0F14"/>
    <w:rsid w:val="00BF14DA"/>
    <w:rsid w:val="00BF2A14"/>
    <w:rsid w:val="00BF36DB"/>
    <w:rsid w:val="00BF3EA7"/>
    <w:rsid w:val="00BF5202"/>
    <w:rsid w:val="00BF5CF2"/>
    <w:rsid w:val="00BF6B8A"/>
    <w:rsid w:val="00C0196D"/>
    <w:rsid w:val="00C02CB3"/>
    <w:rsid w:val="00C04843"/>
    <w:rsid w:val="00C04A6F"/>
    <w:rsid w:val="00C06498"/>
    <w:rsid w:val="00C06BAC"/>
    <w:rsid w:val="00C12622"/>
    <w:rsid w:val="00C14130"/>
    <w:rsid w:val="00C148EB"/>
    <w:rsid w:val="00C14ED6"/>
    <w:rsid w:val="00C1573E"/>
    <w:rsid w:val="00C16904"/>
    <w:rsid w:val="00C17208"/>
    <w:rsid w:val="00C20876"/>
    <w:rsid w:val="00C21893"/>
    <w:rsid w:val="00C21E8E"/>
    <w:rsid w:val="00C22629"/>
    <w:rsid w:val="00C226DD"/>
    <w:rsid w:val="00C23A19"/>
    <w:rsid w:val="00C25D68"/>
    <w:rsid w:val="00C26107"/>
    <w:rsid w:val="00C308D5"/>
    <w:rsid w:val="00C322D4"/>
    <w:rsid w:val="00C3261D"/>
    <w:rsid w:val="00C32C75"/>
    <w:rsid w:val="00C3321A"/>
    <w:rsid w:val="00C3354F"/>
    <w:rsid w:val="00C33C3D"/>
    <w:rsid w:val="00C34F94"/>
    <w:rsid w:val="00C34FD9"/>
    <w:rsid w:val="00C36AFD"/>
    <w:rsid w:val="00C36C61"/>
    <w:rsid w:val="00C36D7B"/>
    <w:rsid w:val="00C402D8"/>
    <w:rsid w:val="00C408CA"/>
    <w:rsid w:val="00C4182F"/>
    <w:rsid w:val="00C41875"/>
    <w:rsid w:val="00C41E45"/>
    <w:rsid w:val="00C42432"/>
    <w:rsid w:val="00C424F8"/>
    <w:rsid w:val="00C447FD"/>
    <w:rsid w:val="00C46337"/>
    <w:rsid w:val="00C47D8E"/>
    <w:rsid w:val="00C50144"/>
    <w:rsid w:val="00C511F4"/>
    <w:rsid w:val="00C51AF8"/>
    <w:rsid w:val="00C5578C"/>
    <w:rsid w:val="00C56476"/>
    <w:rsid w:val="00C57CB5"/>
    <w:rsid w:val="00C61BD7"/>
    <w:rsid w:val="00C621DE"/>
    <w:rsid w:val="00C621E4"/>
    <w:rsid w:val="00C641EC"/>
    <w:rsid w:val="00C644DA"/>
    <w:rsid w:val="00C65E0E"/>
    <w:rsid w:val="00C66A3F"/>
    <w:rsid w:val="00C66F68"/>
    <w:rsid w:val="00C677A2"/>
    <w:rsid w:val="00C70198"/>
    <w:rsid w:val="00C7045F"/>
    <w:rsid w:val="00C70F65"/>
    <w:rsid w:val="00C71E76"/>
    <w:rsid w:val="00C733DD"/>
    <w:rsid w:val="00C748FF"/>
    <w:rsid w:val="00C7525F"/>
    <w:rsid w:val="00C75D43"/>
    <w:rsid w:val="00C77529"/>
    <w:rsid w:val="00C80848"/>
    <w:rsid w:val="00C82F98"/>
    <w:rsid w:val="00C86480"/>
    <w:rsid w:val="00C87C11"/>
    <w:rsid w:val="00C90241"/>
    <w:rsid w:val="00C91369"/>
    <w:rsid w:val="00C928C3"/>
    <w:rsid w:val="00C92AFF"/>
    <w:rsid w:val="00C940A5"/>
    <w:rsid w:val="00C95B6D"/>
    <w:rsid w:val="00C97E30"/>
    <w:rsid w:val="00CA0D98"/>
    <w:rsid w:val="00CA1519"/>
    <w:rsid w:val="00CA2BD7"/>
    <w:rsid w:val="00CA40A7"/>
    <w:rsid w:val="00CA6356"/>
    <w:rsid w:val="00CB04E5"/>
    <w:rsid w:val="00CB0D10"/>
    <w:rsid w:val="00CB0F67"/>
    <w:rsid w:val="00CB1731"/>
    <w:rsid w:val="00CB1C65"/>
    <w:rsid w:val="00CB5C6A"/>
    <w:rsid w:val="00CB6386"/>
    <w:rsid w:val="00CB6785"/>
    <w:rsid w:val="00CB69DE"/>
    <w:rsid w:val="00CB7BB5"/>
    <w:rsid w:val="00CC044C"/>
    <w:rsid w:val="00CC0736"/>
    <w:rsid w:val="00CC086F"/>
    <w:rsid w:val="00CC09B5"/>
    <w:rsid w:val="00CC0AAE"/>
    <w:rsid w:val="00CC172B"/>
    <w:rsid w:val="00CC22A5"/>
    <w:rsid w:val="00CD0188"/>
    <w:rsid w:val="00CD109F"/>
    <w:rsid w:val="00CD1721"/>
    <w:rsid w:val="00CD32EA"/>
    <w:rsid w:val="00CD3DF4"/>
    <w:rsid w:val="00CD3E3D"/>
    <w:rsid w:val="00CD3E83"/>
    <w:rsid w:val="00CD3F0E"/>
    <w:rsid w:val="00CD4301"/>
    <w:rsid w:val="00CD5F0E"/>
    <w:rsid w:val="00CD6776"/>
    <w:rsid w:val="00CD7339"/>
    <w:rsid w:val="00CE0872"/>
    <w:rsid w:val="00CE0D5F"/>
    <w:rsid w:val="00CE2246"/>
    <w:rsid w:val="00CE6D18"/>
    <w:rsid w:val="00CF0337"/>
    <w:rsid w:val="00CF1461"/>
    <w:rsid w:val="00CF3AD2"/>
    <w:rsid w:val="00CF4ABB"/>
    <w:rsid w:val="00CF53AB"/>
    <w:rsid w:val="00CF58E2"/>
    <w:rsid w:val="00CF632C"/>
    <w:rsid w:val="00CF6A9E"/>
    <w:rsid w:val="00CF7F47"/>
    <w:rsid w:val="00D00AF0"/>
    <w:rsid w:val="00D00D4A"/>
    <w:rsid w:val="00D015BA"/>
    <w:rsid w:val="00D016F1"/>
    <w:rsid w:val="00D03D35"/>
    <w:rsid w:val="00D04C90"/>
    <w:rsid w:val="00D054E5"/>
    <w:rsid w:val="00D05695"/>
    <w:rsid w:val="00D07099"/>
    <w:rsid w:val="00D0753C"/>
    <w:rsid w:val="00D07FF4"/>
    <w:rsid w:val="00D1006D"/>
    <w:rsid w:val="00D10F61"/>
    <w:rsid w:val="00D129AD"/>
    <w:rsid w:val="00D12CF8"/>
    <w:rsid w:val="00D131EC"/>
    <w:rsid w:val="00D144E5"/>
    <w:rsid w:val="00D1457D"/>
    <w:rsid w:val="00D14656"/>
    <w:rsid w:val="00D148EA"/>
    <w:rsid w:val="00D149E2"/>
    <w:rsid w:val="00D14B5E"/>
    <w:rsid w:val="00D14C21"/>
    <w:rsid w:val="00D158AD"/>
    <w:rsid w:val="00D17ACD"/>
    <w:rsid w:val="00D17CBA"/>
    <w:rsid w:val="00D202A5"/>
    <w:rsid w:val="00D20DD8"/>
    <w:rsid w:val="00D2192C"/>
    <w:rsid w:val="00D227E2"/>
    <w:rsid w:val="00D260BD"/>
    <w:rsid w:val="00D26801"/>
    <w:rsid w:val="00D26C49"/>
    <w:rsid w:val="00D30409"/>
    <w:rsid w:val="00D31AC3"/>
    <w:rsid w:val="00D31FA3"/>
    <w:rsid w:val="00D32E7E"/>
    <w:rsid w:val="00D331AE"/>
    <w:rsid w:val="00D3385E"/>
    <w:rsid w:val="00D35535"/>
    <w:rsid w:val="00D36DE3"/>
    <w:rsid w:val="00D36DFB"/>
    <w:rsid w:val="00D40390"/>
    <w:rsid w:val="00D40FDE"/>
    <w:rsid w:val="00D42A87"/>
    <w:rsid w:val="00D441F2"/>
    <w:rsid w:val="00D44FE8"/>
    <w:rsid w:val="00D45A86"/>
    <w:rsid w:val="00D46BA8"/>
    <w:rsid w:val="00D46E24"/>
    <w:rsid w:val="00D470D5"/>
    <w:rsid w:val="00D4727A"/>
    <w:rsid w:val="00D5042C"/>
    <w:rsid w:val="00D50973"/>
    <w:rsid w:val="00D50AB7"/>
    <w:rsid w:val="00D51830"/>
    <w:rsid w:val="00D51869"/>
    <w:rsid w:val="00D51E50"/>
    <w:rsid w:val="00D51E89"/>
    <w:rsid w:val="00D55F95"/>
    <w:rsid w:val="00D567CC"/>
    <w:rsid w:val="00D56DBD"/>
    <w:rsid w:val="00D571E7"/>
    <w:rsid w:val="00D575AD"/>
    <w:rsid w:val="00D57CF8"/>
    <w:rsid w:val="00D57D28"/>
    <w:rsid w:val="00D62078"/>
    <w:rsid w:val="00D6305D"/>
    <w:rsid w:val="00D63504"/>
    <w:rsid w:val="00D639CC"/>
    <w:rsid w:val="00D6439B"/>
    <w:rsid w:val="00D65056"/>
    <w:rsid w:val="00D65193"/>
    <w:rsid w:val="00D65C8A"/>
    <w:rsid w:val="00D66B0D"/>
    <w:rsid w:val="00D67791"/>
    <w:rsid w:val="00D67C60"/>
    <w:rsid w:val="00D70702"/>
    <w:rsid w:val="00D710AE"/>
    <w:rsid w:val="00D73274"/>
    <w:rsid w:val="00D743CB"/>
    <w:rsid w:val="00D74EE8"/>
    <w:rsid w:val="00D776B4"/>
    <w:rsid w:val="00D77814"/>
    <w:rsid w:val="00D7785B"/>
    <w:rsid w:val="00D80A4E"/>
    <w:rsid w:val="00D816D8"/>
    <w:rsid w:val="00D821BD"/>
    <w:rsid w:val="00D82E43"/>
    <w:rsid w:val="00D854A1"/>
    <w:rsid w:val="00D8556E"/>
    <w:rsid w:val="00D87B1E"/>
    <w:rsid w:val="00D905B3"/>
    <w:rsid w:val="00D90D40"/>
    <w:rsid w:val="00D95368"/>
    <w:rsid w:val="00D95C43"/>
    <w:rsid w:val="00D96456"/>
    <w:rsid w:val="00D97EF3"/>
    <w:rsid w:val="00DA0638"/>
    <w:rsid w:val="00DA0B9C"/>
    <w:rsid w:val="00DA1B86"/>
    <w:rsid w:val="00DA206D"/>
    <w:rsid w:val="00DA24F8"/>
    <w:rsid w:val="00DA278F"/>
    <w:rsid w:val="00DA4658"/>
    <w:rsid w:val="00DA512E"/>
    <w:rsid w:val="00DA5D0E"/>
    <w:rsid w:val="00DA62B0"/>
    <w:rsid w:val="00DA70BB"/>
    <w:rsid w:val="00DA74FD"/>
    <w:rsid w:val="00DA7823"/>
    <w:rsid w:val="00DA790F"/>
    <w:rsid w:val="00DB0ADB"/>
    <w:rsid w:val="00DB131B"/>
    <w:rsid w:val="00DB26D2"/>
    <w:rsid w:val="00DB3A38"/>
    <w:rsid w:val="00DB3B30"/>
    <w:rsid w:val="00DB44C8"/>
    <w:rsid w:val="00DB726D"/>
    <w:rsid w:val="00DC09D5"/>
    <w:rsid w:val="00DC0D9E"/>
    <w:rsid w:val="00DC2ED2"/>
    <w:rsid w:val="00DC3370"/>
    <w:rsid w:val="00DC390B"/>
    <w:rsid w:val="00DC52A5"/>
    <w:rsid w:val="00DC63A2"/>
    <w:rsid w:val="00DC7D2A"/>
    <w:rsid w:val="00DD13F6"/>
    <w:rsid w:val="00DD1AB6"/>
    <w:rsid w:val="00DD2A47"/>
    <w:rsid w:val="00DD2AD5"/>
    <w:rsid w:val="00DD3897"/>
    <w:rsid w:val="00DD43A0"/>
    <w:rsid w:val="00DD4BDD"/>
    <w:rsid w:val="00DD50AA"/>
    <w:rsid w:val="00DD66D6"/>
    <w:rsid w:val="00DD743A"/>
    <w:rsid w:val="00DE175B"/>
    <w:rsid w:val="00DE1B89"/>
    <w:rsid w:val="00DE203D"/>
    <w:rsid w:val="00DE2D7D"/>
    <w:rsid w:val="00DE3A25"/>
    <w:rsid w:val="00DE3F1D"/>
    <w:rsid w:val="00DE4FFB"/>
    <w:rsid w:val="00DE51AD"/>
    <w:rsid w:val="00DE51D1"/>
    <w:rsid w:val="00DE6730"/>
    <w:rsid w:val="00DE7108"/>
    <w:rsid w:val="00DF1E4F"/>
    <w:rsid w:val="00DF2B17"/>
    <w:rsid w:val="00DF3047"/>
    <w:rsid w:val="00DF3966"/>
    <w:rsid w:val="00DF4878"/>
    <w:rsid w:val="00DF5A4F"/>
    <w:rsid w:val="00E01ABA"/>
    <w:rsid w:val="00E037B6"/>
    <w:rsid w:val="00E064D5"/>
    <w:rsid w:val="00E0691B"/>
    <w:rsid w:val="00E07383"/>
    <w:rsid w:val="00E11AF4"/>
    <w:rsid w:val="00E11F57"/>
    <w:rsid w:val="00E14AA5"/>
    <w:rsid w:val="00E171EA"/>
    <w:rsid w:val="00E17CB2"/>
    <w:rsid w:val="00E20671"/>
    <w:rsid w:val="00E209C5"/>
    <w:rsid w:val="00E20D0A"/>
    <w:rsid w:val="00E21878"/>
    <w:rsid w:val="00E22B28"/>
    <w:rsid w:val="00E23B2D"/>
    <w:rsid w:val="00E24135"/>
    <w:rsid w:val="00E241CB"/>
    <w:rsid w:val="00E24B42"/>
    <w:rsid w:val="00E25F91"/>
    <w:rsid w:val="00E26581"/>
    <w:rsid w:val="00E305A4"/>
    <w:rsid w:val="00E30F65"/>
    <w:rsid w:val="00E32B70"/>
    <w:rsid w:val="00E3395C"/>
    <w:rsid w:val="00E33ACC"/>
    <w:rsid w:val="00E341ED"/>
    <w:rsid w:val="00E353E4"/>
    <w:rsid w:val="00E35BE5"/>
    <w:rsid w:val="00E35CD0"/>
    <w:rsid w:val="00E35CDE"/>
    <w:rsid w:val="00E35FAE"/>
    <w:rsid w:val="00E41E16"/>
    <w:rsid w:val="00E429E3"/>
    <w:rsid w:val="00E42EDE"/>
    <w:rsid w:val="00E45414"/>
    <w:rsid w:val="00E46306"/>
    <w:rsid w:val="00E46A1B"/>
    <w:rsid w:val="00E46A65"/>
    <w:rsid w:val="00E479EA"/>
    <w:rsid w:val="00E47D20"/>
    <w:rsid w:val="00E50B61"/>
    <w:rsid w:val="00E535AF"/>
    <w:rsid w:val="00E54C8C"/>
    <w:rsid w:val="00E551E2"/>
    <w:rsid w:val="00E55A5B"/>
    <w:rsid w:val="00E60C2A"/>
    <w:rsid w:val="00E616B7"/>
    <w:rsid w:val="00E63A35"/>
    <w:rsid w:val="00E63E28"/>
    <w:rsid w:val="00E6419A"/>
    <w:rsid w:val="00E6441D"/>
    <w:rsid w:val="00E6614A"/>
    <w:rsid w:val="00E67C50"/>
    <w:rsid w:val="00E708F2"/>
    <w:rsid w:val="00E70EA9"/>
    <w:rsid w:val="00E71688"/>
    <w:rsid w:val="00E7178B"/>
    <w:rsid w:val="00E71E19"/>
    <w:rsid w:val="00E734A1"/>
    <w:rsid w:val="00E7378B"/>
    <w:rsid w:val="00E739E6"/>
    <w:rsid w:val="00E74523"/>
    <w:rsid w:val="00E74B02"/>
    <w:rsid w:val="00E75D20"/>
    <w:rsid w:val="00E80474"/>
    <w:rsid w:val="00E81B01"/>
    <w:rsid w:val="00E82C60"/>
    <w:rsid w:val="00E835E4"/>
    <w:rsid w:val="00E8468D"/>
    <w:rsid w:val="00E84D15"/>
    <w:rsid w:val="00E86FED"/>
    <w:rsid w:val="00E87020"/>
    <w:rsid w:val="00E870F2"/>
    <w:rsid w:val="00E91591"/>
    <w:rsid w:val="00E9224D"/>
    <w:rsid w:val="00E92AAD"/>
    <w:rsid w:val="00E93AC9"/>
    <w:rsid w:val="00E93C3D"/>
    <w:rsid w:val="00E94FD6"/>
    <w:rsid w:val="00E96975"/>
    <w:rsid w:val="00E96C0D"/>
    <w:rsid w:val="00E978C2"/>
    <w:rsid w:val="00EA02D2"/>
    <w:rsid w:val="00EA4E7B"/>
    <w:rsid w:val="00EA7338"/>
    <w:rsid w:val="00EA78A7"/>
    <w:rsid w:val="00EA7A5F"/>
    <w:rsid w:val="00EB0EEE"/>
    <w:rsid w:val="00EB11FF"/>
    <w:rsid w:val="00EB37E7"/>
    <w:rsid w:val="00EB3B65"/>
    <w:rsid w:val="00EB44C5"/>
    <w:rsid w:val="00EB4752"/>
    <w:rsid w:val="00EB5CF6"/>
    <w:rsid w:val="00EB6034"/>
    <w:rsid w:val="00EB6728"/>
    <w:rsid w:val="00EB6931"/>
    <w:rsid w:val="00EC1AC4"/>
    <w:rsid w:val="00EC31A2"/>
    <w:rsid w:val="00EC48B8"/>
    <w:rsid w:val="00EC4A21"/>
    <w:rsid w:val="00EC5F4E"/>
    <w:rsid w:val="00EC6649"/>
    <w:rsid w:val="00ED1428"/>
    <w:rsid w:val="00ED1F4A"/>
    <w:rsid w:val="00ED2B16"/>
    <w:rsid w:val="00ED3FBB"/>
    <w:rsid w:val="00ED4208"/>
    <w:rsid w:val="00ED4C81"/>
    <w:rsid w:val="00ED51FD"/>
    <w:rsid w:val="00ED5DDD"/>
    <w:rsid w:val="00ED7138"/>
    <w:rsid w:val="00ED748B"/>
    <w:rsid w:val="00ED769D"/>
    <w:rsid w:val="00EE056E"/>
    <w:rsid w:val="00EE1487"/>
    <w:rsid w:val="00EE466B"/>
    <w:rsid w:val="00EE4EB9"/>
    <w:rsid w:val="00EE534F"/>
    <w:rsid w:val="00EE5F0E"/>
    <w:rsid w:val="00EF10C1"/>
    <w:rsid w:val="00EF2918"/>
    <w:rsid w:val="00EF3C89"/>
    <w:rsid w:val="00EF4E10"/>
    <w:rsid w:val="00EF62A7"/>
    <w:rsid w:val="00EF7161"/>
    <w:rsid w:val="00EF7599"/>
    <w:rsid w:val="00F02430"/>
    <w:rsid w:val="00F02B3B"/>
    <w:rsid w:val="00F0321E"/>
    <w:rsid w:val="00F045CA"/>
    <w:rsid w:val="00F04B96"/>
    <w:rsid w:val="00F07D91"/>
    <w:rsid w:val="00F100C0"/>
    <w:rsid w:val="00F10508"/>
    <w:rsid w:val="00F11443"/>
    <w:rsid w:val="00F1209A"/>
    <w:rsid w:val="00F12C35"/>
    <w:rsid w:val="00F15BC9"/>
    <w:rsid w:val="00F20770"/>
    <w:rsid w:val="00F21B68"/>
    <w:rsid w:val="00F222F0"/>
    <w:rsid w:val="00F22D84"/>
    <w:rsid w:val="00F23871"/>
    <w:rsid w:val="00F26EA7"/>
    <w:rsid w:val="00F27558"/>
    <w:rsid w:val="00F277D6"/>
    <w:rsid w:val="00F27CF1"/>
    <w:rsid w:val="00F30FA1"/>
    <w:rsid w:val="00F31BB4"/>
    <w:rsid w:val="00F320C7"/>
    <w:rsid w:val="00F32B8A"/>
    <w:rsid w:val="00F3396F"/>
    <w:rsid w:val="00F3703E"/>
    <w:rsid w:val="00F37DDE"/>
    <w:rsid w:val="00F40218"/>
    <w:rsid w:val="00F40A5F"/>
    <w:rsid w:val="00F42763"/>
    <w:rsid w:val="00F42B39"/>
    <w:rsid w:val="00F42D3A"/>
    <w:rsid w:val="00F43BE3"/>
    <w:rsid w:val="00F45B13"/>
    <w:rsid w:val="00F46F38"/>
    <w:rsid w:val="00F475D0"/>
    <w:rsid w:val="00F537B4"/>
    <w:rsid w:val="00F53E7B"/>
    <w:rsid w:val="00F5448C"/>
    <w:rsid w:val="00F54B48"/>
    <w:rsid w:val="00F54CF1"/>
    <w:rsid w:val="00F54F98"/>
    <w:rsid w:val="00F55992"/>
    <w:rsid w:val="00F6182E"/>
    <w:rsid w:val="00F61836"/>
    <w:rsid w:val="00F6231E"/>
    <w:rsid w:val="00F6334E"/>
    <w:rsid w:val="00F63798"/>
    <w:rsid w:val="00F63BDC"/>
    <w:rsid w:val="00F64185"/>
    <w:rsid w:val="00F64D75"/>
    <w:rsid w:val="00F655D0"/>
    <w:rsid w:val="00F659E3"/>
    <w:rsid w:val="00F66088"/>
    <w:rsid w:val="00F6639E"/>
    <w:rsid w:val="00F701CE"/>
    <w:rsid w:val="00F71D69"/>
    <w:rsid w:val="00F720F8"/>
    <w:rsid w:val="00F72670"/>
    <w:rsid w:val="00F72F65"/>
    <w:rsid w:val="00F7411A"/>
    <w:rsid w:val="00F74DE6"/>
    <w:rsid w:val="00F74F65"/>
    <w:rsid w:val="00F75D24"/>
    <w:rsid w:val="00F76610"/>
    <w:rsid w:val="00F76CFC"/>
    <w:rsid w:val="00F7734E"/>
    <w:rsid w:val="00F776D8"/>
    <w:rsid w:val="00F7771D"/>
    <w:rsid w:val="00F81006"/>
    <w:rsid w:val="00F82331"/>
    <w:rsid w:val="00F85B10"/>
    <w:rsid w:val="00F87968"/>
    <w:rsid w:val="00F87D25"/>
    <w:rsid w:val="00F9083C"/>
    <w:rsid w:val="00F90897"/>
    <w:rsid w:val="00F91074"/>
    <w:rsid w:val="00F925FD"/>
    <w:rsid w:val="00F92B40"/>
    <w:rsid w:val="00F9737E"/>
    <w:rsid w:val="00F97612"/>
    <w:rsid w:val="00F977F1"/>
    <w:rsid w:val="00FA01D5"/>
    <w:rsid w:val="00FA0296"/>
    <w:rsid w:val="00FA3827"/>
    <w:rsid w:val="00FA3A09"/>
    <w:rsid w:val="00FB118C"/>
    <w:rsid w:val="00FB281C"/>
    <w:rsid w:val="00FB2C9D"/>
    <w:rsid w:val="00FB2DB9"/>
    <w:rsid w:val="00FB378E"/>
    <w:rsid w:val="00FB5589"/>
    <w:rsid w:val="00FC0ECF"/>
    <w:rsid w:val="00FC10E0"/>
    <w:rsid w:val="00FC1E94"/>
    <w:rsid w:val="00FC3C6B"/>
    <w:rsid w:val="00FC6175"/>
    <w:rsid w:val="00FD0C09"/>
    <w:rsid w:val="00FD1460"/>
    <w:rsid w:val="00FD17DC"/>
    <w:rsid w:val="00FD1FAC"/>
    <w:rsid w:val="00FD2BC9"/>
    <w:rsid w:val="00FD4BA1"/>
    <w:rsid w:val="00FD5568"/>
    <w:rsid w:val="00FD634C"/>
    <w:rsid w:val="00FD7875"/>
    <w:rsid w:val="00FD7D51"/>
    <w:rsid w:val="00FE1086"/>
    <w:rsid w:val="00FE369B"/>
    <w:rsid w:val="00FE3B79"/>
    <w:rsid w:val="00FE7AB1"/>
    <w:rsid w:val="00FF1F41"/>
    <w:rsid w:val="00FF2E89"/>
    <w:rsid w:val="00FF2FFC"/>
    <w:rsid w:val="00FF3277"/>
    <w:rsid w:val="00FF41F4"/>
    <w:rsid w:val="00FF44D5"/>
    <w:rsid w:val="00FF4834"/>
    <w:rsid w:val="00FF4868"/>
    <w:rsid w:val="00FF5A98"/>
    <w:rsid w:val="00FF5FE4"/>
    <w:rsid w:val="00FF7113"/>
    <w:rsid w:val="00FF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0B0AA705"/>
  <w15:docId w15:val="{C1BD4242-E596-4604-8E6E-5D373214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390"/>
  </w:style>
  <w:style w:type="paragraph" w:styleId="Heading1">
    <w:name w:val="heading 1"/>
    <w:aliases w:val="Section Header"/>
    <w:basedOn w:val="Normal"/>
    <w:next w:val="Normal"/>
    <w:link w:val="Heading1Char"/>
    <w:uiPriority w:val="9"/>
    <w:qFormat/>
    <w:rsid w:val="005C74B0"/>
    <w:pPr>
      <w:numPr>
        <w:numId w:val="5"/>
      </w:numPr>
      <w:spacing w:line="480" w:lineRule="auto"/>
      <w:ind w:left="0" w:firstLine="0"/>
      <w:jc w:val="center"/>
      <w:outlineLvl w:val="0"/>
    </w:pPr>
    <w:rPr>
      <w:rFonts w:eastAsia="Times New Roman"/>
      <w:b/>
    </w:rPr>
  </w:style>
  <w:style w:type="paragraph" w:styleId="Heading2">
    <w:name w:val="heading 2"/>
    <w:basedOn w:val="Normal"/>
    <w:next w:val="Normal"/>
    <w:link w:val="Heading2Char"/>
    <w:uiPriority w:val="9"/>
    <w:unhideWhenUsed/>
    <w:qFormat/>
    <w:rsid w:val="00513F2D"/>
    <w:pPr>
      <w:spacing w:line="480" w:lineRule="auto"/>
      <w:ind w:left="720" w:hanging="360"/>
      <w:outlineLvl w:val="1"/>
    </w:pPr>
    <w:rPr>
      <w:rFonts w:eastAsia="Times New Roman"/>
      <w:b/>
    </w:rPr>
  </w:style>
  <w:style w:type="paragraph" w:styleId="Heading3">
    <w:name w:val="heading 3"/>
    <w:basedOn w:val="Heading1"/>
    <w:next w:val="Normal"/>
    <w:link w:val="Heading3Char"/>
    <w:uiPriority w:val="9"/>
    <w:unhideWhenUsed/>
    <w:rsid w:val="00C36D7B"/>
    <w:pPr>
      <w:keepNext/>
      <w:keepLines/>
      <w:numPr>
        <w:numId w:val="17"/>
      </w:numPr>
      <w:spacing w:before="40"/>
      <w:ind w:left="1080"/>
      <w:jc w:val="left"/>
      <w:outlineLvl w:val="2"/>
    </w:pPr>
    <w:rPr>
      <w:rFonts w:eastAsiaTheme="majorEastAsia" w:cstheme="majorBidi"/>
    </w:rPr>
  </w:style>
  <w:style w:type="paragraph" w:styleId="Heading4">
    <w:name w:val="heading 4"/>
    <w:basedOn w:val="Normal"/>
    <w:next w:val="Normal"/>
    <w:link w:val="Heading4Char"/>
    <w:uiPriority w:val="9"/>
    <w:unhideWhenUsed/>
    <w:rsid w:val="006547C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unhideWhenUsed/>
    <w:qFormat/>
    <w:rsid w:val="0054068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Question"/>
    <w:basedOn w:val="Heading2"/>
    <w:next w:val="Normal"/>
    <w:link w:val="Heading8Char"/>
    <w:uiPriority w:val="9"/>
    <w:unhideWhenUsed/>
    <w:qFormat/>
    <w:rsid w:val="008F38DE"/>
    <w:pPr>
      <w:ind w:hanging="720"/>
      <w:outlineLvl w:val="7"/>
    </w:pPr>
  </w:style>
  <w:style w:type="paragraph" w:styleId="Heading9">
    <w:name w:val="heading 9"/>
    <w:basedOn w:val="Normal"/>
    <w:next w:val="Normal"/>
    <w:link w:val="Heading9Char"/>
    <w:uiPriority w:val="9"/>
    <w:unhideWhenUsed/>
    <w:qFormat/>
    <w:rsid w:val="0054068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er Char"/>
    <w:basedOn w:val="DefaultParagraphFont"/>
    <w:link w:val="Heading1"/>
    <w:uiPriority w:val="9"/>
    <w:rsid w:val="005C74B0"/>
    <w:rPr>
      <w:rFonts w:eastAsia="Times New Roman"/>
      <w:b/>
    </w:rPr>
  </w:style>
  <w:style w:type="paragraph" w:styleId="Footer">
    <w:name w:val="footer"/>
    <w:basedOn w:val="Normal"/>
    <w:link w:val="FooterChar"/>
    <w:uiPriority w:val="99"/>
    <w:unhideWhenUsed/>
    <w:rsid w:val="004026AD"/>
    <w:pPr>
      <w:tabs>
        <w:tab w:val="center" w:pos="4680"/>
        <w:tab w:val="right" w:pos="9360"/>
      </w:tabs>
    </w:pPr>
  </w:style>
  <w:style w:type="character" w:customStyle="1" w:styleId="FooterChar">
    <w:name w:val="Footer Char"/>
    <w:basedOn w:val="DefaultParagraphFont"/>
    <w:link w:val="Footer"/>
    <w:uiPriority w:val="99"/>
    <w:rsid w:val="004026AD"/>
  </w:style>
  <w:style w:type="character" w:styleId="PageNumber">
    <w:name w:val="page number"/>
    <w:basedOn w:val="DefaultParagraphFont"/>
    <w:uiPriority w:val="99"/>
    <w:rsid w:val="004026AD"/>
    <w:rPr>
      <w:rFonts w:cs="Times New Roman"/>
    </w:rPr>
  </w:style>
  <w:style w:type="character" w:styleId="LineNumber">
    <w:name w:val="line number"/>
    <w:basedOn w:val="DefaultParagraphFont"/>
    <w:uiPriority w:val="99"/>
    <w:semiHidden/>
    <w:unhideWhenUsed/>
    <w:rsid w:val="000E0390"/>
    <w:rPr>
      <w:rFonts w:ascii="Times New Roman" w:hAnsi="Times New Roman"/>
      <w:sz w:val="24"/>
    </w:rPr>
  </w:style>
  <w:style w:type="paragraph" w:styleId="Header">
    <w:name w:val="header"/>
    <w:basedOn w:val="Normal"/>
    <w:link w:val="HeaderChar"/>
    <w:unhideWhenUsed/>
    <w:rsid w:val="00CC09B5"/>
    <w:pPr>
      <w:tabs>
        <w:tab w:val="center" w:pos="4680"/>
        <w:tab w:val="right" w:pos="9360"/>
      </w:tabs>
    </w:pPr>
  </w:style>
  <w:style w:type="character" w:customStyle="1" w:styleId="HeaderChar">
    <w:name w:val="Header Char"/>
    <w:basedOn w:val="DefaultParagraphFont"/>
    <w:link w:val="Header"/>
    <w:uiPriority w:val="99"/>
    <w:rsid w:val="00CC09B5"/>
  </w:style>
  <w:style w:type="paragraph" w:styleId="NoSpacing">
    <w:name w:val="No Spacing"/>
    <w:aliases w:val="Answer"/>
    <w:basedOn w:val="Normal"/>
    <w:uiPriority w:val="1"/>
    <w:qFormat/>
    <w:rsid w:val="00713027"/>
    <w:pPr>
      <w:spacing w:line="480" w:lineRule="auto"/>
      <w:ind w:left="720" w:hanging="720"/>
    </w:pPr>
    <w:rPr>
      <w:rFonts w:eastAsia="Times New Roman"/>
    </w:rPr>
  </w:style>
  <w:style w:type="character" w:customStyle="1" w:styleId="Heading2Char">
    <w:name w:val="Heading 2 Char"/>
    <w:basedOn w:val="DefaultParagraphFont"/>
    <w:link w:val="Heading2"/>
    <w:uiPriority w:val="9"/>
    <w:rsid w:val="00513F2D"/>
    <w:rPr>
      <w:rFonts w:eastAsia="Times New Roman"/>
      <w:b/>
    </w:rPr>
  </w:style>
  <w:style w:type="paragraph" w:styleId="ListParagraph">
    <w:name w:val="List Paragraph"/>
    <w:basedOn w:val="Normal"/>
    <w:uiPriority w:val="34"/>
    <w:qFormat/>
    <w:rsid w:val="00473BD6"/>
    <w:pPr>
      <w:ind w:left="720"/>
      <w:contextualSpacing/>
    </w:pPr>
  </w:style>
  <w:style w:type="character" w:styleId="Hyperlink">
    <w:name w:val="Hyperlink"/>
    <w:basedOn w:val="DefaultParagraphFont"/>
    <w:uiPriority w:val="99"/>
    <w:unhideWhenUsed/>
    <w:rsid w:val="00305402"/>
    <w:rPr>
      <w:color w:val="0000FF" w:themeColor="hyperlink"/>
      <w:u w:val="single"/>
    </w:rPr>
  </w:style>
  <w:style w:type="character" w:styleId="CommentReference">
    <w:name w:val="annotation reference"/>
    <w:basedOn w:val="DefaultParagraphFont"/>
    <w:uiPriority w:val="99"/>
    <w:semiHidden/>
    <w:unhideWhenUsed/>
    <w:rsid w:val="00D32E7E"/>
    <w:rPr>
      <w:sz w:val="16"/>
      <w:szCs w:val="16"/>
    </w:rPr>
  </w:style>
  <w:style w:type="paragraph" w:styleId="CommentText">
    <w:name w:val="annotation text"/>
    <w:basedOn w:val="Normal"/>
    <w:link w:val="CommentTextChar"/>
    <w:uiPriority w:val="99"/>
    <w:semiHidden/>
    <w:unhideWhenUsed/>
    <w:rsid w:val="00D32E7E"/>
    <w:rPr>
      <w:sz w:val="20"/>
      <w:szCs w:val="20"/>
    </w:rPr>
  </w:style>
  <w:style w:type="character" w:customStyle="1" w:styleId="CommentTextChar">
    <w:name w:val="Comment Text Char"/>
    <w:basedOn w:val="DefaultParagraphFont"/>
    <w:link w:val="CommentText"/>
    <w:uiPriority w:val="99"/>
    <w:semiHidden/>
    <w:rsid w:val="00D32E7E"/>
    <w:rPr>
      <w:sz w:val="20"/>
      <w:szCs w:val="20"/>
    </w:rPr>
  </w:style>
  <w:style w:type="paragraph" w:styleId="CommentSubject">
    <w:name w:val="annotation subject"/>
    <w:basedOn w:val="CommentText"/>
    <w:next w:val="CommentText"/>
    <w:link w:val="CommentSubjectChar"/>
    <w:uiPriority w:val="99"/>
    <w:semiHidden/>
    <w:unhideWhenUsed/>
    <w:rsid w:val="00D32E7E"/>
    <w:rPr>
      <w:b/>
      <w:bCs/>
    </w:rPr>
  </w:style>
  <w:style w:type="character" w:customStyle="1" w:styleId="CommentSubjectChar">
    <w:name w:val="Comment Subject Char"/>
    <w:basedOn w:val="CommentTextChar"/>
    <w:link w:val="CommentSubject"/>
    <w:uiPriority w:val="99"/>
    <w:semiHidden/>
    <w:rsid w:val="00D32E7E"/>
    <w:rPr>
      <w:b/>
      <w:bCs/>
      <w:sz w:val="20"/>
      <w:szCs w:val="20"/>
    </w:rPr>
  </w:style>
  <w:style w:type="paragraph" w:styleId="BalloonText">
    <w:name w:val="Balloon Text"/>
    <w:basedOn w:val="Normal"/>
    <w:link w:val="BalloonTextChar"/>
    <w:uiPriority w:val="99"/>
    <w:semiHidden/>
    <w:unhideWhenUsed/>
    <w:rsid w:val="00D32E7E"/>
    <w:rPr>
      <w:rFonts w:ascii="Tahoma" w:hAnsi="Tahoma" w:cs="Tahoma"/>
      <w:sz w:val="16"/>
      <w:szCs w:val="16"/>
    </w:rPr>
  </w:style>
  <w:style w:type="character" w:customStyle="1" w:styleId="BalloonTextChar">
    <w:name w:val="Balloon Text Char"/>
    <w:basedOn w:val="DefaultParagraphFont"/>
    <w:link w:val="BalloonText"/>
    <w:uiPriority w:val="99"/>
    <w:semiHidden/>
    <w:rsid w:val="00D32E7E"/>
    <w:rPr>
      <w:rFonts w:ascii="Tahoma" w:hAnsi="Tahoma" w:cs="Tahoma"/>
      <w:sz w:val="16"/>
      <w:szCs w:val="16"/>
    </w:rPr>
  </w:style>
  <w:style w:type="paragraph" w:styleId="TOCHeading">
    <w:name w:val="TOC Heading"/>
    <w:basedOn w:val="Heading1"/>
    <w:next w:val="Normal"/>
    <w:uiPriority w:val="39"/>
    <w:unhideWhenUsed/>
    <w:qFormat/>
    <w:rsid w:val="008004C0"/>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2">
    <w:name w:val="toc 2"/>
    <w:basedOn w:val="Normal"/>
    <w:next w:val="Normal"/>
    <w:autoRedefine/>
    <w:uiPriority w:val="39"/>
    <w:unhideWhenUsed/>
    <w:qFormat/>
    <w:rsid w:val="000279CE"/>
    <w:pPr>
      <w:tabs>
        <w:tab w:val="left" w:pos="720"/>
        <w:tab w:val="right" w:leader="dot" w:pos="9350"/>
      </w:tabs>
      <w:spacing w:after="100" w:line="276" w:lineRule="auto"/>
      <w:ind w:left="720" w:hanging="540"/>
    </w:pPr>
    <w:rPr>
      <w:rFonts w:eastAsiaTheme="minorEastAsia"/>
      <w:noProof/>
      <w:lang w:eastAsia="ja-JP"/>
    </w:rPr>
  </w:style>
  <w:style w:type="paragraph" w:styleId="TOC1">
    <w:name w:val="toc 1"/>
    <w:basedOn w:val="Normal"/>
    <w:next w:val="Normal"/>
    <w:autoRedefine/>
    <w:uiPriority w:val="39"/>
    <w:unhideWhenUsed/>
    <w:qFormat/>
    <w:rsid w:val="006F77B6"/>
    <w:pPr>
      <w:numPr>
        <w:numId w:val="39"/>
      </w:numPr>
      <w:tabs>
        <w:tab w:val="right" w:pos="180"/>
        <w:tab w:val="left" w:pos="540"/>
        <w:tab w:val="left" w:pos="720"/>
        <w:tab w:val="right" w:leader="dot" w:pos="9350"/>
      </w:tabs>
      <w:spacing w:after="100" w:line="276" w:lineRule="auto"/>
      <w:jc w:val="right"/>
    </w:pPr>
    <w:rPr>
      <w:rFonts w:eastAsiaTheme="minorEastAsia"/>
      <w:noProof/>
      <w:lang w:eastAsia="ja-JP"/>
    </w:rPr>
  </w:style>
  <w:style w:type="paragraph" w:styleId="TOC3">
    <w:name w:val="toc 3"/>
    <w:basedOn w:val="Normal"/>
    <w:next w:val="Normal"/>
    <w:autoRedefine/>
    <w:uiPriority w:val="39"/>
    <w:unhideWhenUsed/>
    <w:qFormat/>
    <w:rsid w:val="00F53E7B"/>
    <w:pPr>
      <w:tabs>
        <w:tab w:val="left" w:pos="1260"/>
        <w:tab w:val="left" w:pos="1440"/>
        <w:tab w:val="left" w:pos="1620"/>
        <w:tab w:val="right" w:leader="dot" w:pos="9350"/>
      </w:tabs>
      <w:spacing w:after="100" w:line="276" w:lineRule="auto"/>
      <w:ind w:left="747"/>
    </w:pPr>
    <w:rPr>
      <w:rFonts w:eastAsiaTheme="minorEastAsia"/>
      <w:lang w:eastAsia="ja-JP"/>
    </w:rPr>
  </w:style>
  <w:style w:type="character" w:styleId="Strong">
    <w:name w:val="Strong"/>
    <w:basedOn w:val="DefaultParagraphFont"/>
    <w:uiPriority w:val="22"/>
    <w:qFormat/>
    <w:rsid w:val="008004C0"/>
    <w:rPr>
      <w:b/>
      <w:bCs/>
    </w:rPr>
  </w:style>
  <w:style w:type="paragraph" w:styleId="FootnoteText">
    <w:name w:val="footnote text"/>
    <w:aliases w:val="ALTS FOOTNOTE,Footnote Text Char1 Char,Footnote Text Char Char Char,Footnote Text Char1 Char Char Char,Footnote Text Char Char Char Char Char,Footnote Text Char Char1 Char,Footnote Text Char1 Char1 Char,Footnote Text Char Char1,fn"/>
    <w:basedOn w:val="Normal"/>
    <w:link w:val="FootnoteTextChar"/>
    <w:uiPriority w:val="99"/>
    <w:unhideWhenUsed/>
    <w:qFormat/>
    <w:rsid w:val="006B3F01"/>
    <w:rPr>
      <w:sz w:val="20"/>
      <w:szCs w:val="20"/>
    </w:rPr>
  </w:style>
  <w:style w:type="character" w:customStyle="1" w:styleId="FootnoteTextChar">
    <w:name w:val="Footnote Text Char"/>
    <w:aliases w:val="ALTS FOOTNOTE Char,Footnote Text Char1 Char Char1,Footnote Text Char Char Char Char1,Footnote Text Char1 Char Char Char Char1,Footnote Text Char Char Char Char Char Char1,Footnote Text Char Char1 Char Char1,fn Char1"/>
    <w:basedOn w:val="DefaultParagraphFont"/>
    <w:link w:val="FootnoteText"/>
    <w:rsid w:val="006B3F01"/>
    <w:rPr>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Style 6"/>
    <w:basedOn w:val="DefaultParagraphFont"/>
    <w:uiPriority w:val="99"/>
    <w:unhideWhenUsed/>
    <w:qFormat/>
    <w:rsid w:val="006B3F01"/>
    <w:rPr>
      <w:vertAlign w:val="superscript"/>
    </w:rPr>
  </w:style>
  <w:style w:type="paragraph" w:styleId="Title">
    <w:name w:val="Title"/>
    <w:basedOn w:val="Normal"/>
    <w:next w:val="Normal"/>
    <w:link w:val="TitleChar"/>
    <w:uiPriority w:val="10"/>
    <w:qFormat/>
    <w:rsid w:val="00EB47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4752"/>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577A15"/>
  </w:style>
  <w:style w:type="table" w:styleId="TableGrid">
    <w:name w:val="Table Grid"/>
    <w:basedOn w:val="TableNormal"/>
    <w:uiPriority w:val="59"/>
    <w:rsid w:val="00432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36D7B"/>
    <w:rPr>
      <w:rFonts w:eastAsiaTheme="majorEastAsia" w:cstheme="majorBidi"/>
      <w:b/>
    </w:rPr>
  </w:style>
  <w:style w:type="character" w:customStyle="1" w:styleId="Heading4Char">
    <w:name w:val="Heading 4 Char"/>
    <w:basedOn w:val="DefaultParagraphFont"/>
    <w:link w:val="Heading4"/>
    <w:uiPriority w:val="9"/>
    <w:rsid w:val="006547C5"/>
    <w:rPr>
      <w:rFonts w:asciiTheme="majorHAnsi" w:eastAsiaTheme="majorEastAsia" w:hAnsiTheme="majorHAnsi" w:cstheme="majorBidi"/>
      <w:i/>
      <w:iCs/>
      <w:color w:val="365F91" w:themeColor="accent1" w:themeShade="BF"/>
    </w:rPr>
  </w:style>
  <w:style w:type="character" w:customStyle="1" w:styleId="Heading8Char">
    <w:name w:val="Heading 8 Char"/>
    <w:aliases w:val="Question Char"/>
    <w:basedOn w:val="DefaultParagraphFont"/>
    <w:link w:val="Heading8"/>
    <w:uiPriority w:val="9"/>
    <w:rsid w:val="008F38DE"/>
    <w:rPr>
      <w:rFonts w:eastAsia="Times New Roman"/>
      <w:b/>
    </w:rPr>
  </w:style>
  <w:style w:type="character" w:customStyle="1" w:styleId="Heading9Char">
    <w:name w:val="Heading 9 Char"/>
    <w:basedOn w:val="DefaultParagraphFont"/>
    <w:link w:val="Heading9"/>
    <w:uiPriority w:val="9"/>
    <w:rsid w:val="00540687"/>
    <w:rPr>
      <w:rFonts w:asciiTheme="majorHAnsi" w:eastAsiaTheme="majorEastAsia" w:hAnsiTheme="majorHAnsi" w:cstheme="majorBidi"/>
      <w:i/>
      <w:iCs/>
      <w:color w:val="272727" w:themeColor="text1" w:themeTint="D8"/>
      <w:sz w:val="21"/>
      <w:szCs w:val="21"/>
    </w:rPr>
  </w:style>
  <w:style w:type="character" w:customStyle="1" w:styleId="Heading7Char">
    <w:name w:val="Heading 7 Char"/>
    <w:basedOn w:val="DefaultParagraphFont"/>
    <w:link w:val="Heading7"/>
    <w:uiPriority w:val="9"/>
    <w:rsid w:val="00540687"/>
    <w:rPr>
      <w:rFonts w:asciiTheme="majorHAnsi" w:eastAsiaTheme="majorEastAsia" w:hAnsiTheme="majorHAnsi" w:cstheme="majorBidi"/>
      <w:i/>
      <w:iCs/>
      <w:color w:val="243F60" w:themeColor="accent1" w:themeShade="7F"/>
    </w:rPr>
  </w:style>
  <w:style w:type="paragraph" w:styleId="BodyTextIndent2">
    <w:name w:val="Body Text Indent 2"/>
    <w:basedOn w:val="Normal"/>
    <w:link w:val="BodyTextIndent2Char"/>
    <w:rsid w:val="00090908"/>
    <w:pPr>
      <w:spacing w:line="480" w:lineRule="auto"/>
      <w:ind w:left="720" w:hanging="360"/>
    </w:pPr>
    <w:rPr>
      <w:rFonts w:eastAsia="Times New Roman"/>
    </w:rPr>
  </w:style>
  <w:style w:type="character" w:customStyle="1" w:styleId="BodyTextIndent2Char">
    <w:name w:val="Body Text Indent 2 Char"/>
    <w:basedOn w:val="DefaultParagraphFont"/>
    <w:link w:val="BodyTextIndent2"/>
    <w:rsid w:val="00090908"/>
    <w:rPr>
      <w:rFonts w:eastAsia="Times New Roman"/>
    </w:rPr>
  </w:style>
  <w:style w:type="paragraph" w:customStyle="1" w:styleId="Default">
    <w:name w:val="Default"/>
    <w:rsid w:val="00F91074"/>
    <w:pPr>
      <w:autoSpaceDE w:val="0"/>
      <w:autoSpaceDN w:val="0"/>
      <w:adjustRightInd w:val="0"/>
    </w:pPr>
    <w:rPr>
      <w:color w:val="00000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uiPriority w:val="99"/>
    <w:locked/>
    <w:rsid w:val="00B25158"/>
    <w:rPr>
      <w:sz w:val="22"/>
    </w:rPr>
  </w:style>
  <w:style w:type="character" w:styleId="FollowedHyperlink">
    <w:name w:val="FollowedHyperlink"/>
    <w:basedOn w:val="DefaultParagraphFont"/>
    <w:uiPriority w:val="99"/>
    <w:semiHidden/>
    <w:unhideWhenUsed/>
    <w:rsid w:val="00293D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1870">
      <w:bodyDiv w:val="1"/>
      <w:marLeft w:val="0"/>
      <w:marRight w:val="0"/>
      <w:marTop w:val="0"/>
      <w:marBottom w:val="0"/>
      <w:divBdr>
        <w:top w:val="none" w:sz="0" w:space="0" w:color="auto"/>
        <w:left w:val="none" w:sz="0" w:space="0" w:color="auto"/>
        <w:bottom w:val="none" w:sz="0" w:space="0" w:color="auto"/>
        <w:right w:val="none" w:sz="0" w:space="0" w:color="auto"/>
      </w:divBdr>
    </w:div>
    <w:div w:id="144785909">
      <w:bodyDiv w:val="1"/>
      <w:marLeft w:val="0"/>
      <w:marRight w:val="0"/>
      <w:marTop w:val="0"/>
      <w:marBottom w:val="0"/>
      <w:divBdr>
        <w:top w:val="none" w:sz="0" w:space="0" w:color="auto"/>
        <w:left w:val="none" w:sz="0" w:space="0" w:color="auto"/>
        <w:bottom w:val="none" w:sz="0" w:space="0" w:color="auto"/>
        <w:right w:val="none" w:sz="0" w:space="0" w:color="auto"/>
      </w:divBdr>
    </w:div>
    <w:div w:id="272329427">
      <w:bodyDiv w:val="1"/>
      <w:marLeft w:val="0"/>
      <w:marRight w:val="0"/>
      <w:marTop w:val="0"/>
      <w:marBottom w:val="0"/>
      <w:divBdr>
        <w:top w:val="none" w:sz="0" w:space="0" w:color="auto"/>
        <w:left w:val="none" w:sz="0" w:space="0" w:color="auto"/>
        <w:bottom w:val="none" w:sz="0" w:space="0" w:color="auto"/>
        <w:right w:val="none" w:sz="0" w:space="0" w:color="auto"/>
      </w:divBdr>
    </w:div>
    <w:div w:id="358554388">
      <w:bodyDiv w:val="1"/>
      <w:marLeft w:val="0"/>
      <w:marRight w:val="0"/>
      <w:marTop w:val="0"/>
      <w:marBottom w:val="0"/>
      <w:divBdr>
        <w:top w:val="none" w:sz="0" w:space="0" w:color="auto"/>
        <w:left w:val="none" w:sz="0" w:space="0" w:color="auto"/>
        <w:bottom w:val="none" w:sz="0" w:space="0" w:color="auto"/>
        <w:right w:val="none" w:sz="0" w:space="0" w:color="auto"/>
      </w:divBdr>
    </w:div>
    <w:div w:id="718282522">
      <w:bodyDiv w:val="1"/>
      <w:marLeft w:val="0"/>
      <w:marRight w:val="0"/>
      <w:marTop w:val="0"/>
      <w:marBottom w:val="0"/>
      <w:divBdr>
        <w:top w:val="none" w:sz="0" w:space="0" w:color="auto"/>
        <w:left w:val="none" w:sz="0" w:space="0" w:color="auto"/>
        <w:bottom w:val="none" w:sz="0" w:space="0" w:color="auto"/>
        <w:right w:val="none" w:sz="0" w:space="0" w:color="auto"/>
      </w:divBdr>
    </w:div>
    <w:div w:id="911937984">
      <w:bodyDiv w:val="1"/>
      <w:marLeft w:val="0"/>
      <w:marRight w:val="0"/>
      <w:marTop w:val="0"/>
      <w:marBottom w:val="0"/>
      <w:divBdr>
        <w:top w:val="none" w:sz="0" w:space="0" w:color="auto"/>
        <w:left w:val="none" w:sz="0" w:space="0" w:color="auto"/>
        <w:bottom w:val="none" w:sz="0" w:space="0" w:color="auto"/>
        <w:right w:val="none" w:sz="0" w:space="0" w:color="auto"/>
      </w:divBdr>
    </w:div>
    <w:div w:id="949507351">
      <w:bodyDiv w:val="1"/>
      <w:marLeft w:val="0"/>
      <w:marRight w:val="0"/>
      <w:marTop w:val="0"/>
      <w:marBottom w:val="0"/>
      <w:divBdr>
        <w:top w:val="none" w:sz="0" w:space="0" w:color="auto"/>
        <w:left w:val="none" w:sz="0" w:space="0" w:color="auto"/>
        <w:bottom w:val="none" w:sz="0" w:space="0" w:color="auto"/>
        <w:right w:val="none" w:sz="0" w:space="0" w:color="auto"/>
      </w:divBdr>
    </w:div>
    <w:div w:id="1504470851">
      <w:bodyDiv w:val="1"/>
      <w:marLeft w:val="0"/>
      <w:marRight w:val="0"/>
      <w:marTop w:val="0"/>
      <w:marBottom w:val="0"/>
      <w:divBdr>
        <w:top w:val="none" w:sz="0" w:space="0" w:color="auto"/>
        <w:left w:val="none" w:sz="0" w:space="0" w:color="auto"/>
        <w:bottom w:val="none" w:sz="0" w:space="0" w:color="auto"/>
        <w:right w:val="none" w:sz="0" w:space="0" w:color="auto"/>
      </w:divBdr>
    </w:div>
    <w:div w:id="1717968995">
      <w:bodyDiv w:val="1"/>
      <w:marLeft w:val="0"/>
      <w:marRight w:val="0"/>
      <w:marTop w:val="0"/>
      <w:marBottom w:val="0"/>
      <w:divBdr>
        <w:top w:val="none" w:sz="0" w:space="0" w:color="auto"/>
        <w:left w:val="none" w:sz="0" w:space="0" w:color="auto"/>
        <w:bottom w:val="none" w:sz="0" w:space="0" w:color="auto"/>
        <w:right w:val="none" w:sz="0" w:space="0" w:color="auto"/>
      </w:divBdr>
    </w:div>
    <w:div w:id="1748265950">
      <w:bodyDiv w:val="1"/>
      <w:marLeft w:val="0"/>
      <w:marRight w:val="0"/>
      <w:marTop w:val="0"/>
      <w:marBottom w:val="0"/>
      <w:divBdr>
        <w:top w:val="none" w:sz="0" w:space="0" w:color="auto"/>
        <w:left w:val="none" w:sz="0" w:space="0" w:color="auto"/>
        <w:bottom w:val="none" w:sz="0" w:space="0" w:color="auto"/>
        <w:right w:val="none" w:sz="0" w:space="0" w:color="auto"/>
      </w:divBdr>
    </w:div>
    <w:div w:id="1755660755">
      <w:bodyDiv w:val="1"/>
      <w:marLeft w:val="0"/>
      <w:marRight w:val="0"/>
      <w:marTop w:val="0"/>
      <w:marBottom w:val="0"/>
      <w:divBdr>
        <w:top w:val="none" w:sz="0" w:space="0" w:color="auto"/>
        <w:left w:val="none" w:sz="0" w:space="0" w:color="auto"/>
        <w:bottom w:val="none" w:sz="0" w:space="0" w:color="auto"/>
        <w:right w:val="none" w:sz="0" w:space="0" w:color="auto"/>
      </w:divBdr>
    </w:div>
    <w:div w:id="196125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ball@utc.wa.gov"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home.utc.wa.gov/sites/ue-150204/Staff%20Work%20Papers/Ball%20-%20Workpaper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r>
              <a:rPr lang="en-US"/>
              <a:t>Comparison of Actual Major</a:t>
            </a:r>
            <a:r>
              <a:rPr lang="en-US" baseline="0"/>
              <a:t> Maintenance</a:t>
            </a:r>
            <a:endParaRPr lang="en-US"/>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6642873117638288"/>
          <c:y val="0.14627585755780551"/>
          <c:w val="0.80753503801997917"/>
          <c:h val="0.77439964029391717"/>
        </c:manualLayout>
      </c:layout>
      <c:barChart>
        <c:barDir val="col"/>
        <c:grouping val="clustered"/>
        <c:varyColors val="0"/>
        <c:ser>
          <c:idx val="3"/>
          <c:order val="0"/>
          <c:tx>
            <c:strRef>
              <c:f>'Major - Other'!$B$2</c:f>
              <c:strCache>
                <c:ptCount val="1"/>
                <c:pt idx="0">
                  <c:v>O&amp;M Actuals</c:v>
                </c:pt>
              </c:strCache>
            </c:strRef>
          </c:tx>
          <c:spPr>
            <a:gradFill rotWithShape="1">
              <a:gsLst>
                <a:gs pos="0">
                  <a:schemeClr val="dk1">
                    <a:tint val="98500"/>
                    <a:lumMod val="110000"/>
                    <a:satMod val="105000"/>
                    <a:tint val="67000"/>
                  </a:schemeClr>
                </a:gs>
                <a:gs pos="50000">
                  <a:schemeClr val="dk1">
                    <a:tint val="98500"/>
                    <a:lumMod val="105000"/>
                    <a:satMod val="103000"/>
                    <a:tint val="73000"/>
                  </a:schemeClr>
                </a:gs>
                <a:gs pos="100000">
                  <a:schemeClr val="dk1">
                    <a:tint val="98500"/>
                    <a:lumMod val="105000"/>
                    <a:satMod val="109000"/>
                    <a:tint val="81000"/>
                  </a:schemeClr>
                </a:gs>
              </a:gsLst>
              <a:lin ang="5400000" scaled="0"/>
            </a:gradFill>
            <a:ln w="9525" cap="flat" cmpd="sng" algn="ctr">
              <a:solidFill>
                <a:schemeClr val="dk1">
                  <a:tint val="98500"/>
                  <a:shade val="95000"/>
                </a:schemeClr>
              </a:solidFill>
              <a:round/>
            </a:ln>
            <a:effectLst/>
          </c:spPr>
          <c:invertIfNegative val="0"/>
          <c:cat>
            <c:numRef>
              <c:f>'Major - Other'!$A$4:$A$9</c:f>
              <c:numCache>
                <c:formatCode>General</c:formatCode>
                <c:ptCount val="6"/>
                <c:pt idx="0">
                  <c:v>2010</c:v>
                </c:pt>
                <c:pt idx="1">
                  <c:v>2011</c:v>
                </c:pt>
                <c:pt idx="2">
                  <c:v>2012</c:v>
                </c:pt>
                <c:pt idx="3">
                  <c:v>2013</c:v>
                </c:pt>
                <c:pt idx="4">
                  <c:v>2014</c:v>
                </c:pt>
                <c:pt idx="5">
                  <c:v>2016</c:v>
                </c:pt>
              </c:numCache>
            </c:numRef>
          </c:cat>
          <c:val>
            <c:numRef>
              <c:f>'Major - Other'!$B$4:$B$8</c:f>
              <c:numCache>
                <c:formatCode>_("$"* #,##0_);_("$"* \(#,##0\);_("$"* "-"??_);_(@_)</c:formatCode>
                <c:ptCount val="5"/>
                <c:pt idx="0">
                  <c:v>771593</c:v>
                </c:pt>
                <c:pt idx="1">
                  <c:v>1711377</c:v>
                </c:pt>
                <c:pt idx="2">
                  <c:v>877998</c:v>
                </c:pt>
                <c:pt idx="3">
                  <c:v>2159074</c:v>
                </c:pt>
                <c:pt idx="4">
                  <c:v>1675642</c:v>
                </c:pt>
              </c:numCache>
            </c:numRef>
          </c:val>
        </c:ser>
        <c:ser>
          <c:idx val="4"/>
          <c:order val="1"/>
          <c:tx>
            <c:strRef>
              <c:f>'Major - Other'!$C$2</c:f>
              <c:strCache>
                <c:ptCount val="1"/>
                <c:pt idx="0">
                  <c:v>Company Projected</c:v>
                </c:pt>
              </c:strCache>
            </c:strRef>
          </c:tx>
          <c:spPr>
            <a:solidFill>
              <a:schemeClr val="tx1"/>
            </a:solidFill>
            <a:ln w="9525" cap="flat" cmpd="sng" algn="ctr">
              <a:solidFill>
                <a:schemeClr val="dk1">
                  <a:tint val="30000"/>
                  <a:shade val="95000"/>
                </a:schemeClr>
              </a:solidFill>
              <a:round/>
            </a:ln>
            <a:effectLst/>
          </c:spPr>
          <c:invertIfNegative val="0"/>
          <c:cat>
            <c:numRef>
              <c:f>'Major - Other'!$A$4:$A$9</c:f>
              <c:numCache>
                <c:formatCode>General</c:formatCode>
                <c:ptCount val="6"/>
                <c:pt idx="0">
                  <c:v>2010</c:v>
                </c:pt>
                <c:pt idx="1">
                  <c:v>2011</c:v>
                </c:pt>
                <c:pt idx="2">
                  <c:v>2012</c:v>
                </c:pt>
                <c:pt idx="3">
                  <c:v>2013</c:v>
                </c:pt>
                <c:pt idx="4">
                  <c:v>2014</c:v>
                </c:pt>
                <c:pt idx="5">
                  <c:v>2016</c:v>
                </c:pt>
              </c:numCache>
            </c:numRef>
          </c:cat>
          <c:val>
            <c:numRef>
              <c:f>'Major - Other'!$C$4:$C$9</c:f>
              <c:numCache>
                <c:formatCode>General</c:formatCode>
                <c:ptCount val="6"/>
                <c:pt idx="5" formatCode="_(&quot;$&quot;* #,##0_);_(&quot;$&quot;* \(#,##0\);_(&quot;$&quot;* &quot;-&quot;??_);_(@_)">
                  <c:v>4129125</c:v>
                </c:pt>
              </c:numCache>
            </c:numRef>
          </c:val>
        </c:ser>
        <c:dLbls>
          <c:showLegendKey val="0"/>
          <c:showVal val="0"/>
          <c:showCatName val="0"/>
          <c:showSerName val="0"/>
          <c:showPercent val="0"/>
          <c:showBubbleSize val="0"/>
        </c:dLbls>
        <c:gapWidth val="150"/>
        <c:axId val="505080992"/>
        <c:axId val="505081384"/>
      </c:barChart>
      <c:catAx>
        <c:axId val="50508099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5081384"/>
        <c:crosses val="autoZero"/>
        <c:auto val="1"/>
        <c:lblAlgn val="ctr"/>
        <c:lblOffset val="100"/>
        <c:noMultiLvlLbl val="0"/>
      </c:catAx>
      <c:valAx>
        <c:axId val="505081384"/>
        <c:scaling>
          <c:orientation val="minMax"/>
        </c:scaling>
        <c:delete val="0"/>
        <c:axPos val="l"/>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5080992"/>
        <c:crosses val="autoZero"/>
        <c:crossBetween val="between"/>
        <c:dispUnits>
          <c:builtInUnit val="thousands"/>
          <c:dispUnitsLbl>
            <c:layout/>
            <c:spPr>
              <a:noFill/>
              <a:ln>
                <a:noFill/>
              </a:ln>
              <a:effectLst/>
            </c:spPr>
            <c:txPr>
              <a:bodyPr rot="-5400000" spcFirstLastPara="1" vertOverflow="ellipsis" vert="horz" wrap="square" anchor="ctr" anchorCtr="1"/>
              <a:lstStyle/>
              <a:p>
                <a:pPr>
                  <a:defRPr sz="9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ispUnitsLbl>
        </c:dispUnits>
      </c:valAx>
      <c:spPr>
        <a:noFill/>
        <a:ln>
          <a:noFill/>
        </a:ln>
        <a:effectLst/>
      </c:spPr>
    </c:plotArea>
    <c:plotVisOnly val="1"/>
    <c:dispBlanksAs val="span"/>
    <c:showDLblsOverMax val="0"/>
  </c:chart>
  <c:spPr>
    <a:solidFill>
      <a:schemeClr val="lt1"/>
    </a:solidFill>
    <a:ln w="9525" cap="flat" cmpd="sng" algn="ctr">
      <a:solidFill>
        <a:schemeClr val="dk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0.85495</cdr:x>
      <cdr:y>0.13903</cdr:y>
    </cdr:from>
    <cdr:to>
      <cdr:x>0.94524</cdr:x>
      <cdr:y>0.23451</cdr:y>
    </cdr:to>
    <cdr:sp macro="" textlink="">
      <cdr:nvSpPr>
        <cdr:cNvPr id="2" name="TextBox 1"/>
        <cdr:cNvSpPr txBox="1"/>
      </cdr:nvSpPr>
      <cdr:spPr>
        <a:xfrm xmlns:a="http://schemas.openxmlformats.org/drawingml/2006/main">
          <a:off x="5897217" y="549966"/>
          <a:ext cx="622852" cy="3776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0.58121</cdr:x>
      <cdr:y>0.1107</cdr:y>
    </cdr:from>
    <cdr:to>
      <cdr:x>0.93312</cdr:x>
      <cdr:y>0.18635</cdr:y>
    </cdr:to>
    <cdr:sp macro="" textlink="">
      <cdr:nvSpPr>
        <cdr:cNvPr id="4" name="TextBox 3"/>
        <cdr:cNvSpPr txBox="1"/>
      </cdr:nvSpPr>
      <cdr:spPr>
        <a:xfrm xmlns:a="http://schemas.openxmlformats.org/drawingml/2006/main">
          <a:off x="3090333" y="508003"/>
          <a:ext cx="1871134" cy="34713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0.55732</cdr:x>
      <cdr:y>0.09779</cdr:y>
    </cdr:from>
    <cdr:to>
      <cdr:x>0.8328</cdr:x>
      <cdr:y>0.16236</cdr:y>
    </cdr:to>
    <cdr:sp macro="" textlink="">
      <cdr:nvSpPr>
        <cdr:cNvPr id="5" name="Line Callout 1 4"/>
        <cdr:cNvSpPr/>
      </cdr:nvSpPr>
      <cdr:spPr>
        <a:xfrm xmlns:a="http://schemas.openxmlformats.org/drawingml/2006/main">
          <a:off x="2963332" y="448737"/>
          <a:ext cx="1464734" cy="296334"/>
        </a:xfrm>
        <a:prstGeom xmlns:a="http://schemas.openxmlformats.org/drawingml/2006/main" prst="borderCallout1">
          <a:avLst>
            <a:gd name="adj1" fmla="val 152187"/>
            <a:gd name="adj2" fmla="val 134027"/>
            <a:gd name="adj3" fmla="val 42187"/>
            <a:gd name="adj4" fmla="val 101011"/>
          </a:avLst>
        </a:prstGeom>
        <a:ln xmlns:a="http://schemas.openxmlformats.org/drawingml/2006/main">
          <a:solidFill>
            <a:sysClr val="windowText" lastClr="000000"/>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a:t>Company Projection</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2015-07-27T22:46:50+00:00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6B180-7A20-4F41-AA9F-E8B1AABDDE89}"/>
</file>

<file path=customXml/itemProps2.xml><?xml version="1.0" encoding="utf-8"?>
<ds:datastoreItem xmlns:ds="http://schemas.openxmlformats.org/officeDocument/2006/customXml" ds:itemID="{A99CC9C6-BB73-4DB8-B2F3-A2C534969D98}"/>
</file>

<file path=customXml/itemProps3.xml><?xml version="1.0" encoding="utf-8"?>
<ds:datastoreItem xmlns:ds="http://schemas.openxmlformats.org/officeDocument/2006/customXml" ds:itemID="{FE071C75-7D90-41E4-91D3-C93606751324}"/>
</file>

<file path=customXml/itemProps4.xml><?xml version="1.0" encoding="utf-8"?>
<ds:datastoreItem xmlns:ds="http://schemas.openxmlformats.org/officeDocument/2006/customXml" ds:itemID="{A5FB8967-50D7-4D16-AE48-A2FD28B66A9C}"/>
</file>

<file path=customXml/itemProps5.xml><?xml version="1.0" encoding="utf-8"?>
<ds:datastoreItem xmlns:ds="http://schemas.openxmlformats.org/officeDocument/2006/customXml" ds:itemID="{A2600231-5D45-4D87-AF80-02753CD19D53}"/>
</file>

<file path=docProps/app.xml><?xml version="1.0" encoding="utf-8"?>
<Properties xmlns="http://schemas.openxmlformats.org/officeDocument/2006/extended-properties" xmlns:vt="http://schemas.openxmlformats.org/officeDocument/2006/docPropsVTypes">
  <Template>Normal</Template>
  <TotalTime>5351</TotalTime>
  <Pages>34</Pages>
  <Words>6937</Words>
  <Characters>36698</Characters>
  <Application>Microsoft Office Word</Application>
  <DocSecurity>0</DocSecurity>
  <Lines>965</Lines>
  <Paragraphs>532</Paragraphs>
  <ScaleCrop>false</ScaleCrop>
  <HeadingPairs>
    <vt:vector size="2" baseType="variant">
      <vt:variant>
        <vt:lpstr>Title</vt:lpstr>
      </vt:variant>
      <vt:variant>
        <vt:i4>1</vt:i4>
      </vt:variant>
    </vt:vector>
  </HeadingPairs>
  <TitlesOfParts>
    <vt:vector size="1" baseType="lpstr">
      <vt:lpstr>Ball Testimony</vt:lpstr>
    </vt:vector>
  </TitlesOfParts>
  <Company>Washington Utilities and Transportation Commission</Company>
  <LinksUpToDate>false</LinksUpToDate>
  <CharactersWithSpaces>43103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 Testimony</dc:title>
  <dc:subject/>
  <dc:creator>Jason Ball</dc:creator>
  <cp:keywords/>
  <dc:description/>
  <cp:lastModifiedBy>Shearer, Brett (UTC)</cp:lastModifiedBy>
  <cp:revision>177</cp:revision>
  <cp:lastPrinted>2015-07-24T14:59:00Z</cp:lastPrinted>
  <dcterms:created xsi:type="dcterms:W3CDTF">2015-06-10T17:37:00Z</dcterms:created>
  <dcterms:modified xsi:type="dcterms:W3CDTF">2015-07-24T22:39:00Z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