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8" w:rsidRDefault="00A51E78" w:rsidP="00335595">
      <w:pPr>
        <w:pStyle w:val="center"/>
        <w:spacing w:before="240" w:after="60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0" w:name="lblCaseNumberH"/>
            <w:r>
              <w:rPr>
                <w:b/>
              </w:rPr>
              <w:t xml:space="preserve">Docket No. </w:t>
            </w:r>
            <w:r w:rsidR="00226802">
              <w:rPr>
                <w:b/>
              </w:rPr>
              <w:t>UG</w:t>
            </w:r>
            <w:r w:rsidRPr="003646B7">
              <w:rPr>
                <w:b/>
              </w:rPr>
              <w:t>-</w:t>
            </w:r>
            <w:bookmarkEnd w:id="0"/>
            <w:r w:rsidR="00226802">
              <w:rPr>
                <w:b/>
                <w:sz w:val="25"/>
                <w:szCs w:val="25"/>
              </w:rPr>
              <w:t>151663</w:t>
            </w:r>
          </w:p>
        </w:tc>
      </w:tr>
    </w:tbl>
    <w:p w:rsidR="00A51E78" w:rsidRDefault="00820ACA" w:rsidP="00820ACA">
      <w:pPr>
        <w:pStyle w:val="center"/>
        <w:spacing w:before="2000" w:after="4080"/>
      </w:pPr>
      <w:r>
        <w:rPr>
          <w:noProof/>
          <w:lang w:eastAsia="en-US"/>
        </w:rPr>
        <mc:AlternateContent>
          <mc:Choice Requires="wpg">
            <w:drawing>
              <wp:anchor distT="0" distB="0" distL="114300" distR="114300" simplePos="0" relativeHeight="251661824" behindDoc="0" locked="0" layoutInCell="1" allowOverlap="1" wp14:anchorId="20B0E73B" wp14:editId="3DA39874">
                <wp:simplePos x="0" y="0"/>
                <wp:positionH relativeFrom="column">
                  <wp:posOffset>1255395</wp:posOffset>
                </wp:positionH>
                <wp:positionV relativeFrom="paragraph">
                  <wp:posOffset>2559685</wp:posOffset>
                </wp:positionV>
                <wp:extent cx="3571875" cy="676275"/>
                <wp:effectExtent l="0" t="0" r="9525"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676275"/>
                          <a:chOff x="4041" y="11164"/>
                          <a:chExt cx="5010" cy="1065"/>
                        </a:xfrm>
                      </wpg:grpSpPr>
                      <wps:wsp>
                        <wps:cNvPr id="1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ACA" w:rsidRPr="00F7567F" w:rsidRDefault="00820ACA" w:rsidP="00820ACA">
                              <w:pPr>
                                <w:tabs>
                                  <w:tab w:val="clear" w:pos="720"/>
                                </w:tabs>
                                <w:ind w:firstLine="0"/>
                                <w:rPr>
                                  <w:rFonts w:ascii="Calibri" w:hAnsi="Calibri"/>
                                </w:rPr>
                              </w:pPr>
                            </w:p>
                          </w:txbxContent>
                        </wps:txbx>
                        <wps:bodyPr rot="0" vert="horz" wrap="square" lIns="91440" tIns="91440" rIns="91440" bIns="91440" anchor="t" anchorCtr="0" upright="1">
                          <a:noAutofit/>
                        </wps:bodyPr>
                      </wps:wsp>
                      <wps:wsp>
                        <wps:cNvPr id="14"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820ACA" w:rsidRDefault="00920530" w:rsidP="00820ACA">
                              <w:pPr>
                                <w:spacing w:line="240" w:lineRule="auto"/>
                                <w:ind w:firstLine="0"/>
                                <w:jc w:val="center"/>
                                <w:rPr>
                                  <w:rFonts w:ascii="Times New Roman Bold" w:hAnsi="Times New Roman Bold"/>
                                  <w:b/>
                                  <w:smallCaps/>
                                </w:rPr>
                              </w:pPr>
                              <w:r>
                                <w:rPr>
                                  <w:rFonts w:ascii="Times New Roman Bold" w:hAnsi="Times New Roman Bold"/>
                                  <w:b/>
                                  <w:smallCaps/>
                                </w:rPr>
                                <w:t>Redacted</w:t>
                              </w:r>
                            </w:p>
                            <w:p w:rsidR="00920530" w:rsidRPr="00820ACA" w:rsidRDefault="00920530" w:rsidP="00820ACA">
                              <w:pPr>
                                <w:spacing w:line="240" w:lineRule="auto"/>
                                <w:ind w:firstLine="0"/>
                                <w:jc w:val="center"/>
                                <w:rPr>
                                  <w:rFonts w:ascii="Times New Roman Bold" w:hAnsi="Times New Roman Bold"/>
                                  <w:b/>
                                  <w:smallCaps/>
                                </w:rPr>
                              </w:pPr>
                              <w:r>
                                <w:rPr>
                                  <w:rFonts w:ascii="Times New Roman Bold" w:hAnsi="Times New Roman Bold"/>
                                  <w:b/>
                                  <w:smallCap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98.85pt;margin-top:201.55pt;width:281.25pt;height:53.25pt;z-index:25166182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rsidR="00820ACA" w:rsidRPr="00F7567F" w:rsidRDefault="00820ACA" w:rsidP="00820ACA">
                        <w:pPr>
                          <w:tabs>
                            <w:tab w:val="clear" w:pos="720"/>
                          </w:tabs>
                          <w:ind w:firstLine="0"/>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oMMA&#10;AADbAAAADwAAAGRycy9kb3ducmV2LnhtbESPQYvCMBCF7wv+hzCCl0VTdVekGkUKgnhZ7ErPQzO2&#10;xWZSm2jrvzfCwt6+Yd6892a97U0tHtS6yrKC6SQCQZxbXXGh4Py7Hy9BOI+ssbZMCp7kYLsZfKwx&#10;1rbjEz1SX4hgwi5GBaX3TSyly0sy6Ca2IQ67i20N+jC2hdQtdsHc1HIWRQtpsOKQUGJDSUn5Nb0b&#10;BckxC3i6/WTZvP5eHNMu+UwKpUbDfrcC4an3/+K/64MO9b/g/UsA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KoMMAAADbAAAADwAAAAAAAAAAAAAAAACYAgAAZHJzL2Rv&#10;d25yZXYueG1sUEsFBgAAAAAEAAQA9QAAAIgDAAAAAA==&#10;" strokeweight="1.5pt">
                  <v:textbox inset=",7.2pt,,7.2pt">
                    <w:txbxContent>
                      <w:p w:rsidR="00820ACA" w:rsidRDefault="00920530" w:rsidP="00820ACA">
                        <w:pPr>
                          <w:spacing w:line="240" w:lineRule="auto"/>
                          <w:ind w:firstLine="0"/>
                          <w:jc w:val="center"/>
                          <w:rPr>
                            <w:rFonts w:ascii="Times New Roman Bold" w:hAnsi="Times New Roman Bold"/>
                            <w:b/>
                            <w:smallCaps/>
                          </w:rPr>
                        </w:pPr>
                        <w:r>
                          <w:rPr>
                            <w:rFonts w:ascii="Times New Roman Bold" w:hAnsi="Times New Roman Bold"/>
                            <w:b/>
                            <w:smallCaps/>
                          </w:rPr>
                          <w:t>Redacted</w:t>
                        </w:r>
                      </w:p>
                      <w:p w:rsidR="00920530" w:rsidRPr="00820ACA" w:rsidRDefault="00920530" w:rsidP="00820ACA">
                        <w:pPr>
                          <w:spacing w:line="240" w:lineRule="auto"/>
                          <w:ind w:firstLine="0"/>
                          <w:jc w:val="center"/>
                          <w:rPr>
                            <w:rFonts w:ascii="Times New Roman Bold" w:hAnsi="Times New Roman Bold"/>
                            <w:b/>
                            <w:smallCaps/>
                          </w:rPr>
                        </w:pPr>
                        <w:r>
                          <w:rPr>
                            <w:rFonts w:ascii="Times New Roman Bold" w:hAnsi="Times New Roman Bold"/>
                            <w:b/>
                            <w:smallCaps/>
                          </w:rPr>
                          <w:t>Version</w:t>
                        </w:r>
                      </w:p>
                    </w:txbxContent>
                  </v:textbox>
                </v:shape>
              </v:group>
            </w:pict>
          </mc:Fallback>
        </mc:AlternateContent>
      </w:r>
      <w:r>
        <w:rPr>
          <w:noProof/>
          <w:lang w:eastAsia="en-US"/>
        </w:rPr>
        <mc:AlternateContent>
          <mc:Choice Requires="wpg">
            <w:drawing>
              <wp:anchor distT="0" distB="0" distL="114300" distR="114300" simplePos="0" relativeHeight="251660800" behindDoc="0" locked="0" layoutInCell="1" allowOverlap="1" wp14:anchorId="5E51A26F" wp14:editId="7CD176E7">
                <wp:simplePos x="0" y="0"/>
                <wp:positionH relativeFrom="column">
                  <wp:posOffset>4371340</wp:posOffset>
                </wp:positionH>
                <wp:positionV relativeFrom="paragraph">
                  <wp:posOffset>8943975</wp:posOffset>
                </wp:positionV>
                <wp:extent cx="2038350" cy="6762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ACA" w:rsidRPr="00F7567F" w:rsidRDefault="00820ACA" w:rsidP="00721F32">
                              <w:pPr>
                                <w:rPr>
                                  <w:rFonts w:ascii="Calibri" w:hAnsi="Calibri"/>
                                </w:rPr>
                              </w:pPr>
                            </w:p>
                          </w:txbxContent>
                        </wps:txbx>
                        <wps:bodyPr rot="0" vert="horz" wrap="square" lIns="91440" tIns="91440" rIns="91440" bIns="91440" anchor="t" anchorCtr="0" upright="1">
                          <a:noAutofit/>
                        </wps:bodyPr>
                      </wps:wsp>
                      <wps:wsp>
                        <wps:cNvPr id="1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820ACA" w:rsidRPr="00B22E19" w:rsidRDefault="00820ACA" w:rsidP="00721F32">
                              <w:pPr>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r w:rsidRPr="00B22E19">
                                <w:rPr>
                                  <w:rFonts w:ascii="Times New Roman Bold" w:hAnsi="Times New Roman Bold"/>
                                  <w:b/>
                                  <w:smallCaps/>
                                  <w:sz w:val="16"/>
                                  <w:szCs w:val="16"/>
                                </w:rPr>
                                <w:t>WUTC Docket No. UG-151663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9" style="position:absolute;left:0;text-align:left;margin-left:344.2pt;margin-top:704.25pt;width:160.5pt;height:53.25pt;z-index:251660800"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">
                <v:shape id="Text Box 7" o:spid="_x0000_s103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F4cQA&#10;AADbAAAADwAAAGRycy9kb3ducmV2LnhtbESPQWvCQBCF7wX/wzKCt7qxiEjqKkUo1FurYnscspNN&#10;MDsbsmuM/vrOQfA2w3vz3jerzeAb1VMX68AGZtMMFHERbM3OwPHw+boEFROyxSYwGbhRhM169LLC&#10;3IYr/1C/T05JCMccDVQptbnWsajIY5yGlli0MnQek6yd07bDq4T7Rr9l2UJ7rFkaKmxpW1Fx3l+8&#10;gV+32DXfy7Mt53/308xd+n67K42ZjIePd1CJhvQ0P66/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BeHEAAAA2wAAAA8AAAAAAAAAAAAAAAAAmAIAAGRycy9k&#10;b3ducmV2LnhtbFBLBQYAAAAABAAEAPUAAACJAwAAAAA=&#10;" fillcolor="gray" stroked="f">
                  <v:textbox inset=",7.2pt,,7.2pt">
                    <w:txbxContent>
                      <w:p w:rsidR="00820ACA" w:rsidRPr="00F7567F" w:rsidRDefault="00820ACA" w:rsidP="00721F32">
                        <w:pPr>
                          <w:rPr>
                            <w:rFonts w:ascii="Calibri" w:hAnsi="Calibri"/>
                          </w:rPr>
                        </w:pPr>
                      </w:p>
                    </w:txbxContent>
                  </v:textbox>
                </v:shape>
                <v:shape id="Text Box 8" o:spid="_x0000_s103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pOMIA&#10;AADbAAAADwAAAGRycy9kb3ducmV2LnhtbESPQYvCMBCF7wv+hzCCl0VTXbZINcpSEMTLYpWeh2Zs&#10;i82kNllb/70RhL19w7x57816O5hG3KlztWUF81kEgriwuuZSwfm0my5BOI+ssbFMCh7kYLsZfawx&#10;0bbnI90zX4pgwi5BBZX3bSKlKyoy6Ga2JQ67i+0M+jB2pdQd9sHcNHIRRbE0WHNIqLCltKLimv0Z&#10;BekhD3i8/eb5V/MdH7I+/UxLpSbj4WcFwtPg/8Xv670O9efw+iUA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Gk4wgAAANsAAAAPAAAAAAAAAAAAAAAAAJgCAABkcnMvZG93&#10;bnJldi54bWxQSwUGAAAAAAQABAD1AAAAhwMAAAAA&#10;" strokeweight="1.5pt">
                  <v:textbox inset=",7.2pt,,7.2pt">
                    <w:txbxContent>
                      <w:p w:rsidR="00820ACA" w:rsidRPr="00B22E19" w:rsidRDefault="00820ACA" w:rsidP="00721F32">
                        <w:pPr>
                          <w:jc w:val="center"/>
                          <w:rPr>
                            <w:rFonts w:ascii="Times New Roman Bold" w:hAnsi="Times New Roman Bold"/>
                            <w:b/>
                            <w:smallCaps/>
                            <w:sz w:val="16"/>
                            <w:szCs w:val="16"/>
                          </w:rPr>
                        </w:pPr>
                        <w:r w:rsidRPr="00B22E19">
                          <w:rPr>
                            <w:rFonts w:ascii="Times New Roman Bold" w:hAnsi="Times New Roman Bold"/>
                            <w:b/>
                            <w:smallCaps/>
                            <w:sz w:val="16"/>
                            <w:szCs w:val="16"/>
                          </w:rPr>
                          <w:t>Confidential per Protective Order in</w:t>
                        </w:r>
                        <w:r>
                          <w:rPr>
                            <w:rFonts w:ascii="Times New Roman Bold" w:hAnsi="Times New Roman Bold"/>
                            <w:b/>
                            <w:smallCaps/>
                            <w:sz w:val="16"/>
                            <w:szCs w:val="16"/>
                          </w:rPr>
                          <w:t xml:space="preserve"> </w:t>
                        </w:r>
                        <w:r w:rsidRPr="00B22E19">
                          <w:rPr>
                            <w:rFonts w:ascii="Times New Roman Bold" w:hAnsi="Times New Roman Bold"/>
                            <w:b/>
                            <w:smallCaps/>
                            <w:sz w:val="16"/>
                            <w:szCs w:val="16"/>
                          </w:rPr>
                          <w:t>WUTC Docket No. UG-151663</w:t>
                        </w:r>
                      </w:p>
                    </w:txbxContent>
                  </v:textbox>
                </v:shape>
              </v:group>
            </w:pict>
          </mc:Fallback>
        </mc:AlternateContent>
      </w:r>
      <w:r w:rsidR="00335595">
        <w:rPr>
          <w:noProof/>
          <w:lang w:eastAsia="en-US"/>
        </w:rPr>
        <mc:AlternateContent>
          <mc:Choice Requires="wps">
            <w:drawing>
              <wp:anchor distT="0" distB="0" distL="114300" distR="114300" simplePos="0" relativeHeight="251658752" behindDoc="0" locked="0" layoutInCell="0" allowOverlap="1" wp14:anchorId="0ACB826B" wp14:editId="3C56F825">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CC7" w:rsidRDefault="00F77CC7"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" o:allowincell="f" fillcolor="gray" stroked="f">
                <v:textbox inset=",7.2pt,,7.2pt">
                  <w:txbxContent>
                    <w:p w:rsidR="00F77CC7" w:rsidRDefault="00F77CC7" w:rsidP="00A51E78">
                      <w:r>
                        <w:rPr>
                          <w:snapToGrid w:val="0"/>
                        </w:rPr>
                        <w:t>Confidential per WAC 480-07-160</w:t>
                      </w:r>
                    </w:p>
                  </w:txbxContent>
                </v:textbox>
              </v:shape>
            </w:pict>
          </mc:Fallback>
        </mc:AlternateContent>
      </w:r>
      <w:r w:rsidR="00335595">
        <w:rPr>
          <w:noProof/>
          <w:lang w:eastAsia="en-US"/>
        </w:rPr>
        <mc:AlternateContent>
          <mc:Choice Requires="wps">
            <w:drawing>
              <wp:anchor distT="0" distB="0" distL="114300" distR="114300" simplePos="0" relativeHeight="251659776" behindDoc="0" locked="0" layoutInCell="0" allowOverlap="1" wp14:anchorId="6F7A82E6" wp14:editId="49FC9B21">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sidR="00335595">
        <w:rPr>
          <w:noProof/>
          <w:lang w:eastAsia="en-US"/>
        </w:rPr>
        <mc:AlternateContent>
          <mc:Choice Requires="wps">
            <w:drawing>
              <wp:anchor distT="0" distB="0" distL="114300" distR="114300" simplePos="0" relativeHeight="251657728" behindDoc="0" locked="0" layoutInCell="0" allowOverlap="1" wp14:anchorId="7AD81847" wp14:editId="4F284D15">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GBAbliYCAABZBAAADgAAAAAAAAAAAAAAAAAuAgAAZHJzL2Uy&#10;b0RvYy54bWxQSwECLQAUAAYACAAAACEAgWS2U+EAAAANAQAADwAAAAAAAAAAAAAAAACABAAAZHJz&#10;L2Rvd25yZXYueG1sUEsFBgAAAAAEAAQA8wAAAI4FA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sidR="00335595">
        <w:rPr>
          <w:noProof/>
          <w:lang w:eastAsia="en-US"/>
        </w:rPr>
        <mc:AlternateContent>
          <mc:Choice Requires="wps">
            <w:drawing>
              <wp:anchor distT="0" distB="0" distL="114300" distR="114300" simplePos="0" relativeHeight="251656704" behindDoc="0" locked="0" layoutInCell="0" allowOverlap="1" wp14:anchorId="5822110B" wp14:editId="2DF4BAD9">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2d8GykCAABZBAAADgAAAAAAAAAAAAAAAAAuAgAAZHJz&#10;L2Uyb0RvYy54bWxQSwECLQAUAAYACAAAACEAgWS2U+EAAAANAQAADwAAAAAAAAAAAAAAAACDBAAA&#10;ZHJzL2Rvd25yZXYueG1sUEsFBgAAAAAEAAQA8wAAAJEFA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sidR="00A51E78">
        <w:t xml:space="preserve">BRIEF </w:t>
      </w:r>
      <w:r>
        <w:t xml:space="preserve">(CONFIDENTIAL) </w:t>
      </w:r>
      <w:r w:rsidR="00A51E78">
        <w:t>OF</w:t>
      </w:r>
      <w:r w:rsidR="00A51E78">
        <w:br/>
        <w:t>PUGET SOUND ENERGY, INC.</w:t>
      </w:r>
    </w:p>
    <w:p w:rsidR="00A51E78" w:rsidRDefault="00335595" w:rsidP="006D1F1E">
      <w:pPr>
        <w:pStyle w:val="center"/>
      </w:pPr>
      <w:r>
        <w:rPr>
          <w:noProof/>
          <w:lang w:eastAsia="en-US"/>
        </w:rPr>
        <mc:AlternateContent>
          <mc:Choice Requires="wps">
            <w:drawing>
              <wp:anchor distT="0" distB="0" distL="114300" distR="114300" simplePos="0" relativeHeight="251654656" behindDoc="0" locked="0" layoutInCell="0" allowOverlap="1">
                <wp:simplePos x="0" y="0"/>
                <wp:positionH relativeFrom="column">
                  <wp:posOffset>2796540</wp:posOffset>
                </wp:positionH>
                <wp:positionV relativeFrom="paragraph">
                  <wp:posOffset>7770495</wp:posOffset>
                </wp:positionV>
                <wp:extent cx="2646045" cy="40005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CC7" w:rsidRDefault="00F77CC7"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220.2pt;margin-top:611.85pt;width:208.3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" o:allowincell="f" fillcolor="gray" stroked="f">
                <v:textbox inset=",7.2pt,,7.2pt">
                  <w:txbxContent>
                    <w:p w:rsidR="00F77CC7" w:rsidRDefault="00F77CC7"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5680" behindDoc="0" locked="0" layoutInCell="0" allowOverlap="1">
                <wp:simplePos x="0" y="0"/>
                <wp:positionH relativeFrom="column">
                  <wp:posOffset>2699385</wp:posOffset>
                </wp:positionH>
                <wp:positionV relativeFrom="paragraph">
                  <wp:posOffset>7680325</wp:posOffset>
                </wp:positionV>
                <wp:extent cx="2646045" cy="40005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212.55pt;margin-top:604.75pt;width:208.3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3632"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215.7pt;margin-top:604.75pt;width:208.3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EcO5T0nAgAAWgQAAA4AAAAAAAAAAAAAAAAALgIAAGRycy9l&#10;Mm9Eb2MueG1sUEsBAi0AFAAGAAgAAAAhAIFktlPhAAAADQEAAA8AAAAAAAAAAAAAAAAAgQQAAGRy&#10;cy9kb3ducmV2LnhtbFBLBQYAAAAABAAEAPMAAACPBQ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2608"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F77CC7" w:rsidRDefault="00F77CC7"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215.7pt;margin-top:604.75pt;width:208.3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w67HsiYCAABaBAAADgAAAAAAAAAAAAAAAAAuAgAAZHJzL2Uy&#10;b0RvYy54bWxQSwECLQAUAAYACAAAACEAgWS2U+EAAAANAQAADwAAAAAAAAAAAAAAAACABAAAZHJz&#10;L2Rvd25yZXYueG1sUEsFBgAAAAAEAAQA8wAAAI4FAAAAAA==&#10;" o:allowincell="f" strokeweight="1.5pt">
                <v:textbox inset=",7.2pt,,7.2pt">
                  <w:txbxContent>
                    <w:p w:rsidR="00F77CC7" w:rsidRDefault="00F77CC7" w:rsidP="00A51E78">
                      <w:pPr>
                        <w:pStyle w:val="plain"/>
                        <w:jc w:val="center"/>
                        <w:rPr>
                          <w:b/>
                        </w:rPr>
                      </w:pPr>
                      <w:r>
                        <w:rPr>
                          <w:b/>
                          <w:snapToGrid w:val="0"/>
                          <w:lang w:eastAsia="en-US"/>
                        </w:rPr>
                        <w:t>REDACTED VERSION</w:t>
                      </w:r>
                    </w:p>
                  </w:txbxContent>
                </v:textbox>
              </v:shape>
            </w:pict>
          </mc:Fallback>
        </mc:AlternateContent>
      </w:r>
      <w:r w:rsidR="005B3818">
        <w:t>NOVEMBER 24</w:t>
      </w:r>
      <w:r w:rsidR="00A51E78">
        <w:t>, 201</w:t>
      </w:r>
      <w:r w:rsidR="00B764F7">
        <w:t>5</w:t>
      </w:r>
    </w:p>
    <w:p w:rsidR="00A51E78" w:rsidRDefault="00A51E78" w:rsidP="006D1F1E">
      <w:pPr>
        <w:pStyle w:val="center"/>
        <w:rPr>
          <w:b w:val="0"/>
        </w:rPr>
        <w:sectPr w:rsidR="00A51E78">
          <w:headerReference w:type="even" r:id="rId14"/>
          <w:footerReference w:type="even" r:id="rId15"/>
          <w:footerReference w:type="first" r:id="rId16"/>
          <w:pgSz w:w="12240" w:h="15840" w:code="1"/>
          <w:pgMar w:top="1440" w:right="1440" w:bottom="1800" w:left="1440" w:header="720" w:footer="720" w:gutter="0"/>
          <w:pgNumType w:start="1"/>
          <w:cols w:space="720"/>
          <w:vAlign w:val="center"/>
        </w:sectPr>
      </w:pPr>
    </w:p>
    <w:p w:rsidR="00A51E78" w:rsidRDefault="00A51E78" w:rsidP="006D1F1E">
      <w:pPr>
        <w:pStyle w:val="center"/>
        <w:spacing w:line="480" w:lineRule="auto"/>
      </w:pPr>
      <w:r>
        <w:lastRenderedPageBreak/>
        <w:t>PUGET SOUND ENERGY, INC.</w:t>
      </w:r>
    </w:p>
    <w:p w:rsidR="00A51E78" w:rsidRDefault="00A51E78" w:rsidP="00273979">
      <w:pPr>
        <w:pStyle w:val="center"/>
        <w:spacing w:after="240"/>
        <w:rPr>
          <w:color w:val="000000"/>
        </w:rPr>
      </w:pPr>
      <w:r>
        <w:rPr>
          <w:color w:val="000000"/>
        </w:rPr>
        <w:t>TABLE OF CONTENTS</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I.</w:t>
      </w:r>
      <w:r w:rsidRPr="00273979">
        <w:rPr>
          <w:b w:val="0"/>
          <w:color w:val="000000"/>
        </w:rPr>
        <w:tab/>
        <w:t>INTRODUCTION</w:t>
      </w:r>
      <w:r w:rsidRPr="00273979">
        <w:rPr>
          <w:b w:val="0"/>
          <w:color w:val="000000"/>
        </w:rPr>
        <w:tab/>
        <w:t>1</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II.</w:t>
      </w:r>
      <w:r w:rsidRPr="00273979">
        <w:rPr>
          <w:b w:val="0"/>
          <w:color w:val="000000"/>
        </w:rPr>
        <w:tab/>
        <w:t>ISSUE</w:t>
      </w:r>
      <w:r w:rsidRPr="00273979">
        <w:rPr>
          <w:b w:val="0"/>
          <w:color w:val="000000"/>
        </w:rPr>
        <w:tab/>
        <w:t>1</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III.</w:t>
      </w:r>
      <w:r w:rsidRPr="00273979">
        <w:rPr>
          <w:b w:val="0"/>
          <w:color w:val="000000"/>
        </w:rPr>
        <w:tab/>
        <w:t>BACKGROUND</w:t>
      </w:r>
      <w:r w:rsidRPr="00273979">
        <w:rPr>
          <w:b w:val="0"/>
          <w:color w:val="000000"/>
        </w:rPr>
        <w:tab/>
        <w:t>1</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A.</w:t>
      </w:r>
      <w:r w:rsidRPr="00273979">
        <w:rPr>
          <w:b w:val="0"/>
          <w:color w:val="000000"/>
        </w:rPr>
        <w:tab/>
        <w:t>Background Regarding the Tacoma LNG Facility</w:t>
      </w:r>
      <w:r w:rsidRPr="00273979">
        <w:rPr>
          <w:b w:val="0"/>
          <w:color w:val="000000"/>
        </w:rPr>
        <w:tab/>
        <w:t>3</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1.</w:t>
      </w:r>
      <w:r w:rsidRPr="00273979">
        <w:rPr>
          <w:b w:val="0"/>
          <w:color w:val="000000"/>
        </w:rPr>
        <w:tab/>
        <w:t>The Tacoma LNG Facility</w:t>
      </w:r>
      <w:r w:rsidRPr="00273979">
        <w:rPr>
          <w:b w:val="0"/>
          <w:color w:val="000000"/>
        </w:rPr>
        <w:tab/>
        <w:t>3</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2.</w:t>
      </w:r>
      <w:r w:rsidRPr="00273979">
        <w:rPr>
          <w:b w:val="0"/>
          <w:color w:val="000000"/>
        </w:rPr>
        <w:tab/>
        <w:t>Projected Development Timeline and Budget</w:t>
      </w:r>
      <w:r w:rsidRPr="00273979">
        <w:rPr>
          <w:b w:val="0"/>
          <w:color w:val="000000"/>
        </w:rPr>
        <w:tab/>
        <w:t>7</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B.</w:t>
      </w:r>
      <w:r w:rsidRPr="00273979">
        <w:rPr>
          <w:b w:val="0"/>
          <w:color w:val="000000"/>
        </w:rPr>
        <w:tab/>
        <w:t>Background Regarding the TOTE Special Contract</w:t>
      </w:r>
      <w:r w:rsidRPr="00273979">
        <w:rPr>
          <w:b w:val="0"/>
          <w:color w:val="000000"/>
        </w:rPr>
        <w:tab/>
        <w:t>9</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C.</w:t>
      </w:r>
      <w:r w:rsidRPr="00273979">
        <w:rPr>
          <w:b w:val="0"/>
          <w:color w:val="000000"/>
        </w:rPr>
        <w:tab/>
        <w:t>Procedural Background</w:t>
      </w:r>
      <w:r w:rsidRPr="00273979">
        <w:rPr>
          <w:b w:val="0"/>
          <w:color w:val="000000"/>
        </w:rPr>
        <w:tab/>
        <w:t>12</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IV.</w:t>
      </w:r>
      <w:r w:rsidRPr="00273979">
        <w:rPr>
          <w:b w:val="0"/>
          <w:color w:val="000000"/>
        </w:rPr>
        <w:tab/>
        <w:t>ARGUMENT</w:t>
      </w:r>
      <w:r w:rsidRPr="00273979">
        <w:rPr>
          <w:b w:val="0"/>
          <w:color w:val="000000"/>
        </w:rPr>
        <w:tab/>
        <w:t>12</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A.</w:t>
      </w:r>
      <w:r w:rsidRPr="00273979">
        <w:rPr>
          <w:b w:val="0"/>
          <w:color w:val="000000"/>
        </w:rPr>
        <w:tab/>
        <w:t>The Commission Can Exercise Jurisdiction over Natural Gas Sales by a Gas Company</w:t>
      </w:r>
      <w:r w:rsidRPr="00273979">
        <w:rPr>
          <w:b w:val="0"/>
          <w:color w:val="000000"/>
        </w:rPr>
        <w:tab/>
        <w:t>12</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1.</w:t>
      </w:r>
      <w:r w:rsidRPr="00273979">
        <w:rPr>
          <w:b w:val="0"/>
          <w:color w:val="000000"/>
        </w:rPr>
        <w:tab/>
        <w:t>PSE is a Gas Company (as Defined by RCW 80.04.010)</w:t>
      </w:r>
      <w:r w:rsidRPr="00273979">
        <w:rPr>
          <w:b w:val="0"/>
          <w:color w:val="000000"/>
        </w:rPr>
        <w:tab/>
        <w:t>13</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2.</w:t>
      </w:r>
      <w:r w:rsidRPr="00273979">
        <w:rPr>
          <w:b w:val="0"/>
          <w:color w:val="000000"/>
        </w:rPr>
        <w:tab/>
        <w:t>LNG is Natural Gas (as Defined by WAC 480-90-023)</w:t>
      </w:r>
      <w:r w:rsidRPr="00273979">
        <w:rPr>
          <w:b w:val="0"/>
          <w:color w:val="000000"/>
        </w:rPr>
        <w:tab/>
        <w:t>14</w:t>
      </w:r>
    </w:p>
    <w:p w:rsid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3.</w:t>
      </w:r>
      <w:r w:rsidRPr="00273979">
        <w:rPr>
          <w:b w:val="0"/>
          <w:color w:val="000000"/>
        </w:rPr>
        <w:tab/>
        <w:t>The Commission Has Authority to Regulate Natural Gas Sales under Title 80 RCW</w:t>
      </w:r>
      <w:r w:rsidRPr="00273979">
        <w:rPr>
          <w:b w:val="0"/>
          <w:color w:val="000000"/>
        </w:rPr>
        <w:tab/>
        <w:t>18</w:t>
      </w:r>
    </w:p>
    <w:p w:rsidR="00273979" w:rsidRPr="00273979" w:rsidRDefault="00273979" w:rsidP="00273979">
      <w:pPr>
        <w:pStyle w:val="center"/>
        <w:tabs>
          <w:tab w:val="right" w:leader="dot" w:pos="9360"/>
        </w:tabs>
        <w:spacing w:after="240"/>
        <w:ind w:left="2160" w:right="720" w:hanging="720"/>
        <w:jc w:val="left"/>
        <w:rPr>
          <w:b w:val="0"/>
          <w:color w:val="000000"/>
        </w:rPr>
      </w:pPr>
      <w:r w:rsidRPr="00273979">
        <w:rPr>
          <w:b w:val="0"/>
          <w:color w:val="000000"/>
        </w:rPr>
        <w:t>4.</w:t>
      </w:r>
      <w:r w:rsidRPr="00273979">
        <w:rPr>
          <w:b w:val="0"/>
          <w:color w:val="000000"/>
        </w:rPr>
        <w:tab/>
        <w:t>PSE Meters and Passes Title to LNG Under the TOTE Special Contract As the LNG i</w:t>
      </w:r>
      <w:r w:rsidR="00601B33">
        <w:rPr>
          <w:b w:val="0"/>
          <w:color w:val="000000"/>
        </w:rPr>
        <w:t>s Loaded Into the TOTE Vessel</w:t>
      </w:r>
      <w:r w:rsidR="00601B33">
        <w:rPr>
          <w:b w:val="0"/>
          <w:color w:val="000000"/>
        </w:rPr>
        <w:tab/>
        <w:t>20</w:t>
      </w:r>
    </w:p>
    <w:p w:rsidR="00273979" w:rsidRDefault="00273979" w:rsidP="00273979">
      <w:pPr>
        <w:pStyle w:val="center"/>
        <w:tabs>
          <w:tab w:val="right" w:leader="dot" w:pos="9360"/>
        </w:tabs>
        <w:spacing w:after="240"/>
        <w:ind w:left="1440" w:right="720" w:hanging="720"/>
        <w:jc w:val="left"/>
        <w:rPr>
          <w:b w:val="0"/>
          <w:color w:val="000000"/>
        </w:rPr>
      </w:pPr>
      <w:r w:rsidRPr="00273979">
        <w:rPr>
          <w:b w:val="0"/>
          <w:color w:val="000000"/>
        </w:rPr>
        <w:t>B.</w:t>
      </w:r>
      <w:r w:rsidRPr="00273979">
        <w:rPr>
          <w:b w:val="0"/>
          <w:color w:val="000000"/>
        </w:rPr>
        <w:tab/>
        <w:t>Liquefied Natural Gas Sales by a Gas Company in Washington for Use as Transportation Fuel by Marine Vessels Are Not Subject to Federal Jurisdiction</w:t>
      </w:r>
      <w:r w:rsidRPr="00273979">
        <w:rPr>
          <w:b w:val="0"/>
          <w:color w:val="000000"/>
        </w:rPr>
        <w:tab/>
        <w:t>21</w:t>
      </w:r>
    </w:p>
    <w:p w:rsidR="00273979" w:rsidRDefault="00273979" w:rsidP="00273979">
      <w:pPr>
        <w:pStyle w:val="center"/>
        <w:tabs>
          <w:tab w:val="right" w:leader="dot" w:pos="9360"/>
        </w:tabs>
        <w:spacing w:after="240"/>
        <w:ind w:left="720" w:right="720" w:hanging="720"/>
        <w:jc w:val="left"/>
        <w:rPr>
          <w:b w:val="0"/>
          <w:color w:val="000000"/>
        </w:rPr>
      </w:pPr>
      <w:r w:rsidRPr="00273979">
        <w:rPr>
          <w:b w:val="0"/>
          <w:color w:val="000000"/>
        </w:rPr>
        <w:t>V.</w:t>
      </w:r>
      <w:r w:rsidRPr="00273979">
        <w:rPr>
          <w:b w:val="0"/>
          <w:color w:val="000000"/>
        </w:rPr>
        <w:tab/>
        <w:t>CONCLUSION</w:t>
      </w:r>
      <w:r w:rsidRPr="00273979">
        <w:rPr>
          <w:b w:val="0"/>
          <w:color w:val="000000"/>
        </w:rPr>
        <w:tab/>
        <w:t>23</w:t>
      </w:r>
    </w:p>
    <w:p w:rsidR="00A51E78" w:rsidRDefault="00A51E78" w:rsidP="006D1F1E">
      <w:pPr>
        <w:pStyle w:val="center"/>
        <w:spacing w:line="480" w:lineRule="auto"/>
      </w:pPr>
      <w:r>
        <w:br w:type="page"/>
      </w:r>
      <w:r>
        <w:lastRenderedPageBreak/>
        <w:t>PUGET SOUND ENERGY, INC.</w:t>
      </w:r>
    </w:p>
    <w:p w:rsidR="00A51E78" w:rsidRPr="002E7BED" w:rsidRDefault="00A51E78" w:rsidP="006D1F1E">
      <w:pPr>
        <w:pStyle w:val="center"/>
        <w:spacing w:line="480" w:lineRule="auto"/>
      </w:pPr>
      <w:r w:rsidRPr="002E7BED">
        <w:t>TABLE OF AUTHORITIES</w:t>
      </w:r>
    </w:p>
    <w:p w:rsidR="00F77CC7" w:rsidRDefault="00F77CC7" w:rsidP="00B52F28">
      <w:pPr>
        <w:pStyle w:val="TOAHeading"/>
        <w:tabs>
          <w:tab w:val="right" w:leader="dot" w:pos="9350"/>
        </w:tabs>
        <w:spacing w:before="0" w:after="240" w:line="240" w:lineRule="auto"/>
      </w:pPr>
      <w:r>
        <w:t>Statutes</w:t>
      </w:r>
    </w:p>
    <w:p w:rsidR="00F77CC7" w:rsidRPr="00F77CC7" w:rsidRDefault="00F77CC7" w:rsidP="00B52F28">
      <w:pPr>
        <w:tabs>
          <w:tab w:val="clear" w:pos="720"/>
          <w:tab w:val="right" w:leader="dot" w:pos="9360"/>
        </w:tabs>
        <w:spacing w:after="240" w:line="240" w:lineRule="auto"/>
        <w:ind w:firstLine="0"/>
      </w:pPr>
      <w:r w:rsidRPr="00F77CC7">
        <w:t>RCW 43.19.648</w:t>
      </w:r>
      <w:r w:rsidRPr="00F77CC7">
        <w:tab/>
        <w:t>19</w:t>
      </w:r>
    </w:p>
    <w:p w:rsidR="00F77CC7" w:rsidRPr="00F77CC7" w:rsidRDefault="00F77CC7" w:rsidP="00B52F28">
      <w:pPr>
        <w:tabs>
          <w:tab w:val="clear" w:pos="720"/>
          <w:tab w:val="right" w:leader="dot" w:pos="9360"/>
        </w:tabs>
        <w:spacing w:after="240" w:line="240" w:lineRule="auto"/>
        <w:ind w:firstLine="0"/>
      </w:pPr>
      <w:r w:rsidRPr="00F77CC7">
        <w:t>RCW 80.04.010</w:t>
      </w:r>
      <w:r w:rsidRPr="00F77CC7">
        <w:tab/>
        <w:t>passim</w:t>
      </w:r>
    </w:p>
    <w:p w:rsidR="00F77CC7" w:rsidRPr="00F77CC7" w:rsidRDefault="00F77CC7" w:rsidP="00B52F28">
      <w:pPr>
        <w:tabs>
          <w:tab w:val="clear" w:pos="720"/>
          <w:tab w:val="right" w:leader="dot" w:pos="9360"/>
        </w:tabs>
        <w:spacing w:after="240" w:line="240" w:lineRule="auto"/>
        <w:ind w:left="270" w:hanging="270"/>
      </w:pPr>
      <w:r w:rsidRPr="00F77CC7">
        <w:t>Section 1 of the Nat</w:t>
      </w:r>
      <w:r w:rsidR="00B52F28">
        <w:t>ural Gas Act,</w:t>
      </w:r>
      <w:r w:rsidR="00B52F28">
        <w:br/>
        <w:t>15 U.S.C. § 717</w:t>
      </w:r>
      <w:r w:rsidR="00B52F28">
        <w:tab/>
        <w:t>21</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Section 2 of the Natural Gas Act,</w:t>
      </w:r>
      <w:r w:rsidRPr="00F77CC7">
        <w:rPr>
          <w:i w:val="0"/>
          <w:color w:val="auto"/>
        </w:rPr>
        <w:br/>
        <w:t>15 U.S.C. § 717a</w:t>
      </w:r>
      <w:r w:rsidRPr="00F77CC7">
        <w:rPr>
          <w:i w:val="0"/>
          <w:color w:val="auto"/>
        </w:rPr>
        <w:tab/>
        <w:t>2</w:t>
      </w:r>
      <w:r w:rsidR="006C5F5C">
        <w:rPr>
          <w:i w:val="0"/>
          <w:color w:val="auto"/>
        </w:rPr>
        <w:t>2</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Section 404(b) of the Energy Policy Act of 1992,</w:t>
      </w:r>
      <w:r w:rsidRPr="00F77CC7">
        <w:rPr>
          <w:i w:val="0"/>
          <w:color w:val="auto"/>
        </w:rPr>
        <w:br/>
        <w:t>Pub. L. 102–486, title IV, § 404(b)</w:t>
      </w:r>
      <w:r w:rsidRPr="00F77CC7">
        <w:rPr>
          <w:i w:val="0"/>
          <w:color w:val="auto"/>
        </w:rPr>
        <w:tab/>
        <w:t>2</w:t>
      </w:r>
      <w:r w:rsidR="003F04B4">
        <w:rPr>
          <w:i w:val="0"/>
          <w:color w:val="auto"/>
        </w:rPr>
        <w:t>3</w:t>
      </w:r>
    </w:p>
    <w:p w:rsidR="00F77CC7" w:rsidRDefault="00F77CC7" w:rsidP="00B52F28">
      <w:pPr>
        <w:pStyle w:val="TOAHeading"/>
        <w:tabs>
          <w:tab w:val="right" w:leader="dot" w:pos="9360"/>
        </w:tabs>
        <w:spacing w:before="0" w:after="240" w:line="240" w:lineRule="auto"/>
      </w:pPr>
      <w:r>
        <w:t>Regulations</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18 C.F.R. § 152.1</w:t>
      </w:r>
      <w:r w:rsidRPr="00F77CC7">
        <w:rPr>
          <w:i w:val="0"/>
          <w:color w:val="auto"/>
        </w:rPr>
        <w:tab/>
        <w:t>22</w:t>
      </w:r>
    </w:p>
    <w:p w:rsidR="00F77CC7" w:rsidRPr="00F77CC7" w:rsidRDefault="00F77CC7" w:rsidP="00B52F28">
      <w:pPr>
        <w:pStyle w:val="TableofAuthorities"/>
        <w:tabs>
          <w:tab w:val="clear" w:pos="9288"/>
          <w:tab w:val="right" w:leader="dot" w:pos="9360"/>
        </w:tabs>
        <w:spacing w:before="0" w:after="240"/>
        <w:rPr>
          <w:i w:val="0"/>
          <w:color w:val="auto"/>
        </w:rPr>
      </w:pPr>
      <w:r w:rsidRPr="00CC4339">
        <w:rPr>
          <w:color w:val="auto"/>
        </w:rPr>
        <w:t>Regulations Governing Vehicular Natural Gas</w:t>
      </w:r>
      <w:r w:rsidRPr="00F77CC7">
        <w:rPr>
          <w:i w:val="0"/>
          <w:color w:val="auto"/>
        </w:rPr>
        <w:t>, Order No. 543,</w:t>
      </w:r>
      <w:r w:rsidRPr="00F77CC7">
        <w:rPr>
          <w:i w:val="0"/>
          <w:color w:val="auto"/>
        </w:rPr>
        <w:br/>
        <w:t>57 Fed. Reg. 32,890 (1992)</w:t>
      </w:r>
      <w:r w:rsidRPr="00F77CC7">
        <w:rPr>
          <w:i w:val="0"/>
          <w:color w:val="auto"/>
        </w:rPr>
        <w:tab/>
        <w:t>2</w:t>
      </w:r>
      <w:r w:rsidR="003F04B4">
        <w:rPr>
          <w:i w:val="0"/>
          <w:color w:val="auto"/>
        </w:rPr>
        <w:t>2</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WAC 480-80-143</w:t>
      </w:r>
      <w:r w:rsidRPr="00F77CC7">
        <w:rPr>
          <w:i w:val="0"/>
          <w:color w:val="auto"/>
        </w:rPr>
        <w:tab/>
        <w:t>9</w:t>
      </w:r>
    </w:p>
    <w:p w:rsidR="00F77CC7" w:rsidRPr="00F77CC7" w:rsidRDefault="00F77CC7" w:rsidP="00B52F28">
      <w:pPr>
        <w:pStyle w:val="TableofAuthorities"/>
        <w:tabs>
          <w:tab w:val="clear" w:pos="9288"/>
          <w:tab w:val="right" w:leader="dot" w:pos="9360"/>
        </w:tabs>
        <w:spacing w:before="0" w:after="240"/>
        <w:rPr>
          <w:i w:val="0"/>
          <w:color w:val="auto"/>
        </w:rPr>
      </w:pPr>
      <w:r w:rsidRPr="00F77CC7">
        <w:rPr>
          <w:i w:val="0"/>
          <w:color w:val="auto"/>
        </w:rPr>
        <w:t>WAC 480-90-023</w:t>
      </w:r>
      <w:r w:rsidRPr="00F77CC7">
        <w:rPr>
          <w:i w:val="0"/>
          <w:color w:val="auto"/>
        </w:rPr>
        <w:tab/>
        <w:t>passim</w:t>
      </w:r>
    </w:p>
    <w:p w:rsidR="00F77CC7" w:rsidRPr="00F77CC7" w:rsidRDefault="00F77CC7" w:rsidP="00B52F28">
      <w:pPr>
        <w:pStyle w:val="TOAHeading"/>
        <w:tabs>
          <w:tab w:val="right" w:leader="dot" w:pos="9360"/>
        </w:tabs>
        <w:spacing w:before="0" w:after="240" w:line="240" w:lineRule="auto"/>
      </w:pPr>
      <w:r w:rsidRPr="00F77CC7">
        <w:t>Commission Orders</w:t>
      </w:r>
    </w:p>
    <w:p w:rsidR="00B52F28" w:rsidRDefault="00B52F28" w:rsidP="00B52F28">
      <w:pPr>
        <w:pStyle w:val="TableofAuthorities"/>
        <w:tabs>
          <w:tab w:val="clear" w:pos="9288"/>
          <w:tab w:val="right" w:leader="dot" w:pos="9360"/>
        </w:tabs>
        <w:spacing w:before="0" w:after="240"/>
        <w:rPr>
          <w:i w:val="0"/>
          <w:color w:val="auto"/>
        </w:rPr>
      </w:pPr>
      <w:r w:rsidRPr="00CC4339">
        <w:rPr>
          <w:color w:val="auto"/>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Pr="00B52F28">
        <w:rPr>
          <w:i w:val="0"/>
          <w:color w:val="auto"/>
        </w:rPr>
        <w:t>, Docket UG-151663, Order 01 (Prehearing Conference Order; Notice of Prehearing Conference) (Sept. 8, 2015)</w:t>
      </w:r>
      <w:r w:rsidRPr="00B52F28">
        <w:rPr>
          <w:i w:val="0"/>
          <w:color w:val="auto"/>
        </w:rPr>
        <w:tab/>
        <w:t>12</w:t>
      </w:r>
    </w:p>
    <w:p w:rsidR="00B52F28" w:rsidRDefault="00B52F28" w:rsidP="00B52F28">
      <w:pPr>
        <w:pStyle w:val="TableofAuthorities"/>
        <w:tabs>
          <w:tab w:val="clear" w:pos="9288"/>
          <w:tab w:val="right" w:leader="dot" w:pos="9360"/>
        </w:tabs>
        <w:spacing w:before="0" w:after="240"/>
        <w:rPr>
          <w:i w:val="0"/>
          <w:color w:val="auto"/>
        </w:rPr>
      </w:pPr>
      <w:r w:rsidRPr="00CC4339">
        <w:rPr>
          <w:color w:val="auto"/>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Pr="00B52F28">
        <w:rPr>
          <w:i w:val="0"/>
          <w:color w:val="auto"/>
        </w:rPr>
        <w:t>, Docket UG-151663, Order 03 (Prehearing Conference Order, Notice of Hearing) (Oct. 15, 2015)</w:t>
      </w:r>
      <w:r w:rsidRPr="00B52F28">
        <w:rPr>
          <w:i w:val="0"/>
          <w:color w:val="auto"/>
        </w:rPr>
        <w:tab/>
        <w:t>12</w:t>
      </w:r>
    </w:p>
    <w:p w:rsidR="00B52F28" w:rsidRDefault="00B52F28" w:rsidP="00B52F28">
      <w:pPr>
        <w:pStyle w:val="TableofAuthorities"/>
        <w:tabs>
          <w:tab w:val="clear" w:pos="9288"/>
          <w:tab w:val="right" w:leader="dot" w:pos="9360"/>
        </w:tabs>
        <w:spacing w:before="0" w:after="240"/>
        <w:rPr>
          <w:i w:val="0"/>
          <w:color w:val="auto"/>
        </w:rPr>
      </w:pPr>
      <w:r w:rsidRPr="00CC4339">
        <w:rPr>
          <w:color w:val="auto"/>
        </w:rPr>
        <w:lastRenderedPageBreak/>
        <w:t>WUTC v. Puget Sound Energy, Inc.</w:t>
      </w:r>
      <w:r w:rsidRPr="00B52F28">
        <w:rPr>
          <w:i w:val="0"/>
          <w:color w:val="auto"/>
        </w:rPr>
        <w:t>, Dockets UE-111048 &amp; UG-111049, Order 08 (May 7, 2012)</w:t>
      </w:r>
      <w:r w:rsidRPr="00B52F28">
        <w:rPr>
          <w:i w:val="0"/>
          <w:color w:val="auto"/>
        </w:rPr>
        <w:tab/>
        <w:t>14</w:t>
      </w:r>
    </w:p>
    <w:p w:rsidR="00B52F28" w:rsidRPr="00CC4339" w:rsidRDefault="00B52F28" w:rsidP="00B52F28">
      <w:pPr>
        <w:pStyle w:val="TableofAuthorities"/>
        <w:tabs>
          <w:tab w:val="clear" w:pos="9288"/>
          <w:tab w:val="right" w:leader="dot" w:pos="9360"/>
        </w:tabs>
        <w:spacing w:before="0" w:after="240"/>
        <w:rPr>
          <w:color w:val="auto"/>
        </w:rPr>
      </w:pPr>
      <w:r w:rsidRPr="00CC4339">
        <w:rPr>
          <w:color w:val="auto"/>
        </w:rPr>
        <w:t>WUTC v. Washington Natural Gas Company</w:t>
      </w:r>
      <w:r w:rsidRPr="00B52F28">
        <w:rPr>
          <w:i w:val="0"/>
          <w:color w:val="auto"/>
        </w:rPr>
        <w:t>, Docket UG-920840, 4th Suppl. Order (Sept. 27, 1993)</w:t>
      </w:r>
      <w:r w:rsidRPr="00B52F28">
        <w:rPr>
          <w:i w:val="0"/>
          <w:color w:val="auto"/>
        </w:rPr>
        <w:tab/>
        <w:t>19</w:t>
      </w:r>
    </w:p>
    <w:p w:rsidR="00B52F28" w:rsidRPr="00F77CC7" w:rsidRDefault="00B52F28" w:rsidP="00B52F28">
      <w:pPr>
        <w:pStyle w:val="TOAHeading"/>
        <w:tabs>
          <w:tab w:val="clear" w:pos="8990"/>
          <w:tab w:val="right" w:leader="dot" w:pos="9360"/>
        </w:tabs>
        <w:spacing w:before="0" w:after="240" w:line="240" w:lineRule="auto"/>
      </w:pPr>
      <w:r>
        <w:t>Secondary Sources</w:t>
      </w:r>
    </w:p>
    <w:p w:rsidR="00B52F28" w:rsidRDefault="00B52F28" w:rsidP="00B52F28">
      <w:pPr>
        <w:pStyle w:val="TableofAuthorities"/>
        <w:tabs>
          <w:tab w:val="right" w:leader="dot" w:pos="9360"/>
        </w:tabs>
        <w:spacing w:before="0" w:after="240"/>
        <w:rPr>
          <w:i w:val="0"/>
          <w:color w:val="auto"/>
        </w:rPr>
      </w:pPr>
      <w:r w:rsidRPr="00B52F28">
        <w:rPr>
          <w:i w:val="0"/>
          <w:color w:val="auto"/>
        </w:rPr>
        <w:t xml:space="preserve">Northwest Pipeline LLC, FERC Gas Tariff, Fifth Revised Volume No. 1, available at </w:t>
      </w:r>
      <w:hyperlink r:id="rId17" w:history="1">
        <w:r w:rsidRPr="00E2721A">
          <w:rPr>
            <w:rStyle w:val="Hyperlink"/>
            <w:i w:val="0"/>
          </w:rPr>
          <w:t>http://www.northwest.williams.com/Files/Northwest/tariff/tariff_GTC.pdf</w:t>
        </w:r>
      </w:hyperlink>
      <w:r w:rsidRPr="00B52F28">
        <w:rPr>
          <w:i w:val="0"/>
          <w:color w:val="auto"/>
        </w:rPr>
        <w:tab/>
        <w:t>15</w:t>
      </w:r>
      <w:r w:rsidR="006C5F5C">
        <w:rPr>
          <w:i w:val="0"/>
          <w:color w:val="auto"/>
        </w:rPr>
        <w:t>, 16</w:t>
      </w:r>
    </w:p>
    <w:p w:rsidR="00B52F28" w:rsidRDefault="00B52F28" w:rsidP="00B52F28">
      <w:pPr>
        <w:pStyle w:val="TableofAuthorities"/>
        <w:tabs>
          <w:tab w:val="clear" w:pos="9288"/>
          <w:tab w:val="right" w:leader="dot" w:pos="9360"/>
        </w:tabs>
        <w:rPr>
          <w:i w:val="0"/>
          <w:color w:val="auto"/>
        </w:rPr>
      </w:pPr>
      <w:r w:rsidRPr="00B52F28">
        <w:rPr>
          <w:i w:val="0"/>
          <w:color w:val="auto"/>
        </w:rPr>
        <w:t xml:space="preserve">U.S. Department of Energy, Office of Fossil Energy, National Energy Technology Laboratory, Strategic Center for Natural Gas, </w:t>
      </w:r>
      <w:r w:rsidRPr="00B52F28">
        <w:rPr>
          <w:color w:val="auto"/>
        </w:rPr>
        <w:t>Liquefied Natural Gas (LNG)</w:t>
      </w:r>
      <w:r w:rsidRPr="00B52F28">
        <w:rPr>
          <w:i w:val="0"/>
          <w:color w:val="auto"/>
        </w:rPr>
        <w:t xml:space="preserve">, at page 1 (June 2004), available at </w:t>
      </w:r>
      <w:hyperlink r:id="rId18" w:history="1">
        <w:r w:rsidRPr="00E2721A">
          <w:rPr>
            <w:rStyle w:val="Hyperlink"/>
            <w:i w:val="0"/>
          </w:rPr>
          <w:t>https://www.netl.doe.gov/publications/factsheets/policy/Policy023.pdf</w:t>
        </w:r>
      </w:hyperlink>
      <w:r w:rsidRPr="00B52F28">
        <w:rPr>
          <w:i w:val="0"/>
          <w:color w:val="auto"/>
        </w:rPr>
        <w:tab/>
        <w:t>15</w:t>
      </w:r>
    </w:p>
    <w:p w:rsidR="00B52F28" w:rsidRDefault="00B52F28" w:rsidP="00B52F28">
      <w:pPr>
        <w:pStyle w:val="TableofAuthorities"/>
        <w:tabs>
          <w:tab w:val="clear" w:pos="9288"/>
          <w:tab w:val="right" w:leader="dot" w:pos="9360"/>
        </w:tabs>
        <w:rPr>
          <w:i w:val="0"/>
          <w:noProof w:val="0"/>
          <w:color w:val="auto"/>
        </w:rPr>
      </w:pPr>
      <w:r w:rsidRPr="00B52F28">
        <w:rPr>
          <w:i w:val="0"/>
          <w:color w:val="auto"/>
        </w:rPr>
        <w:t xml:space="preserve">U.S. Energy Information Administration, </w:t>
      </w:r>
      <w:r w:rsidRPr="00B52F28">
        <w:rPr>
          <w:color w:val="auto"/>
        </w:rPr>
        <w:t>Natural Gas Explained</w:t>
      </w:r>
      <w:r w:rsidRPr="00B52F28">
        <w:rPr>
          <w:i w:val="0"/>
          <w:color w:val="auto"/>
        </w:rPr>
        <w:t xml:space="preserve">, available at </w:t>
      </w:r>
      <w:hyperlink r:id="rId19" w:history="1">
        <w:r w:rsidRPr="00E2721A">
          <w:rPr>
            <w:rStyle w:val="Hyperlink"/>
            <w:i w:val="0"/>
          </w:rPr>
          <w:t>http://www.eia.gov/EnergyExplained/index.cfm?page=Natural_Gas_Home</w:t>
        </w:r>
      </w:hyperlink>
      <w:r w:rsidRPr="00B52F28">
        <w:rPr>
          <w:i w:val="0"/>
          <w:color w:val="auto"/>
        </w:rPr>
        <w:tab/>
        <w:t>1</w:t>
      </w:r>
      <w:r w:rsidR="003F04B4">
        <w:rPr>
          <w:i w:val="0"/>
          <w:color w:val="auto"/>
        </w:rPr>
        <w:t>5</w:t>
      </w:r>
    </w:p>
    <w:p w:rsidR="00B52F28" w:rsidRDefault="00B52F28" w:rsidP="00B52F28">
      <w:pPr>
        <w:pStyle w:val="TableofAuthorities"/>
        <w:tabs>
          <w:tab w:val="clear" w:pos="9288"/>
          <w:tab w:val="right" w:leader="dot" w:pos="9360"/>
        </w:tabs>
      </w:pPr>
      <w:r w:rsidRPr="00B52F28">
        <w:rPr>
          <w:i w:val="0"/>
          <w:color w:val="auto"/>
        </w:rPr>
        <w:t xml:space="preserve">University of Texas Center for Energy Economics, </w:t>
      </w:r>
      <w:r w:rsidRPr="00B52F28">
        <w:rPr>
          <w:color w:val="auto"/>
        </w:rPr>
        <w:t>Composition of Natural Gas and LNG</w:t>
      </w:r>
      <w:r w:rsidRPr="00B52F28">
        <w:rPr>
          <w:i w:val="0"/>
          <w:color w:val="auto"/>
        </w:rPr>
        <w:t xml:space="preserve">, available at </w:t>
      </w:r>
      <w:hyperlink r:id="rId20" w:history="1">
        <w:r w:rsidRPr="00B52F28">
          <w:rPr>
            <w:rStyle w:val="Hyperlink"/>
            <w:i w:val="0"/>
          </w:rPr>
          <w:t>http://www.beg.utexas.edu/energyecon/lng/LNG_introduction_07.php</w:t>
        </w:r>
      </w:hyperlink>
      <w:r w:rsidRPr="00B52F28">
        <w:rPr>
          <w:i w:val="0"/>
          <w:color w:val="auto"/>
        </w:rPr>
        <w:tab/>
      </w:r>
      <w:r w:rsidR="006C5F5C">
        <w:rPr>
          <w:i w:val="0"/>
          <w:color w:val="auto"/>
        </w:rPr>
        <w:t>15</w:t>
      </w:r>
    </w:p>
    <w:p w:rsidR="00B52F28" w:rsidRDefault="00B52F28" w:rsidP="00B52F28">
      <w:pPr>
        <w:pStyle w:val="TOAHeading"/>
        <w:tabs>
          <w:tab w:val="right" w:leader="dot" w:pos="9350"/>
        </w:tabs>
      </w:pPr>
    </w:p>
    <w:p w:rsidR="00513B03" w:rsidRDefault="00513B03" w:rsidP="006D1F1E">
      <w:pPr>
        <w:ind w:firstLine="0"/>
        <w:jc w:val="center"/>
        <w:sectPr w:rsidR="00513B03" w:rsidSect="00B80B7E">
          <w:headerReference w:type="default" r:id="rId21"/>
          <w:footerReference w:type="default" r:id="rId22"/>
          <w:headerReference w:type="first" r:id="rId23"/>
          <w:footerReference w:type="first" r:id="rId24"/>
          <w:pgSz w:w="12240" w:h="15840" w:code="1"/>
          <w:pgMar w:top="1440" w:right="1440" w:bottom="1800" w:left="1440" w:header="720" w:footer="720" w:gutter="0"/>
          <w:pgNumType w:fmt="lowerRoman" w:start="1"/>
          <w:cols w:space="720"/>
        </w:sectPr>
      </w:pPr>
    </w:p>
    <w:p w:rsidR="00A51E78" w:rsidRPr="00AC34FC" w:rsidRDefault="00A51E78" w:rsidP="006D1F1E">
      <w:pPr>
        <w:pStyle w:val="Heading1"/>
        <w:widowControl/>
      </w:pPr>
      <w:bookmarkStart w:id="1" w:name="_Toc317587391"/>
      <w:bookmarkStart w:id="2" w:name="_Toc319675672"/>
      <w:bookmarkStart w:id="3" w:name="_Toc435799477"/>
      <w:bookmarkStart w:id="4" w:name="_Toc436128665"/>
      <w:r w:rsidRPr="00AC34FC">
        <w:lastRenderedPageBreak/>
        <w:t>I.</w:t>
      </w:r>
      <w:r w:rsidR="00302BAB" w:rsidRPr="00AC34FC">
        <w:tab/>
      </w:r>
      <w:r w:rsidRPr="00AC34FC">
        <w:t>INTRODUCTION</w:t>
      </w:r>
      <w:bookmarkEnd w:id="1"/>
      <w:bookmarkEnd w:id="2"/>
      <w:bookmarkEnd w:id="3"/>
      <w:bookmarkEnd w:id="4"/>
    </w:p>
    <w:p w:rsidR="00A51E78" w:rsidRDefault="00A51E78" w:rsidP="006D1F1E">
      <w:pPr>
        <w:spacing w:line="480" w:lineRule="auto"/>
      </w:pPr>
      <w:r>
        <w:rPr>
          <w:i/>
        </w:rPr>
        <w:fldChar w:fldCharType="begin"/>
      </w:r>
      <w:r>
        <w:rPr>
          <w:i/>
        </w:rPr>
        <w:instrText xml:space="preserve"> AUTONUM </w:instrText>
      </w:r>
      <w:r>
        <w:rPr>
          <w:i/>
        </w:rPr>
        <w:fldChar w:fldCharType="end"/>
      </w:r>
      <w:r>
        <w:tab/>
      </w:r>
      <w:r w:rsidR="00D432B8">
        <w:tab/>
      </w:r>
      <w:r w:rsidR="00331FAB">
        <w:t>Puget Sound Energy, Inc. (</w:t>
      </w:r>
      <w:r w:rsidR="002B591F">
        <w:t>“</w:t>
      </w:r>
      <w:r w:rsidR="00331FAB">
        <w:t>PSE</w:t>
      </w:r>
      <w:r w:rsidR="002B591F">
        <w:t>”</w:t>
      </w:r>
      <w:r w:rsidR="00331FAB">
        <w:t xml:space="preserve">) </w:t>
      </w:r>
      <w:r w:rsidR="007F57AF">
        <w:t xml:space="preserve">respectfully requests that the Washington Utilities and Transportation Commission (the “Commission”) find that </w:t>
      </w:r>
      <w:r w:rsidR="00D17892">
        <w:t xml:space="preserve">it can exercise jurisdiction, pursuant to Title 80 RCW, over </w:t>
      </w:r>
      <w:r w:rsidR="007F57AF">
        <w:t>sales of liquefied natural gas (</w:t>
      </w:r>
      <w:r w:rsidR="00BD4758">
        <w:t xml:space="preserve">“liquefied natural gas” or </w:t>
      </w:r>
      <w:r w:rsidR="007F57AF">
        <w:t xml:space="preserve">“LNG”) by PSE to </w:t>
      </w:r>
      <w:r w:rsidR="007F57AF" w:rsidRPr="004C73B8">
        <w:t xml:space="preserve">Totem Ocean Trailer Express, Inc. </w:t>
      </w:r>
      <w:r w:rsidR="007F57AF">
        <w:t xml:space="preserve">(“TOTE”) pursuant to the </w:t>
      </w:r>
      <w:r w:rsidR="007F57AF" w:rsidRPr="007F57AF">
        <w:t>LNG Fuel Supply Agreement, dated October</w:t>
      </w:r>
      <w:r w:rsidR="007F57AF">
        <w:t> </w:t>
      </w:r>
      <w:r w:rsidR="007F57AF" w:rsidRPr="007F57AF">
        <w:t>27, 2014, between PSE</w:t>
      </w:r>
      <w:r w:rsidR="007F57AF">
        <w:t xml:space="preserve"> </w:t>
      </w:r>
      <w:r w:rsidR="007F57AF" w:rsidRPr="007F57AF">
        <w:t>and TOTE</w:t>
      </w:r>
      <w:r w:rsidR="007F57AF">
        <w:t xml:space="preserve"> (the “TOTE Special Contract”).</w:t>
      </w:r>
      <w:r w:rsidR="00BD4758">
        <w:t xml:space="preserve"> </w:t>
      </w:r>
      <w:r w:rsidR="0033308D">
        <w:t xml:space="preserve">PSE is a </w:t>
      </w:r>
      <w:r w:rsidR="002B591F">
        <w:t>“</w:t>
      </w:r>
      <w:r w:rsidR="0033308D">
        <w:t>gas company</w:t>
      </w:r>
      <w:r w:rsidR="002B591F">
        <w:t>”</w:t>
      </w:r>
      <w:r w:rsidR="0033308D">
        <w:t xml:space="preserve"> as defined in RCW 80.04.010</w:t>
      </w:r>
      <w:r w:rsidR="00BD4758">
        <w:t>.</w:t>
      </w:r>
      <w:r w:rsidR="0033308D">
        <w:t xml:space="preserve"> L</w:t>
      </w:r>
      <w:r w:rsidR="00BD4758">
        <w:t xml:space="preserve">iquefied natural gas </w:t>
      </w:r>
      <w:r w:rsidR="0033308D">
        <w:t xml:space="preserve">is </w:t>
      </w:r>
      <w:r w:rsidR="002B591F">
        <w:t>“</w:t>
      </w:r>
      <w:r w:rsidR="0033308D">
        <w:t>natural gas</w:t>
      </w:r>
      <w:r w:rsidR="002B591F">
        <w:t>”</w:t>
      </w:r>
      <w:r w:rsidR="0033308D">
        <w:t xml:space="preserve"> as defined by WAC</w:t>
      </w:r>
      <w:r w:rsidR="00BD4758">
        <w:t> </w:t>
      </w:r>
      <w:r w:rsidR="0033308D">
        <w:t>480-90-023 in its liquid rather than gaseous state due solely to a refrigeration process</w:t>
      </w:r>
      <w:r w:rsidR="00BD4758">
        <w:t>. T</w:t>
      </w:r>
      <w:r w:rsidR="0033308D">
        <w:t xml:space="preserve">he Commission has jurisdiction over sales </w:t>
      </w:r>
      <w:r w:rsidR="00BD4758">
        <w:t xml:space="preserve">of natural gas </w:t>
      </w:r>
      <w:r w:rsidR="0033308D">
        <w:t>by gas companies under Title 80 RCW</w:t>
      </w:r>
      <w:r w:rsidR="00BD4758">
        <w:t>. Therefore, it should be beyond dispute that the Commission has jurisdiction over sales of LNG by PSE to TOTE pursuant to the TOTE Special Contract</w:t>
      </w:r>
      <w:r w:rsidR="0033308D">
        <w:t>.</w:t>
      </w:r>
    </w:p>
    <w:p w:rsidR="00AC34FC" w:rsidRPr="00AC34FC" w:rsidRDefault="00AC34FC" w:rsidP="006D1F1E">
      <w:pPr>
        <w:pStyle w:val="Heading1"/>
        <w:widowControl/>
      </w:pPr>
      <w:bookmarkStart w:id="5" w:name="_Toc435799478"/>
      <w:bookmarkStart w:id="6" w:name="_Toc436128666"/>
      <w:r w:rsidRPr="00AC34FC">
        <w:t>II.</w:t>
      </w:r>
      <w:r w:rsidRPr="00AC34FC">
        <w:tab/>
        <w:t>ISSUE</w:t>
      </w:r>
      <w:bookmarkEnd w:id="5"/>
      <w:bookmarkEnd w:id="6"/>
    </w:p>
    <w:p w:rsidR="00274155"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D17892">
        <w:t xml:space="preserve">Can the Commission exercise jurisdiction, pursuant to Title 80 RCW, over sales of </w:t>
      </w:r>
      <w:r w:rsidR="00BD4758">
        <w:t>liquefied natural gas by PSE to TOTE pursuant to the TOTE Special Contract?</w:t>
      </w:r>
    </w:p>
    <w:p w:rsidR="00AC34FC" w:rsidRPr="00AC34FC" w:rsidRDefault="00AC34FC" w:rsidP="006D1F1E">
      <w:pPr>
        <w:pStyle w:val="Heading1"/>
        <w:widowControl/>
      </w:pPr>
      <w:bookmarkStart w:id="7" w:name="_Toc435799479"/>
      <w:bookmarkStart w:id="8" w:name="_Toc436128667"/>
      <w:r w:rsidRPr="00AC34FC">
        <w:t>III.</w:t>
      </w:r>
      <w:r w:rsidRPr="00AC34FC">
        <w:tab/>
        <w:t>BACKGROUND</w:t>
      </w:r>
      <w:bookmarkEnd w:id="7"/>
      <w:bookmarkEnd w:id="8"/>
    </w:p>
    <w:p w:rsidR="00C611E1" w:rsidRDefault="00BD4758" w:rsidP="00C611E1">
      <w:pPr>
        <w:spacing w:line="480" w:lineRule="auto"/>
      </w:pPr>
      <w:r>
        <w:rPr>
          <w:i/>
        </w:rPr>
        <w:fldChar w:fldCharType="begin"/>
      </w:r>
      <w:r>
        <w:rPr>
          <w:i/>
        </w:rPr>
        <w:instrText xml:space="preserve"> AUTONUM </w:instrText>
      </w:r>
      <w:r>
        <w:rPr>
          <w:i/>
        </w:rPr>
        <w:fldChar w:fldCharType="end"/>
      </w:r>
      <w:r>
        <w:tab/>
      </w:r>
      <w:r>
        <w:tab/>
        <w:t xml:space="preserve">PSE </w:t>
      </w:r>
      <w:r w:rsidR="00D17892">
        <w:t>provides</w:t>
      </w:r>
      <w:r>
        <w:t xml:space="preserve"> natural gas service to retail natural gas customers located in its service territory in western Washington in accordance with the rules and</w:t>
      </w:r>
      <w:r w:rsidR="00C611E1">
        <w:t xml:space="preserve"> regulations of the Commission, including, but not limited to, PSE rates and tariffs on file therewith.</w:t>
      </w:r>
      <w:r w:rsidR="00C611E1">
        <w:rPr>
          <w:rStyle w:val="FootnoteReference"/>
        </w:rPr>
        <w:footnoteReference w:id="2"/>
      </w:r>
    </w:p>
    <w:p w:rsidR="00435DA5" w:rsidRDefault="00C611E1" w:rsidP="00C611E1">
      <w:pPr>
        <w:spacing w:line="480" w:lineRule="auto"/>
      </w:pPr>
      <w:r>
        <w:rPr>
          <w:i/>
        </w:rPr>
        <w:fldChar w:fldCharType="begin"/>
      </w:r>
      <w:r>
        <w:rPr>
          <w:i/>
        </w:rPr>
        <w:instrText xml:space="preserve"> AUTONUM </w:instrText>
      </w:r>
      <w:r>
        <w:rPr>
          <w:i/>
        </w:rPr>
        <w:fldChar w:fldCharType="end"/>
      </w:r>
      <w:r>
        <w:tab/>
      </w:r>
      <w:r>
        <w:tab/>
        <w:t xml:space="preserve">PSE’s 2013 Integrated Resource Plan (“2013 IRP”) identified sufficient peak resources for PSE to meet peak day need until the winter of 2016-17 and a need for additional peak day </w:t>
      </w:r>
      <w:r>
        <w:lastRenderedPageBreak/>
        <w:t>resources beginning in the winter of 2017-18.</w:t>
      </w:r>
      <w:r>
        <w:rPr>
          <w:rStyle w:val="FootnoteReference"/>
        </w:rPr>
        <w:footnoteReference w:id="3"/>
      </w:r>
      <w:r>
        <w:t xml:space="preserve"> </w:t>
      </w:r>
      <w:r w:rsidR="00246105">
        <w:t>The 2013 IRP identified a cost-effective, regional LNG peaking plant (titled PSE LNG Peaking Project) in the gas resource plan.</w:t>
      </w:r>
      <w:r w:rsidR="00246105">
        <w:rPr>
          <w:rStyle w:val="FootnoteReference"/>
        </w:rPr>
        <w:footnoteReference w:id="4"/>
      </w:r>
      <w:r w:rsidR="00435DA5">
        <w:t xml:space="preserve"> </w:t>
      </w:r>
      <w:r>
        <w:t xml:space="preserve">With an LNG </w:t>
      </w:r>
      <w:r w:rsidR="00435DA5">
        <w:t>peaking plant</w:t>
      </w:r>
      <w:r>
        <w:t>, PSE would have sufficient resources to</w:t>
      </w:r>
      <w:r w:rsidR="00435DA5">
        <w:t xml:space="preserve"> </w:t>
      </w:r>
      <w:r>
        <w:t>supply loads until the winter of 2021 to 2022.</w:t>
      </w:r>
      <w:r w:rsidR="00435DA5">
        <w:rPr>
          <w:rStyle w:val="FootnoteReference"/>
        </w:rPr>
        <w:footnoteReference w:id="5"/>
      </w:r>
    </w:p>
    <w:p w:rsidR="00C611E1" w:rsidRDefault="00435DA5" w:rsidP="00C611E1">
      <w:pPr>
        <w:spacing w:line="480" w:lineRule="auto"/>
      </w:pPr>
      <w:r>
        <w:rPr>
          <w:i/>
        </w:rPr>
        <w:fldChar w:fldCharType="begin"/>
      </w:r>
      <w:r>
        <w:rPr>
          <w:i/>
        </w:rPr>
        <w:instrText xml:space="preserve"> AUTONUM </w:instrText>
      </w:r>
      <w:r>
        <w:rPr>
          <w:i/>
        </w:rPr>
        <w:fldChar w:fldCharType="end"/>
      </w:r>
      <w:r>
        <w:tab/>
      </w:r>
      <w:r>
        <w:tab/>
      </w:r>
      <w:r w:rsidR="00C611E1">
        <w:t>Although the primary purpose of the LNG storage facility contemplated by</w:t>
      </w:r>
      <w:r>
        <w:t xml:space="preserve"> </w:t>
      </w:r>
      <w:r w:rsidR="00C611E1">
        <w:t>PSE was to provide peak</w:t>
      </w:r>
      <w:r w:rsidR="00C611E1">
        <w:rPr>
          <w:rFonts w:ascii="Cambria Math" w:hAnsi="Cambria Math" w:cs="Cambria Math"/>
        </w:rPr>
        <w:t>‐</w:t>
      </w:r>
      <w:r w:rsidR="00C611E1">
        <w:t>day supply for PSE’s retail natural gas customers, the project’s</w:t>
      </w:r>
      <w:r>
        <w:t xml:space="preserve"> </w:t>
      </w:r>
      <w:r w:rsidR="00C611E1">
        <w:t>benefits can be enhanced by serving additional markets.</w:t>
      </w:r>
      <w:r>
        <w:rPr>
          <w:rStyle w:val="FootnoteReference"/>
        </w:rPr>
        <w:footnoteReference w:id="6"/>
      </w:r>
      <w:r w:rsidR="00C611E1">
        <w:t xml:space="preserve"> LNG facilities are capital intensive</w:t>
      </w:r>
      <w:r>
        <w:t xml:space="preserve"> </w:t>
      </w:r>
      <w:r w:rsidR="00C611E1">
        <w:t>and, therefore, costs for all customers are reduced when the facilities’ cost can be distributed</w:t>
      </w:r>
      <w:r>
        <w:t xml:space="preserve"> </w:t>
      </w:r>
      <w:r w:rsidR="00C611E1">
        <w:t>across a larger customer base.</w:t>
      </w:r>
      <w:r>
        <w:rPr>
          <w:rStyle w:val="FootnoteReference"/>
        </w:rPr>
        <w:footnoteReference w:id="7"/>
      </w:r>
      <w:r w:rsidR="00C611E1">
        <w:t xml:space="preserve"> The </w:t>
      </w:r>
      <w:r>
        <w:t xml:space="preserve">peaking </w:t>
      </w:r>
      <w:r w:rsidR="00C611E1">
        <w:t>component of an LNG storage facility</w:t>
      </w:r>
      <w:r>
        <w:t xml:space="preserve"> </w:t>
      </w:r>
      <w:r w:rsidR="00C611E1">
        <w:t>requires significant storage and relatively small liquefaction capacity.</w:t>
      </w:r>
      <w:r>
        <w:rPr>
          <w:rStyle w:val="FootnoteReference"/>
        </w:rPr>
        <w:footnoteReference w:id="8"/>
      </w:r>
      <w:r w:rsidR="00C611E1">
        <w:t xml:space="preserve"> Conversely, the</w:t>
      </w:r>
      <w:r>
        <w:t xml:space="preserve"> </w:t>
      </w:r>
      <w:r w:rsidR="00C611E1">
        <w:t>marine, heavy</w:t>
      </w:r>
      <w:r w:rsidR="00C611E1">
        <w:rPr>
          <w:rFonts w:ascii="Cambria Math" w:hAnsi="Cambria Math" w:cs="Cambria Math"/>
        </w:rPr>
        <w:t>‐</w:t>
      </w:r>
      <w:r w:rsidR="00C611E1">
        <w:t>duty trucking and other fuel markets require significant, steady liquefaction</w:t>
      </w:r>
      <w:r>
        <w:t xml:space="preserve"> </w:t>
      </w:r>
      <w:r w:rsidR="00C611E1">
        <w:t>and minimal storage.</w:t>
      </w:r>
      <w:r>
        <w:rPr>
          <w:rStyle w:val="FootnoteReference"/>
        </w:rPr>
        <w:footnoteReference w:id="9"/>
      </w:r>
    </w:p>
    <w:p w:rsidR="00435DA5" w:rsidRDefault="00435DA5" w:rsidP="00435DA5">
      <w:pPr>
        <w:spacing w:line="480" w:lineRule="auto"/>
      </w:pPr>
      <w:r>
        <w:rPr>
          <w:i/>
        </w:rPr>
        <w:fldChar w:fldCharType="begin"/>
      </w:r>
      <w:r>
        <w:rPr>
          <w:i/>
        </w:rPr>
        <w:instrText xml:space="preserve"> AUTONUM </w:instrText>
      </w:r>
      <w:r>
        <w:rPr>
          <w:i/>
        </w:rPr>
        <w:fldChar w:fldCharType="end"/>
      </w:r>
      <w:r>
        <w:tab/>
      </w:r>
      <w:r>
        <w:tab/>
        <w:t xml:space="preserve">TOTE </w:t>
      </w:r>
      <w:r w:rsidR="006E5988">
        <w:t>is a shipping company that transports approximately 30 percent of all consumer goods shipped to Alaska.</w:t>
      </w:r>
      <w:r w:rsidR="006E5988">
        <w:rPr>
          <w:rStyle w:val="FootnoteReference"/>
        </w:rPr>
        <w:footnoteReference w:id="10"/>
      </w:r>
      <w:r w:rsidR="006E5988">
        <w:t xml:space="preserve"> TOTE </w:t>
      </w:r>
      <w:r>
        <w:t>operates two Orca class ships between the Port of Tacoma and the Port of Anchorage on a regimented schedule of sailings departing from Tacoma every Wednesday and Friday evening.</w:t>
      </w:r>
      <w:r>
        <w:rPr>
          <w:rStyle w:val="FootnoteReference"/>
        </w:rPr>
        <w:footnoteReference w:id="11"/>
      </w:r>
      <w:r>
        <w:t xml:space="preserve"> TOTE selected PSE pursuant to a competitive bidding process to provide LNG as marine fuel for use in two Tacoma, Washington-based Orca</w:t>
      </w:r>
      <w:r w:rsidR="006E5988">
        <w:t xml:space="preserve"> </w:t>
      </w:r>
      <w:r>
        <w:t>class cargo ships.</w:t>
      </w:r>
      <w:r w:rsidR="006E5988">
        <w:rPr>
          <w:rStyle w:val="FootnoteReference"/>
        </w:rPr>
        <w:footnoteReference w:id="12"/>
      </w:r>
      <w:r>
        <w:t xml:space="preserve"> PSE therefore determined to construct an LNG storage facility at the Port of Tacoma (the</w:t>
      </w:r>
      <w:r w:rsidR="006E5988">
        <w:t> </w:t>
      </w:r>
      <w:r>
        <w:t xml:space="preserve">“Tacoma LNG Facility”). PSE will provide TOTE </w:t>
      </w:r>
      <w:r w:rsidR="00B32C21">
        <w:t xml:space="preserve">with </w:t>
      </w:r>
      <w:r>
        <w:t xml:space="preserve">fuel for ships that are being </w:t>
      </w:r>
      <w:r>
        <w:lastRenderedPageBreak/>
        <w:t>converted from diesel to cleaner-burning natural gas.</w:t>
      </w:r>
      <w:r w:rsidR="006E5988">
        <w:rPr>
          <w:rStyle w:val="FootnoteReference"/>
        </w:rPr>
        <w:footnoteReference w:id="13"/>
      </w:r>
      <w:r>
        <w:t xml:space="preserve"> Using LNG will allow TOTE to exceed new, stricter emission standards in the maritime shipping industry.</w:t>
      </w:r>
      <w:r w:rsidR="006E5988">
        <w:rPr>
          <w:rStyle w:val="FootnoteReference"/>
        </w:rPr>
        <w:footnoteReference w:id="14"/>
      </w:r>
    </w:p>
    <w:p w:rsidR="00FC78E2" w:rsidRPr="00FC78E2" w:rsidRDefault="00FC78E2" w:rsidP="006D1F1E">
      <w:pPr>
        <w:pStyle w:val="Heading2"/>
        <w:widowControl/>
      </w:pPr>
      <w:bookmarkStart w:id="9" w:name="_Toc435799480"/>
      <w:bookmarkStart w:id="10" w:name="_Toc436128668"/>
      <w:r>
        <w:t>A.</w:t>
      </w:r>
      <w:r>
        <w:tab/>
        <w:t>Background Regarding the Tacoma LNG Facility</w:t>
      </w:r>
      <w:bookmarkEnd w:id="9"/>
      <w:bookmarkEnd w:id="10"/>
    </w:p>
    <w:p w:rsidR="00F652ED" w:rsidRPr="00FC78E2" w:rsidRDefault="00F652ED" w:rsidP="006D1F1E">
      <w:pPr>
        <w:pStyle w:val="Heading3"/>
      </w:pPr>
      <w:bookmarkStart w:id="11" w:name="_Toc435799481"/>
      <w:bookmarkStart w:id="12" w:name="_Toc436128669"/>
      <w:r>
        <w:t>1.</w:t>
      </w:r>
      <w:r>
        <w:tab/>
        <w:t>The Tacoma LNG Facility</w:t>
      </w:r>
      <w:bookmarkEnd w:id="11"/>
      <w:bookmarkEnd w:id="12"/>
    </w:p>
    <w:p w:rsidR="006D1F1E"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331FAB">
        <w:t xml:space="preserve">The </w:t>
      </w:r>
      <w:r w:rsidR="005812C5" w:rsidRPr="005812C5">
        <w:t>Tacoma</w:t>
      </w:r>
      <w:r w:rsidR="005812C5">
        <w:t> </w:t>
      </w:r>
      <w:r w:rsidR="005812C5" w:rsidRPr="005812C5">
        <w:t>LNG Facility</w:t>
      </w:r>
      <w:r w:rsidR="00331FAB">
        <w:t xml:space="preserve"> </w:t>
      </w:r>
      <w:r w:rsidR="005812C5" w:rsidRPr="005812C5">
        <w:t xml:space="preserve">will be capable of </w:t>
      </w:r>
      <w:r w:rsidR="00B22769">
        <w:t>producing</w:t>
      </w:r>
      <w:r w:rsidR="005812C5" w:rsidRPr="005812C5">
        <w:t xml:space="preserve"> 250,000</w:t>
      </w:r>
      <w:r w:rsidR="005812C5">
        <w:t> </w:t>
      </w:r>
      <w:r w:rsidR="005812C5" w:rsidRPr="005812C5">
        <w:t>gallons of LNG per day and storing approximately 8</w:t>
      </w:r>
      <w:r w:rsidR="005812C5">
        <w:t> </w:t>
      </w:r>
      <w:r w:rsidR="005812C5" w:rsidRPr="005812C5">
        <w:t>million gallons of LNG.</w:t>
      </w:r>
      <w:r w:rsidR="000B41C0">
        <w:rPr>
          <w:rStyle w:val="FootnoteReference"/>
        </w:rPr>
        <w:footnoteReference w:id="15"/>
      </w:r>
      <w:r w:rsidR="005812C5" w:rsidRPr="005812C5">
        <w:t xml:space="preserve"> The Tacoma LNG Facility will be capable of injecting 66,000</w:t>
      </w:r>
      <w:r w:rsidR="005812C5">
        <w:t> </w:t>
      </w:r>
      <w:r w:rsidR="005812C5" w:rsidRPr="005812C5">
        <w:t>decatherms per day (</w:t>
      </w:r>
      <w:r w:rsidR="002B591F">
        <w:t>“</w:t>
      </w:r>
      <w:r w:rsidR="005812C5" w:rsidRPr="005812C5">
        <w:t>Dth/day</w:t>
      </w:r>
      <w:r w:rsidR="002B591F">
        <w:t>”</w:t>
      </w:r>
      <w:r w:rsidR="005812C5" w:rsidRPr="005812C5">
        <w:t xml:space="preserve">) of vaporized </w:t>
      </w:r>
      <w:r w:rsidR="000A4963">
        <w:t xml:space="preserve">natural </w:t>
      </w:r>
      <w:r w:rsidR="005812C5" w:rsidRPr="005812C5">
        <w:t>gas and diverting up to 19,000</w:t>
      </w:r>
      <w:r w:rsidR="005812C5">
        <w:t> </w:t>
      </w:r>
      <w:r w:rsidR="005812C5" w:rsidRPr="005812C5">
        <w:t xml:space="preserve">Dth/day of </w:t>
      </w:r>
      <w:r w:rsidR="000A4963">
        <w:t xml:space="preserve">natural </w:t>
      </w:r>
      <w:r w:rsidR="005812C5" w:rsidRPr="005812C5">
        <w:t>gas into PSE</w:t>
      </w:r>
      <w:r w:rsidR="002B591F">
        <w:t>’</w:t>
      </w:r>
      <w:r w:rsidR="005812C5" w:rsidRPr="005812C5">
        <w:t>s distribution system to provide 85,000</w:t>
      </w:r>
      <w:r w:rsidR="005812C5">
        <w:t> </w:t>
      </w:r>
      <w:r w:rsidR="005812C5" w:rsidRPr="005812C5">
        <w:t>Dth/day of peak</w:t>
      </w:r>
      <w:r w:rsidR="005812C5" w:rsidRPr="005812C5">
        <w:rPr>
          <w:rFonts w:ascii="Cambria Math" w:hAnsi="Cambria Math" w:cs="Cambria Math"/>
        </w:rPr>
        <w:t>‐</w:t>
      </w:r>
      <w:r w:rsidR="005812C5" w:rsidRPr="005812C5">
        <w:t>day supply.</w:t>
      </w:r>
      <w:r w:rsidR="000B41C0">
        <w:rPr>
          <w:rStyle w:val="FootnoteReference"/>
        </w:rPr>
        <w:footnoteReference w:id="16"/>
      </w:r>
      <w:r w:rsidR="005812C5" w:rsidRPr="005812C5">
        <w:t xml:space="preserve"> The Tacoma LNG Facility will also dispense LNG to other end</w:t>
      </w:r>
      <w:r w:rsidR="005812C5" w:rsidRPr="005812C5">
        <w:rPr>
          <w:rFonts w:ascii="Cambria Math" w:hAnsi="Cambria Math" w:cs="Cambria Math"/>
        </w:rPr>
        <w:t>‐</w:t>
      </w:r>
      <w:r w:rsidR="005812C5" w:rsidRPr="005812C5">
        <w:t>use customers via a tanker truck loading system and marine loading facilities located on the water.</w:t>
      </w:r>
      <w:r w:rsidR="000B41C0">
        <w:rPr>
          <w:rStyle w:val="FootnoteReference"/>
        </w:rPr>
        <w:footnoteReference w:id="17"/>
      </w:r>
    </w:p>
    <w:p w:rsidR="00FC78E2" w:rsidRDefault="003B3B07" w:rsidP="00D80DC1">
      <w:pPr>
        <w:spacing w:line="480" w:lineRule="auto"/>
      </w:pPr>
      <w:r>
        <w:rPr>
          <w:i/>
        </w:rPr>
        <w:fldChar w:fldCharType="begin"/>
      </w:r>
      <w:r>
        <w:rPr>
          <w:i/>
        </w:rPr>
        <w:instrText xml:space="preserve"> AUTONUM </w:instrText>
      </w:r>
      <w:r>
        <w:rPr>
          <w:i/>
        </w:rPr>
        <w:fldChar w:fldCharType="end"/>
      </w:r>
      <w:r>
        <w:tab/>
      </w:r>
      <w:r w:rsidR="00D432B8">
        <w:tab/>
      </w:r>
      <w:r w:rsidR="00FC78E2">
        <w:t>The Tacoma LNG Facility will be located in PSE</w:t>
      </w:r>
      <w:r w:rsidR="002B591F">
        <w:t>’</w:t>
      </w:r>
      <w:r w:rsidR="00FC78E2">
        <w:t>s gas service territory on a 33-acre parcel at the Port of Tacoma on the Hylebos waterway, on the corner of East 11th Street and East Alexander Avenue.</w:t>
      </w:r>
      <w:r w:rsidR="003B1886">
        <w:rPr>
          <w:rStyle w:val="FootnoteReference"/>
        </w:rPr>
        <w:footnoteReference w:id="18"/>
      </w:r>
      <w:r w:rsidR="00FC78E2">
        <w:t xml:space="preserve"> PSE has negotiated lease terms with the Port of Tacoma for the selected site. PSE will lease approximately 30.15 acres of uplands and approximately three acres of submerged lands, together with all improvements located thereon, for the purpose of liquefied natural gas production, storage, and distribution.</w:t>
      </w:r>
      <w:r w:rsidR="003B1886">
        <w:rPr>
          <w:rStyle w:val="FootnoteReference"/>
        </w:rPr>
        <w:footnoteReference w:id="19"/>
      </w:r>
      <w:r w:rsidR="00FC78E2">
        <w:t xml:space="preserve"> The lease will have an effective operating term of 25 years from the date of first commercial operations.</w:t>
      </w:r>
      <w:r w:rsidR="003B1886">
        <w:rPr>
          <w:rStyle w:val="FootnoteReference"/>
        </w:rPr>
        <w:footnoteReference w:id="20"/>
      </w:r>
      <w:r w:rsidR="00FC78E2">
        <w:t xml:space="preserve"> The lease also provides for a </w:t>
      </w:r>
      <w:r w:rsidR="00FC78E2">
        <w:lastRenderedPageBreak/>
        <w:t>two-year due diligence and permitting phase, and a three-year construction phase.</w:t>
      </w:r>
      <w:r w:rsidR="00DF665E">
        <w:rPr>
          <w:rStyle w:val="FootnoteReference"/>
        </w:rPr>
        <w:footnoteReference w:id="21"/>
      </w:r>
      <w:r w:rsidR="00FC78E2">
        <w:t xml:space="preserve"> The lease provides for a 25-year renewal, provided at least 45% of the capacity involves marine uses (either fueling or transported by marine vessel); otherwise, the renewal is at the Port of Tacoma</w:t>
      </w:r>
      <w:r w:rsidR="002B591F">
        <w:t>’</w:t>
      </w:r>
      <w:r w:rsidR="00FC78E2">
        <w:t>s discretion.</w:t>
      </w:r>
      <w:r w:rsidR="003B1886">
        <w:rPr>
          <w:rStyle w:val="FootnoteReference"/>
        </w:rPr>
        <w:footnoteReference w:id="22"/>
      </w:r>
    </w:p>
    <w:p w:rsidR="00F652ED" w:rsidRDefault="003B3B07" w:rsidP="003B1886">
      <w:pPr>
        <w:keepNext/>
        <w:keepLines/>
        <w:spacing w:line="480" w:lineRule="auto"/>
      </w:pPr>
      <w:r>
        <w:rPr>
          <w:i/>
        </w:rPr>
        <w:fldChar w:fldCharType="begin"/>
      </w:r>
      <w:r>
        <w:rPr>
          <w:i/>
        </w:rPr>
        <w:instrText xml:space="preserve"> AUTONUM </w:instrText>
      </w:r>
      <w:r>
        <w:rPr>
          <w:i/>
        </w:rPr>
        <w:fldChar w:fldCharType="end"/>
      </w:r>
      <w:r>
        <w:tab/>
      </w:r>
      <w:r w:rsidR="00D432B8">
        <w:tab/>
      </w:r>
      <w:r w:rsidR="00F652ED">
        <w:t>The Tacoma LNG Facility will consist of the following equipment:</w:t>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New 16-Inch Pipe.</w:t>
      </w:r>
      <w:r>
        <w:t xml:space="preserve"> The Tacoma LNG Facility will be connected to PSE</w:t>
      </w:r>
      <w:r w:rsidR="002B591F">
        <w:t>’</w:t>
      </w:r>
      <w:r>
        <w:t>s North Tacoma high pressure system with approximately four miles of new 16-inch pipe, allowing the plant to inject natural gas directly into PSE</w:t>
      </w:r>
      <w:r w:rsidR="002B591F">
        <w:t>’</w:t>
      </w:r>
      <w:r>
        <w:t>s distribution system.</w:t>
      </w:r>
      <w:r w:rsidR="003B1886">
        <w:rPr>
          <w:rStyle w:val="FootnoteReference"/>
        </w:rPr>
        <w:footnoteReference w:id="23"/>
      </w:r>
      <w:r>
        <w:t xml:space="preserve"> Receiving equipment at the Tacoma LNG Facility will include inlet natural gas compression, particulate filtration, and metering.</w:t>
      </w:r>
      <w:r w:rsidR="00C11BCC">
        <w:rPr>
          <w:rStyle w:val="FootnoteReference"/>
        </w:rPr>
        <w:footnoteReference w:id="24"/>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Pretreatment System.</w:t>
      </w:r>
      <w:r>
        <w:t xml:space="preserve"> A pretreatment system will remove carbon dioxide and sulfur compounds.</w:t>
      </w:r>
      <w:r w:rsidR="00C11BCC">
        <w:rPr>
          <w:rStyle w:val="FootnoteReference"/>
        </w:rPr>
        <w:footnoteReference w:id="25"/>
      </w:r>
      <w:r>
        <w:t xml:space="preserve"> The pretreatment system will also remove any entrained water in the natural gas stream that has not been previously removed.</w:t>
      </w:r>
      <w:r w:rsidR="00C11BCC">
        <w:rPr>
          <w:rStyle w:val="FootnoteReference"/>
        </w:rPr>
        <w:footnoteReference w:id="26"/>
      </w:r>
      <w:r>
        <w:t xml:space="preserve"> After pretreatment, the natural gas that is sent to the liquefaction train is mainly methane with small amount</w:t>
      </w:r>
      <w:r w:rsidR="00B22769">
        <w:t>s</w:t>
      </w:r>
      <w:r>
        <w:t xml:space="preserve"> of nitrogen</w:t>
      </w:r>
      <w:r w:rsidR="00560B49">
        <w:t>, propane, ethane and other hydrocarbons</w:t>
      </w:r>
      <w:r>
        <w:t>.</w:t>
      </w:r>
      <w:r w:rsidR="00C11BCC">
        <w:rPr>
          <w:rStyle w:val="FootnoteReference"/>
        </w:rPr>
        <w:footnoteReference w:id="27"/>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Liquefaction Train.</w:t>
      </w:r>
      <w:r>
        <w:t xml:space="preserve"> The liquefaction train will cool the natural gas to </w:t>
      </w:r>
      <w:r w:rsidR="00FA67D4">
        <w:t xml:space="preserve">negative </w:t>
      </w:r>
      <w:r>
        <w:t>260</w:t>
      </w:r>
      <w:r w:rsidR="00F652ED">
        <w:t> </w:t>
      </w:r>
      <w:r>
        <w:t>degrees Fahrenheit, using a heat exchanger to transfer heat from the natural gas to a refrigerant loop.</w:t>
      </w:r>
      <w:r w:rsidR="005B021F">
        <w:rPr>
          <w:rStyle w:val="FootnoteReference"/>
        </w:rPr>
        <w:footnoteReference w:id="28"/>
      </w:r>
      <w:r>
        <w:t xml:space="preserve"> The refrigerant loop will be made up of other hydrocarbons and will require a large compressor, which will consume the majority of the electric load at the Tacoma LNG Facility (approximately 14</w:t>
      </w:r>
      <w:r w:rsidR="00F652ED">
        <w:t> </w:t>
      </w:r>
      <w:r>
        <w:t>MW).</w:t>
      </w:r>
      <w:r w:rsidR="005B021F">
        <w:rPr>
          <w:rStyle w:val="FootnoteReference"/>
        </w:rPr>
        <w:footnoteReference w:id="29"/>
      </w:r>
      <w:r>
        <w:t xml:space="preserve"> The system used at the Tacoma LNG Facility will be a single mixed-refrigerant system.</w:t>
      </w:r>
      <w:r w:rsidR="005B021F">
        <w:rPr>
          <w:rStyle w:val="FootnoteReference"/>
        </w:rPr>
        <w:footnoteReference w:id="30"/>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Storage Tank.</w:t>
      </w:r>
      <w:r>
        <w:t xml:space="preserve"> Liquefied natural gas will be stored on</w:t>
      </w:r>
      <w:r w:rsidR="005B021F">
        <w:t>-</w:t>
      </w:r>
      <w:r>
        <w:t xml:space="preserve">site in a full-containment, field-erected tank, which consists of an inner nickel-steel </w:t>
      </w:r>
      <w:r>
        <w:lastRenderedPageBreak/>
        <w:t>tank and an outer concrete tank that share a common roof.</w:t>
      </w:r>
      <w:r w:rsidR="005B021F">
        <w:rPr>
          <w:rStyle w:val="FootnoteReference"/>
        </w:rPr>
        <w:footnoteReference w:id="31"/>
      </w:r>
      <w:r>
        <w:t xml:space="preserve"> In the event of a failure of the inner tank, the outer tank will contain the liquefied natural gas.</w:t>
      </w:r>
      <w:r w:rsidR="005B021F">
        <w:rPr>
          <w:rStyle w:val="FootnoteReference"/>
        </w:rPr>
        <w:footnoteReference w:id="32"/>
      </w:r>
      <w:r>
        <w:t xml:space="preserve"> Liquefied natural gas </w:t>
      </w:r>
      <w:r w:rsidR="007D573A">
        <w:t>will be</w:t>
      </w:r>
      <w:r>
        <w:t xml:space="preserve"> removed from the tank via submersed pumps that pump the natural gas out through the roof.</w:t>
      </w:r>
      <w:r w:rsidR="005B021F">
        <w:rPr>
          <w:rStyle w:val="FootnoteReference"/>
        </w:rPr>
        <w:footnoteReference w:id="33"/>
      </w:r>
      <w:r w:rsidR="005B021F">
        <w:t xml:space="preserve"> </w:t>
      </w:r>
      <w:r>
        <w:t>There are no wall penetrations in either tank.</w:t>
      </w:r>
      <w:r w:rsidR="005B021F">
        <w:rPr>
          <w:rStyle w:val="FootnoteReference"/>
        </w:rPr>
        <w:footnoteReference w:id="34"/>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Vaporization Train.</w:t>
      </w:r>
      <w:r>
        <w:t xml:space="preserve"> The vaporization train </w:t>
      </w:r>
      <w:r w:rsidR="007D573A">
        <w:t>will include</w:t>
      </w:r>
      <w:r>
        <w:t xml:space="preserve"> the facilities that PSE will need on a peak day to vaporize the </w:t>
      </w:r>
      <w:r w:rsidR="009F11E9">
        <w:t xml:space="preserve">liquefied </w:t>
      </w:r>
      <w:r>
        <w:t>natural gas in the storage tank and inject it into the distribution system to serve PSE</w:t>
      </w:r>
      <w:r w:rsidR="002B591F">
        <w:t>’</w:t>
      </w:r>
      <w:r>
        <w:t>s retail gas customers.</w:t>
      </w:r>
      <w:r w:rsidR="0037520C">
        <w:rPr>
          <w:rStyle w:val="FootnoteReference"/>
        </w:rPr>
        <w:footnoteReference w:id="35"/>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Truck Loading Facilities.</w:t>
      </w:r>
      <w:r>
        <w:t xml:space="preserve"> The Tacoma LNG Facility will have two truck loading racks capable of filling tanker trucks simultaneously.</w:t>
      </w:r>
      <w:r w:rsidR="0037520C">
        <w:rPr>
          <w:rStyle w:val="FootnoteReference"/>
        </w:rPr>
        <w:footnoteReference w:id="36"/>
      </w:r>
      <w:r>
        <w:t xml:space="preserve"> Tanker trucks will be used to support the operations of PSE</w:t>
      </w:r>
      <w:r w:rsidR="002B591F">
        <w:t>’</w:t>
      </w:r>
      <w:r>
        <w:t>s natural gas system by moving liquefied natural gas to PSE</w:t>
      </w:r>
      <w:r w:rsidR="002B591F">
        <w:t>’</w:t>
      </w:r>
      <w:r>
        <w:t>s satellite liquefied natural gas facility in Gig Harbor, Washington, or by use of mobile liquefied natural gas vaporization and injection units.</w:t>
      </w:r>
      <w:r w:rsidR="0037520C">
        <w:rPr>
          <w:rStyle w:val="FootnoteReference"/>
        </w:rPr>
        <w:footnoteReference w:id="37"/>
      </w:r>
      <w:r>
        <w:t xml:space="preserve"> Tanker trucks may also supply liquefied natural gas to fuel customers like large interstate trucking fleets or small volume marine users like the Washington State Ferry system.</w:t>
      </w:r>
      <w:r w:rsidR="0037520C">
        <w:rPr>
          <w:rStyle w:val="FootnoteReference"/>
        </w:rPr>
        <w:footnoteReference w:id="38"/>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Cryogenic Pipeline to the TOTE Berthing Location.</w:t>
      </w:r>
      <w:r>
        <w:t xml:space="preserve"> The Tacoma LNG Facility will include a cryogenic pipeline that will connect the on</w:t>
      </w:r>
      <w:r w:rsidR="005B021F">
        <w:t>-</w:t>
      </w:r>
      <w:r>
        <w:t>site storage tank to a fueling station located at TOTE</w:t>
      </w:r>
      <w:r w:rsidR="002B591F">
        <w:t>’</w:t>
      </w:r>
      <w:r>
        <w:t>s berthing location.</w:t>
      </w:r>
      <w:r w:rsidR="0037520C">
        <w:rPr>
          <w:rStyle w:val="FootnoteReference"/>
        </w:rPr>
        <w:footnoteReference w:id="39"/>
      </w:r>
      <w:r>
        <w:t xml:space="preserve"> This line will be buried, and cross beneath a public road, a rail line and TOTE</w:t>
      </w:r>
      <w:r w:rsidR="002B591F">
        <w:t>’</w:t>
      </w:r>
      <w:r>
        <w:t>s property.</w:t>
      </w:r>
      <w:r w:rsidR="0037520C">
        <w:rPr>
          <w:rStyle w:val="FootnoteReference"/>
        </w:rPr>
        <w:footnoteReference w:id="40"/>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Marine Fueling System.</w:t>
      </w:r>
      <w:r>
        <w:t xml:space="preserve"> The marine fueling system will be located near the stern end of TOTE</w:t>
      </w:r>
      <w:r w:rsidR="002B591F">
        <w:t>’</w:t>
      </w:r>
      <w:r>
        <w:t>s berthing location.</w:t>
      </w:r>
      <w:r w:rsidR="0037520C">
        <w:rPr>
          <w:rStyle w:val="FootnoteReference"/>
        </w:rPr>
        <w:footnoteReference w:id="41"/>
      </w:r>
      <w:r>
        <w:t xml:space="preserve"> The system will include a loading arm for fueling TOTE</w:t>
      </w:r>
      <w:r w:rsidR="002B591F">
        <w:t>’</w:t>
      </w:r>
      <w:r>
        <w:t>s vessels, and associated equipment necessary for safety and security of the operation.</w:t>
      </w:r>
      <w:r w:rsidR="0037520C">
        <w:rPr>
          <w:rStyle w:val="FootnoteReference"/>
        </w:rPr>
        <w:footnoteReference w:id="42"/>
      </w:r>
    </w:p>
    <w:p w:rsidR="00F652ED" w:rsidRDefault="00FC78E2" w:rsidP="006D1F1E">
      <w:pPr>
        <w:numPr>
          <w:ilvl w:val="0"/>
          <w:numId w:val="47"/>
        </w:numPr>
        <w:tabs>
          <w:tab w:val="clear" w:pos="720"/>
          <w:tab w:val="clear" w:pos="3510"/>
        </w:tabs>
        <w:spacing w:after="280" w:line="240" w:lineRule="auto"/>
        <w:ind w:left="1440" w:right="720" w:hanging="720"/>
      </w:pPr>
      <w:r w:rsidRPr="00F652ED">
        <w:rPr>
          <w:b/>
        </w:rPr>
        <w:t>Balance-of-Plant Equipment.</w:t>
      </w:r>
      <w:r>
        <w:t xml:space="preserve"> Balance-of-plant equipment will include an on</w:t>
      </w:r>
      <w:r w:rsidR="005B021F">
        <w:t>-</w:t>
      </w:r>
      <w:r>
        <w:t xml:space="preserve">site backup generator for essential loads, a gas flare, instrument air </w:t>
      </w:r>
      <w:r>
        <w:lastRenderedPageBreak/>
        <w:t>system, water treatment unit, power distribution systems, safety and security equipment, and an integrated plant control system.</w:t>
      </w:r>
      <w:r w:rsidR="0037520C">
        <w:rPr>
          <w:rStyle w:val="FootnoteReference"/>
        </w:rPr>
        <w:footnoteReference w:id="43"/>
      </w:r>
    </w:p>
    <w:p w:rsidR="00FC78E2" w:rsidRDefault="00FC78E2" w:rsidP="006D1F1E">
      <w:pPr>
        <w:numPr>
          <w:ilvl w:val="0"/>
          <w:numId w:val="47"/>
        </w:numPr>
        <w:tabs>
          <w:tab w:val="clear" w:pos="720"/>
          <w:tab w:val="clear" w:pos="3510"/>
        </w:tabs>
        <w:spacing w:after="280" w:line="240" w:lineRule="auto"/>
        <w:ind w:left="1440" w:right="720" w:hanging="720"/>
      </w:pPr>
      <w:r w:rsidRPr="00F652ED">
        <w:rPr>
          <w:b/>
        </w:rPr>
        <w:t>Substation and Electricity.</w:t>
      </w:r>
      <w:r>
        <w:t xml:space="preserve"> Tacoma Power will construct a</w:t>
      </w:r>
      <w:r w:rsidR="005B021F">
        <w:t>n on-site</w:t>
      </w:r>
      <w:r>
        <w:t xml:space="preserve"> substation that connects to its 115</w:t>
      </w:r>
      <w:r w:rsidR="00F652ED">
        <w:t> </w:t>
      </w:r>
      <w:r>
        <w:t>kV transmission system.</w:t>
      </w:r>
      <w:r w:rsidR="0037520C">
        <w:rPr>
          <w:rStyle w:val="FootnoteReference"/>
        </w:rPr>
        <w:footnoteReference w:id="44"/>
      </w:r>
      <w:r>
        <w:t xml:space="preserve"> PSE will own the substation.</w:t>
      </w:r>
      <w:r w:rsidR="0037520C">
        <w:rPr>
          <w:rStyle w:val="FootnoteReference"/>
        </w:rPr>
        <w:footnoteReference w:id="45"/>
      </w:r>
      <w:r>
        <w:t xml:space="preserve"> Electricity for the Tacoma LNG Facility will be purchased from Tacoma Power Utilities.</w:t>
      </w:r>
      <w:r w:rsidR="0037520C">
        <w:rPr>
          <w:rStyle w:val="FootnoteReference"/>
        </w:rPr>
        <w:footnoteReference w:id="46"/>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 will supply the natural gas required for production of liquefied natural gas for PSE</w:t>
      </w:r>
      <w:r w:rsidR="002B591F">
        <w:t>’</w:t>
      </w:r>
      <w:r w:rsidR="00FC78E2">
        <w:t>s peaking need and to satisfy TOTE</w:t>
      </w:r>
      <w:r w:rsidR="002B591F">
        <w:t>’</w:t>
      </w:r>
      <w:r w:rsidR="00FC78E2">
        <w:t xml:space="preserve">s needs under the </w:t>
      </w:r>
      <w:r w:rsidR="00F652ED">
        <w:t xml:space="preserve">TOTE </w:t>
      </w:r>
      <w:r w:rsidR="00FC78E2">
        <w:t>Special Contract.</w:t>
      </w:r>
      <w:r w:rsidR="00D80DC1">
        <w:rPr>
          <w:rStyle w:val="FootnoteReference"/>
        </w:rPr>
        <w:footnoteReference w:id="47"/>
      </w:r>
      <w:r w:rsidR="00FC78E2">
        <w:t xml:space="preserve"> The Tacoma LNG Facility will require nearly 21,000</w:t>
      </w:r>
      <w:r w:rsidR="00F652ED">
        <w:t> </w:t>
      </w:r>
      <w:r w:rsidR="00FC78E2">
        <w:t>Dth per day of natural gas when liquefying at nameplate capacity.</w:t>
      </w:r>
      <w:r w:rsidR="00D80DC1">
        <w:rPr>
          <w:rStyle w:val="FootnoteReference"/>
        </w:rPr>
        <w:footnoteReference w:id="48"/>
      </w:r>
      <w:r w:rsidR="00FC78E2">
        <w:t xml:space="preserve"> Approximately 2,000</w:t>
      </w:r>
      <w:r w:rsidR="00F652ED">
        <w:t> </w:t>
      </w:r>
      <w:r w:rsidR="00FC78E2">
        <w:t>Dth per day will be used for the peaking resource and up to 19,000</w:t>
      </w:r>
      <w:r w:rsidR="00F652ED">
        <w:t> </w:t>
      </w:r>
      <w:r w:rsidR="00FC78E2">
        <w:t xml:space="preserve">Dth per day will be used to supply TOTE fuel sales and any </w:t>
      </w:r>
      <w:r w:rsidR="00513B03">
        <w:t xml:space="preserve">other </w:t>
      </w:r>
      <w:r w:rsidR="00FC78E2">
        <w:t>fuel sales.</w:t>
      </w:r>
      <w:r w:rsidR="00D80DC1">
        <w:rPr>
          <w:rStyle w:val="FootnoteReference"/>
        </w:rPr>
        <w:footnoteReference w:id="49"/>
      </w:r>
      <w:r w:rsidR="00FC78E2">
        <w:t xml:space="preserve"> The Tacoma LNG Facility demand would represent approximately (i)</w:t>
      </w:r>
      <w:r w:rsidR="00F652ED">
        <w:t> </w:t>
      </w:r>
      <w:r w:rsidR="00FC78E2">
        <w:t>seven and one-half percent</w:t>
      </w:r>
      <w:r w:rsidR="00F652ED">
        <w:t> </w:t>
      </w:r>
      <w:r w:rsidR="00FC78E2">
        <w:t>(7.5%) of PSE</w:t>
      </w:r>
      <w:r w:rsidR="002B591F">
        <w:t>’</w:t>
      </w:r>
      <w:r w:rsidR="00FC78E2">
        <w:t>s average daily demand; (ii)</w:t>
      </w:r>
      <w:r w:rsidR="00F652ED">
        <w:t> </w:t>
      </w:r>
      <w:r w:rsidR="00FC78E2">
        <w:t>two percent (2%) of PSE</w:t>
      </w:r>
      <w:r w:rsidR="002B591F">
        <w:t>’</w:t>
      </w:r>
      <w:r w:rsidR="00FC78E2">
        <w:t>s peak-day demand; (iii)</w:t>
      </w:r>
      <w:r w:rsidR="00F652ED">
        <w:t> </w:t>
      </w:r>
      <w:r w:rsidR="00FC78E2">
        <w:t>nine-tenths of one percent</w:t>
      </w:r>
      <w:r w:rsidR="00F652ED">
        <w:t> </w:t>
      </w:r>
      <w:r w:rsidR="00FC78E2">
        <w:t>(0.9%) of the region</w:t>
      </w:r>
      <w:r w:rsidR="002B591F">
        <w:t>’</w:t>
      </w:r>
      <w:r w:rsidR="00FC78E2">
        <w:t>s average daily demand; and (iv)</w:t>
      </w:r>
      <w:r w:rsidR="00F652ED">
        <w:t> </w:t>
      </w:r>
      <w:r w:rsidR="00FC78E2">
        <w:t>three-tenths of one percent</w:t>
      </w:r>
      <w:r w:rsidR="00F652ED">
        <w:t> </w:t>
      </w:r>
      <w:r w:rsidR="00FC78E2">
        <w:t>(0.3%) of the region</w:t>
      </w:r>
      <w:r w:rsidR="002B591F">
        <w:t>’</w:t>
      </w:r>
      <w:r w:rsidR="00D80DC1">
        <w:t>s peak-day demand.</w:t>
      </w:r>
      <w:r w:rsidR="00D80DC1">
        <w:rPr>
          <w:rStyle w:val="FootnoteReference"/>
        </w:rPr>
        <w:footnoteReference w:id="50"/>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 will not require firm pipeline capacity for the peaking portion of the Tacoma LNG Facility because liquefied natural gas will be produced for peak-day storage requirements in the non-winter months when PSE generally has pipeline capacity available.</w:t>
      </w:r>
      <w:r w:rsidR="00D80DC1">
        <w:rPr>
          <w:rStyle w:val="FootnoteReference"/>
        </w:rPr>
        <w:footnoteReference w:id="51"/>
      </w:r>
      <w:r w:rsidR="00FC78E2">
        <w:t xml:space="preserve"> PSE will procure firm pipeline capacity and natural gas supply for liquefied natural gas service to be provided under the </w:t>
      </w:r>
      <w:r w:rsidR="00FC78E2">
        <w:lastRenderedPageBreak/>
        <w:t>TOTE Special Contract.</w:t>
      </w:r>
      <w:r w:rsidR="00D80DC1">
        <w:rPr>
          <w:rStyle w:val="FootnoteReference"/>
        </w:rPr>
        <w:footnoteReference w:id="52"/>
      </w:r>
      <w:r w:rsidR="00FC78E2">
        <w:t xml:space="preserve"> TOTE will pay for one hundred percent (100%) of the firm interstate pipeline cost to provide service under the TOTE Special Contract.</w:t>
      </w:r>
      <w:r w:rsidR="00D80DC1">
        <w:rPr>
          <w:rStyle w:val="FootnoteReference"/>
        </w:rPr>
        <w:footnoteReference w:id="53"/>
      </w:r>
    </w:p>
    <w:p w:rsidR="00F643BE" w:rsidRPr="00BF4576" w:rsidRDefault="00F643BE" w:rsidP="00F643BE">
      <w:pPr>
        <w:pStyle w:val="Heading3"/>
      </w:pPr>
      <w:bookmarkStart w:id="13" w:name="_Toc435799482"/>
      <w:bookmarkStart w:id="14" w:name="_Toc436128670"/>
      <w:r>
        <w:t>2</w:t>
      </w:r>
      <w:r w:rsidRPr="00BF4576">
        <w:t>.</w:t>
      </w:r>
      <w:r w:rsidRPr="00BF4576">
        <w:tab/>
      </w:r>
      <w:r>
        <w:t>Projected Development Timeline and Budget</w:t>
      </w:r>
      <w:bookmarkEnd w:id="13"/>
      <w:bookmarkEnd w:id="14"/>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w:t>
      </w:r>
      <w:r w:rsidR="002B591F">
        <w:t>’</w:t>
      </w:r>
      <w:r w:rsidR="00FC78E2">
        <w:t>s project schedule and budget for the Tacoma LNG Project is divided into two distinct phases: (i)</w:t>
      </w:r>
      <w:r w:rsidR="00D80DC1">
        <w:t> </w:t>
      </w:r>
      <w:r w:rsidR="00FC78E2">
        <w:t>a development phase, and (ii)</w:t>
      </w:r>
      <w:r w:rsidR="00D80DC1">
        <w:t> </w:t>
      </w:r>
      <w:r w:rsidR="00FC78E2">
        <w:t>a construction phase.</w:t>
      </w:r>
      <w:r w:rsidR="005E1D9C">
        <w:rPr>
          <w:rStyle w:val="FootnoteReference"/>
        </w:rPr>
        <w:footnoteReference w:id="54"/>
      </w:r>
      <w:r w:rsidR="00FC78E2">
        <w:t xml:space="preserve"> PSE will also make improvements to its PSE natural gas distribution system as part of the Tacoma LNG Project.</w:t>
      </w:r>
      <w:r w:rsidR="005E1D9C">
        <w:rPr>
          <w:rStyle w:val="FootnoteReference"/>
        </w:rPr>
        <w:footnoteReference w:id="55"/>
      </w:r>
      <w:r w:rsidR="00FC78E2">
        <w:t xml:space="preserve"> Development activities include the work PSE must undertake prior to entering into the construction contracts to build the Tacoma LNG Facility.</w:t>
      </w:r>
      <w:r w:rsidR="005E1D9C">
        <w:rPr>
          <w:rStyle w:val="FootnoteReference"/>
        </w:rPr>
        <w:footnoteReference w:id="56"/>
      </w:r>
      <w:r w:rsidR="00FC78E2">
        <w:t xml:space="preserve"> The construction phase begins with the execution of the Engineering, Procurement and Construction (</w:t>
      </w:r>
      <w:r w:rsidR="002B591F">
        <w:t>“</w:t>
      </w:r>
      <w:r w:rsidR="00FC78E2">
        <w:t>EPC</w:t>
      </w:r>
      <w:r w:rsidR="002B591F">
        <w:t>”</w:t>
      </w:r>
      <w:r w:rsidR="00FC78E2">
        <w:t>) contract and other construction contracts, and continues through the commercial operations date.</w:t>
      </w:r>
      <w:r w:rsidR="005E1D9C">
        <w:rPr>
          <w:rStyle w:val="FootnoteReference"/>
        </w:rPr>
        <w:footnoteReference w:id="57"/>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The development phase associated with the Tacoma LNG Facility began in 2012 with due diligence and feasibility studies.</w:t>
      </w:r>
      <w:r w:rsidR="005E1D9C">
        <w:rPr>
          <w:rStyle w:val="FootnoteReference"/>
        </w:rPr>
        <w:footnoteReference w:id="58"/>
      </w:r>
      <w:r w:rsidR="00FC78E2">
        <w:t xml:space="preserve"> The major project development work includes the following</w:t>
      </w:r>
      <w:r w:rsidR="000A4963">
        <w:t>:</w:t>
      </w:r>
      <w:r w:rsidR="00FC78E2">
        <w:t xml:space="preserve"> (i)</w:t>
      </w:r>
      <w:r w:rsidR="00F652ED">
        <w:t> </w:t>
      </w:r>
      <w:r w:rsidR="00FC78E2">
        <w:t>commercial and technical feasibility and due diligence; (ii)</w:t>
      </w:r>
      <w:r w:rsidR="00F652ED">
        <w:t> </w:t>
      </w:r>
      <w:r w:rsidR="00FC78E2">
        <w:t>identifying and securing the site for the Tacoma LNG Facility and procuring all required real estate rights for the Tacoma LNG Project; (iii)</w:t>
      </w:r>
      <w:r w:rsidR="00F652ED">
        <w:t> </w:t>
      </w:r>
      <w:r w:rsidR="00FC78E2">
        <w:t>preliminary facility design; (iv)</w:t>
      </w:r>
      <w:r w:rsidR="00F652ED">
        <w:t> </w:t>
      </w:r>
      <w:r w:rsidR="00FC78E2">
        <w:t>preliminary distribution upgrades design; (v)</w:t>
      </w:r>
      <w:r w:rsidR="00F652ED">
        <w:t> </w:t>
      </w:r>
      <w:r w:rsidR="00FC78E2">
        <w:t>contracting with potential long-term liquefied natural gas fuel customers, including TOTE; and (vi)</w:t>
      </w:r>
      <w:r w:rsidR="00F652ED">
        <w:t> </w:t>
      </w:r>
      <w:r w:rsidR="00FC78E2">
        <w:t>permitting.</w:t>
      </w:r>
      <w:r w:rsidR="005E1D9C">
        <w:rPr>
          <w:rStyle w:val="FootnoteReference"/>
        </w:rPr>
        <w:footnoteReference w:id="59"/>
      </w:r>
      <w:r w:rsidR="00FC78E2">
        <w:t xml:space="preserve"> PSE has developed a capital budget of approximately $13.6</w:t>
      </w:r>
      <w:r w:rsidR="00F652ED">
        <w:t> </w:t>
      </w:r>
      <w:r w:rsidR="00FC78E2">
        <w:t>million (not including an allowance for funds used during construction (</w:t>
      </w:r>
      <w:r w:rsidR="002B591F">
        <w:t>“</w:t>
      </w:r>
      <w:r w:rsidR="00FC78E2">
        <w:t>AFUDC</w:t>
      </w:r>
      <w:r w:rsidR="002B591F">
        <w:t>”</w:t>
      </w:r>
      <w:r w:rsidR="00FC78E2">
        <w:t xml:space="preserve">)) associated with </w:t>
      </w:r>
      <w:r w:rsidR="00FC78E2">
        <w:lastRenderedPageBreak/>
        <w:t>activities performed or to be performed during the development phase of the Tacoma LNG Facility.</w:t>
      </w:r>
      <w:r w:rsidR="005E1D9C">
        <w:rPr>
          <w:rStyle w:val="FootnoteReference"/>
        </w:rPr>
        <w:footnoteReference w:id="60"/>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The construction phase schedule is driven by the field-erected storage tank, which PSE expects will take approximately 27 months to construct.</w:t>
      </w:r>
      <w:r w:rsidR="00821964">
        <w:rPr>
          <w:rStyle w:val="FootnoteReference"/>
        </w:rPr>
        <w:footnoteReference w:id="61"/>
      </w:r>
      <w:r w:rsidR="00FC78E2">
        <w:t xml:space="preserve"> PSE has developed a capital budget of approximately $297.1</w:t>
      </w:r>
      <w:r w:rsidR="00F652ED">
        <w:t> </w:t>
      </w:r>
      <w:r w:rsidR="00FC78E2">
        <w:t>million (not including AFUDC) associated with activities to be performed during the construction phase of the Tacoma LNG Facility.</w:t>
      </w:r>
      <w:r w:rsidR="00821964">
        <w:rPr>
          <w:rStyle w:val="FootnoteReference"/>
        </w:rPr>
        <w:footnoteReference w:id="62"/>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 will be making improvements to the PSE natural gas distribution system, in part, to support the Tacoma LNG Facility, including approximately five miles of new pipeline in the cities of Fife/Tacoma and Pierce County, a new limit station and existing gate station modifications (</w:t>
      </w:r>
      <w:r w:rsidR="002B591F">
        <w:t>“</w:t>
      </w:r>
      <w:r w:rsidR="00FC78E2">
        <w:t>Distribution Upgrades</w:t>
      </w:r>
      <w:r w:rsidR="002B591F">
        <w:t>”</w:t>
      </w:r>
      <w:r w:rsidR="00FC78E2">
        <w:t>).</w:t>
      </w:r>
      <w:r w:rsidR="00821964">
        <w:rPr>
          <w:rStyle w:val="FootnoteReference"/>
        </w:rPr>
        <w:footnoteReference w:id="63"/>
      </w:r>
      <w:r w:rsidR="00FC78E2">
        <w:t xml:space="preserve"> This work is expected to be completed by the end of 2017 to support plant startup and commissioning in 2018.</w:t>
      </w:r>
      <w:r w:rsidR="00A729B0">
        <w:rPr>
          <w:rStyle w:val="FootnoteReference"/>
        </w:rPr>
        <w:footnoteReference w:id="64"/>
      </w:r>
      <w:r w:rsidR="00FC78E2">
        <w:t xml:space="preserve"> PSE has developed a capital budget of approximately $53.5</w:t>
      </w:r>
      <w:r w:rsidR="00F652ED">
        <w:t> </w:t>
      </w:r>
      <w:r w:rsidR="00FC78E2">
        <w:t xml:space="preserve">million (not including AFUDC) associated with the </w:t>
      </w:r>
      <w:r w:rsidR="007D573A">
        <w:t>Distribution Upgrades</w:t>
      </w:r>
      <w:r w:rsidR="00FC78E2">
        <w:t>.</w:t>
      </w:r>
      <w:r w:rsidR="00A729B0">
        <w:rPr>
          <w:rStyle w:val="FootnoteReference"/>
        </w:rPr>
        <w:footnoteReference w:id="65"/>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The total projected capital budget for the Tacoma LNG Facility is approximately $310.7</w:t>
      </w:r>
      <w:r w:rsidR="00F652ED">
        <w:t> </w:t>
      </w:r>
      <w:r w:rsidR="00FC78E2">
        <w:t>million (not including AFUDC).</w:t>
      </w:r>
      <w:r w:rsidR="00D17892">
        <w:rPr>
          <w:rStyle w:val="FootnoteReference"/>
        </w:rPr>
        <w:footnoteReference w:id="66"/>
      </w:r>
      <w:r w:rsidR="00FC78E2">
        <w:t xml:space="preserve"> This amount includes (i)</w:t>
      </w:r>
      <w:r w:rsidR="00F652ED">
        <w:t> </w:t>
      </w:r>
      <w:r w:rsidR="00FC78E2">
        <w:t>the projected budget of $13.6</w:t>
      </w:r>
      <w:r w:rsidR="00F652ED">
        <w:t> </w:t>
      </w:r>
      <w:r w:rsidR="00FC78E2">
        <w:t>million (not including AFUDC) for the development phase</w:t>
      </w:r>
      <w:r w:rsidR="00F1081A">
        <w:rPr>
          <w:rStyle w:val="FootnoteReference"/>
        </w:rPr>
        <w:footnoteReference w:id="67"/>
      </w:r>
      <w:r w:rsidR="00FC78E2">
        <w:t xml:space="preserve"> and (ii)</w:t>
      </w:r>
      <w:r w:rsidR="00F652ED">
        <w:t> </w:t>
      </w:r>
      <w:r w:rsidR="00FC78E2">
        <w:t xml:space="preserve">the projected budget </w:t>
      </w:r>
      <w:r w:rsidR="00FC78E2">
        <w:lastRenderedPageBreak/>
        <w:t>of $297.1</w:t>
      </w:r>
      <w:r w:rsidR="00F652ED">
        <w:t> </w:t>
      </w:r>
      <w:r w:rsidR="00FC78E2">
        <w:t>million (not including AFUDC) for the construction phase.</w:t>
      </w:r>
      <w:r w:rsidR="00F1081A">
        <w:rPr>
          <w:rStyle w:val="FootnoteReference"/>
        </w:rPr>
        <w:footnoteReference w:id="68"/>
      </w:r>
      <w:r w:rsidR="00FC78E2">
        <w:t xml:space="preserve"> The total projected capital budget for the </w:t>
      </w:r>
      <w:r w:rsidR="007D573A">
        <w:t>Distribution Upgrades</w:t>
      </w:r>
      <w:r w:rsidR="00FC78E2">
        <w:t xml:space="preserve"> is approximately $53.5 million (not including AFUDC).</w:t>
      </w:r>
      <w:r w:rsidR="00F1081A">
        <w:rPr>
          <w:rStyle w:val="FootnoteReference"/>
        </w:rPr>
        <w:footnoteReference w:id="69"/>
      </w:r>
      <w:r w:rsidR="00FC78E2">
        <w:t xml:space="preserve"> The total projected capital budget for the Tacoma LNG Project is approximately $364.2</w:t>
      </w:r>
      <w:r w:rsidR="00F652ED">
        <w:t> </w:t>
      </w:r>
      <w:r w:rsidR="00FC78E2">
        <w:t>million (not including AFUDC).</w:t>
      </w:r>
      <w:r w:rsidR="00F1081A">
        <w:rPr>
          <w:rStyle w:val="FootnoteReference"/>
        </w:rPr>
        <w:footnoteReference w:id="70"/>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The Tacoma LNG Facility would serve as a peaking resource for PSE</w:t>
      </w:r>
      <w:r w:rsidR="002B591F">
        <w:t>’</w:t>
      </w:r>
      <w:r w:rsidR="00FC78E2">
        <w:t>s core natural gas customers.</w:t>
      </w:r>
      <w:r w:rsidR="00147E56">
        <w:rPr>
          <w:rStyle w:val="FootnoteReference"/>
        </w:rPr>
        <w:footnoteReference w:id="71"/>
      </w:r>
      <w:r w:rsidR="00FC78E2">
        <w:t xml:space="preserve"> PSE would liquefy natural gas over the summer months and store the liquefied natural gas in the Tacoma LNG Facility</w:t>
      </w:r>
      <w:r w:rsidR="002B591F">
        <w:t>’</w:t>
      </w:r>
      <w:r w:rsidR="00FC78E2">
        <w:t>s large cryogenic tank.</w:t>
      </w:r>
      <w:r w:rsidR="00147E56">
        <w:rPr>
          <w:rStyle w:val="FootnoteReference"/>
        </w:rPr>
        <w:footnoteReference w:id="72"/>
      </w:r>
      <w:r w:rsidR="00FC78E2">
        <w:t xml:space="preserve"> During peak winter days, PSE would vaporize the liquefied natural gas and inject that natural gas into PSE</w:t>
      </w:r>
      <w:r w:rsidR="002B591F">
        <w:t>’</w:t>
      </w:r>
      <w:r w:rsidR="00FC78E2">
        <w:t>s natural gas distribution system.</w:t>
      </w:r>
      <w:r w:rsidR="00147E56">
        <w:rPr>
          <w:rStyle w:val="FootnoteReference"/>
        </w:rPr>
        <w:footnoteReference w:id="73"/>
      </w:r>
      <w:r w:rsidR="00FC78E2">
        <w:t xml:space="preserve"> This peaking resource would allow PSE to avoid purchasing 365-day pipeline capacity to meet a few days of peak demand that may only occur once every few winters.</w:t>
      </w:r>
      <w:r w:rsidR="00147E56">
        <w:rPr>
          <w:rStyle w:val="FootnoteReference"/>
        </w:rPr>
        <w:footnoteReference w:id="74"/>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PSE would make liquefied natural gas fuel sales from the Tacoma LNG Facility to TOTE under the TOTE Special Contract, which would be a special contract regulated by the Commission pursuant to WAC</w:t>
      </w:r>
      <w:r w:rsidR="00B115B4">
        <w:t> </w:t>
      </w:r>
      <w:r w:rsidR="00FC78E2">
        <w:t>480-80-143.</w:t>
      </w:r>
    </w:p>
    <w:p w:rsidR="003B3B07" w:rsidRPr="00FC78E2" w:rsidRDefault="003B3B07" w:rsidP="006D1F1E">
      <w:pPr>
        <w:pStyle w:val="Heading2"/>
        <w:widowControl/>
      </w:pPr>
      <w:bookmarkStart w:id="15" w:name="_Toc435799483"/>
      <w:bookmarkStart w:id="16" w:name="_Toc436128671"/>
      <w:r>
        <w:t>B.</w:t>
      </w:r>
      <w:r>
        <w:tab/>
        <w:t>Background Regarding the TOTE Special Contract</w:t>
      </w:r>
      <w:bookmarkEnd w:id="15"/>
      <w:bookmarkEnd w:id="16"/>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TOTE</w:t>
      </w:r>
      <w:r w:rsidR="00147E56">
        <w:t xml:space="preserve"> </w:t>
      </w:r>
      <w:r w:rsidR="00FC78E2">
        <w:t>is a shipping company that transports approximately 30</w:t>
      </w:r>
      <w:r w:rsidR="00147E56">
        <w:t> </w:t>
      </w:r>
      <w:r w:rsidR="00FC78E2">
        <w:t>percent of all consumer goods shipped to Alaska.</w:t>
      </w:r>
      <w:r w:rsidR="00147E56">
        <w:rPr>
          <w:rStyle w:val="FootnoteReference"/>
        </w:rPr>
        <w:footnoteReference w:id="75"/>
      </w:r>
      <w:r w:rsidR="00FC78E2">
        <w:t xml:space="preserve"> TOTE is fully owned by Saltchuk Resources Inc., a privately held investment group based in Seattle.</w:t>
      </w:r>
      <w:r w:rsidR="00541E2F">
        <w:rPr>
          <w:rStyle w:val="FootnoteReference"/>
        </w:rPr>
        <w:footnoteReference w:id="76"/>
      </w:r>
      <w:r w:rsidR="00FC78E2">
        <w:t xml:space="preserve"> TOTE operates two Orca class ships between the Port of </w:t>
      </w:r>
      <w:r w:rsidR="00FC78E2">
        <w:lastRenderedPageBreak/>
        <w:t>Tacoma and the Port of Anchorage on a regimented schedule of sailings departing from Tacoma every Wednesday and Friday evening.</w:t>
      </w:r>
      <w:r w:rsidR="00541E2F">
        <w:rPr>
          <w:rStyle w:val="FootnoteReference"/>
        </w:rPr>
        <w:footnoteReference w:id="77"/>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TOTE</w:t>
      </w:r>
      <w:r w:rsidR="002B591F">
        <w:t>’</w:t>
      </w:r>
      <w:r w:rsidR="00FC78E2">
        <w:t>s decision to use liquefied natural gas (as opposed to a petroleum</w:t>
      </w:r>
      <w:r w:rsidR="007D573A">
        <w:t>-</w:t>
      </w:r>
      <w:r w:rsidR="00FC78E2">
        <w:t>based fuel) has been driven by regulatory, environmental, and economic factors.</w:t>
      </w:r>
      <w:r w:rsidR="00F44CE8">
        <w:rPr>
          <w:rStyle w:val="FootnoteReference"/>
        </w:rPr>
        <w:footnoteReference w:id="78"/>
      </w:r>
      <w:r w:rsidR="00FC78E2">
        <w:t xml:space="preserve"> In 2010, the International Maritime Organization, a United Nations organization, approved the North American Emissions Control Area, establishing more stringent emissions standards within 200 nautical miles of the U.S. and Canadian coast.</w:t>
      </w:r>
      <w:r w:rsidR="00F44CE8">
        <w:rPr>
          <w:rStyle w:val="FootnoteReference"/>
        </w:rPr>
        <w:footnoteReference w:id="79"/>
      </w:r>
      <w:r w:rsidR="00FC78E2">
        <w:t xml:space="preserve"> The Environmental Protection Agency is responsible for administering vessels operating in the North American Emissions Control Area.</w:t>
      </w:r>
      <w:r w:rsidR="00F44CE8">
        <w:rPr>
          <w:rStyle w:val="FootnoteReference"/>
        </w:rPr>
        <w:footnoteReference w:id="80"/>
      </w:r>
      <w:r w:rsidR="00FC78E2">
        <w:t xml:space="preserve"> Ships operating within the North American Emissions Control Area were required to reduce the sulfur content of their fuel to one percent (1%) in August 2012 and are further required to reduce it to one-tenth of one percent (0.1%) in January 2015.</w:t>
      </w:r>
      <w:r w:rsidR="00F44CE8">
        <w:rPr>
          <w:rStyle w:val="FootnoteReference"/>
        </w:rPr>
        <w:footnoteReference w:id="81"/>
      </w:r>
    </w:p>
    <w:p w:rsidR="00FC78E2" w:rsidRDefault="003B3B07" w:rsidP="006D1F1E">
      <w:pPr>
        <w:spacing w:line="480" w:lineRule="auto"/>
      </w:pPr>
      <w:r>
        <w:rPr>
          <w:i/>
        </w:rPr>
        <w:fldChar w:fldCharType="begin"/>
      </w:r>
      <w:r>
        <w:rPr>
          <w:i/>
        </w:rPr>
        <w:instrText xml:space="preserve"> AUTONUM </w:instrText>
      </w:r>
      <w:r>
        <w:rPr>
          <w:i/>
        </w:rPr>
        <w:fldChar w:fldCharType="end"/>
      </w:r>
      <w:r>
        <w:tab/>
      </w:r>
      <w:r w:rsidR="00D432B8">
        <w:tab/>
      </w:r>
      <w:r w:rsidR="00FC78E2">
        <w:t>Vessel operators can meet the new standard by switching to lower sulfur diesel fuels, installing scrubbers, or transitioning to a cleaner fuel, such as liquefied natural gas.</w:t>
      </w:r>
      <w:r w:rsidR="00F44CE8">
        <w:rPr>
          <w:rStyle w:val="FootnoteReference"/>
        </w:rPr>
        <w:footnoteReference w:id="82"/>
      </w:r>
      <w:r w:rsidR="00FC78E2">
        <w:t xml:space="preserve"> TOTE has chosen to meet the new standard by switching to liquefied natural gas as a marine fuel.</w:t>
      </w:r>
      <w:r w:rsidR="00F44CE8">
        <w:rPr>
          <w:rStyle w:val="FootnoteReference"/>
        </w:rPr>
        <w:footnoteReference w:id="83"/>
      </w:r>
      <w:r w:rsidR="00FC78E2">
        <w:t xml:space="preserve"> TOTE will consume more than 39</w:t>
      </w:r>
      <w:r w:rsidR="00F44CE8">
        <w:t> </w:t>
      </w:r>
      <w:r w:rsidR="00FC78E2">
        <w:t>million gallons of liquefied natural gas annually, which represents 44</w:t>
      </w:r>
      <w:r w:rsidR="00F44CE8">
        <w:t> </w:t>
      </w:r>
      <w:r w:rsidR="00FC78E2">
        <w:t>percent of the liquefaction capacity of the Tacoma LNG Facility.</w:t>
      </w:r>
      <w:r w:rsidR="00F44CE8">
        <w:rPr>
          <w:rStyle w:val="FootnoteReference"/>
        </w:rPr>
        <w:footnoteReference w:id="84"/>
      </w:r>
    </w:p>
    <w:p w:rsidR="00FC78E2" w:rsidRDefault="006D1F1E" w:rsidP="006D1F1E">
      <w:pPr>
        <w:spacing w:line="480" w:lineRule="auto"/>
      </w:pPr>
      <w:r>
        <w:rPr>
          <w:i/>
        </w:rPr>
        <w:fldChar w:fldCharType="begin"/>
      </w:r>
      <w:r>
        <w:rPr>
          <w:i/>
        </w:rPr>
        <w:instrText xml:space="preserve"> AUTONUM </w:instrText>
      </w:r>
      <w:r>
        <w:rPr>
          <w:i/>
        </w:rPr>
        <w:fldChar w:fldCharType="end"/>
      </w:r>
      <w:r>
        <w:tab/>
      </w:r>
      <w:r w:rsidR="00D432B8">
        <w:tab/>
      </w:r>
      <w:r w:rsidR="00FC78E2">
        <w:t xml:space="preserve">The initial term of the TOTE Special Contract is </w:t>
      </w:r>
      <w:r w:rsidR="00365C42">
        <w:t>ten </w:t>
      </w:r>
      <w:r w:rsidR="00FC78E2">
        <w:t>years, beginning on January 1, 2019 and terminating on December</w:t>
      </w:r>
      <w:r w:rsidR="00365C42">
        <w:t> </w:t>
      </w:r>
      <w:r w:rsidR="00FC78E2">
        <w:t>31, 2028.</w:t>
      </w:r>
      <w:r w:rsidR="00365C42">
        <w:rPr>
          <w:rStyle w:val="FootnoteReference"/>
        </w:rPr>
        <w:footnoteReference w:id="85"/>
      </w:r>
      <w:r w:rsidR="00FC78E2">
        <w:t xml:space="preserve"> TOTE has the unilateral right to extend the TOTE </w:t>
      </w:r>
      <w:r w:rsidR="00FC78E2">
        <w:lastRenderedPageBreak/>
        <w:t>Special Contract in five</w:t>
      </w:r>
      <w:r w:rsidR="00FC78E2">
        <w:rPr>
          <w:rFonts w:ascii="Cambria Math" w:hAnsi="Cambria Math" w:cs="Cambria Math"/>
        </w:rPr>
        <w:t>‐</w:t>
      </w:r>
      <w:r w:rsidR="00FC78E2">
        <w:t>year increments with 18 months</w:t>
      </w:r>
      <w:r w:rsidR="002B591F">
        <w:t>’</w:t>
      </w:r>
      <w:r w:rsidR="00FC78E2">
        <w:t xml:space="preserve"> notice.</w:t>
      </w:r>
      <w:r w:rsidR="00365C42">
        <w:rPr>
          <w:rStyle w:val="FootnoteReference"/>
        </w:rPr>
        <w:footnoteReference w:id="86"/>
      </w:r>
      <w:r w:rsidR="00365C42">
        <w:t xml:space="preserve"> </w:t>
      </w:r>
      <w:r w:rsidR="00FC78E2">
        <w:t>Extension term pricing contains favorable terms for three successive extension periods, recognizing that TOTE will have paid a short-term contract premium during the initial 10</w:t>
      </w:r>
      <w:r w:rsidR="00FC78E2">
        <w:rPr>
          <w:rFonts w:ascii="Cambria Math" w:hAnsi="Cambria Math" w:cs="Cambria Math"/>
        </w:rPr>
        <w:t>‐</w:t>
      </w:r>
      <w:r w:rsidR="00FC78E2">
        <w:t>year term.</w:t>
      </w:r>
      <w:r w:rsidR="00684D04">
        <w:rPr>
          <w:rStyle w:val="FootnoteReference"/>
        </w:rPr>
        <w:footnoteReference w:id="87"/>
      </w:r>
    </w:p>
    <w:p w:rsidR="00FC78E2" w:rsidRDefault="006D1F1E" w:rsidP="006D1F1E">
      <w:pPr>
        <w:spacing w:line="480" w:lineRule="auto"/>
      </w:pPr>
      <w:r>
        <w:rPr>
          <w:i/>
        </w:rPr>
        <w:fldChar w:fldCharType="begin"/>
      </w:r>
      <w:r>
        <w:rPr>
          <w:i/>
        </w:rPr>
        <w:instrText xml:space="preserve"> AUTONUM </w:instrText>
      </w:r>
      <w:r>
        <w:rPr>
          <w:i/>
        </w:rPr>
        <w:fldChar w:fldCharType="end"/>
      </w:r>
      <w:r>
        <w:tab/>
      </w:r>
      <w:r w:rsidR="006349BE">
        <w:tab/>
      </w:r>
      <w:r w:rsidR="00FC78E2">
        <w:t>PSE will provide pricing under the TOTE Special Contract using a cost</w:t>
      </w:r>
      <w:r w:rsidR="00FC78E2">
        <w:rPr>
          <w:rFonts w:ascii="Cambria Math" w:hAnsi="Cambria Math" w:cs="Cambria Math"/>
        </w:rPr>
        <w:t>‐</w:t>
      </w:r>
      <w:r w:rsidR="00FC78E2">
        <w:t>of</w:t>
      </w:r>
      <w:r w:rsidR="00FC78E2">
        <w:rPr>
          <w:rFonts w:ascii="Cambria Math" w:hAnsi="Cambria Math" w:cs="Cambria Math"/>
        </w:rPr>
        <w:t>‐</w:t>
      </w:r>
      <w:r w:rsidR="00FC78E2">
        <w:t>service model, with demand and variable components, and including overhead allocations.</w:t>
      </w:r>
      <w:r w:rsidR="00684D04">
        <w:rPr>
          <w:rStyle w:val="FootnoteReference"/>
        </w:rPr>
        <w:footnoteReference w:id="88"/>
      </w:r>
      <w:r w:rsidR="00FC78E2">
        <w:t xml:space="preserve"> Typical cost</w:t>
      </w:r>
      <w:r w:rsidR="00FC78E2">
        <w:rPr>
          <w:rFonts w:ascii="Cambria Math" w:hAnsi="Cambria Math" w:cs="Cambria Math"/>
        </w:rPr>
        <w:t>‐</w:t>
      </w:r>
      <w:r w:rsidR="00FC78E2">
        <w:t>of</w:t>
      </w:r>
      <w:r w:rsidR="00FC78E2">
        <w:rPr>
          <w:rFonts w:ascii="Cambria Math" w:hAnsi="Cambria Math" w:cs="Cambria Math"/>
        </w:rPr>
        <w:t>‐</w:t>
      </w:r>
      <w:r w:rsidR="00FC78E2">
        <w:t>service ratemaking applies, with the following exceptions:</w:t>
      </w:r>
    </w:p>
    <w:p w:rsidR="00CA4A15" w:rsidRDefault="00CA4A15" w:rsidP="00CA4A15">
      <w:pPr>
        <w:numPr>
          <w:ilvl w:val="0"/>
          <w:numId w:val="47"/>
        </w:numPr>
        <w:tabs>
          <w:tab w:val="clear" w:pos="720"/>
          <w:tab w:val="clear" w:pos="3510"/>
        </w:tabs>
        <w:spacing w:after="280" w:line="240" w:lineRule="auto"/>
        <w:ind w:left="1440" w:right="720" w:hanging="720"/>
      </w:pPr>
      <w:r>
        <w:t>TOTE will be charged a levelized premium to compensate for a ten-year contract term (the “short-term contract premium”).</w:t>
      </w:r>
      <w:r>
        <w:rPr>
          <w:rStyle w:val="FootnoteReference"/>
        </w:rPr>
        <w:footnoteReference w:id="89"/>
      </w:r>
    </w:p>
    <w:p w:rsidR="006D1F1E" w:rsidRDefault="00FC78E2" w:rsidP="006D1F1E">
      <w:pPr>
        <w:numPr>
          <w:ilvl w:val="0"/>
          <w:numId w:val="47"/>
        </w:numPr>
        <w:tabs>
          <w:tab w:val="clear" w:pos="720"/>
          <w:tab w:val="clear" w:pos="3510"/>
        </w:tabs>
        <w:spacing w:after="280" w:line="240" w:lineRule="auto"/>
        <w:ind w:left="1440" w:right="720" w:hanging="720"/>
      </w:pPr>
      <w:r>
        <w:t xml:space="preserve">Pricing will be </w:t>
      </w:r>
      <w:r w:rsidR="00920530">
        <w:rPr>
          <w:highlight w:val="lightGray"/>
          <w:bdr w:val="single" w:sz="4" w:space="0" w:color="auto"/>
        </w:rPr>
        <w:t>██████████████████████████</w:t>
      </w:r>
      <w:r>
        <w:t>, recovering</w:t>
      </w:r>
      <w:r w:rsidR="00920530">
        <w:br/>
      </w:r>
      <w:r>
        <w:t>capital and fixed O&amp;M.</w:t>
      </w:r>
      <w:r w:rsidR="00684D04">
        <w:rPr>
          <w:rStyle w:val="FootnoteReference"/>
        </w:rPr>
        <w:footnoteReference w:id="90"/>
      </w:r>
    </w:p>
    <w:p w:rsidR="00FC78E2" w:rsidRDefault="00FC78E2" w:rsidP="006D1F1E">
      <w:pPr>
        <w:numPr>
          <w:ilvl w:val="0"/>
          <w:numId w:val="47"/>
        </w:numPr>
        <w:tabs>
          <w:tab w:val="clear" w:pos="720"/>
          <w:tab w:val="clear" w:pos="3510"/>
        </w:tabs>
        <w:spacing w:after="280" w:line="240" w:lineRule="auto"/>
        <w:ind w:left="1440" w:right="720" w:hanging="720"/>
      </w:pPr>
      <w:r>
        <w:t>Provided TOTE gives proper notice to extend, extension pricing will include capital recovery at reduced rates, recognizing that TOTE will have paid the short</w:t>
      </w:r>
      <w:r w:rsidRPr="006D1F1E">
        <w:rPr>
          <w:rFonts w:ascii="Cambria Math" w:hAnsi="Cambria Math" w:cs="Cambria Math"/>
        </w:rPr>
        <w:t>‐</w:t>
      </w:r>
      <w:r>
        <w:t>term contract premium during the initial term.</w:t>
      </w:r>
      <w:r w:rsidR="00684D04">
        <w:rPr>
          <w:rStyle w:val="FootnoteReference"/>
        </w:rPr>
        <w:footnoteReference w:id="91"/>
      </w:r>
    </w:p>
    <w:p w:rsidR="00FC78E2" w:rsidRDefault="00820ACA" w:rsidP="006D1F1E">
      <w:pPr>
        <w:spacing w:line="480" w:lineRule="auto"/>
        <w:ind w:firstLine="0"/>
      </w:pPr>
      <w:r>
        <w:rPr>
          <w:noProof/>
        </w:rPr>
        <mc:AlternateContent>
          <mc:Choice Requires="wpg">
            <w:drawing>
              <wp:anchor distT="0" distB="0" distL="114300" distR="114300" simplePos="0" relativeHeight="251663872" behindDoc="0" locked="0" layoutInCell="1" allowOverlap="1" wp14:anchorId="0F843129" wp14:editId="5D5EBA46">
                <wp:simplePos x="0" y="0"/>
                <wp:positionH relativeFrom="column">
                  <wp:posOffset>2086610</wp:posOffset>
                </wp:positionH>
                <wp:positionV relativeFrom="paragraph">
                  <wp:posOffset>4394835</wp:posOffset>
                </wp:positionV>
                <wp:extent cx="2466340" cy="5715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571500"/>
                          <a:chOff x="4041" y="11164"/>
                          <a:chExt cx="5010" cy="1065"/>
                        </a:xfrm>
                      </wpg:grpSpPr>
                      <wps:wsp>
                        <wps:cNvPr id="1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ACA" w:rsidRPr="00F7567F" w:rsidRDefault="00820ACA" w:rsidP="00820ACA">
                              <w:pPr>
                                <w:tabs>
                                  <w:tab w:val="clear" w:pos="720"/>
                                </w:tabs>
                                <w:ind w:firstLine="0"/>
                                <w:rPr>
                                  <w:rFonts w:ascii="Calibri" w:hAnsi="Calibri"/>
                                </w:rPr>
                              </w:pPr>
                            </w:p>
                          </w:txbxContent>
                        </wps:txbx>
                        <wps:bodyPr rot="0" vert="horz" wrap="square" lIns="91440" tIns="91440" rIns="91440" bIns="91440" anchor="t" anchorCtr="0" upright="1">
                          <a:noAutofit/>
                        </wps:bodyPr>
                      </wps:wsp>
                      <wps:wsp>
                        <wps:cNvPr id="1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820ACA" w:rsidRDefault="00920530" w:rsidP="00820ACA">
                              <w:pPr>
                                <w:spacing w:line="240" w:lineRule="auto"/>
                                <w:ind w:firstLine="0"/>
                                <w:jc w:val="center"/>
                                <w:rPr>
                                  <w:rFonts w:ascii="Times New Roman Bold" w:hAnsi="Times New Roman Bold"/>
                                  <w:b/>
                                  <w:smallCaps/>
                                  <w:sz w:val="16"/>
                                  <w:szCs w:val="16"/>
                                </w:rPr>
                              </w:pPr>
                              <w:r>
                                <w:rPr>
                                  <w:rFonts w:ascii="Times New Roman Bold" w:hAnsi="Times New Roman Bold"/>
                                  <w:b/>
                                  <w:smallCaps/>
                                  <w:sz w:val="16"/>
                                  <w:szCs w:val="16"/>
                                </w:rPr>
                                <w:t>Redacted</w:t>
                              </w:r>
                            </w:p>
                            <w:p w:rsidR="00920530" w:rsidRPr="00820ACA" w:rsidRDefault="00920530" w:rsidP="00820ACA">
                              <w:pPr>
                                <w:spacing w:line="240" w:lineRule="auto"/>
                                <w:ind w:firstLine="0"/>
                                <w:jc w:val="center"/>
                                <w:rPr>
                                  <w:rFonts w:ascii="Times New Roman Bold" w:hAnsi="Times New Roman Bold"/>
                                  <w:b/>
                                  <w:smallCaps/>
                                  <w:sz w:val="16"/>
                                  <w:szCs w:val="16"/>
                                </w:rPr>
                              </w:pPr>
                              <w:r>
                                <w:rPr>
                                  <w:rFonts w:ascii="Times New Roman Bold" w:hAnsi="Times New Roman Bold"/>
                                  <w:b/>
                                  <w:smallCaps/>
                                  <w:sz w:val="16"/>
                                  <w:szCs w:val="16"/>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0" style="position:absolute;margin-left:164.3pt;margin-top:346.05pt;width:194.2pt;height:45pt;z-index:25166387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">
                <v:shape id="Text Box 7" o:spid="_x0000_s104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4DsAA&#10;AADbAAAADwAAAGRycy9kb3ducmV2LnhtbERPTYvCMBC9L/gfwgje1tRlKVKNIoKw3nZV1OPQTNNi&#10;MylNrHV/vREEb/N4nzNf9rYWHbW+cqxgMk5AEOdOV2wUHPabzykIH5A11o5JwZ08LBeDjzlm2t34&#10;j7pdMCKGsM9QQRlCk0np85Is+rFriCNXuNZiiLA1Urd4i+G2ll9JkkqLFceGEhtal5Rfdler4GTS&#10;bf07veji+/x/nJhr1623hVKjYb+agQjUh7f45f7RcX4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I4DsAAAADbAAAADwAAAAAAAAAAAAAAAACYAgAAZHJzL2Rvd25y&#10;ZXYueG1sUEsFBgAAAAAEAAQA9QAAAIUDAAAAAA==&#10;" fillcolor="gray" stroked="f">
                  <v:textbox inset=",7.2pt,,7.2pt">
                    <w:txbxContent>
                      <w:p w:rsidR="00820ACA" w:rsidRPr="00F7567F" w:rsidRDefault="00820ACA" w:rsidP="00820ACA">
                        <w:pPr>
                          <w:tabs>
                            <w:tab w:val="clear" w:pos="720"/>
                          </w:tabs>
                          <w:ind w:firstLine="0"/>
                          <w:rPr>
                            <w:rFonts w:ascii="Calibri" w:hAnsi="Calibri"/>
                          </w:rPr>
                        </w:pPr>
                      </w:p>
                    </w:txbxContent>
                  </v:textbox>
                </v:shape>
                <v:shape id="Text Box 8" o:spid="_x0000_s104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U18MA&#10;AADbAAAADwAAAGRycy9kb3ducmV2LnhtbESPQYvCMBCF7wv+hzCCl0VTlVWpRpGCIF4Wu0vPQzO2&#10;xWZSm2jrvzfCwt6+Yd6892az600tHtS6yrKC6SQCQZxbXXGh4PfnMF6BcB5ZY22ZFDzJwW47+Nhg&#10;rG3HZ3qkvhDBhF2MCkrvm1hKl5dk0E1sQxx2F9sa9GFsC6lb7IK5qeUsihbSYMUhocSGkpLya3o3&#10;CpJTFvB8+86yef21OKVd8pkUSo2G/X4NwlPv/8V/10cd6i/h/UsA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1U18MAAADbAAAADwAAAAAAAAAAAAAAAACYAgAAZHJzL2Rv&#10;d25yZXYueG1sUEsFBgAAAAAEAAQA9QAAAIgDAAAAAA==&#10;" strokeweight="1.5pt">
                  <v:textbox inset=",7.2pt,,7.2pt">
                    <w:txbxContent>
                      <w:p w:rsidR="00820ACA" w:rsidRDefault="00920530" w:rsidP="00820ACA">
                        <w:pPr>
                          <w:spacing w:line="240" w:lineRule="auto"/>
                          <w:ind w:firstLine="0"/>
                          <w:jc w:val="center"/>
                          <w:rPr>
                            <w:rFonts w:ascii="Times New Roman Bold" w:hAnsi="Times New Roman Bold"/>
                            <w:b/>
                            <w:smallCaps/>
                            <w:sz w:val="16"/>
                            <w:szCs w:val="16"/>
                          </w:rPr>
                        </w:pPr>
                        <w:r>
                          <w:rPr>
                            <w:rFonts w:ascii="Times New Roman Bold" w:hAnsi="Times New Roman Bold"/>
                            <w:b/>
                            <w:smallCaps/>
                            <w:sz w:val="16"/>
                            <w:szCs w:val="16"/>
                          </w:rPr>
                          <w:t>Redacted</w:t>
                        </w:r>
                      </w:p>
                      <w:p w:rsidR="00920530" w:rsidRPr="00820ACA" w:rsidRDefault="00920530" w:rsidP="00820ACA">
                        <w:pPr>
                          <w:spacing w:line="240" w:lineRule="auto"/>
                          <w:ind w:firstLine="0"/>
                          <w:jc w:val="center"/>
                          <w:rPr>
                            <w:rFonts w:ascii="Times New Roman Bold" w:hAnsi="Times New Roman Bold"/>
                            <w:b/>
                            <w:smallCaps/>
                            <w:sz w:val="16"/>
                            <w:szCs w:val="16"/>
                          </w:rPr>
                        </w:pPr>
                        <w:r>
                          <w:rPr>
                            <w:rFonts w:ascii="Times New Roman Bold" w:hAnsi="Times New Roman Bold"/>
                            <w:b/>
                            <w:smallCaps/>
                            <w:sz w:val="16"/>
                            <w:szCs w:val="16"/>
                          </w:rPr>
                          <w:t>Version</w:t>
                        </w:r>
                      </w:p>
                    </w:txbxContent>
                  </v:textbox>
                </v:shape>
              </v:group>
            </w:pict>
          </mc:Fallback>
        </mc:AlternateContent>
      </w:r>
      <w:r w:rsidR="00FC78E2">
        <w:t>PSE will purchase and deliver natural gas to the Tacoma LNG Facility.</w:t>
      </w:r>
      <w:r w:rsidR="0023018C">
        <w:rPr>
          <w:rStyle w:val="FootnoteReference"/>
        </w:rPr>
        <w:footnoteReference w:id="92"/>
      </w:r>
      <w:r w:rsidR="00FC78E2">
        <w:t xml:space="preserve"> </w:t>
      </w:r>
      <w:r w:rsidR="00DD09AF">
        <w:t xml:space="preserve">The cost-of-service rate charged to </w:t>
      </w:r>
      <w:r w:rsidR="00FC78E2">
        <w:t xml:space="preserve">TOTE will </w:t>
      </w:r>
      <w:r w:rsidR="00DD09AF">
        <w:t>include</w:t>
      </w:r>
      <w:r w:rsidR="00FC78E2">
        <w:t xml:space="preserve"> a market-based price for natural gas (based on the monthly Sumas index).</w:t>
      </w:r>
      <w:r w:rsidR="00684D04">
        <w:rPr>
          <w:rStyle w:val="FootnoteReference"/>
        </w:rPr>
        <w:footnoteReference w:id="93"/>
      </w:r>
      <w:r w:rsidR="00FC78E2">
        <w:t xml:space="preserve"> </w:t>
      </w:r>
      <w:r w:rsidR="00DD09AF">
        <w:t>In addition, liquefied n</w:t>
      </w:r>
      <w:r w:rsidR="00FC78E2">
        <w:t xml:space="preserve">atural gas volumes billed to TOTE under the Special Contract will include natural gas that is used as </w:t>
      </w:r>
      <w:r w:rsidR="002B591F">
        <w:t>“</w:t>
      </w:r>
      <w:r w:rsidR="00FC78E2">
        <w:t>plant fuel</w:t>
      </w:r>
      <w:r w:rsidR="002B591F">
        <w:t>”</w:t>
      </w:r>
      <w:r w:rsidR="00FC78E2">
        <w:t xml:space="preserve"> for pipeline transportation and processes at the Tacoma LNG Facility.</w:t>
      </w:r>
      <w:r w:rsidR="0023018C">
        <w:rPr>
          <w:rStyle w:val="FootnoteReference"/>
        </w:rPr>
        <w:footnoteReference w:id="94"/>
      </w:r>
    </w:p>
    <w:p w:rsidR="00B115B4" w:rsidRPr="00FC78E2" w:rsidRDefault="00B115B4" w:rsidP="00B115B4">
      <w:pPr>
        <w:pStyle w:val="Heading2"/>
        <w:widowControl/>
      </w:pPr>
      <w:bookmarkStart w:id="17" w:name="_Toc435799484"/>
      <w:bookmarkStart w:id="18" w:name="_Toc436128672"/>
      <w:r>
        <w:lastRenderedPageBreak/>
        <w:t>C.</w:t>
      </w:r>
      <w:r>
        <w:tab/>
        <w:t>Procedural Background</w:t>
      </w:r>
      <w:bookmarkEnd w:id="17"/>
      <w:bookmarkEnd w:id="18"/>
    </w:p>
    <w:p w:rsidR="00274155" w:rsidRDefault="00B115B4" w:rsidP="00274155">
      <w:pPr>
        <w:spacing w:line="480" w:lineRule="auto"/>
      </w:pPr>
      <w:r>
        <w:rPr>
          <w:i/>
        </w:rPr>
        <w:fldChar w:fldCharType="begin"/>
      </w:r>
      <w:r>
        <w:rPr>
          <w:i/>
        </w:rPr>
        <w:instrText xml:space="preserve"> AUTONUM </w:instrText>
      </w:r>
      <w:r>
        <w:rPr>
          <w:i/>
        </w:rPr>
        <w:fldChar w:fldCharType="end"/>
      </w:r>
      <w:r>
        <w:tab/>
      </w:r>
      <w:r w:rsidR="006349BE">
        <w:tab/>
      </w:r>
      <w:r>
        <w:t>On August 11, 2015, PSE filed with the Commission a petition for approval of</w:t>
      </w:r>
      <w:r w:rsidR="00513B03">
        <w:t xml:space="preserve">, among other things, </w:t>
      </w:r>
      <w:r>
        <w:t>the TOTE Special Contract.</w:t>
      </w:r>
      <w:r w:rsidR="00CA4A15">
        <w:rPr>
          <w:rStyle w:val="FootnoteReference"/>
        </w:rPr>
        <w:footnoteReference w:id="95"/>
      </w:r>
      <w:r w:rsidR="00274155">
        <w:t xml:space="preserve"> On September 8, 2015, the Commission adopted a preliminary procedural schedule including technical conferences on September 18 and 21, and October 8, 2015.</w:t>
      </w:r>
      <w:r w:rsidR="00CA4A15">
        <w:rPr>
          <w:rStyle w:val="FootnoteReference"/>
        </w:rPr>
        <w:footnoteReference w:id="96"/>
      </w:r>
      <w:r w:rsidR="00274155">
        <w:t xml:space="preserve"> The parties agreed to reconvene in prehearing to discuss their progress on the afternoon of October 13, 2015.</w:t>
      </w:r>
      <w:r w:rsidR="00CA4A15">
        <w:rPr>
          <w:rStyle w:val="FootnoteReference"/>
        </w:rPr>
        <w:footnoteReference w:id="97"/>
      </w:r>
    </w:p>
    <w:p w:rsidR="00274155" w:rsidRDefault="00274155" w:rsidP="00274155">
      <w:pPr>
        <w:spacing w:line="480" w:lineRule="auto"/>
      </w:pPr>
      <w:r>
        <w:rPr>
          <w:i/>
        </w:rPr>
        <w:fldChar w:fldCharType="begin"/>
      </w:r>
      <w:r>
        <w:rPr>
          <w:i/>
        </w:rPr>
        <w:instrText xml:space="preserve"> AUTONUM </w:instrText>
      </w:r>
      <w:r>
        <w:rPr>
          <w:i/>
        </w:rPr>
        <w:fldChar w:fldCharType="end"/>
      </w:r>
      <w:r>
        <w:tab/>
      </w:r>
      <w:r w:rsidR="006349BE">
        <w:tab/>
      </w:r>
      <w:r>
        <w:t>At the prehearing conference of October 13, 2015, the parties agreed to continue seeking common ground and to either report success in this regard, or to file simultaneous briefs on November 20, 2015, stating their respective positions on these issues that do not involve contested facts. On October 15, 2015, the Commission issued Order 03 in this proceeding that reflected this agreement among the parties.</w:t>
      </w:r>
      <w:r w:rsidR="007C7CAE">
        <w:rPr>
          <w:rStyle w:val="FootnoteReference"/>
        </w:rPr>
        <w:footnoteReference w:id="98"/>
      </w:r>
    </w:p>
    <w:p w:rsidR="00AC34FC" w:rsidRPr="00AC34FC" w:rsidRDefault="00AC34FC" w:rsidP="006D1F1E">
      <w:pPr>
        <w:pStyle w:val="Heading1"/>
        <w:widowControl/>
      </w:pPr>
      <w:bookmarkStart w:id="19" w:name="_Toc435799485"/>
      <w:bookmarkStart w:id="20" w:name="_Toc436128673"/>
      <w:r w:rsidRPr="00AC34FC">
        <w:t>IV.</w:t>
      </w:r>
      <w:r w:rsidRPr="00AC34FC">
        <w:tab/>
        <w:t>ARGUMENT</w:t>
      </w:r>
      <w:bookmarkEnd w:id="19"/>
      <w:bookmarkEnd w:id="20"/>
    </w:p>
    <w:p w:rsidR="00C845FE" w:rsidRPr="00AC34FC" w:rsidRDefault="00AC34FC" w:rsidP="006D1F1E">
      <w:pPr>
        <w:pStyle w:val="Heading2"/>
        <w:widowControl/>
      </w:pPr>
      <w:bookmarkStart w:id="21" w:name="_Toc435799486"/>
      <w:bookmarkStart w:id="22" w:name="_Toc436128674"/>
      <w:r w:rsidRPr="00AC34FC">
        <w:t>A</w:t>
      </w:r>
      <w:r w:rsidR="00C845FE" w:rsidRPr="00AC34FC">
        <w:t>.</w:t>
      </w:r>
      <w:r w:rsidRPr="00AC34FC">
        <w:tab/>
      </w:r>
      <w:r w:rsidR="00C845FE" w:rsidRPr="00AC34FC">
        <w:t xml:space="preserve">The </w:t>
      </w:r>
      <w:r w:rsidRPr="00AC34FC">
        <w:t xml:space="preserve">Commission </w:t>
      </w:r>
      <w:r w:rsidR="007C7CAE">
        <w:t>Can Exercise</w:t>
      </w:r>
      <w:r w:rsidR="00C845FE" w:rsidRPr="00AC34FC">
        <w:t xml:space="preserve"> Jurisdiction over Nat</w:t>
      </w:r>
      <w:r w:rsidRPr="00AC34FC">
        <w:t>ural Gas Sales by a Gas Company</w:t>
      </w:r>
      <w:bookmarkEnd w:id="21"/>
      <w:bookmarkEnd w:id="22"/>
    </w:p>
    <w:p w:rsidR="00AC34FC" w:rsidRPr="00AC34FC" w:rsidRDefault="00AC34FC" w:rsidP="006D1F1E">
      <w:pPr>
        <w:spacing w:line="480" w:lineRule="auto"/>
      </w:pPr>
      <w:r w:rsidRPr="00AC34FC">
        <w:rPr>
          <w:i/>
        </w:rPr>
        <w:fldChar w:fldCharType="begin"/>
      </w:r>
      <w:r w:rsidRPr="00AC34FC">
        <w:rPr>
          <w:i/>
        </w:rPr>
        <w:instrText xml:space="preserve"> AUTONUM </w:instrText>
      </w:r>
      <w:r w:rsidRPr="00AC34FC">
        <w:rPr>
          <w:i/>
        </w:rPr>
        <w:fldChar w:fldCharType="end"/>
      </w:r>
      <w:r w:rsidRPr="00AC34FC">
        <w:tab/>
      </w:r>
      <w:r w:rsidR="006349BE">
        <w:tab/>
      </w:r>
      <w:r w:rsidR="00C845FE" w:rsidRPr="00AC34FC">
        <w:t xml:space="preserve">The </w:t>
      </w:r>
      <w:r w:rsidRPr="00AC34FC">
        <w:t xml:space="preserve">Commission </w:t>
      </w:r>
      <w:r w:rsidR="00AA3E14">
        <w:t>is an agency of the State of Washington, vested by statute with authority to regulate rates, rules, regulations, practices, and accounts of public service companies, including electrical and gas companies</w:t>
      </w:r>
      <w:r w:rsidRPr="00AC34FC">
        <w:t xml:space="preserve">. </w:t>
      </w:r>
      <w:r w:rsidR="00C845FE" w:rsidRPr="00AC34FC">
        <w:t xml:space="preserve">The </w:t>
      </w:r>
      <w:r w:rsidRPr="00AC34FC">
        <w:t xml:space="preserve">Commission </w:t>
      </w:r>
      <w:r w:rsidR="00C845FE" w:rsidRPr="00AC34FC">
        <w:t xml:space="preserve">is tasked with regulating </w:t>
      </w:r>
      <w:r w:rsidR="002B591F">
        <w:t>“</w:t>
      </w:r>
      <w:r w:rsidR="00C845FE" w:rsidRPr="00AC34FC">
        <w:t xml:space="preserve">…the rates, services, facilities and practices of all persons engaging within this state in the </w:t>
      </w:r>
      <w:r w:rsidR="00C845FE" w:rsidRPr="00AC34FC">
        <w:lastRenderedPageBreak/>
        <w:t>business of supplying any utility service or commodity to</w:t>
      </w:r>
      <w:r w:rsidRPr="00AC34FC">
        <w:t xml:space="preserve"> the public for compensation.</w:t>
      </w:r>
      <w:r w:rsidR="002B591F">
        <w:t>”</w:t>
      </w:r>
      <w:r w:rsidR="00A51450">
        <w:rPr>
          <w:rStyle w:val="FootnoteReference"/>
        </w:rPr>
        <w:footnoteReference w:id="99"/>
      </w:r>
      <w:r w:rsidRPr="00AC34FC">
        <w:t xml:space="preserve"> </w:t>
      </w:r>
      <w:r w:rsidR="00C845FE" w:rsidRPr="00AC34FC">
        <w:t>For purposes of Title</w:t>
      </w:r>
      <w:r w:rsidRPr="00AC34FC">
        <w:t> </w:t>
      </w:r>
      <w:r w:rsidR="00C845FE" w:rsidRPr="00AC34FC">
        <w:t xml:space="preserve">80, the term </w:t>
      </w:r>
      <w:r w:rsidR="002B591F">
        <w:t>“</w:t>
      </w:r>
      <w:r w:rsidR="00C845FE" w:rsidRPr="00AC34FC">
        <w:t>service</w:t>
      </w:r>
      <w:r w:rsidR="002B591F">
        <w:t>”</w:t>
      </w:r>
      <w:r w:rsidR="00C845FE" w:rsidRPr="00AC34FC">
        <w:t xml:space="preserve"> is to be used </w:t>
      </w:r>
      <w:r w:rsidR="002B591F">
        <w:t>“</w:t>
      </w:r>
      <w:r w:rsidR="00C845FE" w:rsidRPr="00AC34FC">
        <w:t>in its broadest and most inclusive sense.</w:t>
      </w:r>
      <w:r w:rsidR="002B591F">
        <w:t>”</w:t>
      </w:r>
      <w:r w:rsidR="00FF55E1">
        <w:rPr>
          <w:rStyle w:val="FootnoteReference"/>
        </w:rPr>
        <w:footnoteReference w:id="100"/>
      </w:r>
      <w:r w:rsidR="00C845FE" w:rsidRPr="00AC34FC">
        <w:t xml:space="preserve"> It is the Commission</w:t>
      </w:r>
      <w:r w:rsidR="002B591F">
        <w:t>’</w:t>
      </w:r>
      <w:r w:rsidR="00C845FE" w:rsidRPr="00AC34FC">
        <w:t>s responsibility to ensure regulated companies provide safe and reliable service to customers at reasonable rates, while allowing them the opportunity to earn a fair profit.</w:t>
      </w:r>
    </w:p>
    <w:p w:rsidR="00964C60" w:rsidRPr="00AC34FC" w:rsidRDefault="00964C60" w:rsidP="00964C60">
      <w:pPr>
        <w:pStyle w:val="Heading3"/>
      </w:pPr>
      <w:bookmarkStart w:id="23" w:name="_Toc435799487"/>
      <w:bookmarkStart w:id="24" w:name="_Toc436128675"/>
      <w:r>
        <w:t>1</w:t>
      </w:r>
      <w:r w:rsidRPr="00AC34FC">
        <w:t>.</w:t>
      </w:r>
      <w:r w:rsidRPr="00AC34FC">
        <w:tab/>
      </w:r>
      <w:r>
        <w:t>PSE is a Gas Company (as Defined by RCW 80.04.010)</w:t>
      </w:r>
      <w:bookmarkEnd w:id="23"/>
      <w:bookmarkEnd w:id="24"/>
    </w:p>
    <w:p w:rsidR="00C845FE" w:rsidRDefault="00AC34FC" w:rsidP="006D1F1E">
      <w:pPr>
        <w:spacing w:line="480" w:lineRule="auto"/>
      </w:pPr>
      <w:r>
        <w:rPr>
          <w:i/>
        </w:rPr>
        <w:fldChar w:fldCharType="begin"/>
      </w:r>
      <w:r>
        <w:rPr>
          <w:i/>
        </w:rPr>
        <w:instrText xml:space="preserve"> AUTONUM </w:instrText>
      </w:r>
      <w:r>
        <w:rPr>
          <w:i/>
        </w:rPr>
        <w:fldChar w:fldCharType="end"/>
      </w:r>
      <w:r>
        <w:tab/>
      </w:r>
      <w:r w:rsidR="006349BE">
        <w:tab/>
      </w:r>
      <w:r w:rsidR="00C845FE">
        <w:t xml:space="preserve">The Revised Code of Washington (RCW) defines </w:t>
      </w:r>
      <w:r w:rsidR="00950F96">
        <w:t xml:space="preserve">the phrase </w:t>
      </w:r>
      <w:r w:rsidR="002B591F">
        <w:t>“</w:t>
      </w:r>
      <w:r w:rsidR="00950F96">
        <w:t>public service company</w:t>
      </w:r>
      <w:r w:rsidR="002B591F">
        <w:t>”</w:t>
      </w:r>
      <w:r w:rsidR="00950F96">
        <w:t xml:space="preserve"> to include, among other entities, every gas company.</w:t>
      </w:r>
      <w:r w:rsidR="00FF55E1">
        <w:rPr>
          <w:rStyle w:val="FootnoteReference"/>
        </w:rPr>
        <w:footnoteReference w:id="101"/>
      </w:r>
      <w:r w:rsidR="00950F96">
        <w:t xml:space="preserve"> </w:t>
      </w:r>
      <w:r w:rsidR="00630A49">
        <w:t xml:space="preserve">The RCW defines </w:t>
      </w:r>
      <w:r w:rsidR="002B591F">
        <w:t>“</w:t>
      </w:r>
      <w:r w:rsidR="00630A49">
        <w:t>gas company</w:t>
      </w:r>
      <w:r w:rsidR="002B591F">
        <w:t>”</w:t>
      </w:r>
      <w:r w:rsidR="00630A49">
        <w:t xml:space="preserve"> </w:t>
      </w:r>
      <w:r w:rsidR="00C845FE">
        <w:t xml:space="preserve">to include every corporation that owns, controls, operates or manages </w:t>
      </w:r>
      <w:r w:rsidR="002B591F">
        <w:t>“</w:t>
      </w:r>
      <w:r w:rsidR="00C845FE">
        <w:t>any gas plant within the state.</w:t>
      </w:r>
      <w:r w:rsidR="002B591F">
        <w:t>”</w:t>
      </w:r>
      <w:r w:rsidR="00FF55E1">
        <w:rPr>
          <w:rStyle w:val="FootnoteReference"/>
        </w:rPr>
        <w:footnoteReference w:id="102"/>
      </w:r>
      <w:r w:rsidR="00C845FE">
        <w:t xml:space="preserve"> </w:t>
      </w:r>
      <w:r w:rsidR="00AA3E14">
        <w:t xml:space="preserve">Under the RCW, </w:t>
      </w:r>
      <w:r w:rsidR="002B591F">
        <w:t>“</w:t>
      </w:r>
      <w:r w:rsidR="00AA3E14">
        <w:t>g</w:t>
      </w:r>
      <w:r w:rsidR="00C845FE">
        <w:t>as plant</w:t>
      </w:r>
      <w:r w:rsidR="002B591F">
        <w:t>”</w:t>
      </w:r>
      <w:r w:rsidR="00C845FE">
        <w:t xml:space="preserve"> is defined </w:t>
      </w:r>
      <w:r>
        <w:t>to include</w:t>
      </w:r>
    </w:p>
    <w:p w:rsidR="00AC34FC" w:rsidRDefault="00C845FE" w:rsidP="006D1F1E">
      <w:pPr>
        <w:tabs>
          <w:tab w:val="clear" w:pos="720"/>
        </w:tabs>
        <w:spacing w:after="280" w:line="240" w:lineRule="auto"/>
        <w:ind w:left="1440" w:right="720" w:firstLine="0"/>
        <w:jc w:val="both"/>
      </w:pPr>
      <w:r>
        <w:t>all real estate, fixtures and personal property, owned, leased, controlled, used or to be used for or in connection with the transmission, distribution, sale or furnishing of natural gas, or the manufacture, transmission, distribution, sale or furnishing of other type gas, for light, heat or power.</w:t>
      </w:r>
      <w:r w:rsidR="00FF55E1">
        <w:rPr>
          <w:rStyle w:val="FootnoteReference"/>
        </w:rPr>
        <w:footnoteReference w:id="103"/>
      </w:r>
    </w:p>
    <w:p w:rsidR="00C845FE" w:rsidRDefault="003D73C3" w:rsidP="006D1F1E">
      <w:pPr>
        <w:spacing w:line="480" w:lineRule="auto"/>
      </w:pPr>
      <w:r>
        <w:rPr>
          <w:i/>
        </w:rPr>
        <w:fldChar w:fldCharType="begin"/>
      </w:r>
      <w:r>
        <w:rPr>
          <w:i/>
        </w:rPr>
        <w:instrText xml:space="preserve"> AUTONUM </w:instrText>
      </w:r>
      <w:r>
        <w:rPr>
          <w:i/>
        </w:rPr>
        <w:fldChar w:fldCharType="end"/>
      </w:r>
      <w:r>
        <w:tab/>
      </w:r>
      <w:r w:rsidR="006349BE">
        <w:tab/>
      </w:r>
      <w:r>
        <w:t xml:space="preserve">The Washington Administrative Code (WAC) defines the term </w:t>
      </w:r>
      <w:r w:rsidR="002B591F">
        <w:t>“</w:t>
      </w:r>
      <w:r w:rsidR="00C845FE">
        <w:t>gas utility</w:t>
      </w:r>
      <w:r w:rsidR="002B591F">
        <w:t>”</w:t>
      </w:r>
      <w:r w:rsidR="00C845FE">
        <w:t xml:space="preserve"> to mean any business entity or person that: (1)</w:t>
      </w:r>
      <w:r w:rsidR="00AC34FC">
        <w:t> </w:t>
      </w:r>
      <w:r w:rsidR="00C845FE">
        <w:t>owns or operates any gas plant in Washington state; (2)</w:t>
      </w:r>
      <w:r w:rsidR="00AC34FC">
        <w:t> </w:t>
      </w:r>
      <w:r w:rsidR="00C845FE">
        <w:t>distributes or sells gas to the public for compensation; and (3)</w:t>
      </w:r>
      <w:r w:rsidR="00AC34FC">
        <w:t> </w:t>
      </w:r>
      <w:r w:rsidR="00C845FE">
        <w:t xml:space="preserve">is subject to the </w:t>
      </w:r>
      <w:r w:rsidR="00AC34FC">
        <w:t>Commission</w:t>
      </w:r>
      <w:r w:rsidR="002B591F">
        <w:t>’</w:t>
      </w:r>
      <w:r w:rsidR="00AC34FC">
        <w:t xml:space="preserve">s </w:t>
      </w:r>
      <w:r w:rsidR="00C845FE">
        <w:t>jurisdiction.</w:t>
      </w:r>
      <w:r w:rsidR="00FF55E1">
        <w:rPr>
          <w:rStyle w:val="FootnoteReference"/>
        </w:rPr>
        <w:footnoteReference w:id="104"/>
      </w:r>
      <w:r w:rsidR="00C845FE">
        <w:t xml:space="preserve"> Under the WAC, gas is defined to include </w:t>
      </w:r>
      <w:r w:rsidR="002B591F">
        <w:t>“</w:t>
      </w:r>
      <w:r w:rsidR="00C845FE">
        <w:t>any fuel or process gas, whether liquid petroleum gas, manufactured gas, natural gas, or any mixture of these.</w:t>
      </w:r>
      <w:r w:rsidR="002B591F">
        <w:t>”</w:t>
      </w:r>
      <w:r w:rsidR="00FF55E1">
        <w:rPr>
          <w:rStyle w:val="FootnoteReference"/>
        </w:rPr>
        <w:footnoteReference w:id="105"/>
      </w:r>
      <w:r w:rsidR="00C845FE">
        <w:t xml:space="preserve"> </w:t>
      </w:r>
      <w:r w:rsidRPr="003D73C3">
        <w:rPr>
          <w:i/>
        </w:rPr>
        <w:t>Id</w:t>
      </w:r>
      <w:r w:rsidR="00AA3E14">
        <w:t>.</w:t>
      </w:r>
    </w:p>
    <w:p w:rsidR="00C845FE" w:rsidRDefault="00AA3E14" w:rsidP="006D1F1E">
      <w:pPr>
        <w:spacing w:line="480" w:lineRule="auto"/>
      </w:pPr>
      <w:r>
        <w:rPr>
          <w:i/>
        </w:rPr>
        <w:lastRenderedPageBreak/>
        <w:fldChar w:fldCharType="begin"/>
      </w:r>
      <w:r>
        <w:rPr>
          <w:i/>
        </w:rPr>
        <w:instrText xml:space="preserve"> AUTONUM </w:instrText>
      </w:r>
      <w:r>
        <w:rPr>
          <w:i/>
        </w:rPr>
        <w:fldChar w:fldCharType="end"/>
      </w:r>
      <w:r>
        <w:tab/>
      </w:r>
      <w:r w:rsidR="006349BE">
        <w:tab/>
      </w:r>
      <w:r>
        <w:t>PSE</w:t>
      </w:r>
      <w:r w:rsidR="00630A49">
        <w:t xml:space="preserve"> </w:t>
      </w:r>
      <w:r>
        <w:t>is a public service company</w:t>
      </w:r>
      <w:r w:rsidR="00950F96">
        <w:t xml:space="preserve"> </w:t>
      </w:r>
      <w:r>
        <w:t>and a gas company,</w:t>
      </w:r>
      <w:r w:rsidR="00630A49">
        <w:t xml:space="preserve"> </w:t>
      </w:r>
      <w:r>
        <w:t>as those terms are defined in RCW</w:t>
      </w:r>
      <w:r w:rsidR="00950F96">
        <w:t> </w:t>
      </w:r>
      <w:r>
        <w:t>80.04.010</w:t>
      </w:r>
      <w:r w:rsidR="003D73C3">
        <w:t xml:space="preserve"> </w:t>
      </w:r>
      <w:r>
        <w:t>and as those terms otherwise are used in Title</w:t>
      </w:r>
      <w:r w:rsidR="003D73C3">
        <w:t> </w:t>
      </w:r>
      <w:r>
        <w:t>80 RCW.</w:t>
      </w:r>
      <w:r w:rsidR="00E662BB">
        <w:rPr>
          <w:rStyle w:val="FootnoteReference"/>
        </w:rPr>
        <w:footnoteReference w:id="106"/>
      </w:r>
      <w:r w:rsidR="004A7F74">
        <w:t xml:space="preserve"> </w:t>
      </w:r>
      <w:r>
        <w:t>PSE is engaged in</w:t>
      </w:r>
      <w:r w:rsidR="003D73C3">
        <w:t xml:space="preserve"> the </w:t>
      </w:r>
      <w:r>
        <w:t xml:space="preserve">State </w:t>
      </w:r>
      <w:r w:rsidR="003D73C3">
        <w:t xml:space="preserve">of Washington </w:t>
      </w:r>
      <w:r>
        <w:t>in the business of supplying utility services and</w:t>
      </w:r>
      <w:r w:rsidR="003D73C3">
        <w:t xml:space="preserve"> </w:t>
      </w:r>
      <w:r>
        <w:t>commodities to the public for compensation.</w:t>
      </w:r>
      <w:r w:rsidR="00E7342A">
        <w:rPr>
          <w:rStyle w:val="FootnoteReference"/>
        </w:rPr>
        <w:footnoteReference w:id="107"/>
      </w:r>
      <w:r w:rsidR="003D73C3">
        <w:t xml:space="preserve"> </w:t>
      </w:r>
      <w:r w:rsidR="00C845FE">
        <w:t>PSE owns gas plant in Washington</w:t>
      </w:r>
      <w:r w:rsidR="00AE5B39" w:rsidRPr="00AE5B39">
        <w:t>, including the Gig Harbor LNG satellite storage facility,</w:t>
      </w:r>
      <w:r w:rsidR="00C845FE">
        <w:t xml:space="preserve"> that is used in connection with distributing and selling natural gas to the public and is a gas utility for purposes of </w:t>
      </w:r>
      <w:r>
        <w:t xml:space="preserve">Commission </w:t>
      </w:r>
      <w:r w:rsidR="00C845FE">
        <w:t xml:space="preserve">regulation. PSE has a natural gas tariff on file with the </w:t>
      </w:r>
      <w:r>
        <w:t xml:space="preserve">Commission, </w:t>
      </w:r>
      <w:r w:rsidR="00C845FE">
        <w:t xml:space="preserve">and its natural gas operations and the rates it charges are subject to the jurisdiction of the </w:t>
      </w:r>
      <w:r>
        <w:t>Commission.</w:t>
      </w:r>
    </w:p>
    <w:p w:rsidR="00964C60" w:rsidRPr="00AC34FC" w:rsidRDefault="00964C60" w:rsidP="00964C60">
      <w:pPr>
        <w:pStyle w:val="Heading3"/>
      </w:pPr>
      <w:bookmarkStart w:id="25" w:name="_Toc435799488"/>
      <w:bookmarkStart w:id="26" w:name="_Toc436128676"/>
      <w:r>
        <w:t>2</w:t>
      </w:r>
      <w:r w:rsidRPr="00AC34FC">
        <w:t>.</w:t>
      </w:r>
      <w:r w:rsidRPr="00AC34FC">
        <w:tab/>
      </w:r>
      <w:r>
        <w:t>LNG is Natural Gas (as Defined by WAC 480-90-023)</w:t>
      </w:r>
      <w:bookmarkEnd w:id="25"/>
      <w:bookmarkEnd w:id="26"/>
    </w:p>
    <w:p w:rsidR="006C66F1" w:rsidRDefault="00AA3E14" w:rsidP="006D1F1E">
      <w:pPr>
        <w:spacing w:line="480" w:lineRule="auto"/>
      </w:pPr>
      <w:r>
        <w:rPr>
          <w:i/>
        </w:rPr>
        <w:fldChar w:fldCharType="begin"/>
      </w:r>
      <w:r>
        <w:rPr>
          <w:i/>
        </w:rPr>
        <w:instrText xml:space="preserve"> AUTONUM </w:instrText>
      </w:r>
      <w:r>
        <w:rPr>
          <w:i/>
        </w:rPr>
        <w:fldChar w:fldCharType="end"/>
      </w:r>
      <w:r>
        <w:tab/>
      </w:r>
      <w:r w:rsidR="00AD4F46">
        <w:tab/>
      </w:r>
      <w:r>
        <w:t xml:space="preserve">The WAC defines </w:t>
      </w:r>
      <w:r w:rsidR="00C845FE">
        <w:t xml:space="preserve">gas </w:t>
      </w:r>
      <w:r>
        <w:t xml:space="preserve">as </w:t>
      </w:r>
      <w:r w:rsidR="002B591F">
        <w:t>“</w:t>
      </w:r>
      <w:r w:rsidR="00C845FE">
        <w:t>any fuel or process gas, whether liquid petroleum gas, manufactured gas, natural gas, or any mixture of these.</w:t>
      </w:r>
      <w:r w:rsidR="002B591F">
        <w:t>”</w:t>
      </w:r>
      <w:r w:rsidR="005F0585">
        <w:rPr>
          <w:rStyle w:val="FootnoteReference"/>
        </w:rPr>
        <w:footnoteReference w:id="108"/>
      </w:r>
      <w:r w:rsidR="00C845FE">
        <w:t xml:space="preserve"> </w:t>
      </w:r>
      <w:r w:rsidR="002B591F">
        <w:t>“</w:t>
      </w:r>
      <w:r w:rsidR="00C845FE">
        <w:t>Natural gas</w:t>
      </w:r>
      <w:r w:rsidR="002B591F">
        <w:t>”</w:t>
      </w:r>
      <w:r w:rsidR="00C845FE">
        <w:t xml:space="preserve"> means </w:t>
      </w:r>
      <w:r w:rsidR="002B591F">
        <w:t>“</w:t>
      </w:r>
      <w:r w:rsidRPr="00AA3E14">
        <w:t>a mixture of gaseous hydrocarbons (chiefly methane) and nonhydrocarbons that occur naturally in the earth.</w:t>
      </w:r>
      <w:r w:rsidR="002B591F">
        <w:t>”</w:t>
      </w:r>
      <w:r w:rsidR="00AE5B39">
        <w:rPr>
          <w:rStyle w:val="FootnoteReference"/>
        </w:rPr>
        <w:footnoteReference w:id="109"/>
      </w:r>
      <w:r>
        <w:t xml:space="preserve"> </w:t>
      </w:r>
      <w:r w:rsidR="006C66F1">
        <w:t xml:space="preserve">LNG </w:t>
      </w:r>
      <w:r w:rsidR="00C845FE">
        <w:t>is pretreated natural gas that has been cooled to -260 degrees Fahrenheit and converted to a liquid state for ease of storage or transport.</w:t>
      </w:r>
    </w:p>
    <w:p w:rsidR="00AE5B39" w:rsidRDefault="00AE5B39" w:rsidP="006D1F1E">
      <w:pPr>
        <w:spacing w:line="480" w:lineRule="auto"/>
      </w:pPr>
      <w:r>
        <w:rPr>
          <w:i/>
        </w:rPr>
        <w:fldChar w:fldCharType="begin"/>
      </w:r>
      <w:r>
        <w:rPr>
          <w:i/>
        </w:rPr>
        <w:instrText xml:space="preserve"> AUTONUM </w:instrText>
      </w:r>
      <w:r>
        <w:rPr>
          <w:i/>
        </w:rPr>
        <w:fldChar w:fldCharType="end"/>
      </w:r>
      <w:r>
        <w:tab/>
      </w:r>
      <w:r>
        <w:tab/>
      </w:r>
      <w:r w:rsidRPr="00AE5B39">
        <w:t>Natural gas is composed primarily of methane</w:t>
      </w:r>
      <w:r>
        <w:t xml:space="preserve"> (CH</w:t>
      </w:r>
      <w:r w:rsidRPr="00AE5B39">
        <w:rPr>
          <w:vertAlign w:val="subscript"/>
        </w:rPr>
        <w:t>4</w:t>
      </w:r>
      <w:r>
        <w:t>)</w:t>
      </w:r>
      <w:r w:rsidRPr="00AE5B39">
        <w:t>, but may also contain ethane</w:t>
      </w:r>
      <w:r>
        <w:t xml:space="preserve"> (C</w:t>
      </w:r>
      <w:r w:rsidRPr="00AE5B39">
        <w:rPr>
          <w:vertAlign w:val="subscript"/>
        </w:rPr>
        <w:t>2</w:t>
      </w:r>
      <w:r>
        <w:t>H</w:t>
      </w:r>
      <w:r w:rsidRPr="00AE5B39">
        <w:rPr>
          <w:vertAlign w:val="subscript"/>
        </w:rPr>
        <w:t>6</w:t>
      </w:r>
      <w:r>
        <w:t>)</w:t>
      </w:r>
      <w:r w:rsidRPr="00AE5B39">
        <w:t>, propane</w:t>
      </w:r>
      <w:r>
        <w:t xml:space="preserve"> (C</w:t>
      </w:r>
      <w:r w:rsidRPr="00AE5B39">
        <w:rPr>
          <w:vertAlign w:val="subscript"/>
        </w:rPr>
        <w:t>3</w:t>
      </w:r>
      <w:r>
        <w:t>H</w:t>
      </w:r>
      <w:r w:rsidRPr="00AE5B39">
        <w:rPr>
          <w:vertAlign w:val="subscript"/>
        </w:rPr>
        <w:t>8</w:t>
      </w:r>
      <w:r>
        <w:t>),</w:t>
      </w:r>
      <w:r w:rsidRPr="00AE5B39">
        <w:t xml:space="preserve"> and heavier hydrocarbons and nonhydrocarbon gases.</w:t>
      </w:r>
      <w:r w:rsidR="00F16470">
        <w:rPr>
          <w:rStyle w:val="FootnoteReference"/>
        </w:rPr>
        <w:footnoteReference w:id="110"/>
      </w:r>
      <w:r w:rsidRPr="00AE5B39">
        <w:t xml:space="preserve"> Small quantities of nitrogen, oxygen, carbon dioxide, sulfur compounds and water may </w:t>
      </w:r>
      <w:r w:rsidR="00F16470">
        <w:t xml:space="preserve">also be found in </w:t>
      </w:r>
      <w:r w:rsidR="00F16470">
        <w:lastRenderedPageBreak/>
        <w:t>natural gas.</w:t>
      </w:r>
      <w:r w:rsidR="00F16470">
        <w:rPr>
          <w:rStyle w:val="FootnoteReference"/>
        </w:rPr>
        <w:footnoteReference w:id="111"/>
      </w:r>
      <w:r w:rsidR="00F16470">
        <w:t xml:space="preserve"> </w:t>
      </w:r>
      <w:r w:rsidRPr="00AE5B39">
        <w:t>Natural gas that contains hydrocarbons and nonhydrocarbon gas</w:t>
      </w:r>
      <w:r w:rsidR="00F16470">
        <w:t>es is called “wet” natural gas.</w:t>
      </w:r>
      <w:r w:rsidR="00F16470">
        <w:rPr>
          <w:rStyle w:val="FootnoteReference"/>
        </w:rPr>
        <w:footnoteReference w:id="112"/>
      </w:r>
      <w:r w:rsidRPr="00AE5B39">
        <w:t xml:space="preserve"> Wet natural gas is separated from most of these compounds at a gas processing plant.</w:t>
      </w:r>
      <w:r w:rsidR="00F16470">
        <w:rPr>
          <w:rStyle w:val="FootnoteReference"/>
        </w:rPr>
        <w:footnoteReference w:id="113"/>
      </w:r>
      <w:r w:rsidR="00F16470">
        <w:t xml:space="preserve"> </w:t>
      </w:r>
      <w:r w:rsidRPr="00AE5B39">
        <w:t>The gas is then considered “dry”, pipeline quality gas and is sent through pipelines to a local distribution company such as PSE for distribution to the consumer.</w:t>
      </w:r>
      <w:r w:rsidR="00F16470">
        <w:rPr>
          <w:rStyle w:val="FootnoteReference"/>
        </w:rPr>
        <w:footnoteReference w:id="114"/>
      </w:r>
    </w:p>
    <w:p w:rsidR="00AE5B39" w:rsidRDefault="00F16470" w:rsidP="00AE5B39">
      <w:pPr>
        <w:spacing w:line="480" w:lineRule="auto"/>
      </w:pPr>
      <w:r>
        <w:rPr>
          <w:i/>
        </w:rPr>
        <w:fldChar w:fldCharType="begin"/>
      </w:r>
      <w:r>
        <w:rPr>
          <w:i/>
        </w:rPr>
        <w:instrText xml:space="preserve"> AUTONUM </w:instrText>
      </w:r>
      <w:r>
        <w:rPr>
          <w:i/>
        </w:rPr>
        <w:fldChar w:fldCharType="end"/>
      </w:r>
      <w:r>
        <w:tab/>
      </w:r>
      <w:r>
        <w:tab/>
        <w:t xml:space="preserve">Liquefied natural gas is simply </w:t>
      </w:r>
      <w:r w:rsidR="00AE5B39">
        <w:t>natural gas that has been condensed to a liquid through a cooling process.</w:t>
      </w:r>
      <w:r>
        <w:rPr>
          <w:rStyle w:val="FootnoteReference"/>
        </w:rPr>
        <w:footnoteReference w:id="115"/>
      </w:r>
      <w:r w:rsidR="00AE5B39">
        <w:t xml:space="preserve"> The composition of natural gas, and hence the LNG that is formed from it, varies slightly</w:t>
      </w:r>
      <w:r>
        <w:t xml:space="preserve"> </w:t>
      </w:r>
      <w:r w:rsidR="00AE5B39">
        <w:t>according to its source and processing history.</w:t>
      </w:r>
      <w:r w:rsidR="002721CA">
        <w:rPr>
          <w:rStyle w:val="FootnoteReference"/>
        </w:rPr>
        <w:footnoteReference w:id="116"/>
      </w:r>
      <w:r w:rsidR="00AE5B39">
        <w:t xml:space="preserve"> Typically, the composition of LNG is 85 to 95 percent methane, along with a few percent ethane, even less propane and butane, and possibly trace amounts of nitrogen.</w:t>
      </w:r>
      <w:r w:rsidR="002721CA">
        <w:rPr>
          <w:rStyle w:val="FootnoteReference"/>
        </w:rPr>
        <w:footnoteReference w:id="117"/>
      </w:r>
      <w:r w:rsidR="002721CA">
        <w:t xml:space="preserve"> </w:t>
      </w:r>
      <w:r w:rsidR="00AE5B39">
        <w:t>Water is necessarily removed from the natural gas stream prior to its liquefaction.</w:t>
      </w:r>
      <w:r w:rsidR="002721CA">
        <w:rPr>
          <w:rStyle w:val="FootnoteReference"/>
        </w:rPr>
        <w:footnoteReference w:id="118"/>
      </w:r>
    </w:p>
    <w:p w:rsidR="005A17CB" w:rsidRDefault="002721CA" w:rsidP="00AE5B39">
      <w:pPr>
        <w:spacing w:line="480" w:lineRule="auto"/>
      </w:pPr>
      <w:r>
        <w:rPr>
          <w:i/>
        </w:rPr>
        <w:fldChar w:fldCharType="begin"/>
      </w:r>
      <w:r>
        <w:rPr>
          <w:i/>
        </w:rPr>
        <w:instrText xml:space="preserve"> AUTONUM </w:instrText>
      </w:r>
      <w:r>
        <w:rPr>
          <w:i/>
        </w:rPr>
        <w:fldChar w:fldCharType="end"/>
      </w:r>
      <w:r>
        <w:tab/>
      </w:r>
      <w:r>
        <w:tab/>
      </w:r>
      <w:r w:rsidR="00AE5B39">
        <w:t>PSE will receive dry pipeline quality natural gas from the Williams Northwest Pipeline (“Northwest Pipeline”) into its distribution system to</w:t>
      </w:r>
      <w:r>
        <w:t xml:space="preserve"> serve the Tacoma LNG Facility.</w:t>
      </w:r>
      <w:r>
        <w:rPr>
          <w:rStyle w:val="FootnoteReference"/>
        </w:rPr>
        <w:footnoteReference w:id="119"/>
      </w:r>
      <w:r w:rsidR="00AE5B39">
        <w:t xml:space="preserve"> </w:t>
      </w:r>
      <w:r w:rsidR="00A37674">
        <w:t>The Northwest Pipeline General Terms and Conditions define the term “natural gas” to be delivered to PSE as “[a]ny mixture of hydrocarbons or of hydrocarbons and noncombustible gases, in a gaseous state, consisting essentially of methane.”</w:t>
      </w:r>
      <w:r w:rsidR="00A37674">
        <w:rPr>
          <w:rStyle w:val="FootnoteReference"/>
        </w:rPr>
        <w:footnoteReference w:id="120"/>
      </w:r>
      <w:r w:rsidR="00A37674">
        <w:t xml:space="preserve"> </w:t>
      </w:r>
      <w:r w:rsidR="00AE5B39">
        <w:t xml:space="preserve">In accordance with the Northwest Pipeline </w:t>
      </w:r>
      <w:r w:rsidR="000D47B4">
        <w:t>T</w:t>
      </w:r>
      <w:r w:rsidR="00AE5B39">
        <w:t xml:space="preserve">ariff, the natural gas delivered to PSE by Northwest Pipeline is natural gas that shall: </w:t>
      </w:r>
      <w:r w:rsidR="00AE5B39">
        <w:lastRenderedPageBreak/>
        <w:t>(1)</w:t>
      </w:r>
      <w:r>
        <w:t> </w:t>
      </w:r>
      <w:r w:rsidR="00AE5B39">
        <w:t>contain a gross heating value of at least 985 Btus; (2)</w:t>
      </w:r>
      <w:r>
        <w:t> </w:t>
      </w:r>
      <w:r w:rsidR="00AE5B39">
        <w:t>not contain more than one-quarter grain hydrogen sulfide per one hundred cubic feet; (3)</w:t>
      </w:r>
      <w:r>
        <w:t> </w:t>
      </w:r>
      <w:r w:rsidR="00AE5B39">
        <w:t>not contain more than five grains of total sulfur per one hundred cubic feet; and (4)</w:t>
      </w:r>
      <w:r>
        <w:t> </w:t>
      </w:r>
      <w:r w:rsidR="00AE5B39">
        <w:t>not have a water content in excess of seven p</w:t>
      </w:r>
      <w:r>
        <w:t>ounds per million cubic feet.</w:t>
      </w:r>
      <w:r>
        <w:rPr>
          <w:rStyle w:val="FootnoteReference"/>
        </w:rPr>
        <w:footnoteReference w:id="121"/>
      </w:r>
      <w:r w:rsidR="005A17CB">
        <w:t xml:space="preserve"> Thus, the natural gas delivered by Northwest Pipeline to PSE satisfies the definition of “natural gas” in the WAC as “</w:t>
      </w:r>
      <w:r w:rsidR="005A17CB" w:rsidRPr="00AA3E14">
        <w:t>a mixture of gaseous hydrocarbons (chiefly methane) and nonhydrocarbons that occur naturally in the earth.</w:t>
      </w:r>
      <w:r w:rsidR="005A17CB">
        <w:t>”</w:t>
      </w:r>
      <w:r w:rsidR="005A17CB">
        <w:rPr>
          <w:rStyle w:val="FootnoteReference"/>
        </w:rPr>
        <w:footnoteReference w:id="122"/>
      </w:r>
    </w:p>
    <w:p w:rsidR="006C66F1" w:rsidRDefault="006C66F1" w:rsidP="006D1F1E">
      <w:pPr>
        <w:spacing w:line="480" w:lineRule="auto"/>
      </w:pPr>
      <w:r>
        <w:rPr>
          <w:i/>
        </w:rPr>
        <w:fldChar w:fldCharType="begin"/>
      </w:r>
      <w:r>
        <w:rPr>
          <w:i/>
        </w:rPr>
        <w:instrText xml:space="preserve"> AUTONUM </w:instrText>
      </w:r>
      <w:r>
        <w:rPr>
          <w:i/>
        </w:rPr>
        <w:fldChar w:fldCharType="end"/>
      </w:r>
      <w:r>
        <w:tab/>
      </w:r>
      <w:r w:rsidR="00AD4F46">
        <w:tab/>
      </w:r>
      <w:r w:rsidR="005A17CB" w:rsidRPr="005A17CB">
        <w:t>PSE will treat the natural gas it receives from Northwest Pipeline at the Tacoma LNG Fa</w:t>
      </w:r>
      <w:r w:rsidR="005A17CB">
        <w:t xml:space="preserve">cility prior to liquefaction. </w:t>
      </w:r>
      <w:r w:rsidR="00C845FE">
        <w:t>During the pretreatment process, carbon dioxide, sulfur compounds, and other components that would freeze and damage the equipment are remove</w:t>
      </w:r>
      <w:r>
        <w:t>d from the natural gas stream.</w:t>
      </w:r>
      <w:r w:rsidR="005A17CB">
        <w:rPr>
          <w:rStyle w:val="FootnoteReference"/>
        </w:rPr>
        <w:footnoteReference w:id="123"/>
      </w:r>
      <w:r>
        <w:t xml:space="preserve"> </w:t>
      </w:r>
      <w:r w:rsidR="005A17CB">
        <w:t xml:space="preserve">These </w:t>
      </w:r>
      <w:r w:rsidR="00BF7E32">
        <w:t xml:space="preserve">components </w:t>
      </w:r>
      <w:r w:rsidR="005A17CB">
        <w:t xml:space="preserve">are removed before the gas stream </w:t>
      </w:r>
      <w:r w:rsidR="00BF7E32">
        <w:t xml:space="preserve">will be </w:t>
      </w:r>
      <w:r w:rsidR="005A17CB">
        <w:t>cooled to</w:t>
      </w:r>
      <w:r w:rsidR="00BF7E32">
        <w:t xml:space="preserve"> </w:t>
      </w:r>
      <w:r w:rsidR="005A17CB">
        <w:t>-260 degrees</w:t>
      </w:r>
      <w:r w:rsidR="00BF7E32">
        <w:t xml:space="preserve"> Fahrenheit solely to prevent these components from </w:t>
      </w:r>
      <w:r w:rsidR="005A17CB">
        <w:t>freez</w:t>
      </w:r>
      <w:r w:rsidR="00BF7E32">
        <w:t>ing</w:t>
      </w:r>
      <w:r w:rsidR="005A17CB">
        <w:t xml:space="preserve"> and clog</w:t>
      </w:r>
      <w:r w:rsidR="00BF7E32">
        <w:t>ging</w:t>
      </w:r>
      <w:r w:rsidR="005A17CB">
        <w:t xml:space="preserve"> the heat exchanger.</w:t>
      </w:r>
      <w:r w:rsidR="00BF7E32">
        <w:rPr>
          <w:rStyle w:val="FootnoteReference"/>
        </w:rPr>
        <w:footnoteReference w:id="124"/>
      </w:r>
      <w:r w:rsidR="005A17CB">
        <w:t xml:space="preserve"> Following removal of these components, the natural gas stream </w:t>
      </w:r>
      <w:r w:rsidR="00BF7E32">
        <w:t>(mainly methane with small amounts of nitrogen, propane, ethane, butane and other hydrocarbons) will be</w:t>
      </w:r>
      <w:r w:rsidR="005A17CB">
        <w:t xml:space="preserve"> cooled in a refrigeration system until it condenses into a liquid.</w:t>
      </w:r>
      <w:r w:rsidR="00BF7E32">
        <w:rPr>
          <w:rStyle w:val="FootnoteReference"/>
        </w:rPr>
        <w:footnoteReference w:id="125"/>
      </w:r>
      <w:r w:rsidR="005A17CB">
        <w:t xml:space="preserve"> It </w:t>
      </w:r>
      <w:r w:rsidR="00A51450">
        <w:t>will</w:t>
      </w:r>
      <w:r w:rsidR="000D68C5">
        <w:t xml:space="preserve"> </w:t>
      </w:r>
      <w:r w:rsidR="005A17CB">
        <w:t xml:space="preserve">then </w:t>
      </w:r>
      <w:r w:rsidR="00A51450">
        <w:t xml:space="preserve">be </w:t>
      </w:r>
      <w:r w:rsidR="005A17CB">
        <w:t>stored on site in an insulated tank at e</w:t>
      </w:r>
      <w:r w:rsidR="00BF7E32">
        <w:t>ssentially atmospheric pressure</w:t>
      </w:r>
      <w:r>
        <w:t>.</w:t>
      </w:r>
      <w:r w:rsidR="00BF7E32">
        <w:rPr>
          <w:rStyle w:val="FootnoteReference"/>
        </w:rPr>
        <w:footnoteReference w:id="126"/>
      </w:r>
      <w:r w:rsidR="000D68C5">
        <w:t xml:space="preserve"> </w:t>
      </w:r>
      <w:r w:rsidR="00BF7E32">
        <w:t xml:space="preserve">All </w:t>
      </w:r>
      <w:r w:rsidR="00BF7E32" w:rsidRPr="00BF7E32">
        <w:t xml:space="preserve">of the liquefied natural gas that will be stored at the Tacoma LNG Facility will be pretreated and </w:t>
      </w:r>
      <w:r w:rsidR="00BF7E32">
        <w:t xml:space="preserve">liquefied using this process. </w:t>
      </w:r>
      <w:r w:rsidR="00BF7E32" w:rsidRPr="00BF7E32">
        <w:t>Indeed, the same liquefied natural gas will be used to meet PSE’s peaking supply needs and to meet PSE’s obligations under the TOTE Special Contract</w:t>
      </w:r>
      <w:r w:rsidR="00BF7E32">
        <w:t xml:space="preserve">. </w:t>
      </w:r>
      <w:r w:rsidR="00C845FE">
        <w:t>Therefore, the liquefied natural gas that results from the liquefaction process is natural gas (as defined in the W</w:t>
      </w:r>
      <w:r>
        <w:t>AC) cooled to a liquid stated.</w:t>
      </w:r>
    </w:p>
    <w:p w:rsidR="006C66F1" w:rsidRDefault="006C66F1" w:rsidP="006C66F1">
      <w:pPr>
        <w:spacing w:line="480" w:lineRule="auto"/>
      </w:pPr>
      <w:r>
        <w:rPr>
          <w:i/>
        </w:rPr>
        <w:lastRenderedPageBreak/>
        <w:fldChar w:fldCharType="begin"/>
      </w:r>
      <w:r>
        <w:rPr>
          <w:i/>
        </w:rPr>
        <w:instrText xml:space="preserve"> AUTONUM </w:instrText>
      </w:r>
      <w:r>
        <w:rPr>
          <w:i/>
        </w:rPr>
        <w:fldChar w:fldCharType="end"/>
      </w:r>
      <w:r>
        <w:tab/>
      </w:r>
      <w:r w:rsidR="00AD4F46">
        <w:tab/>
      </w:r>
      <w:r>
        <w:t xml:space="preserve">The TOTE Special Contract expressly recognizes that LNG to be provided </w:t>
      </w:r>
      <w:r w:rsidR="00A51450">
        <w:t xml:space="preserve">by PSE </w:t>
      </w:r>
      <w:r>
        <w:t xml:space="preserve">consists of </w:t>
      </w:r>
      <w:r w:rsidR="002B591F">
        <w:t>“</w:t>
      </w:r>
      <w:r w:rsidRPr="00AA3E14">
        <w:t>a mixture of gaseous hydrocarbons (chiefly methane) and nonhydrocarbons that occur naturally in the earth.</w:t>
      </w:r>
      <w:r w:rsidR="002B591F">
        <w:t>”</w:t>
      </w:r>
      <w:r>
        <w:t xml:space="preserve"> The TOTE Special Contract defines </w:t>
      </w:r>
      <w:r w:rsidR="002B591F">
        <w:t>“</w:t>
      </w:r>
      <w:r>
        <w:t>LNG</w:t>
      </w:r>
      <w:r w:rsidR="002B591F">
        <w:t>”</w:t>
      </w:r>
      <w:r>
        <w:t xml:space="preserve"> as </w:t>
      </w:r>
      <w:r w:rsidR="002B591F">
        <w:t>“</w:t>
      </w:r>
      <w:r>
        <w:t>Gas in a liquid state at or below its point of boiling and at or near atmospheric pressure</w:t>
      </w:r>
      <w:r w:rsidR="002B591F">
        <w:t>”</w:t>
      </w:r>
      <w:r>
        <w:t>.</w:t>
      </w:r>
      <w:r w:rsidR="00BF7E32">
        <w:rPr>
          <w:rStyle w:val="FootnoteReference"/>
        </w:rPr>
        <w:footnoteReference w:id="127"/>
      </w:r>
      <w:r>
        <w:t xml:space="preserve"> </w:t>
      </w:r>
      <w:r w:rsidR="00561D46">
        <w:t xml:space="preserve">The definition of </w:t>
      </w:r>
      <w:r w:rsidR="002B591F">
        <w:t>“</w:t>
      </w:r>
      <w:r>
        <w:t>Gas</w:t>
      </w:r>
      <w:r w:rsidR="002B591F">
        <w:t>”</w:t>
      </w:r>
      <w:r>
        <w:t xml:space="preserve"> in the TOTE Special Contract is </w:t>
      </w:r>
      <w:r w:rsidR="00561D46">
        <w:t xml:space="preserve">very similar to the definition of </w:t>
      </w:r>
      <w:r w:rsidR="002B591F">
        <w:t>“</w:t>
      </w:r>
      <w:r w:rsidR="00561D46">
        <w:t>natural gas</w:t>
      </w:r>
      <w:r w:rsidR="002B591F">
        <w:t>”</w:t>
      </w:r>
      <w:r w:rsidR="00561D46">
        <w:t xml:space="preserve"> in WAC 480-90-023 and provides as follows:</w:t>
      </w:r>
    </w:p>
    <w:p w:rsidR="00561D46" w:rsidRDefault="00561D46" w:rsidP="00561D46">
      <w:pPr>
        <w:tabs>
          <w:tab w:val="clear" w:pos="720"/>
        </w:tabs>
        <w:spacing w:after="280" w:line="240" w:lineRule="auto"/>
        <w:ind w:left="1440" w:right="720" w:firstLine="0"/>
        <w:jc w:val="both"/>
      </w:pPr>
      <w:r>
        <w:t>pipeline quality natural gas consisting predominately of methane, but including other combustible hydrocarbons or mixtures of hydrocarbons, and which may include other combustible and noncombustible components, that are in a gaseous state at atmospheric conditions of temperature and pressure[.]</w:t>
      </w:r>
      <w:r w:rsidR="00BF7E32">
        <w:rPr>
          <w:rStyle w:val="FootnoteReference"/>
        </w:rPr>
        <w:footnoteReference w:id="128"/>
      </w:r>
    </w:p>
    <w:p w:rsidR="00561D46" w:rsidRDefault="00561D46" w:rsidP="00561D46">
      <w:pPr>
        <w:spacing w:line="480" w:lineRule="auto"/>
      </w:pPr>
      <w:r>
        <w:rPr>
          <w:i/>
        </w:rPr>
        <w:fldChar w:fldCharType="begin"/>
      </w:r>
      <w:r>
        <w:rPr>
          <w:i/>
        </w:rPr>
        <w:instrText xml:space="preserve"> AUTONUM </w:instrText>
      </w:r>
      <w:r>
        <w:rPr>
          <w:i/>
        </w:rPr>
        <w:fldChar w:fldCharType="end"/>
      </w:r>
      <w:r>
        <w:tab/>
      </w:r>
      <w:r w:rsidR="00AD4F46">
        <w:tab/>
      </w:r>
      <w:r>
        <w:t xml:space="preserve">It would be incorrect to suggest that the LNG to be provided pursuant to the TOTE Special Contract is </w:t>
      </w:r>
      <w:r w:rsidR="002B591F">
        <w:t>“</w:t>
      </w:r>
      <w:r>
        <w:t>liquid methane</w:t>
      </w:r>
      <w:r w:rsidR="002B591F">
        <w:t>”</w:t>
      </w:r>
      <w:r>
        <w:t xml:space="preserve"> or anything other than natural gas (as that term is defined in WAC 480-90-023) in a liquid </w:t>
      </w:r>
      <w:r w:rsidR="00F73F14">
        <w:t>state</w:t>
      </w:r>
      <w:r>
        <w:t>. For example, the TOTE Special Contract contains a detailed exhibit that provides the minimum specifications for the LNG to be provided to TOTE by PSE.</w:t>
      </w:r>
      <w:r w:rsidR="00BF7E32">
        <w:rPr>
          <w:rStyle w:val="FootnoteReference"/>
        </w:rPr>
        <w:footnoteReference w:id="129"/>
      </w:r>
      <w:r>
        <w:t xml:space="preserve"> </w:t>
      </w:r>
      <w:r w:rsidR="00AD4F46">
        <w:t xml:space="preserve">This exhibit specifies that the main components of the LNG that PSE will supply TOTE </w:t>
      </w:r>
      <w:r w:rsidR="007271D9">
        <w:t>are</w:t>
      </w:r>
      <w:r w:rsidR="00AD4F46">
        <w:t xml:space="preserve"> CH</w:t>
      </w:r>
      <w:r w:rsidR="00AD4F46" w:rsidRPr="00AD4F46">
        <w:rPr>
          <w:vertAlign w:val="subscript"/>
        </w:rPr>
        <w:t>4</w:t>
      </w:r>
      <w:r w:rsidR="00CF094E">
        <w:t> (methane),</w:t>
      </w:r>
      <w:r w:rsidR="00AD4F46">
        <w:t xml:space="preserve"> C</w:t>
      </w:r>
      <w:r w:rsidR="00AD4F46" w:rsidRPr="00AD4F46">
        <w:rPr>
          <w:vertAlign w:val="subscript"/>
        </w:rPr>
        <w:t>2</w:t>
      </w:r>
      <w:r w:rsidR="00AD4F46">
        <w:t>H</w:t>
      </w:r>
      <w:r w:rsidR="00AD4F46" w:rsidRPr="00AD4F46">
        <w:rPr>
          <w:vertAlign w:val="subscript"/>
        </w:rPr>
        <w:t>6</w:t>
      </w:r>
      <w:r w:rsidR="000C247F">
        <w:t xml:space="preserve"> (ethane),</w:t>
      </w:r>
      <w:r w:rsidR="00AD4F46">
        <w:t xml:space="preserve"> C</w:t>
      </w:r>
      <w:r w:rsidR="00AD4F46" w:rsidRPr="00AD4F46">
        <w:rPr>
          <w:vertAlign w:val="subscript"/>
        </w:rPr>
        <w:t>3</w:t>
      </w:r>
      <w:r w:rsidR="00AD4F46">
        <w:t>H</w:t>
      </w:r>
      <w:r w:rsidR="00AD4F46" w:rsidRPr="00AD4F46">
        <w:rPr>
          <w:vertAlign w:val="subscript"/>
        </w:rPr>
        <w:t>8</w:t>
      </w:r>
      <w:r w:rsidR="000C247F">
        <w:t xml:space="preserve"> (propane),</w:t>
      </w:r>
      <w:r w:rsidR="00AD4F46">
        <w:t xml:space="preserve"> C</w:t>
      </w:r>
      <w:r w:rsidR="00AD4F46" w:rsidRPr="00AD4F46">
        <w:rPr>
          <w:vertAlign w:val="subscript"/>
        </w:rPr>
        <w:t>4</w:t>
      </w:r>
      <w:r w:rsidR="00AD4F46">
        <w:t>H</w:t>
      </w:r>
      <w:r w:rsidR="00AD4F46" w:rsidRPr="00AD4F46">
        <w:rPr>
          <w:vertAlign w:val="subscript"/>
        </w:rPr>
        <w:t>10</w:t>
      </w:r>
      <w:r w:rsidR="000C247F">
        <w:t xml:space="preserve"> (butane),</w:t>
      </w:r>
      <w:r w:rsidR="00AD4F46">
        <w:t xml:space="preserve"> C</w:t>
      </w:r>
      <w:r w:rsidR="00AD4F46" w:rsidRPr="00AD4F46">
        <w:rPr>
          <w:vertAlign w:val="subscript"/>
        </w:rPr>
        <w:t>5</w:t>
      </w:r>
      <w:r w:rsidR="00AD4F46">
        <w:t>H</w:t>
      </w:r>
      <w:r w:rsidR="00AD4F46" w:rsidRPr="00AD4F46">
        <w:rPr>
          <w:vertAlign w:val="subscript"/>
        </w:rPr>
        <w:t>12</w:t>
      </w:r>
      <w:r w:rsidR="000C247F">
        <w:t xml:space="preserve"> (pentane), </w:t>
      </w:r>
      <w:r w:rsidR="00AD4F46">
        <w:t>and N</w:t>
      </w:r>
      <w:r w:rsidR="00AD4F46" w:rsidRPr="00AD4F46">
        <w:rPr>
          <w:vertAlign w:val="subscript"/>
        </w:rPr>
        <w:t>2</w:t>
      </w:r>
      <w:r w:rsidR="000C247F">
        <w:t> </w:t>
      </w:r>
      <w:r w:rsidR="00AD4F46">
        <w:t>(nitrogen).</w:t>
      </w:r>
      <w:r w:rsidR="00BF7E32">
        <w:rPr>
          <w:rStyle w:val="FootnoteReference"/>
        </w:rPr>
        <w:footnoteReference w:id="130"/>
      </w:r>
      <w:r w:rsidR="00AD4F46">
        <w:t xml:space="preserve"> </w:t>
      </w:r>
      <w:r>
        <w:t xml:space="preserve">This exhibit </w:t>
      </w:r>
      <w:r w:rsidR="00AD4F46">
        <w:t xml:space="preserve">also expressly </w:t>
      </w:r>
      <w:r w:rsidR="001D0207">
        <w:t>states that the LNG to be supplied to TOTE must have a minimum methane content of 70%, and may contain maximum amounts of various non-methane molecules:</w:t>
      </w:r>
      <w:r w:rsidR="00BF7E32">
        <w:rPr>
          <w:rStyle w:val="FootnoteReference"/>
        </w:rPr>
        <w:footnoteReference w:id="131"/>
      </w:r>
    </w:p>
    <w:p w:rsidR="001D0207" w:rsidRDefault="001D0207" w:rsidP="001D0207">
      <w:pPr>
        <w:tabs>
          <w:tab w:val="clear" w:pos="720"/>
          <w:tab w:val="left" w:leader="dot" w:pos="6480"/>
        </w:tabs>
        <w:spacing w:after="280" w:line="240" w:lineRule="auto"/>
        <w:ind w:left="1440" w:right="720" w:firstLine="0"/>
      </w:pPr>
      <w:r>
        <w:t>Methane content, minimum</w:t>
      </w:r>
      <w:r>
        <w:tab/>
        <w:t>70%</w:t>
      </w:r>
      <w:r w:rsidR="00F73F14">
        <w:t> </w:t>
      </w:r>
      <w:r>
        <w:t>(by volume)</w:t>
      </w:r>
      <w:r>
        <w:br/>
        <w:t>Hydrogen sulfide, maximum</w:t>
      </w:r>
      <w:r>
        <w:tab/>
        <w:t>0.05%</w:t>
      </w:r>
      <w:r w:rsidR="00F73F14">
        <w:t> </w:t>
      </w:r>
      <w:r>
        <w:t>(by volume)</w:t>
      </w:r>
      <w:r>
        <w:br/>
        <w:t>Hydrogen, maximum</w:t>
      </w:r>
      <w:r>
        <w:tab/>
        <w:t>3%</w:t>
      </w:r>
      <w:r w:rsidR="00F73F14">
        <w:t> </w:t>
      </w:r>
      <w:r>
        <w:t>(by volume)</w:t>
      </w:r>
      <w:r>
        <w:br/>
      </w:r>
      <w:r w:rsidR="00F73F14">
        <w:t>Ammonia, maximum</w:t>
      </w:r>
      <w:r w:rsidR="00F73F14">
        <w:tab/>
        <w:t>25 mg/Nm</w:t>
      </w:r>
      <w:r w:rsidR="00F73F14" w:rsidRPr="00F73F14">
        <w:rPr>
          <w:vertAlign w:val="superscript"/>
        </w:rPr>
        <w:t>3</w:t>
      </w:r>
      <w:r w:rsidR="00F73F14">
        <w:rPr>
          <w:vertAlign w:val="superscript"/>
        </w:rPr>
        <w:br/>
      </w:r>
      <w:r w:rsidR="00F73F14">
        <w:lastRenderedPageBreak/>
        <w:t>Chlorine + Fluorines, maximum</w:t>
      </w:r>
      <w:r w:rsidR="00F73F14">
        <w:tab/>
        <w:t>50 mg/Nm</w:t>
      </w:r>
      <w:r w:rsidR="00F73F14" w:rsidRPr="00F73F14">
        <w:rPr>
          <w:vertAlign w:val="superscript"/>
        </w:rPr>
        <w:t>3</w:t>
      </w:r>
      <w:r w:rsidR="00F73F14">
        <w:rPr>
          <w:vertAlign w:val="superscript"/>
        </w:rPr>
        <w:br/>
      </w:r>
      <w:r w:rsidR="00F73F14">
        <w:t>Particles or solid content, maximum</w:t>
      </w:r>
      <w:r w:rsidR="00F73F14">
        <w:tab/>
        <w:t>50 mg/Nm</w:t>
      </w:r>
      <w:r w:rsidR="00F73F14" w:rsidRPr="00F73F14">
        <w:rPr>
          <w:vertAlign w:val="superscript"/>
        </w:rPr>
        <w:t>3</w:t>
      </w:r>
      <w:r w:rsidR="00F73F14">
        <w:rPr>
          <w:vertAlign w:val="superscript"/>
        </w:rPr>
        <w:br/>
      </w:r>
      <w:r w:rsidR="00F73F14" w:rsidRPr="00F73F14">
        <w:t>Particles or solid size, maximum</w:t>
      </w:r>
      <w:r w:rsidR="00F73F14">
        <w:tab/>
      </w:r>
      <w:r w:rsidR="00F73F14" w:rsidRPr="00F73F14">
        <w:t>5</w:t>
      </w:r>
      <w:r w:rsidR="00F73F14">
        <w:t> </w:t>
      </w:r>
      <w:r w:rsidR="00F73F14" w:rsidRPr="00F73F14">
        <w:t>μm</w:t>
      </w:r>
    </w:p>
    <w:p w:rsidR="00F73F14" w:rsidRDefault="00F73F14" w:rsidP="00F73F14">
      <w:pPr>
        <w:tabs>
          <w:tab w:val="clear" w:pos="720"/>
        </w:tabs>
        <w:spacing w:line="480" w:lineRule="auto"/>
        <w:ind w:firstLine="0"/>
      </w:pPr>
      <w:r>
        <w:t xml:space="preserve">Thus, any assertion that PSE would be providing </w:t>
      </w:r>
      <w:r w:rsidR="002B591F">
        <w:t>“</w:t>
      </w:r>
      <w:r>
        <w:t>liquid methane</w:t>
      </w:r>
      <w:r w:rsidR="000C247F">
        <w:t>,</w:t>
      </w:r>
      <w:r w:rsidR="002B591F">
        <w:t>”</w:t>
      </w:r>
      <w:r w:rsidR="000C247F">
        <w:t xml:space="preserve"> “refined natural gas,”</w:t>
      </w:r>
      <w:r>
        <w:t xml:space="preserve"> or anything other than natural gas in a liquid state would be erroneous.</w:t>
      </w:r>
    </w:p>
    <w:p w:rsidR="005812C5" w:rsidRDefault="004E7380" w:rsidP="00964C60">
      <w:pPr>
        <w:pStyle w:val="Heading3"/>
      </w:pPr>
      <w:bookmarkStart w:id="27" w:name="_Toc435799489"/>
      <w:bookmarkStart w:id="28" w:name="_Toc436128677"/>
      <w:r>
        <w:t>3</w:t>
      </w:r>
      <w:r w:rsidR="005812C5">
        <w:t>.</w:t>
      </w:r>
      <w:r w:rsidR="005812C5">
        <w:tab/>
        <w:t xml:space="preserve">The Commission </w:t>
      </w:r>
      <w:r>
        <w:t>Has Authority to Regulate</w:t>
      </w:r>
      <w:r w:rsidR="005812C5">
        <w:t xml:space="preserve"> Natural Gas Sales</w:t>
      </w:r>
      <w:r w:rsidR="00C667A3">
        <w:t xml:space="preserve"> under Title 80 RCW</w:t>
      </w:r>
      <w:bookmarkEnd w:id="27"/>
      <w:bookmarkEnd w:id="28"/>
    </w:p>
    <w:p w:rsidR="009079E2" w:rsidRDefault="005812C5" w:rsidP="00FA3940">
      <w:pPr>
        <w:spacing w:line="480" w:lineRule="auto"/>
      </w:pPr>
      <w:r>
        <w:rPr>
          <w:i/>
        </w:rPr>
        <w:fldChar w:fldCharType="begin"/>
      </w:r>
      <w:r>
        <w:rPr>
          <w:i/>
        </w:rPr>
        <w:instrText xml:space="preserve"> AUTONUM </w:instrText>
      </w:r>
      <w:r>
        <w:rPr>
          <w:i/>
        </w:rPr>
        <w:fldChar w:fldCharType="end"/>
      </w:r>
      <w:r>
        <w:tab/>
      </w:r>
      <w:r w:rsidR="00CF094E">
        <w:tab/>
      </w:r>
      <w:r w:rsidR="00964C60">
        <w:t xml:space="preserve">As discussed above, PSE is a </w:t>
      </w:r>
      <w:r w:rsidR="002B591F">
        <w:t>“</w:t>
      </w:r>
      <w:r w:rsidR="00964C60">
        <w:t>gas company</w:t>
      </w:r>
      <w:r w:rsidR="002B591F">
        <w:t>”</w:t>
      </w:r>
      <w:r w:rsidR="00964C60">
        <w:t xml:space="preserve"> (as defined in RCW 80.04.010), and the LNG to be sold by PSE is </w:t>
      </w:r>
      <w:r w:rsidR="002B591F">
        <w:t>“</w:t>
      </w:r>
      <w:r w:rsidR="00964C60">
        <w:t>natural gas</w:t>
      </w:r>
      <w:r w:rsidR="002B591F">
        <w:t>”</w:t>
      </w:r>
      <w:r w:rsidR="00964C60">
        <w:t xml:space="preserve"> (as defined in WAC 480-90-023). </w:t>
      </w:r>
      <w:r>
        <w:t>The Commission</w:t>
      </w:r>
      <w:r w:rsidR="002B591F">
        <w:t>’</w:t>
      </w:r>
      <w:r>
        <w:t xml:space="preserve">s authority over gas </w:t>
      </w:r>
      <w:r w:rsidR="00964C60">
        <w:t xml:space="preserve">companies </w:t>
      </w:r>
      <w:r>
        <w:t xml:space="preserve">and their operations is expansive and certainly extends to a gas </w:t>
      </w:r>
      <w:r w:rsidR="00964C60">
        <w:t xml:space="preserve">company </w:t>
      </w:r>
      <w:r>
        <w:t xml:space="preserve">providing </w:t>
      </w:r>
      <w:r w:rsidR="00964C60">
        <w:t xml:space="preserve">LNG </w:t>
      </w:r>
      <w:r w:rsidR="003A5B09">
        <w:t xml:space="preserve">service. </w:t>
      </w:r>
      <w:r>
        <w:t xml:space="preserve">This is consistent with the statutory definition of </w:t>
      </w:r>
      <w:r w:rsidR="002B591F">
        <w:t>“</w:t>
      </w:r>
      <w:r>
        <w:t>service</w:t>
      </w:r>
      <w:r w:rsidR="002B591F">
        <w:t>”</w:t>
      </w:r>
      <w:r>
        <w:t xml:space="preserve"> for purposes of </w:t>
      </w:r>
      <w:r w:rsidR="003A5B09">
        <w:t xml:space="preserve">Commission </w:t>
      </w:r>
      <w:r>
        <w:t>regulation, which is to be construed in its broadest and most inclusive sense.</w:t>
      </w:r>
      <w:r w:rsidR="000D68C5">
        <w:rPr>
          <w:rStyle w:val="FootnoteReference"/>
        </w:rPr>
        <w:footnoteReference w:id="132"/>
      </w:r>
      <w:r w:rsidR="003A5B09">
        <w:t xml:space="preserve"> </w:t>
      </w:r>
      <w:r>
        <w:t>Thus, if PSE</w:t>
      </w:r>
      <w:r w:rsidR="003A5B09">
        <w:t>, a gas company,</w:t>
      </w:r>
      <w:r>
        <w:t xml:space="preserve"> owns the Tacoma LNG Facilit</w:t>
      </w:r>
      <w:r w:rsidR="00A51450">
        <w:t>y</w:t>
      </w:r>
      <w:r w:rsidR="003A5B09">
        <w:t xml:space="preserve"> and makes retail sales of natural gas in a liquid state for use as vehicular fuels</w:t>
      </w:r>
      <w:r>
        <w:t xml:space="preserve">, </w:t>
      </w:r>
      <w:r w:rsidR="003A5B09">
        <w:t>then such sales are subject to the Commission</w:t>
      </w:r>
      <w:r w:rsidR="002B591F">
        <w:t>’</w:t>
      </w:r>
      <w:r w:rsidR="003A5B09">
        <w:t>s jurisdiction, unless the Commission disclaims jurisdiction over such transactions.</w:t>
      </w:r>
    </w:p>
    <w:p w:rsidR="00FA3940" w:rsidRDefault="009079E2" w:rsidP="00FA3940">
      <w:pPr>
        <w:spacing w:line="480" w:lineRule="auto"/>
      </w:pPr>
      <w:r>
        <w:rPr>
          <w:i/>
        </w:rPr>
        <w:fldChar w:fldCharType="begin"/>
      </w:r>
      <w:r>
        <w:rPr>
          <w:i/>
        </w:rPr>
        <w:instrText xml:space="preserve"> AUTONUM </w:instrText>
      </w:r>
      <w:r>
        <w:rPr>
          <w:i/>
        </w:rPr>
        <w:fldChar w:fldCharType="end"/>
      </w:r>
      <w:r>
        <w:tab/>
      </w:r>
      <w:r w:rsidR="006349BE">
        <w:tab/>
      </w:r>
      <w:r>
        <w:t xml:space="preserve">Each of PSE and </w:t>
      </w:r>
      <w:r w:rsidR="003A5B09">
        <w:t xml:space="preserve">TOTE entered into the TOTE Special Contract with the understanding and expectation that the Commission would have jurisdiction over the contract. For example, the TOTE Special Contract has Commission approval as a condition precedent to closing, and pricing under the TOTE Special Contract is </w:t>
      </w:r>
      <w:r w:rsidR="002B591F">
        <w:t>“</w:t>
      </w:r>
      <w:r w:rsidR="00FA3940">
        <w:t>based on cost-of-service rate design,</w:t>
      </w:r>
      <w:r w:rsidR="002B591F">
        <w:t>”</w:t>
      </w:r>
      <w:r w:rsidR="00FA3940">
        <w:t xml:space="preserve"> including </w:t>
      </w:r>
      <w:r w:rsidR="002B591F">
        <w:t>“</w:t>
      </w:r>
      <w:r w:rsidR="00FA3940">
        <w:t>the depreciation of the asset, the cost of capital (both debt and equity) to finance the asset, a pass through of operational costs and all applicable taxes.</w:t>
      </w:r>
      <w:r w:rsidR="002B591F">
        <w:t>”</w:t>
      </w:r>
      <w:r w:rsidR="000D68C5">
        <w:rPr>
          <w:rStyle w:val="FootnoteReference"/>
        </w:rPr>
        <w:footnoteReference w:id="133"/>
      </w:r>
      <w:r w:rsidR="00FA3940">
        <w:t xml:space="preserve"> </w:t>
      </w:r>
      <w:r>
        <w:t xml:space="preserve">Therefore, any Commission requirement imposed upon PSE to provide a non-regulated service to TOTE under the TOTE </w:t>
      </w:r>
      <w:r>
        <w:lastRenderedPageBreak/>
        <w:t>Special Contract would undermine both the plain language of the relevant statutes and regulations and the expectations of the parties to the contract.</w:t>
      </w:r>
    </w:p>
    <w:p w:rsidR="001130E9" w:rsidRDefault="005812C5" w:rsidP="006D1F1E">
      <w:pPr>
        <w:spacing w:line="480" w:lineRule="auto"/>
      </w:pPr>
      <w:r>
        <w:rPr>
          <w:i/>
        </w:rPr>
        <w:fldChar w:fldCharType="begin"/>
      </w:r>
      <w:r>
        <w:rPr>
          <w:i/>
        </w:rPr>
        <w:instrText xml:space="preserve"> AUTONUM </w:instrText>
      </w:r>
      <w:r>
        <w:rPr>
          <w:i/>
        </w:rPr>
        <w:fldChar w:fldCharType="end"/>
      </w:r>
      <w:r>
        <w:tab/>
      </w:r>
      <w:r w:rsidR="006349BE">
        <w:tab/>
      </w:r>
      <w:r w:rsidR="009079E2">
        <w:t xml:space="preserve">Moreover, the Commission has over two decades of precedent regarding sales of natural gas for use as vehicular fuel. The Commission has </w:t>
      </w:r>
      <w:r>
        <w:t xml:space="preserve">long authorized the sale of compressed natural gas (CNG) by </w:t>
      </w:r>
      <w:r w:rsidR="009079E2">
        <w:t xml:space="preserve">gas companies for use </w:t>
      </w:r>
      <w:r>
        <w:t>as vehic</w:t>
      </w:r>
      <w:r w:rsidR="009079E2">
        <w:t>ular</w:t>
      </w:r>
      <w:r>
        <w:t xml:space="preserve"> fuel, </w:t>
      </w:r>
      <w:r w:rsidR="009079E2">
        <w:t xml:space="preserve">provided that the sales are made under </w:t>
      </w:r>
      <w:r>
        <w:t>compensatory rates (</w:t>
      </w:r>
      <w:r w:rsidR="000D68C5">
        <w:t>i.e., not at a subsidized rate)</w:t>
      </w:r>
      <w:r w:rsidR="001130E9">
        <w:t>.</w:t>
      </w:r>
      <w:r w:rsidR="000D68C5">
        <w:rPr>
          <w:rStyle w:val="FootnoteReference"/>
        </w:rPr>
        <w:footnoteReference w:id="134"/>
      </w:r>
      <w:r w:rsidR="001130E9">
        <w:t xml:space="preserve"> </w:t>
      </w:r>
      <w:r>
        <w:t xml:space="preserve">This regulatory treatment is consistent with state statutes favoring use of </w:t>
      </w:r>
      <w:r w:rsidR="001130E9">
        <w:t xml:space="preserve">LNG and CNG </w:t>
      </w:r>
      <w:r>
        <w:t>to reduce vehicle emissions and decrease dependence on petroleum-based fuels</w:t>
      </w:r>
      <w:r w:rsidR="001130E9">
        <w:t>:</w:t>
      </w:r>
    </w:p>
    <w:p w:rsidR="001130E9" w:rsidRPr="001130E9" w:rsidRDefault="001130E9" w:rsidP="00C61141">
      <w:pPr>
        <w:tabs>
          <w:tab w:val="clear" w:pos="720"/>
          <w:tab w:val="left" w:leader="dot" w:pos="6480"/>
        </w:tabs>
        <w:spacing w:after="280" w:line="240" w:lineRule="auto"/>
        <w:ind w:left="1440" w:right="720" w:firstLine="0"/>
        <w:jc w:val="both"/>
      </w:pPr>
      <w:r w:rsidRPr="001130E9">
        <w:t>Effective June</w:t>
      </w:r>
      <w:r>
        <w:t> </w:t>
      </w:r>
      <w:r w:rsidRPr="001130E9">
        <w:t>1, 2015, all state agencies, to the extent determined practicable by the rules adopted by the department of commerce pursuant to RCW</w:t>
      </w:r>
      <w:r>
        <w:t> </w:t>
      </w:r>
      <w:r w:rsidRPr="001130E9">
        <w:t>43.325.080, are required to satisfy one hundred percent of their fuel usage for operating publicly owned vessels, vehicles, and construction equipment from electricity or biofuel. Compressed natural gas, liquefied natural gas, or propane may be substituted for electricity or biofuel if the department of commerce determines that electricity and biofuel are not reasonably available.</w:t>
      </w:r>
      <w:r w:rsidR="000D68C5">
        <w:rPr>
          <w:rStyle w:val="FootnoteReference"/>
        </w:rPr>
        <w:footnoteReference w:id="135"/>
      </w:r>
    </w:p>
    <w:p w:rsidR="005812C5" w:rsidRDefault="001130E9" w:rsidP="006D1F1E">
      <w:pPr>
        <w:spacing w:line="480" w:lineRule="auto"/>
      </w:pPr>
      <w:r>
        <w:rPr>
          <w:i/>
        </w:rPr>
        <w:fldChar w:fldCharType="begin"/>
      </w:r>
      <w:r>
        <w:rPr>
          <w:i/>
        </w:rPr>
        <w:instrText xml:space="preserve"> AUTONUM </w:instrText>
      </w:r>
      <w:r>
        <w:rPr>
          <w:i/>
        </w:rPr>
        <w:fldChar w:fldCharType="end"/>
      </w:r>
      <w:r>
        <w:tab/>
      </w:r>
      <w:r w:rsidR="006349BE">
        <w:tab/>
      </w:r>
      <w:r w:rsidR="005812C5">
        <w:t xml:space="preserve">The sale of liquefied natural gas to TOTE for </w:t>
      </w:r>
      <w:r w:rsidR="00D46B38">
        <w:t xml:space="preserve">use as a marine </w:t>
      </w:r>
      <w:r w:rsidR="005812C5">
        <w:t xml:space="preserve">fuel would advance the same goals that underlie the use of CNG as </w:t>
      </w:r>
      <w:r w:rsidR="00D46B38">
        <w:t xml:space="preserve">vehicular fuel. Indeed, TOTE seeks to obtain LNG service from PSE to meet </w:t>
      </w:r>
      <w:r w:rsidR="005812C5">
        <w:t>or exceed new, stricter emission standards in th</w:t>
      </w:r>
      <w:r w:rsidR="00D46B38">
        <w:t xml:space="preserve">e maritime shipping industry. </w:t>
      </w:r>
      <w:r w:rsidR="005812C5">
        <w:t xml:space="preserve">The service to be provided under the TOTE </w:t>
      </w:r>
      <w:r w:rsidR="00D46B38">
        <w:t>S</w:t>
      </w:r>
      <w:r w:rsidR="005812C5">
        <w:t xml:space="preserve">pecial </w:t>
      </w:r>
      <w:r w:rsidR="00D46B38">
        <w:t>C</w:t>
      </w:r>
      <w:r w:rsidR="005812C5">
        <w:t>ontract will be at a compensatory rate and will not be subsi</w:t>
      </w:r>
      <w:r w:rsidR="00D46B38">
        <w:t xml:space="preserve">dized by other PSE customers. </w:t>
      </w:r>
      <w:r w:rsidR="005812C5">
        <w:t xml:space="preserve">Therefore, consistent with its regulation of CNG sales, the </w:t>
      </w:r>
      <w:r w:rsidR="00D46B38">
        <w:t xml:space="preserve">Commission </w:t>
      </w:r>
      <w:r w:rsidR="005812C5">
        <w:t xml:space="preserve">can and should regulate the liquefied natural gas service </w:t>
      </w:r>
      <w:r w:rsidR="00817583">
        <w:t>that PSE will provide under the TOTE Special Contract.</w:t>
      </w:r>
    </w:p>
    <w:p w:rsidR="00F96ECE" w:rsidRDefault="00F96ECE" w:rsidP="00F96ECE">
      <w:pPr>
        <w:pStyle w:val="Heading3"/>
      </w:pPr>
      <w:bookmarkStart w:id="29" w:name="_Toc435799490"/>
      <w:bookmarkStart w:id="30" w:name="_Toc436128678"/>
      <w:r>
        <w:lastRenderedPageBreak/>
        <w:t>4.</w:t>
      </w:r>
      <w:r>
        <w:tab/>
      </w:r>
      <w:r w:rsidR="00513B03">
        <w:t>PSE Meters and Passes Title to LNG Under the TOTE Special Contract As the LNG is Loaded Into the TOTE Vessel</w:t>
      </w:r>
      <w:bookmarkEnd w:id="29"/>
      <w:bookmarkEnd w:id="30"/>
    </w:p>
    <w:p w:rsidR="00F96ECE" w:rsidRDefault="00F96ECE" w:rsidP="00F96ECE">
      <w:pPr>
        <w:spacing w:line="480" w:lineRule="auto"/>
      </w:pPr>
      <w:r>
        <w:rPr>
          <w:i/>
        </w:rPr>
        <w:fldChar w:fldCharType="begin"/>
      </w:r>
      <w:r>
        <w:rPr>
          <w:i/>
        </w:rPr>
        <w:instrText xml:space="preserve"> AUTONUM </w:instrText>
      </w:r>
      <w:r>
        <w:rPr>
          <w:i/>
        </w:rPr>
        <w:fldChar w:fldCharType="end"/>
      </w:r>
      <w:r>
        <w:tab/>
      </w:r>
      <w:r>
        <w:tab/>
        <w:t xml:space="preserve">Parties may attempt to argue that the Commission’s jurisdiction with respect to the regulation of natural gas stops at the gas company meter, at which point the title transfers from the gas company to customers and the gas company measures customer usage. No such statute, regulation, or </w:t>
      </w:r>
      <w:r w:rsidR="007D7E5C">
        <w:t xml:space="preserve">Commission </w:t>
      </w:r>
      <w:r>
        <w:t xml:space="preserve">order </w:t>
      </w:r>
      <w:r w:rsidR="007D7E5C">
        <w:t xml:space="preserve">provides that the Commission’s jurisdiction continues up to but not beyond the gas meter. </w:t>
      </w:r>
      <w:r w:rsidR="000B07BE">
        <w:t xml:space="preserve">As discussed below, PSE will meter and title to the LNG will pass from PSE to TOTE as the LNG is loaded into the TOTE vessel, not at the point at which the Tacoma LNG Facility receives natural gas from </w:t>
      </w:r>
      <w:r w:rsidR="007271D9">
        <w:t>PSE’s natural gas distribution system</w:t>
      </w:r>
      <w:r w:rsidR="000B07BE">
        <w:t xml:space="preserve">. Assuming </w:t>
      </w:r>
      <w:r w:rsidR="000B07BE" w:rsidRPr="007D7E5C">
        <w:rPr>
          <w:i/>
        </w:rPr>
        <w:t>arguendo</w:t>
      </w:r>
      <w:r w:rsidR="000B07BE">
        <w:t xml:space="preserve"> that the Commission’s jurisdiction does “stop at the meter,” then the Commission could exercise jurisdiction over sales under the TOTE Special Contract because PSE meters and passes title to the LNG as it is being loaded into the TOTE vessel. This situation is no different than any other natural gas customer of PSE.</w:t>
      </w:r>
    </w:p>
    <w:p w:rsidR="007D7E5C" w:rsidRDefault="007D7E5C" w:rsidP="007D7E5C">
      <w:pPr>
        <w:spacing w:line="480" w:lineRule="auto"/>
      </w:pPr>
      <w:r>
        <w:rPr>
          <w:i/>
        </w:rPr>
        <w:fldChar w:fldCharType="begin"/>
      </w:r>
      <w:r>
        <w:rPr>
          <w:i/>
        </w:rPr>
        <w:instrText xml:space="preserve"> AUTONUM </w:instrText>
      </w:r>
      <w:r>
        <w:rPr>
          <w:i/>
        </w:rPr>
        <w:fldChar w:fldCharType="end"/>
      </w:r>
      <w:r>
        <w:tab/>
      </w:r>
      <w:r>
        <w:tab/>
        <w:t>Pursuant to the terms and conditions of the TOTE Special Contract, PSE will meter LNG provided to the TOTE vessel via a coriolis mass flow meter on the LNG line between the Tacoma LNG Facility and the TOTE vessel.</w:t>
      </w:r>
      <w:r>
        <w:rPr>
          <w:rStyle w:val="FootnoteReference"/>
        </w:rPr>
        <w:footnoteReference w:id="136"/>
      </w:r>
      <w:r>
        <w:t xml:space="preserve"> Natural gas vapor from the TOTE vessel back to the Tacoma LNG Facility will be metered via an ultrasonic mass flow meter on the vapor return line.</w:t>
      </w:r>
      <w:r>
        <w:rPr>
          <w:rStyle w:val="FootnoteReference"/>
        </w:rPr>
        <w:footnoteReference w:id="137"/>
      </w:r>
      <w:r>
        <w:t xml:space="preserve"> </w:t>
      </w:r>
      <w:r w:rsidR="00C61141">
        <w:t>In other words</w:t>
      </w:r>
      <w:r>
        <w:t>, PSE will meter the liquefied natural gas provided under the TOTE Special Contract as such LNG is loaded into the manifold of the TOTE vessel.</w:t>
      </w:r>
    </w:p>
    <w:p w:rsidR="007D7E5C" w:rsidRDefault="00C61141" w:rsidP="007D7E5C">
      <w:pPr>
        <w:spacing w:line="480" w:lineRule="auto"/>
      </w:pPr>
      <w:r>
        <w:rPr>
          <w:i/>
        </w:rPr>
        <w:fldChar w:fldCharType="begin"/>
      </w:r>
      <w:r>
        <w:rPr>
          <w:i/>
        </w:rPr>
        <w:instrText xml:space="preserve"> AUTONUM </w:instrText>
      </w:r>
      <w:r>
        <w:rPr>
          <w:i/>
        </w:rPr>
        <w:fldChar w:fldCharType="end"/>
      </w:r>
      <w:r>
        <w:tab/>
      </w:r>
      <w:r>
        <w:tab/>
      </w:r>
      <w:r w:rsidR="007D7E5C">
        <w:t xml:space="preserve">PSE will sell and deliver liquefied natural gas in accordance with certain specifications to TOTE at the delivery point, and TOTE will purchase and bunker the liquefied natural gas at the </w:t>
      </w:r>
      <w:r w:rsidR="007D7E5C">
        <w:lastRenderedPageBreak/>
        <w:t>delivery point.</w:t>
      </w:r>
      <w:r w:rsidR="007D7E5C">
        <w:rPr>
          <w:rStyle w:val="FootnoteReference"/>
        </w:rPr>
        <w:footnoteReference w:id="138"/>
      </w:r>
      <w:r w:rsidR="007D7E5C">
        <w:t xml:space="preserve"> The delivery point under the TOTE Special Contract is the LNG intake manifold of the applicable TOTE vessel at the TOTE Berthing Facility, or such other point as may be mutually agreed by the parties.</w:t>
      </w:r>
      <w:r w:rsidR="007D7E5C">
        <w:rPr>
          <w:rStyle w:val="FootnoteReference"/>
        </w:rPr>
        <w:footnoteReference w:id="139"/>
      </w:r>
      <w:r w:rsidR="007D7E5C">
        <w:t xml:space="preserve"> Title to and risk of loss of the LNG will also pass from PSE to TOTE at the LNG intake manifold of the applicable TOTE vessel at the TOTE Berthing Facility, or such other point as may be mutually agreed by the parties.</w:t>
      </w:r>
      <w:r w:rsidR="007D7E5C">
        <w:rPr>
          <w:rStyle w:val="FootnoteReference"/>
        </w:rPr>
        <w:footnoteReference w:id="140"/>
      </w:r>
      <w:r w:rsidR="007D7E5C">
        <w:t xml:space="preserve"> </w:t>
      </w:r>
      <w:r>
        <w:t>In other words, title to the natural gas will pass from PSE to TOTE as the LNG is loaded into the manifold of the TOTE vessel.</w:t>
      </w:r>
    </w:p>
    <w:p w:rsidR="00817583" w:rsidRDefault="00651DB1" w:rsidP="00817583">
      <w:pPr>
        <w:pStyle w:val="Heading2"/>
        <w:widowControl/>
      </w:pPr>
      <w:bookmarkStart w:id="31" w:name="_Toc435799491"/>
      <w:bookmarkStart w:id="32" w:name="_Toc436128679"/>
      <w:r>
        <w:t>B</w:t>
      </w:r>
      <w:r w:rsidR="00817583">
        <w:t>.</w:t>
      </w:r>
      <w:r w:rsidR="00817583">
        <w:tab/>
        <w:t xml:space="preserve">Liquefied Natural Gas Sales by a Gas Company in Washington for Use as Transportation Fuel by Marine Vessels Are Not Subject to </w:t>
      </w:r>
      <w:r w:rsidR="004E7380">
        <w:t xml:space="preserve">Federal </w:t>
      </w:r>
      <w:r w:rsidR="00817583">
        <w:t>Jurisdiction</w:t>
      </w:r>
      <w:bookmarkEnd w:id="31"/>
      <w:bookmarkEnd w:id="32"/>
    </w:p>
    <w:p w:rsidR="005812C5" w:rsidRDefault="005812C5" w:rsidP="006D1F1E">
      <w:pPr>
        <w:spacing w:line="480" w:lineRule="auto"/>
      </w:pPr>
      <w:r>
        <w:rPr>
          <w:i/>
        </w:rPr>
        <w:fldChar w:fldCharType="begin"/>
      </w:r>
      <w:r>
        <w:rPr>
          <w:i/>
        </w:rPr>
        <w:instrText xml:space="preserve"> AUTONUM </w:instrText>
      </w:r>
      <w:r>
        <w:rPr>
          <w:i/>
        </w:rPr>
        <w:fldChar w:fldCharType="end"/>
      </w:r>
      <w:r>
        <w:tab/>
      </w:r>
      <w:r w:rsidR="00813DCC">
        <w:tab/>
      </w:r>
      <w:r>
        <w:t xml:space="preserve">Under </w:t>
      </w:r>
      <w:r w:rsidR="004E7380">
        <w:t>s</w:t>
      </w:r>
      <w:r>
        <w:t>ection</w:t>
      </w:r>
      <w:r w:rsidR="004E7380">
        <w:t> </w:t>
      </w:r>
      <w:r>
        <w:t xml:space="preserve">1(d) of the Natural Gas Act, the sale or transportation of </w:t>
      </w:r>
      <w:r w:rsidR="002B591F">
        <w:t>“</w:t>
      </w:r>
      <w:r>
        <w:t>vehicular natural gas</w:t>
      </w:r>
      <w:r w:rsidR="002B591F">
        <w:t>”</w:t>
      </w:r>
      <w:r>
        <w:t xml:space="preserve"> will not subject a company to jurisdiction </w:t>
      </w:r>
      <w:r w:rsidR="004E7380">
        <w:t xml:space="preserve">under the Natural Gas </w:t>
      </w:r>
      <w:r w:rsidR="00551BDF">
        <w:t>Ac</w:t>
      </w:r>
      <w:r w:rsidR="004E7380">
        <w:t xml:space="preserve">t </w:t>
      </w:r>
      <w:r>
        <w:t>if the company meets either of the following two tests:</w:t>
      </w:r>
    </w:p>
    <w:p w:rsidR="004E7380" w:rsidRDefault="005812C5" w:rsidP="004E7380">
      <w:pPr>
        <w:tabs>
          <w:tab w:val="clear" w:pos="720"/>
        </w:tabs>
        <w:spacing w:after="280" w:line="240" w:lineRule="auto"/>
        <w:ind w:left="2160" w:right="720"/>
      </w:pPr>
      <w:r>
        <w:t>(a)</w:t>
      </w:r>
      <w:r w:rsidR="004E7380">
        <w:tab/>
      </w:r>
      <w:r>
        <w:t xml:space="preserve">The company is not otherwise a </w:t>
      </w:r>
      <w:r w:rsidR="002B591F">
        <w:t>“</w:t>
      </w:r>
      <w:r>
        <w:t>natural-gas company</w:t>
      </w:r>
      <w:r w:rsidR="002B591F">
        <w:t>”</w:t>
      </w:r>
      <w:r>
        <w:t xml:space="preserve"> (defined under </w:t>
      </w:r>
      <w:r w:rsidR="004E7380">
        <w:t>s</w:t>
      </w:r>
      <w:r>
        <w:t>ection</w:t>
      </w:r>
      <w:r w:rsidR="004E7380">
        <w:t> </w:t>
      </w:r>
      <w:r>
        <w:t xml:space="preserve">2 of the </w:t>
      </w:r>
      <w:r w:rsidR="004E7380">
        <w:t xml:space="preserve">Natural Gas Act </w:t>
      </w:r>
      <w:r>
        <w:t xml:space="preserve">as </w:t>
      </w:r>
      <w:r w:rsidR="002B591F">
        <w:t>“</w:t>
      </w:r>
      <w:r>
        <w:t>a person engaged in the transportation of natural gas in interstate commerce, or the sale in interstate commerce of such gas for resale</w:t>
      </w:r>
      <w:r w:rsidR="002B591F">
        <w:t>”</w:t>
      </w:r>
      <w:r>
        <w:t xml:space="preserve">); or </w:t>
      </w:r>
    </w:p>
    <w:p w:rsidR="005812C5" w:rsidRDefault="005812C5" w:rsidP="004E7380">
      <w:pPr>
        <w:tabs>
          <w:tab w:val="clear" w:pos="720"/>
        </w:tabs>
        <w:spacing w:after="280" w:line="240" w:lineRule="auto"/>
        <w:ind w:left="2160" w:right="720"/>
      </w:pPr>
      <w:r>
        <w:t>(b)</w:t>
      </w:r>
      <w:r>
        <w:tab/>
        <w:t xml:space="preserve">The company is subject primarily to regulation by a </w:t>
      </w:r>
      <w:r w:rsidR="004E7380">
        <w:t>s</w:t>
      </w:r>
      <w:r>
        <w:t xml:space="preserve">tate commission, regardless of whether the </w:t>
      </w:r>
      <w:r w:rsidR="004E7380">
        <w:t>s</w:t>
      </w:r>
      <w:r>
        <w:t>tate Commission actually exercises jurisdiction over the sale or transportat</w:t>
      </w:r>
      <w:r w:rsidR="004E7380">
        <w:t>ion of vehicular natural gas.</w:t>
      </w:r>
      <w:r w:rsidR="000D68C5">
        <w:rPr>
          <w:rStyle w:val="FootnoteReference"/>
        </w:rPr>
        <w:footnoteReference w:id="141"/>
      </w:r>
    </w:p>
    <w:p w:rsidR="005812C5" w:rsidRDefault="005812C5" w:rsidP="008728BD">
      <w:pPr>
        <w:spacing w:line="480" w:lineRule="auto"/>
        <w:ind w:firstLine="0"/>
      </w:pPr>
      <w:r>
        <w:t xml:space="preserve">PSE meets the second test because it is subject primarily to regulation by the </w:t>
      </w:r>
      <w:r w:rsidR="008728BD">
        <w:t>Commission.</w:t>
      </w:r>
    </w:p>
    <w:p w:rsidR="005812C5" w:rsidRDefault="005812C5" w:rsidP="006D1F1E">
      <w:pPr>
        <w:spacing w:line="480" w:lineRule="auto"/>
      </w:pPr>
      <w:r>
        <w:rPr>
          <w:i/>
        </w:rPr>
        <w:fldChar w:fldCharType="begin"/>
      </w:r>
      <w:r>
        <w:rPr>
          <w:i/>
        </w:rPr>
        <w:instrText xml:space="preserve"> AUTONUM </w:instrText>
      </w:r>
      <w:r>
        <w:rPr>
          <w:i/>
        </w:rPr>
        <w:fldChar w:fldCharType="end"/>
      </w:r>
      <w:r>
        <w:tab/>
      </w:r>
      <w:r w:rsidR="00813DCC">
        <w:tab/>
      </w:r>
      <w:r>
        <w:t xml:space="preserve">Because PSE meets one of the tests, the sale or transportation of LNG to LNG-fueled marine vessels would not subject PSE to </w:t>
      </w:r>
      <w:r w:rsidR="00F643BE">
        <w:t xml:space="preserve">the </w:t>
      </w:r>
      <w:r>
        <w:t>jurisdiction</w:t>
      </w:r>
      <w:r w:rsidR="008728BD">
        <w:t xml:space="preserve"> </w:t>
      </w:r>
      <w:r w:rsidR="00F643BE">
        <w:t>of the Federal Energy Regulatory Commission (</w:t>
      </w:r>
      <w:r w:rsidR="002B591F">
        <w:t>“</w:t>
      </w:r>
      <w:r w:rsidR="00F643BE">
        <w:t>FERC</w:t>
      </w:r>
      <w:r w:rsidR="002B591F">
        <w:t>”</w:t>
      </w:r>
      <w:r w:rsidR="00F643BE">
        <w:t xml:space="preserve">) </w:t>
      </w:r>
      <w:r w:rsidR="008728BD">
        <w:t>under section 7 of the Natural Gas Act</w:t>
      </w:r>
      <w:r>
        <w:t xml:space="preserve">, provided the LNG qualifies as </w:t>
      </w:r>
      <w:r>
        <w:lastRenderedPageBreak/>
        <w:t xml:space="preserve">vehicular natural gas. </w:t>
      </w:r>
      <w:r w:rsidR="008728BD">
        <w:t xml:space="preserve">Section 2 of the Natural Gas Act defines the term </w:t>
      </w:r>
      <w:r w:rsidR="002B591F">
        <w:t>“</w:t>
      </w:r>
      <w:r w:rsidR="008728BD">
        <w:t>v</w:t>
      </w:r>
      <w:r>
        <w:t>ehicular natural gas</w:t>
      </w:r>
      <w:r w:rsidR="002B591F">
        <w:t>”</w:t>
      </w:r>
      <w:r>
        <w:t xml:space="preserve"> as </w:t>
      </w:r>
      <w:r w:rsidR="002B591F">
        <w:t>“</w:t>
      </w:r>
      <w:r>
        <w:t>natural gas that is ultimately used as a fuel in a self-propelled vehicle.</w:t>
      </w:r>
      <w:r w:rsidR="002B591F">
        <w:t>”</w:t>
      </w:r>
      <w:r w:rsidR="000D68C5">
        <w:rPr>
          <w:rStyle w:val="FootnoteReference"/>
        </w:rPr>
        <w:footnoteReference w:id="142"/>
      </w:r>
      <w:r>
        <w:t xml:space="preserve"> In implementing the </w:t>
      </w:r>
      <w:r w:rsidR="004E7380">
        <w:t>Natural Gas Act</w:t>
      </w:r>
      <w:r>
        <w:t xml:space="preserve">, FERC has further defined </w:t>
      </w:r>
      <w:r w:rsidR="002B591F">
        <w:t>“</w:t>
      </w:r>
      <w:r>
        <w:t>vehicular natural gas</w:t>
      </w:r>
      <w:r w:rsidR="002B591F">
        <w:t>”</w:t>
      </w:r>
      <w:r>
        <w:t xml:space="preserve"> in its regulations as </w:t>
      </w:r>
      <w:r w:rsidR="002B591F">
        <w:t>“</w:t>
      </w:r>
      <w:r>
        <w:t>natural gas that will be used, in either a gaseous or liquefied state, as fuel in any self-propelled vehicle.</w:t>
      </w:r>
      <w:r w:rsidR="002B591F">
        <w:t>”</w:t>
      </w:r>
      <w:r w:rsidR="000D68C5">
        <w:rPr>
          <w:rStyle w:val="FootnoteReference"/>
        </w:rPr>
        <w:footnoteReference w:id="143"/>
      </w:r>
    </w:p>
    <w:p w:rsidR="005812C5" w:rsidRDefault="005812C5" w:rsidP="006D1F1E">
      <w:pPr>
        <w:spacing w:line="480" w:lineRule="auto"/>
      </w:pPr>
      <w:r>
        <w:rPr>
          <w:i/>
        </w:rPr>
        <w:fldChar w:fldCharType="begin"/>
      </w:r>
      <w:r>
        <w:rPr>
          <w:i/>
        </w:rPr>
        <w:instrText xml:space="preserve"> AUTONUM </w:instrText>
      </w:r>
      <w:r>
        <w:rPr>
          <w:i/>
        </w:rPr>
        <w:fldChar w:fldCharType="end"/>
      </w:r>
      <w:r>
        <w:tab/>
      </w:r>
      <w:r w:rsidR="00813DCC">
        <w:tab/>
      </w:r>
      <w:r>
        <w:t>In Order No.</w:t>
      </w:r>
      <w:r w:rsidR="008728BD">
        <w:t> </w:t>
      </w:r>
      <w:r>
        <w:t>543,</w:t>
      </w:r>
      <w:r w:rsidR="008728BD">
        <w:rPr>
          <w:rStyle w:val="FootnoteReference"/>
        </w:rPr>
        <w:footnoteReference w:id="144"/>
      </w:r>
      <w:r>
        <w:t xml:space="preserve"> FERC broadened its then-proposed definition of </w:t>
      </w:r>
      <w:r w:rsidR="002B591F">
        <w:t>“</w:t>
      </w:r>
      <w:r>
        <w:t>vehicular natural gas</w:t>
      </w:r>
      <w:r w:rsidR="002B591F">
        <w:t>”</w:t>
      </w:r>
      <w:r>
        <w:t xml:space="preserve"> or </w:t>
      </w:r>
      <w:r w:rsidR="002B591F">
        <w:t>“</w:t>
      </w:r>
      <w:r>
        <w:t>VNG,</w:t>
      </w:r>
      <w:r w:rsidR="002B591F">
        <w:t>”</w:t>
      </w:r>
      <w:r>
        <w:t xml:space="preserve"> which would have been limited to </w:t>
      </w:r>
      <w:r w:rsidR="002B591F">
        <w:t>“</w:t>
      </w:r>
      <w:r>
        <w:t>natural gas that is ultimately used as a fuel in a motor vehicle.</w:t>
      </w:r>
      <w:r w:rsidR="002B591F">
        <w:t>”</w:t>
      </w:r>
      <w:r w:rsidR="008728BD">
        <w:t xml:space="preserve"> </w:t>
      </w:r>
      <w:r>
        <w:t>In response to comments from parties suggesting that the definition be broadened to include LNG and the full array of vehicles that may utilize natural gas, FERC expressly adopted a broader definition that includes gas-fueled boats and any other self-propelled vehicles:</w:t>
      </w:r>
    </w:p>
    <w:p w:rsidR="005812C5" w:rsidRDefault="005812C5" w:rsidP="008728BD">
      <w:pPr>
        <w:tabs>
          <w:tab w:val="clear" w:pos="720"/>
        </w:tabs>
        <w:spacing w:after="280" w:line="240" w:lineRule="auto"/>
        <w:ind w:left="1440" w:right="720" w:firstLine="0"/>
        <w:jc w:val="both"/>
      </w:pPr>
      <w:r>
        <w:t xml:space="preserve">[B]ecause there are other types of vehicles that may utilize </w:t>
      </w:r>
      <w:r w:rsidR="002B591F">
        <w:t>“</w:t>
      </w:r>
      <w:r>
        <w:t>VNG,</w:t>
      </w:r>
      <w:r w:rsidR="002B591F">
        <w:t>”</w:t>
      </w:r>
      <w:r>
        <w:t xml:space="preserve"> (e.g.,</w:t>
      </w:r>
      <w:r w:rsidR="008728BD">
        <w:t> </w:t>
      </w:r>
      <w:r>
        <w:t>boats and locomotives), we shall modify the proposed definition.</w:t>
      </w:r>
      <w:r w:rsidR="002B591F">
        <w:t xml:space="preserve"> </w:t>
      </w:r>
      <w:r>
        <w:t xml:space="preserve">Specifically, the revised definition of </w:t>
      </w:r>
      <w:r w:rsidR="002B591F">
        <w:t>“</w:t>
      </w:r>
      <w:r>
        <w:t>VNG</w:t>
      </w:r>
      <w:r w:rsidR="002B591F">
        <w:t>”</w:t>
      </w:r>
      <w:r>
        <w:t xml:space="preserve"> is as follows: </w:t>
      </w:r>
      <w:r w:rsidR="002B591F">
        <w:t>“</w:t>
      </w:r>
      <w:r>
        <w:t>VNG is natural gas that will be used, in either a gaseous or liquefied state, as fuel in any self-propelled vehicle.</w:t>
      </w:r>
      <w:r w:rsidR="002B591F">
        <w:t>”</w:t>
      </w:r>
      <w:r>
        <w:t xml:space="preserve"> This definition shall be broadly construed to include, among other things, automobiles, trucks, buses, trains, aircraft, boats, non-road farm vehicles, and construction vehicles, or an</w:t>
      </w:r>
      <w:r w:rsidR="008728BD">
        <w:t>y other self-propelled vehicle.</w:t>
      </w:r>
      <w:r w:rsidR="000D68C5">
        <w:rPr>
          <w:rStyle w:val="FootnoteReference"/>
        </w:rPr>
        <w:footnoteReference w:id="145"/>
      </w:r>
    </w:p>
    <w:p w:rsidR="005812C5" w:rsidRDefault="005812C5" w:rsidP="00617615">
      <w:pPr>
        <w:spacing w:line="480" w:lineRule="auto"/>
        <w:ind w:firstLine="0"/>
      </w:pPr>
      <w:r>
        <w:t xml:space="preserve">It is clear from this definition, which FERC has said is to be </w:t>
      </w:r>
      <w:r w:rsidR="002B591F">
        <w:t>“</w:t>
      </w:r>
      <w:r>
        <w:t>broadly construed,</w:t>
      </w:r>
      <w:r w:rsidR="002B591F">
        <w:t>”</w:t>
      </w:r>
      <w:r>
        <w:t xml:space="preserve"> that the contemplated sale or transportation of LNG by a gas company </w:t>
      </w:r>
      <w:r w:rsidR="008728BD">
        <w:t>(</w:t>
      </w:r>
      <w:r>
        <w:t xml:space="preserve">such as </w:t>
      </w:r>
      <w:r w:rsidR="008728BD">
        <w:t xml:space="preserve">sales of LNG by </w:t>
      </w:r>
      <w:r>
        <w:t>PSE to LNG-fueled marine vessels</w:t>
      </w:r>
      <w:r w:rsidR="008728BD">
        <w:t>)</w:t>
      </w:r>
      <w:r>
        <w:t xml:space="preserve"> would qualify as vehicular natural gas</w:t>
      </w:r>
      <w:r w:rsidR="008728BD">
        <w:t xml:space="preserve"> exempt from FERC jurisdiction.</w:t>
      </w:r>
    </w:p>
    <w:p w:rsidR="00617615" w:rsidRDefault="005812C5" w:rsidP="006D1F1E">
      <w:pPr>
        <w:spacing w:line="480" w:lineRule="auto"/>
      </w:pPr>
      <w:r>
        <w:rPr>
          <w:i/>
        </w:rPr>
        <w:lastRenderedPageBreak/>
        <w:fldChar w:fldCharType="begin"/>
      </w:r>
      <w:r>
        <w:rPr>
          <w:i/>
        </w:rPr>
        <w:instrText xml:space="preserve"> AUTONUM </w:instrText>
      </w:r>
      <w:r>
        <w:rPr>
          <w:i/>
        </w:rPr>
        <w:fldChar w:fldCharType="end"/>
      </w:r>
      <w:r>
        <w:tab/>
      </w:r>
      <w:r w:rsidR="00CF094E">
        <w:tab/>
      </w:r>
      <w:r w:rsidR="00617615">
        <w:t xml:space="preserve">Additionally, </w:t>
      </w:r>
      <w:r>
        <w:t>the vehicular natural gas exemption precludes a state utility commission from regulating sales of vehicular natural gas by a company</w:t>
      </w:r>
      <w:r w:rsidR="00617615">
        <w:t xml:space="preserve"> that is not a public utility. </w:t>
      </w:r>
      <w:r>
        <w:t xml:space="preserve">Specifically, </w:t>
      </w:r>
      <w:r w:rsidR="00617615">
        <w:t>s</w:t>
      </w:r>
      <w:r>
        <w:t>ection</w:t>
      </w:r>
      <w:r w:rsidR="00617615">
        <w:t> </w:t>
      </w:r>
      <w:r>
        <w:t>404(b) of the Energy Policy Act</w:t>
      </w:r>
      <w:r w:rsidR="00813DCC">
        <w:t xml:space="preserve"> of 1992</w:t>
      </w:r>
      <w:r>
        <w:t xml:space="preserve"> provides </w:t>
      </w:r>
      <w:r w:rsidR="00617615">
        <w:t>as follows:</w:t>
      </w:r>
    </w:p>
    <w:p w:rsidR="00617615" w:rsidRDefault="00617615" w:rsidP="00617615">
      <w:pPr>
        <w:tabs>
          <w:tab w:val="clear" w:pos="720"/>
        </w:tabs>
        <w:spacing w:after="280" w:line="240" w:lineRule="auto"/>
        <w:ind w:left="1440" w:right="720" w:firstLine="0"/>
        <w:jc w:val="both"/>
      </w:pPr>
      <w:r>
        <w:t>(b)</w:t>
      </w:r>
      <w:r>
        <w:tab/>
        <w:t xml:space="preserve">STATE LAWS AND REGULATIONS — The transportation or sale of natural gas </w:t>
      </w:r>
      <w:r w:rsidRPr="00617615">
        <w:rPr>
          <w:i/>
        </w:rPr>
        <w:t>by any person who is not otherwise a public utility</w:t>
      </w:r>
      <w:r>
        <w:t>, within the meaning of State law—</w:t>
      </w:r>
    </w:p>
    <w:p w:rsidR="00617615" w:rsidRDefault="00617615" w:rsidP="00617615">
      <w:pPr>
        <w:tabs>
          <w:tab w:val="clear" w:pos="720"/>
        </w:tabs>
        <w:spacing w:after="280" w:line="240" w:lineRule="auto"/>
        <w:ind w:left="2160" w:right="720" w:firstLine="0"/>
        <w:jc w:val="both"/>
      </w:pPr>
      <w:r>
        <w:t>(1)</w:t>
      </w:r>
      <w:r>
        <w:tab/>
        <w:t>in closed containers; or</w:t>
      </w:r>
    </w:p>
    <w:p w:rsidR="00617615" w:rsidRDefault="00617615" w:rsidP="00617615">
      <w:pPr>
        <w:tabs>
          <w:tab w:val="clear" w:pos="720"/>
        </w:tabs>
        <w:spacing w:after="280" w:line="240" w:lineRule="auto"/>
        <w:ind w:left="2160" w:right="720" w:firstLine="0"/>
        <w:jc w:val="both"/>
      </w:pPr>
      <w:r>
        <w:t>(2)</w:t>
      </w:r>
      <w:r>
        <w:tab/>
        <w:t>otherwise to any person for use by such person as a fuel in a self-propelled vehicle,</w:t>
      </w:r>
    </w:p>
    <w:p w:rsidR="00617615" w:rsidRDefault="00617615" w:rsidP="00617615">
      <w:pPr>
        <w:tabs>
          <w:tab w:val="clear" w:pos="720"/>
        </w:tabs>
        <w:spacing w:after="280" w:line="240" w:lineRule="auto"/>
        <w:ind w:left="1440" w:right="720" w:firstLine="0"/>
        <w:jc w:val="both"/>
      </w:pPr>
      <w:r w:rsidRPr="00617615">
        <w:rPr>
          <w:i/>
        </w:rPr>
        <w:t>shall not be considered to be a transportation or sale of natural gas within the meaning of any State law, regulation, or order</w:t>
      </w:r>
      <w:r>
        <w:t xml:space="preserve"> in effect before January 1, 1989. This subsection shall not apply to any provision of any State law, regulation, or order to the extent that such provision has as its primary purpose the protection of public safety.</w:t>
      </w:r>
      <w:r w:rsidR="000D68C5">
        <w:rPr>
          <w:rStyle w:val="FootnoteReference"/>
        </w:rPr>
        <w:footnoteReference w:id="146"/>
      </w:r>
    </w:p>
    <w:p w:rsidR="005812C5" w:rsidRDefault="000A4963" w:rsidP="007E06AA">
      <w:pPr>
        <w:spacing w:line="480" w:lineRule="auto"/>
        <w:ind w:firstLine="0"/>
      </w:pPr>
      <w:r>
        <w:t>F</w:t>
      </w:r>
      <w:r w:rsidR="00E74F39">
        <w:t xml:space="preserve">ederal law has preempted </w:t>
      </w:r>
      <w:r w:rsidR="007E06AA">
        <w:t xml:space="preserve">state </w:t>
      </w:r>
      <w:r w:rsidR="00DC1EE5">
        <w:t xml:space="preserve">regulation of </w:t>
      </w:r>
      <w:r w:rsidR="007E06AA">
        <w:t xml:space="preserve">sales of vehicular natural gas by entities other than public utilities. </w:t>
      </w:r>
      <w:r w:rsidR="005812C5">
        <w:t xml:space="preserve">Therefore, </w:t>
      </w:r>
      <w:r w:rsidR="007E06AA">
        <w:t>the Commission</w:t>
      </w:r>
      <w:r w:rsidR="002B591F">
        <w:t>’</w:t>
      </w:r>
      <w:r w:rsidR="007E06AA">
        <w:t xml:space="preserve">s </w:t>
      </w:r>
      <w:r w:rsidR="005812C5">
        <w:t>jurisdiction over PSE</w:t>
      </w:r>
      <w:r w:rsidR="002B591F">
        <w:t>’</w:t>
      </w:r>
      <w:r w:rsidR="005812C5">
        <w:t xml:space="preserve">s sales of </w:t>
      </w:r>
      <w:r w:rsidR="007E06AA">
        <w:t xml:space="preserve">LNG </w:t>
      </w:r>
      <w:r w:rsidR="005812C5">
        <w:t xml:space="preserve">to TOTE would not </w:t>
      </w:r>
      <w:r w:rsidR="002B591F">
        <w:t>“</w:t>
      </w:r>
      <w:r w:rsidR="005812C5">
        <w:t>open the floodgates</w:t>
      </w:r>
      <w:r w:rsidR="002B591F">
        <w:t>”</w:t>
      </w:r>
      <w:r w:rsidR="005812C5">
        <w:t xml:space="preserve"> and subject non-utility companies in the business of selling </w:t>
      </w:r>
      <w:r w:rsidR="007E06AA">
        <w:t xml:space="preserve">vehicular natural gas </w:t>
      </w:r>
      <w:r w:rsidR="005812C5">
        <w:t xml:space="preserve">to the </w:t>
      </w:r>
      <w:r w:rsidR="007E06AA">
        <w:t>Commission</w:t>
      </w:r>
      <w:r w:rsidR="002B591F">
        <w:t>’</w:t>
      </w:r>
      <w:r w:rsidR="007E06AA">
        <w:t>s jurisdiction.</w:t>
      </w:r>
    </w:p>
    <w:p w:rsidR="00A51E78" w:rsidRPr="00016C52" w:rsidRDefault="00F10920" w:rsidP="006D1F1E">
      <w:pPr>
        <w:pStyle w:val="Heading1"/>
        <w:widowControl/>
      </w:pPr>
      <w:bookmarkStart w:id="33" w:name="_Toc317587422"/>
      <w:bookmarkStart w:id="34" w:name="_Toc319675734"/>
      <w:bookmarkStart w:id="35" w:name="_Toc435799492"/>
      <w:bookmarkStart w:id="36" w:name="_Toc436128680"/>
      <w:r>
        <w:t>V</w:t>
      </w:r>
      <w:r w:rsidR="00A51E78" w:rsidRPr="00016C52">
        <w:t>.</w:t>
      </w:r>
      <w:r>
        <w:tab/>
      </w:r>
      <w:r w:rsidR="00A51E78" w:rsidRPr="00016C52">
        <w:t>CONCLUSION</w:t>
      </w:r>
      <w:bookmarkEnd w:id="33"/>
      <w:bookmarkEnd w:id="34"/>
      <w:bookmarkEnd w:id="35"/>
      <w:bookmarkEnd w:id="36"/>
    </w:p>
    <w:p w:rsidR="00F96ECE" w:rsidRDefault="00A51E78" w:rsidP="00F96ECE">
      <w:r>
        <w:rPr>
          <w:i/>
        </w:rPr>
        <w:fldChar w:fldCharType="begin"/>
      </w:r>
      <w:r>
        <w:rPr>
          <w:i/>
        </w:rPr>
        <w:instrText xml:space="preserve"> AUTONUM </w:instrText>
      </w:r>
      <w:r>
        <w:rPr>
          <w:i/>
        </w:rPr>
        <w:fldChar w:fldCharType="end"/>
      </w:r>
      <w:r>
        <w:tab/>
      </w:r>
      <w:r w:rsidR="00CF094E">
        <w:tab/>
      </w:r>
      <w:r>
        <w:t xml:space="preserve">For the reasons set forth above, PSE respectfully requests that the Commission </w:t>
      </w:r>
      <w:r w:rsidR="00F96ECE">
        <w:t xml:space="preserve">issue an order </w:t>
      </w:r>
      <w:r w:rsidR="00F10920">
        <w:t>affirm</w:t>
      </w:r>
      <w:r w:rsidR="00331FAB">
        <w:t>ing</w:t>
      </w:r>
      <w:r w:rsidR="00F10920">
        <w:t xml:space="preserve"> that </w:t>
      </w:r>
      <w:r w:rsidR="00F96ECE">
        <w:t>the Commission can exercise jurisdiction, pursuant to Title 80 RCW, over sales of liquefied natural gas by PSE to TOTE pursuant to the TOTE Special Contract.</w:t>
      </w:r>
    </w:p>
    <w:p w:rsidR="00A51E78" w:rsidRDefault="00A51E78" w:rsidP="006D1F1E">
      <w:pPr>
        <w:pStyle w:val="normalblock"/>
        <w:keepNext/>
        <w:keepLines/>
        <w:spacing w:line="480" w:lineRule="exact"/>
        <w:ind w:firstLine="720"/>
      </w:pPr>
      <w:r>
        <w:lastRenderedPageBreak/>
        <w:t xml:space="preserve">DATED this </w:t>
      </w:r>
      <w:r w:rsidR="008A7BED">
        <w:t>2</w:t>
      </w:r>
      <w:r w:rsidR="00A51450">
        <w:t>4</w:t>
      </w:r>
      <w:r>
        <w:t xml:space="preserve">th day of </w:t>
      </w:r>
      <w:r w:rsidR="008A7BED">
        <w:t>November</w:t>
      </w:r>
      <w:r>
        <w:t>, 2012.</w:t>
      </w:r>
    </w:p>
    <w:p w:rsidR="003F4A44" w:rsidRPr="00A51E78" w:rsidRDefault="001D5734" w:rsidP="001D5734">
      <w:pPr>
        <w:pStyle w:val="righthalf"/>
        <w:keepNext/>
        <w:tabs>
          <w:tab w:val="right" w:pos="8820"/>
        </w:tabs>
        <w:spacing w:before="240"/>
        <w:ind w:right="14"/>
      </w:pPr>
      <w:r>
        <w:rPr>
          <w:b/>
        </w:rPr>
        <w:t>Respectfully submitted</w:t>
      </w:r>
      <w:r>
        <w:rPr>
          <w:b/>
        </w:rPr>
        <w:br/>
      </w:r>
      <w:r>
        <w:rPr>
          <w:b/>
        </w:rPr>
        <w:br/>
        <w:t>PERKINS COIE LLP</w:t>
      </w:r>
      <w:r>
        <w:rPr>
          <w:b/>
        </w:rPr>
        <w:br/>
      </w:r>
      <w:r>
        <w:br/>
      </w:r>
      <w:r>
        <w:br/>
        <w:t xml:space="preserve">By </w:t>
      </w:r>
      <w:r>
        <w:tab/>
      </w:r>
      <w:r>
        <w:rPr>
          <w:i/>
          <w:noProof/>
          <w:u w:val="single"/>
          <w:lang w:eastAsia="en-US"/>
        </w:rPr>
        <w:t>/s/ Jason Kuzma</w:t>
      </w:r>
      <w:r>
        <w:rPr>
          <w:u w:val="single"/>
        </w:rPr>
        <w:tab/>
      </w:r>
      <w:r>
        <w:tab/>
        <w:t>Jason Kuzma, WSBA #31830</w:t>
      </w:r>
      <w:r>
        <w:br/>
      </w:r>
      <w:r>
        <w:tab/>
        <w:t>Pamela Anderson, WSBA #37272</w:t>
      </w:r>
      <w:r>
        <w:br/>
        <w:t>Attorneys for Puget Sound Energy, Inc.</w:t>
      </w:r>
      <w:bookmarkStart w:id="37" w:name="_GoBack"/>
      <w:bookmarkEnd w:id="37"/>
    </w:p>
    <w:sectPr w:rsidR="003F4A44" w:rsidRPr="00A51E78" w:rsidSect="00060CA3">
      <w:headerReference w:type="even" r:id="rId25"/>
      <w:headerReference w:type="default" r:id="rId2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CC7" w:rsidRDefault="00F77CC7">
      <w:r>
        <w:separator/>
      </w:r>
    </w:p>
    <w:p w:rsidR="00F77CC7" w:rsidRDefault="00F77CC7"/>
  </w:endnote>
  <w:endnote w:type="continuationSeparator" w:id="0">
    <w:p w:rsidR="00F77CC7" w:rsidRDefault="00F77CC7">
      <w:r>
        <w:continuationSeparator/>
      </w:r>
    </w:p>
    <w:p w:rsidR="00F77CC7" w:rsidRDefault="00F77CC7"/>
  </w:endnote>
  <w:endnote w:type="continuationNotice" w:id="1">
    <w:p w:rsidR="00F77CC7" w:rsidRDefault="00F77C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1" w:subsetted="1" w:fontKey="{6DAF6504-A41F-4D2E-9744-E6322A37B9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CC7" w:rsidRDefault="00F77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F77CC7" w:rsidRDefault="00F77CC7">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rsidP="00B764F7">
    <w:pPr>
      <w:pStyle w:val="Footer"/>
      <w:tabs>
        <w:tab w:val="clear" w:pos="4507"/>
        <w:tab w:val="clear" w:pos="9180"/>
        <w:tab w:val="right" w:pos="9360"/>
      </w:tabs>
    </w:pPr>
    <w:r w:rsidRPr="00127AF3">
      <w:rPr>
        <w:rFonts w:ascii="Times New Roman" w:hAnsi="Times New Roman"/>
        <w:sz w:val="20"/>
      </w:rPr>
      <w:t xml:space="preserve">Brief </w:t>
    </w:r>
    <w:r w:rsidR="00820ACA">
      <w:rPr>
        <w:rFonts w:ascii="Times New Roman" w:hAnsi="Times New Roman"/>
        <w:sz w:val="20"/>
      </w:rPr>
      <w:t xml:space="preserve">(Confidential) </w:t>
    </w:r>
    <w:r w:rsidRPr="00127AF3">
      <w:rPr>
        <w:rFonts w:ascii="Times New Roman" w:hAnsi="Times New Roman"/>
        <w:sz w:val="20"/>
      </w:rPr>
      <w:t>of</w:t>
    </w:r>
    <w:r w:rsidRPr="00127AF3">
      <w:rPr>
        <w:rFonts w:ascii="Times New Roman" w:hAnsi="Times New Roman"/>
        <w:sz w:val="20"/>
      </w:rPr>
      <w:tab/>
      <w:t xml:space="preserve">Page </w:t>
    </w:r>
    <w:r w:rsidRPr="00127AF3">
      <w:rPr>
        <w:rStyle w:val="PageNumber"/>
        <w:rFonts w:ascii="Times New Roman" w:hAnsi="Times New Roman"/>
        <w:sz w:val="20"/>
      </w:rPr>
      <w:fldChar w:fldCharType="begin"/>
    </w:r>
    <w:r w:rsidRPr="00127AF3">
      <w:rPr>
        <w:rStyle w:val="PageNumber"/>
        <w:rFonts w:ascii="Times New Roman" w:hAnsi="Times New Roman"/>
        <w:sz w:val="20"/>
      </w:rPr>
      <w:instrText xml:space="preserve"> PAGE </w:instrText>
    </w:r>
    <w:r w:rsidRPr="00127AF3">
      <w:rPr>
        <w:rStyle w:val="PageNumber"/>
        <w:rFonts w:ascii="Times New Roman" w:hAnsi="Times New Roman"/>
        <w:sz w:val="20"/>
      </w:rPr>
      <w:fldChar w:fldCharType="separate"/>
    </w:r>
    <w:r w:rsidR="001D5734">
      <w:rPr>
        <w:rStyle w:val="PageNumber"/>
        <w:rFonts w:ascii="Times New Roman" w:hAnsi="Times New Roman"/>
        <w:noProof/>
        <w:sz w:val="20"/>
      </w:rPr>
      <w:t>24</w:t>
    </w:r>
    <w:r w:rsidRPr="00127AF3">
      <w:rPr>
        <w:rStyle w:val="PageNumber"/>
        <w:rFonts w:ascii="Times New Roman" w:hAnsi="Times New Roman"/>
        <w:sz w:val="20"/>
      </w:rPr>
      <w:fldChar w:fldCharType="end"/>
    </w:r>
    <w:r w:rsidRPr="00127AF3">
      <w:rPr>
        <w:rStyle w:val="PageNumber"/>
        <w:rFonts w:ascii="Times New Roman" w:hAnsi="Times New Roman"/>
        <w:sz w:val="20"/>
      </w:rPr>
      <w:t xml:space="preserve"> </w:t>
    </w:r>
  </w:p>
  <w:p w:rsidR="00820ACA" w:rsidRPr="0057202C" w:rsidRDefault="00820ACA" w:rsidP="00B764F7">
    <w:pPr>
      <w:pStyle w:val="Footer"/>
      <w:tabs>
        <w:tab w:val="clear" w:pos="4507"/>
        <w:tab w:val="clear" w:pos="9180"/>
        <w:tab w:val="right" w:pos="9360"/>
      </w:tabs>
      <w:rPr>
        <w:rStyle w:val="PageNumber"/>
        <w:rFonts w:ascii="Times New Roman" w:hAnsi="Times New Roman"/>
        <w:sz w:val="20"/>
      </w:rPr>
    </w:pPr>
    <w:r w:rsidRPr="00127AF3">
      <w:rPr>
        <w:rFonts w:ascii="Times New Roman" w:hAnsi="Times New Roman"/>
        <w:sz w:val="20"/>
      </w:rPr>
      <w:t>Puget Sound Energy, Inc.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F77CC7" w:rsidRDefault="00F77CC7">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CC7" w:rsidRDefault="00F77CC7" w:rsidP="00304EA7">
      <w:pPr>
        <w:widowControl w:val="0"/>
        <w:spacing w:line="240" w:lineRule="auto"/>
        <w:ind w:left="720"/>
      </w:pPr>
      <w:r>
        <w:separator/>
      </w:r>
    </w:p>
  </w:footnote>
  <w:footnote w:type="continuationSeparator" w:id="0">
    <w:p w:rsidR="00F77CC7" w:rsidRDefault="00F77CC7" w:rsidP="00304EA7">
      <w:pPr>
        <w:spacing w:line="240" w:lineRule="auto"/>
        <w:ind w:left="720"/>
      </w:pPr>
      <w:r>
        <w:separator/>
      </w:r>
    </w:p>
  </w:footnote>
  <w:footnote w:type="continuationNotice" w:id="1">
    <w:p w:rsidR="00F77CC7" w:rsidRPr="00304EA7" w:rsidRDefault="00F77CC7" w:rsidP="00304EA7">
      <w:pPr>
        <w:spacing w:line="240" w:lineRule="auto"/>
        <w:ind w:left="720"/>
      </w:pPr>
      <w:r>
        <w:separator/>
      </w:r>
    </w:p>
  </w:footnote>
  <w:footnote w:id="2">
    <w:p w:rsidR="00F77CC7" w:rsidRDefault="00F77CC7" w:rsidP="00C611E1">
      <w:pPr>
        <w:pStyle w:val="FootnoteText"/>
        <w:ind w:firstLine="360"/>
      </w:pPr>
      <w:r>
        <w:rPr>
          <w:rStyle w:val="FootnoteReference"/>
        </w:rPr>
        <w:footnoteRef/>
      </w:r>
      <w:r>
        <w:tab/>
        <w:t>Petition of Puget Sound Energy, Inc. for Commission Approval of a Special Contract for Providing LNG Service and a Declaratory Order Approving a Cost Allocation Methodology, dated August 11, 2015, filed in Docket No. UG-151663, at ¶ 6 (“PSE Petition”).</w:t>
      </w:r>
    </w:p>
  </w:footnote>
  <w:footnote w:id="3">
    <w:p w:rsidR="00F77CC7" w:rsidRDefault="00F77CC7" w:rsidP="00C611E1">
      <w:pPr>
        <w:pStyle w:val="FootnoteText"/>
        <w:ind w:firstLine="360"/>
      </w:pPr>
      <w:r>
        <w:rPr>
          <w:rStyle w:val="FootnoteReference"/>
        </w:rPr>
        <w:footnoteRef/>
      </w:r>
      <w:r>
        <w:tab/>
        <w:t xml:space="preserve">Riding, Exh. No. ___(CR-1CT), at page 5, lines 7-9; </w:t>
      </w:r>
      <w:r w:rsidRPr="00246105">
        <w:rPr>
          <w:i/>
        </w:rPr>
        <w:t>see also</w:t>
      </w:r>
      <w:r>
        <w:t xml:space="preserve"> Riding, </w:t>
      </w:r>
      <w:r w:rsidRPr="00246105">
        <w:t>Exh</w:t>
      </w:r>
      <w:r>
        <w:t xml:space="preserve">. </w:t>
      </w:r>
      <w:r w:rsidRPr="00246105">
        <w:t>No.</w:t>
      </w:r>
      <w:r>
        <w:t> </w:t>
      </w:r>
      <w:r w:rsidRPr="00246105">
        <w:t>___(CR-3)</w:t>
      </w:r>
      <w:r>
        <w:t xml:space="preserve"> (providing a </w:t>
      </w:r>
      <w:r w:rsidRPr="00246105">
        <w:t xml:space="preserve">depiction of PSE’s </w:t>
      </w:r>
      <w:r>
        <w:t>need identified in the 2013 IRP).</w:t>
      </w:r>
    </w:p>
  </w:footnote>
  <w:footnote w:id="4">
    <w:p w:rsidR="00F77CC7" w:rsidRDefault="00F77CC7" w:rsidP="00246105">
      <w:pPr>
        <w:pStyle w:val="FootnoteText"/>
        <w:ind w:firstLine="360"/>
      </w:pPr>
      <w:r>
        <w:rPr>
          <w:rStyle w:val="FootnoteReference"/>
        </w:rPr>
        <w:footnoteRef/>
      </w:r>
      <w:r>
        <w:tab/>
        <w:t>Riding, Exh. No. ___(CR-1CT), at page 5, lines 13-16.</w:t>
      </w:r>
    </w:p>
  </w:footnote>
  <w:footnote w:id="5">
    <w:p w:rsidR="00F77CC7" w:rsidRDefault="00F77CC7" w:rsidP="00435DA5">
      <w:pPr>
        <w:pStyle w:val="FootnoteText"/>
        <w:ind w:firstLine="360"/>
      </w:pPr>
      <w:r>
        <w:rPr>
          <w:rStyle w:val="FootnoteReference"/>
        </w:rPr>
        <w:footnoteRef/>
      </w:r>
      <w:r>
        <w:tab/>
      </w:r>
      <w:r w:rsidRPr="006E5988">
        <w:rPr>
          <w:i/>
        </w:rPr>
        <w:t>Id</w:t>
      </w:r>
      <w:r>
        <w:t>. at page 6, Figure 1.</w:t>
      </w:r>
    </w:p>
  </w:footnote>
  <w:footnote w:id="6">
    <w:p w:rsidR="00F77CC7" w:rsidRDefault="00F77CC7" w:rsidP="00435DA5">
      <w:pPr>
        <w:pStyle w:val="FootnoteText"/>
        <w:ind w:firstLine="360"/>
      </w:pPr>
      <w:r>
        <w:rPr>
          <w:rStyle w:val="FootnoteReference"/>
        </w:rPr>
        <w:footnoteRef/>
      </w:r>
      <w:r>
        <w:tab/>
        <w:t>PSE Petition at ¶ 9.</w:t>
      </w:r>
    </w:p>
  </w:footnote>
  <w:footnote w:id="7">
    <w:p w:rsidR="00F77CC7" w:rsidRDefault="00F77CC7" w:rsidP="00435DA5">
      <w:pPr>
        <w:pStyle w:val="FootnoteText"/>
        <w:ind w:firstLine="360"/>
      </w:pPr>
      <w:r>
        <w:rPr>
          <w:rStyle w:val="FootnoteReference"/>
        </w:rPr>
        <w:footnoteRef/>
      </w:r>
      <w:r>
        <w:tab/>
      </w:r>
      <w:r w:rsidRPr="006E5988">
        <w:rPr>
          <w:i/>
        </w:rPr>
        <w:t>Id</w:t>
      </w:r>
      <w:r>
        <w:t>. at ¶ 9.</w:t>
      </w:r>
    </w:p>
  </w:footnote>
  <w:footnote w:id="8">
    <w:p w:rsidR="00F77CC7" w:rsidRDefault="00F77CC7" w:rsidP="00435DA5">
      <w:pPr>
        <w:pStyle w:val="FootnoteText"/>
        <w:ind w:firstLine="360"/>
      </w:pPr>
      <w:r>
        <w:rPr>
          <w:rStyle w:val="FootnoteReference"/>
        </w:rPr>
        <w:footnoteRef/>
      </w:r>
      <w:r>
        <w:tab/>
      </w:r>
      <w:r w:rsidRPr="006E5988">
        <w:rPr>
          <w:i/>
        </w:rPr>
        <w:t>Id</w:t>
      </w:r>
      <w:r>
        <w:t>. at ¶ 9.</w:t>
      </w:r>
    </w:p>
  </w:footnote>
  <w:footnote w:id="9">
    <w:p w:rsidR="00F77CC7" w:rsidRDefault="00F77CC7" w:rsidP="00435DA5">
      <w:pPr>
        <w:pStyle w:val="FootnoteText"/>
        <w:ind w:firstLine="360"/>
      </w:pPr>
      <w:r>
        <w:rPr>
          <w:rStyle w:val="FootnoteReference"/>
        </w:rPr>
        <w:footnoteRef/>
      </w:r>
      <w:r>
        <w:tab/>
      </w:r>
      <w:r w:rsidRPr="006E5988">
        <w:rPr>
          <w:i/>
        </w:rPr>
        <w:t>Id</w:t>
      </w:r>
      <w:r>
        <w:t>. at ¶ 9.</w:t>
      </w:r>
    </w:p>
  </w:footnote>
  <w:footnote w:id="10">
    <w:p w:rsidR="00F77CC7" w:rsidRDefault="00F77CC7" w:rsidP="006E5988">
      <w:pPr>
        <w:pStyle w:val="FootnoteText"/>
        <w:ind w:firstLine="360"/>
      </w:pPr>
      <w:r>
        <w:rPr>
          <w:rStyle w:val="FootnoteReference"/>
        </w:rPr>
        <w:footnoteRef/>
      </w:r>
      <w:r>
        <w:tab/>
        <w:t>Garratt, Exh. No. ___(RG-1CT), at page 6, lines 10-11.</w:t>
      </w:r>
    </w:p>
  </w:footnote>
  <w:footnote w:id="11">
    <w:p w:rsidR="00F77CC7" w:rsidRDefault="00F77CC7" w:rsidP="00435DA5">
      <w:pPr>
        <w:pStyle w:val="FootnoteText"/>
        <w:ind w:firstLine="360"/>
      </w:pPr>
      <w:r>
        <w:rPr>
          <w:rStyle w:val="FootnoteReference"/>
        </w:rPr>
        <w:footnoteRef/>
      </w:r>
      <w:r>
        <w:tab/>
      </w:r>
      <w:r w:rsidRPr="006E5988">
        <w:rPr>
          <w:i/>
        </w:rPr>
        <w:t>Id</w:t>
      </w:r>
      <w:r>
        <w:t>. at page 6, lines 11-13.</w:t>
      </w:r>
    </w:p>
  </w:footnote>
  <w:footnote w:id="12">
    <w:p w:rsidR="00F77CC7" w:rsidRDefault="00F77CC7" w:rsidP="006E5988">
      <w:pPr>
        <w:pStyle w:val="FootnoteText"/>
        <w:ind w:firstLine="360"/>
      </w:pPr>
      <w:r>
        <w:rPr>
          <w:rStyle w:val="FootnoteReference"/>
        </w:rPr>
        <w:footnoteRef/>
      </w:r>
      <w:r>
        <w:tab/>
      </w:r>
      <w:r w:rsidRPr="006E5988">
        <w:rPr>
          <w:i/>
        </w:rPr>
        <w:t>Id</w:t>
      </w:r>
      <w:r>
        <w:t>. at page 14, lines 1-3.</w:t>
      </w:r>
    </w:p>
  </w:footnote>
  <w:footnote w:id="13">
    <w:p w:rsidR="00F77CC7" w:rsidRDefault="00F77CC7" w:rsidP="006E5988">
      <w:pPr>
        <w:pStyle w:val="FootnoteText"/>
        <w:ind w:firstLine="360"/>
      </w:pPr>
      <w:r>
        <w:rPr>
          <w:rStyle w:val="FootnoteReference"/>
        </w:rPr>
        <w:footnoteRef/>
      </w:r>
      <w:r>
        <w:tab/>
      </w:r>
      <w:r w:rsidR="000D47B4">
        <w:t xml:space="preserve">Garratt, Exh. No. ___(RG-1CT), </w:t>
      </w:r>
      <w:r>
        <w:t>at page 14, lines 3-4.</w:t>
      </w:r>
    </w:p>
  </w:footnote>
  <w:footnote w:id="14">
    <w:p w:rsidR="00F77CC7" w:rsidRDefault="00F77CC7" w:rsidP="006E5988">
      <w:pPr>
        <w:pStyle w:val="FootnoteText"/>
        <w:ind w:firstLine="360"/>
      </w:pPr>
      <w:r>
        <w:rPr>
          <w:rStyle w:val="FootnoteReference"/>
        </w:rPr>
        <w:footnoteRef/>
      </w:r>
      <w:r>
        <w:tab/>
      </w:r>
      <w:r w:rsidRPr="006E5988">
        <w:rPr>
          <w:i/>
        </w:rPr>
        <w:t>Id</w:t>
      </w:r>
      <w:r>
        <w:t>. at page 14, lines 4-6.</w:t>
      </w:r>
    </w:p>
  </w:footnote>
  <w:footnote w:id="15">
    <w:p w:rsidR="00F77CC7" w:rsidRDefault="00F77CC7" w:rsidP="000B41C0">
      <w:pPr>
        <w:pStyle w:val="FootnoteText"/>
        <w:ind w:firstLine="360"/>
      </w:pPr>
      <w:r>
        <w:rPr>
          <w:rStyle w:val="FootnoteReference"/>
        </w:rPr>
        <w:footnoteRef/>
      </w:r>
      <w:r>
        <w:tab/>
        <w:t xml:space="preserve">Riding, </w:t>
      </w:r>
      <w:r w:rsidRPr="000B41C0">
        <w:t>Exh. No.</w:t>
      </w:r>
      <w:r>
        <w:t> </w:t>
      </w:r>
      <w:r w:rsidRPr="000B41C0">
        <w:t>___(CR-1CT) at page</w:t>
      </w:r>
      <w:r>
        <w:t> </w:t>
      </w:r>
      <w:r w:rsidRPr="000B41C0">
        <w:t>10, lines</w:t>
      </w:r>
      <w:r>
        <w:t> </w:t>
      </w:r>
      <w:r w:rsidRPr="000B41C0">
        <w:t>3-5.</w:t>
      </w:r>
    </w:p>
  </w:footnote>
  <w:footnote w:id="16">
    <w:p w:rsidR="00F77CC7" w:rsidRDefault="00F77CC7" w:rsidP="000B41C0">
      <w:pPr>
        <w:pStyle w:val="FootnoteText"/>
        <w:ind w:firstLine="360"/>
      </w:pPr>
      <w:r>
        <w:rPr>
          <w:rStyle w:val="FootnoteReference"/>
        </w:rPr>
        <w:footnoteRef/>
      </w:r>
      <w:r>
        <w:tab/>
      </w:r>
      <w:r w:rsidRPr="000B41C0">
        <w:rPr>
          <w:i/>
        </w:rPr>
        <w:t>Id</w:t>
      </w:r>
      <w:r w:rsidRPr="000B41C0">
        <w:t>. at page 10, lines 14-17.</w:t>
      </w:r>
    </w:p>
  </w:footnote>
  <w:footnote w:id="17">
    <w:p w:rsidR="00F77CC7" w:rsidRDefault="00F77CC7" w:rsidP="000B41C0">
      <w:pPr>
        <w:pStyle w:val="FootnoteText"/>
        <w:ind w:firstLine="360"/>
      </w:pPr>
      <w:r>
        <w:rPr>
          <w:rStyle w:val="FootnoteReference"/>
        </w:rPr>
        <w:footnoteRef/>
      </w:r>
      <w:r>
        <w:tab/>
      </w:r>
      <w:r w:rsidRPr="000B41C0">
        <w:rPr>
          <w:i/>
        </w:rPr>
        <w:t>Id</w:t>
      </w:r>
      <w:r w:rsidRPr="000B41C0">
        <w:t>. at page 10, lines 1</w:t>
      </w:r>
      <w:r>
        <w:t>7</w:t>
      </w:r>
      <w:r w:rsidRPr="000B41C0">
        <w:t>-1</w:t>
      </w:r>
      <w:r>
        <w:t>9</w:t>
      </w:r>
      <w:r w:rsidRPr="000B41C0">
        <w:t>.</w:t>
      </w:r>
    </w:p>
  </w:footnote>
  <w:footnote w:id="18">
    <w:p w:rsidR="00F77CC7" w:rsidRDefault="00F77CC7" w:rsidP="003B1886">
      <w:pPr>
        <w:pStyle w:val="FootnoteText"/>
        <w:ind w:firstLine="360"/>
      </w:pPr>
      <w:r>
        <w:rPr>
          <w:rStyle w:val="FootnoteReference"/>
        </w:rPr>
        <w:footnoteRef/>
      </w:r>
      <w:r>
        <w:tab/>
        <w:t>Garratt, Exh. No. ___(RG-1CT)</w:t>
      </w:r>
      <w:r w:rsidR="000D47B4">
        <w:t>,</w:t>
      </w:r>
      <w:r>
        <w:t xml:space="preserve"> at page 10, line 21, through page 11, line 2</w:t>
      </w:r>
      <w:r w:rsidRPr="000B41C0">
        <w:t>.</w:t>
      </w:r>
    </w:p>
  </w:footnote>
  <w:footnote w:id="19">
    <w:p w:rsidR="00F77CC7" w:rsidRDefault="00F77CC7" w:rsidP="003B1886">
      <w:pPr>
        <w:pStyle w:val="FootnoteText"/>
        <w:ind w:firstLine="360"/>
      </w:pPr>
      <w:r>
        <w:rPr>
          <w:rStyle w:val="FootnoteReference"/>
        </w:rPr>
        <w:footnoteRef/>
      </w:r>
      <w:r>
        <w:tab/>
      </w:r>
      <w:r w:rsidRPr="003B1886">
        <w:rPr>
          <w:i/>
        </w:rPr>
        <w:t>Id</w:t>
      </w:r>
      <w:r>
        <w:t>. at page 14, lines 11-14</w:t>
      </w:r>
      <w:r w:rsidRPr="000B41C0">
        <w:t>.</w:t>
      </w:r>
    </w:p>
  </w:footnote>
  <w:footnote w:id="20">
    <w:p w:rsidR="00F77CC7" w:rsidRDefault="00F77CC7" w:rsidP="003B1886">
      <w:pPr>
        <w:pStyle w:val="FootnoteText"/>
        <w:ind w:firstLine="360"/>
      </w:pPr>
      <w:r>
        <w:rPr>
          <w:rStyle w:val="FootnoteReference"/>
        </w:rPr>
        <w:footnoteRef/>
      </w:r>
      <w:r>
        <w:tab/>
      </w:r>
      <w:r w:rsidRPr="003B1886">
        <w:rPr>
          <w:i/>
        </w:rPr>
        <w:t>Id</w:t>
      </w:r>
      <w:r>
        <w:t>. at page 14, lines 15-16</w:t>
      </w:r>
      <w:r w:rsidRPr="000B41C0">
        <w:t>.</w:t>
      </w:r>
    </w:p>
  </w:footnote>
  <w:footnote w:id="21">
    <w:p w:rsidR="00F77CC7" w:rsidRDefault="00F77CC7" w:rsidP="00DF665E">
      <w:pPr>
        <w:pStyle w:val="FootnoteText"/>
        <w:ind w:firstLine="360"/>
      </w:pPr>
      <w:r>
        <w:rPr>
          <w:rStyle w:val="FootnoteReference"/>
        </w:rPr>
        <w:footnoteRef/>
      </w:r>
      <w:r>
        <w:tab/>
      </w:r>
      <w:r w:rsidR="000D47B4">
        <w:t xml:space="preserve">Garratt, Exh. No. ___(RG-1CT), at </w:t>
      </w:r>
      <w:r>
        <w:t>page 14, lines 16-17</w:t>
      </w:r>
      <w:r w:rsidRPr="000B41C0">
        <w:t>.</w:t>
      </w:r>
    </w:p>
  </w:footnote>
  <w:footnote w:id="22">
    <w:p w:rsidR="00F77CC7" w:rsidRDefault="00F77CC7" w:rsidP="003B1886">
      <w:pPr>
        <w:pStyle w:val="FootnoteText"/>
        <w:ind w:firstLine="360"/>
      </w:pPr>
      <w:r>
        <w:rPr>
          <w:rStyle w:val="FootnoteReference"/>
        </w:rPr>
        <w:footnoteRef/>
      </w:r>
      <w:r>
        <w:tab/>
      </w:r>
      <w:r w:rsidRPr="003B1886">
        <w:rPr>
          <w:i/>
        </w:rPr>
        <w:t>Id</w:t>
      </w:r>
      <w:r>
        <w:t>. at page 14, lines 17-20</w:t>
      </w:r>
      <w:r w:rsidRPr="000B41C0">
        <w:t>.</w:t>
      </w:r>
    </w:p>
  </w:footnote>
  <w:footnote w:id="23">
    <w:p w:rsidR="00F77CC7" w:rsidRDefault="00F77CC7" w:rsidP="003B1886">
      <w:pPr>
        <w:pStyle w:val="FootnoteText"/>
        <w:ind w:firstLine="360"/>
      </w:pPr>
      <w:r>
        <w:rPr>
          <w:rStyle w:val="FootnoteReference"/>
        </w:rPr>
        <w:footnoteRef/>
      </w:r>
      <w:r>
        <w:tab/>
      </w:r>
      <w:r w:rsidR="000D47B4" w:rsidRPr="003B1886">
        <w:rPr>
          <w:i/>
        </w:rPr>
        <w:t>Id</w:t>
      </w:r>
      <w:r w:rsidR="000D47B4">
        <w:t xml:space="preserve">. </w:t>
      </w:r>
      <w:r>
        <w:t xml:space="preserve">at page 11, lines 2-4; </w:t>
      </w:r>
      <w:r w:rsidRPr="003B1886">
        <w:rPr>
          <w:i/>
        </w:rPr>
        <w:t>see also</w:t>
      </w:r>
      <w:r>
        <w:rPr>
          <w:i/>
        </w:rPr>
        <w:t xml:space="preserve"> generally</w:t>
      </w:r>
      <w:r>
        <w:t xml:space="preserve"> Anderson, Exh. No. ___(LEA-1T)</w:t>
      </w:r>
      <w:r w:rsidRPr="000B41C0">
        <w:t>.</w:t>
      </w:r>
    </w:p>
  </w:footnote>
  <w:footnote w:id="24">
    <w:p w:rsidR="00F77CC7" w:rsidRDefault="00F77CC7" w:rsidP="00C11BCC">
      <w:pPr>
        <w:pStyle w:val="FootnoteText"/>
        <w:ind w:firstLine="360"/>
      </w:pPr>
      <w:r>
        <w:rPr>
          <w:rStyle w:val="FootnoteReference"/>
        </w:rPr>
        <w:footnoteRef/>
      </w:r>
      <w:r>
        <w:tab/>
        <w:t>Garratt, Exh. No. ___(RG-1CT) at page 16, lines 20-21</w:t>
      </w:r>
      <w:r w:rsidRPr="000B41C0">
        <w:t>.</w:t>
      </w:r>
    </w:p>
  </w:footnote>
  <w:footnote w:id="25">
    <w:p w:rsidR="00F77CC7" w:rsidRDefault="00F77CC7" w:rsidP="00C11BCC">
      <w:pPr>
        <w:pStyle w:val="FootnoteText"/>
        <w:ind w:firstLine="360"/>
      </w:pPr>
      <w:r>
        <w:rPr>
          <w:rStyle w:val="FootnoteReference"/>
        </w:rPr>
        <w:footnoteRef/>
      </w:r>
      <w:r>
        <w:tab/>
      </w:r>
      <w:r w:rsidRPr="00C11BCC">
        <w:rPr>
          <w:i/>
        </w:rPr>
        <w:t>Id</w:t>
      </w:r>
      <w:r>
        <w:t>. at page 17, line 4</w:t>
      </w:r>
      <w:r w:rsidRPr="000B41C0">
        <w:t>.</w:t>
      </w:r>
    </w:p>
  </w:footnote>
  <w:footnote w:id="26">
    <w:p w:rsidR="00F77CC7" w:rsidRDefault="00F77CC7" w:rsidP="00C11BCC">
      <w:pPr>
        <w:pStyle w:val="FootnoteText"/>
        <w:ind w:firstLine="360"/>
      </w:pPr>
      <w:r>
        <w:rPr>
          <w:rStyle w:val="FootnoteReference"/>
        </w:rPr>
        <w:footnoteRef/>
      </w:r>
      <w:r>
        <w:tab/>
      </w:r>
      <w:r w:rsidRPr="00C11BCC">
        <w:rPr>
          <w:i/>
        </w:rPr>
        <w:t>Id</w:t>
      </w:r>
      <w:r>
        <w:t>. at page 17, lines 4-6</w:t>
      </w:r>
      <w:r w:rsidRPr="000B41C0">
        <w:t>.</w:t>
      </w:r>
    </w:p>
  </w:footnote>
  <w:footnote w:id="27">
    <w:p w:rsidR="00F77CC7" w:rsidRDefault="00F77CC7" w:rsidP="00C11BCC">
      <w:pPr>
        <w:pStyle w:val="FootnoteText"/>
        <w:ind w:firstLine="360"/>
      </w:pPr>
      <w:r>
        <w:rPr>
          <w:rStyle w:val="FootnoteReference"/>
        </w:rPr>
        <w:footnoteRef/>
      </w:r>
      <w:r>
        <w:tab/>
      </w:r>
      <w:r w:rsidRPr="00C11BCC">
        <w:rPr>
          <w:i/>
        </w:rPr>
        <w:t>Id</w:t>
      </w:r>
      <w:r>
        <w:t xml:space="preserve">. at page 17, lines 6-7; </w:t>
      </w:r>
      <w:r w:rsidRPr="00C11BCC">
        <w:rPr>
          <w:i/>
        </w:rPr>
        <w:t>see also</w:t>
      </w:r>
      <w:r>
        <w:t xml:space="preserve"> Riding, Exh. No. ___(CR-4C) at page 78 (specifying that the main components of the LNG that PSE will provide to TOTE under the TOTE Special Contract include </w:t>
      </w:r>
      <w:r w:rsidRPr="00C11BCC">
        <w:t>CH</w:t>
      </w:r>
      <w:r w:rsidRPr="00C11BCC">
        <w:rPr>
          <w:vertAlign w:val="subscript"/>
        </w:rPr>
        <w:t>4</w:t>
      </w:r>
      <w:r w:rsidRPr="00C11BCC">
        <w:t xml:space="preserve"> (methane), C</w:t>
      </w:r>
      <w:r w:rsidRPr="00C11BCC">
        <w:rPr>
          <w:vertAlign w:val="subscript"/>
        </w:rPr>
        <w:t>2</w:t>
      </w:r>
      <w:r w:rsidRPr="00C11BCC">
        <w:t>H</w:t>
      </w:r>
      <w:r w:rsidRPr="00C11BCC">
        <w:rPr>
          <w:vertAlign w:val="subscript"/>
        </w:rPr>
        <w:t>6</w:t>
      </w:r>
      <w:r>
        <w:t xml:space="preserve"> (ethane)</w:t>
      </w:r>
      <w:r w:rsidRPr="00C11BCC">
        <w:t>, C</w:t>
      </w:r>
      <w:r w:rsidRPr="00C11BCC">
        <w:rPr>
          <w:vertAlign w:val="subscript"/>
        </w:rPr>
        <w:t>3</w:t>
      </w:r>
      <w:r w:rsidRPr="00C11BCC">
        <w:t>H</w:t>
      </w:r>
      <w:r w:rsidRPr="00C11BCC">
        <w:rPr>
          <w:vertAlign w:val="subscript"/>
        </w:rPr>
        <w:t>8</w:t>
      </w:r>
      <w:r>
        <w:t xml:space="preserve"> (propane)</w:t>
      </w:r>
      <w:r w:rsidRPr="00C11BCC">
        <w:t>, C</w:t>
      </w:r>
      <w:r w:rsidRPr="00C11BCC">
        <w:rPr>
          <w:vertAlign w:val="subscript"/>
        </w:rPr>
        <w:t>4</w:t>
      </w:r>
      <w:r w:rsidRPr="00C11BCC">
        <w:t>H</w:t>
      </w:r>
      <w:r w:rsidRPr="00C11BCC">
        <w:rPr>
          <w:vertAlign w:val="subscript"/>
        </w:rPr>
        <w:t>10</w:t>
      </w:r>
      <w:r>
        <w:t xml:space="preserve"> (butane)</w:t>
      </w:r>
      <w:r w:rsidRPr="00C11BCC">
        <w:t>, C</w:t>
      </w:r>
      <w:r w:rsidRPr="00C11BCC">
        <w:rPr>
          <w:vertAlign w:val="subscript"/>
        </w:rPr>
        <w:t>5</w:t>
      </w:r>
      <w:r w:rsidRPr="00C11BCC">
        <w:t>H</w:t>
      </w:r>
      <w:r w:rsidRPr="00C11BCC">
        <w:rPr>
          <w:vertAlign w:val="subscript"/>
        </w:rPr>
        <w:t>12</w:t>
      </w:r>
      <w:r>
        <w:t xml:space="preserve"> (pentane)</w:t>
      </w:r>
      <w:r w:rsidRPr="00C11BCC">
        <w:t>, and N</w:t>
      </w:r>
      <w:r w:rsidRPr="00C11BCC">
        <w:rPr>
          <w:vertAlign w:val="subscript"/>
        </w:rPr>
        <w:t>2</w:t>
      </w:r>
      <w:r w:rsidRPr="00C11BCC">
        <w:t xml:space="preserve"> (nitrogen)</w:t>
      </w:r>
      <w:r>
        <w:t>)</w:t>
      </w:r>
      <w:r w:rsidRPr="00C11BCC">
        <w:t>.</w:t>
      </w:r>
    </w:p>
  </w:footnote>
  <w:footnote w:id="28">
    <w:p w:rsidR="00F77CC7" w:rsidRDefault="00F77CC7" w:rsidP="005B021F">
      <w:pPr>
        <w:pStyle w:val="FootnoteText"/>
        <w:ind w:firstLine="360"/>
      </w:pPr>
      <w:r>
        <w:rPr>
          <w:rStyle w:val="FootnoteReference"/>
        </w:rPr>
        <w:footnoteRef/>
      </w:r>
      <w:r>
        <w:tab/>
        <w:t>Garratt, Exh. No. ___(RG-1CT), at page 17, lines 11-13</w:t>
      </w:r>
      <w:r w:rsidRPr="000B41C0">
        <w:t>.</w:t>
      </w:r>
    </w:p>
  </w:footnote>
  <w:footnote w:id="29">
    <w:p w:rsidR="00F77CC7" w:rsidRDefault="00F77CC7" w:rsidP="005B021F">
      <w:pPr>
        <w:pStyle w:val="FootnoteText"/>
        <w:ind w:firstLine="360"/>
      </w:pPr>
      <w:r>
        <w:rPr>
          <w:rStyle w:val="FootnoteReference"/>
        </w:rPr>
        <w:footnoteRef/>
      </w:r>
      <w:r>
        <w:tab/>
      </w:r>
      <w:r w:rsidRPr="00C11BCC">
        <w:rPr>
          <w:i/>
        </w:rPr>
        <w:t>Id</w:t>
      </w:r>
      <w:r>
        <w:t>. at page 17, lines 12-14</w:t>
      </w:r>
      <w:r w:rsidRPr="000B41C0">
        <w:t>.</w:t>
      </w:r>
    </w:p>
  </w:footnote>
  <w:footnote w:id="30">
    <w:p w:rsidR="00F77CC7" w:rsidRDefault="00F77CC7" w:rsidP="005B021F">
      <w:pPr>
        <w:pStyle w:val="FootnoteText"/>
        <w:ind w:firstLine="360"/>
      </w:pPr>
      <w:r>
        <w:rPr>
          <w:rStyle w:val="FootnoteReference"/>
        </w:rPr>
        <w:footnoteRef/>
      </w:r>
      <w:r>
        <w:tab/>
      </w:r>
      <w:r w:rsidRPr="00C11BCC">
        <w:rPr>
          <w:i/>
        </w:rPr>
        <w:t>Id</w:t>
      </w:r>
      <w:r>
        <w:t>. at page 17, lines 14-16</w:t>
      </w:r>
      <w:r w:rsidRPr="000B41C0">
        <w:t>.</w:t>
      </w:r>
    </w:p>
  </w:footnote>
  <w:footnote w:id="31">
    <w:p w:rsidR="00F77CC7" w:rsidRDefault="00F77CC7" w:rsidP="005B021F">
      <w:pPr>
        <w:pStyle w:val="FootnoteText"/>
        <w:ind w:firstLine="360"/>
      </w:pPr>
      <w:r>
        <w:rPr>
          <w:rStyle w:val="FootnoteReference"/>
        </w:rPr>
        <w:footnoteRef/>
      </w:r>
      <w:r>
        <w:tab/>
      </w:r>
      <w:r w:rsidR="000D47B4">
        <w:t xml:space="preserve">Garratt, Exh. No. ___(RG-1CT), </w:t>
      </w:r>
      <w:r>
        <w:t>at page 17, lines 19-21</w:t>
      </w:r>
      <w:r w:rsidRPr="00C11BCC">
        <w:t>.</w:t>
      </w:r>
    </w:p>
  </w:footnote>
  <w:footnote w:id="32">
    <w:p w:rsidR="00F77CC7" w:rsidRDefault="00F77CC7" w:rsidP="005B021F">
      <w:pPr>
        <w:pStyle w:val="FootnoteText"/>
        <w:ind w:firstLine="360"/>
      </w:pPr>
      <w:r>
        <w:rPr>
          <w:rStyle w:val="FootnoteReference"/>
        </w:rPr>
        <w:footnoteRef/>
      </w:r>
      <w:r>
        <w:tab/>
      </w:r>
      <w:r w:rsidRPr="00C11BCC">
        <w:rPr>
          <w:i/>
        </w:rPr>
        <w:t>Id</w:t>
      </w:r>
      <w:r>
        <w:t>. at page 17, lines 21-22</w:t>
      </w:r>
      <w:r w:rsidRPr="00C11BCC">
        <w:t>.</w:t>
      </w:r>
    </w:p>
  </w:footnote>
  <w:footnote w:id="33">
    <w:p w:rsidR="00F77CC7" w:rsidRDefault="00F77CC7" w:rsidP="005B021F">
      <w:pPr>
        <w:pStyle w:val="FootnoteText"/>
        <w:ind w:firstLine="360"/>
      </w:pPr>
      <w:r>
        <w:rPr>
          <w:rStyle w:val="FootnoteReference"/>
        </w:rPr>
        <w:footnoteRef/>
      </w:r>
      <w:r>
        <w:tab/>
      </w:r>
      <w:r w:rsidRPr="00C11BCC">
        <w:rPr>
          <w:i/>
        </w:rPr>
        <w:t>Id</w:t>
      </w:r>
      <w:r>
        <w:t>. at page 17, line 22, through page 18, line 1</w:t>
      </w:r>
      <w:r w:rsidRPr="00C11BCC">
        <w:t>.</w:t>
      </w:r>
    </w:p>
  </w:footnote>
  <w:footnote w:id="34">
    <w:p w:rsidR="00F77CC7" w:rsidRDefault="00F77CC7" w:rsidP="005B021F">
      <w:pPr>
        <w:pStyle w:val="FootnoteText"/>
        <w:ind w:firstLine="360"/>
      </w:pPr>
      <w:r>
        <w:rPr>
          <w:rStyle w:val="FootnoteReference"/>
        </w:rPr>
        <w:footnoteRef/>
      </w:r>
      <w:r>
        <w:tab/>
      </w:r>
      <w:r w:rsidRPr="00C11BCC">
        <w:rPr>
          <w:i/>
        </w:rPr>
        <w:t>Id</w:t>
      </w:r>
      <w:r>
        <w:t>. at page 18, line 1</w:t>
      </w:r>
      <w:r w:rsidRPr="00C11BCC">
        <w:t>.</w:t>
      </w:r>
    </w:p>
  </w:footnote>
  <w:footnote w:id="35">
    <w:p w:rsidR="00F77CC7" w:rsidRDefault="00F77CC7" w:rsidP="0037520C">
      <w:pPr>
        <w:pStyle w:val="FootnoteText"/>
        <w:ind w:firstLine="360"/>
      </w:pPr>
      <w:r>
        <w:rPr>
          <w:rStyle w:val="FootnoteReference"/>
        </w:rPr>
        <w:footnoteRef/>
      </w:r>
      <w:r>
        <w:tab/>
      </w:r>
      <w:r w:rsidRPr="00C11BCC">
        <w:rPr>
          <w:i/>
        </w:rPr>
        <w:t>Id</w:t>
      </w:r>
      <w:r>
        <w:t>. at page 18, lines 10-12</w:t>
      </w:r>
      <w:r w:rsidRPr="00C11BCC">
        <w:t>.</w:t>
      </w:r>
    </w:p>
  </w:footnote>
  <w:footnote w:id="36">
    <w:p w:rsidR="00F77CC7" w:rsidRDefault="00F77CC7" w:rsidP="0037520C">
      <w:pPr>
        <w:pStyle w:val="FootnoteText"/>
        <w:ind w:firstLine="360"/>
      </w:pPr>
      <w:r>
        <w:rPr>
          <w:rStyle w:val="FootnoteReference"/>
        </w:rPr>
        <w:footnoteRef/>
      </w:r>
      <w:r>
        <w:tab/>
      </w:r>
      <w:r w:rsidRPr="00C11BCC">
        <w:rPr>
          <w:i/>
        </w:rPr>
        <w:t>Id</w:t>
      </w:r>
      <w:r>
        <w:t>. at page 18, lines 16-17</w:t>
      </w:r>
      <w:r w:rsidRPr="00C11BCC">
        <w:t>.</w:t>
      </w:r>
    </w:p>
  </w:footnote>
  <w:footnote w:id="37">
    <w:p w:rsidR="00F77CC7" w:rsidRDefault="00F77CC7" w:rsidP="0037520C">
      <w:pPr>
        <w:pStyle w:val="FootnoteText"/>
        <w:ind w:firstLine="360"/>
      </w:pPr>
      <w:r>
        <w:rPr>
          <w:rStyle w:val="FootnoteReference"/>
        </w:rPr>
        <w:footnoteRef/>
      </w:r>
      <w:r>
        <w:tab/>
      </w:r>
      <w:r w:rsidRPr="00C11BCC">
        <w:rPr>
          <w:i/>
        </w:rPr>
        <w:t>Id</w:t>
      </w:r>
      <w:r>
        <w:t>. at page 18, lines 17-20</w:t>
      </w:r>
      <w:r w:rsidRPr="00C11BCC">
        <w:t>.</w:t>
      </w:r>
    </w:p>
  </w:footnote>
  <w:footnote w:id="38">
    <w:p w:rsidR="00F77CC7" w:rsidRDefault="00F77CC7" w:rsidP="0037520C">
      <w:pPr>
        <w:pStyle w:val="FootnoteText"/>
        <w:ind w:firstLine="360"/>
      </w:pPr>
      <w:r>
        <w:rPr>
          <w:rStyle w:val="FootnoteReference"/>
        </w:rPr>
        <w:footnoteRef/>
      </w:r>
      <w:r>
        <w:tab/>
      </w:r>
      <w:r w:rsidRPr="00C11BCC">
        <w:rPr>
          <w:i/>
        </w:rPr>
        <w:t>Id</w:t>
      </w:r>
      <w:r>
        <w:t>. at page 18, lines 20-22</w:t>
      </w:r>
      <w:r w:rsidRPr="00C11BCC">
        <w:t>.</w:t>
      </w:r>
    </w:p>
  </w:footnote>
  <w:footnote w:id="39">
    <w:p w:rsidR="00F77CC7" w:rsidRDefault="00F77CC7" w:rsidP="0037520C">
      <w:pPr>
        <w:pStyle w:val="FootnoteText"/>
        <w:ind w:firstLine="360"/>
      </w:pPr>
      <w:r>
        <w:rPr>
          <w:rStyle w:val="FootnoteReference"/>
        </w:rPr>
        <w:footnoteRef/>
      </w:r>
      <w:r>
        <w:tab/>
      </w:r>
      <w:r w:rsidRPr="00C11BCC">
        <w:rPr>
          <w:i/>
        </w:rPr>
        <w:t>Id</w:t>
      </w:r>
      <w:r>
        <w:t>. at page 19, lines 3-4</w:t>
      </w:r>
      <w:r w:rsidRPr="00C11BCC">
        <w:t>.</w:t>
      </w:r>
    </w:p>
  </w:footnote>
  <w:footnote w:id="40">
    <w:p w:rsidR="00F77CC7" w:rsidRDefault="00F77CC7" w:rsidP="0037520C">
      <w:pPr>
        <w:pStyle w:val="FootnoteText"/>
        <w:ind w:firstLine="360"/>
      </w:pPr>
      <w:r>
        <w:rPr>
          <w:rStyle w:val="FootnoteReference"/>
        </w:rPr>
        <w:footnoteRef/>
      </w:r>
      <w:r>
        <w:tab/>
      </w:r>
      <w:r w:rsidRPr="00C11BCC">
        <w:rPr>
          <w:i/>
        </w:rPr>
        <w:t>Id</w:t>
      </w:r>
      <w:r>
        <w:t>. at page 19, lines 4-6</w:t>
      </w:r>
      <w:r w:rsidRPr="00C11BCC">
        <w:t>.</w:t>
      </w:r>
    </w:p>
  </w:footnote>
  <w:footnote w:id="41">
    <w:p w:rsidR="00F77CC7" w:rsidRDefault="00F77CC7" w:rsidP="0037520C">
      <w:pPr>
        <w:pStyle w:val="FootnoteText"/>
        <w:ind w:firstLine="360"/>
      </w:pPr>
      <w:r>
        <w:rPr>
          <w:rStyle w:val="FootnoteReference"/>
        </w:rPr>
        <w:footnoteRef/>
      </w:r>
      <w:r>
        <w:tab/>
      </w:r>
      <w:r w:rsidRPr="00C11BCC">
        <w:rPr>
          <w:i/>
        </w:rPr>
        <w:t>Id</w:t>
      </w:r>
      <w:r>
        <w:t>. at page 19, lines 10-11</w:t>
      </w:r>
      <w:r w:rsidRPr="00C11BCC">
        <w:t>.</w:t>
      </w:r>
    </w:p>
  </w:footnote>
  <w:footnote w:id="42">
    <w:p w:rsidR="00F77CC7" w:rsidRDefault="00F77CC7" w:rsidP="0037520C">
      <w:pPr>
        <w:pStyle w:val="FootnoteText"/>
        <w:ind w:firstLine="360"/>
      </w:pPr>
      <w:r>
        <w:rPr>
          <w:rStyle w:val="FootnoteReference"/>
        </w:rPr>
        <w:footnoteRef/>
      </w:r>
      <w:r>
        <w:tab/>
      </w:r>
      <w:r w:rsidRPr="00C11BCC">
        <w:rPr>
          <w:i/>
        </w:rPr>
        <w:t>Id</w:t>
      </w:r>
      <w:r>
        <w:t>. at page 19, lines 11-12</w:t>
      </w:r>
      <w:r w:rsidRPr="00C11BCC">
        <w:t>.</w:t>
      </w:r>
    </w:p>
  </w:footnote>
  <w:footnote w:id="43">
    <w:p w:rsidR="00F77CC7" w:rsidRDefault="00F77CC7" w:rsidP="0037520C">
      <w:pPr>
        <w:pStyle w:val="FootnoteText"/>
        <w:ind w:firstLine="360"/>
      </w:pPr>
      <w:r>
        <w:rPr>
          <w:rStyle w:val="FootnoteReference"/>
        </w:rPr>
        <w:footnoteRef/>
      </w:r>
      <w:r>
        <w:tab/>
      </w:r>
      <w:r w:rsidR="000D47B4">
        <w:t xml:space="preserve">Garratt, Exh. No. ___(RG-1CT), </w:t>
      </w:r>
      <w:r>
        <w:t>at page 20, lines 4-7</w:t>
      </w:r>
      <w:r w:rsidRPr="00C11BCC">
        <w:t>.</w:t>
      </w:r>
    </w:p>
  </w:footnote>
  <w:footnote w:id="44">
    <w:p w:rsidR="00F77CC7" w:rsidRDefault="00F77CC7" w:rsidP="0037520C">
      <w:pPr>
        <w:pStyle w:val="FootnoteText"/>
        <w:ind w:firstLine="360"/>
      </w:pPr>
      <w:r>
        <w:rPr>
          <w:rStyle w:val="FootnoteReference"/>
        </w:rPr>
        <w:footnoteRef/>
      </w:r>
      <w:r>
        <w:tab/>
      </w:r>
      <w:r w:rsidRPr="00C11BCC">
        <w:rPr>
          <w:i/>
        </w:rPr>
        <w:t>Id</w:t>
      </w:r>
      <w:r>
        <w:t>. at page 20, lines 10-11.</w:t>
      </w:r>
    </w:p>
  </w:footnote>
  <w:footnote w:id="45">
    <w:p w:rsidR="00F77CC7" w:rsidRDefault="00F77CC7" w:rsidP="0037520C">
      <w:pPr>
        <w:pStyle w:val="FootnoteText"/>
        <w:ind w:firstLine="360"/>
      </w:pPr>
      <w:r>
        <w:rPr>
          <w:rStyle w:val="FootnoteReference"/>
        </w:rPr>
        <w:footnoteRef/>
      </w:r>
      <w:r>
        <w:tab/>
      </w:r>
      <w:r w:rsidRPr="00C11BCC">
        <w:rPr>
          <w:i/>
        </w:rPr>
        <w:t>Id</w:t>
      </w:r>
      <w:r>
        <w:t>. at page 20, line 11.</w:t>
      </w:r>
    </w:p>
  </w:footnote>
  <w:footnote w:id="46">
    <w:p w:rsidR="00F77CC7" w:rsidRDefault="00F77CC7" w:rsidP="0037520C">
      <w:pPr>
        <w:pStyle w:val="FootnoteText"/>
        <w:ind w:firstLine="360"/>
      </w:pPr>
      <w:r>
        <w:rPr>
          <w:rStyle w:val="FootnoteReference"/>
        </w:rPr>
        <w:footnoteRef/>
      </w:r>
      <w:r>
        <w:tab/>
      </w:r>
      <w:r w:rsidRPr="00C11BCC">
        <w:rPr>
          <w:i/>
        </w:rPr>
        <w:t>Id</w:t>
      </w:r>
      <w:r>
        <w:t>. at page 20, lines 11-13.</w:t>
      </w:r>
    </w:p>
  </w:footnote>
  <w:footnote w:id="47">
    <w:p w:rsidR="00F77CC7" w:rsidRDefault="00F77CC7" w:rsidP="00D80DC1">
      <w:pPr>
        <w:pStyle w:val="FootnoteText"/>
        <w:ind w:firstLine="360"/>
      </w:pPr>
      <w:r>
        <w:rPr>
          <w:rStyle w:val="FootnoteReference"/>
        </w:rPr>
        <w:footnoteRef/>
      </w:r>
      <w:r>
        <w:tab/>
        <w:t>Riding, Exh. No. ___(CR-1CT), at page 23, lines 4-5.</w:t>
      </w:r>
    </w:p>
  </w:footnote>
  <w:footnote w:id="48">
    <w:p w:rsidR="00F77CC7" w:rsidRDefault="00F77CC7" w:rsidP="00D80DC1">
      <w:pPr>
        <w:pStyle w:val="FootnoteText"/>
        <w:ind w:firstLine="360"/>
      </w:pPr>
      <w:r>
        <w:rPr>
          <w:rStyle w:val="FootnoteReference"/>
        </w:rPr>
        <w:footnoteRef/>
      </w:r>
      <w:r>
        <w:tab/>
      </w:r>
      <w:r w:rsidRPr="00C11BCC">
        <w:rPr>
          <w:i/>
        </w:rPr>
        <w:t>Id</w:t>
      </w:r>
      <w:r>
        <w:t>. at page 23, lines 5-7.</w:t>
      </w:r>
    </w:p>
  </w:footnote>
  <w:footnote w:id="49">
    <w:p w:rsidR="00F77CC7" w:rsidRDefault="00F77CC7" w:rsidP="00D80DC1">
      <w:pPr>
        <w:pStyle w:val="FootnoteText"/>
        <w:ind w:firstLine="360"/>
      </w:pPr>
      <w:r>
        <w:rPr>
          <w:rStyle w:val="FootnoteReference"/>
        </w:rPr>
        <w:footnoteRef/>
      </w:r>
      <w:r>
        <w:tab/>
      </w:r>
      <w:r w:rsidRPr="00C11BCC">
        <w:rPr>
          <w:i/>
        </w:rPr>
        <w:t>Id</w:t>
      </w:r>
      <w:r>
        <w:t>. at page 23, lines 7-9.</w:t>
      </w:r>
    </w:p>
  </w:footnote>
  <w:footnote w:id="50">
    <w:p w:rsidR="00F77CC7" w:rsidRDefault="00F77CC7" w:rsidP="00D80DC1">
      <w:pPr>
        <w:pStyle w:val="FootnoteText"/>
        <w:ind w:firstLine="360"/>
      </w:pPr>
      <w:r>
        <w:rPr>
          <w:rStyle w:val="FootnoteReference"/>
        </w:rPr>
        <w:footnoteRef/>
      </w:r>
      <w:r>
        <w:tab/>
      </w:r>
      <w:r w:rsidRPr="00C11BCC">
        <w:rPr>
          <w:i/>
        </w:rPr>
        <w:t>Id</w:t>
      </w:r>
      <w:r>
        <w:t>. at page 23, lines 11-15.</w:t>
      </w:r>
    </w:p>
  </w:footnote>
  <w:footnote w:id="51">
    <w:p w:rsidR="00F77CC7" w:rsidRDefault="00F77CC7" w:rsidP="00D80DC1">
      <w:pPr>
        <w:pStyle w:val="FootnoteText"/>
        <w:ind w:firstLine="360"/>
      </w:pPr>
      <w:r>
        <w:rPr>
          <w:rStyle w:val="FootnoteReference"/>
        </w:rPr>
        <w:footnoteRef/>
      </w:r>
      <w:r>
        <w:tab/>
      </w:r>
      <w:r w:rsidRPr="00C11BCC">
        <w:rPr>
          <w:i/>
        </w:rPr>
        <w:t>Id</w:t>
      </w:r>
      <w:r>
        <w:t>. at page 23, lines 18-19.</w:t>
      </w:r>
    </w:p>
  </w:footnote>
  <w:footnote w:id="52">
    <w:p w:rsidR="00F77CC7" w:rsidRDefault="00F77CC7" w:rsidP="00D80DC1">
      <w:pPr>
        <w:pStyle w:val="FootnoteText"/>
        <w:ind w:firstLine="360"/>
      </w:pPr>
      <w:r>
        <w:rPr>
          <w:rStyle w:val="FootnoteReference"/>
        </w:rPr>
        <w:footnoteRef/>
      </w:r>
      <w:r>
        <w:tab/>
      </w:r>
      <w:r w:rsidR="000D47B4">
        <w:t xml:space="preserve">Riding, Exh. No. ___(CR-1CT), at </w:t>
      </w:r>
      <w:r>
        <w:t>page 23, lines 21-23.</w:t>
      </w:r>
    </w:p>
  </w:footnote>
  <w:footnote w:id="53">
    <w:p w:rsidR="00F77CC7" w:rsidRDefault="00F77CC7" w:rsidP="00D80DC1">
      <w:pPr>
        <w:pStyle w:val="FootnoteText"/>
        <w:ind w:firstLine="360"/>
      </w:pPr>
      <w:r>
        <w:rPr>
          <w:rStyle w:val="FootnoteReference"/>
        </w:rPr>
        <w:footnoteRef/>
      </w:r>
      <w:r>
        <w:tab/>
      </w:r>
      <w:r w:rsidRPr="00C11BCC">
        <w:rPr>
          <w:i/>
        </w:rPr>
        <w:t>Id</w:t>
      </w:r>
      <w:r>
        <w:t>. at page 23, line 23, through page 24, line 3.</w:t>
      </w:r>
    </w:p>
  </w:footnote>
  <w:footnote w:id="54">
    <w:p w:rsidR="00F77CC7" w:rsidRDefault="00F77CC7" w:rsidP="005E1D9C">
      <w:pPr>
        <w:pStyle w:val="FootnoteText"/>
        <w:ind w:firstLine="360"/>
      </w:pPr>
      <w:r>
        <w:rPr>
          <w:rStyle w:val="FootnoteReference"/>
        </w:rPr>
        <w:footnoteRef/>
      </w:r>
      <w:r>
        <w:tab/>
        <w:t>Garratt, Exh. No. ___(RG-1CT), at page 22, lines 5-6.</w:t>
      </w:r>
    </w:p>
  </w:footnote>
  <w:footnote w:id="55">
    <w:p w:rsidR="00F77CC7" w:rsidRDefault="00F77CC7" w:rsidP="005E1D9C">
      <w:pPr>
        <w:pStyle w:val="FootnoteText"/>
        <w:ind w:firstLine="360"/>
      </w:pPr>
      <w:r>
        <w:rPr>
          <w:rStyle w:val="FootnoteReference"/>
        </w:rPr>
        <w:footnoteRef/>
      </w:r>
      <w:r>
        <w:tab/>
      </w:r>
      <w:r w:rsidRPr="005E1D9C">
        <w:rPr>
          <w:i/>
        </w:rPr>
        <w:t>See generally</w:t>
      </w:r>
      <w:r>
        <w:t>, Anderson, Exh. No. ___(LEA-1T).</w:t>
      </w:r>
    </w:p>
  </w:footnote>
  <w:footnote w:id="56">
    <w:p w:rsidR="00F77CC7" w:rsidRDefault="00F77CC7" w:rsidP="005E1D9C">
      <w:pPr>
        <w:pStyle w:val="FootnoteText"/>
        <w:ind w:firstLine="360"/>
      </w:pPr>
      <w:r>
        <w:rPr>
          <w:rStyle w:val="FootnoteReference"/>
        </w:rPr>
        <w:footnoteRef/>
      </w:r>
      <w:r>
        <w:tab/>
        <w:t>Garratt, Exh. No. ___(RG-1CT), at page 22, lines 7-8.</w:t>
      </w:r>
    </w:p>
  </w:footnote>
  <w:footnote w:id="57">
    <w:p w:rsidR="00F77CC7" w:rsidRDefault="00F77CC7" w:rsidP="005E1D9C">
      <w:pPr>
        <w:pStyle w:val="FootnoteText"/>
        <w:ind w:firstLine="360"/>
      </w:pPr>
      <w:r>
        <w:rPr>
          <w:rStyle w:val="FootnoteReference"/>
        </w:rPr>
        <w:footnoteRef/>
      </w:r>
      <w:r>
        <w:tab/>
      </w:r>
      <w:r w:rsidRPr="005E1D9C">
        <w:rPr>
          <w:i/>
        </w:rPr>
        <w:t>Id</w:t>
      </w:r>
      <w:r>
        <w:t>. at page 22, lines 8-11.</w:t>
      </w:r>
    </w:p>
  </w:footnote>
  <w:footnote w:id="58">
    <w:p w:rsidR="00F77CC7" w:rsidRDefault="00F77CC7" w:rsidP="005E1D9C">
      <w:pPr>
        <w:pStyle w:val="FootnoteText"/>
        <w:ind w:firstLine="360"/>
      </w:pPr>
      <w:r>
        <w:rPr>
          <w:rStyle w:val="FootnoteReference"/>
        </w:rPr>
        <w:footnoteRef/>
      </w:r>
      <w:r>
        <w:tab/>
      </w:r>
      <w:r w:rsidRPr="005E1D9C">
        <w:rPr>
          <w:i/>
        </w:rPr>
        <w:t>Id</w:t>
      </w:r>
      <w:r>
        <w:t>. at page 22, lines 16-17.</w:t>
      </w:r>
    </w:p>
  </w:footnote>
  <w:footnote w:id="59">
    <w:p w:rsidR="00F77CC7" w:rsidRDefault="00F77CC7" w:rsidP="005E1D9C">
      <w:pPr>
        <w:pStyle w:val="FootnoteText"/>
        <w:ind w:firstLine="360"/>
      </w:pPr>
      <w:r>
        <w:rPr>
          <w:rStyle w:val="FootnoteReference"/>
        </w:rPr>
        <w:footnoteRef/>
      </w:r>
      <w:r>
        <w:tab/>
      </w:r>
      <w:r w:rsidRPr="005E1D9C">
        <w:rPr>
          <w:i/>
        </w:rPr>
        <w:t>Id</w:t>
      </w:r>
      <w:r>
        <w:t>. at page 22, line 17, through page 23, line 4.</w:t>
      </w:r>
    </w:p>
  </w:footnote>
  <w:footnote w:id="60">
    <w:p w:rsidR="00F77CC7" w:rsidRDefault="00F77CC7" w:rsidP="005E1D9C">
      <w:pPr>
        <w:pStyle w:val="FootnoteText"/>
        <w:ind w:firstLine="360"/>
      </w:pPr>
      <w:r>
        <w:rPr>
          <w:rStyle w:val="FootnoteReference"/>
        </w:rPr>
        <w:footnoteRef/>
      </w:r>
      <w:r>
        <w:tab/>
      </w:r>
      <w:r w:rsidR="000D47B4">
        <w:t xml:space="preserve">Garratt, Exh. No. ___(RG-1CT), at </w:t>
      </w:r>
      <w:r>
        <w:t xml:space="preserve">page 23, lines 7-10; </w:t>
      </w:r>
      <w:r w:rsidRPr="00821964">
        <w:rPr>
          <w:i/>
        </w:rPr>
        <w:t>see also</w:t>
      </w:r>
      <w:r>
        <w:t xml:space="preserve"> Garratt, Exh. No. ___(RG-3C), at page 1 (providing PSE’s capital budget associated with activities performed or to be performed during the development phase of the Tacoma LNG Facility).</w:t>
      </w:r>
    </w:p>
  </w:footnote>
  <w:footnote w:id="61">
    <w:p w:rsidR="00F77CC7" w:rsidRDefault="00F77CC7" w:rsidP="00821964">
      <w:pPr>
        <w:pStyle w:val="FootnoteText"/>
        <w:ind w:firstLine="360"/>
      </w:pPr>
      <w:r>
        <w:rPr>
          <w:rStyle w:val="FootnoteReference"/>
        </w:rPr>
        <w:footnoteRef/>
      </w:r>
      <w:r>
        <w:tab/>
        <w:t>Garratt, Exh. No. ___(RG-1CT), at page 24, lines 15-16.</w:t>
      </w:r>
    </w:p>
  </w:footnote>
  <w:footnote w:id="62">
    <w:p w:rsidR="00F77CC7" w:rsidRDefault="00F77CC7" w:rsidP="00821964">
      <w:pPr>
        <w:pStyle w:val="FootnoteText"/>
        <w:ind w:firstLine="360"/>
      </w:pPr>
      <w:r>
        <w:rPr>
          <w:rStyle w:val="FootnoteReference"/>
        </w:rPr>
        <w:footnoteRef/>
      </w:r>
      <w:r>
        <w:tab/>
      </w:r>
      <w:r w:rsidRPr="005E1D9C">
        <w:rPr>
          <w:i/>
        </w:rPr>
        <w:t>Id</w:t>
      </w:r>
      <w:r>
        <w:t xml:space="preserve">. at page 25, lines 5-7; </w:t>
      </w:r>
      <w:r w:rsidRPr="00821964">
        <w:rPr>
          <w:i/>
        </w:rPr>
        <w:t>see also</w:t>
      </w:r>
      <w:r>
        <w:t xml:space="preserve"> Garratt, Exh. No. ___(RG-3C), at pages 2-5 (providing PSE’s capital budget associated with activities performed or to be performed during the construction phase of the Tacoma LNG Facility).</w:t>
      </w:r>
    </w:p>
  </w:footnote>
  <w:footnote w:id="63">
    <w:p w:rsidR="00F77CC7" w:rsidRDefault="00F77CC7" w:rsidP="00821964">
      <w:pPr>
        <w:pStyle w:val="FootnoteText"/>
        <w:ind w:firstLine="360"/>
      </w:pPr>
      <w:r>
        <w:rPr>
          <w:rStyle w:val="FootnoteReference"/>
        </w:rPr>
        <w:footnoteRef/>
      </w:r>
      <w:r>
        <w:tab/>
        <w:t>Garratt, Exh. No. ___(RG-1CT), at page 25, lines 14-17.</w:t>
      </w:r>
    </w:p>
  </w:footnote>
  <w:footnote w:id="64">
    <w:p w:rsidR="00F77CC7" w:rsidRDefault="00F77CC7" w:rsidP="00A729B0">
      <w:pPr>
        <w:pStyle w:val="FootnoteText"/>
        <w:ind w:firstLine="360"/>
      </w:pPr>
      <w:r>
        <w:rPr>
          <w:rStyle w:val="FootnoteReference"/>
        </w:rPr>
        <w:footnoteRef/>
      </w:r>
      <w:r>
        <w:tab/>
      </w:r>
      <w:r w:rsidRPr="005E1D9C">
        <w:rPr>
          <w:i/>
        </w:rPr>
        <w:t>Id</w:t>
      </w:r>
      <w:r>
        <w:t>. at page 25, lines 18-19.</w:t>
      </w:r>
    </w:p>
  </w:footnote>
  <w:footnote w:id="65">
    <w:p w:rsidR="00F77CC7" w:rsidRDefault="00F77CC7" w:rsidP="00A729B0">
      <w:pPr>
        <w:pStyle w:val="FootnoteText"/>
        <w:ind w:firstLine="360"/>
      </w:pPr>
      <w:r>
        <w:rPr>
          <w:rStyle w:val="FootnoteReference"/>
        </w:rPr>
        <w:footnoteRef/>
      </w:r>
      <w:r>
        <w:tab/>
      </w:r>
      <w:r w:rsidRPr="005E1D9C">
        <w:rPr>
          <w:i/>
        </w:rPr>
        <w:t>Id</w:t>
      </w:r>
      <w:r>
        <w:t xml:space="preserve">. at page 25, lines 20-21; </w:t>
      </w:r>
      <w:r w:rsidRPr="00821964">
        <w:rPr>
          <w:i/>
        </w:rPr>
        <w:t>see also</w:t>
      </w:r>
      <w:r>
        <w:t xml:space="preserve"> Garratt, Exh. No. ___(RG-3C), at page 6 (providing PSE’s capital budget associated with the natural gas distribution upgrades).</w:t>
      </w:r>
    </w:p>
  </w:footnote>
  <w:footnote w:id="66">
    <w:p w:rsidR="00F77CC7" w:rsidRDefault="00F77CC7" w:rsidP="00D17892">
      <w:pPr>
        <w:pStyle w:val="FootnoteText"/>
        <w:ind w:firstLine="360"/>
      </w:pPr>
      <w:r>
        <w:rPr>
          <w:rStyle w:val="FootnoteReference"/>
        </w:rPr>
        <w:footnoteRef/>
      </w:r>
      <w:r>
        <w:tab/>
        <w:t>Garratt, Exh. No. ___(RG-1CT), at page 27, lines 10-11.</w:t>
      </w:r>
    </w:p>
  </w:footnote>
  <w:footnote w:id="67">
    <w:p w:rsidR="00F77CC7" w:rsidRDefault="00F77CC7" w:rsidP="00F1081A">
      <w:pPr>
        <w:pStyle w:val="FootnoteText"/>
        <w:ind w:firstLine="360"/>
      </w:pPr>
      <w:r>
        <w:rPr>
          <w:rStyle w:val="FootnoteReference"/>
        </w:rPr>
        <w:footnoteRef/>
      </w:r>
      <w:r>
        <w:tab/>
        <w:t>Garratt, Exh. No. ___(RG-3C), at page 7, line 77.</w:t>
      </w:r>
    </w:p>
  </w:footnote>
  <w:footnote w:id="68">
    <w:p w:rsidR="00F77CC7" w:rsidRDefault="00F77CC7" w:rsidP="00F1081A">
      <w:pPr>
        <w:pStyle w:val="FootnoteText"/>
        <w:ind w:firstLine="360"/>
      </w:pPr>
      <w:r>
        <w:rPr>
          <w:rStyle w:val="FootnoteReference"/>
        </w:rPr>
        <w:footnoteRef/>
      </w:r>
      <w:r>
        <w:tab/>
      </w:r>
      <w:r w:rsidR="000D47B4">
        <w:t xml:space="preserve">Garratt, Exh. No. ___(RG-3C), </w:t>
      </w:r>
      <w:r>
        <w:t>at page 7, line 78.</w:t>
      </w:r>
    </w:p>
  </w:footnote>
  <w:footnote w:id="69">
    <w:p w:rsidR="00F77CC7" w:rsidRDefault="00F77CC7" w:rsidP="00F1081A">
      <w:pPr>
        <w:pStyle w:val="FootnoteText"/>
        <w:ind w:firstLine="360"/>
      </w:pPr>
      <w:r>
        <w:rPr>
          <w:rStyle w:val="FootnoteReference"/>
        </w:rPr>
        <w:footnoteRef/>
      </w:r>
      <w:r>
        <w:tab/>
      </w:r>
      <w:r w:rsidRPr="00F1081A">
        <w:rPr>
          <w:i/>
        </w:rPr>
        <w:t>Id</w:t>
      </w:r>
      <w:r>
        <w:t>. at page 7, line 79.</w:t>
      </w:r>
    </w:p>
  </w:footnote>
  <w:footnote w:id="70">
    <w:p w:rsidR="00F77CC7" w:rsidRDefault="00F77CC7" w:rsidP="00F1081A">
      <w:pPr>
        <w:pStyle w:val="FootnoteText"/>
        <w:ind w:firstLine="360"/>
      </w:pPr>
      <w:r>
        <w:rPr>
          <w:rStyle w:val="FootnoteReference"/>
        </w:rPr>
        <w:footnoteRef/>
      </w:r>
      <w:r>
        <w:tab/>
      </w:r>
      <w:r w:rsidRPr="00F1081A">
        <w:rPr>
          <w:i/>
        </w:rPr>
        <w:t>Id</w:t>
      </w:r>
      <w:r>
        <w:t>. at page 7, line 81.</w:t>
      </w:r>
    </w:p>
  </w:footnote>
  <w:footnote w:id="71">
    <w:p w:rsidR="00F77CC7" w:rsidRDefault="00F77CC7" w:rsidP="00147E56">
      <w:pPr>
        <w:pStyle w:val="FootnoteText"/>
        <w:ind w:firstLine="360"/>
      </w:pPr>
      <w:r>
        <w:rPr>
          <w:rStyle w:val="FootnoteReference"/>
        </w:rPr>
        <w:footnoteRef/>
      </w:r>
      <w:r>
        <w:tab/>
        <w:t>Garratt, Exh. No. ___(RG-1CT), at page 9, lines 19-20.</w:t>
      </w:r>
    </w:p>
  </w:footnote>
  <w:footnote w:id="72">
    <w:p w:rsidR="00F77CC7" w:rsidRDefault="00F77CC7" w:rsidP="00147E56">
      <w:pPr>
        <w:pStyle w:val="FootnoteText"/>
        <w:ind w:firstLine="360"/>
      </w:pPr>
      <w:r>
        <w:rPr>
          <w:rStyle w:val="FootnoteReference"/>
        </w:rPr>
        <w:footnoteRef/>
      </w:r>
      <w:r>
        <w:tab/>
      </w:r>
      <w:r w:rsidRPr="00147E56">
        <w:rPr>
          <w:i/>
        </w:rPr>
        <w:t>Id</w:t>
      </w:r>
      <w:r>
        <w:t>. at page 9, lines 21-22.</w:t>
      </w:r>
    </w:p>
  </w:footnote>
  <w:footnote w:id="73">
    <w:p w:rsidR="00F77CC7" w:rsidRDefault="00F77CC7" w:rsidP="00147E56">
      <w:pPr>
        <w:pStyle w:val="FootnoteText"/>
        <w:ind w:firstLine="360"/>
      </w:pPr>
      <w:r>
        <w:rPr>
          <w:rStyle w:val="FootnoteReference"/>
        </w:rPr>
        <w:footnoteRef/>
      </w:r>
      <w:r>
        <w:tab/>
      </w:r>
      <w:r w:rsidRPr="00147E56">
        <w:rPr>
          <w:i/>
        </w:rPr>
        <w:t>Id</w:t>
      </w:r>
      <w:r>
        <w:t>. at page 9, line 22, through page 10, line 23.</w:t>
      </w:r>
    </w:p>
  </w:footnote>
  <w:footnote w:id="74">
    <w:p w:rsidR="00F77CC7" w:rsidRDefault="00F77CC7" w:rsidP="00147E56">
      <w:pPr>
        <w:pStyle w:val="FootnoteText"/>
        <w:ind w:firstLine="360"/>
      </w:pPr>
      <w:r>
        <w:rPr>
          <w:rStyle w:val="FootnoteReference"/>
        </w:rPr>
        <w:footnoteRef/>
      </w:r>
      <w:r>
        <w:tab/>
      </w:r>
      <w:r w:rsidRPr="00147E56">
        <w:rPr>
          <w:i/>
        </w:rPr>
        <w:t>Id</w:t>
      </w:r>
      <w:r>
        <w:t>. at page 10, lines 1-4.</w:t>
      </w:r>
    </w:p>
  </w:footnote>
  <w:footnote w:id="75">
    <w:p w:rsidR="00F77CC7" w:rsidRDefault="00F77CC7" w:rsidP="00147E56">
      <w:pPr>
        <w:pStyle w:val="FootnoteText"/>
        <w:ind w:firstLine="360"/>
      </w:pPr>
      <w:r>
        <w:rPr>
          <w:rStyle w:val="FootnoteReference"/>
        </w:rPr>
        <w:footnoteRef/>
      </w:r>
      <w:r>
        <w:tab/>
      </w:r>
      <w:r w:rsidRPr="00147E56">
        <w:rPr>
          <w:i/>
        </w:rPr>
        <w:t>Id</w:t>
      </w:r>
      <w:r>
        <w:t>. at page 6, lines 10-11.</w:t>
      </w:r>
    </w:p>
  </w:footnote>
  <w:footnote w:id="76">
    <w:p w:rsidR="00F77CC7" w:rsidRDefault="00F77CC7" w:rsidP="00541E2F">
      <w:pPr>
        <w:pStyle w:val="FootnoteText"/>
        <w:ind w:firstLine="360"/>
      </w:pPr>
      <w:r>
        <w:rPr>
          <w:rStyle w:val="FootnoteReference"/>
        </w:rPr>
        <w:footnoteRef/>
      </w:r>
      <w:r>
        <w:tab/>
      </w:r>
      <w:r w:rsidRPr="00147E56">
        <w:rPr>
          <w:i/>
        </w:rPr>
        <w:t>Id</w:t>
      </w:r>
      <w:r>
        <w:t>. at page 6, lines 15-16.</w:t>
      </w:r>
    </w:p>
  </w:footnote>
  <w:footnote w:id="77">
    <w:p w:rsidR="00F77CC7" w:rsidRDefault="00F77CC7" w:rsidP="00541E2F">
      <w:pPr>
        <w:pStyle w:val="FootnoteText"/>
        <w:ind w:firstLine="360"/>
      </w:pPr>
      <w:r>
        <w:rPr>
          <w:rStyle w:val="FootnoteReference"/>
        </w:rPr>
        <w:footnoteRef/>
      </w:r>
      <w:r>
        <w:tab/>
      </w:r>
      <w:r w:rsidR="000D47B4">
        <w:t xml:space="preserve">Garratt, Exh. No. ___(RG-1CT), at </w:t>
      </w:r>
      <w:r>
        <w:t>page 6, lines 11-13.</w:t>
      </w:r>
    </w:p>
  </w:footnote>
  <w:footnote w:id="78">
    <w:p w:rsidR="00F77CC7" w:rsidRDefault="00F77CC7" w:rsidP="00F44CE8">
      <w:pPr>
        <w:pStyle w:val="FootnoteText"/>
        <w:ind w:firstLine="360"/>
      </w:pPr>
      <w:r>
        <w:rPr>
          <w:rStyle w:val="FootnoteReference"/>
        </w:rPr>
        <w:footnoteRef/>
      </w:r>
      <w:r>
        <w:tab/>
      </w:r>
      <w:r w:rsidRPr="00147E56">
        <w:rPr>
          <w:i/>
        </w:rPr>
        <w:t>Id</w:t>
      </w:r>
      <w:r>
        <w:t>. at page 6, lines 17-18.</w:t>
      </w:r>
    </w:p>
  </w:footnote>
  <w:footnote w:id="79">
    <w:p w:rsidR="00F77CC7" w:rsidRDefault="00F77CC7" w:rsidP="00F44CE8">
      <w:pPr>
        <w:pStyle w:val="FootnoteText"/>
        <w:ind w:firstLine="360"/>
      </w:pPr>
      <w:r>
        <w:rPr>
          <w:rStyle w:val="FootnoteReference"/>
        </w:rPr>
        <w:footnoteRef/>
      </w:r>
      <w:r>
        <w:tab/>
      </w:r>
      <w:r w:rsidRPr="00147E56">
        <w:rPr>
          <w:i/>
        </w:rPr>
        <w:t>Id</w:t>
      </w:r>
      <w:r>
        <w:t>. at page 6, line 21, through page 7, line 2.</w:t>
      </w:r>
    </w:p>
  </w:footnote>
  <w:footnote w:id="80">
    <w:p w:rsidR="00F77CC7" w:rsidRDefault="00F77CC7" w:rsidP="00F44CE8">
      <w:pPr>
        <w:pStyle w:val="FootnoteText"/>
        <w:ind w:firstLine="360"/>
      </w:pPr>
      <w:r>
        <w:rPr>
          <w:rStyle w:val="FootnoteReference"/>
        </w:rPr>
        <w:footnoteRef/>
      </w:r>
      <w:r>
        <w:tab/>
      </w:r>
      <w:r w:rsidRPr="00147E56">
        <w:rPr>
          <w:i/>
        </w:rPr>
        <w:t>Id</w:t>
      </w:r>
      <w:r>
        <w:t>. at page 7, lines 6-7.</w:t>
      </w:r>
    </w:p>
  </w:footnote>
  <w:footnote w:id="81">
    <w:p w:rsidR="00F77CC7" w:rsidRDefault="00F77CC7" w:rsidP="00F44CE8">
      <w:pPr>
        <w:pStyle w:val="FootnoteText"/>
        <w:ind w:firstLine="360"/>
      </w:pPr>
      <w:r>
        <w:rPr>
          <w:rStyle w:val="FootnoteReference"/>
        </w:rPr>
        <w:footnoteRef/>
      </w:r>
      <w:r>
        <w:tab/>
      </w:r>
      <w:r w:rsidRPr="00147E56">
        <w:rPr>
          <w:i/>
        </w:rPr>
        <w:t>Id</w:t>
      </w:r>
      <w:r>
        <w:t>. at page 7, lines 7-10.</w:t>
      </w:r>
    </w:p>
  </w:footnote>
  <w:footnote w:id="82">
    <w:p w:rsidR="00F77CC7" w:rsidRDefault="00F77CC7" w:rsidP="00F44CE8">
      <w:pPr>
        <w:pStyle w:val="FootnoteText"/>
        <w:ind w:firstLine="360"/>
      </w:pPr>
      <w:r>
        <w:rPr>
          <w:rStyle w:val="FootnoteReference"/>
        </w:rPr>
        <w:footnoteRef/>
      </w:r>
      <w:r>
        <w:tab/>
      </w:r>
      <w:r w:rsidRPr="00147E56">
        <w:rPr>
          <w:i/>
        </w:rPr>
        <w:t>Id</w:t>
      </w:r>
      <w:r>
        <w:t>. at page 7, lines 10-12.</w:t>
      </w:r>
    </w:p>
  </w:footnote>
  <w:footnote w:id="83">
    <w:p w:rsidR="00F77CC7" w:rsidRDefault="00F77CC7" w:rsidP="00F44CE8">
      <w:pPr>
        <w:pStyle w:val="FootnoteText"/>
        <w:ind w:firstLine="360"/>
      </w:pPr>
      <w:r>
        <w:rPr>
          <w:rStyle w:val="FootnoteReference"/>
        </w:rPr>
        <w:footnoteRef/>
      </w:r>
      <w:r>
        <w:tab/>
      </w:r>
      <w:r w:rsidRPr="00147E56">
        <w:rPr>
          <w:i/>
        </w:rPr>
        <w:t>Id</w:t>
      </w:r>
      <w:r>
        <w:t>. at page 7, lines 12-13.</w:t>
      </w:r>
    </w:p>
  </w:footnote>
  <w:footnote w:id="84">
    <w:p w:rsidR="00F77CC7" w:rsidRDefault="00F77CC7" w:rsidP="00F44CE8">
      <w:pPr>
        <w:pStyle w:val="FootnoteText"/>
        <w:ind w:firstLine="360"/>
      </w:pPr>
      <w:r>
        <w:rPr>
          <w:rStyle w:val="FootnoteReference"/>
        </w:rPr>
        <w:footnoteRef/>
      </w:r>
      <w:r>
        <w:tab/>
      </w:r>
      <w:r w:rsidRPr="00147E56">
        <w:rPr>
          <w:i/>
        </w:rPr>
        <w:t>Id</w:t>
      </w:r>
      <w:r>
        <w:t>. at page 6, lines 13-15.</w:t>
      </w:r>
    </w:p>
  </w:footnote>
  <w:footnote w:id="85">
    <w:p w:rsidR="00F77CC7" w:rsidRPr="00365C42" w:rsidRDefault="00F77CC7" w:rsidP="00365C42">
      <w:pPr>
        <w:pStyle w:val="FootnoteText"/>
        <w:ind w:firstLine="360"/>
      </w:pPr>
      <w:r>
        <w:rPr>
          <w:rStyle w:val="FootnoteReference"/>
        </w:rPr>
        <w:footnoteRef/>
      </w:r>
      <w:r>
        <w:tab/>
      </w:r>
      <w:r w:rsidR="000D47B4" w:rsidRPr="000D47B4">
        <w:t>Riding, Exh. No.</w:t>
      </w:r>
      <w:r w:rsidR="000D47B4">
        <w:t> </w:t>
      </w:r>
      <w:r w:rsidR="000D47B4" w:rsidRPr="000D47B4">
        <w:t>___(CR-4C),</w:t>
      </w:r>
      <w:r w:rsidR="000D47B4">
        <w:rPr>
          <w:i/>
        </w:rPr>
        <w:t xml:space="preserve"> </w:t>
      </w:r>
      <w:r>
        <w:t>at page 11 (defining “Delivery Term”).</w:t>
      </w:r>
    </w:p>
  </w:footnote>
  <w:footnote w:id="86">
    <w:p w:rsidR="00F77CC7" w:rsidRPr="00365C42" w:rsidRDefault="00F77CC7" w:rsidP="00365C42">
      <w:pPr>
        <w:pStyle w:val="FootnoteText"/>
        <w:ind w:firstLine="360"/>
      </w:pPr>
      <w:r>
        <w:rPr>
          <w:rStyle w:val="FootnoteReference"/>
        </w:rPr>
        <w:footnoteRef/>
      </w:r>
      <w:r>
        <w:tab/>
      </w:r>
      <w:r w:rsidR="000D47B4" w:rsidRPr="000D47B4">
        <w:t>Riding, Exh. No.</w:t>
      </w:r>
      <w:r w:rsidR="000D47B4">
        <w:t> </w:t>
      </w:r>
      <w:r w:rsidR="000D47B4" w:rsidRPr="000D47B4">
        <w:t>___(CR-4C),</w:t>
      </w:r>
      <w:r w:rsidR="000D47B4">
        <w:rPr>
          <w:i/>
        </w:rPr>
        <w:t xml:space="preserve"> </w:t>
      </w:r>
      <w:r w:rsidR="000D47B4">
        <w:t xml:space="preserve">at </w:t>
      </w:r>
      <w:r>
        <w:t>page 22.</w:t>
      </w:r>
    </w:p>
  </w:footnote>
  <w:footnote w:id="87">
    <w:p w:rsidR="00F77CC7" w:rsidRPr="00365C42" w:rsidRDefault="00F77CC7" w:rsidP="00684D04">
      <w:pPr>
        <w:pStyle w:val="FootnoteText"/>
        <w:ind w:firstLine="360"/>
      </w:pPr>
      <w:r>
        <w:rPr>
          <w:rStyle w:val="FootnoteReference"/>
        </w:rPr>
        <w:footnoteRef/>
      </w:r>
      <w:r>
        <w:tab/>
      </w:r>
      <w:r>
        <w:rPr>
          <w:i/>
        </w:rPr>
        <w:t>Id.</w:t>
      </w:r>
      <w:r>
        <w:t xml:space="preserve"> at pages 22 and 91.</w:t>
      </w:r>
    </w:p>
  </w:footnote>
  <w:footnote w:id="88">
    <w:p w:rsidR="00F77CC7" w:rsidRPr="00365C42" w:rsidRDefault="00F77CC7" w:rsidP="00684D04">
      <w:pPr>
        <w:pStyle w:val="FootnoteText"/>
        <w:ind w:firstLine="360"/>
      </w:pPr>
      <w:r>
        <w:rPr>
          <w:rStyle w:val="FootnoteReference"/>
        </w:rPr>
        <w:footnoteRef/>
      </w:r>
      <w:r>
        <w:tab/>
        <w:t xml:space="preserve">Riding, Exh. No. ___(CR-1CT) at page 14, lines 16-18; </w:t>
      </w:r>
      <w:r w:rsidRPr="0023018C">
        <w:rPr>
          <w:i/>
        </w:rPr>
        <w:t>see also</w:t>
      </w:r>
      <w:r>
        <w:t xml:space="preserve"> Riding, Exh. No. ___(CR-4C), at pages 43-47 and at pages 79-85.</w:t>
      </w:r>
    </w:p>
  </w:footnote>
  <w:footnote w:id="89">
    <w:p w:rsidR="00F77CC7" w:rsidRPr="00365C42" w:rsidRDefault="00F77CC7" w:rsidP="00CA4A15">
      <w:pPr>
        <w:pStyle w:val="FootnoteText"/>
        <w:ind w:firstLine="360"/>
      </w:pPr>
      <w:r>
        <w:rPr>
          <w:rStyle w:val="FootnoteReference"/>
        </w:rPr>
        <w:footnoteRef/>
      </w:r>
      <w:r>
        <w:tab/>
        <w:t xml:space="preserve">Riding, Exh. No. ___(CR-1CT) at page 14, lines 20-22; </w:t>
      </w:r>
      <w:r w:rsidRPr="0023018C">
        <w:rPr>
          <w:i/>
        </w:rPr>
        <w:t>see also</w:t>
      </w:r>
      <w:r>
        <w:t xml:space="preserve"> Riding, Exh. No. ___(CR-4C), at page 81.</w:t>
      </w:r>
    </w:p>
  </w:footnote>
  <w:footnote w:id="90">
    <w:p w:rsidR="00F77CC7" w:rsidRPr="00365C42" w:rsidRDefault="00F77CC7" w:rsidP="00684D04">
      <w:pPr>
        <w:pStyle w:val="FootnoteText"/>
        <w:ind w:firstLine="360"/>
      </w:pPr>
      <w:r>
        <w:rPr>
          <w:rStyle w:val="FootnoteReference"/>
        </w:rPr>
        <w:footnoteRef/>
      </w:r>
      <w:r>
        <w:tab/>
        <w:t xml:space="preserve">Riding, Exh. No. ___(CR-1CT) at page 15, lines 1-4; </w:t>
      </w:r>
      <w:r w:rsidRPr="0023018C">
        <w:rPr>
          <w:i/>
        </w:rPr>
        <w:t>see also</w:t>
      </w:r>
      <w:r>
        <w:t xml:space="preserve"> Riding, Exh. No. ___(CR-4C), at pages 61-63 and at pages 86-90.</w:t>
      </w:r>
    </w:p>
  </w:footnote>
  <w:footnote w:id="91">
    <w:p w:rsidR="00F77CC7" w:rsidRPr="00365C42" w:rsidRDefault="00F77CC7" w:rsidP="00684D04">
      <w:pPr>
        <w:pStyle w:val="FootnoteText"/>
        <w:ind w:firstLine="360"/>
      </w:pPr>
      <w:r>
        <w:rPr>
          <w:rStyle w:val="FootnoteReference"/>
        </w:rPr>
        <w:footnoteRef/>
      </w:r>
      <w:r>
        <w:tab/>
        <w:t xml:space="preserve">Riding, Exh. No. ___(CR-1CT) at page 15, lines 5-8; </w:t>
      </w:r>
      <w:r w:rsidRPr="0023018C">
        <w:rPr>
          <w:i/>
        </w:rPr>
        <w:t>see also</w:t>
      </w:r>
      <w:r>
        <w:t xml:space="preserve"> Riding, Exh. No. ___(CR-4C), at pages 22 and 91.</w:t>
      </w:r>
    </w:p>
  </w:footnote>
  <w:footnote w:id="92">
    <w:p w:rsidR="00F77CC7" w:rsidRPr="00365C42" w:rsidRDefault="00F77CC7" w:rsidP="0023018C">
      <w:pPr>
        <w:pStyle w:val="FootnoteText"/>
        <w:ind w:firstLine="360"/>
      </w:pPr>
      <w:r>
        <w:rPr>
          <w:rStyle w:val="FootnoteReference"/>
        </w:rPr>
        <w:footnoteRef/>
      </w:r>
      <w:r>
        <w:tab/>
        <w:t xml:space="preserve">Riding, Exh. No. ___(CR-1CT) at </w:t>
      </w:r>
      <w:r w:rsidRPr="0023018C">
        <w:t>page</w:t>
      </w:r>
      <w:r>
        <w:rPr>
          <w:i/>
        </w:rPr>
        <w:t> </w:t>
      </w:r>
      <w:r w:rsidRPr="0023018C">
        <w:t>15</w:t>
      </w:r>
      <w:r>
        <w:t>, lines 11-12.</w:t>
      </w:r>
    </w:p>
  </w:footnote>
  <w:footnote w:id="93">
    <w:p w:rsidR="00F77CC7" w:rsidRPr="00365C42" w:rsidRDefault="00F77CC7" w:rsidP="00684D04">
      <w:pPr>
        <w:pStyle w:val="FootnoteText"/>
        <w:ind w:firstLine="360"/>
      </w:pPr>
      <w:r>
        <w:rPr>
          <w:rStyle w:val="FootnoteReference"/>
        </w:rPr>
        <w:footnoteRef/>
      </w:r>
      <w:r>
        <w:tab/>
        <w:t xml:space="preserve">Riding, Exh. No. ___(CR-1CT), at page 24, lines 4-5; </w:t>
      </w:r>
      <w:r w:rsidRPr="0023018C">
        <w:rPr>
          <w:i/>
        </w:rPr>
        <w:t>see also</w:t>
      </w:r>
      <w:r>
        <w:t xml:space="preserve"> Riding, Exh. No. ___(CR-4C), at page 14 (defining “Fuel Charge”), page 18 (defining “Sumas Index Price”), and page 83-84 (providing the Fuel Charge calculations).</w:t>
      </w:r>
    </w:p>
  </w:footnote>
  <w:footnote w:id="94">
    <w:p w:rsidR="00F77CC7" w:rsidRPr="00365C42" w:rsidRDefault="00F77CC7" w:rsidP="0023018C">
      <w:pPr>
        <w:pStyle w:val="FootnoteText"/>
        <w:ind w:firstLine="360"/>
      </w:pPr>
      <w:r>
        <w:rPr>
          <w:rStyle w:val="FootnoteReference"/>
        </w:rPr>
        <w:footnoteRef/>
      </w:r>
      <w:r>
        <w:tab/>
        <w:t>Riding, Exh. No. ___(CR-1CT), at page 24, li</w:t>
      </w:r>
      <w:r w:rsidRPr="00E7342A">
        <w:rPr>
          <w:i/>
        </w:rPr>
        <w:t>n</w:t>
      </w:r>
      <w:r>
        <w:t>es 5-7.</w:t>
      </w:r>
    </w:p>
  </w:footnote>
  <w:footnote w:id="95">
    <w:p w:rsidR="00F77CC7" w:rsidRPr="00365C42" w:rsidRDefault="00F77CC7" w:rsidP="00CA4A15">
      <w:pPr>
        <w:pStyle w:val="FootnoteText"/>
        <w:ind w:firstLine="360"/>
      </w:pPr>
      <w:r>
        <w:rPr>
          <w:rStyle w:val="FootnoteReference"/>
        </w:rPr>
        <w:footnoteRef/>
      </w:r>
      <w:r>
        <w:tab/>
      </w:r>
      <w:r w:rsidRPr="00CA4A15">
        <w:rPr>
          <w:i/>
        </w:rPr>
        <w:t>See</w:t>
      </w:r>
      <w:r>
        <w:t xml:space="preserve">, </w:t>
      </w:r>
      <w:r w:rsidRPr="00CA4A15">
        <w:rPr>
          <w:i/>
        </w:rPr>
        <w:t>e.g.</w:t>
      </w:r>
      <w:r>
        <w:t>, PSE Petition.</w:t>
      </w:r>
    </w:p>
  </w:footnote>
  <w:footnote w:id="96">
    <w:p w:rsidR="00F77CC7" w:rsidRPr="00365C42" w:rsidRDefault="00F77CC7" w:rsidP="00CA4A15">
      <w:pPr>
        <w:pStyle w:val="FootnoteText"/>
        <w:ind w:firstLine="360"/>
      </w:pPr>
      <w:r>
        <w:rPr>
          <w:rStyle w:val="FootnoteReference"/>
        </w:rPr>
        <w:footnoteRef/>
      </w:r>
      <w:r>
        <w:tab/>
      </w:r>
      <w:r w:rsidRPr="00CA4A15">
        <w:rPr>
          <w:i/>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xml:space="preserve">, Docket UG-151663, </w:t>
      </w:r>
      <w:r w:rsidRPr="00CA4A15">
        <w:t xml:space="preserve">Order 01 </w:t>
      </w:r>
      <w:r>
        <w:t>(</w:t>
      </w:r>
      <w:r w:rsidRPr="00CA4A15">
        <w:t>Prehearing Conference Order; Notice of Prehearing Conference</w:t>
      </w:r>
      <w:r>
        <w:t>) (Sept. 8, 2015).</w:t>
      </w:r>
    </w:p>
  </w:footnote>
  <w:footnote w:id="97">
    <w:p w:rsidR="00F77CC7" w:rsidRPr="00365C42" w:rsidRDefault="00F77CC7" w:rsidP="00CA4A15">
      <w:pPr>
        <w:pStyle w:val="FootnoteText"/>
        <w:ind w:firstLine="360"/>
      </w:pPr>
      <w:r>
        <w:rPr>
          <w:rStyle w:val="FootnoteReference"/>
        </w:rPr>
        <w:footnoteRef/>
      </w:r>
      <w:r>
        <w:tab/>
      </w:r>
      <w:r>
        <w:rPr>
          <w:i/>
        </w:rPr>
        <w:t>Id.</w:t>
      </w:r>
    </w:p>
  </w:footnote>
  <w:footnote w:id="98">
    <w:p w:rsidR="00F77CC7" w:rsidRPr="00365C42" w:rsidRDefault="00F77CC7" w:rsidP="007C7CAE">
      <w:pPr>
        <w:pStyle w:val="FootnoteText"/>
        <w:ind w:firstLine="360"/>
      </w:pPr>
      <w:r>
        <w:rPr>
          <w:rStyle w:val="FootnoteReference"/>
        </w:rPr>
        <w:footnoteRef/>
      </w:r>
      <w:r>
        <w:tab/>
      </w:r>
      <w:r w:rsidRPr="00CA4A15">
        <w:rPr>
          <w:i/>
        </w:rPr>
        <w:t>In the Matter of the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t xml:space="preserve">, Docket UG-151663, </w:t>
      </w:r>
      <w:r w:rsidRPr="00CA4A15">
        <w:t>Order 0</w:t>
      </w:r>
      <w:r>
        <w:t>3</w:t>
      </w:r>
      <w:r w:rsidRPr="00CA4A15">
        <w:t xml:space="preserve"> </w:t>
      </w:r>
      <w:r>
        <w:t>(</w:t>
      </w:r>
      <w:r w:rsidRPr="007C7CAE">
        <w:t>Prehearing Conference Order, Notice of Hearing</w:t>
      </w:r>
      <w:r>
        <w:t>) (Oct. 15, 2015).</w:t>
      </w:r>
    </w:p>
  </w:footnote>
  <w:footnote w:id="99">
    <w:p w:rsidR="00F77CC7" w:rsidRDefault="00F77CC7" w:rsidP="00A51450">
      <w:pPr>
        <w:pStyle w:val="FootnoteText"/>
        <w:ind w:firstLine="360"/>
      </w:pPr>
      <w:r>
        <w:rPr>
          <w:rStyle w:val="FootnoteReference"/>
        </w:rPr>
        <w:footnoteRef/>
      </w:r>
      <w:r>
        <w:tab/>
      </w:r>
      <w:r w:rsidRPr="00A51450">
        <w:t>RCW 80.01.040.</w:t>
      </w:r>
    </w:p>
  </w:footnote>
  <w:footnote w:id="100">
    <w:p w:rsidR="00F77CC7" w:rsidRDefault="00F77CC7" w:rsidP="00FF55E1">
      <w:pPr>
        <w:pStyle w:val="FootnoteText"/>
        <w:ind w:firstLine="360"/>
      </w:pPr>
      <w:r>
        <w:rPr>
          <w:rStyle w:val="FootnoteReference"/>
        </w:rPr>
        <w:footnoteRef/>
      </w:r>
      <w:r>
        <w:tab/>
      </w:r>
      <w:r w:rsidRPr="00FF55E1">
        <w:t>RCW 80.04.010(25)</w:t>
      </w:r>
      <w:r>
        <w:t>.</w:t>
      </w:r>
    </w:p>
  </w:footnote>
  <w:footnote w:id="101">
    <w:p w:rsidR="00F77CC7" w:rsidRDefault="00F77CC7" w:rsidP="00FF55E1">
      <w:pPr>
        <w:pStyle w:val="FootnoteText"/>
        <w:ind w:firstLine="360"/>
      </w:pPr>
      <w:r>
        <w:rPr>
          <w:rStyle w:val="FootnoteReference"/>
        </w:rPr>
        <w:footnoteRef/>
      </w:r>
      <w:r>
        <w:tab/>
      </w:r>
      <w:r w:rsidRPr="00FF55E1">
        <w:t>RCW 80.04.010(2</w:t>
      </w:r>
      <w:r>
        <w:t>3</w:t>
      </w:r>
      <w:r w:rsidRPr="00FF55E1">
        <w:t>)</w:t>
      </w:r>
      <w:r>
        <w:t>.</w:t>
      </w:r>
    </w:p>
  </w:footnote>
  <w:footnote w:id="102">
    <w:p w:rsidR="00F77CC7" w:rsidRDefault="00F77CC7" w:rsidP="00FF55E1">
      <w:pPr>
        <w:pStyle w:val="FootnoteText"/>
        <w:ind w:firstLine="360"/>
      </w:pPr>
      <w:r>
        <w:rPr>
          <w:rStyle w:val="FootnoteReference"/>
        </w:rPr>
        <w:footnoteRef/>
      </w:r>
      <w:r>
        <w:tab/>
        <w:t>RCW 80.04.010(14</w:t>
      </w:r>
      <w:r w:rsidRPr="00FF55E1">
        <w:t>)</w:t>
      </w:r>
      <w:r>
        <w:t>.</w:t>
      </w:r>
    </w:p>
  </w:footnote>
  <w:footnote w:id="103">
    <w:p w:rsidR="00F77CC7" w:rsidRDefault="00F77CC7" w:rsidP="00FF55E1">
      <w:pPr>
        <w:pStyle w:val="FootnoteText"/>
        <w:ind w:firstLine="360"/>
      </w:pPr>
      <w:r>
        <w:rPr>
          <w:rStyle w:val="FootnoteReference"/>
        </w:rPr>
        <w:footnoteRef/>
      </w:r>
      <w:r>
        <w:tab/>
        <w:t>RCW 80.04.010(15</w:t>
      </w:r>
      <w:r w:rsidRPr="00FF55E1">
        <w:t>)</w:t>
      </w:r>
      <w:r>
        <w:t>.</w:t>
      </w:r>
    </w:p>
  </w:footnote>
  <w:footnote w:id="104">
    <w:p w:rsidR="00F77CC7" w:rsidRDefault="00F77CC7" w:rsidP="00FF55E1">
      <w:pPr>
        <w:pStyle w:val="FootnoteText"/>
        <w:ind w:firstLine="360"/>
      </w:pPr>
      <w:r>
        <w:rPr>
          <w:rStyle w:val="FootnoteReference"/>
        </w:rPr>
        <w:footnoteRef/>
      </w:r>
      <w:r>
        <w:tab/>
      </w:r>
      <w:r w:rsidRPr="00FF55E1">
        <w:t>WAC 480-90-023</w:t>
      </w:r>
      <w:r>
        <w:t>.</w:t>
      </w:r>
    </w:p>
  </w:footnote>
  <w:footnote w:id="105">
    <w:p w:rsidR="00F77CC7" w:rsidRDefault="00F77CC7" w:rsidP="00FF55E1">
      <w:pPr>
        <w:pStyle w:val="FootnoteText"/>
        <w:ind w:firstLine="360"/>
      </w:pPr>
      <w:r>
        <w:rPr>
          <w:rStyle w:val="FootnoteReference"/>
        </w:rPr>
        <w:footnoteRef/>
      </w:r>
      <w:r>
        <w:tab/>
      </w:r>
      <w:r w:rsidRPr="0068133E">
        <w:rPr>
          <w:i/>
        </w:rPr>
        <w:t>Id</w:t>
      </w:r>
      <w:r>
        <w:t>.</w:t>
      </w:r>
    </w:p>
  </w:footnote>
  <w:footnote w:id="106">
    <w:p w:rsidR="00F77CC7" w:rsidRDefault="00F77CC7" w:rsidP="00E662BB">
      <w:pPr>
        <w:pStyle w:val="FootnoteText"/>
        <w:ind w:firstLine="360"/>
      </w:pPr>
      <w:r>
        <w:rPr>
          <w:rStyle w:val="FootnoteReference"/>
        </w:rPr>
        <w:footnoteRef/>
      </w:r>
      <w:r>
        <w:tab/>
      </w:r>
      <w:r w:rsidRPr="00E662BB">
        <w:rPr>
          <w:i/>
        </w:rPr>
        <w:t>See, e.g., WUTC v. Puget Sound Energy, Inc.</w:t>
      </w:r>
      <w:r w:rsidRPr="00E662BB">
        <w:t>, Dockets UE-111048 &amp; UG-111049, Order 08 at ¶ 514 (May</w:t>
      </w:r>
      <w:r>
        <w:t> </w:t>
      </w:r>
      <w:r w:rsidRPr="00E662BB">
        <w:t>7, 2012)</w:t>
      </w:r>
      <w:r>
        <w:t>.</w:t>
      </w:r>
    </w:p>
  </w:footnote>
  <w:footnote w:id="107">
    <w:p w:rsidR="00E7342A" w:rsidRDefault="00E7342A" w:rsidP="00E7342A">
      <w:pPr>
        <w:pStyle w:val="FootnoteText"/>
        <w:ind w:firstLine="360"/>
      </w:pPr>
      <w:r>
        <w:rPr>
          <w:rStyle w:val="FootnoteReference"/>
        </w:rPr>
        <w:footnoteRef/>
      </w:r>
      <w:r>
        <w:tab/>
      </w:r>
      <w:r w:rsidRPr="00E7342A">
        <w:rPr>
          <w:i/>
        </w:rPr>
        <w:t>See, e.g., id.</w:t>
      </w:r>
    </w:p>
  </w:footnote>
  <w:footnote w:id="108">
    <w:p w:rsidR="00F77CC7" w:rsidRDefault="00F77CC7" w:rsidP="005F0585">
      <w:pPr>
        <w:pStyle w:val="FootnoteText"/>
        <w:tabs>
          <w:tab w:val="left" w:pos="720"/>
        </w:tabs>
        <w:ind w:firstLine="360"/>
      </w:pPr>
      <w:r>
        <w:rPr>
          <w:rStyle w:val="FootnoteReference"/>
        </w:rPr>
        <w:footnoteRef/>
      </w:r>
      <w:r>
        <w:tab/>
      </w:r>
      <w:r w:rsidRPr="005F0585">
        <w:t>WAC 480-90-023</w:t>
      </w:r>
      <w:r>
        <w:t>.</w:t>
      </w:r>
    </w:p>
  </w:footnote>
  <w:footnote w:id="109">
    <w:p w:rsidR="00F77CC7" w:rsidRDefault="00F77CC7" w:rsidP="00AE5B39">
      <w:pPr>
        <w:pStyle w:val="FootnoteText"/>
        <w:ind w:firstLine="360"/>
      </w:pPr>
      <w:r>
        <w:rPr>
          <w:rStyle w:val="FootnoteReference"/>
        </w:rPr>
        <w:footnoteRef/>
      </w:r>
      <w:r>
        <w:tab/>
      </w:r>
      <w:r w:rsidRPr="00AE5B39">
        <w:t>WAC 480-90-023</w:t>
      </w:r>
      <w:r>
        <w:t xml:space="preserve">. The reference to “occur[ring] naturally in the earth” in the definition of “natural gas” in </w:t>
      </w:r>
      <w:r w:rsidRPr="00AE5B39">
        <w:t>WAC 480-90-023</w:t>
      </w:r>
      <w:r>
        <w:t xml:space="preserve"> distinguishes natural gas from manufactured gas, which is also defined in </w:t>
      </w:r>
      <w:r w:rsidRPr="00AE5B39">
        <w:t>WAC 480-90-023</w:t>
      </w:r>
      <w:r>
        <w:t xml:space="preserve"> as “gas produced artificially by any process.”  Cooling natural gas to a liquid state is not a process for producing “artificial” gas. The liquefied natural gas is still natural gas</w:t>
      </w:r>
      <w:r w:rsidRPr="00AE5B39">
        <w:t>.</w:t>
      </w:r>
    </w:p>
  </w:footnote>
  <w:footnote w:id="110">
    <w:p w:rsidR="00F77CC7" w:rsidRDefault="00F77CC7" w:rsidP="00F16470">
      <w:pPr>
        <w:pStyle w:val="FootnoteText"/>
        <w:ind w:firstLine="360"/>
      </w:pPr>
      <w:r>
        <w:rPr>
          <w:rStyle w:val="FootnoteReference"/>
        </w:rPr>
        <w:footnoteRef/>
      </w:r>
      <w:r>
        <w:tab/>
      </w:r>
      <w:r w:rsidRPr="00F16470">
        <w:rPr>
          <w:i/>
        </w:rPr>
        <w:t>See, e.g.,</w:t>
      </w:r>
      <w:r>
        <w:t xml:space="preserve"> University of Texas Center for Energy Economics, </w:t>
      </w:r>
      <w:r w:rsidRPr="00F16470">
        <w:rPr>
          <w:i/>
        </w:rPr>
        <w:t>Composition of Natural Gas and LNG</w:t>
      </w:r>
      <w:r>
        <w:t xml:space="preserve">, available at </w:t>
      </w:r>
      <w:hyperlink r:id="rId1" w:history="1">
        <w:r w:rsidRPr="00403BC3">
          <w:rPr>
            <w:rStyle w:val="Hyperlink"/>
            <w:noProof w:val="0"/>
          </w:rPr>
          <w:t>http://www.beg.utexas.edu/energyecon/lng/LNG_introduction_07.php</w:t>
        </w:r>
      </w:hyperlink>
      <w:r>
        <w:t xml:space="preserve"> (last accessed Nov. </w:t>
      </w:r>
      <w:r w:rsidR="00E7342A">
        <w:t>24</w:t>
      </w:r>
      <w:r>
        <w:t>, 2015).</w:t>
      </w:r>
    </w:p>
  </w:footnote>
  <w:footnote w:id="111">
    <w:p w:rsidR="00F77CC7" w:rsidRDefault="00F77CC7" w:rsidP="00F16470">
      <w:pPr>
        <w:pStyle w:val="FootnoteText"/>
        <w:ind w:firstLine="360"/>
      </w:pPr>
      <w:r>
        <w:rPr>
          <w:rStyle w:val="FootnoteReference"/>
        </w:rPr>
        <w:footnoteRef/>
      </w:r>
      <w:r>
        <w:tab/>
      </w:r>
      <w:r w:rsidR="000D47B4" w:rsidRPr="00F16470">
        <w:rPr>
          <w:i/>
        </w:rPr>
        <w:t>See, e.g.,</w:t>
      </w:r>
      <w:r w:rsidR="000D47B4">
        <w:t xml:space="preserve"> University of Texas Center for Energy Economics, </w:t>
      </w:r>
      <w:r w:rsidR="000D47B4" w:rsidRPr="00F16470">
        <w:rPr>
          <w:i/>
        </w:rPr>
        <w:t>Composition of Natural Gas and LNG</w:t>
      </w:r>
      <w:r w:rsidR="000D47B4">
        <w:t xml:space="preserve">, available at </w:t>
      </w:r>
      <w:hyperlink r:id="rId2" w:history="1">
        <w:r w:rsidR="000D47B4" w:rsidRPr="00403BC3">
          <w:rPr>
            <w:rStyle w:val="Hyperlink"/>
            <w:noProof w:val="0"/>
          </w:rPr>
          <w:t>http://www.beg.utexas.edu/energyecon/lng/LNG_introduction_07.php</w:t>
        </w:r>
      </w:hyperlink>
      <w:r w:rsidR="000D47B4">
        <w:t xml:space="preserve"> (last accessed Nov. 24, 2015).</w:t>
      </w:r>
    </w:p>
  </w:footnote>
  <w:footnote w:id="112">
    <w:p w:rsidR="00F77CC7" w:rsidRDefault="00F77CC7" w:rsidP="00F16470">
      <w:pPr>
        <w:pStyle w:val="FootnoteText"/>
        <w:ind w:firstLine="360"/>
      </w:pPr>
      <w:r>
        <w:rPr>
          <w:rStyle w:val="FootnoteReference"/>
        </w:rPr>
        <w:footnoteRef/>
      </w:r>
      <w:r>
        <w:tab/>
        <w:t xml:space="preserve">U.S. Energy Information Administration, </w:t>
      </w:r>
      <w:r w:rsidRPr="00F16470">
        <w:rPr>
          <w:i/>
        </w:rPr>
        <w:t>Natural Gas Explained</w:t>
      </w:r>
      <w:r w:rsidRPr="00F16470">
        <w:t>, available at</w:t>
      </w:r>
      <w:r>
        <w:t xml:space="preserve"> </w:t>
      </w:r>
      <w:hyperlink r:id="rId3" w:history="1">
        <w:r w:rsidRPr="00403BC3">
          <w:rPr>
            <w:rStyle w:val="Hyperlink"/>
            <w:noProof w:val="0"/>
          </w:rPr>
          <w:t>http://www.eia.gov/EnergyExplained/index.cfm?page=Natural_Gas_Home</w:t>
        </w:r>
      </w:hyperlink>
      <w:r>
        <w:t xml:space="preserve"> (last accessed Nov. 2</w:t>
      </w:r>
      <w:r w:rsidR="000D47B4">
        <w:t>4</w:t>
      </w:r>
      <w:r>
        <w:t>, 2015).</w:t>
      </w:r>
    </w:p>
  </w:footnote>
  <w:footnote w:id="113">
    <w:p w:rsidR="00F77CC7" w:rsidRDefault="00F77CC7" w:rsidP="00F16470">
      <w:pPr>
        <w:pStyle w:val="FootnoteText"/>
        <w:ind w:firstLine="360"/>
      </w:pPr>
      <w:r>
        <w:rPr>
          <w:rStyle w:val="FootnoteReference"/>
        </w:rPr>
        <w:footnoteRef/>
      </w:r>
      <w:r>
        <w:tab/>
      </w:r>
      <w:r>
        <w:rPr>
          <w:i/>
        </w:rPr>
        <w:t>Id.</w:t>
      </w:r>
    </w:p>
  </w:footnote>
  <w:footnote w:id="114">
    <w:p w:rsidR="00F77CC7" w:rsidRDefault="00F77CC7" w:rsidP="00F16470">
      <w:pPr>
        <w:pStyle w:val="FootnoteText"/>
        <w:ind w:firstLine="360"/>
      </w:pPr>
      <w:r>
        <w:rPr>
          <w:rStyle w:val="FootnoteReference"/>
        </w:rPr>
        <w:footnoteRef/>
      </w:r>
      <w:r>
        <w:tab/>
      </w:r>
      <w:r>
        <w:rPr>
          <w:i/>
        </w:rPr>
        <w:t>Id.</w:t>
      </w:r>
    </w:p>
  </w:footnote>
  <w:footnote w:id="115">
    <w:p w:rsidR="00F77CC7" w:rsidRDefault="00F77CC7" w:rsidP="00F16470">
      <w:pPr>
        <w:pStyle w:val="FootnoteText"/>
        <w:ind w:firstLine="360"/>
      </w:pPr>
      <w:r>
        <w:rPr>
          <w:rStyle w:val="FootnoteReference"/>
        </w:rPr>
        <w:footnoteRef/>
      </w:r>
      <w:r>
        <w:tab/>
        <w:t xml:space="preserve">U.S. Department of Energy, Office of Fossil Energy, National Energy Technology Laboratory, Strategic Center for Natural Gas, </w:t>
      </w:r>
      <w:r w:rsidRPr="00F16470">
        <w:rPr>
          <w:i/>
        </w:rPr>
        <w:t>Liquefied Natural Gas (LNG)</w:t>
      </w:r>
      <w:r>
        <w:t xml:space="preserve">, at page 1 (June 2004), available at </w:t>
      </w:r>
      <w:hyperlink r:id="rId4" w:history="1">
        <w:r w:rsidRPr="00403BC3">
          <w:rPr>
            <w:rStyle w:val="Hyperlink"/>
            <w:noProof w:val="0"/>
          </w:rPr>
          <w:t>https://www.netl.doe.gov/publications/factsheets/policy/Policy023.pdf</w:t>
        </w:r>
      </w:hyperlink>
      <w:r>
        <w:t xml:space="preserve"> (last accessed Nov. 2</w:t>
      </w:r>
      <w:r w:rsidR="000D47B4">
        <w:t>4</w:t>
      </w:r>
      <w:r>
        <w:t>, 2015).</w:t>
      </w:r>
    </w:p>
  </w:footnote>
  <w:footnote w:id="116">
    <w:p w:rsidR="00F77CC7" w:rsidRDefault="00F77CC7" w:rsidP="002721CA">
      <w:pPr>
        <w:pStyle w:val="FootnoteText"/>
        <w:ind w:firstLine="360"/>
      </w:pPr>
      <w:r>
        <w:rPr>
          <w:rStyle w:val="FootnoteReference"/>
        </w:rPr>
        <w:footnoteRef/>
      </w:r>
      <w:r>
        <w:tab/>
      </w:r>
      <w:r>
        <w:rPr>
          <w:i/>
        </w:rPr>
        <w:t>Id.</w:t>
      </w:r>
    </w:p>
  </w:footnote>
  <w:footnote w:id="117">
    <w:p w:rsidR="00F77CC7" w:rsidRDefault="00F77CC7" w:rsidP="002721CA">
      <w:pPr>
        <w:pStyle w:val="FootnoteText"/>
        <w:ind w:firstLine="360"/>
      </w:pPr>
      <w:r>
        <w:rPr>
          <w:rStyle w:val="FootnoteReference"/>
        </w:rPr>
        <w:footnoteRef/>
      </w:r>
      <w:r>
        <w:tab/>
      </w:r>
      <w:r>
        <w:rPr>
          <w:i/>
        </w:rPr>
        <w:t>Id.</w:t>
      </w:r>
    </w:p>
  </w:footnote>
  <w:footnote w:id="118">
    <w:p w:rsidR="00F77CC7" w:rsidRDefault="00F77CC7" w:rsidP="002721CA">
      <w:pPr>
        <w:pStyle w:val="FootnoteText"/>
        <w:ind w:firstLine="360"/>
      </w:pPr>
      <w:r>
        <w:rPr>
          <w:rStyle w:val="FootnoteReference"/>
        </w:rPr>
        <w:footnoteRef/>
      </w:r>
      <w:r>
        <w:tab/>
      </w:r>
      <w:r>
        <w:rPr>
          <w:i/>
        </w:rPr>
        <w:t>Id.</w:t>
      </w:r>
    </w:p>
  </w:footnote>
  <w:footnote w:id="119">
    <w:p w:rsidR="00F77CC7" w:rsidRDefault="00F77CC7" w:rsidP="002721CA">
      <w:pPr>
        <w:pStyle w:val="FootnoteText"/>
        <w:ind w:firstLine="360"/>
      </w:pPr>
      <w:r>
        <w:rPr>
          <w:rStyle w:val="FootnoteReference"/>
        </w:rPr>
        <w:footnoteRef/>
      </w:r>
      <w:r>
        <w:tab/>
        <w:t>Riding, Exh. No. ___(CR-1CT), at page 4, lines 8-10.</w:t>
      </w:r>
    </w:p>
  </w:footnote>
  <w:footnote w:id="120">
    <w:p w:rsidR="00F77CC7" w:rsidRDefault="00F77CC7" w:rsidP="00A37674">
      <w:pPr>
        <w:pStyle w:val="FootnoteText"/>
        <w:ind w:firstLine="360"/>
      </w:pPr>
      <w:r>
        <w:rPr>
          <w:rStyle w:val="FootnoteReference"/>
        </w:rPr>
        <w:footnoteRef/>
      </w:r>
      <w:r>
        <w:tab/>
        <w:t xml:space="preserve">Northwest Pipeline LLC, FERC Gas Tariff, Fifth Revised Volume No. 1, at </w:t>
      </w:r>
      <w:r w:rsidRPr="00A37674">
        <w:t>Fourth Revised Sheet No.</w:t>
      </w:r>
      <w:r>
        <w:t> </w:t>
      </w:r>
      <w:r w:rsidRPr="00A37674">
        <w:t>202-A</w:t>
      </w:r>
      <w:r>
        <w:t xml:space="preserve">, available at </w:t>
      </w:r>
      <w:hyperlink r:id="rId5" w:history="1">
        <w:r w:rsidRPr="00403BC3">
          <w:rPr>
            <w:rStyle w:val="Hyperlink"/>
            <w:noProof w:val="0"/>
          </w:rPr>
          <w:t>http://www.northwest.williams.com/Files/Northwest/tariff/tariff_GTC.pdf</w:t>
        </w:r>
      </w:hyperlink>
      <w:r w:rsidR="000D47B4">
        <w:t xml:space="preserve"> (last accessed Nov. 24, 2015) (“Northwest Pipeline Tariff”).</w:t>
      </w:r>
    </w:p>
  </w:footnote>
  <w:footnote w:id="121">
    <w:p w:rsidR="00F77CC7" w:rsidRDefault="00F77CC7" w:rsidP="002721CA">
      <w:pPr>
        <w:pStyle w:val="FootnoteText"/>
        <w:ind w:firstLine="360"/>
      </w:pPr>
      <w:r>
        <w:rPr>
          <w:rStyle w:val="FootnoteReference"/>
        </w:rPr>
        <w:footnoteRef/>
      </w:r>
      <w:r>
        <w:tab/>
      </w:r>
      <w:r w:rsidR="000D47B4" w:rsidRPr="000D47B4">
        <w:t>Northwest Pipelin</w:t>
      </w:r>
      <w:r w:rsidR="000D47B4">
        <w:t>e</w:t>
      </w:r>
      <w:r w:rsidR="000D47B4" w:rsidRPr="000D47B4">
        <w:t xml:space="preserve"> Tariff</w:t>
      </w:r>
      <w:r>
        <w:t xml:space="preserve"> at First Revised Sheet No. 204-D.</w:t>
      </w:r>
    </w:p>
  </w:footnote>
  <w:footnote w:id="122">
    <w:p w:rsidR="00F77CC7" w:rsidRDefault="00F77CC7" w:rsidP="005A17CB">
      <w:pPr>
        <w:pStyle w:val="FootnoteText"/>
        <w:ind w:firstLine="360"/>
      </w:pPr>
      <w:r>
        <w:rPr>
          <w:rStyle w:val="FootnoteReference"/>
        </w:rPr>
        <w:footnoteRef/>
      </w:r>
      <w:r>
        <w:tab/>
      </w:r>
      <w:r w:rsidRPr="00AE5B39">
        <w:t>WAC 480-90-023.</w:t>
      </w:r>
    </w:p>
  </w:footnote>
  <w:footnote w:id="123">
    <w:p w:rsidR="00F77CC7" w:rsidRDefault="00F77CC7" w:rsidP="005A17CB">
      <w:pPr>
        <w:pStyle w:val="FootnoteText"/>
        <w:ind w:firstLine="360"/>
      </w:pPr>
      <w:r>
        <w:rPr>
          <w:rStyle w:val="FootnoteReference"/>
        </w:rPr>
        <w:footnoteRef/>
      </w:r>
      <w:r>
        <w:tab/>
        <w:t>Hogan, Exh. No. ___(JPH-1T), at page 6, lines 13-16.</w:t>
      </w:r>
    </w:p>
  </w:footnote>
  <w:footnote w:id="124">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t>at page 6, lines 16-17.</w:t>
      </w:r>
    </w:p>
  </w:footnote>
  <w:footnote w:id="125">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t>at page 6, lines 17-19.</w:t>
      </w:r>
    </w:p>
  </w:footnote>
  <w:footnote w:id="126">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t>at page 6, lines 19-20.</w:t>
      </w:r>
    </w:p>
  </w:footnote>
  <w:footnote w:id="127">
    <w:p w:rsidR="00F77CC7" w:rsidRDefault="00F77CC7" w:rsidP="00BF7E32">
      <w:pPr>
        <w:pStyle w:val="FootnoteText"/>
        <w:ind w:firstLine="360"/>
      </w:pPr>
      <w:r>
        <w:rPr>
          <w:rStyle w:val="FootnoteReference"/>
        </w:rPr>
        <w:footnoteRef/>
      </w:r>
      <w:r>
        <w:tab/>
        <w:t xml:space="preserve">Riding, </w:t>
      </w:r>
      <w:r w:rsidRPr="00BF7E32">
        <w:t>Exh. No.</w:t>
      </w:r>
      <w:r>
        <w:t> </w:t>
      </w:r>
      <w:r w:rsidRPr="00BF7E32">
        <w:t>___(CR-4C)</w:t>
      </w:r>
      <w:r>
        <w:t>,</w:t>
      </w:r>
      <w:r w:rsidRPr="00BF7E32">
        <w:t xml:space="preserve"> at page 16.</w:t>
      </w:r>
    </w:p>
  </w:footnote>
  <w:footnote w:id="128">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rsidRPr="00BF7E32">
        <w:t xml:space="preserve">at page </w:t>
      </w:r>
      <w:r>
        <w:t>14</w:t>
      </w:r>
      <w:r w:rsidRPr="00BF7E32">
        <w:t>.</w:t>
      </w:r>
    </w:p>
  </w:footnote>
  <w:footnote w:id="129">
    <w:p w:rsidR="00F77CC7" w:rsidRDefault="00F77CC7" w:rsidP="00BF7E32">
      <w:pPr>
        <w:pStyle w:val="FootnoteText"/>
        <w:ind w:firstLine="360"/>
      </w:pPr>
      <w:r>
        <w:rPr>
          <w:rStyle w:val="FootnoteReference"/>
        </w:rPr>
        <w:footnoteRef/>
      </w:r>
      <w:r>
        <w:tab/>
      </w:r>
      <w:r w:rsidR="000D47B4" w:rsidRPr="000D47B4">
        <w:rPr>
          <w:i/>
        </w:rPr>
        <w:t>Id.</w:t>
      </w:r>
      <w:r w:rsidR="000D47B4">
        <w:t xml:space="preserve"> </w:t>
      </w:r>
      <w:r w:rsidRPr="00BF7E32">
        <w:t>at page 78.</w:t>
      </w:r>
    </w:p>
  </w:footnote>
  <w:footnote w:id="130">
    <w:p w:rsidR="00F77CC7" w:rsidRDefault="00F77CC7" w:rsidP="00BF7E32">
      <w:pPr>
        <w:pStyle w:val="FootnoteText"/>
        <w:ind w:firstLine="360"/>
      </w:pPr>
      <w:r>
        <w:rPr>
          <w:rStyle w:val="FootnoteReference"/>
        </w:rPr>
        <w:footnoteRef/>
      </w:r>
      <w:r>
        <w:tab/>
      </w:r>
      <w:r>
        <w:rPr>
          <w:i/>
        </w:rPr>
        <w:t>Id.</w:t>
      </w:r>
    </w:p>
  </w:footnote>
  <w:footnote w:id="131">
    <w:p w:rsidR="00F77CC7" w:rsidRDefault="00F77CC7" w:rsidP="00BF7E32">
      <w:pPr>
        <w:pStyle w:val="FootnoteText"/>
        <w:ind w:firstLine="360"/>
      </w:pPr>
      <w:r>
        <w:rPr>
          <w:rStyle w:val="FootnoteReference"/>
        </w:rPr>
        <w:footnoteRef/>
      </w:r>
      <w:r>
        <w:tab/>
      </w:r>
      <w:r>
        <w:rPr>
          <w:i/>
        </w:rPr>
        <w:t>Id.</w:t>
      </w:r>
    </w:p>
  </w:footnote>
  <w:footnote w:id="132">
    <w:p w:rsidR="00F77CC7" w:rsidRDefault="00F77CC7" w:rsidP="000D68C5">
      <w:pPr>
        <w:pStyle w:val="FootnoteText"/>
        <w:ind w:firstLine="360"/>
      </w:pPr>
      <w:r>
        <w:rPr>
          <w:rStyle w:val="FootnoteReference"/>
        </w:rPr>
        <w:footnoteRef/>
      </w:r>
      <w:r>
        <w:tab/>
      </w:r>
      <w:r w:rsidRPr="000D68C5">
        <w:t>RCW 80.04.010(25)</w:t>
      </w:r>
      <w:r>
        <w:t>.</w:t>
      </w:r>
    </w:p>
  </w:footnote>
  <w:footnote w:id="133">
    <w:p w:rsidR="00F77CC7" w:rsidRDefault="00F77CC7" w:rsidP="000D68C5">
      <w:pPr>
        <w:pStyle w:val="FootnoteText"/>
        <w:ind w:firstLine="360"/>
      </w:pPr>
      <w:r>
        <w:rPr>
          <w:rStyle w:val="FootnoteReference"/>
        </w:rPr>
        <w:footnoteRef/>
      </w:r>
      <w:r>
        <w:tab/>
      </w:r>
      <w:r w:rsidRPr="000D68C5">
        <w:rPr>
          <w:i/>
        </w:rPr>
        <w:t>See</w:t>
      </w:r>
      <w:r w:rsidRPr="000D68C5">
        <w:t xml:space="preserve"> Exh. No. ___(CR-4C) at page 23 (condition precedent of Commission approval) and page 80 (pricing based on cost-based rate design).</w:t>
      </w:r>
    </w:p>
  </w:footnote>
  <w:footnote w:id="134">
    <w:p w:rsidR="00F77CC7" w:rsidRDefault="00F77CC7" w:rsidP="000D68C5">
      <w:pPr>
        <w:pStyle w:val="FootnoteText"/>
        <w:ind w:firstLine="360"/>
      </w:pPr>
      <w:r>
        <w:rPr>
          <w:rStyle w:val="FootnoteReference"/>
        </w:rPr>
        <w:footnoteRef/>
      </w:r>
      <w:r>
        <w:tab/>
      </w:r>
      <w:r w:rsidRPr="001130E9">
        <w:rPr>
          <w:i/>
        </w:rPr>
        <w:t>See</w:t>
      </w:r>
      <w:r>
        <w:t xml:space="preserve">, </w:t>
      </w:r>
      <w:r w:rsidRPr="001130E9">
        <w:rPr>
          <w:i/>
        </w:rPr>
        <w:t>e.g.</w:t>
      </w:r>
      <w:r>
        <w:t xml:space="preserve">, </w:t>
      </w:r>
      <w:r w:rsidRPr="001130E9">
        <w:rPr>
          <w:i/>
        </w:rPr>
        <w:t>WUTC v. Wash. Natural Gas Co.</w:t>
      </w:r>
      <w:r>
        <w:t>, Docket UG-920840, 4th Suppl. Order (Sept. 27, 1993)</w:t>
      </w:r>
    </w:p>
  </w:footnote>
  <w:footnote w:id="135">
    <w:p w:rsidR="00F77CC7" w:rsidRDefault="00F77CC7" w:rsidP="000D68C5">
      <w:pPr>
        <w:pStyle w:val="FootnoteText"/>
        <w:ind w:firstLine="360"/>
      </w:pPr>
      <w:r>
        <w:rPr>
          <w:rStyle w:val="FootnoteReference"/>
        </w:rPr>
        <w:footnoteRef/>
      </w:r>
      <w:r>
        <w:tab/>
      </w:r>
      <w:r w:rsidRPr="001130E9">
        <w:t>RCW</w:t>
      </w:r>
      <w:r>
        <w:t> </w:t>
      </w:r>
      <w:r w:rsidRPr="001130E9">
        <w:t>43.19.648</w:t>
      </w:r>
      <w:r>
        <w:t>(1).</w:t>
      </w:r>
    </w:p>
  </w:footnote>
  <w:footnote w:id="136">
    <w:p w:rsidR="00F77CC7" w:rsidRDefault="00F77CC7" w:rsidP="007D7E5C">
      <w:pPr>
        <w:pStyle w:val="FootnoteText"/>
        <w:ind w:firstLine="360"/>
      </w:pPr>
      <w:r>
        <w:rPr>
          <w:rStyle w:val="FootnoteReference"/>
        </w:rPr>
        <w:footnoteRef/>
      </w:r>
      <w:r>
        <w:tab/>
      </w:r>
      <w:r>
        <w:rPr>
          <w:i/>
        </w:rPr>
        <w:t>See</w:t>
      </w:r>
      <w:r>
        <w:t xml:space="preserve"> Riding, Exh. No. </w:t>
      </w:r>
      <w:r w:rsidR="00933574">
        <w:t>_</w:t>
      </w:r>
      <w:r>
        <w:t>__(CR-4C)</w:t>
      </w:r>
      <w:r w:rsidR="00933574">
        <w:t>,</w:t>
      </w:r>
      <w:r w:rsidRPr="00493FF2">
        <w:t xml:space="preserve"> </w:t>
      </w:r>
      <w:r>
        <w:t>at page 92.</w:t>
      </w:r>
    </w:p>
  </w:footnote>
  <w:footnote w:id="137">
    <w:p w:rsidR="00F77CC7" w:rsidRDefault="00F77CC7" w:rsidP="007D7E5C">
      <w:pPr>
        <w:pStyle w:val="FootnoteText"/>
        <w:ind w:firstLine="360"/>
      </w:pPr>
      <w:r>
        <w:rPr>
          <w:rStyle w:val="FootnoteReference"/>
        </w:rPr>
        <w:footnoteRef/>
      </w:r>
      <w:r>
        <w:tab/>
      </w:r>
      <w:r>
        <w:rPr>
          <w:i/>
        </w:rPr>
        <w:t>Id.</w:t>
      </w:r>
    </w:p>
  </w:footnote>
  <w:footnote w:id="138">
    <w:p w:rsidR="00F77CC7" w:rsidRDefault="00F77CC7" w:rsidP="007D7E5C">
      <w:pPr>
        <w:pStyle w:val="FootnoteText"/>
        <w:ind w:firstLine="360"/>
      </w:pPr>
      <w:r>
        <w:rPr>
          <w:rStyle w:val="FootnoteReference"/>
        </w:rPr>
        <w:footnoteRef/>
      </w:r>
      <w:r>
        <w:tab/>
      </w:r>
      <w:r w:rsidR="00933574">
        <w:t xml:space="preserve">Riding, Exh. No. ___(CR-4C), </w:t>
      </w:r>
      <w:r>
        <w:t>at page 29.</w:t>
      </w:r>
    </w:p>
  </w:footnote>
  <w:footnote w:id="139">
    <w:p w:rsidR="00F77CC7" w:rsidRDefault="00F77CC7" w:rsidP="007D7E5C">
      <w:pPr>
        <w:pStyle w:val="FootnoteText"/>
        <w:ind w:firstLine="360"/>
      </w:pPr>
      <w:r>
        <w:rPr>
          <w:rStyle w:val="FootnoteReference"/>
        </w:rPr>
        <w:footnoteRef/>
      </w:r>
      <w:r>
        <w:tab/>
      </w:r>
      <w:r>
        <w:rPr>
          <w:i/>
        </w:rPr>
        <w:t xml:space="preserve">Id. </w:t>
      </w:r>
      <w:r>
        <w:t>at page 33.</w:t>
      </w:r>
    </w:p>
  </w:footnote>
  <w:footnote w:id="140">
    <w:p w:rsidR="00F77CC7" w:rsidRDefault="00F77CC7" w:rsidP="007D7E5C">
      <w:pPr>
        <w:pStyle w:val="FootnoteText"/>
        <w:ind w:firstLine="360"/>
      </w:pPr>
      <w:r>
        <w:rPr>
          <w:rStyle w:val="FootnoteReference"/>
        </w:rPr>
        <w:footnoteRef/>
      </w:r>
      <w:r>
        <w:tab/>
      </w:r>
      <w:r>
        <w:rPr>
          <w:i/>
        </w:rPr>
        <w:t>Id.</w:t>
      </w:r>
    </w:p>
  </w:footnote>
  <w:footnote w:id="141">
    <w:p w:rsidR="00F77CC7" w:rsidRDefault="00F77CC7" w:rsidP="000D68C5">
      <w:pPr>
        <w:pStyle w:val="FootnoteText"/>
        <w:ind w:firstLine="360"/>
      </w:pPr>
      <w:r>
        <w:rPr>
          <w:rStyle w:val="FootnoteReference"/>
        </w:rPr>
        <w:footnoteRef/>
      </w:r>
      <w:r>
        <w:tab/>
        <w:t>15 U.S.</w:t>
      </w:r>
      <w:r w:rsidRPr="008728BD">
        <w:t>C</w:t>
      </w:r>
      <w:r>
        <w:t>.</w:t>
      </w:r>
      <w:r w:rsidRPr="008728BD">
        <w:t xml:space="preserve"> §</w:t>
      </w:r>
      <w:r>
        <w:t> </w:t>
      </w:r>
      <w:r w:rsidRPr="008728BD">
        <w:t>717</w:t>
      </w:r>
      <w:r>
        <w:t>(d).</w:t>
      </w:r>
    </w:p>
  </w:footnote>
  <w:footnote w:id="142">
    <w:p w:rsidR="00F77CC7" w:rsidRDefault="00F77CC7" w:rsidP="000D68C5">
      <w:pPr>
        <w:pStyle w:val="FootnoteText"/>
        <w:ind w:firstLine="360"/>
      </w:pPr>
      <w:r>
        <w:rPr>
          <w:rStyle w:val="FootnoteReference"/>
        </w:rPr>
        <w:footnoteRef/>
      </w:r>
      <w:r>
        <w:tab/>
      </w:r>
      <w:r w:rsidRPr="008728BD">
        <w:t>15</w:t>
      </w:r>
      <w:r>
        <w:t> </w:t>
      </w:r>
      <w:r w:rsidRPr="008728BD">
        <w:t>U.S.C</w:t>
      </w:r>
      <w:r>
        <w:t xml:space="preserve">. </w:t>
      </w:r>
      <w:r w:rsidRPr="008728BD">
        <w:t>§</w:t>
      </w:r>
      <w:r>
        <w:t> </w:t>
      </w:r>
      <w:r w:rsidRPr="008728BD">
        <w:t>717a</w:t>
      </w:r>
      <w:r>
        <w:t>(10).</w:t>
      </w:r>
    </w:p>
  </w:footnote>
  <w:footnote w:id="143">
    <w:p w:rsidR="00F77CC7" w:rsidRDefault="00F77CC7" w:rsidP="000D68C5">
      <w:pPr>
        <w:pStyle w:val="FootnoteText"/>
        <w:ind w:firstLine="360"/>
      </w:pPr>
      <w:r>
        <w:rPr>
          <w:rStyle w:val="FootnoteReference"/>
        </w:rPr>
        <w:footnoteRef/>
      </w:r>
      <w:r>
        <w:tab/>
      </w:r>
      <w:r w:rsidRPr="008728BD">
        <w:t>18</w:t>
      </w:r>
      <w:r>
        <w:t> </w:t>
      </w:r>
      <w:r w:rsidRPr="008728BD">
        <w:t>C</w:t>
      </w:r>
      <w:r>
        <w:t>.</w:t>
      </w:r>
      <w:r w:rsidRPr="008728BD">
        <w:t>F</w:t>
      </w:r>
      <w:r>
        <w:t>.</w:t>
      </w:r>
      <w:r w:rsidRPr="008728BD">
        <w:t>R</w:t>
      </w:r>
      <w:r>
        <w:t>.</w:t>
      </w:r>
      <w:r w:rsidRPr="008728BD">
        <w:t xml:space="preserve"> </w:t>
      </w:r>
      <w:r>
        <w:t>§ </w:t>
      </w:r>
      <w:r w:rsidRPr="008728BD">
        <w:t>152.1</w:t>
      </w:r>
      <w:r>
        <w:t>(b)(1)(i).</w:t>
      </w:r>
    </w:p>
  </w:footnote>
  <w:footnote w:id="144">
    <w:p w:rsidR="00F77CC7" w:rsidRDefault="00F77CC7" w:rsidP="008728BD">
      <w:pPr>
        <w:pStyle w:val="FootnoteText"/>
        <w:tabs>
          <w:tab w:val="left" w:pos="720"/>
        </w:tabs>
        <w:ind w:firstLine="360"/>
      </w:pPr>
      <w:r>
        <w:rPr>
          <w:rStyle w:val="FootnoteReference"/>
        </w:rPr>
        <w:footnoteRef/>
      </w:r>
      <w:r>
        <w:tab/>
      </w:r>
      <w:r w:rsidRPr="008728BD">
        <w:rPr>
          <w:i/>
        </w:rPr>
        <w:t>Regulations Governing Vehicular Natural Gas</w:t>
      </w:r>
      <w:r>
        <w:t>, Order No. 543, 57 Fed. Reg. 32,890 (1992) (“Order No. 543”).</w:t>
      </w:r>
    </w:p>
  </w:footnote>
  <w:footnote w:id="145">
    <w:p w:rsidR="00F77CC7" w:rsidRDefault="00F77CC7" w:rsidP="000D68C5">
      <w:pPr>
        <w:pStyle w:val="FootnoteText"/>
        <w:ind w:firstLine="360"/>
      </w:pPr>
      <w:r>
        <w:rPr>
          <w:rStyle w:val="FootnoteReference"/>
        </w:rPr>
        <w:footnoteRef/>
      </w:r>
      <w:r>
        <w:tab/>
      </w:r>
      <w:r w:rsidRPr="000D68C5">
        <w:t>Order No. 543, 57 Fed. Reg. 32890 at 32.</w:t>
      </w:r>
    </w:p>
  </w:footnote>
  <w:footnote w:id="146">
    <w:p w:rsidR="00F77CC7" w:rsidRDefault="00F77CC7" w:rsidP="000D68C5">
      <w:pPr>
        <w:pStyle w:val="FootnoteText"/>
        <w:ind w:firstLine="360"/>
      </w:pPr>
      <w:r>
        <w:rPr>
          <w:rStyle w:val="FootnoteReference"/>
        </w:rPr>
        <w:footnoteRef/>
      </w:r>
      <w:r>
        <w:tab/>
      </w:r>
      <w:r w:rsidRPr="00617615">
        <w:t>Pub.</w:t>
      </w:r>
      <w:r>
        <w:t> </w:t>
      </w:r>
      <w:r w:rsidRPr="00617615">
        <w:t>L.</w:t>
      </w:r>
      <w:r>
        <w:t> </w:t>
      </w:r>
      <w:r w:rsidRPr="00617615">
        <w:t>102–486, title</w:t>
      </w:r>
      <w:r>
        <w:t> </w:t>
      </w:r>
      <w:r w:rsidRPr="00617615">
        <w:t>IV, §</w:t>
      </w:r>
      <w:r>
        <w:t> </w:t>
      </w:r>
      <w:r w:rsidRPr="00617615">
        <w:t>404(</w:t>
      </w:r>
      <w:r>
        <w:t>b</w:t>
      </w:r>
      <w:r w:rsidRPr="00617615">
        <w:t>)</w:t>
      </w:r>
      <w:r>
        <w:t xml:space="preserve">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Header"/>
    </w:pPr>
    <w:r>
      <w:rPr>
        <w:rStyle w:val="PageNumber"/>
        <w:noProof/>
      </w:rPr>
      <w:t>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Default="00F77C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CC7" w:rsidRPr="00457B6A" w:rsidRDefault="00F77CC7" w:rsidP="00457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DA867A"/>
    <w:lvl w:ilvl="0">
      <w:start w:val="1"/>
      <w:numFmt w:val="decimal"/>
      <w:lvlText w:val="%1."/>
      <w:lvlJc w:val="left"/>
      <w:pPr>
        <w:tabs>
          <w:tab w:val="num" w:pos="1800"/>
        </w:tabs>
        <w:ind w:left="1800" w:hanging="360"/>
      </w:pPr>
    </w:lvl>
  </w:abstractNum>
  <w:abstractNum w:abstractNumId="1">
    <w:nsid w:val="FFFFFF7D"/>
    <w:multiLevelType w:val="singleLevel"/>
    <w:tmpl w:val="5686C882"/>
    <w:lvl w:ilvl="0">
      <w:start w:val="1"/>
      <w:numFmt w:val="decimal"/>
      <w:lvlText w:val="%1."/>
      <w:lvlJc w:val="left"/>
      <w:pPr>
        <w:tabs>
          <w:tab w:val="num" w:pos="1440"/>
        </w:tabs>
        <w:ind w:left="1440" w:hanging="360"/>
      </w:pPr>
    </w:lvl>
  </w:abstractNum>
  <w:abstractNum w:abstractNumId="2">
    <w:nsid w:val="FFFFFF7E"/>
    <w:multiLevelType w:val="singleLevel"/>
    <w:tmpl w:val="4994225A"/>
    <w:lvl w:ilvl="0">
      <w:start w:val="1"/>
      <w:numFmt w:val="decimal"/>
      <w:lvlText w:val="%1."/>
      <w:lvlJc w:val="left"/>
      <w:pPr>
        <w:tabs>
          <w:tab w:val="num" w:pos="1080"/>
        </w:tabs>
        <w:ind w:left="1080" w:hanging="360"/>
      </w:pPr>
    </w:lvl>
  </w:abstractNum>
  <w:abstractNum w:abstractNumId="3">
    <w:nsid w:val="FFFFFF7F"/>
    <w:multiLevelType w:val="singleLevel"/>
    <w:tmpl w:val="B1E6633C"/>
    <w:lvl w:ilvl="0">
      <w:start w:val="1"/>
      <w:numFmt w:val="decimal"/>
      <w:lvlText w:val="%1."/>
      <w:lvlJc w:val="left"/>
      <w:pPr>
        <w:tabs>
          <w:tab w:val="num" w:pos="720"/>
        </w:tabs>
        <w:ind w:left="720" w:hanging="360"/>
      </w:pPr>
    </w:lvl>
  </w:abstractNum>
  <w:abstractNum w:abstractNumId="4">
    <w:nsid w:val="FFFFFF80"/>
    <w:multiLevelType w:val="singleLevel"/>
    <w:tmpl w:val="819E24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3A49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DEBA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A6E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CE7400"/>
    <w:lvl w:ilvl="0">
      <w:start w:val="1"/>
      <w:numFmt w:val="decimal"/>
      <w:lvlText w:val="%1."/>
      <w:lvlJc w:val="left"/>
      <w:pPr>
        <w:tabs>
          <w:tab w:val="num" w:pos="360"/>
        </w:tabs>
        <w:ind w:left="360" w:hanging="360"/>
      </w:pPr>
    </w:lvl>
  </w:abstractNum>
  <w:abstractNum w:abstractNumId="9">
    <w:nsid w:val="FFFFFF89"/>
    <w:multiLevelType w:val="singleLevel"/>
    <w:tmpl w:val="BAB06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72CDC9E"/>
    <w:lvl w:ilvl="0">
      <w:numFmt w:val="bullet"/>
      <w:lvlText w:val="*"/>
      <w:lvlJc w:val="left"/>
    </w:lvl>
  </w:abstractNum>
  <w:abstractNum w:abstractNumId="1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E56DAD"/>
    <w:multiLevelType w:val="multilevel"/>
    <w:tmpl w:val="D9286C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589783A"/>
    <w:multiLevelType w:val="hybridMultilevel"/>
    <w:tmpl w:val="191EE670"/>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nsid w:val="0B501D80"/>
    <w:multiLevelType w:val="singleLevel"/>
    <w:tmpl w:val="E2CE964E"/>
    <w:lvl w:ilvl="0">
      <w:start w:val="17"/>
      <w:numFmt w:val="upperLetter"/>
      <w:lvlText w:val="%1."/>
      <w:lvlJc w:val="left"/>
      <w:pPr>
        <w:tabs>
          <w:tab w:val="num" w:pos="720"/>
        </w:tabs>
        <w:ind w:left="720" w:hanging="720"/>
      </w:pPr>
      <w:rPr>
        <w:rFonts w:hint="default"/>
      </w:rPr>
    </w:lvl>
  </w:abstractNum>
  <w:abstractNum w:abstractNumId="15">
    <w:nsid w:val="0EE47694"/>
    <w:multiLevelType w:val="hybridMultilevel"/>
    <w:tmpl w:val="D45C804E"/>
    <w:lvl w:ilvl="0" w:tplc="8E840018">
      <w:start w:val="1"/>
      <w:numFmt w:val="lowerRoman"/>
      <w:lvlText w:val="(%1)"/>
      <w:lvlJc w:val="left"/>
      <w:pPr>
        <w:tabs>
          <w:tab w:val="num" w:pos="2160"/>
        </w:tabs>
        <w:ind w:left="2160" w:hanging="720"/>
      </w:pPr>
      <w:rPr>
        <w:rFonts w:hint="default"/>
      </w:rPr>
    </w:lvl>
    <w:lvl w:ilvl="1" w:tplc="FC285498" w:tentative="1">
      <w:start w:val="1"/>
      <w:numFmt w:val="lowerLetter"/>
      <w:lvlText w:val="%2."/>
      <w:lvlJc w:val="left"/>
      <w:pPr>
        <w:tabs>
          <w:tab w:val="num" w:pos="2520"/>
        </w:tabs>
        <w:ind w:left="2520" w:hanging="360"/>
      </w:pPr>
    </w:lvl>
    <w:lvl w:ilvl="2" w:tplc="AE16FDDA" w:tentative="1">
      <w:start w:val="1"/>
      <w:numFmt w:val="lowerRoman"/>
      <w:lvlText w:val="%3."/>
      <w:lvlJc w:val="right"/>
      <w:pPr>
        <w:tabs>
          <w:tab w:val="num" w:pos="3240"/>
        </w:tabs>
        <w:ind w:left="3240" w:hanging="180"/>
      </w:pPr>
    </w:lvl>
    <w:lvl w:ilvl="3" w:tplc="1DF24B6E" w:tentative="1">
      <w:start w:val="1"/>
      <w:numFmt w:val="decimal"/>
      <w:lvlText w:val="%4."/>
      <w:lvlJc w:val="left"/>
      <w:pPr>
        <w:tabs>
          <w:tab w:val="num" w:pos="3960"/>
        </w:tabs>
        <w:ind w:left="3960" w:hanging="360"/>
      </w:pPr>
    </w:lvl>
    <w:lvl w:ilvl="4" w:tplc="17989182" w:tentative="1">
      <w:start w:val="1"/>
      <w:numFmt w:val="lowerLetter"/>
      <w:lvlText w:val="%5."/>
      <w:lvlJc w:val="left"/>
      <w:pPr>
        <w:tabs>
          <w:tab w:val="num" w:pos="4680"/>
        </w:tabs>
        <w:ind w:left="4680" w:hanging="360"/>
      </w:pPr>
    </w:lvl>
    <w:lvl w:ilvl="5" w:tplc="8BC6C520" w:tentative="1">
      <w:start w:val="1"/>
      <w:numFmt w:val="lowerRoman"/>
      <w:lvlText w:val="%6."/>
      <w:lvlJc w:val="right"/>
      <w:pPr>
        <w:tabs>
          <w:tab w:val="num" w:pos="5400"/>
        </w:tabs>
        <w:ind w:left="5400" w:hanging="180"/>
      </w:pPr>
    </w:lvl>
    <w:lvl w:ilvl="6" w:tplc="D592E416" w:tentative="1">
      <w:start w:val="1"/>
      <w:numFmt w:val="decimal"/>
      <w:lvlText w:val="%7."/>
      <w:lvlJc w:val="left"/>
      <w:pPr>
        <w:tabs>
          <w:tab w:val="num" w:pos="6120"/>
        </w:tabs>
        <w:ind w:left="6120" w:hanging="360"/>
      </w:pPr>
    </w:lvl>
    <w:lvl w:ilvl="7" w:tplc="9E7A5066" w:tentative="1">
      <w:start w:val="1"/>
      <w:numFmt w:val="lowerLetter"/>
      <w:lvlText w:val="%8."/>
      <w:lvlJc w:val="left"/>
      <w:pPr>
        <w:tabs>
          <w:tab w:val="num" w:pos="6840"/>
        </w:tabs>
        <w:ind w:left="6840" w:hanging="360"/>
      </w:pPr>
    </w:lvl>
    <w:lvl w:ilvl="8" w:tplc="CF663386" w:tentative="1">
      <w:start w:val="1"/>
      <w:numFmt w:val="lowerRoman"/>
      <w:lvlText w:val="%9."/>
      <w:lvlJc w:val="right"/>
      <w:pPr>
        <w:tabs>
          <w:tab w:val="num" w:pos="7560"/>
        </w:tabs>
        <w:ind w:left="7560" w:hanging="180"/>
      </w:pPr>
    </w:lvl>
  </w:abstractNum>
  <w:abstractNum w:abstractNumId="16">
    <w:nsid w:val="277F7D0E"/>
    <w:multiLevelType w:val="hybridMultilevel"/>
    <w:tmpl w:val="3A88EF06"/>
    <w:lvl w:ilvl="0" w:tplc="2BA6CE56">
      <w:start w:val="2"/>
      <w:numFmt w:val="upperLetter"/>
      <w:lvlText w:val="%1."/>
      <w:lvlJc w:val="left"/>
      <w:pPr>
        <w:tabs>
          <w:tab w:val="num" w:pos="720"/>
        </w:tabs>
        <w:ind w:left="720" w:hanging="360"/>
      </w:pPr>
      <w:rPr>
        <w:rFonts w:hint="default"/>
      </w:rPr>
    </w:lvl>
    <w:lvl w:ilvl="1" w:tplc="6BDC52E4" w:tentative="1">
      <w:start w:val="1"/>
      <w:numFmt w:val="lowerLetter"/>
      <w:lvlText w:val="%2."/>
      <w:lvlJc w:val="left"/>
      <w:pPr>
        <w:tabs>
          <w:tab w:val="num" w:pos="1440"/>
        </w:tabs>
        <w:ind w:left="1440" w:hanging="360"/>
      </w:pPr>
    </w:lvl>
    <w:lvl w:ilvl="2" w:tplc="518004EE" w:tentative="1">
      <w:start w:val="1"/>
      <w:numFmt w:val="lowerRoman"/>
      <w:lvlText w:val="%3."/>
      <w:lvlJc w:val="right"/>
      <w:pPr>
        <w:tabs>
          <w:tab w:val="num" w:pos="2160"/>
        </w:tabs>
        <w:ind w:left="2160" w:hanging="180"/>
      </w:pPr>
    </w:lvl>
    <w:lvl w:ilvl="3" w:tplc="6EFAC7B2" w:tentative="1">
      <w:start w:val="1"/>
      <w:numFmt w:val="decimal"/>
      <w:lvlText w:val="%4."/>
      <w:lvlJc w:val="left"/>
      <w:pPr>
        <w:tabs>
          <w:tab w:val="num" w:pos="2880"/>
        </w:tabs>
        <w:ind w:left="2880" w:hanging="360"/>
      </w:pPr>
    </w:lvl>
    <w:lvl w:ilvl="4" w:tplc="7FE264E2" w:tentative="1">
      <w:start w:val="1"/>
      <w:numFmt w:val="lowerLetter"/>
      <w:lvlText w:val="%5."/>
      <w:lvlJc w:val="left"/>
      <w:pPr>
        <w:tabs>
          <w:tab w:val="num" w:pos="3600"/>
        </w:tabs>
        <w:ind w:left="3600" w:hanging="360"/>
      </w:pPr>
    </w:lvl>
    <w:lvl w:ilvl="5" w:tplc="AD202AB8" w:tentative="1">
      <w:start w:val="1"/>
      <w:numFmt w:val="lowerRoman"/>
      <w:lvlText w:val="%6."/>
      <w:lvlJc w:val="right"/>
      <w:pPr>
        <w:tabs>
          <w:tab w:val="num" w:pos="4320"/>
        </w:tabs>
        <w:ind w:left="4320" w:hanging="180"/>
      </w:pPr>
    </w:lvl>
    <w:lvl w:ilvl="6" w:tplc="5E00A168" w:tentative="1">
      <w:start w:val="1"/>
      <w:numFmt w:val="decimal"/>
      <w:lvlText w:val="%7."/>
      <w:lvlJc w:val="left"/>
      <w:pPr>
        <w:tabs>
          <w:tab w:val="num" w:pos="5040"/>
        </w:tabs>
        <w:ind w:left="5040" w:hanging="360"/>
      </w:pPr>
    </w:lvl>
    <w:lvl w:ilvl="7" w:tplc="823A8C10" w:tentative="1">
      <w:start w:val="1"/>
      <w:numFmt w:val="lowerLetter"/>
      <w:lvlText w:val="%8."/>
      <w:lvlJc w:val="left"/>
      <w:pPr>
        <w:tabs>
          <w:tab w:val="num" w:pos="5760"/>
        </w:tabs>
        <w:ind w:left="5760" w:hanging="360"/>
      </w:pPr>
    </w:lvl>
    <w:lvl w:ilvl="8" w:tplc="BD2832F6" w:tentative="1">
      <w:start w:val="1"/>
      <w:numFmt w:val="lowerRoman"/>
      <w:lvlText w:val="%9."/>
      <w:lvlJc w:val="right"/>
      <w:pPr>
        <w:tabs>
          <w:tab w:val="num" w:pos="6480"/>
        </w:tabs>
        <w:ind w:left="6480" w:hanging="180"/>
      </w:pPr>
    </w:lvl>
  </w:abstractNum>
  <w:abstractNum w:abstractNumId="17">
    <w:nsid w:val="2A8447BB"/>
    <w:multiLevelType w:val="multilevel"/>
    <w:tmpl w:val="C89CAC5E"/>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18">
    <w:nsid w:val="2B326130"/>
    <w:multiLevelType w:val="hybridMultilevel"/>
    <w:tmpl w:val="98BE1512"/>
    <w:lvl w:ilvl="0" w:tplc="D5745AE4">
      <w:start w:val="1"/>
      <w:numFmt w:val="decimal"/>
      <w:lvlText w:val="%1"/>
      <w:lvlJc w:val="left"/>
      <w:pPr>
        <w:tabs>
          <w:tab w:val="num" w:pos="1440"/>
        </w:tabs>
        <w:ind w:left="1440" w:hanging="720"/>
      </w:pPr>
      <w:rPr>
        <w:rFonts w:hint="default"/>
      </w:rPr>
    </w:lvl>
    <w:lvl w:ilvl="1" w:tplc="3ECEC400" w:tentative="1">
      <w:start w:val="1"/>
      <w:numFmt w:val="lowerLetter"/>
      <w:lvlText w:val="%2."/>
      <w:lvlJc w:val="left"/>
      <w:pPr>
        <w:tabs>
          <w:tab w:val="num" w:pos="1800"/>
        </w:tabs>
        <w:ind w:left="1800" w:hanging="360"/>
      </w:pPr>
    </w:lvl>
    <w:lvl w:ilvl="2" w:tplc="F04C4758" w:tentative="1">
      <w:start w:val="1"/>
      <w:numFmt w:val="lowerRoman"/>
      <w:lvlText w:val="%3."/>
      <w:lvlJc w:val="right"/>
      <w:pPr>
        <w:tabs>
          <w:tab w:val="num" w:pos="2520"/>
        </w:tabs>
        <w:ind w:left="2520" w:hanging="180"/>
      </w:pPr>
    </w:lvl>
    <w:lvl w:ilvl="3" w:tplc="4D1471B2" w:tentative="1">
      <w:start w:val="1"/>
      <w:numFmt w:val="decimal"/>
      <w:lvlText w:val="%4."/>
      <w:lvlJc w:val="left"/>
      <w:pPr>
        <w:tabs>
          <w:tab w:val="num" w:pos="3240"/>
        </w:tabs>
        <w:ind w:left="3240" w:hanging="360"/>
      </w:pPr>
    </w:lvl>
    <w:lvl w:ilvl="4" w:tplc="35321F54" w:tentative="1">
      <w:start w:val="1"/>
      <w:numFmt w:val="lowerLetter"/>
      <w:lvlText w:val="%5."/>
      <w:lvlJc w:val="left"/>
      <w:pPr>
        <w:tabs>
          <w:tab w:val="num" w:pos="3960"/>
        </w:tabs>
        <w:ind w:left="3960" w:hanging="360"/>
      </w:pPr>
    </w:lvl>
    <w:lvl w:ilvl="5" w:tplc="5C0A6F34" w:tentative="1">
      <w:start w:val="1"/>
      <w:numFmt w:val="lowerRoman"/>
      <w:lvlText w:val="%6."/>
      <w:lvlJc w:val="right"/>
      <w:pPr>
        <w:tabs>
          <w:tab w:val="num" w:pos="4680"/>
        </w:tabs>
        <w:ind w:left="4680" w:hanging="180"/>
      </w:pPr>
    </w:lvl>
    <w:lvl w:ilvl="6" w:tplc="AED0F5A6" w:tentative="1">
      <w:start w:val="1"/>
      <w:numFmt w:val="decimal"/>
      <w:lvlText w:val="%7."/>
      <w:lvlJc w:val="left"/>
      <w:pPr>
        <w:tabs>
          <w:tab w:val="num" w:pos="5400"/>
        </w:tabs>
        <w:ind w:left="5400" w:hanging="360"/>
      </w:pPr>
    </w:lvl>
    <w:lvl w:ilvl="7" w:tplc="8E8CF3C2" w:tentative="1">
      <w:start w:val="1"/>
      <w:numFmt w:val="lowerLetter"/>
      <w:lvlText w:val="%8."/>
      <w:lvlJc w:val="left"/>
      <w:pPr>
        <w:tabs>
          <w:tab w:val="num" w:pos="6120"/>
        </w:tabs>
        <w:ind w:left="6120" w:hanging="360"/>
      </w:pPr>
    </w:lvl>
    <w:lvl w:ilvl="8" w:tplc="10365FD8" w:tentative="1">
      <w:start w:val="1"/>
      <w:numFmt w:val="lowerRoman"/>
      <w:lvlText w:val="%9."/>
      <w:lvlJc w:val="right"/>
      <w:pPr>
        <w:tabs>
          <w:tab w:val="num" w:pos="6840"/>
        </w:tabs>
        <w:ind w:left="6840" w:hanging="180"/>
      </w:pPr>
    </w:lvl>
  </w:abstractNum>
  <w:abstractNum w:abstractNumId="19">
    <w:nsid w:val="2D3A4233"/>
    <w:multiLevelType w:val="hybridMultilevel"/>
    <w:tmpl w:val="3F7E26D0"/>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7483A"/>
    <w:multiLevelType w:val="hybridMultilevel"/>
    <w:tmpl w:val="F97CD36C"/>
    <w:lvl w:ilvl="0" w:tplc="B7E45B66">
      <w:start w:val="1"/>
      <w:numFmt w:val="decimal"/>
      <w:lvlText w:val="%1."/>
      <w:lvlJc w:val="left"/>
      <w:pPr>
        <w:tabs>
          <w:tab w:val="num" w:pos="1440"/>
        </w:tabs>
        <w:ind w:left="1440" w:hanging="720"/>
      </w:pPr>
      <w:rPr>
        <w:rFonts w:hint="default"/>
      </w:rPr>
    </w:lvl>
    <w:lvl w:ilvl="1" w:tplc="CEFE5AE0" w:tentative="1">
      <w:start w:val="1"/>
      <w:numFmt w:val="lowerLetter"/>
      <w:lvlText w:val="%2."/>
      <w:lvlJc w:val="left"/>
      <w:pPr>
        <w:tabs>
          <w:tab w:val="num" w:pos="1800"/>
        </w:tabs>
        <w:ind w:left="1800" w:hanging="360"/>
      </w:pPr>
    </w:lvl>
    <w:lvl w:ilvl="2" w:tplc="B69869FC" w:tentative="1">
      <w:start w:val="1"/>
      <w:numFmt w:val="lowerRoman"/>
      <w:lvlText w:val="%3."/>
      <w:lvlJc w:val="right"/>
      <w:pPr>
        <w:tabs>
          <w:tab w:val="num" w:pos="2520"/>
        </w:tabs>
        <w:ind w:left="2520" w:hanging="180"/>
      </w:pPr>
    </w:lvl>
    <w:lvl w:ilvl="3" w:tplc="58B6AE82" w:tentative="1">
      <w:start w:val="1"/>
      <w:numFmt w:val="decimal"/>
      <w:lvlText w:val="%4."/>
      <w:lvlJc w:val="left"/>
      <w:pPr>
        <w:tabs>
          <w:tab w:val="num" w:pos="3240"/>
        </w:tabs>
        <w:ind w:left="3240" w:hanging="360"/>
      </w:pPr>
    </w:lvl>
    <w:lvl w:ilvl="4" w:tplc="26F4D09C" w:tentative="1">
      <w:start w:val="1"/>
      <w:numFmt w:val="lowerLetter"/>
      <w:lvlText w:val="%5."/>
      <w:lvlJc w:val="left"/>
      <w:pPr>
        <w:tabs>
          <w:tab w:val="num" w:pos="3960"/>
        </w:tabs>
        <w:ind w:left="3960" w:hanging="360"/>
      </w:pPr>
    </w:lvl>
    <w:lvl w:ilvl="5" w:tplc="A43653F0" w:tentative="1">
      <w:start w:val="1"/>
      <w:numFmt w:val="lowerRoman"/>
      <w:lvlText w:val="%6."/>
      <w:lvlJc w:val="right"/>
      <w:pPr>
        <w:tabs>
          <w:tab w:val="num" w:pos="4680"/>
        </w:tabs>
        <w:ind w:left="4680" w:hanging="180"/>
      </w:pPr>
    </w:lvl>
    <w:lvl w:ilvl="6" w:tplc="A7B8E1FC" w:tentative="1">
      <w:start w:val="1"/>
      <w:numFmt w:val="decimal"/>
      <w:lvlText w:val="%7."/>
      <w:lvlJc w:val="left"/>
      <w:pPr>
        <w:tabs>
          <w:tab w:val="num" w:pos="5400"/>
        </w:tabs>
        <w:ind w:left="5400" w:hanging="360"/>
      </w:pPr>
    </w:lvl>
    <w:lvl w:ilvl="7" w:tplc="320A14E8" w:tentative="1">
      <w:start w:val="1"/>
      <w:numFmt w:val="lowerLetter"/>
      <w:lvlText w:val="%8."/>
      <w:lvlJc w:val="left"/>
      <w:pPr>
        <w:tabs>
          <w:tab w:val="num" w:pos="6120"/>
        </w:tabs>
        <w:ind w:left="6120" w:hanging="360"/>
      </w:pPr>
    </w:lvl>
    <w:lvl w:ilvl="8" w:tplc="4B9897B8" w:tentative="1">
      <w:start w:val="1"/>
      <w:numFmt w:val="lowerRoman"/>
      <w:lvlText w:val="%9."/>
      <w:lvlJc w:val="right"/>
      <w:pPr>
        <w:tabs>
          <w:tab w:val="num" w:pos="6840"/>
        </w:tabs>
        <w:ind w:left="6840" w:hanging="180"/>
      </w:pPr>
    </w:lvl>
  </w:abstractNum>
  <w:abstractNum w:abstractNumId="21">
    <w:nsid w:val="36966A04"/>
    <w:multiLevelType w:val="hybridMultilevel"/>
    <w:tmpl w:val="2E085BD2"/>
    <w:lvl w:ilvl="0" w:tplc="DCF8AB30">
      <w:start w:val="1"/>
      <w:numFmt w:val="bullet"/>
      <w:lvlText w:val=""/>
      <w:lvlJc w:val="left"/>
      <w:pPr>
        <w:tabs>
          <w:tab w:val="num" w:pos="720"/>
        </w:tabs>
        <w:ind w:left="720" w:hanging="360"/>
      </w:pPr>
      <w:rPr>
        <w:rFonts w:ascii="Symbol" w:hAnsi="Symbol" w:hint="default"/>
      </w:rPr>
    </w:lvl>
    <w:lvl w:ilvl="1" w:tplc="FC7E3076" w:tentative="1">
      <w:start w:val="1"/>
      <w:numFmt w:val="bullet"/>
      <w:lvlText w:val="o"/>
      <w:lvlJc w:val="left"/>
      <w:pPr>
        <w:tabs>
          <w:tab w:val="num" w:pos="1440"/>
        </w:tabs>
        <w:ind w:left="1440" w:hanging="360"/>
      </w:pPr>
      <w:rPr>
        <w:rFonts w:ascii="Courier New" w:hAnsi="Courier New" w:cs="Wingdings" w:hint="default"/>
      </w:rPr>
    </w:lvl>
    <w:lvl w:ilvl="2" w:tplc="AB1E0EA0" w:tentative="1">
      <w:start w:val="1"/>
      <w:numFmt w:val="bullet"/>
      <w:lvlText w:val=""/>
      <w:lvlJc w:val="left"/>
      <w:pPr>
        <w:tabs>
          <w:tab w:val="num" w:pos="2160"/>
        </w:tabs>
        <w:ind w:left="2160" w:hanging="360"/>
      </w:pPr>
      <w:rPr>
        <w:rFonts w:ascii="Wingdings" w:hAnsi="Wingdings" w:hint="default"/>
      </w:rPr>
    </w:lvl>
    <w:lvl w:ilvl="3" w:tplc="58ECAE3C" w:tentative="1">
      <w:start w:val="1"/>
      <w:numFmt w:val="bullet"/>
      <w:lvlText w:val=""/>
      <w:lvlJc w:val="left"/>
      <w:pPr>
        <w:tabs>
          <w:tab w:val="num" w:pos="2880"/>
        </w:tabs>
        <w:ind w:left="2880" w:hanging="360"/>
      </w:pPr>
      <w:rPr>
        <w:rFonts w:ascii="Symbol" w:hAnsi="Symbol" w:hint="default"/>
      </w:rPr>
    </w:lvl>
    <w:lvl w:ilvl="4" w:tplc="A5E617EC" w:tentative="1">
      <w:start w:val="1"/>
      <w:numFmt w:val="bullet"/>
      <w:lvlText w:val="o"/>
      <w:lvlJc w:val="left"/>
      <w:pPr>
        <w:tabs>
          <w:tab w:val="num" w:pos="3600"/>
        </w:tabs>
        <w:ind w:left="3600" w:hanging="360"/>
      </w:pPr>
      <w:rPr>
        <w:rFonts w:ascii="Courier New" w:hAnsi="Courier New" w:cs="Wingdings" w:hint="default"/>
      </w:rPr>
    </w:lvl>
    <w:lvl w:ilvl="5" w:tplc="0150D6F4" w:tentative="1">
      <w:start w:val="1"/>
      <w:numFmt w:val="bullet"/>
      <w:lvlText w:val=""/>
      <w:lvlJc w:val="left"/>
      <w:pPr>
        <w:tabs>
          <w:tab w:val="num" w:pos="4320"/>
        </w:tabs>
        <w:ind w:left="4320" w:hanging="360"/>
      </w:pPr>
      <w:rPr>
        <w:rFonts w:ascii="Wingdings" w:hAnsi="Wingdings" w:hint="default"/>
      </w:rPr>
    </w:lvl>
    <w:lvl w:ilvl="6" w:tplc="0E2C1628" w:tentative="1">
      <w:start w:val="1"/>
      <w:numFmt w:val="bullet"/>
      <w:lvlText w:val=""/>
      <w:lvlJc w:val="left"/>
      <w:pPr>
        <w:tabs>
          <w:tab w:val="num" w:pos="5040"/>
        </w:tabs>
        <w:ind w:left="5040" w:hanging="360"/>
      </w:pPr>
      <w:rPr>
        <w:rFonts w:ascii="Symbol" w:hAnsi="Symbol" w:hint="default"/>
      </w:rPr>
    </w:lvl>
    <w:lvl w:ilvl="7" w:tplc="830CCB50" w:tentative="1">
      <w:start w:val="1"/>
      <w:numFmt w:val="bullet"/>
      <w:lvlText w:val="o"/>
      <w:lvlJc w:val="left"/>
      <w:pPr>
        <w:tabs>
          <w:tab w:val="num" w:pos="5760"/>
        </w:tabs>
        <w:ind w:left="5760" w:hanging="360"/>
      </w:pPr>
      <w:rPr>
        <w:rFonts w:ascii="Courier New" w:hAnsi="Courier New" w:cs="Wingdings" w:hint="default"/>
      </w:rPr>
    </w:lvl>
    <w:lvl w:ilvl="8" w:tplc="4DF630A8" w:tentative="1">
      <w:start w:val="1"/>
      <w:numFmt w:val="bullet"/>
      <w:lvlText w:val=""/>
      <w:lvlJc w:val="left"/>
      <w:pPr>
        <w:tabs>
          <w:tab w:val="num" w:pos="6480"/>
        </w:tabs>
        <w:ind w:left="6480" w:hanging="360"/>
      </w:pPr>
      <w:rPr>
        <w:rFonts w:ascii="Wingdings" w:hAnsi="Wingdings" w:hint="default"/>
      </w:rPr>
    </w:lvl>
  </w:abstractNum>
  <w:abstractNum w:abstractNumId="22">
    <w:nsid w:val="395248E4"/>
    <w:multiLevelType w:val="hybridMultilevel"/>
    <w:tmpl w:val="C584F0C8"/>
    <w:lvl w:ilvl="0" w:tplc="0A6AD70A">
      <w:start w:val="1"/>
      <w:numFmt w:val="bullet"/>
      <w:lvlText w:val=""/>
      <w:lvlJc w:val="left"/>
      <w:pPr>
        <w:tabs>
          <w:tab w:val="num" w:pos="720"/>
        </w:tabs>
        <w:ind w:left="720" w:hanging="360"/>
      </w:pPr>
      <w:rPr>
        <w:rFonts w:ascii="Symbol" w:hAnsi="Symbol" w:hint="default"/>
      </w:rPr>
    </w:lvl>
    <w:lvl w:ilvl="1" w:tplc="3E5808DA" w:tentative="1">
      <w:start w:val="1"/>
      <w:numFmt w:val="bullet"/>
      <w:lvlText w:val="o"/>
      <w:lvlJc w:val="left"/>
      <w:pPr>
        <w:tabs>
          <w:tab w:val="num" w:pos="1440"/>
        </w:tabs>
        <w:ind w:left="1440" w:hanging="360"/>
      </w:pPr>
      <w:rPr>
        <w:rFonts w:ascii="Courier New" w:hAnsi="Courier New" w:cs="Wingdings" w:hint="default"/>
      </w:rPr>
    </w:lvl>
    <w:lvl w:ilvl="2" w:tplc="EFC062FC" w:tentative="1">
      <w:start w:val="1"/>
      <w:numFmt w:val="bullet"/>
      <w:lvlText w:val=""/>
      <w:lvlJc w:val="left"/>
      <w:pPr>
        <w:tabs>
          <w:tab w:val="num" w:pos="2160"/>
        </w:tabs>
        <w:ind w:left="2160" w:hanging="360"/>
      </w:pPr>
      <w:rPr>
        <w:rFonts w:ascii="Wingdings" w:hAnsi="Wingdings" w:hint="default"/>
      </w:rPr>
    </w:lvl>
    <w:lvl w:ilvl="3" w:tplc="F7E0E33A" w:tentative="1">
      <w:start w:val="1"/>
      <w:numFmt w:val="bullet"/>
      <w:lvlText w:val=""/>
      <w:lvlJc w:val="left"/>
      <w:pPr>
        <w:tabs>
          <w:tab w:val="num" w:pos="2880"/>
        </w:tabs>
        <w:ind w:left="2880" w:hanging="360"/>
      </w:pPr>
      <w:rPr>
        <w:rFonts w:ascii="Symbol" w:hAnsi="Symbol" w:hint="default"/>
      </w:rPr>
    </w:lvl>
    <w:lvl w:ilvl="4" w:tplc="DC2AEE18" w:tentative="1">
      <w:start w:val="1"/>
      <w:numFmt w:val="bullet"/>
      <w:lvlText w:val="o"/>
      <w:lvlJc w:val="left"/>
      <w:pPr>
        <w:tabs>
          <w:tab w:val="num" w:pos="3600"/>
        </w:tabs>
        <w:ind w:left="3600" w:hanging="360"/>
      </w:pPr>
      <w:rPr>
        <w:rFonts w:ascii="Courier New" w:hAnsi="Courier New" w:cs="Wingdings" w:hint="default"/>
      </w:rPr>
    </w:lvl>
    <w:lvl w:ilvl="5" w:tplc="987E8BB6" w:tentative="1">
      <w:start w:val="1"/>
      <w:numFmt w:val="bullet"/>
      <w:lvlText w:val=""/>
      <w:lvlJc w:val="left"/>
      <w:pPr>
        <w:tabs>
          <w:tab w:val="num" w:pos="4320"/>
        </w:tabs>
        <w:ind w:left="4320" w:hanging="360"/>
      </w:pPr>
      <w:rPr>
        <w:rFonts w:ascii="Wingdings" w:hAnsi="Wingdings" w:hint="default"/>
      </w:rPr>
    </w:lvl>
    <w:lvl w:ilvl="6" w:tplc="63565348" w:tentative="1">
      <w:start w:val="1"/>
      <w:numFmt w:val="bullet"/>
      <w:lvlText w:val=""/>
      <w:lvlJc w:val="left"/>
      <w:pPr>
        <w:tabs>
          <w:tab w:val="num" w:pos="5040"/>
        </w:tabs>
        <w:ind w:left="5040" w:hanging="360"/>
      </w:pPr>
      <w:rPr>
        <w:rFonts w:ascii="Symbol" w:hAnsi="Symbol" w:hint="default"/>
      </w:rPr>
    </w:lvl>
    <w:lvl w:ilvl="7" w:tplc="455E78AE" w:tentative="1">
      <w:start w:val="1"/>
      <w:numFmt w:val="bullet"/>
      <w:lvlText w:val="o"/>
      <w:lvlJc w:val="left"/>
      <w:pPr>
        <w:tabs>
          <w:tab w:val="num" w:pos="5760"/>
        </w:tabs>
        <w:ind w:left="5760" w:hanging="360"/>
      </w:pPr>
      <w:rPr>
        <w:rFonts w:ascii="Courier New" w:hAnsi="Courier New" w:cs="Wingdings" w:hint="default"/>
      </w:rPr>
    </w:lvl>
    <w:lvl w:ilvl="8" w:tplc="4B8CA9C2" w:tentative="1">
      <w:start w:val="1"/>
      <w:numFmt w:val="bullet"/>
      <w:lvlText w:val=""/>
      <w:lvlJc w:val="left"/>
      <w:pPr>
        <w:tabs>
          <w:tab w:val="num" w:pos="6480"/>
        </w:tabs>
        <w:ind w:left="6480" w:hanging="360"/>
      </w:pPr>
      <w:rPr>
        <w:rFonts w:ascii="Wingdings" w:hAnsi="Wingdings" w:hint="default"/>
      </w:rPr>
    </w:lvl>
  </w:abstractNum>
  <w:abstractNum w:abstractNumId="23">
    <w:nsid w:val="3BE04860"/>
    <w:multiLevelType w:val="singleLevel"/>
    <w:tmpl w:val="8466D7DA"/>
    <w:lvl w:ilvl="0">
      <w:start w:val="1"/>
      <w:numFmt w:val="upperRoman"/>
      <w:lvlText w:val="%1."/>
      <w:lvlJc w:val="left"/>
      <w:pPr>
        <w:tabs>
          <w:tab w:val="num" w:pos="1440"/>
        </w:tabs>
        <w:ind w:left="1440" w:hanging="720"/>
      </w:pPr>
      <w:rPr>
        <w:rFonts w:hint="default"/>
      </w:rPr>
    </w:lvl>
  </w:abstractNum>
  <w:abstractNum w:abstractNumId="24">
    <w:nsid w:val="430C5CE6"/>
    <w:multiLevelType w:val="hybridMultilevel"/>
    <w:tmpl w:val="3B36D59E"/>
    <w:lvl w:ilvl="0" w:tplc="1908CB52">
      <w:start w:val="1"/>
      <w:numFmt w:val="bullet"/>
      <w:lvlText w:val=""/>
      <w:lvlJc w:val="left"/>
      <w:pPr>
        <w:tabs>
          <w:tab w:val="num" w:pos="1500"/>
        </w:tabs>
        <w:ind w:left="1500" w:hanging="360"/>
      </w:pPr>
      <w:rPr>
        <w:rFonts w:ascii="Symbol" w:hAnsi="Symbol" w:hint="default"/>
      </w:rPr>
    </w:lvl>
    <w:lvl w:ilvl="1" w:tplc="813C611E" w:tentative="1">
      <w:start w:val="1"/>
      <w:numFmt w:val="bullet"/>
      <w:lvlText w:val="o"/>
      <w:lvlJc w:val="left"/>
      <w:pPr>
        <w:tabs>
          <w:tab w:val="num" w:pos="2220"/>
        </w:tabs>
        <w:ind w:left="2220" w:hanging="360"/>
      </w:pPr>
      <w:rPr>
        <w:rFonts w:ascii="Courier New" w:hAnsi="Courier New" w:cs="Wingdings" w:hint="default"/>
      </w:rPr>
    </w:lvl>
    <w:lvl w:ilvl="2" w:tplc="4AAE8922" w:tentative="1">
      <w:start w:val="1"/>
      <w:numFmt w:val="bullet"/>
      <w:lvlText w:val=""/>
      <w:lvlJc w:val="left"/>
      <w:pPr>
        <w:tabs>
          <w:tab w:val="num" w:pos="2940"/>
        </w:tabs>
        <w:ind w:left="2940" w:hanging="360"/>
      </w:pPr>
      <w:rPr>
        <w:rFonts w:ascii="Wingdings" w:hAnsi="Wingdings" w:hint="default"/>
      </w:rPr>
    </w:lvl>
    <w:lvl w:ilvl="3" w:tplc="5E963BDA" w:tentative="1">
      <w:start w:val="1"/>
      <w:numFmt w:val="bullet"/>
      <w:lvlText w:val=""/>
      <w:lvlJc w:val="left"/>
      <w:pPr>
        <w:tabs>
          <w:tab w:val="num" w:pos="3660"/>
        </w:tabs>
        <w:ind w:left="3660" w:hanging="360"/>
      </w:pPr>
      <w:rPr>
        <w:rFonts w:ascii="Symbol" w:hAnsi="Symbol" w:hint="default"/>
      </w:rPr>
    </w:lvl>
    <w:lvl w:ilvl="4" w:tplc="71E6FC5E" w:tentative="1">
      <w:start w:val="1"/>
      <w:numFmt w:val="bullet"/>
      <w:lvlText w:val="o"/>
      <w:lvlJc w:val="left"/>
      <w:pPr>
        <w:tabs>
          <w:tab w:val="num" w:pos="4380"/>
        </w:tabs>
        <w:ind w:left="4380" w:hanging="360"/>
      </w:pPr>
      <w:rPr>
        <w:rFonts w:ascii="Courier New" w:hAnsi="Courier New" w:cs="Wingdings" w:hint="default"/>
      </w:rPr>
    </w:lvl>
    <w:lvl w:ilvl="5" w:tplc="42062A5E" w:tentative="1">
      <w:start w:val="1"/>
      <w:numFmt w:val="bullet"/>
      <w:lvlText w:val=""/>
      <w:lvlJc w:val="left"/>
      <w:pPr>
        <w:tabs>
          <w:tab w:val="num" w:pos="5100"/>
        </w:tabs>
        <w:ind w:left="5100" w:hanging="360"/>
      </w:pPr>
      <w:rPr>
        <w:rFonts w:ascii="Wingdings" w:hAnsi="Wingdings" w:hint="default"/>
      </w:rPr>
    </w:lvl>
    <w:lvl w:ilvl="6" w:tplc="ADC03DF8" w:tentative="1">
      <w:start w:val="1"/>
      <w:numFmt w:val="bullet"/>
      <w:lvlText w:val=""/>
      <w:lvlJc w:val="left"/>
      <w:pPr>
        <w:tabs>
          <w:tab w:val="num" w:pos="5820"/>
        </w:tabs>
        <w:ind w:left="5820" w:hanging="360"/>
      </w:pPr>
      <w:rPr>
        <w:rFonts w:ascii="Symbol" w:hAnsi="Symbol" w:hint="default"/>
      </w:rPr>
    </w:lvl>
    <w:lvl w:ilvl="7" w:tplc="BBD43384" w:tentative="1">
      <w:start w:val="1"/>
      <w:numFmt w:val="bullet"/>
      <w:lvlText w:val="o"/>
      <w:lvlJc w:val="left"/>
      <w:pPr>
        <w:tabs>
          <w:tab w:val="num" w:pos="6540"/>
        </w:tabs>
        <w:ind w:left="6540" w:hanging="360"/>
      </w:pPr>
      <w:rPr>
        <w:rFonts w:ascii="Courier New" w:hAnsi="Courier New" w:cs="Wingdings" w:hint="default"/>
      </w:rPr>
    </w:lvl>
    <w:lvl w:ilvl="8" w:tplc="DE1EC51E" w:tentative="1">
      <w:start w:val="1"/>
      <w:numFmt w:val="bullet"/>
      <w:lvlText w:val=""/>
      <w:lvlJc w:val="left"/>
      <w:pPr>
        <w:tabs>
          <w:tab w:val="num" w:pos="7260"/>
        </w:tabs>
        <w:ind w:left="7260" w:hanging="360"/>
      </w:pPr>
      <w:rPr>
        <w:rFonts w:ascii="Wingdings" w:hAnsi="Wingdings" w:hint="default"/>
      </w:rPr>
    </w:lvl>
  </w:abstractNum>
  <w:abstractNum w:abstractNumId="25">
    <w:nsid w:val="4A40318D"/>
    <w:multiLevelType w:val="singleLevel"/>
    <w:tmpl w:val="5D3C60FE"/>
    <w:lvl w:ilvl="0">
      <w:start w:val="1"/>
      <w:numFmt w:val="upperLetter"/>
      <w:lvlText w:val="%1."/>
      <w:lvlJc w:val="left"/>
      <w:pPr>
        <w:tabs>
          <w:tab w:val="num" w:pos="720"/>
        </w:tabs>
        <w:ind w:left="720" w:hanging="720"/>
      </w:pPr>
      <w:rPr>
        <w:rFonts w:hint="default"/>
      </w:rPr>
    </w:lvl>
  </w:abstractNum>
  <w:abstractNum w:abstractNumId="26">
    <w:nsid w:val="50EB0389"/>
    <w:multiLevelType w:val="hybridMultilevel"/>
    <w:tmpl w:val="86F6EAF6"/>
    <w:lvl w:ilvl="0" w:tplc="6E7C1C9C">
      <w:start w:val="1"/>
      <w:numFmt w:val="bullet"/>
      <w:lvlText w:val=""/>
      <w:lvlJc w:val="left"/>
      <w:pPr>
        <w:tabs>
          <w:tab w:val="num" w:pos="720"/>
        </w:tabs>
        <w:ind w:left="720" w:hanging="360"/>
      </w:pPr>
      <w:rPr>
        <w:rFonts w:ascii="Symbol" w:hAnsi="Symbol" w:hint="default"/>
      </w:rPr>
    </w:lvl>
    <w:lvl w:ilvl="1" w:tplc="CB8E8E3E" w:tentative="1">
      <w:start w:val="1"/>
      <w:numFmt w:val="bullet"/>
      <w:lvlText w:val="o"/>
      <w:lvlJc w:val="left"/>
      <w:pPr>
        <w:tabs>
          <w:tab w:val="num" w:pos="1440"/>
        </w:tabs>
        <w:ind w:left="1440" w:hanging="360"/>
      </w:pPr>
      <w:rPr>
        <w:rFonts w:ascii="Courier New" w:hAnsi="Courier New" w:cs="Wingdings" w:hint="default"/>
      </w:rPr>
    </w:lvl>
    <w:lvl w:ilvl="2" w:tplc="50E28506" w:tentative="1">
      <w:start w:val="1"/>
      <w:numFmt w:val="bullet"/>
      <w:lvlText w:val=""/>
      <w:lvlJc w:val="left"/>
      <w:pPr>
        <w:tabs>
          <w:tab w:val="num" w:pos="2160"/>
        </w:tabs>
        <w:ind w:left="2160" w:hanging="360"/>
      </w:pPr>
      <w:rPr>
        <w:rFonts w:ascii="Wingdings" w:hAnsi="Wingdings" w:hint="default"/>
      </w:rPr>
    </w:lvl>
    <w:lvl w:ilvl="3" w:tplc="DB9205CC" w:tentative="1">
      <w:start w:val="1"/>
      <w:numFmt w:val="bullet"/>
      <w:lvlText w:val=""/>
      <w:lvlJc w:val="left"/>
      <w:pPr>
        <w:tabs>
          <w:tab w:val="num" w:pos="2880"/>
        </w:tabs>
        <w:ind w:left="2880" w:hanging="360"/>
      </w:pPr>
      <w:rPr>
        <w:rFonts w:ascii="Symbol" w:hAnsi="Symbol" w:hint="default"/>
      </w:rPr>
    </w:lvl>
    <w:lvl w:ilvl="4" w:tplc="9FBC98DA" w:tentative="1">
      <w:start w:val="1"/>
      <w:numFmt w:val="bullet"/>
      <w:lvlText w:val="o"/>
      <w:lvlJc w:val="left"/>
      <w:pPr>
        <w:tabs>
          <w:tab w:val="num" w:pos="3600"/>
        </w:tabs>
        <w:ind w:left="3600" w:hanging="360"/>
      </w:pPr>
      <w:rPr>
        <w:rFonts w:ascii="Courier New" w:hAnsi="Courier New" w:cs="Wingdings" w:hint="default"/>
      </w:rPr>
    </w:lvl>
    <w:lvl w:ilvl="5" w:tplc="5766740E" w:tentative="1">
      <w:start w:val="1"/>
      <w:numFmt w:val="bullet"/>
      <w:lvlText w:val=""/>
      <w:lvlJc w:val="left"/>
      <w:pPr>
        <w:tabs>
          <w:tab w:val="num" w:pos="4320"/>
        </w:tabs>
        <w:ind w:left="4320" w:hanging="360"/>
      </w:pPr>
      <w:rPr>
        <w:rFonts w:ascii="Wingdings" w:hAnsi="Wingdings" w:hint="default"/>
      </w:rPr>
    </w:lvl>
    <w:lvl w:ilvl="6" w:tplc="C21AFA00" w:tentative="1">
      <w:start w:val="1"/>
      <w:numFmt w:val="bullet"/>
      <w:lvlText w:val=""/>
      <w:lvlJc w:val="left"/>
      <w:pPr>
        <w:tabs>
          <w:tab w:val="num" w:pos="5040"/>
        </w:tabs>
        <w:ind w:left="5040" w:hanging="360"/>
      </w:pPr>
      <w:rPr>
        <w:rFonts w:ascii="Symbol" w:hAnsi="Symbol" w:hint="default"/>
      </w:rPr>
    </w:lvl>
    <w:lvl w:ilvl="7" w:tplc="641C04CA" w:tentative="1">
      <w:start w:val="1"/>
      <w:numFmt w:val="bullet"/>
      <w:lvlText w:val="o"/>
      <w:lvlJc w:val="left"/>
      <w:pPr>
        <w:tabs>
          <w:tab w:val="num" w:pos="5760"/>
        </w:tabs>
        <w:ind w:left="5760" w:hanging="360"/>
      </w:pPr>
      <w:rPr>
        <w:rFonts w:ascii="Courier New" w:hAnsi="Courier New" w:cs="Wingdings" w:hint="default"/>
      </w:rPr>
    </w:lvl>
    <w:lvl w:ilvl="8" w:tplc="2D9ACB78" w:tentative="1">
      <w:start w:val="1"/>
      <w:numFmt w:val="bullet"/>
      <w:lvlText w:val=""/>
      <w:lvlJc w:val="left"/>
      <w:pPr>
        <w:tabs>
          <w:tab w:val="num" w:pos="6480"/>
        </w:tabs>
        <w:ind w:left="6480" w:hanging="360"/>
      </w:pPr>
      <w:rPr>
        <w:rFonts w:ascii="Wingdings" w:hAnsi="Wingdings" w:hint="default"/>
      </w:rPr>
    </w:lvl>
  </w:abstractNum>
  <w:abstractNum w:abstractNumId="27">
    <w:nsid w:val="54A57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F68E2"/>
    <w:multiLevelType w:val="hybridMultilevel"/>
    <w:tmpl w:val="0FF8E28A"/>
    <w:lvl w:ilvl="0" w:tplc="10AACA3C">
      <w:start w:val="4"/>
      <w:numFmt w:val="lowerRoman"/>
      <w:lvlText w:val="(%1)"/>
      <w:lvlJc w:val="left"/>
      <w:pPr>
        <w:tabs>
          <w:tab w:val="num" w:pos="2160"/>
        </w:tabs>
        <w:ind w:left="2160" w:hanging="720"/>
      </w:pPr>
      <w:rPr>
        <w:rFonts w:hint="default"/>
      </w:rPr>
    </w:lvl>
    <w:lvl w:ilvl="1" w:tplc="E79E3228" w:tentative="1">
      <w:start w:val="1"/>
      <w:numFmt w:val="lowerLetter"/>
      <w:lvlText w:val="%2."/>
      <w:lvlJc w:val="left"/>
      <w:pPr>
        <w:tabs>
          <w:tab w:val="num" w:pos="2520"/>
        </w:tabs>
        <w:ind w:left="2520" w:hanging="360"/>
      </w:pPr>
    </w:lvl>
    <w:lvl w:ilvl="2" w:tplc="B1DCFD04" w:tentative="1">
      <w:start w:val="1"/>
      <w:numFmt w:val="lowerRoman"/>
      <w:lvlText w:val="%3."/>
      <w:lvlJc w:val="right"/>
      <w:pPr>
        <w:tabs>
          <w:tab w:val="num" w:pos="3240"/>
        </w:tabs>
        <w:ind w:left="3240" w:hanging="180"/>
      </w:pPr>
    </w:lvl>
    <w:lvl w:ilvl="3" w:tplc="4B1E0F38" w:tentative="1">
      <w:start w:val="1"/>
      <w:numFmt w:val="decimal"/>
      <w:lvlText w:val="%4."/>
      <w:lvlJc w:val="left"/>
      <w:pPr>
        <w:tabs>
          <w:tab w:val="num" w:pos="3960"/>
        </w:tabs>
        <w:ind w:left="3960" w:hanging="360"/>
      </w:pPr>
    </w:lvl>
    <w:lvl w:ilvl="4" w:tplc="26AA8B80" w:tentative="1">
      <w:start w:val="1"/>
      <w:numFmt w:val="lowerLetter"/>
      <w:lvlText w:val="%5."/>
      <w:lvlJc w:val="left"/>
      <w:pPr>
        <w:tabs>
          <w:tab w:val="num" w:pos="4680"/>
        </w:tabs>
        <w:ind w:left="4680" w:hanging="360"/>
      </w:pPr>
    </w:lvl>
    <w:lvl w:ilvl="5" w:tplc="2A08DFFC" w:tentative="1">
      <w:start w:val="1"/>
      <w:numFmt w:val="lowerRoman"/>
      <w:lvlText w:val="%6."/>
      <w:lvlJc w:val="right"/>
      <w:pPr>
        <w:tabs>
          <w:tab w:val="num" w:pos="5400"/>
        </w:tabs>
        <w:ind w:left="5400" w:hanging="180"/>
      </w:pPr>
    </w:lvl>
    <w:lvl w:ilvl="6" w:tplc="6BC03240" w:tentative="1">
      <w:start w:val="1"/>
      <w:numFmt w:val="decimal"/>
      <w:lvlText w:val="%7."/>
      <w:lvlJc w:val="left"/>
      <w:pPr>
        <w:tabs>
          <w:tab w:val="num" w:pos="6120"/>
        </w:tabs>
        <w:ind w:left="6120" w:hanging="360"/>
      </w:pPr>
    </w:lvl>
    <w:lvl w:ilvl="7" w:tplc="3BDA9272" w:tentative="1">
      <w:start w:val="1"/>
      <w:numFmt w:val="lowerLetter"/>
      <w:lvlText w:val="%8."/>
      <w:lvlJc w:val="left"/>
      <w:pPr>
        <w:tabs>
          <w:tab w:val="num" w:pos="6840"/>
        </w:tabs>
        <w:ind w:left="6840" w:hanging="360"/>
      </w:pPr>
    </w:lvl>
    <w:lvl w:ilvl="8" w:tplc="8CF86B38" w:tentative="1">
      <w:start w:val="1"/>
      <w:numFmt w:val="lowerRoman"/>
      <w:lvlText w:val="%9."/>
      <w:lvlJc w:val="right"/>
      <w:pPr>
        <w:tabs>
          <w:tab w:val="num" w:pos="7560"/>
        </w:tabs>
        <w:ind w:left="7560" w:hanging="180"/>
      </w:pPr>
    </w:lvl>
  </w:abstractNum>
  <w:abstractNum w:abstractNumId="29">
    <w:nsid w:val="577C7188"/>
    <w:multiLevelType w:val="singleLevel"/>
    <w:tmpl w:val="0409000F"/>
    <w:lvl w:ilvl="0">
      <w:start w:val="1"/>
      <w:numFmt w:val="decimal"/>
      <w:lvlText w:val="%1."/>
      <w:lvlJc w:val="left"/>
      <w:pPr>
        <w:tabs>
          <w:tab w:val="num" w:pos="360"/>
        </w:tabs>
        <w:ind w:left="360" w:hanging="360"/>
      </w:pPr>
    </w:lvl>
  </w:abstractNum>
  <w:abstractNum w:abstractNumId="30">
    <w:nsid w:val="58B96B1C"/>
    <w:multiLevelType w:val="hybridMultilevel"/>
    <w:tmpl w:val="C89CAC5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nsid w:val="5AAD5923"/>
    <w:multiLevelType w:val="hybridMultilevel"/>
    <w:tmpl w:val="98F68DEE"/>
    <w:lvl w:ilvl="0" w:tplc="4FA85382">
      <w:start w:val="1"/>
      <w:numFmt w:val="decimal"/>
      <w:lvlText w:val="%1."/>
      <w:lvlJc w:val="left"/>
      <w:pPr>
        <w:tabs>
          <w:tab w:val="num" w:pos="1800"/>
        </w:tabs>
        <w:ind w:left="1800" w:hanging="360"/>
      </w:pPr>
    </w:lvl>
    <w:lvl w:ilvl="1" w:tplc="33A481BC" w:tentative="1">
      <w:start w:val="1"/>
      <w:numFmt w:val="lowerLetter"/>
      <w:lvlText w:val="%2."/>
      <w:lvlJc w:val="left"/>
      <w:pPr>
        <w:tabs>
          <w:tab w:val="num" w:pos="2520"/>
        </w:tabs>
        <w:ind w:left="2520" w:hanging="360"/>
      </w:pPr>
    </w:lvl>
    <w:lvl w:ilvl="2" w:tplc="9B88479A" w:tentative="1">
      <w:start w:val="1"/>
      <w:numFmt w:val="lowerRoman"/>
      <w:lvlText w:val="%3."/>
      <w:lvlJc w:val="right"/>
      <w:pPr>
        <w:tabs>
          <w:tab w:val="num" w:pos="3240"/>
        </w:tabs>
        <w:ind w:left="3240" w:hanging="180"/>
      </w:pPr>
    </w:lvl>
    <w:lvl w:ilvl="3" w:tplc="4636FBEE" w:tentative="1">
      <w:start w:val="1"/>
      <w:numFmt w:val="decimal"/>
      <w:lvlText w:val="%4."/>
      <w:lvlJc w:val="left"/>
      <w:pPr>
        <w:tabs>
          <w:tab w:val="num" w:pos="3960"/>
        </w:tabs>
        <w:ind w:left="3960" w:hanging="360"/>
      </w:pPr>
    </w:lvl>
    <w:lvl w:ilvl="4" w:tplc="6452FA4A" w:tentative="1">
      <w:start w:val="1"/>
      <w:numFmt w:val="lowerLetter"/>
      <w:lvlText w:val="%5."/>
      <w:lvlJc w:val="left"/>
      <w:pPr>
        <w:tabs>
          <w:tab w:val="num" w:pos="4680"/>
        </w:tabs>
        <w:ind w:left="4680" w:hanging="360"/>
      </w:pPr>
    </w:lvl>
    <w:lvl w:ilvl="5" w:tplc="A922EC12" w:tentative="1">
      <w:start w:val="1"/>
      <w:numFmt w:val="lowerRoman"/>
      <w:lvlText w:val="%6."/>
      <w:lvlJc w:val="right"/>
      <w:pPr>
        <w:tabs>
          <w:tab w:val="num" w:pos="5400"/>
        </w:tabs>
        <w:ind w:left="5400" w:hanging="180"/>
      </w:pPr>
    </w:lvl>
    <w:lvl w:ilvl="6" w:tplc="26420774" w:tentative="1">
      <w:start w:val="1"/>
      <w:numFmt w:val="decimal"/>
      <w:lvlText w:val="%7."/>
      <w:lvlJc w:val="left"/>
      <w:pPr>
        <w:tabs>
          <w:tab w:val="num" w:pos="6120"/>
        </w:tabs>
        <w:ind w:left="6120" w:hanging="360"/>
      </w:pPr>
    </w:lvl>
    <w:lvl w:ilvl="7" w:tplc="4D005B4E" w:tentative="1">
      <w:start w:val="1"/>
      <w:numFmt w:val="lowerLetter"/>
      <w:lvlText w:val="%8."/>
      <w:lvlJc w:val="left"/>
      <w:pPr>
        <w:tabs>
          <w:tab w:val="num" w:pos="6840"/>
        </w:tabs>
        <w:ind w:left="6840" w:hanging="360"/>
      </w:pPr>
    </w:lvl>
    <w:lvl w:ilvl="8" w:tplc="590C9F9C" w:tentative="1">
      <w:start w:val="1"/>
      <w:numFmt w:val="lowerRoman"/>
      <w:lvlText w:val="%9."/>
      <w:lvlJc w:val="right"/>
      <w:pPr>
        <w:tabs>
          <w:tab w:val="num" w:pos="7560"/>
        </w:tabs>
        <w:ind w:left="7560" w:hanging="180"/>
      </w:pPr>
    </w:lvl>
  </w:abstractNum>
  <w:abstractNum w:abstractNumId="32">
    <w:nsid w:val="61135820"/>
    <w:multiLevelType w:val="hybridMultilevel"/>
    <w:tmpl w:val="EFA29DCA"/>
    <w:lvl w:ilvl="0" w:tplc="4B5451E8">
      <w:start w:val="1"/>
      <w:numFmt w:val="lowerRoman"/>
      <w:lvlText w:val="%1."/>
      <w:lvlJc w:val="left"/>
      <w:pPr>
        <w:tabs>
          <w:tab w:val="num" w:pos="1440"/>
        </w:tabs>
        <w:ind w:left="1440" w:hanging="720"/>
      </w:pPr>
      <w:rPr>
        <w:rFonts w:hint="default"/>
      </w:rPr>
    </w:lvl>
    <w:lvl w:ilvl="1" w:tplc="AA54CE0E" w:tentative="1">
      <w:start w:val="1"/>
      <w:numFmt w:val="lowerLetter"/>
      <w:lvlText w:val="%2."/>
      <w:lvlJc w:val="left"/>
      <w:pPr>
        <w:tabs>
          <w:tab w:val="num" w:pos="1800"/>
        </w:tabs>
        <w:ind w:left="1800" w:hanging="360"/>
      </w:pPr>
    </w:lvl>
    <w:lvl w:ilvl="2" w:tplc="859C16B6" w:tentative="1">
      <w:start w:val="1"/>
      <w:numFmt w:val="lowerRoman"/>
      <w:lvlText w:val="%3."/>
      <w:lvlJc w:val="right"/>
      <w:pPr>
        <w:tabs>
          <w:tab w:val="num" w:pos="2520"/>
        </w:tabs>
        <w:ind w:left="2520" w:hanging="180"/>
      </w:pPr>
    </w:lvl>
    <w:lvl w:ilvl="3" w:tplc="89621D26" w:tentative="1">
      <w:start w:val="1"/>
      <w:numFmt w:val="decimal"/>
      <w:lvlText w:val="%4."/>
      <w:lvlJc w:val="left"/>
      <w:pPr>
        <w:tabs>
          <w:tab w:val="num" w:pos="3240"/>
        </w:tabs>
        <w:ind w:left="3240" w:hanging="360"/>
      </w:pPr>
    </w:lvl>
    <w:lvl w:ilvl="4" w:tplc="97C040FE" w:tentative="1">
      <w:start w:val="1"/>
      <w:numFmt w:val="lowerLetter"/>
      <w:lvlText w:val="%5."/>
      <w:lvlJc w:val="left"/>
      <w:pPr>
        <w:tabs>
          <w:tab w:val="num" w:pos="3960"/>
        </w:tabs>
        <w:ind w:left="3960" w:hanging="360"/>
      </w:pPr>
    </w:lvl>
    <w:lvl w:ilvl="5" w:tplc="CF5C86CE" w:tentative="1">
      <w:start w:val="1"/>
      <w:numFmt w:val="lowerRoman"/>
      <w:lvlText w:val="%6."/>
      <w:lvlJc w:val="right"/>
      <w:pPr>
        <w:tabs>
          <w:tab w:val="num" w:pos="4680"/>
        </w:tabs>
        <w:ind w:left="4680" w:hanging="180"/>
      </w:pPr>
    </w:lvl>
    <w:lvl w:ilvl="6" w:tplc="F078EBDC" w:tentative="1">
      <w:start w:val="1"/>
      <w:numFmt w:val="decimal"/>
      <w:lvlText w:val="%7."/>
      <w:lvlJc w:val="left"/>
      <w:pPr>
        <w:tabs>
          <w:tab w:val="num" w:pos="5400"/>
        </w:tabs>
        <w:ind w:left="5400" w:hanging="360"/>
      </w:pPr>
    </w:lvl>
    <w:lvl w:ilvl="7" w:tplc="EF24C89A" w:tentative="1">
      <w:start w:val="1"/>
      <w:numFmt w:val="lowerLetter"/>
      <w:lvlText w:val="%8."/>
      <w:lvlJc w:val="left"/>
      <w:pPr>
        <w:tabs>
          <w:tab w:val="num" w:pos="6120"/>
        </w:tabs>
        <w:ind w:left="6120" w:hanging="360"/>
      </w:pPr>
    </w:lvl>
    <w:lvl w:ilvl="8" w:tplc="56125BD2" w:tentative="1">
      <w:start w:val="1"/>
      <w:numFmt w:val="lowerRoman"/>
      <w:lvlText w:val="%9."/>
      <w:lvlJc w:val="right"/>
      <w:pPr>
        <w:tabs>
          <w:tab w:val="num" w:pos="6840"/>
        </w:tabs>
        <w:ind w:left="6840" w:hanging="180"/>
      </w:pPr>
    </w:lvl>
  </w:abstractNum>
  <w:abstractNum w:abstractNumId="3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F1A75CF"/>
    <w:multiLevelType w:val="hybridMultilevel"/>
    <w:tmpl w:val="6A3E4DF0"/>
    <w:lvl w:ilvl="0" w:tplc="647C6656">
      <w:start w:val="1"/>
      <w:numFmt w:val="decimal"/>
      <w:lvlText w:val="%1)"/>
      <w:lvlJc w:val="left"/>
      <w:pPr>
        <w:tabs>
          <w:tab w:val="num" w:pos="1080"/>
        </w:tabs>
        <w:ind w:left="1080" w:hanging="360"/>
      </w:pPr>
      <w:rPr>
        <w:rFonts w:hint="default"/>
      </w:rPr>
    </w:lvl>
    <w:lvl w:ilvl="1" w:tplc="643A691E" w:tentative="1">
      <w:start w:val="1"/>
      <w:numFmt w:val="lowerLetter"/>
      <w:lvlText w:val="%2."/>
      <w:lvlJc w:val="left"/>
      <w:pPr>
        <w:tabs>
          <w:tab w:val="num" w:pos="1440"/>
        </w:tabs>
        <w:ind w:left="1440" w:hanging="360"/>
      </w:pPr>
    </w:lvl>
    <w:lvl w:ilvl="2" w:tplc="0BB2F81E" w:tentative="1">
      <w:start w:val="1"/>
      <w:numFmt w:val="lowerRoman"/>
      <w:lvlText w:val="%3."/>
      <w:lvlJc w:val="right"/>
      <w:pPr>
        <w:tabs>
          <w:tab w:val="num" w:pos="2160"/>
        </w:tabs>
        <w:ind w:left="2160" w:hanging="180"/>
      </w:pPr>
    </w:lvl>
    <w:lvl w:ilvl="3" w:tplc="4432B3BC" w:tentative="1">
      <w:start w:val="1"/>
      <w:numFmt w:val="decimal"/>
      <w:lvlText w:val="%4."/>
      <w:lvlJc w:val="left"/>
      <w:pPr>
        <w:tabs>
          <w:tab w:val="num" w:pos="2880"/>
        </w:tabs>
        <w:ind w:left="2880" w:hanging="360"/>
      </w:pPr>
    </w:lvl>
    <w:lvl w:ilvl="4" w:tplc="E85818E2" w:tentative="1">
      <w:start w:val="1"/>
      <w:numFmt w:val="lowerLetter"/>
      <w:lvlText w:val="%5."/>
      <w:lvlJc w:val="left"/>
      <w:pPr>
        <w:tabs>
          <w:tab w:val="num" w:pos="3600"/>
        </w:tabs>
        <w:ind w:left="3600" w:hanging="360"/>
      </w:pPr>
    </w:lvl>
    <w:lvl w:ilvl="5" w:tplc="10422578" w:tentative="1">
      <w:start w:val="1"/>
      <w:numFmt w:val="lowerRoman"/>
      <w:lvlText w:val="%6."/>
      <w:lvlJc w:val="right"/>
      <w:pPr>
        <w:tabs>
          <w:tab w:val="num" w:pos="4320"/>
        </w:tabs>
        <w:ind w:left="4320" w:hanging="180"/>
      </w:pPr>
    </w:lvl>
    <w:lvl w:ilvl="6" w:tplc="F9803AEE" w:tentative="1">
      <w:start w:val="1"/>
      <w:numFmt w:val="decimal"/>
      <w:lvlText w:val="%7."/>
      <w:lvlJc w:val="left"/>
      <w:pPr>
        <w:tabs>
          <w:tab w:val="num" w:pos="5040"/>
        </w:tabs>
        <w:ind w:left="5040" w:hanging="360"/>
      </w:pPr>
    </w:lvl>
    <w:lvl w:ilvl="7" w:tplc="239EBBD8" w:tentative="1">
      <w:start w:val="1"/>
      <w:numFmt w:val="lowerLetter"/>
      <w:lvlText w:val="%8."/>
      <w:lvlJc w:val="left"/>
      <w:pPr>
        <w:tabs>
          <w:tab w:val="num" w:pos="5760"/>
        </w:tabs>
        <w:ind w:left="5760" w:hanging="360"/>
      </w:pPr>
    </w:lvl>
    <w:lvl w:ilvl="8" w:tplc="C3DC8AC8" w:tentative="1">
      <w:start w:val="1"/>
      <w:numFmt w:val="lowerRoman"/>
      <w:lvlText w:val="%9."/>
      <w:lvlJc w:val="right"/>
      <w:pPr>
        <w:tabs>
          <w:tab w:val="num" w:pos="6480"/>
        </w:tabs>
        <w:ind w:left="6480" w:hanging="180"/>
      </w:pPr>
    </w:lvl>
  </w:abstractNum>
  <w:abstractNum w:abstractNumId="35">
    <w:nsid w:val="6FFE310E"/>
    <w:multiLevelType w:val="hybridMultilevel"/>
    <w:tmpl w:val="43988F38"/>
    <w:lvl w:ilvl="0" w:tplc="04F4720E">
      <w:start w:val="1"/>
      <w:numFmt w:val="bullet"/>
      <w:lvlText w:val=""/>
      <w:lvlJc w:val="left"/>
      <w:pPr>
        <w:tabs>
          <w:tab w:val="num" w:pos="720"/>
        </w:tabs>
        <w:ind w:left="720" w:hanging="360"/>
      </w:pPr>
      <w:rPr>
        <w:rFonts w:ascii="Symbol" w:hAnsi="Symbol" w:hint="default"/>
      </w:rPr>
    </w:lvl>
    <w:lvl w:ilvl="1" w:tplc="1F2AF5FC" w:tentative="1">
      <w:start w:val="1"/>
      <w:numFmt w:val="bullet"/>
      <w:lvlText w:val="o"/>
      <w:lvlJc w:val="left"/>
      <w:pPr>
        <w:tabs>
          <w:tab w:val="num" w:pos="1440"/>
        </w:tabs>
        <w:ind w:left="1440" w:hanging="360"/>
      </w:pPr>
      <w:rPr>
        <w:rFonts w:ascii="Courier New" w:hAnsi="Courier New" w:cs="Wingdings" w:hint="default"/>
      </w:rPr>
    </w:lvl>
    <w:lvl w:ilvl="2" w:tplc="7AB8648E" w:tentative="1">
      <w:start w:val="1"/>
      <w:numFmt w:val="bullet"/>
      <w:lvlText w:val=""/>
      <w:lvlJc w:val="left"/>
      <w:pPr>
        <w:tabs>
          <w:tab w:val="num" w:pos="2160"/>
        </w:tabs>
        <w:ind w:left="2160" w:hanging="360"/>
      </w:pPr>
      <w:rPr>
        <w:rFonts w:ascii="Wingdings" w:hAnsi="Wingdings" w:hint="default"/>
      </w:rPr>
    </w:lvl>
    <w:lvl w:ilvl="3" w:tplc="255CB5C6" w:tentative="1">
      <w:start w:val="1"/>
      <w:numFmt w:val="bullet"/>
      <w:lvlText w:val=""/>
      <w:lvlJc w:val="left"/>
      <w:pPr>
        <w:tabs>
          <w:tab w:val="num" w:pos="2880"/>
        </w:tabs>
        <w:ind w:left="2880" w:hanging="360"/>
      </w:pPr>
      <w:rPr>
        <w:rFonts w:ascii="Symbol" w:hAnsi="Symbol" w:hint="default"/>
      </w:rPr>
    </w:lvl>
    <w:lvl w:ilvl="4" w:tplc="DE1C72DE" w:tentative="1">
      <w:start w:val="1"/>
      <w:numFmt w:val="bullet"/>
      <w:lvlText w:val="o"/>
      <w:lvlJc w:val="left"/>
      <w:pPr>
        <w:tabs>
          <w:tab w:val="num" w:pos="3600"/>
        </w:tabs>
        <w:ind w:left="3600" w:hanging="360"/>
      </w:pPr>
      <w:rPr>
        <w:rFonts w:ascii="Courier New" w:hAnsi="Courier New" w:cs="Wingdings" w:hint="default"/>
      </w:rPr>
    </w:lvl>
    <w:lvl w:ilvl="5" w:tplc="4484DBB8" w:tentative="1">
      <w:start w:val="1"/>
      <w:numFmt w:val="bullet"/>
      <w:lvlText w:val=""/>
      <w:lvlJc w:val="left"/>
      <w:pPr>
        <w:tabs>
          <w:tab w:val="num" w:pos="4320"/>
        </w:tabs>
        <w:ind w:left="4320" w:hanging="360"/>
      </w:pPr>
      <w:rPr>
        <w:rFonts w:ascii="Wingdings" w:hAnsi="Wingdings" w:hint="default"/>
      </w:rPr>
    </w:lvl>
    <w:lvl w:ilvl="6" w:tplc="9EE67FB8" w:tentative="1">
      <w:start w:val="1"/>
      <w:numFmt w:val="bullet"/>
      <w:lvlText w:val=""/>
      <w:lvlJc w:val="left"/>
      <w:pPr>
        <w:tabs>
          <w:tab w:val="num" w:pos="5040"/>
        </w:tabs>
        <w:ind w:left="5040" w:hanging="360"/>
      </w:pPr>
      <w:rPr>
        <w:rFonts w:ascii="Symbol" w:hAnsi="Symbol" w:hint="default"/>
      </w:rPr>
    </w:lvl>
    <w:lvl w:ilvl="7" w:tplc="344485C6" w:tentative="1">
      <w:start w:val="1"/>
      <w:numFmt w:val="bullet"/>
      <w:lvlText w:val="o"/>
      <w:lvlJc w:val="left"/>
      <w:pPr>
        <w:tabs>
          <w:tab w:val="num" w:pos="5760"/>
        </w:tabs>
        <w:ind w:left="5760" w:hanging="360"/>
      </w:pPr>
      <w:rPr>
        <w:rFonts w:ascii="Courier New" w:hAnsi="Courier New" w:cs="Wingdings" w:hint="default"/>
      </w:rPr>
    </w:lvl>
    <w:lvl w:ilvl="8" w:tplc="89261576" w:tentative="1">
      <w:start w:val="1"/>
      <w:numFmt w:val="bullet"/>
      <w:lvlText w:val=""/>
      <w:lvlJc w:val="left"/>
      <w:pPr>
        <w:tabs>
          <w:tab w:val="num" w:pos="6480"/>
        </w:tabs>
        <w:ind w:left="6480" w:hanging="360"/>
      </w:pPr>
      <w:rPr>
        <w:rFonts w:ascii="Wingdings" w:hAnsi="Wingdings" w:hint="default"/>
      </w:rPr>
    </w:lvl>
  </w:abstractNum>
  <w:abstractNum w:abstractNumId="36">
    <w:nsid w:val="7001BF85"/>
    <w:multiLevelType w:val="hybridMultilevel"/>
    <w:tmpl w:val="DC64B3A0"/>
    <w:lvl w:ilvl="0" w:tplc="9A565884">
      <w:start w:val="1"/>
      <w:numFmt w:val="decimal"/>
      <w:lvlText w:val=""/>
      <w:lvlJc w:val="left"/>
    </w:lvl>
    <w:lvl w:ilvl="1" w:tplc="46F2411C">
      <w:numFmt w:val="decimal"/>
      <w:lvlText w:val=""/>
      <w:lvlJc w:val="left"/>
    </w:lvl>
    <w:lvl w:ilvl="2" w:tplc="542472A6">
      <w:numFmt w:val="decimal"/>
      <w:lvlText w:val=""/>
      <w:lvlJc w:val="left"/>
    </w:lvl>
    <w:lvl w:ilvl="3" w:tplc="C8505E72">
      <w:numFmt w:val="decimal"/>
      <w:lvlText w:val=""/>
      <w:lvlJc w:val="left"/>
    </w:lvl>
    <w:lvl w:ilvl="4" w:tplc="95DA5C10">
      <w:numFmt w:val="decimal"/>
      <w:lvlText w:val=""/>
      <w:lvlJc w:val="left"/>
    </w:lvl>
    <w:lvl w:ilvl="5" w:tplc="370AE006">
      <w:numFmt w:val="decimal"/>
      <w:lvlText w:val=""/>
      <w:lvlJc w:val="left"/>
    </w:lvl>
    <w:lvl w:ilvl="6" w:tplc="004002A2">
      <w:numFmt w:val="decimal"/>
      <w:lvlText w:val=""/>
      <w:lvlJc w:val="left"/>
    </w:lvl>
    <w:lvl w:ilvl="7" w:tplc="3906E69E">
      <w:numFmt w:val="decimal"/>
      <w:lvlText w:val=""/>
      <w:lvlJc w:val="left"/>
    </w:lvl>
    <w:lvl w:ilvl="8" w:tplc="DED424C4">
      <w:numFmt w:val="decimal"/>
      <w:lvlText w:val=""/>
      <w:lvlJc w:val="left"/>
    </w:lvl>
  </w:abstractNum>
  <w:abstractNum w:abstractNumId="37">
    <w:nsid w:val="731651FD"/>
    <w:multiLevelType w:val="hybridMultilevel"/>
    <w:tmpl w:val="1B828A2E"/>
    <w:lvl w:ilvl="0" w:tplc="DE4C84AC">
      <w:start w:val="1"/>
      <w:numFmt w:val="bullet"/>
      <w:lvlText w:val=""/>
      <w:lvlJc w:val="left"/>
      <w:pPr>
        <w:tabs>
          <w:tab w:val="num" w:pos="2160"/>
        </w:tabs>
        <w:ind w:left="2160" w:hanging="360"/>
      </w:pPr>
      <w:rPr>
        <w:rFonts w:ascii="Symbol" w:hAnsi="Symbol" w:hint="default"/>
      </w:rPr>
    </w:lvl>
    <w:lvl w:ilvl="1" w:tplc="1C289244" w:tentative="1">
      <w:start w:val="1"/>
      <w:numFmt w:val="bullet"/>
      <w:lvlText w:val="o"/>
      <w:lvlJc w:val="left"/>
      <w:pPr>
        <w:tabs>
          <w:tab w:val="num" w:pos="2880"/>
        </w:tabs>
        <w:ind w:left="2880" w:hanging="360"/>
      </w:pPr>
      <w:rPr>
        <w:rFonts w:ascii="Courier New" w:hAnsi="Courier New" w:cs="Wingdings" w:hint="default"/>
      </w:rPr>
    </w:lvl>
    <w:lvl w:ilvl="2" w:tplc="C6C0613C" w:tentative="1">
      <w:start w:val="1"/>
      <w:numFmt w:val="bullet"/>
      <w:lvlText w:val=""/>
      <w:lvlJc w:val="left"/>
      <w:pPr>
        <w:tabs>
          <w:tab w:val="num" w:pos="3600"/>
        </w:tabs>
        <w:ind w:left="3600" w:hanging="360"/>
      </w:pPr>
      <w:rPr>
        <w:rFonts w:ascii="Wingdings" w:hAnsi="Wingdings" w:hint="default"/>
      </w:rPr>
    </w:lvl>
    <w:lvl w:ilvl="3" w:tplc="9778414C" w:tentative="1">
      <w:start w:val="1"/>
      <w:numFmt w:val="bullet"/>
      <w:lvlText w:val=""/>
      <w:lvlJc w:val="left"/>
      <w:pPr>
        <w:tabs>
          <w:tab w:val="num" w:pos="4320"/>
        </w:tabs>
        <w:ind w:left="4320" w:hanging="360"/>
      </w:pPr>
      <w:rPr>
        <w:rFonts w:ascii="Symbol" w:hAnsi="Symbol" w:hint="default"/>
      </w:rPr>
    </w:lvl>
    <w:lvl w:ilvl="4" w:tplc="920C5D86" w:tentative="1">
      <w:start w:val="1"/>
      <w:numFmt w:val="bullet"/>
      <w:lvlText w:val="o"/>
      <w:lvlJc w:val="left"/>
      <w:pPr>
        <w:tabs>
          <w:tab w:val="num" w:pos="5040"/>
        </w:tabs>
        <w:ind w:left="5040" w:hanging="360"/>
      </w:pPr>
      <w:rPr>
        <w:rFonts w:ascii="Courier New" w:hAnsi="Courier New" w:cs="Wingdings" w:hint="default"/>
      </w:rPr>
    </w:lvl>
    <w:lvl w:ilvl="5" w:tplc="5AFA821E" w:tentative="1">
      <w:start w:val="1"/>
      <w:numFmt w:val="bullet"/>
      <w:lvlText w:val=""/>
      <w:lvlJc w:val="left"/>
      <w:pPr>
        <w:tabs>
          <w:tab w:val="num" w:pos="5760"/>
        </w:tabs>
        <w:ind w:left="5760" w:hanging="360"/>
      </w:pPr>
      <w:rPr>
        <w:rFonts w:ascii="Wingdings" w:hAnsi="Wingdings" w:hint="default"/>
      </w:rPr>
    </w:lvl>
    <w:lvl w:ilvl="6" w:tplc="54B4F402" w:tentative="1">
      <w:start w:val="1"/>
      <w:numFmt w:val="bullet"/>
      <w:lvlText w:val=""/>
      <w:lvlJc w:val="left"/>
      <w:pPr>
        <w:tabs>
          <w:tab w:val="num" w:pos="6480"/>
        </w:tabs>
        <w:ind w:left="6480" w:hanging="360"/>
      </w:pPr>
      <w:rPr>
        <w:rFonts w:ascii="Symbol" w:hAnsi="Symbol" w:hint="default"/>
      </w:rPr>
    </w:lvl>
    <w:lvl w:ilvl="7" w:tplc="92925E1C" w:tentative="1">
      <w:start w:val="1"/>
      <w:numFmt w:val="bullet"/>
      <w:lvlText w:val="o"/>
      <w:lvlJc w:val="left"/>
      <w:pPr>
        <w:tabs>
          <w:tab w:val="num" w:pos="7200"/>
        </w:tabs>
        <w:ind w:left="7200" w:hanging="360"/>
      </w:pPr>
      <w:rPr>
        <w:rFonts w:ascii="Courier New" w:hAnsi="Courier New" w:cs="Wingdings" w:hint="default"/>
      </w:rPr>
    </w:lvl>
    <w:lvl w:ilvl="8" w:tplc="DE10C086" w:tentative="1">
      <w:start w:val="1"/>
      <w:numFmt w:val="bullet"/>
      <w:lvlText w:val=""/>
      <w:lvlJc w:val="left"/>
      <w:pPr>
        <w:tabs>
          <w:tab w:val="num" w:pos="7920"/>
        </w:tabs>
        <w:ind w:left="7920" w:hanging="360"/>
      </w:pPr>
      <w:rPr>
        <w:rFonts w:ascii="Wingdings" w:hAnsi="Wingdings" w:hint="default"/>
      </w:rPr>
    </w:lvl>
  </w:abstractNum>
  <w:abstractNum w:abstractNumId="38">
    <w:nsid w:val="75D00D9C"/>
    <w:multiLevelType w:val="hybridMultilevel"/>
    <w:tmpl w:val="9C1A1366"/>
    <w:lvl w:ilvl="0" w:tplc="BFCEE0E2">
      <w:start w:val="1"/>
      <w:numFmt w:val="bullet"/>
      <w:lvlText w:val=""/>
      <w:lvlJc w:val="left"/>
      <w:pPr>
        <w:tabs>
          <w:tab w:val="num" w:pos="1080"/>
        </w:tabs>
        <w:ind w:left="1080" w:hanging="360"/>
      </w:pPr>
      <w:rPr>
        <w:rFonts w:ascii="Symbol" w:hAnsi="Symbol" w:hint="default"/>
      </w:rPr>
    </w:lvl>
    <w:lvl w:ilvl="1" w:tplc="BA7805D4" w:tentative="1">
      <w:start w:val="1"/>
      <w:numFmt w:val="bullet"/>
      <w:lvlText w:val="o"/>
      <w:lvlJc w:val="left"/>
      <w:pPr>
        <w:tabs>
          <w:tab w:val="num" w:pos="1800"/>
        </w:tabs>
        <w:ind w:left="1800" w:hanging="360"/>
      </w:pPr>
      <w:rPr>
        <w:rFonts w:ascii="Courier New" w:hAnsi="Courier New" w:cs="Wingdings" w:hint="default"/>
      </w:rPr>
    </w:lvl>
    <w:lvl w:ilvl="2" w:tplc="07769498" w:tentative="1">
      <w:start w:val="1"/>
      <w:numFmt w:val="bullet"/>
      <w:lvlText w:val=""/>
      <w:lvlJc w:val="left"/>
      <w:pPr>
        <w:tabs>
          <w:tab w:val="num" w:pos="2520"/>
        </w:tabs>
        <w:ind w:left="2520" w:hanging="360"/>
      </w:pPr>
      <w:rPr>
        <w:rFonts w:ascii="Wingdings" w:hAnsi="Wingdings" w:hint="default"/>
      </w:rPr>
    </w:lvl>
    <w:lvl w:ilvl="3" w:tplc="34A89EBE" w:tentative="1">
      <w:start w:val="1"/>
      <w:numFmt w:val="bullet"/>
      <w:lvlText w:val=""/>
      <w:lvlJc w:val="left"/>
      <w:pPr>
        <w:tabs>
          <w:tab w:val="num" w:pos="3240"/>
        </w:tabs>
        <w:ind w:left="3240" w:hanging="360"/>
      </w:pPr>
      <w:rPr>
        <w:rFonts w:ascii="Symbol" w:hAnsi="Symbol" w:hint="default"/>
      </w:rPr>
    </w:lvl>
    <w:lvl w:ilvl="4" w:tplc="6E64820C" w:tentative="1">
      <w:start w:val="1"/>
      <w:numFmt w:val="bullet"/>
      <w:lvlText w:val="o"/>
      <w:lvlJc w:val="left"/>
      <w:pPr>
        <w:tabs>
          <w:tab w:val="num" w:pos="3960"/>
        </w:tabs>
        <w:ind w:left="3960" w:hanging="360"/>
      </w:pPr>
      <w:rPr>
        <w:rFonts w:ascii="Courier New" w:hAnsi="Courier New" w:cs="Wingdings" w:hint="default"/>
      </w:rPr>
    </w:lvl>
    <w:lvl w:ilvl="5" w:tplc="A5E49CA2" w:tentative="1">
      <w:start w:val="1"/>
      <w:numFmt w:val="bullet"/>
      <w:lvlText w:val=""/>
      <w:lvlJc w:val="left"/>
      <w:pPr>
        <w:tabs>
          <w:tab w:val="num" w:pos="4680"/>
        </w:tabs>
        <w:ind w:left="4680" w:hanging="360"/>
      </w:pPr>
      <w:rPr>
        <w:rFonts w:ascii="Wingdings" w:hAnsi="Wingdings" w:hint="default"/>
      </w:rPr>
    </w:lvl>
    <w:lvl w:ilvl="6" w:tplc="927ABA0A" w:tentative="1">
      <w:start w:val="1"/>
      <w:numFmt w:val="bullet"/>
      <w:lvlText w:val=""/>
      <w:lvlJc w:val="left"/>
      <w:pPr>
        <w:tabs>
          <w:tab w:val="num" w:pos="5400"/>
        </w:tabs>
        <w:ind w:left="5400" w:hanging="360"/>
      </w:pPr>
      <w:rPr>
        <w:rFonts w:ascii="Symbol" w:hAnsi="Symbol" w:hint="default"/>
      </w:rPr>
    </w:lvl>
    <w:lvl w:ilvl="7" w:tplc="92C0660E" w:tentative="1">
      <w:start w:val="1"/>
      <w:numFmt w:val="bullet"/>
      <w:lvlText w:val="o"/>
      <w:lvlJc w:val="left"/>
      <w:pPr>
        <w:tabs>
          <w:tab w:val="num" w:pos="6120"/>
        </w:tabs>
        <w:ind w:left="6120" w:hanging="360"/>
      </w:pPr>
      <w:rPr>
        <w:rFonts w:ascii="Courier New" w:hAnsi="Courier New" w:cs="Wingdings" w:hint="default"/>
      </w:rPr>
    </w:lvl>
    <w:lvl w:ilvl="8" w:tplc="923EF51A" w:tentative="1">
      <w:start w:val="1"/>
      <w:numFmt w:val="bullet"/>
      <w:lvlText w:val=""/>
      <w:lvlJc w:val="left"/>
      <w:pPr>
        <w:tabs>
          <w:tab w:val="num" w:pos="6840"/>
        </w:tabs>
        <w:ind w:left="6840" w:hanging="360"/>
      </w:pPr>
      <w:rPr>
        <w:rFonts w:ascii="Wingdings" w:hAnsi="Wingdings" w:hint="default"/>
      </w:rPr>
    </w:lvl>
  </w:abstractNum>
  <w:abstractNum w:abstractNumId="39">
    <w:nsid w:val="75FE5FDF"/>
    <w:multiLevelType w:val="hybridMultilevel"/>
    <w:tmpl w:val="82707092"/>
    <w:lvl w:ilvl="0" w:tplc="64209420">
      <w:start w:val="1"/>
      <w:numFmt w:val="bullet"/>
      <w:lvlText w:val=""/>
      <w:lvlJc w:val="left"/>
      <w:pPr>
        <w:tabs>
          <w:tab w:val="num" w:pos="1800"/>
        </w:tabs>
        <w:ind w:left="1800" w:hanging="360"/>
      </w:pPr>
      <w:rPr>
        <w:rFonts w:ascii="Symbol" w:hAnsi="Symbol" w:hint="default"/>
      </w:rPr>
    </w:lvl>
    <w:lvl w:ilvl="1" w:tplc="0F3248AC" w:tentative="1">
      <w:start w:val="1"/>
      <w:numFmt w:val="bullet"/>
      <w:lvlText w:val="o"/>
      <w:lvlJc w:val="left"/>
      <w:pPr>
        <w:tabs>
          <w:tab w:val="num" w:pos="2520"/>
        </w:tabs>
        <w:ind w:left="2520" w:hanging="360"/>
      </w:pPr>
      <w:rPr>
        <w:rFonts w:ascii="Courier New" w:hAnsi="Courier New" w:cs="Wingdings" w:hint="default"/>
      </w:rPr>
    </w:lvl>
    <w:lvl w:ilvl="2" w:tplc="82AA2E2C" w:tentative="1">
      <w:start w:val="1"/>
      <w:numFmt w:val="bullet"/>
      <w:lvlText w:val=""/>
      <w:lvlJc w:val="left"/>
      <w:pPr>
        <w:tabs>
          <w:tab w:val="num" w:pos="3240"/>
        </w:tabs>
        <w:ind w:left="3240" w:hanging="360"/>
      </w:pPr>
      <w:rPr>
        <w:rFonts w:ascii="Wingdings" w:hAnsi="Wingdings" w:hint="default"/>
      </w:rPr>
    </w:lvl>
    <w:lvl w:ilvl="3" w:tplc="D1FC471C" w:tentative="1">
      <w:start w:val="1"/>
      <w:numFmt w:val="bullet"/>
      <w:lvlText w:val=""/>
      <w:lvlJc w:val="left"/>
      <w:pPr>
        <w:tabs>
          <w:tab w:val="num" w:pos="3960"/>
        </w:tabs>
        <w:ind w:left="3960" w:hanging="360"/>
      </w:pPr>
      <w:rPr>
        <w:rFonts w:ascii="Symbol" w:hAnsi="Symbol" w:hint="default"/>
      </w:rPr>
    </w:lvl>
    <w:lvl w:ilvl="4" w:tplc="6690193A" w:tentative="1">
      <w:start w:val="1"/>
      <w:numFmt w:val="bullet"/>
      <w:lvlText w:val="o"/>
      <w:lvlJc w:val="left"/>
      <w:pPr>
        <w:tabs>
          <w:tab w:val="num" w:pos="4680"/>
        </w:tabs>
        <w:ind w:left="4680" w:hanging="360"/>
      </w:pPr>
      <w:rPr>
        <w:rFonts w:ascii="Courier New" w:hAnsi="Courier New" w:cs="Wingdings" w:hint="default"/>
      </w:rPr>
    </w:lvl>
    <w:lvl w:ilvl="5" w:tplc="3EF6ACE4" w:tentative="1">
      <w:start w:val="1"/>
      <w:numFmt w:val="bullet"/>
      <w:lvlText w:val=""/>
      <w:lvlJc w:val="left"/>
      <w:pPr>
        <w:tabs>
          <w:tab w:val="num" w:pos="5400"/>
        </w:tabs>
        <w:ind w:left="5400" w:hanging="360"/>
      </w:pPr>
      <w:rPr>
        <w:rFonts w:ascii="Wingdings" w:hAnsi="Wingdings" w:hint="default"/>
      </w:rPr>
    </w:lvl>
    <w:lvl w:ilvl="6" w:tplc="3E20A2BA" w:tentative="1">
      <w:start w:val="1"/>
      <w:numFmt w:val="bullet"/>
      <w:lvlText w:val=""/>
      <w:lvlJc w:val="left"/>
      <w:pPr>
        <w:tabs>
          <w:tab w:val="num" w:pos="6120"/>
        </w:tabs>
        <w:ind w:left="6120" w:hanging="360"/>
      </w:pPr>
      <w:rPr>
        <w:rFonts w:ascii="Symbol" w:hAnsi="Symbol" w:hint="default"/>
      </w:rPr>
    </w:lvl>
    <w:lvl w:ilvl="7" w:tplc="514E96B0" w:tentative="1">
      <w:start w:val="1"/>
      <w:numFmt w:val="bullet"/>
      <w:lvlText w:val="o"/>
      <w:lvlJc w:val="left"/>
      <w:pPr>
        <w:tabs>
          <w:tab w:val="num" w:pos="6840"/>
        </w:tabs>
        <w:ind w:left="6840" w:hanging="360"/>
      </w:pPr>
      <w:rPr>
        <w:rFonts w:ascii="Courier New" w:hAnsi="Courier New" w:cs="Wingdings" w:hint="default"/>
      </w:rPr>
    </w:lvl>
    <w:lvl w:ilvl="8" w:tplc="84287346" w:tentative="1">
      <w:start w:val="1"/>
      <w:numFmt w:val="bullet"/>
      <w:lvlText w:val=""/>
      <w:lvlJc w:val="left"/>
      <w:pPr>
        <w:tabs>
          <w:tab w:val="num" w:pos="7560"/>
        </w:tabs>
        <w:ind w:left="7560" w:hanging="360"/>
      </w:pPr>
      <w:rPr>
        <w:rFonts w:ascii="Wingdings" w:hAnsi="Wingdings" w:hint="default"/>
      </w:rPr>
    </w:lvl>
  </w:abstractNum>
  <w:abstractNum w:abstractNumId="40">
    <w:nsid w:val="772D5871"/>
    <w:multiLevelType w:val="hybridMultilevel"/>
    <w:tmpl w:val="85824C7C"/>
    <w:lvl w:ilvl="0" w:tplc="9FA066AC">
      <w:start w:val="1"/>
      <w:numFmt w:val="bullet"/>
      <w:lvlText w:val=""/>
      <w:lvlJc w:val="left"/>
      <w:pPr>
        <w:tabs>
          <w:tab w:val="num" w:pos="3510"/>
        </w:tabs>
        <w:ind w:left="3510" w:hanging="63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C2150A9"/>
    <w:multiLevelType w:val="hybridMultilevel"/>
    <w:tmpl w:val="60A616C2"/>
    <w:lvl w:ilvl="0" w:tplc="5AD64BF2">
      <w:start w:val="1"/>
      <w:numFmt w:val="decimal"/>
      <w:lvlText w:val="%1."/>
      <w:lvlJc w:val="left"/>
      <w:pPr>
        <w:tabs>
          <w:tab w:val="num" w:pos="720"/>
        </w:tabs>
        <w:ind w:left="720" w:hanging="360"/>
      </w:pPr>
    </w:lvl>
    <w:lvl w:ilvl="1" w:tplc="F2B6CC42" w:tentative="1">
      <w:start w:val="1"/>
      <w:numFmt w:val="lowerLetter"/>
      <w:lvlText w:val="%2."/>
      <w:lvlJc w:val="left"/>
      <w:pPr>
        <w:tabs>
          <w:tab w:val="num" w:pos="1440"/>
        </w:tabs>
        <w:ind w:left="1440" w:hanging="360"/>
      </w:pPr>
    </w:lvl>
    <w:lvl w:ilvl="2" w:tplc="8042E474" w:tentative="1">
      <w:start w:val="1"/>
      <w:numFmt w:val="lowerRoman"/>
      <w:lvlText w:val="%3."/>
      <w:lvlJc w:val="right"/>
      <w:pPr>
        <w:tabs>
          <w:tab w:val="num" w:pos="2160"/>
        </w:tabs>
        <w:ind w:left="2160" w:hanging="180"/>
      </w:pPr>
    </w:lvl>
    <w:lvl w:ilvl="3" w:tplc="D4E4BDC8" w:tentative="1">
      <w:start w:val="1"/>
      <w:numFmt w:val="decimal"/>
      <w:lvlText w:val="%4."/>
      <w:lvlJc w:val="left"/>
      <w:pPr>
        <w:tabs>
          <w:tab w:val="num" w:pos="2880"/>
        </w:tabs>
        <w:ind w:left="2880" w:hanging="360"/>
      </w:pPr>
    </w:lvl>
    <w:lvl w:ilvl="4" w:tplc="43B4A83A" w:tentative="1">
      <w:start w:val="1"/>
      <w:numFmt w:val="lowerLetter"/>
      <w:lvlText w:val="%5."/>
      <w:lvlJc w:val="left"/>
      <w:pPr>
        <w:tabs>
          <w:tab w:val="num" w:pos="3600"/>
        </w:tabs>
        <w:ind w:left="3600" w:hanging="360"/>
      </w:pPr>
    </w:lvl>
    <w:lvl w:ilvl="5" w:tplc="5AB2E8DC" w:tentative="1">
      <w:start w:val="1"/>
      <w:numFmt w:val="lowerRoman"/>
      <w:lvlText w:val="%6."/>
      <w:lvlJc w:val="right"/>
      <w:pPr>
        <w:tabs>
          <w:tab w:val="num" w:pos="4320"/>
        </w:tabs>
        <w:ind w:left="4320" w:hanging="180"/>
      </w:pPr>
    </w:lvl>
    <w:lvl w:ilvl="6" w:tplc="D3CE268A" w:tentative="1">
      <w:start w:val="1"/>
      <w:numFmt w:val="decimal"/>
      <w:lvlText w:val="%7."/>
      <w:lvlJc w:val="left"/>
      <w:pPr>
        <w:tabs>
          <w:tab w:val="num" w:pos="5040"/>
        </w:tabs>
        <w:ind w:left="5040" w:hanging="360"/>
      </w:pPr>
    </w:lvl>
    <w:lvl w:ilvl="7" w:tplc="D804BEFA" w:tentative="1">
      <w:start w:val="1"/>
      <w:numFmt w:val="lowerLetter"/>
      <w:lvlText w:val="%8."/>
      <w:lvlJc w:val="left"/>
      <w:pPr>
        <w:tabs>
          <w:tab w:val="num" w:pos="5760"/>
        </w:tabs>
        <w:ind w:left="5760" w:hanging="360"/>
      </w:pPr>
    </w:lvl>
    <w:lvl w:ilvl="8" w:tplc="30941E70" w:tentative="1">
      <w:start w:val="1"/>
      <w:numFmt w:val="lowerRoman"/>
      <w:lvlText w:val="%9."/>
      <w:lvlJc w:val="right"/>
      <w:pPr>
        <w:tabs>
          <w:tab w:val="num" w:pos="6480"/>
        </w:tabs>
        <w:ind w:left="6480" w:hanging="180"/>
      </w:pPr>
    </w:lvl>
  </w:abstractNum>
  <w:abstractNum w:abstractNumId="42">
    <w:nsid w:val="7C2B4C69"/>
    <w:multiLevelType w:val="hybridMultilevel"/>
    <w:tmpl w:val="BF629AFE"/>
    <w:lvl w:ilvl="0" w:tplc="51F8F59C">
      <w:start w:val="8"/>
      <w:numFmt w:val="upperRoman"/>
      <w:lvlText w:val="%1."/>
      <w:lvlJc w:val="left"/>
      <w:pPr>
        <w:tabs>
          <w:tab w:val="num" w:pos="720"/>
        </w:tabs>
        <w:ind w:left="720" w:hanging="1440"/>
      </w:pPr>
      <w:rPr>
        <w:rFonts w:hint="default"/>
      </w:rPr>
    </w:lvl>
    <w:lvl w:ilvl="1" w:tplc="1CB80240" w:tentative="1">
      <w:start w:val="1"/>
      <w:numFmt w:val="lowerLetter"/>
      <w:lvlText w:val="%2."/>
      <w:lvlJc w:val="left"/>
      <w:pPr>
        <w:tabs>
          <w:tab w:val="num" w:pos="360"/>
        </w:tabs>
        <w:ind w:left="360" w:hanging="360"/>
      </w:pPr>
    </w:lvl>
    <w:lvl w:ilvl="2" w:tplc="9E7A5564" w:tentative="1">
      <w:start w:val="1"/>
      <w:numFmt w:val="lowerRoman"/>
      <w:lvlText w:val="%3."/>
      <w:lvlJc w:val="right"/>
      <w:pPr>
        <w:tabs>
          <w:tab w:val="num" w:pos="1080"/>
        </w:tabs>
        <w:ind w:left="1080" w:hanging="180"/>
      </w:pPr>
    </w:lvl>
    <w:lvl w:ilvl="3" w:tplc="39D28234" w:tentative="1">
      <w:start w:val="1"/>
      <w:numFmt w:val="decimal"/>
      <w:lvlText w:val="%4."/>
      <w:lvlJc w:val="left"/>
      <w:pPr>
        <w:tabs>
          <w:tab w:val="num" w:pos="1800"/>
        </w:tabs>
        <w:ind w:left="1800" w:hanging="360"/>
      </w:pPr>
    </w:lvl>
    <w:lvl w:ilvl="4" w:tplc="A4C00578" w:tentative="1">
      <w:start w:val="1"/>
      <w:numFmt w:val="lowerLetter"/>
      <w:lvlText w:val="%5."/>
      <w:lvlJc w:val="left"/>
      <w:pPr>
        <w:tabs>
          <w:tab w:val="num" w:pos="2520"/>
        </w:tabs>
        <w:ind w:left="2520" w:hanging="360"/>
      </w:pPr>
    </w:lvl>
    <w:lvl w:ilvl="5" w:tplc="49269698" w:tentative="1">
      <w:start w:val="1"/>
      <w:numFmt w:val="lowerRoman"/>
      <w:lvlText w:val="%6."/>
      <w:lvlJc w:val="right"/>
      <w:pPr>
        <w:tabs>
          <w:tab w:val="num" w:pos="3240"/>
        </w:tabs>
        <w:ind w:left="3240" w:hanging="180"/>
      </w:pPr>
    </w:lvl>
    <w:lvl w:ilvl="6" w:tplc="D37CB9C0" w:tentative="1">
      <w:start w:val="1"/>
      <w:numFmt w:val="decimal"/>
      <w:lvlText w:val="%7."/>
      <w:lvlJc w:val="left"/>
      <w:pPr>
        <w:tabs>
          <w:tab w:val="num" w:pos="3960"/>
        </w:tabs>
        <w:ind w:left="3960" w:hanging="360"/>
      </w:pPr>
    </w:lvl>
    <w:lvl w:ilvl="7" w:tplc="7F1846A4" w:tentative="1">
      <w:start w:val="1"/>
      <w:numFmt w:val="lowerLetter"/>
      <w:lvlText w:val="%8."/>
      <w:lvlJc w:val="left"/>
      <w:pPr>
        <w:tabs>
          <w:tab w:val="num" w:pos="4680"/>
        </w:tabs>
        <w:ind w:left="4680" w:hanging="360"/>
      </w:pPr>
    </w:lvl>
    <w:lvl w:ilvl="8" w:tplc="5D04B69C" w:tentative="1">
      <w:start w:val="1"/>
      <w:numFmt w:val="lowerRoman"/>
      <w:lvlText w:val="%9."/>
      <w:lvlJc w:val="right"/>
      <w:pPr>
        <w:tabs>
          <w:tab w:val="num" w:pos="5400"/>
        </w:tabs>
        <w:ind w:left="5400" w:hanging="180"/>
      </w:pPr>
    </w:lvl>
  </w:abstractNum>
  <w:abstractNum w:abstractNumId="43">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abstractNum w:abstractNumId="44">
    <w:nsid w:val="7E624308"/>
    <w:multiLevelType w:val="hybridMultilevel"/>
    <w:tmpl w:val="1AD24DEE"/>
    <w:lvl w:ilvl="0" w:tplc="833287E4">
      <w:start w:val="3"/>
      <w:numFmt w:val="upperLetter"/>
      <w:lvlText w:val="%1."/>
      <w:lvlJc w:val="left"/>
      <w:pPr>
        <w:tabs>
          <w:tab w:val="num" w:pos="1080"/>
        </w:tabs>
        <w:ind w:left="1080" w:hanging="720"/>
      </w:pPr>
      <w:rPr>
        <w:rFonts w:hint="default"/>
      </w:rPr>
    </w:lvl>
    <w:lvl w:ilvl="1" w:tplc="999A0DFA" w:tentative="1">
      <w:start w:val="1"/>
      <w:numFmt w:val="lowerLetter"/>
      <w:lvlText w:val="%2."/>
      <w:lvlJc w:val="left"/>
      <w:pPr>
        <w:tabs>
          <w:tab w:val="num" w:pos="1440"/>
        </w:tabs>
        <w:ind w:left="1440" w:hanging="360"/>
      </w:pPr>
    </w:lvl>
    <w:lvl w:ilvl="2" w:tplc="A07E70C0" w:tentative="1">
      <w:start w:val="1"/>
      <w:numFmt w:val="lowerRoman"/>
      <w:lvlText w:val="%3."/>
      <w:lvlJc w:val="right"/>
      <w:pPr>
        <w:tabs>
          <w:tab w:val="num" w:pos="2160"/>
        </w:tabs>
        <w:ind w:left="2160" w:hanging="180"/>
      </w:pPr>
    </w:lvl>
    <w:lvl w:ilvl="3" w:tplc="DF5C7264" w:tentative="1">
      <w:start w:val="1"/>
      <w:numFmt w:val="decimal"/>
      <w:lvlText w:val="%4."/>
      <w:lvlJc w:val="left"/>
      <w:pPr>
        <w:tabs>
          <w:tab w:val="num" w:pos="2880"/>
        </w:tabs>
        <w:ind w:left="2880" w:hanging="360"/>
      </w:pPr>
    </w:lvl>
    <w:lvl w:ilvl="4" w:tplc="C1929414" w:tentative="1">
      <w:start w:val="1"/>
      <w:numFmt w:val="lowerLetter"/>
      <w:lvlText w:val="%5."/>
      <w:lvlJc w:val="left"/>
      <w:pPr>
        <w:tabs>
          <w:tab w:val="num" w:pos="3600"/>
        </w:tabs>
        <w:ind w:left="3600" w:hanging="360"/>
      </w:pPr>
    </w:lvl>
    <w:lvl w:ilvl="5" w:tplc="72081074" w:tentative="1">
      <w:start w:val="1"/>
      <w:numFmt w:val="lowerRoman"/>
      <w:lvlText w:val="%6."/>
      <w:lvlJc w:val="right"/>
      <w:pPr>
        <w:tabs>
          <w:tab w:val="num" w:pos="4320"/>
        </w:tabs>
        <w:ind w:left="4320" w:hanging="180"/>
      </w:pPr>
    </w:lvl>
    <w:lvl w:ilvl="6" w:tplc="8D4ABBC6" w:tentative="1">
      <w:start w:val="1"/>
      <w:numFmt w:val="decimal"/>
      <w:lvlText w:val="%7."/>
      <w:lvlJc w:val="left"/>
      <w:pPr>
        <w:tabs>
          <w:tab w:val="num" w:pos="5040"/>
        </w:tabs>
        <w:ind w:left="5040" w:hanging="360"/>
      </w:pPr>
    </w:lvl>
    <w:lvl w:ilvl="7" w:tplc="55FAC8F0" w:tentative="1">
      <w:start w:val="1"/>
      <w:numFmt w:val="lowerLetter"/>
      <w:lvlText w:val="%8."/>
      <w:lvlJc w:val="left"/>
      <w:pPr>
        <w:tabs>
          <w:tab w:val="num" w:pos="5760"/>
        </w:tabs>
        <w:ind w:left="5760" w:hanging="360"/>
      </w:pPr>
    </w:lvl>
    <w:lvl w:ilvl="8" w:tplc="5D4C9CFC" w:tentative="1">
      <w:start w:val="1"/>
      <w:numFmt w:val="lowerRoman"/>
      <w:lvlText w:val="%9."/>
      <w:lvlJc w:val="right"/>
      <w:pPr>
        <w:tabs>
          <w:tab w:val="num" w:pos="6480"/>
        </w:tabs>
        <w:ind w:left="6480" w:hanging="180"/>
      </w:pPr>
    </w:lvl>
  </w:abstractNum>
  <w:num w:numId="1">
    <w:abstractNumId w:val="1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27"/>
  </w:num>
  <w:num w:numId="4">
    <w:abstractNumId w:val="14"/>
  </w:num>
  <w:num w:numId="5">
    <w:abstractNumId w:val="25"/>
  </w:num>
  <w:num w:numId="6">
    <w:abstractNumId w:val="23"/>
  </w:num>
  <w:num w:numId="7">
    <w:abstractNumId w:val="37"/>
  </w:num>
  <w:num w:numId="8">
    <w:abstractNumId w:val="32"/>
  </w:num>
  <w:num w:numId="9">
    <w:abstractNumId w:val="31"/>
  </w:num>
  <w:num w:numId="10">
    <w:abstractNumId w:val="18"/>
  </w:num>
  <w:num w:numId="11">
    <w:abstractNumId w:val="12"/>
  </w:num>
  <w:num w:numId="12">
    <w:abstractNumId w:val="29"/>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6"/>
  </w:num>
  <w:num w:numId="26">
    <w:abstractNumId w:val="35"/>
  </w:num>
  <w:num w:numId="27">
    <w:abstractNumId w:val="21"/>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42"/>
  </w:num>
  <w:num w:numId="30">
    <w:abstractNumId w:val="36"/>
  </w:num>
  <w:num w:numId="31">
    <w:abstractNumId w:val="39"/>
  </w:num>
  <w:num w:numId="32">
    <w:abstractNumId w:val="15"/>
  </w:num>
  <w:num w:numId="33">
    <w:abstractNumId w:val="11"/>
  </w:num>
  <w:num w:numId="34">
    <w:abstractNumId w:val="16"/>
  </w:num>
  <w:num w:numId="35">
    <w:abstractNumId w:val="44"/>
  </w:num>
  <w:num w:numId="36">
    <w:abstractNumId w:val="34"/>
  </w:num>
  <w:num w:numId="37">
    <w:abstractNumId w:val="28"/>
  </w:num>
  <w:num w:numId="38">
    <w:abstractNumId w:val="38"/>
  </w:num>
  <w:num w:numId="39">
    <w:abstractNumId w:val="41"/>
  </w:num>
  <w:num w:numId="40">
    <w:abstractNumId w:val="24"/>
  </w:num>
  <w:num w:numId="41">
    <w:abstractNumId w:val="10"/>
    <w:lvlOverride w:ilvl="0">
      <w:lvl w:ilvl="0">
        <w:numFmt w:val="bullet"/>
        <w:lvlText w:val=""/>
        <w:legacy w:legacy="1" w:legacySpace="0" w:legacyIndent="0"/>
        <w:lvlJc w:val="left"/>
        <w:rPr>
          <w:rFonts w:ascii="Symbol" w:hAnsi="Symbol" w:hint="default"/>
        </w:rPr>
      </w:lvl>
    </w:lvlOverride>
  </w:num>
  <w:num w:numId="42">
    <w:abstractNumId w:val="19"/>
  </w:num>
  <w:num w:numId="43">
    <w:abstractNumId w:val="30"/>
  </w:num>
  <w:num w:numId="44">
    <w:abstractNumId w:val="17"/>
  </w:num>
  <w:num w:numId="45">
    <w:abstractNumId w:val="13"/>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05"/>
    <w:rsid w:val="00000ED8"/>
    <w:rsid w:val="00002BF8"/>
    <w:rsid w:val="00004A59"/>
    <w:rsid w:val="00014B29"/>
    <w:rsid w:val="00015B2B"/>
    <w:rsid w:val="00016C52"/>
    <w:rsid w:val="00017003"/>
    <w:rsid w:val="000178D4"/>
    <w:rsid w:val="00020852"/>
    <w:rsid w:val="00021BDD"/>
    <w:rsid w:val="000224E8"/>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784C"/>
    <w:rsid w:val="000801CC"/>
    <w:rsid w:val="00082086"/>
    <w:rsid w:val="000821F6"/>
    <w:rsid w:val="000831F7"/>
    <w:rsid w:val="0008499D"/>
    <w:rsid w:val="0008796C"/>
    <w:rsid w:val="00087A0B"/>
    <w:rsid w:val="00087A5A"/>
    <w:rsid w:val="0009123D"/>
    <w:rsid w:val="0009159C"/>
    <w:rsid w:val="00093350"/>
    <w:rsid w:val="00093AAF"/>
    <w:rsid w:val="000944A7"/>
    <w:rsid w:val="00094F32"/>
    <w:rsid w:val="00097FD8"/>
    <w:rsid w:val="000A38EA"/>
    <w:rsid w:val="000A47CE"/>
    <w:rsid w:val="000A48E6"/>
    <w:rsid w:val="000A4963"/>
    <w:rsid w:val="000A6055"/>
    <w:rsid w:val="000A6621"/>
    <w:rsid w:val="000B00A8"/>
    <w:rsid w:val="000B07BE"/>
    <w:rsid w:val="000B0E3B"/>
    <w:rsid w:val="000B1C2B"/>
    <w:rsid w:val="000B41C0"/>
    <w:rsid w:val="000B5C43"/>
    <w:rsid w:val="000B6AB0"/>
    <w:rsid w:val="000B70E5"/>
    <w:rsid w:val="000C0944"/>
    <w:rsid w:val="000C18DC"/>
    <w:rsid w:val="000C20DC"/>
    <w:rsid w:val="000C247F"/>
    <w:rsid w:val="000C3239"/>
    <w:rsid w:val="000C403F"/>
    <w:rsid w:val="000C46F9"/>
    <w:rsid w:val="000C4881"/>
    <w:rsid w:val="000C4DFF"/>
    <w:rsid w:val="000D16C2"/>
    <w:rsid w:val="000D16D9"/>
    <w:rsid w:val="000D1969"/>
    <w:rsid w:val="000D2D85"/>
    <w:rsid w:val="000D44B4"/>
    <w:rsid w:val="000D47B4"/>
    <w:rsid w:val="000D4814"/>
    <w:rsid w:val="000D5851"/>
    <w:rsid w:val="000D6521"/>
    <w:rsid w:val="000D6806"/>
    <w:rsid w:val="000D68C5"/>
    <w:rsid w:val="000E2637"/>
    <w:rsid w:val="000E5C52"/>
    <w:rsid w:val="000E5E09"/>
    <w:rsid w:val="000E7BA8"/>
    <w:rsid w:val="000E7D85"/>
    <w:rsid w:val="000F076E"/>
    <w:rsid w:val="000F337C"/>
    <w:rsid w:val="000F43C2"/>
    <w:rsid w:val="000F4A19"/>
    <w:rsid w:val="000F762B"/>
    <w:rsid w:val="0010229C"/>
    <w:rsid w:val="00102F82"/>
    <w:rsid w:val="001105C2"/>
    <w:rsid w:val="001113FF"/>
    <w:rsid w:val="00111757"/>
    <w:rsid w:val="001118F7"/>
    <w:rsid w:val="00111D42"/>
    <w:rsid w:val="00112494"/>
    <w:rsid w:val="001127E5"/>
    <w:rsid w:val="0011294A"/>
    <w:rsid w:val="001130E9"/>
    <w:rsid w:val="001149F6"/>
    <w:rsid w:val="001156D5"/>
    <w:rsid w:val="00123456"/>
    <w:rsid w:val="0012378A"/>
    <w:rsid w:val="0012765C"/>
    <w:rsid w:val="00127AF3"/>
    <w:rsid w:val="00127E2C"/>
    <w:rsid w:val="0013000E"/>
    <w:rsid w:val="001334C9"/>
    <w:rsid w:val="0013445C"/>
    <w:rsid w:val="001344EC"/>
    <w:rsid w:val="001371D9"/>
    <w:rsid w:val="001372D4"/>
    <w:rsid w:val="00142BC5"/>
    <w:rsid w:val="001442EA"/>
    <w:rsid w:val="00144BA0"/>
    <w:rsid w:val="00145775"/>
    <w:rsid w:val="00145923"/>
    <w:rsid w:val="00147162"/>
    <w:rsid w:val="00147E56"/>
    <w:rsid w:val="00150D7A"/>
    <w:rsid w:val="001519F0"/>
    <w:rsid w:val="0015235B"/>
    <w:rsid w:val="00152A45"/>
    <w:rsid w:val="001536DF"/>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187C"/>
    <w:rsid w:val="001A3279"/>
    <w:rsid w:val="001A4211"/>
    <w:rsid w:val="001A6A99"/>
    <w:rsid w:val="001A7751"/>
    <w:rsid w:val="001B0159"/>
    <w:rsid w:val="001B0FD1"/>
    <w:rsid w:val="001B1EA3"/>
    <w:rsid w:val="001B2051"/>
    <w:rsid w:val="001B3F11"/>
    <w:rsid w:val="001B46E9"/>
    <w:rsid w:val="001B52CC"/>
    <w:rsid w:val="001C103A"/>
    <w:rsid w:val="001C12BA"/>
    <w:rsid w:val="001C187E"/>
    <w:rsid w:val="001C34C3"/>
    <w:rsid w:val="001C4C2A"/>
    <w:rsid w:val="001C62AC"/>
    <w:rsid w:val="001C6359"/>
    <w:rsid w:val="001C7801"/>
    <w:rsid w:val="001C7C25"/>
    <w:rsid w:val="001D0207"/>
    <w:rsid w:val="001D0DFC"/>
    <w:rsid w:val="001D2719"/>
    <w:rsid w:val="001D3462"/>
    <w:rsid w:val="001D3B1B"/>
    <w:rsid w:val="001D5734"/>
    <w:rsid w:val="001D576A"/>
    <w:rsid w:val="001D5D2E"/>
    <w:rsid w:val="001D60F3"/>
    <w:rsid w:val="001E02EB"/>
    <w:rsid w:val="001E0B62"/>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59C3"/>
    <w:rsid w:val="00226802"/>
    <w:rsid w:val="00227DC6"/>
    <w:rsid w:val="0023018C"/>
    <w:rsid w:val="002328D7"/>
    <w:rsid w:val="002375F4"/>
    <w:rsid w:val="0024142B"/>
    <w:rsid w:val="00241BE8"/>
    <w:rsid w:val="00241DCA"/>
    <w:rsid w:val="00242082"/>
    <w:rsid w:val="0024374D"/>
    <w:rsid w:val="00245652"/>
    <w:rsid w:val="00246105"/>
    <w:rsid w:val="00246277"/>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CA"/>
    <w:rsid w:val="00272C26"/>
    <w:rsid w:val="00273979"/>
    <w:rsid w:val="00274155"/>
    <w:rsid w:val="002745AC"/>
    <w:rsid w:val="0027584C"/>
    <w:rsid w:val="00275E5A"/>
    <w:rsid w:val="00276D3D"/>
    <w:rsid w:val="002775EF"/>
    <w:rsid w:val="002804A3"/>
    <w:rsid w:val="00281220"/>
    <w:rsid w:val="002818B7"/>
    <w:rsid w:val="00281EF5"/>
    <w:rsid w:val="00282CBE"/>
    <w:rsid w:val="00284296"/>
    <w:rsid w:val="002857B4"/>
    <w:rsid w:val="002860C3"/>
    <w:rsid w:val="00290580"/>
    <w:rsid w:val="0029067B"/>
    <w:rsid w:val="00290E31"/>
    <w:rsid w:val="002928A6"/>
    <w:rsid w:val="002946B8"/>
    <w:rsid w:val="00294B2B"/>
    <w:rsid w:val="00295A73"/>
    <w:rsid w:val="00295EE9"/>
    <w:rsid w:val="002965AA"/>
    <w:rsid w:val="00296DC1"/>
    <w:rsid w:val="002971C4"/>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20757"/>
    <w:rsid w:val="003218CC"/>
    <w:rsid w:val="003248EC"/>
    <w:rsid w:val="003249CD"/>
    <w:rsid w:val="00326557"/>
    <w:rsid w:val="003313C4"/>
    <w:rsid w:val="00331FAB"/>
    <w:rsid w:val="0033273A"/>
    <w:rsid w:val="0033308D"/>
    <w:rsid w:val="0033308E"/>
    <w:rsid w:val="003335B3"/>
    <w:rsid w:val="00333A0F"/>
    <w:rsid w:val="003354E6"/>
    <w:rsid w:val="00335595"/>
    <w:rsid w:val="003357AC"/>
    <w:rsid w:val="003368A3"/>
    <w:rsid w:val="00340110"/>
    <w:rsid w:val="003403C3"/>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9A1"/>
    <w:rsid w:val="0037482D"/>
    <w:rsid w:val="0037520C"/>
    <w:rsid w:val="00376A06"/>
    <w:rsid w:val="00376E84"/>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71C4"/>
    <w:rsid w:val="003D73C3"/>
    <w:rsid w:val="003E3874"/>
    <w:rsid w:val="003E4CAE"/>
    <w:rsid w:val="003F04B4"/>
    <w:rsid w:val="003F0B74"/>
    <w:rsid w:val="003F0D0F"/>
    <w:rsid w:val="003F20DD"/>
    <w:rsid w:val="003F3106"/>
    <w:rsid w:val="003F3875"/>
    <w:rsid w:val="003F4A44"/>
    <w:rsid w:val="003F5670"/>
    <w:rsid w:val="003F6A4D"/>
    <w:rsid w:val="003F75B6"/>
    <w:rsid w:val="00400C60"/>
    <w:rsid w:val="00402165"/>
    <w:rsid w:val="00402FFA"/>
    <w:rsid w:val="004041B0"/>
    <w:rsid w:val="00404366"/>
    <w:rsid w:val="00410A7A"/>
    <w:rsid w:val="00411F75"/>
    <w:rsid w:val="0041243F"/>
    <w:rsid w:val="00412B84"/>
    <w:rsid w:val="00413642"/>
    <w:rsid w:val="004137DF"/>
    <w:rsid w:val="00415E40"/>
    <w:rsid w:val="0042043E"/>
    <w:rsid w:val="00420F5E"/>
    <w:rsid w:val="0042128D"/>
    <w:rsid w:val="0042407E"/>
    <w:rsid w:val="00424BD2"/>
    <w:rsid w:val="00426F47"/>
    <w:rsid w:val="004277C9"/>
    <w:rsid w:val="00427E14"/>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1CBC"/>
    <w:rsid w:val="0047204E"/>
    <w:rsid w:val="004749BB"/>
    <w:rsid w:val="00474DC0"/>
    <w:rsid w:val="0047531E"/>
    <w:rsid w:val="00476130"/>
    <w:rsid w:val="0048214C"/>
    <w:rsid w:val="00485E3D"/>
    <w:rsid w:val="004868D7"/>
    <w:rsid w:val="00491389"/>
    <w:rsid w:val="00491823"/>
    <w:rsid w:val="004919E6"/>
    <w:rsid w:val="0049252F"/>
    <w:rsid w:val="00492A4D"/>
    <w:rsid w:val="00492E50"/>
    <w:rsid w:val="00493FF2"/>
    <w:rsid w:val="00496B6F"/>
    <w:rsid w:val="0049778D"/>
    <w:rsid w:val="004A0816"/>
    <w:rsid w:val="004A2EB0"/>
    <w:rsid w:val="004A493C"/>
    <w:rsid w:val="004A66D7"/>
    <w:rsid w:val="004A7491"/>
    <w:rsid w:val="004A7F74"/>
    <w:rsid w:val="004A7F87"/>
    <w:rsid w:val="004B03D1"/>
    <w:rsid w:val="004B12A9"/>
    <w:rsid w:val="004B24C7"/>
    <w:rsid w:val="004B2FFC"/>
    <w:rsid w:val="004B4960"/>
    <w:rsid w:val="004B4D18"/>
    <w:rsid w:val="004B7E63"/>
    <w:rsid w:val="004C12CD"/>
    <w:rsid w:val="004C14CC"/>
    <w:rsid w:val="004C16AE"/>
    <w:rsid w:val="004C20FA"/>
    <w:rsid w:val="004C4868"/>
    <w:rsid w:val="004C63F4"/>
    <w:rsid w:val="004C6F71"/>
    <w:rsid w:val="004C73B8"/>
    <w:rsid w:val="004C7BAE"/>
    <w:rsid w:val="004D03BB"/>
    <w:rsid w:val="004D0CA8"/>
    <w:rsid w:val="004D16D4"/>
    <w:rsid w:val="004D1A71"/>
    <w:rsid w:val="004D4202"/>
    <w:rsid w:val="004D50A1"/>
    <w:rsid w:val="004D625D"/>
    <w:rsid w:val="004D6313"/>
    <w:rsid w:val="004D63AE"/>
    <w:rsid w:val="004D652F"/>
    <w:rsid w:val="004D6558"/>
    <w:rsid w:val="004D7C2E"/>
    <w:rsid w:val="004E0BFF"/>
    <w:rsid w:val="004E0FA4"/>
    <w:rsid w:val="004E1E6D"/>
    <w:rsid w:val="004E2453"/>
    <w:rsid w:val="004E270D"/>
    <w:rsid w:val="004E4BD9"/>
    <w:rsid w:val="004E4CE8"/>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B03"/>
    <w:rsid w:val="00523F4E"/>
    <w:rsid w:val="00524AE0"/>
    <w:rsid w:val="00526CF6"/>
    <w:rsid w:val="00526EF9"/>
    <w:rsid w:val="00527AF9"/>
    <w:rsid w:val="00527E09"/>
    <w:rsid w:val="00530ED0"/>
    <w:rsid w:val="00534DD5"/>
    <w:rsid w:val="00534EE0"/>
    <w:rsid w:val="005372F2"/>
    <w:rsid w:val="0054055C"/>
    <w:rsid w:val="0054112B"/>
    <w:rsid w:val="00541E2F"/>
    <w:rsid w:val="00543239"/>
    <w:rsid w:val="00543BE1"/>
    <w:rsid w:val="00543C74"/>
    <w:rsid w:val="0054418F"/>
    <w:rsid w:val="005505A3"/>
    <w:rsid w:val="00551BDF"/>
    <w:rsid w:val="00552A05"/>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91E"/>
    <w:rsid w:val="00592D90"/>
    <w:rsid w:val="00592E07"/>
    <w:rsid w:val="0059634E"/>
    <w:rsid w:val="005A0168"/>
    <w:rsid w:val="005A17CB"/>
    <w:rsid w:val="005A299A"/>
    <w:rsid w:val="005A2EF5"/>
    <w:rsid w:val="005A3C96"/>
    <w:rsid w:val="005A4921"/>
    <w:rsid w:val="005B021F"/>
    <w:rsid w:val="005B0569"/>
    <w:rsid w:val="005B09A3"/>
    <w:rsid w:val="005B3818"/>
    <w:rsid w:val="005B407C"/>
    <w:rsid w:val="005B5D9B"/>
    <w:rsid w:val="005B68B3"/>
    <w:rsid w:val="005B7D1C"/>
    <w:rsid w:val="005C0A0F"/>
    <w:rsid w:val="005C1BA0"/>
    <w:rsid w:val="005C491D"/>
    <w:rsid w:val="005C49B7"/>
    <w:rsid w:val="005C76EB"/>
    <w:rsid w:val="005D49BF"/>
    <w:rsid w:val="005D6631"/>
    <w:rsid w:val="005D7EC3"/>
    <w:rsid w:val="005E0049"/>
    <w:rsid w:val="005E0299"/>
    <w:rsid w:val="005E0C2C"/>
    <w:rsid w:val="005E1D9C"/>
    <w:rsid w:val="005E33B8"/>
    <w:rsid w:val="005E423F"/>
    <w:rsid w:val="005E52FE"/>
    <w:rsid w:val="005E587A"/>
    <w:rsid w:val="005E73A4"/>
    <w:rsid w:val="005E76BF"/>
    <w:rsid w:val="005F0585"/>
    <w:rsid w:val="005F109E"/>
    <w:rsid w:val="005F1619"/>
    <w:rsid w:val="005F1732"/>
    <w:rsid w:val="005F2A42"/>
    <w:rsid w:val="005F4A92"/>
    <w:rsid w:val="005F5154"/>
    <w:rsid w:val="005F687A"/>
    <w:rsid w:val="005F7103"/>
    <w:rsid w:val="00601B33"/>
    <w:rsid w:val="006032B2"/>
    <w:rsid w:val="00604661"/>
    <w:rsid w:val="00605896"/>
    <w:rsid w:val="00611632"/>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5028"/>
    <w:rsid w:val="006578DD"/>
    <w:rsid w:val="00657CC0"/>
    <w:rsid w:val="00657F38"/>
    <w:rsid w:val="00660ECB"/>
    <w:rsid w:val="00661B58"/>
    <w:rsid w:val="006626B5"/>
    <w:rsid w:val="006626EB"/>
    <w:rsid w:val="0066689D"/>
    <w:rsid w:val="0067002D"/>
    <w:rsid w:val="006711F1"/>
    <w:rsid w:val="006715C3"/>
    <w:rsid w:val="0067560A"/>
    <w:rsid w:val="00676EE4"/>
    <w:rsid w:val="00677B13"/>
    <w:rsid w:val="00677C6A"/>
    <w:rsid w:val="00677F3E"/>
    <w:rsid w:val="00677F6E"/>
    <w:rsid w:val="00680480"/>
    <w:rsid w:val="0068133E"/>
    <w:rsid w:val="00681A03"/>
    <w:rsid w:val="00682D39"/>
    <w:rsid w:val="006830A8"/>
    <w:rsid w:val="00684D04"/>
    <w:rsid w:val="0068613D"/>
    <w:rsid w:val="00686948"/>
    <w:rsid w:val="00686DC4"/>
    <w:rsid w:val="00687411"/>
    <w:rsid w:val="00687EEE"/>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F40"/>
    <w:rsid w:val="006A78E8"/>
    <w:rsid w:val="006B05EF"/>
    <w:rsid w:val="006B1DA3"/>
    <w:rsid w:val="006B20B8"/>
    <w:rsid w:val="006B234D"/>
    <w:rsid w:val="006B3A1A"/>
    <w:rsid w:val="006B69E1"/>
    <w:rsid w:val="006C148F"/>
    <w:rsid w:val="006C1DCF"/>
    <w:rsid w:val="006C5626"/>
    <w:rsid w:val="006C5EF5"/>
    <w:rsid w:val="006C5F5C"/>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9AB"/>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CF2"/>
    <w:rsid w:val="00700A6D"/>
    <w:rsid w:val="00703EC1"/>
    <w:rsid w:val="00707B66"/>
    <w:rsid w:val="007119C8"/>
    <w:rsid w:val="00712923"/>
    <w:rsid w:val="007129A9"/>
    <w:rsid w:val="00712EFB"/>
    <w:rsid w:val="0071376B"/>
    <w:rsid w:val="007140BE"/>
    <w:rsid w:val="00714E00"/>
    <w:rsid w:val="00715FA3"/>
    <w:rsid w:val="00716F5D"/>
    <w:rsid w:val="00723189"/>
    <w:rsid w:val="00723254"/>
    <w:rsid w:val="007242A7"/>
    <w:rsid w:val="00724BCD"/>
    <w:rsid w:val="00725261"/>
    <w:rsid w:val="0072529F"/>
    <w:rsid w:val="007271D9"/>
    <w:rsid w:val="007275A3"/>
    <w:rsid w:val="0073006C"/>
    <w:rsid w:val="007316A8"/>
    <w:rsid w:val="007323AF"/>
    <w:rsid w:val="00732923"/>
    <w:rsid w:val="00733868"/>
    <w:rsid w:val="0073414E"/>
    <w:rsid w:val="00736396"/>
    <w:rsid w:val="007364FC"/>
    <w:rsid w:val="00736A2B"/>
    <w:rsid w:val="007403CB"/>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6B7C"/>
    <w:rsid w:val="00767EFF"/>
    <w:rsid w:val="00772698"/>
    <w:rsid w:val="007752A5"/>
    <w:rsid w:val="007774F4"/>
    <w:rsid w:val="007776E9"/>
    <w:rsid w:val="007826DF"/>
    <w:rsid w:val="007839DE"/>
    <w:rsid w:val="00786A4D"/>
    <w:rsid w:val="00787221"/>
    <w:rsid w:val="00787932"/>
    <w:rsid w:val="00787F11"/>
    <w:rsid w:val="00790A81"/>
    <w:rsid w:val="007952B1"/>
    <w:rsid w:val="00796DC7"/>
    <w:rsid w:val="00797A73"/>
    <w:rsid w:val="007A0238"/>
    <w:rsid w:val="007A106E"/>
    <w:rsid w:val="007A20B5"/>
    <w:rsid w:val="007A2F9D"/>
    <w:rsid w:val="007A393C"/>
    <w:rsid w:val="007A3E2B"/>
    <w:rsid w:val="007A4763"/>
    <w:rsid w:val="007A4956"/>
    <w:rsid w:val="007A4ACC"/>
    <w:rsid w:val="007A4DBD"/>
    <w:rsid w:val="007A535B"/>
    <w:rsid w:val="007A576F"/>
    <w:rsid w:val="007B1638"/>
    <w:rsid w:val="007B355E"/>
    <w:rsid w:val="007B3F94"/>
    <w:rsid w:val="007B68F2"/>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F0E90"/>
    <w:rsid w:val="007F223C"/>
    <w:rsid w:val="007F3E06"/>
    <w:rsid w:val="007F57AF"/>
    <w:rsid w:val="007F687B"/>
    <w:rsid w:val="007F70DB"/>
    <w:rsid w:val="007F7F60"/>
    <w:rsid w:val="00800106"/>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ACA"/>
    <w:rsid w:val="00820EE9"/>
    <w:rsid w:val="00821964"/>
    <w:rsid w:val="00821FEA"/>
    <w:rsid w:val="00822706"/>
    <w:rsid w:val="00823050"/>
    <w:rsid w:val="0082373F"/>
    <w:rsid w:val="0082400B"/>
    <w:rsid w:val="00824891"/>
    <w:rsid w:val="00824CFA"/>
    <w:rsid w:val="008266EE"/>
    <w:rsid w:val="00827475"/>
    <w:rsid w:val="008301A2"/>
    <w:rsid w:val="00832FB8"/>
    <w:rsid w:val="0083363D"/>
    <w:rsid w:val="00840E67"/>
    <w:rsid w:val="00842216"/>
    <w:rsid w:val="0084299C"/>
    <w:rsid w:val="008453E0"/>
    <w:rsid w:val="00845D69"/>
    <w:rsid w:val="00846CC1"/>
    <w:rsid w:val="00847967"/>
    <w:rsid w:val="00852F62"/>
    <w:rsid w:val="0085313A"/>
    <w:rsid w:val="00853419"/>
    <w:rsid w:val="00853EE1"/>
    <w:rsid w:val="008552B1"/>
    <w:rsid w:val="008567D6"/>
    <w:rsid w:val="00856F6A"/>
    <w:rsid w:val="00860F47"/>
    <w:rsid w:val="00861ECF"/>
    <w:rsid w:val="00862CAD"/>
    <w:rsid w:val="00862ECD"/>
    <w:rsid w:val="008634A8"/>
    <w:rsid w:val="00865145"/>
    <w:rsid w:val="0087278C"/>
    <w:rsid w:val="008728BD"/>
    <w:rsid w:val="008747D9"/>
    <w:rsid w:val="008766F4"/>
    <w:rsid w:val="00880AF0"/>
    <w:rsid w:val="00880EC6"/>
    <w:rsid w:val="00881DA8"/>
    <w:rsid w:val="00882B6D"/>
    <w:rsid w:val="00884503"/>
    <w:rsid w:val="00884A2E"/>
    <w:rsid w:val="00887B5D"/>
    <w:rsid w:val="00887F65"/>
    <w:rsid w:val="008909AD"/>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60E6"/>
    <w:rsid w:val="008B70BF"/>
    <w:rsid w:val="008B71CA"/>
    <w:rsid w:val="008C0576"/>
    <w:rsid w:val="008C0BAC"/>
    <w:rsid w:val="008C1928"/>
    <w:rsid w:val="008C3C56"/>
    <w:rsid w:val="008C4063"/>
    <w:rsid w:val="008C50C2"/>
    <w:rsid w:val="008C5230"/>
    <w:rsid w:val="008C5464"/>
    <w:rsid w:val="008C72DB"/>
    <w:rsid w:val="008D1DDF"/>
    <w:rsid w:val="008D27A6"/>
    <w:rsid w:val="008D45A2"/>
    <w:rsid w:val="008D72A1"/>
    <w:rsid w:val="008E09DA"/>
    <w:rsid w:val="008E0CCD"/>
    <w:rsid w:val="008E1B14"/>
    <w:rsid w:val="008E1FA5"/>
    <w:rsid w:val="008E6BCB"/>
    <w:rsid w:val="008E70D6"/>
    <w:rsid w:val="008F0620"/>
    <w:rsid w:val="008F067C"/>
    <w:rsid w:val="008F112F"/>
    <w:rsid w:val="008F1573"/>
    <w:rsid w:val="008F43CA"/>
    <w:rsid w:val="008F53BA"/>
    <w:rsid w:val="009010AF"/>
    <w:rsid w:val="009042AD"/>
    <w:rsid w:val="00904C39"/>
    <w:rsid w:val="00905477"/>
    <w:rsid w:val="00906331"/>
    <w:rsid w:val="00906B1C"/>
    <w:rsid w:val="00906FDC"/>
    <w:rsid w:val="009071A6"/>
    <w:rsid w:val="009079E2"/>
    <w:rsid w:val="00907B16"/>
    <w:rsid w:val="00912FDB"/>
    <w:rsid w:val="00917FE8"/>
    <w:rsid w:val="00920530"/>
    <w:rsid w:val="00921123"/>
    <w:rsid w:val="00921EFF"/>
    <w:rsid w:val="00921FF3"/>
    <w:rsid w:val="00922AAB"/>
    <w:rsid w:val="00922E1E"/>
    <w:rsid w:val="009256F2"/>
    <w:rsid w:val="00927E9E"/>
    <w:rsid w:val="0093083A"/>
    <w:rsid w:val="00931E72"/>
    <w:rsid w:val="00933574"/>
    <w:rsid w:val="0093585F"/>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4514"/>
    <w:rsid w:val="00955DCA"/>
    <w:rsid w:val="00955FB6"/>
    <w:rsid w:val="009560E3"/>
    <w:rsid w:val="0095611C"/>
    <w:rsid w:val="00960468"/>
    <w:rsid w:val="00961D77"/>
    <w:rsid w:val="00962730"/>
    <w:rsid w:val="00963925"/>
    <w:rsid w:val="00964BB4"/>
    <w:rsid w:val="00964C60"/>
    <w:rsid w:val="009668FA"/>
    <w:rsid w:val="0096757D"/>
    <w:rsid w:val="0097122B"/>
    <w:rsid w:val="00973803"/>
    <w:rsid w:val="00973951"/>
    <w:rsid w:val="00974894"/>
    <w:rsid w:val="0097629D"/>
    <w:rsid w:val="0097669D"/>
    <w:rsid w:val="009816B1"/>
    <w:rsid w:val="00983595"/>
    <w:rsid w:val="00983DDD"/>
    <w:rsid w:val="00984BA2"/>
    <w:rsid w:val="00985429"/>
    <w:rsid w:val="009861AB"/>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A9"/>
    <w:rsid w:val="009B2F12"/>
    <w:rsid w:val="009B4079"/>
    <w:rsid w:val="009B4B70"/>
    <w:rsid w:val="009B4DAC"/>
    <w:rsid w:val="009B5081"/>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68C4"/>
    <w:rsid w:val="009D7118"/>
    <w:rsid w:val="009E0EF1"/>
    <w:rsid w:val="009E38F1"/>
    <w:rsid w:val="009E3942"/>
    <w:rsid w:val="009E5A80"/>
    <w:rsid w:val="009E6163"/>
    <w:rsid w:val="009E6E41"/>
    <w:rsid w:val="009E78EF"/>
    <w:rsid w:val="009F11E9"/>
    <w:rsid w:val="009F17B2"/>
    <w:rsid w:val="009F1CDE"/>
    <w:rsid w:val="009F4537"/>
    <w:rsid w:val="00A018AF"/>
    <w:rsid w:val="00A01949"/>
    <w:rsid w:val="00A02945"/>
    <w:rsid w:val="00A02FCD"/>
    <w:rsid w:val="00A035BF"/>
    <w:rsid w:val="00A04267"/>
    <w:rsid w:val="00A05F2C"/>
    <w:rsid w:val="00A0648C"/>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1F21"/>
    <w:rsid w:val="00A34B6F"/>
    <w:rsid w:val="00A35B23"/>
    <w:rsid w:val="00A35F5C"/>
    <w:rsid w:val="00A37674"/>
    <w:rsid w:val="00A402A2"/>
    <w:rsid w:val="00A4084E"/>
    <w:rsid w:val="00A4178D"/>
    <w:rsid w:val="00A41FB3"/>
    <w:rsid w:val="00A43197"/>
    <w:rsid w:val="00A431CD"/>
    <w:rsid w:val="00A43366"/>
    <w:rsid w:val="00A45386"/>
    <w:rsid w:val="00A50B9B"/>
    <w:rsid w:val="00A51450"/>
    <w:rsid w:val="00A51E78"/>
    <w:rsid w:val="00A5382A"/>
    <w:rsid w:val="00A53C07"/>
    <w:rsid w:val="00A53EC5"/>
    <w:rsid w:val="00A557CA"/>
    <w:rsid w:val="00A56244"/>
    <w:rsid w:val="00A56A46"/>
    <w:rsid w:val="00A56AB7"/>
    <w:rsid w:val="00A57C7B"/>
    <w:rsid w:val="00A6147F"/>
    <w:rsid w:val="00A61BA6"/>
    <w:rsid w:val="00A643F7"/>
    <w:rsid w:val="00A6456E"/>
    <w:rsid w:val="00A64E11"/>
    <w:rsid w:val="00A65260"/>
    <w:rsid w:val="00A67317"/>
    <w:rsid w:val="00A70012"/>
    <w:rsid w:val="00A70ACE"/>
    <w:rsid w:val="00A71CE7"/>
    <w:rsid w:val="00A729B0"/>
    <w:rsid w:val="00A73496"/>
    <w:rsid w:val="00A778B6"/>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F57"/>
    <w:rsid w:val="00AA75A7"/>
    <w:rsid w:val="00AB27E0"/>
    <w:rsid w:val="00AB2F71"/>
    <w:rsid w:val="00AB66E8"/>
    <w:rsid w:val="00AB771C"/>
    <w:rsid w:val="00AC1B03"/>
    <w:rsid w:val="00AC34FC"/>
    <w:rsid w:val="00AC5161"/>
    <w:rsid w:val="00AC673A"/>
    <w:rsid w:val="00AD06F1"/>
    <w:rsid w:val="00AD1268"/>
    <w:rsid w:val="00AD1FB0"/>
    <w:rsid w:val="00AD4F46"/>
    <w:rsid w:val="00AD57FB"/>
    <w:rsid w:val="00AD7EED"/>
    <w:rsid w:val="00AE1738"/>
    <w:rsid w:val="00AE5125"/>
    <w:rsid w:val="00AE5B39"/>
    <w:rsid w:val="00AE5CB9"/>
    <w:rsid w:val="00AE7963"/>
    <w:rsid w:val="00AE7C01"/>
    <w:rsid w:val="00AF0AA7"/>
    <w:rsid w:val="00AF2191"/>
    <w:rsid w:val="00AF3636"/>
    <w:rsid w:val="00AF37FC"/>
    <w:rsid w:val="00AF3FAA"/>
    <w:rsid w:val="00AF4CA8"/>
    <w:rsid w:val="00AF6F72"/>
    <w:rsid w:val="00B01CA7"/>
    <w:rsid w:val="00B0222C"/>
    <w:rsid w:val="00B0229D"/>
    <w:rsid w:val="00B022F0"/>
    <w:rsid w:val="00B04ACE"/>
    <w:rsid w:val="00B04B37"/>
    <w:rsid w:val="00B05780"/>
    <w:rsid w:val="00B0597F"/>
    <w:rsid w:val="00B102EF"/>
    <w:rsid w:val="00B10DF3"/>
    <w:rsid w:val="00B115B4"/>
    <w:rsid w:val="00B1174D"/>
    <w:rsid w:val="00B11E00"/>
    <w:rsid w:val="00B12887"/>
    <w:rsid w:val="00B15431"/>
    <w:rsid w:val="00B1548A"/>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2F28"/>
    <w:rsid w:val="00B53C22"/>
    <w:rsid w:val="00B55912"/>
    <w:rsid w:val="00B55A67"/>
    <w:rsid w:val="00B60460"/>
    <w:rsid w:val="00B61253"/>
    <w:rsid w:val="00B6196B"/>
    <w:rsid w:val="00B634AE"/>
    <w:rsid w:val="00B65276"/>
    <w:rsid w:val="00B66E31"/>
    <w:rsid w:val="00B67916"/>
    <w:rsid w:val="00B70E9A"/>
    <w:rsid w:val="00B70FEC"/>
    <w:rsid w:val="00B71D41"/>
    <w:rsid w:val="00B7566F"/>
    <w:rsid w:val="00B764F7"/>
    <w:rsid w:val="00B76BB0"/>
    <w:rsid w:val="00B76BD0"/>
    <w:rsid w:val="00B77393"/>
    <w:rsid w:val="00B80B7E"/>
    <w:rsid w:val="00B81D10"/>
    <w:rsid w:val="00B82835"/>
    <w:rsid w:val="00B82C3E"/>
    <w:rsid w:val="00B833BD"/>
    <w:rsid w:val="00B84EB7"/>
    <w:rsid w:val="00B85DDD"/>
    <w:rsid w:val="00B905DE"/>
    <w:rsid w:val="00B911BA"/>
    <w:rsid w:val="00B93F1E"/>
    <w:rsid w:val="00BA0537"/>
    <w:rsid w:val="00BA0854"/>
    <w:rsid w:val="00BA1BCB"/>
    <w:rsid w:val="00BA429E"/>
    <w:rsid w:val="00BA4515"/>
    <w:rsid w:val="00BA52AF"/>
    <w:rsid w:val="00BA71C5"/>
    <w:rsid w:val="00BA7724"/>
    <w:rsid w:val="00BA772E"/>
    <w:rsid w:val="00BB03CD"/>
    <w:rsid w:val="00BB2388"/>
    <w:rsid w:val="00BB30B5"/>
    <w:rsid w:val="00BB4462"/>
    <w:rsid w:val="00BB6784"/>
    <w:rsid w:val="00BB6FB2"/>
    <w:rsid w:val="00BC00C0"/>
    <w:rsid w:val="00BC02C4"/>
    <w:rsid w:val="00BC046B"/>
    <w:rsid w:val="00BC0D8D"/>
    <w:rsid w:val="00BC4818"/>
    <w:rsid w:val="00BC7296"/>
    <w:rsid w:val="00BD091A"/>
    <w:rsid w:val="00BD0DAC"/>
    <w:rsid w:val="00BD3137"/>
    <w:rsid w:val="00BD4758"/>
    <w:rsid w:val="00BD48FB"/>
    <w:rsid w:val="00BD5729"/>
    <w:rsid w:val="00BD5E3B"/>
    <w:rsid w:val="00BD60E7"/>
    <w:rsid w:val="00BD61D5"/>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1513"/>
    <w:rsid w:val="00C025AD"/>
    <w:rsid w:val="00C06609"/>
    <w:rsid w:val="00C06755"/>
    <w:rsid w:val="00C06BAD"/>
    <w:rsid w:val="00C10AF0"/>
    <w:rsid w:val="00C118A8"/>
    <w:rsid w:val="00C11BCC"/>
    <w:rsid w:val="00C1231C"/>
    <w:rsid w:val="00C13249"/>
    <w:rsid w:val="00C151A2"/>
    <w:rsid w:val="00C15503"/>
    <w:rsid w:val="00C159F8"/>
    <w:rsid w:val="00C16F9A"/>
    <w:rsid w:val="00C17D07"/>
    <w:rsid w:val="00C17FD9"/>
    <w:rsid w:val="00C2021F"/>
    <w:rsid w:val="00C20C28"/>
    <w:rsid w:val="00C21338"/>
    <w:rsid w:val="00C21B29"/>
    <w:rsid w:val="00C2219C"/>
    <w:rsid w:val="00C23790"/>
    <w:rsid w:val="00C242A6"/>
    <w:rsid w:val="00C24FC9"/>
    <w:rsid w:val="00C25691"/>
    <w:rsid w:val="00C258D9"/>
    <w:rsid w:val="00C272D9"/>
    <w:rsid w:val="00C27862"/>
    <w:rsid w:val="00C315DC"/>
    <w:rsid w:val="00C317E6"/>
    <w:rsid w:val="00C31BD0"/>
    <w:rsid w:val="00C3214B"/>
    <w:rsid w:val="00C328F5"/>
    <w:rsid w:val="00C344BC"/>
    <w:rsid w:val="00C34CF3"/>
    <w:rsid w:val="00C3599C"/>
    <w:rsid w:val="00C41868"/>
    <w:rsid w:val="00C41DC5"/>
    <w:rsid w:val="00C43107"/>
    <w:rsid w:val="00C441FE"/>
    <w:rsid w:val="00C4555A"/>
    <w:rsid w:val="00C4689C"/>
    <w:rsid w:val="00C4762A"/>
    <w:rsid w:val="00C5174C"/>
    <w:rsid w:val="00C51A88"/>
    <w:rsid w:val="00C5295B"/>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5163"/>
    <w:rsid w:val="00C779BD"/>
    <w:rsid w:val="00C80BDC"/>
    <w:rsid w:val="00C8293F"/>
    <w:rsid w:val="00C84045"/>
    <w:rsid w:val="00C845FE"/>
    <w:rsid w:val="00C855C6"/>
    <w:rsid w:val="00C85F2C"/>
    <w:rsid w:val="00C86E6C"/>
    <w:rsid w:val="00C86EA1"/>
    <w:rsid w:val="00C92AFD"/>
    <w:rsid w:val="00C92B10"/>
    <w:rsid w:val="00C936B5"/>
    <w:rsid w:val="00C941BF"/>
    <w:rsid w:val="00C9579E"/>
    <w:rsid w:val="00C97097"/>
    <w:rsid w:val="00C97BED"/>
    <w:rsid w:val="00CA393F"/>
    <w:rsid w:val="00CA405C"/>
    <w:rsid w:val="00CA4A15"/>
    <w:rsid w:val="00CA573F"/>
    <w:rsid w:val="00CA5F2D"/>
    <w:rsid w:val="00CA65EB"/>
    <w:rsid w:val="00CA7C19"/>
    <w:rsid w:val="00CA7E2F"/>
    <w:rsid w:val="00CB09BB"/>
    <w:rsid w:val="00CB0E12"/>
    <w:rsid w:val="00CB101E"/>
    <w:rsid w:val="00CB209C"/>
    <w:rsid w:val="00CB43CB"/>
    <w:rsid w:val="00CB507B"/>
    <w:rsid w:val="00CC0DDD"/>
    <w:rsid w:val="00CC16D3"/>
    <w:rsid w:val="00CC4339"/>
    <w:rsid w:val="00CC5E4E"/>
    <w:rsid w:val="00CC5FE5"/>
    <w:rsid w:val="00CD1323"/>
    <w:rsid w:val="00CD18F9"/>
    <w:rsid w:val="00CD303B"/>
    <w:rsid w:val="00CD36BC"/>
    <w:rsid w:val="00CD3C97"/>
    <w:rsid w:val="00CD422E"/>
    <w:rsid w:val="00CD4BB7"/>
    <w:rsid w:val="00CD71F9"/>
    <w:rsid w:val="00CE2C88"/>
    <w:rsid w:val="00CE31C4"/>
    <w:rsid w:val="00CE49EC"/>
    <w:rsid w:val="00CE53D2"/>
    <w:rsid w:val="00CE63BF"/>
    <w:rsid w:val="00CE63ED"/>
    <w:rsid w:val="00CF094E"/>
    <w:rsid w:val="00CF117D"/>
    <w:rsid w:val="00CF1F76"/>
    <w:rsid w:val="00CF2CBB"/>
    <w:rsid w:val="00CF3320"/>
    <w:rsid w:val="00CF37E1"/>
    <w:rsid w:val="00CF6A96"/>
    <w:rsid w:val="00CF7729"/>
    <w:rsid w:val="00D000C6"/>
    <w:rsid w:val="00D010F5"/>
    <w:rsid w:val="00D01824"/>
    <w:rsid w:val="00D02D65"/>
    <w:rsid w:val="00D043ED"/>
    <w:rsid w:val="00D04BE9"/>
    <w:rsid w:val="00D05EBE"/>
    <w:rsid w:val="00D134C5"/>
    <w:rsid w:val="00D14C51"/>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52F3"/>
    <w:rsid w:val="00D35735"/>
    <w:rsid w:val="00D361A5"/>
    <w:rsid w:val="00D432B8"/>
    <w:rsid w:val="00D45BCC"/>
    <w:rsid w:val="00D46035"/>
    <w:rsid w:val="00D46B38"/>
    <w:rsid w:val="00D502D2"/>
    <w:rsid w:val="00D51D71"/>
    <w:rsid w:val="00D52D2F"/>
    <w:rsid w:val="00D53EC5"/>
    <w:rsid w:val="00D56E80"/>
    <w:rsid w:val="00D6155B"/>
    <w:rsid w:val="00D62AC7"/>
    <w:rsid w:val="00D62E8D"/>
    <w:rsid w:val="00D65A11"/>
    <w:rsid w:val="00D65F41"/>
    <w:rsid w:val="00D65FC3"/>
    <w:rsid w:val="00D672EA"/>
    <w:rsid w:val="00D70CEF"/>
    <w:rsid w:val="00D70DF3"/>
    <w:rsid w:val="00D74620"/>
    <w:rsid w:val="00D74CB7"/>
    <w:rsid w:val="00D77345"/>
    <w:rsid w:val="00D80DC1"/>
    <w:rsid w:val="00D8140A"/>
    <w:rsid w:val="00D82EE5"/>
    <w:rsid w:val="00D83B75"/>
    <w:rsid w:val="00D84386"/>
    <w:rsid w:val="00D8483F"/>
    <w:rsid w:val="00D85E0A"/>
    <w:rsid w:val="00D91060"/>
    <w:rsid w:val="00D9195D"/>
    <w:rsid w:val="00D93906"/>
    <w:rsid w:val="00D93EA2"/>
    <w:rsid w:val="00D957C0"/>
    <w:rsid w:val="00DA03A5"/>
    <w:rsid w:val="00DA2532"/>
    <w:rsid w:val="00DA2BF5"/>
    <w:rsid w:val="00DA4A62"/>
    <w:rsid w:val="00DA6311"/>
    <w:rsid w:val="00DB19BA"/>
    <w:rsid w:val="00DB1FBA"/>
    <w:rsid w:val="00DB5BC3"/>
    <w:rsid w:val="00DC1EE5"/>
    <w:rsid w:val="00DC35D4"/>
    <w:rsid w:val="00DC7EBA"/>
    <w:rsid w:val="00DD09AF"/>
    <w:rsid w:val="00DD0B96"/>
    <w:rsid w:val="00DD2437"/>
    <w:rsid w:val="00DD2CAA"/>
    <w:rsid w:val="00DD50CA"/>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F88"/>
    <w:rsid w:val="00E03AC0"/>
    <w:rsid w:val="00E03E46"/>
    <w:rsid w:val="00E04BBF"/>
    <w:rsid w:val="00E05AAB"/>
    <w:rsid w:val="00E06FDB"/>
    <w:rsid w:val="00E07A3A"/>
    <w:rsid w:val="00E101CB"/>
    <w:rsid w:val="00E139FA"/>
    <w:rsid w:val="00E154AE"/>
    <w:rsid w:val="00E16F26"/>
    <w:rsid w:val="00E22227"/>
    <w:rsid w:val="00E22D66"/>
    <w:rsid w:val="00E2374F"/>
    <w:rsid w:val="00E24555"/>
    <w:rsid w:val="00E27AD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BCD"/>
    <w:rsid w:val="00E60DE0"/>
    <w:rsid w:val="00E60F40"/>
    <w:rsid w:val="00E615F8"/>
    <w:rsid w:val="00E63BD2"/>
    <w:rsid w:val="00E65829"/>
    <w:rsid w:val="00E662BB"/>
    <w:rsid w:val="00E733B4"/>
    <w:rsid w:val="00E7342A"/>
    <w:rsid w:val="00E7367E"/>
    <w:rsid w:val="00E74F39"/>
    <w:rsid w:val="00E754A0"/>
    <w:rsid w:val="00E757C8"/>
    <w:rsid w:val="00E75C09"/>
    <w:rsid w:val="00E832FF"/>
    <w:rsid w:val="00E8504E"/>
    <w:rsid w:val="00E86947"/>
    <w:rsid w:val="00E90C44"/>
    <w:rsid w:val="00E93426"/>
    <w:rsid w:val="00E947AD"/>
    <w:rsid w:val="00E94915"/>
    <w:rsid w:val="00E9569E"/>
    <w:rsid w:val="00E956A6"/>
    <w:rsid w:val="00E968BD"/>
    <w:rsid w:val="00E97246"/>
    <w:rsid w:val="00EA040D"/>
    <w:rsid w:val="00EA577B"/>
    <w:rsid w:val="00EA73D2"/>
    <w:rsid w:val="00EB2688"/>
    <w:rsid w:val="00EB5B36"/>
    <w:rsid w:val="00EB67FF"/>
    <w:rsid w:val="00EB7EE1"/>
    <w:rsid w:val="00EC3684"/>
    <w:rsid w:val="00EC3D7F"/>
    <w:rsid w:val="00EC49CC"/>
    <w:rsid w:val="00EC5084"/>
    <w:rsid w:val="00EC5821"/>
    <w:rsid w:val="00EC6279"/>
    <w:rsid w:val="00EC63C2"/>
    <w:rsid w:val="00ED03B1"/>
    <w:rsid w:val="00ED173A"/>
    <w:rsid w:val="00ED352F"/>
    <w:rsid w:val="00ED74AD"/>
    <w:rsid w:val="00ED7BB9"/>
    <w:rsid w:val="00EE1317"/>
    <w:rsid w:val="00EE1AF4"/>
    <w:rsid w:val="00EE26D5"/>
    <w:rsid w:val="00EE4A2C"/>
    <w:rsid w:val="00EE4D4E"/>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7005"/>
    <w:rsid w:val="00F4058F"/>
    <w:rsid w:val="00F4301A"/>
    <w:rsid w:val="00F43D59"/>
    <w:rsid w:val="00F44CE8"/>
    <w:rsid w:val="00F4763F"/>
    <w:rsid w:val="00F50A5F"/>
    <w:rsid w:val="00F525D7"/>
    <w:rsid w:val="00F5336E"/>
    <w:rsid w:val="00F535F3"/>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F8D"/>
    <w:rsid w:val="00F723D1"/>
    <w:rsid w:val="00F72750"/>
    <w:rsid w:val="00F73F14"/>
    <w:rsid w:val="00F762CD"/>
    <w:rsid w:val="00F77A55"/>
    <w:rsid w:val="00F77CC7"/>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D4"/>
    <w:rsid w:val="00FB06EC"/>
    <w:rsid w:val="00FB2129"/>
    <w:rsid w:val="00FB390C"/>
    <w:rsid w:val="00FB3E02"/>
    <w:rsid w:val="00FB5299"/>
    <w:rsid w:val="00FC119A"/>
    <w:rsid w:val="00FC2ACB"/>
    <w:rsid w:val="00FC30C6"/>
    <w:rsid w:val="00FC52CE"/>
    <w:rsid w:val="00FC5B56"/>
    <w:rsid w:val="00FC5F75"/>
    <w:rsid w:val="00FC6F26"/>
    <w:rsid w:val="00FC78E2"/>
    <w:rsid w:val="00FC7C86"/>
    <w:rsid w:val="00FD0396"/>
    <w:rsid w:val="00FD1022"/>
    <w:rsid w:val="00FD3DB4"/>
    <w:rsid w:val="00FD6A1C"/>
    <w:rsid w:val="00FD71FC"/>
    <w:rsid w:val="00FE4082"/>
    <w:rsid w:val="00FE42BD"/>
    <w:rsid w:val="00FE4B38"/>
    <w:rsid w:val="00FE4E49"/>
    <w:rsid w:val="00FE7373"/>
    <w:rsid w:val="00FF0447"/>
    <w:rsid w:val="00FF4405"/>
    <w:rsid w:val="00FF55E1"/>
    <w:rsid w:val="00FF608F"/>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179083075">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075853874">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netl.doe.gov/publications/factsheets/policy/Policy023.pdf"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northwest.williams.com/Files/Northwest/tariff/tariff_GTC.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eg.utexas.edu/energyecon/lng/LNG_introduction_07.ph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eia.gov/EnergyExplained/index.cfm?page=Natural_Gas_Hom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www.eia.gov/EnergyExplained/index.cfm?page=Natural_Gas_Home" TargetMode="External"/><Relationship Id="rId2" Type="http://schemas.openxmlformats.org/officeDocument/2006/relationships/hyperlink" Target="http://www.beg.utexas.edu/energyecon/lng/LNG_introduction_07.php" TargetMode="External"/><Relationship Id="rId1" Type="http://schemas.openxmlformats.org/officeDocument/2006/relationships/hyperlink" Target="http://www.beg.utexas.edu/energyecon/lng/LNG_introduction_07.php" TargetMode="External"/><Relationship Id="rId5" Type="http://schemas.openxmlformats.org/officeDocument/2006/relationships/hyperlink" Target="http://www.northwest.williams.com/Files/Northwest/tariff/tariff_GTC.pdf" TargetMode="External"/><Relationship Id="rId4" Type="http://schemas.openxmlformats.org/officeDocument/2006/relationships/hyperlink" Target="https://www.netl.doe.gov/publications/factsheets/policy/Policy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2015-11-24T08:00:00+00:00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3C42-DE79-4191-9D9A-319681A84152}"/>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CCECE10E-A550-4CE3-9092-CAD8E2D0A502}"/>
</file>

<file path=customXml/itemProps4.xml><?xml version="1.0" encoding="utf-8"?>
<ds:datastoreItem xmlns:ds="http://schemas.openxmlformats.org/officeDocument/2006/customXml" ds:itemID="{6D3076D5-10D8-4245-A3A2-7AA3619F78AA}"/>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1CC98D29-A2A4-4291-971C-693C1FEFE4A8}"/>
</file>

<file path=docProps/app.xml><?xml version="1.0" encoding="utf-8"?>
<Properties xmlns="http://schemas.openxmlformats.org/officeDocument/2006/extended-properties" xmlns:vt="http://schemas.openxmlformats.org/officeDocument/2006/docPropsVTypes">
  <Template>Normal.dotm</Template>
  <TotalTime>56</TotalTime>
  <Pages>28</Pages>
  <Words>6072</Words>
  <Characters>34617</Characters>
  <Application>Microsoft Office Word</Application>
  <DocSecurity>0</DocSecurity>
  <PresentationFormat/>
  <Lines>288</Lines>
  <Paragraphs>81</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40608</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(Perkins Coie)</dc:creator>
  <cp:lastModifiedBy>No Name</cp:lastModifiedBy>
  <cp:revision>7</cp:revision>
  <cp:lastPrinted>2015-11-24T20:43:00Z</cp:lastPrinted>
  <dcterms:created xsi:type="dcterms:W3CDTF">2015-11-24T20:25:00Z</dcterms:created>
  <dcterms:modified xsi:type="dcterms:W3CDTF">2015-11-24T21:25:00Z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UFAAkxpNJwTxbIAnYTR3u39ZTFuIXanyFsGKImPaiOdML/2rkZTN5vVzX+oiLEJKA5vLGnZmT22ZWg3u
slGj7Xuzt8G9ycoOHSrJk2W4yK9KcDzB7XSNg60KJKKmOTyMDb7LF5VymlK+Ocdm6u965sJBBCZn
yn1ojVouIWMhotolomRcek81n+HpXBbOYdeN0dof54KQ7512xv8W+56/6FXH5cKc6eNgIKOn0Gqe
2Hf8doDRg9HDQ3VT4</vt:lpwstr>
  </property>
  <property fmtid="{D5CDD505-2E9C-101B-9397-08002B2CF9AE}" pid="3" name="MAIL_MSG_ID2">
    <vt:lpwstr>hvmRL+QTXsUH61VlvLZMsOoRwaCP1JIHft0sgHi0ZJ+03qwoQ90a3DBIL9M
gGLQ6G5+RnZpyAa3PwZTfVgh9X0=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