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AC6" w:rsidRPr="0096592F" w:rsidRDefault="00931AC6" w:rsidP="0095127C">
      <w:pPr>
        <w:pStyle w:val="single"/>
        <w:widowControl w:val="0"/>
        <w:spacing w:before="0" w:line="240" w:lineRule="auto"/>
        <w:ind w:left="4320" w:firstLine="0"/>
        <w:rPr>
          <w:rStyle w:val="Strong"/>
          <w:szCs w:val="24"/>
        </w:rPr>
      </w:pPr>
      <w:bookmarkStart w:id="0" w:name="_GoBack"/>
      <w:bookmarkEnd w:id="0"/>
      <w:r w:rsidRPr="0096592F">
        <w:rPr>
          <w:rStyle w:val="Strong"/>
          <w:szCs w:val="24"/>
        </w:rPr>
        <w:t>EXHIBIT NO. ___(</w:t>
      </w:r>
      <w:r w:rsidR="00B511E4">
        <w:rPr>
          <w:rStyle w:val="Strong"/>
          <w:szCs w:val="24"/>
        </w:rPr>
        <w:t>EEE</w:t>
      </w:r>
      <w:r w:rsidR="003A31FD" w:rsidRPr="0096592F">
        <w:rPr>
          <w:rStyle w:val="Strong"/>
          <w:szCs w:val="24"/>
        </w:rPr>
        <w:t>-</w:t>
      </w:r>
      <w:r w:rsidR="00E83CDE">
        <w:rPr>
          <w:rStyle w:val="Strong"/>
          <w:szCs w:val="24"/>
        </w:rPr>
        <w:t>3</w:t>
      </w:r>
      <w:r w:rsidR="003A31FD">
        <w:rPr>
          <w:rStyle w:val="Strong"/>
          <w:szCs w:val="24"/>
        </w:rPr>
        <w:t>T</w:t>
      </w:r>
      <w:r w:rsidRPr="0096592F">
        <w:rPr>
          <w:rStyle w:val="Strong"/>
          <w:szCs w:val="24"/>
        </w:rPr>
        <w:t>)</w:t>
      </w:r>
      <w:r w:rsidRPr="0096592F">
        <w:rPr>
          <w:rStyle w:val="Strong"/>
          <w:szCs w:val="24"/>
        </w:rPr>
        <w:br/>
        <w:t>DOCKET</w:t>
      </w:r>
      <w:r w:rsidR="00A63DA2" w:rsidRPr="0096592F">
        <w:rPr>
          <w:rStyle w:val="Strong"/>
          <w:szCs w:val="24"/>
        </w:rPr>
        <w:t>S</w:t>
      </w:r>
      <w:r w:rsidRPr="0096592F">
        <w:rPr>
          <w:rStyle w:val="Strong"/>
          <w:szCs w:val="24"/>
        </w:rPr>
        <w:t> UE</w:t>
      </w:r>
      <w:r w:rsidRPr="0096592F">
        <w:rPr>
          <w:rStyle w:val="Strong"/>
          <w:szCs w:val="24"/>
        </w:rPr>
        <w:noBreakHyphen/>
      </w:r>
      <w:r w:rsidR="00CF7990" w:rsidRPr="0096592F">
        <w:rPr>
          <w:rStyle w:val="Strong"/>
          <w:szCs w:val="24"/>
        </w:rPr>
        <w:t>1</w:t>
      </w:r>
      <w:r w:rsidR="002F5D43" w:rsidRPr="0096592F">
        <w:rPr>
          <w:rStyle w:val="Strong"/>
          <w:szCs w:val="24"/>
        </w:rPr>
        <w:t>5</w:t>
      </w:r>
      <w:r w:rsidR="00A63DA2" w:rsidRPr="0096592F">
        <w:rPr>
          <w:rStyle w:val="Strong"/>
          <w:szCs w:val="24"/>
        </w:rPr>
        <w:t>1871/UG-151872</w:t>
      </w:r>
      <w:r w:rsidRPr="0096592F">
        <w:rPr>
          <w:rStyle w:val="Strong"/>
          <w:szCs w:val="24"/>
        </w:rPr>
        <w:br/>
      </w:r>
      <w:r w:rsidR="00A63DA2" w:rsidRPr="0096592F">
        <w:rPr>
          <w:rStyle w:val="Strong"/>
          <w:szCs w:val="24"/>
        </w:rPr>
        <w:t xml:space="preserve">PSE </w:t>
      </w:r>
      <w:r w:rsidR="00894CFB" w:rsidRPr="0096592F">
        <w:rPr>
          <w:rStyle w:val="Strong"/>
          <w:szCs w:val="24"/>
        </w:rPr>
        <w:t xml:space="preserve">EQUIPMENT </w:t>
      </w:r>
      <w:r w:rsidR="00A63DA2" w:rsidRPr="0096592F">
        <w:rPr>
          <w:rStyle w:val="Strong"/>
          <w:szCs w:val="24"/>
        </w:rPr>
        <w:t xml:space="preserve">LEASING </w:t>
      </w:r>
      <w:r w:rsidR="00894CFB" w:rsidRPr="0096592F">
        <w:rPr>
          <w:rStyle w:val="Strong"/>
          <w:szCs w:val="24"/>
        </w:rPr>
        <w:t>SERVICE</w:t>
      </w:r>
      <w:r w:rsidRPr="0096592F">
        <w:rPr>
          <w:rStyle w:val="Strong"/>
          <w:szCs w:val="24"/>
        </w:rPr>
        <w:t xml:space="preserve"> </w:t>
      </w:r>
      <w:r w:rsidRPr="0096592F">
        <w:rPr>
          <w:rStyle w:val="Strong"/>
          <w:szCs w:val="24"/>
        </w:rPr>
        <w:br/>
        <w:t>WITNESS:  </w:t>
      </w:r>
      <w:r w:rsidR="00B511E4">
        <w:rPr>
          <w:rStyle w:val="Strong"/>
          <w:szCs w:val="24"/>
        </w:rPr>
        <w:t>ERIC E</w:t>
      </w:r>
      <w:r w:rsidR="00ED19EE" w:rsidRPr="0096592F">
        <w:rPr>
          <w:rStyle w:val="Strong"/>
          <w:sz w:val="22"/>
          <w:szCs w:val="22"/>
        </w:rPr>
        <w:t xml:space="preserve">. </w:t>
      </w:r>
      <w:r w:rsidR="00B511E4" w:rsidRPr="004F5937">
        <w:rPr>
          <w:rStyle w:val="Strong"/>
          <w:szCs w:val="24"/>
        </w:rPr>
        <w:t>ENGLERT</w:t>
      </w:r>
    </w:p>
    <w:p w:rsidR="00931AC6" w:rsidRPr="0096592F" w:rsidRDefault="00931AC6" w:rsidP="0055158E">
      <w:pPr>
        <w:pStyle w:val="center"/>
        <w:keepLines w:val="0"/>
        <w:widowControl w:val="0"/>
        <w:spacing w:before="0" w:line="240" w:lineRule="auto"/>
        <w:rPr>
          <w:b/>
          <w:szCs w:val="24"/>
        </w:rPr>
      </w:pPr>
    </w:p>
    <w:p w:rsidR="00931AC6" w:rsidRPr="0096592F" w:rsidRDefault="00931AC6" w:rsidP="0055158E">
      <w:pPr>
        <w:pStyle w:val="center"/>
        <w:keepLines w:val="0"/>
        <w:widowControl w:val="0"/>
        <w:spacing w:before="0" w:line="240" w:lineRule="auto"/>
        <w:rPr>
          <w:b/>
          <w:szCs w:val="24"/>
        </w:rPr>
      </w:pPr>
    </w:p>
    <w:p w:rsidR="00931AC6" w:rsidRPr="0096592F" w:rsidRDefault="00931AC6" w:rsidP="0055158E">
      <w:pPr>
        <w:pStyle w:val="center"/>
        <w:keepLines w:val="0"/>
        <w:widowControl w:val="0"/>
        <w:spacing w:before="0" w:line="240" w:lineRule="auto"/>
        <w:rPr>
          <w:b/>
          <w:szCs w:val="24"/>
        </w:rPr>
      </w:pPr>
    </w:p>
    <w:p w:rsidR="00931AC6" w:rsidRPr="0096592F" w:rsidRDefault="00931AC6" w:rsidP="0095127C">
      <w:pPr>
        <w:pStyle w:val="center"/>
        <w:keepLines w:val="0"/>
        <w:widowControl w:val="0"/>
        <w:tabs>
          <w:tab w:val="left" w:pos="6480"/>
        </w:tabs>
        <w:spacing w:before="0" w:line="240" w:lineRule="auto"/>
        <w:rPr>
          <w:b/>
          <w:szCs w:val="24"/>
        </w:rPr>
      </w:pPr>
    </w:p>
    <w:p w:rsidR="00931AC6" w:rsidRPr="0096592F" w:rsidRDefault="00931AC6" w:rsidP="0055158E">
      <w:pPr>
        <w:pStyle w:val="center"/>
        <w:keepLines w:val="0"/>
        <w:widowControl w:val="0"/>
        <w:spacing w:before="0" w:line="240" w:lineRule="auto"/>
        <w:rPr>
          <w:b/>
          <w:szCs w:val="24"/>
        </w:rPr>
      </w:pPr>
    </w:p>
    <w:p w:rsidR="00931AC6" w:rsidRPr="0096592F" w:rsidRDefault="00931AC6" w:rsidP="0055158E">
      <w:pPr>
        <w:pStyle w:val="center"/>
        <w:keepLines w:val="0"/>
        <w:widowControl w:val="0"/>
        <w:spacing w:before="0" w:line="240" w:lineRule="auto"/>
        <w:rPr>
          <w:b/>
          <w:szCs w:val="24"/>
        </w:rPr>
      </w:pPr>
      <w:r w:rsidRPr="0096592F">
        <w:rPr>
          <w:b/>
          <w:szCs w:val="24"/>
        </w:rPr>
        <w:t>BEFORE THE</w:t>
      </w:r>
    </w:p>
    <w:p w:rsidR="00931AC6" w:rsidRPr="0096592F" w:rsidRDefault="00931AC6" w:rsidP="0055158E">
      <w:pPr>
        <w:pStyle w:val="center"/>
        <w:keepLines w:val="0"/>
        <w:widowControl w:val="0"/>
        <w:spacing w:before="0" w:line="240" w:lineRule="auto"/>
        <w:rPr>
          <w:b/>
          <w:szCs w:val="24"/>
        </w:rPr>
      </w:pPr>
      <w:r w:rsidRPr="0096592F">
        <w:rPr>
          <w:b/>
          <w:szCs w:val="24"/>
        </w:rPr>
        <w:t>WASHINGTON UTILITIES AND TRANSPORTATION COMMISSION</w:t>
      </w:r>
    </w:p>
    <w:p w:rsidR="00931AC6" w:rsidRPr="0096592F" w:rsidRDefault="00931AC6" w:rsidP="0055158E">
      <w:pPr>
        <w:pStyle w:val="center"/>
        <w:keepLines w:val="0"/>
        <w:widowControl w:val="0"/>
        <w:spacing w:before="0" w:line="240" w:lineRule="auto"/>
        <w:rPr>
          <w:b/>
          <w:szCs w:val="24"/>
        </w:rPr>
      </w:pPr>
    </w:p>
    <w:p w:rsidR="00931AC6" w:rsidRPr="0096592F" w:rsidRDefault="00931AC6" w:rsidP="0055158E">
      <w:pPr>
        <w:pStyle w:val="center"/>
        <w:keepLines w:val="0"/>
        <w:widowControl w:val="0"/>
        <w:spacing w:before="0" w:line="240" w:lineRule="auto"/>
        <w:rPr>
          <w:b/>
          <w:szCs w:val="24"/>
        </w:rPr>
      </w:pPr>
    </w:p>
    <w:p w:rsidR="00931AC6" w:rsidRPr="0096592F" w:rsidRDefault="00931AC6" w:rsidP="0055158E">
      <w:pPr>
        <w:pStyle w:val="center"/>
        <w:keepLines w:val="0"/>
        <w:widowControl w:val="0"/>
        <w:spacing w:before="0" w:line="240" w:lineRule="auto"/>
        <w:rPr>
          <w:b/>
          <w:szCs w:val="24"/>
        </w:rPr>
      </w:pPr>
    </w:p>
    <w:tbl>
      <w:tblPr>
        <w:tblW w:w="0" w:type="auto"/>
        <w:tblInd w:w="-8" w:type="dxa"/>
        <w:tblLayout w:type="fixed"/>
        <w:tblCellMar>
          <w:left w:w="0" w:type="dxa"/>
          <w:right w:w="0" w:type="dxa"/>
        </w:tblCellMar>
        <w:tblLook w:val="0000" w:firstRow="0" w:lastRow="0" w:firstColumn="0" w:lastColumn="0" w:noHBand="0" w:noVBand="0"/>
      </w:tblPr>
      <w:tblGrid>
        <w:gridCol w:w="5102"/>
        <w:gridCol w:w="130"/>
        <w:gridCol w:w="4423"/>
      </w:tblGrid>
      <w:tr w:rsidR="00931AC6" w:rsidRPr="0096592F" w:rsidTr="00092314">
        <w:trPr>
          <w:cantSplit/>
        </w:trPr>
        <w:tc>
          <w:tcPr>
            <w:tcW w:w="5102" w:type="dxa"/>
            <w:tcBorders>
              <w:bottom w:val="single" w:sz="4" w:space="0" w:color="auto"/>
              <w:right w:val="single" w:sz="4" w:space="0" w:color="auto"/>
            </w:tcBorders>
          </w:tcPr>
          <w:p w:rsidR="00931AC6" w:rsidRPr="0096592F" w:rsidRDefault="00931AC6" w:rsidP="00092314">
            <w:pPr>
              <w:pStyle w:val="SingleSpacing"/>
              <w:widowControl w:val="0"/>
              <w:rPr>
                <w:b/>
                <w:sz w:val="24"/>
                <w:szCs w:val="24"/>
              </w:rPr>
            </w:pPr>
            <w:r w:rsidRPr="0096592F">
              <w:rPr>
                <w:b/>
                <w:sz w:val="24"/>
                <w:szCs w:val="24"/>
              </w:rPr>
              <w:t>WASHINGTON UTILITIES AND</w:t>
            </w:r>
          </w:p>
          <w:p w:rsidR="00931AC6" w:rsidRPr="0096592F" w:rsidRDefault="00931AC6" w:rsidP="00092314">
            <w:pPr>
              <w:pStyle w:val="SingleSpacing"/>
              <w:widowControl w:val="0"/>
              <w:rPr>
                <w:b/>
                <w:sz w:val="24"/>
                <w:szCs w:val="24"/>
              </w:rPr>
            </w:pPr>
            <w:r w:rsidRPr="0096592F">
              <w:rPr>
                <w:b/>
                <w:sz w:val="24"/>
                <w:szCs w:val="24"/>
              </w:rPr>
              <w:t>TRANSPORTATION COMMISSION,</w:t>
            </w:r>
          </w:p>
          <w:p w:rsidR="00931AC6" w:rsidRPr="0096592F" w:rsidRDefault="00931AC6" w:rsidP="00092314">
            <w:pPr>
              <w:pStyle w:val="SingleSpacing"/>
              <w:widowControl w:val="0"/>
              <w:rPr>
                <w:b/>
                <w:sz w:val="24"/>
                <w:szCs w:val="24"/>
              </w:rPr>
            </w:pPr>
          </w:p>
          <w:p w:rsidR="00931AC6" w:rsidRPr="0096592F" w:rsidRDefault="00931AC6" w:rsidP="00092314">
            <w:pPr>
              <w:pStyle w:val="SingleSpacing"/>
              <w:widowControl w:val="0"/>
              <w:tabs>
                <w:tab w:val="left" w:pos="2168"/>
                <w:tab w:val="left" w:pos="4550"/>
              </w:tabs>
              <w:ind w:right="360"/>
              <w:jc w:val="right"/>
              <w:rPr>
                <w:b/>
                <w:sz w:val="24"/>
                <w:szCs w:val="24"/>
              </w:rPr>
            </w:pPr>
            <w:r w:rsidRPr="0096592F">
              <w:rPr>
                <w:b/>
                <w:sz w:val="24"/>
                <w:szCs w:val="24"/>
              </w:rPr>
              <w:t>Complainant,</w:t>
            </w:r>
          </w:p>
          <w:p w:rsidR="00931AC6" w:rsidRPr="0096592F" w:rsidRDefault="00931AC6" w:rsidP="00092314">
            <w:pPr>
              <w:pStyle w:val="SingleSpacing"/>
              <w:widowControl w:val="0"/>
              <w:rPr>
                <w:b/>
                <w:sz w:val="24"/>
                <w:szCs w:val="24"/>
              </w:rPr>
            </w:pPr>
          </w:p>
          <w:p w:rsidR="00931AC6" w:rsidRPr="0096592F" w:rsidRDefault="00931AC6" w:rsidP="00092314">
            <w:pPr>
              <w:pStyle w:val="SingleSpacing"/>
              <w:widowControl w:val="0"/>
              <w:rPr>
                <w:b/>
                <w:sz w:val="24"/>
                <w:szCs w:val="24"/>
              </w:rPr>
            </w:pPr>
            <w:r w:rsidRPr="0096592F">
              <w:rPr>
                <w:b/>
                <w:sz w:val="24"/>
                <w:szCs w:val="24"/>
              </w:rPr>
              <w:tab/>
              <w:t>v.</w:t>
            </w:r>
          </w:p>
          <w:p w:rsidR="00931AC6" w:rsidRPr="0096592F" w:rsidRDefault="00931AC6" w:rsidP="00092314">
            <w:pPr>
              <w:pStyle w:val="SingleSpacing"/>
              <w:widowControl w:val="0"/>
              <w:rPr>
                <w:b/>
                <w:sz w:val="24"/>
                <w:szCs w:val="24"/>
              </w:rPr>
            </w:pPr>
          </w:p>
          <w:p w:rsidR="00931AC6" w:rsidRPr="0096592F" w:rsidRDefault="00931AC6" w:rsidP="00092314">
            <w:pPr>
              <w:pStyle w:val="SingleSpacing"/>
              <w:widowControl w:val="0"/>
              <w:rPr>
                <w:b/>
                <w:sz w:val="24"/>
                <w:szCs w:val="24"/>
              </w:rPr>
            </w:pPr>
            <w:r w:rsidRPr="0096592F">
              <w:rPr>
                <w:b/>
                <w:sz w:val="24"/>
                <w:szCs w:val="24"/>
              </w:rPr>
              <w:t>PUGET SOUND ENERGY,</w:t>
            </w:r>
          </w:p>
          <w:p w:rsidR="00931AC6" w:rsidRPr="0096592F" w:rsidRDefault="00931AC6" w:rsidP="00092314">
            <w:pPr>
              <w:pStyle w:val="SingleSpacing"/>
              <w:widowControl w:val="0"/>
              <w:rPr>
                <w:b/>
                <w:sz w:val="24"/>
                <w:szCs w:val="24"/>
              </w:rPr>
            </w:pPr>
          </w:p>
          <w:p w:rsidR="00931AC6" w:rsidRPr="0096592F" w:rsidRDefault="00931AC6" w:rsidP="00092314">
            <w:pPr>
              <w:pStyle w:val="SingleSpacing"/>
              <w:widowControl w:val="0"/>
              <w:tabs>
                <w:tab w:val="left" w:pos="2168"/>
              </w:tabs>
              <w:ind w:right="360"/>
              <w:jc w:val="right"/>
              <w:rPr>
                <w:b/>
                <w:sz w:val="24"/>
                <w:szCs w:val="24"/>
              </w:rPr>
            </w:pPr>
            <w:r w:rsidRPr="0096592F">
              <w:rPr>
                <w:b/>
                <w:sz w:val="24"/>
                <w:szCs w:val="24"/>
              </w:rPr>
              <w:t>Respondent.</w:t>
            </w:r>
          </w:p>
          <w:p w:rsidR="00931AC6" w:rsidRPr="0096592F" w:rsidRDefault="00931AC6" w:rsidP="00092314">
            <w:pPr>
              <w:pStyle w:val="SingleSpacing"/>
              <w:widowControl w:val="0"/>
              <w:tabs>
                <w:tab w:val="left" w:pos="1440"/>
              </w:tabs>
              <w:rPr>
                <w:b/>
                <w:sz w:val="24"/>
                <w:szCs w:val="24"/>
              </w:rPr>
            </w:pPr>
          </w:p>
        </w:tc>
        <w:tc>
          <w:tcPr>
            <w:tcW w:w="130" w:type="dxa"/>
            <w:tcBorders>
              <w:left w:val="single" w:sz="4" w:space="0" w:color="auto"/>
            </w:tcBorders>
          </w:tcPr>
          <w:p w:rsidR="00931AC6" w:rsidRPr="0096592F" w:rsidRDefault="00931AC6" w:rsidP="00092314">
            <w:pPr>
              <w:widowControl w:val="0"/>
              <w:rPr>
                <w:b/>
              </w:rPr>
            </w:pPr>
          </w:p>
        </w:tc>
        <w:tc>
          <w:tcPr>
            <w:tcW w:w="4423" w:type="dxa"/>
            <w:vAlign w:val="center"/>
          </w:tcPr>
          <w:p w:rsidR="00C85FBD" w:rsidRPr="0096592F" w:rsidRDefault="00931AC6" w:rsidP="00863BAA">
            <w:pPr>
              <w:pStyle w:val="SingleSpacing"/>
              <w:widowControl w:val="0"/>
              <w:tabs>
                <w:tab w:val="left" w:pos="1076"/>
                <w:tab w:val="left" w:pos="1605"/>
              </w:tabs>
              <w:ind w:left="198"/>
              <w:rPr>
                <w:b/>
                <w:sz w:val="24"/>
                <w:szCs w:val="24"/>
              </w:rPr>
            </w:pPr>
            <w:r w:rsidRPr="0096592F">
              <w:rPr>
                <w:b/>
                <w:sz w:val="24"/>
                <w:szCs w:val="24"/>
              </w:rPr>
              <w:t>Docket</w:t>
            </w:r>
            <w:r w:rsidR="00A63DA2" w:rsidRPr="0096592F">
              <w:rPr>
                <w:b/>
                <w:sz w:val="24"/>
                <w:szCs w:val="24"/>
              </w:rPr>
              <w:t>s</w:t>
            </w:r>
            <w:r w:rsidR="00863BAA" w:rsidRPr="0096592F">
              <w:rPr>
                <w:b/>
                <w:sz w:val="24"/>
                <w:szCs w:val="24"/>
              </w:rPr>
              <w:tab/>
            </w:r>
            <w:r w:rsidRPr="0096592F">
              <w:rPr>
                <w:b/>
                <w:sz w:val="24"/>
                <w:szCs w:val="24"/>
              </w:rPr>
              <w:t>UE-</w:t>
            </w:r>
            <w:r w:rsidR="00CF7990" w:rsidRPr="0096592F">
              <w:rPr>
                <w:b/>
                <w:sz w:val="24"/>
                <w:szCs w:val="24"/>
              </w:rPr>
              <w:t>1</w:t>
            </w:r>
            <w:r w:rsidR="002F5D43" w:rsidRPr="0096592F">
              <w:rPr>
                <w:b/>
                <w:sz w:val="24"/>
                <w:szCs w:val="24"/>
              </w:rPr>
              <w:t>5</w:t>
            </w:r>
            <w:r w:rsidR="00A63DA2" w:rsidRPr="0096592F">
              <w:rPr>
                <w:b/>
                <w:sz w:val="24"/>
                <w:szCs w:val="24"/>
              </w:rPr>
              <w:t>1871</w:t>
            </w:r>
          </w:p>
          <w:p w:rsidR="00931AC6" w:rsidRPr="0096592F" w:rsidRDefault="00863BAA" w:rsidP="00863BAA">
            <w:pPr>
              <w:pStyle w:val="SingleSpacing"/>
              <w:widowControl w:val="0"/>
              <w:tabs>
                <w:tab w:val="left" w:pos="1076"/>
                <w:tab w:val="left" w:pos="1605"/>
              </w:tabs>
              <w:ind w:left="198"/>
              <w:rPr>
                <w:b/>
                <w:sz w:val="24"/>
                <w:szCs w:val="24"/>
              </w:rPr>
            </w:pPr>
            <w:r w:rsidRPr="0096592F">
              <w:rPr>
                <w:b/>
                <w:sz w:val="24"/>
                <w:szCs w:val="24"/>
              </w:rPr>
              <w:tab/>
            </w:r>
            <w:r w:rsidR="00C85FBD" w:rsidRPr="0096592F">
              <w:rPr>
                <w:b/>
                <w:sz w:val="24"/>
                <w:szCs w:val="24"/>
              </w:rPr>
              <w:t>U</w:t>
            </w:r>
            <w:r w:rsidR="00A63DA2" w:rsidRPr="0096592F">
              <w:rPr>
                <w:b/>
                <w:sz w:val="24"/>
                <w:szCs w:val="24"/>
              </w:rPr>
              <w:t>G-151872</w:t>
            </w:r>
          </w:p>
          <w:p w:rsidR="00931AC6" w:rsidRPr="0096592F" w:rsidRDefault="00931AC6" w:rsidP="00092314">
            <w:pPr>
              <w:pStyle w:val="SingleSpacing"/>
              <w:widowControl w:val="0"/>
              <w:ind w:left="198"/>
              <w:rPr>
                <w:b/>
                <w:sz w:val="24"/>
                <w:szCs w:val="24"/>
              </w:rPr>
            </w:pPr>
          </w:p>
        </w:tc>
      </w:tr>
    </w:tbl>
    <w:p w:rsidR="00931AC6" w:rsidRPr="0096592F" w:rsidRDefault="00931AC6" w:rsidP="0055158E">
      <w:pPr>
        <w:pStyle w:val="center"/>
        <w:keepLines w:val="0"/>
        <w:widowControl w:val="0"/>
        <w:spacing w:before="0" w:line="240" w:lineRule="auto"/>
        <w:rPr>
          <w:b/>
          <w:szCs w:val="24"/>
        </w:rPr>
      </w:pPr>
    </w:p>
    <w:p w:rsidR="00931AC6" w:rsidRPr="0096592F" w:rsidRDefault="00931AC6" w:rsidP="0095127C">
      <w:pPr>
        <w:pStyle w:val="center"/>
        <w:keepLines w:val="0"/>
        <w:widowControl w:val="0"/>
        <w:spacing w:before="0" w:line="240" w:lineRule="auto"/>
        <w:rPr>
          <w:b/>
          <w:szCs w:val="24"/>
        </w:rPr>
      </w:pPr>
    </w:p>
    <w:p w:rsidR="00931AC6" w:rsidRPr="0096592F" w:rsidRDefault="00931AC6" w:rsidP="0095127C">
      <w:pPr>
        <w:pStyle w:val="center"/>
        <w:keepLines w:val="0"/>
        <w:widowControl w:val="0"/>
        <w:spacing w:before="0" w:line="240" w:lineRule="auto"/>
        <w:rPr>
          <w:b/>
          <w:szCs w:val="24"/>
        </w:rPr>
      </w:pPr>
    </w:p>
    <w:p w:rsidR="00C85FBD" w:rsidRPr="0096592F" w:rsidRDefault="003A31FD" w:rsidP="001A5A89">
      <w:pPr>
        <w:pStyle w:val="center"/>
        <w:keepLines w:val="0"/>
        <w:widowControl w:val="0"/>
        <w:spacing w:before="0" w:line="240" w:lineRule="auto"/>
        <w:rPr>
          <w:b/>
          <w:szCs w:val="24"/>
        </w:rPr>
      </w:pPr>
      <w:r>
        <w:rPr>
          <w:b/>
          <w:szCs w:val="24"/>
        </w:rPr>
        <w:t xml:space="preserve">PREFILED </w:t>
      </w:r>
      <w:r w:rsidR="0086714B" w:rsidRPr="0096592F">
        <w:rPr>
          <w:b/>
          <w:szCs w:val="24"/>
        </w:rPr>
        <w:t>REBUTTAL</w:t>
      </w:r>
      <w:r w:rsidR="00931AC6" w:rsidRPr="0096592F">
        <w:rPr>
          <w:b/>
          <w:szCs w:val="24"/>
        </w:rPr>
        <w:t xml:space="preserve"> TESTIMONY </w:t>
      </w:r>
      <w:r w:rsidR="00CE5DAD">
        <w:rPr>
          <w:b/>
          <w:szCs w:val="24"/>
        </w:rPr>
        <w:t xml:space="preserve">(NONCONFIDENTIAL) </w:t>
      </w:r>
      <w:r w:rsidR="00931AC6" w:rsidRPr="0096592F">
        <w:rPr>
          <w:b/>
          <w:szCs w:val="24"/>
        </w:rPr>
        <w:t>OF</w:t>
      </w:r>
    </w:p>
    <w:p w:rsidR="00931AC6" w:rsidRPr="0096592F" w:rsidRDefault="00B511E4" w:rsidP="001A5A89">
      <w:pPr>
        <w:pStyle w:val="center"/>
        <w:keepLines w:val="0"/>
        <w:widowControl w:val="0"/>
        <w:spacing w:before="0" w:line="240" w:lineRule="auto"/>
        <w:rPr>
          <w:b/>
          <w:szCs w:val="24"/>
        </w:rPr>
      </w:pPr>
      <w:r>
        <w:rPr>
          <w:rStyle w:val="Strong"/>
          <w:szCs w:val="24"/>
        </w:rPr>
        <w:t>ERIC E. ENGLERT</w:t>
      </w:r>
    </w:p>
    <w:p w:rsidR="00931AC6" w:rsidRPr="0096592F" w:rsidRDefault="00931AC6" w:rsidP="0095127C">
      <w:pPr>
        <w:pStyle w:val="center"/>
        <w:keepLines w:val="0"/>
        <w:widowControl w:val="0"/>
        <w:spacing w:before="0" w:line="240" w:lineRule="auto"/>
        <w:rPr>
          <w:b/>
          <w:szCs w:val="24"/>
        </w:rPr>
      </w:pPr>
      <w:r w:rsidRPr="0096592F">
        <w:rPr>
          <w:b/>
          <w:szCs w:val="24"/>
        </w:rPr>
        <w:t>ON BEHALF OF PUGET SOUND ENERGY</w:t>
      </w:r>
    </w:p>
    <w:p w:rsidR="00931AC6" w:rsidRPr="0096592F" w:rsidRDefault="00931AC6" w:rsidP="0095127C">
      <w:pPr>
        <w:pStyle w:val="center"/>
        <w:keepLines w:val="0"/>
        <w:widowControl w:val="0"/>
        <w:spacing w:before="0" w:line="240" w:lineRule="auto"/>
        <w:rPr>
          <w:b/>
          <w:szCs w:val="24"/>
        </w:rPr>
      </w:pPr>
    </w:p>
    <w:p w:rsidR="00931AC6" w:rsidRPr="0096592F" w:rsidRDefault="00931AC6" w:rsidP="0095127C">
      <w:pPr>
        <w:pStyle w:val="center"/>
        <w:keepLines w:val="0"/>
        <w:widowControl w:val="0"/>
        <w:spacing w:before="0" w:line="240" w:lineRule="auto"/>
        <w:rPr>
          <w:b/>
          <w:szCs w:val="24"/>
        </w:rPr>
      </w:pPr>
    </w:p>
    <w:p w:rsidR="00931AC6" w:rsidRPr="0096592F" w:rsidRDefault="00931AC6" w:rsidP="0095127C">
      <w:pPr>
        <w:pStyle w:val="center"/>
        <w:keepLines w:val="0"/>
        <w:widowControl w:val="0"/>
        <w:spacing w:before="0" w:line="240" w:lineRule="auto"/>
        <w:rPr>
          <w:b/>
          <w:szCs w:val="24"/>
        </w:rPr>
      </w:pPr>
    </w:p>
    <w:p w:rsidR="00931AC6" w:rsidRPr="0096592F" w:rsidRDefault="00931AC6" w:rsidP="0095127C">
      <w:pPr>
        <w:pStyle w:val="center"/>
        <w:keepLines w:val="0"/>
        <w:widowControl w:val="0"/>
        <w:spacing w:before="0" w:line="240" w:lineRule="auto"/>
        <w:rPr>
          <w:b/>
          <w:szCs w:val="24"/>
        </w:rPr>
      </w:pPr>
    </w:p>
    <w:p w:rsidR="00931AC6" w:rsidRPr="0096592F" w:rsidRDefault="00931AC6" w:rsidP="0095127C">
      <w:pPr>
        <w:pStyle w:val="center"/>
        <w:keepLines w:val="0"/>
        <w:widowControl w:val="0"/>
        <w:spacing w:before="0" w:line="240" w:lineRule="auto"/>
        <w:rPr>
          <w:b/>
          <w:szCs w:val="24"/>
        </w:rPr>
      </w:pPr>
    </w:p>
    <w:p w:rsidR="00931AC6" w:rsidRPr="0096592F" w:rsidRDefault="00931AC6" w:rsidP="0095127C">
      <w:pPr>
        <w:pStyle w:val="center"/>
        <w:keepLines w:val="0"/>
        <w:widowControl w:val="0"/>
        <w:spacing w:before="0" w:line="240" w:lineRule="auto"/>
        <w:rPr>
          <w:b/>
          <w:szCs w:val="24"/>
        </w:rPr>
      </w:pPr>
    </w:p>
    <w:p w:rsidR="00931AC6" w:rsidRPr="0096592F" w:rsidRDefault="00931AC6" w:rsidP="0095127C">
      <w:pPr>
        <w:pStyle w:val="center"/>
        <w:keepLines w:val="0"/>
        <w:widowControl w:val="0"/>
        <w:spacing w:before="0" w:line="240" w:lineRule="auto"/>
        <w:rPr>
          <w:b/>
          <w:szCs w:val="24"/>
        </w:rPr>
      </w:pPr>
    </w:p>
    <w:p w:rsidR="00931AC6" w:rsidRPr="0096592F" w:rsidRDefault="00931AC6" w:rsidP="0095127C">
      <w:pPr>
        <w:pStyle w:val="center"/>
        <w:keepLines w:val="0"/>
        <w:widowControl w:val="0"/>
        <w:spacing w:before="0" w:line="240" w:lineRule="auto"/>
        <w:rPr>
          <w:b/>
          <w:szCs w:val="24"/>
        </w:rPr>
      </w:pPr>
    </w:p>
    <w:p w:rsidR="00CE536E" w:rsidRPr="0096592F" w:rsidRDefault="00CE536E" w:rsidP="0095127C">
      <w:pPr>
        <w:pStyle w:val="center"/>
        <w:keepLines w:val="0"/>
        <w:widowControl w:val="0"/>
        <w:spacing w:before="0" w:line="240" w:lineRule="auto"/>
        <w:rPr>
          <w:b/>
          <w:szCs w:val="24"/>
        </w:rPr>
      </w:pPr>
    </w:p>
    <w:p w:rsidR="00931AC6" w:rsidRPr="0096592F" w:rsidRDefault="00931AC6" w:rsidP="0095127C">
      <w:pPr>
        <w:pStyle w:val="center"/>
        <w:keepLines w:val="0"/>
        <w:widowControl w:val="0"/>
        <w:spacing w:before="0" w:line="240" w:lineRule="auto"/>
        <w:rPr>
          <w:b/>
          <w:szCs w:val="24"/>
        </w:rPr>
      </w:pPr>
    </w:p>
    <w:p w:rsidR="00931AC6" w:rsidRPr="0096592F" w:rsidRDefault="00931AC6" w:rsidP="0095127C">
      <w:pPr>
        <w:pStyle w:val="center"/>
        <w:keepLines w:val="0"/>
        <w:widowControl w:val="0"/>
        <w:spacing w:before="0" w:line="240" w:lineRule="auto"/>
        <w:rPr>
          <w:b/>
          <w:szCs w:val="24"/>
        </w:rPr>
      </w:pPr>
    </w:p>
    <w:p w:rsidR="00931AC6" w:rsidRPr="0096592F" w:rsidRDefault="00931AC6" w:rsidP="0095127C">
      <w:pPr>
        <w:pStyle w:val="center"/>
        <w:keepLines w:val="0"/>
        <w:widowControl w:val="0"/>
        <w:spacing w:before="0" w:line="240" w:lineRule="auto"/>
        <w:rPr>
          <w:b/>
          <w:szCs w:val="24"/>
        </w:rPr>
      </w:pPr>
    </w:p>
    <w:p w:rsidR="00931AC6" w:rsidRPr="0096592F" w:rsidRDefault="00931AC6" w:rsidP="0095127C">
      <w:pPr>
        <w:pStyle w:val="center"/>
        <w:keepLines w:val="0"/>
        <w:widowControl w:val="0"/>
        <w:spacing w:before="0" w:line="240" w:lineRule="auto"/>
        <w:rPr>
          <w:b/>
          <w:szCs w:val="24"/>
        </w:rPr>
      </w:pPr>
    </w:p>
    <w:p w:rsidR="00931AC6" w:rsidRPr="0096592F" w:rsidRDefault="00BC1DF9" w:rsidP="0095127C">
      <w:pPr>
        <w:widowControl w:val="0"/>
        <w:jc w:val="center"/>
        <w:rPr>
          <w:b/>
        </w:rPr>
        <w:sectPr w:rsidR="00931AC6" w:rsidRPr="0096592F" w:rsidSect="00330B4F">
          <w:headerReference w:type="default" r:id="rId9"/>
          <w:footerReference w:type="default" r:id="rId10"/>
          <w:pgSz w:w="12240" w:h="15840" w:code="1"/>
          <w:pgMar w:top="1440" w:right="1440" w:bottom="1440" w:left="2160" w:header="720" w:footer="864" w:gutter="0"/>
          <w:pgNumType w:start="1"/>
          <w:cols w:space="720"/>
          <w:rtlGutter/>
        </w:sectPr>
      </w:pPr>
      <w:r>
        <w:rPr>
          <w:b/>
        </w:rPr>
        <w:t>JULY</w:t>
      </w:r>
      <w:r w:rsidR="002413C1" w:rsidRPr="0096592F">
        <w:rPr>
          <w:b/>
        </w:rPr>
        <w:t xml:space="preserve"> 1</w:t>
      </w:r>
      <w:r w:rsidR="002D4BC7" w:rsidRPr="0096592F">
        <w:rPr>
          <w:b/>
        </w:rPr>
        <w:t>,</w:t>
      </w:r>
      <w:r w:rsidR="00F24D0F" w:rsidRPr="0096592F">
        <w:rPr>
          <w:b/>
        </w:rPr>
        <w:t xml:space="preserve"> </w:t>
      </w:r>
      <w:r w:rsidR="002F5D43" w:rsidRPr="0096592F">
        <w:rPr>
          <w:b/>
        </w:rPr>
        <w:t>201</w:t>
      </w:r>
      <w:r w:rsidR="00863BAA" w:rsidRPr="0096592F">
        <w:rPr>
          <w:b/>
        </w:rPr>
        <w:t>6</w:t>
      </w:r>
    </w:p>
    <w:p w:rsidR="00931AC6" w:rsidRPr="0096592F" w:rsidRDefault="00931AC6" w:rsidP="0095127C">
      <w:pPr>
        <w:keepNext/>
        <w:spacing w:before="240" w:after="240"/>
        <w:jc w:val="center"/>
        <w:rPr>
          <w:rStyle w:val="Strong"/>
          <w:rFonts w:eastAsia="SimSun"/>
        </w:rPr>
      </w:pPr>
      <w:bookmarkStart w:id="1" w:name="_Toc117411518"/>
      <w:bookmarkStart w:id="2" w:name="_Toc125892215"/>
      <w:bookmarkStart w:id="3" w:name="_Toc126495831"/>
      <w:r w:rsidRPr="0096592F">
        <w:rPr>
          <w:rStyle w:val="Strong"/>
          <w:rFonts w:eastAsia="SimSun"/>
        </w:rPr>
        <w:lastRenderedPageBreak/>
        <w:t>PUGET SOUND ENERGY</w:t>
      </w:r>
    </w:p>
    <w:p w:rsidR="00931AC6" w:rsidRPr="0096592F" w:rsidRDefault="00931AC6" w:rsidP="00863BAA">
      <w:pPr>
        <w:keepNext/>
        <w:spacing w:after="360"/>
        <w:jc w:val="center"/>
        <w:rPr>
          <w:rStyle w:val="Strong"/>
          <w:rFonts w:eastAsia="SimSun"/>
          <w:b w:val="0"/>
        </w:rPr>
      </w:pPr>
      <w:r w:rsidRPr="0096592F">
        <w:rPr>
          <w:rStyle w:val="Strong"/>
          <w:rFonts w:eastAsia="SimSun"/>
        </w:rPr>
        <w:t xml:space="preserve">PREFILED </w:t>
      </w:r>
      <w:r w:rsidR="0086714B" w:rsidRPr="0096592F">
        <w:rPr>
          <w:rStyle w:val="Strong"/>
          <w:rFonts w:eastAsia="SimSun"/>
        </w:rPr>
        <w:t>REBUTTAL</w:t>
      </w:r>
      <w:r w:rsidRPr="0096592F">
        <w:rPr>
          <w:rStyle w:val="Strong"/>
          <w:rFonts w:eastAsia="SimSun"/>
        </w:rPr>
        <w:t xml:space="preserve"> TESTIMONY</w:t>
      </w:r>
      <w:r w:rsidRPr="0096592F">
        <w:rPr>
          <w:rFonts w:eastAsia="SimSun"/>
          <w:b/>
          <w:color w:val="000000"/>
        </w:rPr>
        <w:t xml:space="preserve"> </w:t>
      </w:r>
      <w:r w:rsidR="005C23B2">
        <w:rPr>
          <w:rFonts w:eastAsia="SimSun"/>
          <w:b/>
          <w:color w:val="000000"/>
        </w:rPr>
        <w:t xml:space="preserve">(NONCONFIDENTIAL) </w:t>
      </w:r>
      <w:r w:rsidRPr="0096592F">
        <w:rPr>
          <w:rStyle w:val="Strong"/>
          <w:rFonts w:eastAsia="SimSun"/>
        </w:rPr>
        <w:t>OF</w:t>
      </w:r>
      <w:r w:rsidR="006513A1" w:rsidRPr="0096592F">
        <w:rPr>
          <w:rStyle w:val="Strong"/>
          <w:rFonts w:eastAsia="SimSun"/>
        </w:rPr>
        <w:br/>
      </w:r>
      <w:r w:rsidR="00B511E4">
        <w:rPr>
          <w:rStyle w:val="Strong"/>
        </w:rPr>
        <w:t>ERIC E. ENGLERT</w:t>
      </w:r>
    </w:p>
    <w:p w:rsidR="00931AC6" w:rsidRPr="0096592F" w:rsidRDefault="00931AC6" w:rsidP="0095127C">
      <w:pPr>
        <w:keepNext/>
        <w:spacing w:before="240" w:after="360"/>
        <w:jc w:val="center"/>
        <w:rPr>
          <w:rStyle w:val="Strong"/>
          <w:rFonts w:eastAsia="SimSun"/>
        </w:rPr>
      </w:pPr>
      <w:r w:rsidRPr="0096592F">
        <w:rPr>
          <w:rStyle w:val="Strong"/>
          <w:rFonts w:eastAsia="SimSun"/>
        </w:rPr>
        <w:t>CONTENTS</w:t>
      </w:r>
    </w:p>
    <w:p w:rsidR="00CE5DAD" w:rsidRPr="00CE5DAD" w:rsidRDefault="00931AC6">
      <w:pPr>
        <w:pStyle w:val="TOC1"/>
        <w:rPr>
          <w:rFonts w:asciiTheme="minorHAnsi" w:eastAsiaTheme="minorEastAsia" w:hAnsiTheme="minorHAnsi" w:cstheme="minorBidi"/>
          <w:color w:val="auto"/>
          <w:sz w:val="22"/>
          <w:szCs w:val="22"/>
          <w:lang w:eastAsia="en-US"/>
        </w:rPr>
      </w:pPr>
      <w:r w:rsidRPr="00CE5DAD">
        <w:rPr>
          <w:rStyle w:val="Strong"/>
          <w:color w:val="auto"/>
          <w:szCs w:val="24"/>
        </w:rPr>
        <w:fldChar w:fldCharType="begin"/>
      </w:r>
      <w:r w:rsidRPr="00CE5DAD">
        <w:rPr>
          <w:rStyle w:val="Strong"/>
          <w:color w:val="auto"/>
          <w:szCs w:val="24"/>
        </w:rPr>
        <w:instrText xml:space="preserve"> TOC \o "1-3" \h \z \u </w:instrText>
      </w:r>
      <w:r w:rsidRPr="00CE5DAD">
        <w:rPr>
          <w:rStyle w:val="Strong"/>
          <w:color w:val="auto"/>
          <w:szCs w:val="24"/>
        </w:rPr>
        <w:fldChar w:fldCharType="separate"/>
      </w:r>
      <w:hyperlink w:anchor="_Toc455138799" w:history="1">
        <w:r w:rsidR="00CE5DAD" w:rsidRPr="00CE5DAD">
          <w:rPr>
            <w:rStyle w:val="Hyperlink"/>
            <w:color w:val="auto"/>
          </w:rPr>
          <w:t>I.</w:t>
        </w:r>
        <w:r w:rsidR="00CE5DAD" w:rsidRPr="00CE5DAD">
          <w:rPr>
            <w:rFonts w:asciiTheme="minorHAnsi" w:eastAsiaTheme="minorEastAsia" w:hAnsiTheme="minorHAnsi" w:cstheme="minorBidi"/>
            <w:color w:val="auto"/>
            <w:sz w:val="22"/>
            <w:szCs w:val="22"/>
            <w:lang w:eastAsia="en-US"/>
          </w:rPr>
          <w:tab/>
        </w:r>
        <w:r w:rsidR="00CE5DAD" w:rsidRPr="00CE5DAD">
          <w:rPr>
            <w:rStyle w:val="Hyperlink"/>
            <w:color w:val="auto"/>
          </w:rPr>
          <w:t>INTRODUCTION</w:t>
        </w:r>
        <w:r w:rsidR="00CE5DAD" w:rsidRPr="00CE5DAD">
          <w:rPr>
            <w:webHidden/>
            <w:color w:val="auto"/>
          </w:rPr>
          <w:tab/>
        </w:r>
        <w:r w:rsidR="00CE5DAD" w:rsidRPr="00CE5DAD">
          <w:rPr>
            <w:webHidden/>
            <w:color w:val="auto"/>
          </w:rPr>
          <w:fldChar w:fldCharType="begin"/>
        </w:r>
        <w:r w:rsidR="00CE5DAD" w:rsidRPr="00CE5DAD">
          <w:rPr>
            <w:webHidden/>
            <w:color w:val="auto"/>
          </w:rPr>
          <w:instrText xml:space="preserve"> PAGEREF _Toc455138799 \h </w:instrText>
        </w:r>
        <w:r w:rsidR="00CE5DAD" w:rsidRPr="00CE5DAD">
          <w:rPr>
            <w:webHidden/>
            <w:color w:val="auto"/>
          </w:rPr>
        </w:r>
        <w:r w:rsidR="00CE5DAD" w:rsidRPr="00CE5DAD">
          <w:rPr>
            <w:webHidden/>
            <w:color w:val="auto"/>
          </w:rPr>
          <w:fldChar w:fldCharType="separate"/>
        </w:r>
        <w:r w:rsidR="00CE5DAD" w:rsidRPr="00CE5DAD">
          <w:rPr>
            <w:webHidden/>
            <w:color w:val="auto"/>
          </w:rPr>
          <w:t>1</w:t>
        </w:r>
        <w:r w:rsidR="00CE5DAD" w:rsidRPr="00CE5DAD">
          <w:rPr>
            <w:webHidden/>
            <w:color w:val="auto"/>
          </w:rPr>
          <w:fldChar w:fldCharType="end"/>
        </w:r>
      </w:hyperlink>
    </w:p>
    <w:p w:rsidR="00CE5DAD" w:rsidRPr="00CE5DAD" w:rsidRDefault="007F0670">
      <w:pPr>
        <w:pStyle w:val="TOC1"/>
        <w:rPr>
          <w:rFonts w:asciiTheme="minorHAnsi" w:eastAsiaTheme="minorEastAsia" w:hAnsiTheme="minorHAnsi" w:cstheme="minorBidi"/>
          <w:color w:val="auto"/>
          <w:sz w:val="22"/>
          <w:szCs w:val="22"/>
          <w:lang w:eastAsia="en-US"/>
        </w:rPr>
      </w:pPr>
      <w:hyperlink w:anchor="_Toc455138800" w:history="1">
        <w:r w:rsidR="00CE5DAD" w:rsidRPr="00CE5DAD">
          <w:rPr>
            <w:rStyle w:val="Hyperlink"/>
            <w:color w:val="auto"/>
          </w:rPr>
          <w:t>II.</w:t>
        </w:r>
        <w:r w:rsidR="00CE5DAD" w:rsidRPr="00CE5DAD">
          <w:rPr>
            <w:rFonts w:asciiTheme="minorHAnsi" w:eastAsiaTheme="minorEastAsia" w:hAnsiTheme="minorHAnsi" w:cstheme="minorBidi"/>
            <w:color w:val="auto"/>
            <w:sz w:val="22"/>
            <w:szCs w:val="22"/>
            <w:lang w:eastAsia="en-US"/>
          </w:rPr>
          <w:tab/>
        </w:r>
        <w:r w:rsidR="00CE5DAD" w:rsidRPr="00CE5DAD">
          <w:rPr>
            <w:rStyle w:val="Hyperlink"/>
            <w:color w:val="auto"/>
          </w:rPr>
          <w:t>THE TARIFF SCHEDULES CONTAIN EXTENSIVE DESCRIPTIONS OF COMPANY AND CUSTOMER OBLIGATIONS THUS PROTECTING BOTH THE PARTICIPATING CUSTOMERS, THE COMPANY, AND THE NON-PARTICIPATING CUSTOMERS</w:t>
        </w:r>
        <w:r w:rsidR="00CE5DAD" w:rsidRPr="00CE5DAD">
          <w:rPr>
            <w:webHidden/>
            <w:color w:val="auto"/>
          </w:rPr>
          <w:tab/>
        </w:r>
        <w:r w:rsidR="00CE5DAD" w:rsidRPr="00CE5DAD">
          <w:rPr>
            <w:webHidden/>
            <w:color w:val="auto"/>
          </w:rPr>
          <w:fldChar w:fldCharType="begin"/>
        </w:r>
        <w:r w:rsidR="00CE5DAD" w:rsidRPr="00CE5DAD">
          <w:rPr>
            <w:webHidden/>
            <w:color w:val="auto"/>
          </w:rPr>
          <w:instrText xml:space="preserve"> PAGEREF _Toc455138800 \h </w:instrText>
        </w:r>
        <w:r w:rsidR="00CE5DAD" w:rsidRPr="00CE5DAD">
          <w:rPr>
            <w:webHidden/>
            <w:color w:val="auto"/>
          </w:rPr>
        </w:r>
        <w:r w:rsidR="00CE5DAD" w:rsidRPr="00CE5DAD">
          <w:rPr>
            <w:webHidden/>
            <w:color w:val="auto"/>
          </w:rPr>
          <w:fldChar w:fldCharType="separate"/>
        </w:r>
        <w:r w:rsidR="00CE5DAD" w:rsidRPr="00CE5DAD">
          <w:rPr>
            <w:webHidden/>
            <w:color w:val="auto"/>
          </w:rPr>
          <w:t>2</w:t>
        </w:r>
        <w:r w:rsidR="00CE5DAD" w:rsidRPr="00CE5DAD">
          <w:rPr>
            <w:webHidden/>
            <w:color w:val="auto"/>
          </w:rPr>
          <w:fldChar w:fldCharType="end"/>
        </w:r>
      </w:hyperlink>
    </w:p>
    <w:p w:rsidR="00CE5DAD" w:rsidRPr="00CE5DAD" w:rsidRDefault="007F0670">
      <w:pPr>
        <w:pStyle w:val="TOC1"/>
        <w:rPr>
          <w:rFonts w:asciiTheme="minorHAnsi" w:eastAsiaTheme="minorEastAsia" w:hAnsiTheme="minorHAnsi" w:cstheme="minorBidi"/>
          <w:color w:val="auto"/>
          <w:sz w:val="22"/>
          <w:szCs w:val="22"/>
          <w:lang w:eastAsia="en-US"/>
        </w:rPr>
      </w:pPr>
      <w:hyperlink w:anchor="_Toc455138801" w:history="1">
        <w:r w:rsidR="00CE5DAD" w:rsidRPr="00CE5DAD">
          <w:rPr>
            <w:rStyle w:val="Hyperlink"/>
            <w:color w:val="auto"/>
          </w:rPr>
          <w:t>III.</w:t>
        </w:r>
        <w:r w:rsidR="00CE5DAD" w:rsidRPr="00CE5DAD">
          <w:rPr>
            <w:rFonts w:asciiTheme="minorHAnsi" w:eastAsiaTheme="minorEastAsia" w:hAnsiTheme="minorHAnsi" w:cstheme="minorBidi"/>
            <w:color w:val="auto"/>
            <w:sz w:val="22"/>
            <w:szCs w:val="22"/>
            <w:lang w:eastAsia="en-US"/>
          </w:rPr>
          <w:tab/>
        </w:r>
        <w:r w:rsidR="00CE5DAD" w:rsidRPr="00CE5DAD">
          <w:rPr>
            <w:rStyle w:val="Hyperlink"/>
            <w:color w:val="auto"/>
          </w:rPr>
          <w:t>THE KNOWN AND MEASURABLE PRO FORMA ADJUSTMENT AND OTHER RATEMAKING PRINCIPLES</w:t>
        </w:r>
        <w:r w:rsidR="00CE5DAD" w:rsidRPr="00CE5DAD">
          <w:rPr>
            <w:webHidden/>
            <w:color w:val="auto"/>
          </w:rPr>
          <w:tab/>
        </w:r>
        <w:r w:rsidR="00CE5DAD" w:rsidRPr="00CE5DAD">
          <w:rPr>
            <w:webHidden/>
            <w:color w:val="auto"/>
          </w:rPr>
          <w:fldChar w:fldCharType="begin"/>
        </w:r>
        <w:r w:rsidR="00CE5DAD" w:rsidRPr="00CE5DAD">
          <w:rPr>
            <w:webHidden/>
            <w:color w:val="auto"/>
          </w:rPr>
          <w:instrText xml:space="preserve"> PAGEREF _Toc455138801 \h </w:instrText>
        </w:r>
        <w:r w:rsidR="00CE5DAD" w:rsidRPr="00CE5DAD">
          <w:rPr>
            <w:webHidden/>
            <w:color w:val="auto"/>
          </w:rPr>
        </w:r>
        <w:r w:rsidR="00CE5DAD" w:rsidRPr="00CE5DAD">
          <w:rPr>
            <w:webHidden/>
            <w:color w:val="auto"/>
          </w:rPr>
          <w:fldChar w:fldCharType="separate"/>
        </w:r>
        <w:r w:rsidR="00CE5DAD" w:rsidRPr="00CE5DAD">
          <w:rPr>
            <w:webHidden/>
            <w:color w:val="auto"/>
          </w:rPr>
          <w:t>10</w:t>
        </w:r>
        <w:r w:rsidR="00CE5DAD" w:rsidRPr="00CE5DAD">
          <w:rPr>
            <w:webHidden/>
            <w:color w:val="auto"/>
          </w:rPr>
          <w:fldChar w:fldCharType="end"/>
        </w:r>
      </w:hyperlink>
    </w:p>
    <w:p w:rsidR="00CE5DAD" w:rsidRPr="00CE5DAD" w:rsidRDefault="007F0670">
      <w:pPr>
        <w:pStyle w:val="TOC1"/>
        <w:rPr>
          <w:rFonts w:asciiTheme="minorHAnsi" w:eastAsiaTheme="minorEastAsia" w:hAnsiTheme="minorHAnsi" w:cstheme="minorBidi"/>
          <w:color w:val="auto"/>
          <w:sz w:val="22"/>
          <w:szCs w:val="22"/>
          <w:lang w:eastAsia="en-US"/>
        </w:rPr>
      </w:pPr>
      <w:hyperlink w:anchor="_Toc455138802" w:history="1">
        <w:r w:rsidR="00CE5DAD" w:rsidRPr="00CE5DAD">
          <w:rPr>
            <w:rStyle w:val="Hyperlink"/>
            <w:color w:val="auto"/>
          </w:rPr>
          <w:t>IV.</w:t>
        </w:r>
        <w:r w:rsidR="00CE5DAD" w:rsidRPr="00CE5DAD">
          <w:rPr>
            <w:rFonts w:asciiTheme="minorHAnsi" w:eastAsiaTheme="minorEastAsia" w:hAnsiTheme="minorHAnsi" w:cstheme="minorBidi"/>
            <w:color w:val="auto"/>
            <w:sz w:val="22"/>
            <w:szCs w:val="22"/>
            <w:lang w:eastAsia="en-US"/>
          </w:rPr>
          <w:tab/>
        </w:r>
        <w:r w:rsidR="00CE5DAD" w:rsidRPr="00CE5DAD">
          <w:rPr>
            <w:rStyle w:val="Hyperlink"/>
            <w:color w:val="auto"/>
          </w:rPr>
          <w:t xml:space="preserve">LESSONS LEARNED FROM </w:t>
        </w:r>
        <w:r w:rsidR="00CE5DAD" w:rsidRPr="00CE5DAD">
          <w:rPr>
            <w:rStyle w:val="Hyperlink"/>
            <w:i/>
            <w:color w:val="auto"/>
          </w:rPr>
          <w:t>COLE</w:t>
        </w:r>
        <w:r w:rsidR="00CE5DAD" w:rsidRPr="00CE5DAD">
          <w:rPr>
            <w:webHidden/>
            <w:color w:val="auto"/>
          </w:rPr>
          <w:tab/>
        </w:r>
        <w:r w:rsidR="00CE5DAD" w:rsidRPr="00CE5DAD">
          <w:rPr>
            <w:webHidden/>
            <w:color w:val="auto"/>
          </w:rPr>
          <w:fldChar w:fldCharType="begin"/>
        </w:r>
        <w:r w:rsidR="00CE5DAD" w:rsidRPr="00CE5DAD">
          <w:rPr>
            <w:webHidden/>
            <w:color w:val="auto"/>
          </w:rPr>
          <w:instrText xml:space="preserve"> PAGEREF _Toc455138802 \h </w:instrText>
        </w:r>
        <w:r w:rsidR="00CE5DAD" w:rsidRPr="00CE5DAD">
          <w:rPr>
            <w:webHidden/>
            <w:color w:val="auto"/>
          </w:rPr>
        </w:r>
        <w:r w:rsidR="00CE5DAD" w:rsidRPr="00CE5DAD">
          <w:rPr>
            <w:webHidden/>
            <w:color w:val="auto"/>
          </w:rPr>
          <w:fldChar w:fldCharType="separate"/>
        </w:r>
        <w:r w:rsidR="00CE5DAD" w:rsidRPr="00CE5DAD">
          <w:rPr>
            <w:webHidden/>
            <w:color w:val="auto"/>
          </w:rPr>
          <w:t>14</w:t>
        </w:r>
        <w:r w:rsidR="00CE5DAD" w:rsidRPr="00CE5DAD">
          <w:rPr>
            <w:webHidden/>
            <w:color w:val="auto"/>
          </w:rPr>
          <w:fldChar w:fldCharType="end"/>
        </w:r>
      </w:hyperlink>
    </w:p>
    <w:p w:rsidR="00CE5DAD" w:rsidRPr="00CE5DAD" w:rsidRDefault="007F0670">
      <w:pPr>
        <w:pStyle w:val="TOC2"/>
        <w:rPr>
          <w:rFonts w:asciiTheme="minorHAnsi" w:eastAsiaTheme="minorEastAsia" w:hAnsiTheme="minorHAnsi" w:cstheme="minorBidi"/>
          <w:color w:val="auto"/>
          <w:sz w:val="22"/>
          <w:szCs w:val="22"/>
          <w:lang w:eastAsia="en-US"/>
        </w:rPr>
      </w:pPr>
      <w:hyperlink w:anchor="_Toc455138803" w:history="1">
        <w:r w:rsidR="00CE5DAD" w:rsidRPr="00CE5DAD">
          <w:rPr>
            <w:rStyle w:val="Hyperlink"/>
            <w:color w:val="auto"/>
          </w:rPr>
          <w:t>A.</w:t>
        </w:r>
        <w:r w:rsidR="00CE5DAD" w:rsidRPr="00CE5DAD">
          <w:rPr>
            <w:rFonts w:asciiTheme="minorHAnsi" w:eastAsiaTheme="minorEastAsia" w:hAnsiTheme="minorHAnsi" w:cstheme="minorBidi"/>
            <w:color w:val="auto"/>
            <w:sz w:val="22"/>
            <w:szCs w:val="22"/>
            <w:lang w:eastAsia="en-US"/>
          </w:rPr>
          <w:tab/>
        </w:r>
        <w:r w:rsidR="00CE5DAD" w:rsidRPr="00CE5DAD">
          <w:rPr>
            <w:rStyle w:val="Hyperlink"/>
            <w:color w:val="auto"/>
          </w:rPr>
          <w:t>Lease Solutions Is Not Merchandising</w:t>
        </w:r>
        <w:r w:rsidR="00CE5DAD" w:rsidRPr="00CE5DAD">
          <w:rPr>
            <w:webHidden/>
            <w:color w:val="auto"/>
          </w:rPr>
          <w:tab/>
        </w:r>
        <w:r w:rsidR="00CE5DAD" w:rsidRPr="00CE5DAD">
          <w:rPr>
            <w:webHidden/>
            <w:color w:val="auto"/>
          </w:rPr>
          <w:fldChar w:fldCharType="begin"/>
        </w:r>
        <w:r w:rsidR="00CE5DAD" w:rsidRPr="00CE5DAD">
          <w:rPr>
            <w:webHidden/>
            <w:color w:val="auto"/>
          </w:rPr>
          <w:instrText xml:space="preserve"> PAGEREF _Toc455138803 \h </w:instrText>
        </w:r>
        <w:r w:rsidR="00CE5DAD" w:rsidRPr="00CE5DAD">
          <w:rPr>
            <w:webHidden/>
            <w:color w:val="auto"/>
          </w:rPr>
        </w:r>
        <w:r w:rsidR="00CE5DAD" w:rsidRPr="00CE5DAD">
          <w:rPr>
            <w:webHidden/>
            <w:color w:val="auto"/>
          </w:rPr>
          <w:fldChar w:fldCharType="separate"/>
        </w:r>
        <w:r w:rsidR="00CE5DAD" w:rsidRPr="00CE5DAD">
          <w:rPr>
            <w:webHidden/>
            <w:color w:val="auto"/>
          </w:rPr>
          <w:t>14</w:t>
        </w:r>
        <w:r w:rsidR="00CE5DAD" w:rsidRPr="00CE5DAD">
          <w:rPr>
            <w:webHidden/>
            <w:color w:val="auto"/>
          </w:rPr>
          <w:fldChar w:fldCharType="end"/>
        </w:r>
      </w:hyperlink>
    </w:p>
    <w:p w:rsidR="00CE5DAD" w:rsidRPr="00CE5DAD" w:rsidRDefault="007F0670">
      <w:pPr>
        <w:pStyle w:val="TOC2"/>
        <w:rPr>
          <w:rFonts w:asciiTheme="minorHAnsi" w:eastAsiaTheme="minorEastAsia" w:hAnsiTheme="minorHAnsi" w:cstheme="minorBidi"/>
          <w:color w:val="auto"/>
          <w:sz w:val="22"/>
          <w:szCs w:val="22"/>
          <w:lang w:eastAsia="en-US"/>
        </w:rPr>
      </w:pPr>
      <w:hyperlink w:anchor="_Toc455138804" w:history="1">
        <w:r w:rsidR="00CE5DAD" w:rsidRPr="00CE5DAD">
          <w:rPr>
            <w:rStyle w:val="Hyperlink"/>
            <w:color w:val="auto"/>
          </w:rPr>
          <w:t>B.</w:t>
        </w:r>
        <w:r w:rsidR="00CE5DAD" w:rsidRPr="00CE5DAD">
          <w:rPr>
            <w:rFonts w:asciiTheme="minorHAnsi" w:eastAsiaTheme="minorEastAsia" w:hAnsiTheme="minorHAnsi" w:cstheme="minorBidi"/>
            <w:color w:val="auto"/>
            <w:sz w:val="22"/>
            <w:szCs w:val="22"/>
            <w:lang w:eastAsia="en-US"/>
          </w:rPr>
          <w:tab/>
        </w:r>
        <w:r w:rsidR="00CE5DAD" w:rsidRPr="00CE5DAD">
          <w:rPr>
            <w:rStyle w:val="Hyperlink"/>
            <w:color w:val="auto"/>
          </w:rPr>
          <w:t>The Commission Has Authority Over Leased Equipment</w:t>
        </w:r>
        <w:r w:rsidR="00CE5DAD" w:rsidRPr="00CE5DAD">
          <w:rPr>
            <w:webHidden/>
            <w:color w:val="auto"/>
          </w:rPr>
          <w:tab/>
        </w:r>
        <w:r w:rsidR="00CE5DAD" w:rsidRPr="00CE5DAD">
          <w:rPr>
            <w:webHidden/>
            <w:color w:val="auto"/>
          </w:rPr>
          <w:fldChar w:fldCharType="begin"/>
        </w:r>
        <w:r w:rsidR="00CE5DAD" w:rsidRPr="00CE5DAD">
          <w:rPr>
            <w:webHidden/>
            <w:color w:val="auto"/>
          </w:rPr>
          <w:instrText xml:space="preserve"> PAGEREF _Toc455138804 \h </w:instrText>
        </w:r>
        <w:r w:rsidR="00CE5DAD" w:rsidRPr="00CE5DAD">
          <w:rPr>
            <w:webHidden/>
            <w:color w:val="auto"/>
          </w:rPr>
        </w:r>
        <w:r w:rsidR="00CE5DAD" w:rsidRPr="00CE5DAD">
          <w:rPr>
            <w:webHidden/>
            <w:color w:val="auto"/>
          </w:rPr>
          <w:fldChar w:fldCharType="separate"/>
        </w:r>
        <w:r w:rsidR="00CE5DAD" w:rsidRPr="00CE5DAD">
          <w:rPr>
            <w:webHidden/>
            <w:color w:val="auto"/>
          </w:rPr>
          <w:t>20</w:t>
        </w:r>
        <w:r w:rsidR="00CE5DAD" w:rsidRPr="00CE5DAD">
          <w:rPr>
            <w:webHidden/>
            <w:color w:val="auto"/>
          </w:rPr>
          <w:fldChar w:fldCharType="end"/>
        </w:r>
      </w:hyperlink>
    </w:p>
    <w:p w:rsidR="00CE5DAD" w:rsidRPr="00CE5DAD" w:rsidRDefault="007F0670">
      <w:pPr>
        <w:pStyle w:val="TOC1"/>
        <w:rPr>
          <w:rFonts w:asciiTheme="minorHAnsi" w:eastAsiaTheme="minorEastAsia" w:hAnsiTheme="minorHAnsi" w:cstheme="minorBidi"/>
          <w:color w:val="auto"/>
          <w:sz w:val="22"/>
          <w:szCs w:val="22"/>
          <w:lang w:eastAsia="en-US"/>
        </w:rPr>
      </w:pPr>
      <w:hyperlink w:anchor="_Toc455138805" w:history="1">
        <w:r w:rsidR="00CE5DAD" w:rsidRPr="00CE5DAD">
          <w:rPr>
            <w:rStyle w:val="Hyperlink"/>
            <w:color w:val="auto"/>
          </w:rPr>
          <w:t>V.</w:t>
        </w:r>
        <w:r w:rsidR="00CE5DAD" w:rsidRPr="00CE5DAD">
          <w:rPr>
            <w:rFonts w:asciiTheme="minorHAnsi" w:eastAsiaTheme="minorEastAsia" w:hAnsiTheme="minorHAnsi" w:cstheme="minorBidi"/>
            <w:color w:val="auto"/>
            <w:sz w:val="22"/>
            <w:szCs w:val="22"/>
            <w:lang w:eastAsia="en-US"/>
          </w:rPr>
          <w:tab/>
        </w:r>
        <w:r w:rsidR="00CE5DAD" w:rsidRPr="00CE5DAD">
          <w:rPr>
            <w:rStyle w:val="Hyperlink"/>
            <w:color w:val="auto"/>
          </w:rPr>
          <w:t>EXTENSION OF CURRENT SERVICE</w:t>
        </w:r>
        <w:r w:rsidR="00CE5DAD" w:rsidRPr="00CE5DAD">
          <w:rPr>
            <w:webHidden/>
            <w:color w:val="auto"/>
          </w:rPr>
          <w:tab/>
        </w:r>
        <w:r w:rsidR="00CE5DAD" w:rsidRPr="00CE5DAD">
          <w:rPr>
            <w:webHidden/>
            <w:color w:val="auto"/>
          </w:rPr>
          <w:fldChar w:fldCharType="begin"/>
        </w:r>
        <w:r w:rsidR="00CE5DAD" w:rsidRPr="00CE5DAD">
          <w:rPr>
            <w:webHidden/>
            <w:color w:val="auto"/>
          </w:rPr>
          <w:instrText xml:space="preserve"> PAGEREF _Toc455138805 \h </w:instrText>
        </w:r>
        <w:r w:rsidR="00CE5DAD" w:rsidRPr="00CE5DAD">
          <w:rPr>
            <w:webHidden/>
            <w:color w:val="auto"/>
          </w:rPr>
        </w:r>
        <w:r w:rsidR="00CE5DAD" w:rsidRPr="00CE5DAD">
          <w:rPr>
            <w:webHidden/>
            <w:color w:val="auto"/>
          </w:rPr>
          <w:fldChar w:fldCharType="separate"/>
        </w:r>
        <w:r w:rsidR="00CE5DAD" w:rsidRPr="00CE5DAD">
          <w:rPr>
            <w:webHidden/>
            <w:color w:val="auto"/>
          </w:rPr>
          <w:t>23</w:t>
        </w:r>
        <w:r w:rsidR="00CE5DAD" w:rsidRPr="00CE5DAD">
          <w:rPr>
            <w:webHidden/>
            <w:color w:val="auto"/>
          </w:rPr>
          <w:fldChar w:fldCharType="end"/>
        </w:r>
      </w:hyperlink>
    </w:p>
    <w:p w:rsidR="00CE5DAD" w:rsidRPr="00CE5DAD" w:rsidRDefault="007F0670">
      <w:pPr>
        <w:pStyle w:val="TOC1"/>
        <w:rPr>
          <w:rFonts w:asciiTheme="minorHAnsi" w:eastAsiaTheme="minorEastAsia" w:hAnsiTheme="minorHAnsi" w:cstheme="minorBidi"/>
          <w:color w:val="auto"/>
          <w:sz w:val="22"/>
          <w:szCs w:val="22"/>
          <w:lang w:eastAsia="en-US"/>
        </w:rPr>
      </w:pPr>
      <w:hyperlink w:anchor="_Toc455138806" w:history="1">
        <w:r w:rsidR="00CE5DAD" w:rsidRPr="00CE5DAD">
          <w:rPr>
            <w:rStyle w:val="Hyperlink"/>
            <w:color w:val="auto"/>
          </w:rPr>
          <w:t>VI.</w:t>
        </w:r>
        <w:r w:rsidR="00CE5DAD" w:rsidRPr="00CE5DAD">
          <w:rPr>
            <w:rFonts w:asciiTheme="minorHAnsi" w:eastAsiaTheme="minorEastAsia" w:hAnsiTheme="minorHAnsi" w:cstheme="minorBidi"/>
            <w:color w:val="auto"/>
            <w:sz w:val="22"/>
            <w:szCs w:val="22"/>
            <w:lang w:eastAsia="en-US"/>
          </w:rPr>
          <w:tab/>
        </w:r>
        <w:r w:rsidR="00CE5DAD" w:rsidRPr="00CE5DAD">
          <w:rPr>
            <w:rStyle w:val="Hyperlink"/>
            <w:color w:val="auto"/>
          </w:rPr>
          <w:t>PARTIES’ REFERENCES AND RELIANCE ON THE EIA REGARDING CONSERVATION IS BOTH INAPPROPRIATE AND INACCURATE</w:t>
        </w:r>
        <w:r w:rsidR="00CE5DAD" w:rsidRPr="00CE5DAD">
          <w:rPr>
            <w:webHidden/>
            <w:color w:val="auto"/>
          </w:rPr>
          <w:tab/>
        </w:r>
        <w:r w:rsidR="00CE5DAD" w:rsidRPr="00CE5DAD">
          <w:rPr>
            <w:webHidden/>
            <w:color w:val="auto"/>
          </w:rPr>
          <w:fldChar w:fldCharType="begin"/>
        </w:r>
        <w:r w:rsidR="00CE5DAD" w:rsidRPr="00CE5DAD">
          <w:rPr>
            <w:webHidden/>
            <w:color w:val="auto"/>
          </w:rPr>
          <w:instrText xml:space="preserve"> PAGEREF _Toc455138806 \h </w:instrText>
        </w:r>
        <w:r w:rsidR="00CE5DAD" w:rsidRPr="00CE5DAD">
          <w:rPr>
            <w:webHidden/>
            <w:color w:val="auto"/>
          </w:rPr>
        </w:r>
        <w:r w:rsidR="00CE5DAD" w:rsidRPr="00CE5DAD">
          <w:rPr>
            <w:webHidden/>
            <w:color w:val="auto"/>
          </w:rPr>
          <w:fldChar w:fldCharType="separate"/>
        </w:r>
        <w:r w:rsidR="00CE5DAD" w:rsidRPr="00CE5DAD">
          <w:rPr>
            <w:webHidden/>
            <w:color w:val="auto"/>
          </w:rPr>
          <w:t>26</w:t>
        </w:r>
        <w:r w:rsidR="00CE5DAD" w:rsidRPr="00CE5DAD">
          <w:rPr>
            <w:webHidden/>
            <w:color w:val="auto"/>
          </w:rPr>
          <w:fldChar w:fldCharType="end"/>
        </w:r>
      </w:hyperlink>
    </w:p>
    <w:p w:rsidR="00CE5DAD" w:rsidRPr="00CE5DAD" w:rsidRDefault="007F0670">
      <w:pPr>
        <w:pStyle w:val="TOC1"/>
        <w:rPr>
          <w:rFonts w:asciiTheme="minorHAnsi" w:eastAsiaTheme="minorEastAsia" w:hAnsiTheme="minorHAnsi" w:cstheme="minorBidi"/>
          <w:color w:val="auto"/>
          <w:sz w:val="22"/>
          <w:szCs w:val="22"/>
          <w:lang w:eastAsia="en-US"/>
        </w:rPr>
      </w:pPr>
      <w:hyperlink w:anchor="_Toc455138807" w:history="1">
        <w:r w:rsidR="00CE5DAD" w:rsidRPr="00CE5DAD">
          <w:rPr>
            <w:rStyle w:val="Hyperlink"/>
            <w:color w:val="auto"/>
          </w:rPr>
          <w:t>VII.</w:t>
        </w:r>
        <w:r w:rsidR="00CE5DAD" w:rsidRPr="00CE5DAD">
          <w:rPr>
            <w:rFonts w:asciiTheme="minorHAnsi" w:eastAsiaTheme="minorEastAsia" w:hAnsiTheme="minorHAnsi" w:cstheme="minorBidi"/>
            <w:color w:val="auto"/>
            <w:sz w:val="22"/>
            <w:szCs w:val="22"/>
            <w:lang w:eastAsia="en-US"/>
          </w:rPr>
          <w:tab/>
        </w:r>
        <w:r w:rsidR="00CE5DAD" w:rsidRPr="00CE5DAD">
          <w:rPr>
            <w:rStyle w:val="Hyperlink"/>
            <w:color w:val="auto"/>
          </w:rPr>
          <w:t>RECOVERING NON-STANDARD COSTS ARE COMMON PRACTICE AND ARE CURRENTLY FOUND IN BOTH OF PSE’S TARIFF BOOKS</w:t>
        </w:r>
        <w:r w:rsidR="00CE5DAD" w:rsidRPr="00CE5DAD">
          <w:rPr>
            <w:webHidden/>
            <w:color w:val="auto"/>
          </w:rPr>
          <w:tab/>
        </w:r>
        <w:r w:rsidR="00CE5DAD" w:rsidRPr="00CE5DAD">
          <w:rPr>
            <w:webHidden/>
            <w:color w:val="auto"/>
          </w:rPr>
          <w:fldChar w:fldCharType="begin"/>
        </w:r>
        <w:r w:rsidR="00CE5DAD" w:rsidRPr="00CE5DAD">
          <w:rPr>
            <w:webHidden/>
            <w:color w:val="auto"/>
          </w:rPr>
          <w:instrText xml:space="preserve"> PAGEREF _Toc455138807 \h </w:instrText>
        </w:r>
        <w:r w:rsidR="00CE5DAD" w:rsidRPr="00CE5DAD">
          <w:rPr>
            <w:webHidden/>
            <w:color w:val="auto"/>
          </w:rPr>
        </w:r>
        <w:r w:rsidR="00CE5DAD" w:rsidRPr="00CE5DAD">
          <w:rPr>
            <w:webHidden/>
            <w:color w:val="auto"/>
          </w:rPr>
          <w:fldChar w:fldCharType="separate"/>
        </w:r>
        <w:r w:rsidR="00CE5DAD" w:rsidRPr="00CE5DAD">
          <w:rPr>
            <w:webHidden/>
            <w:color w:val="auto"/>
          </w:rPr>
          <w:t>28</w:t>
        </w:r>
        <w:r w:rsidR="00CE5DAD" w:rsidRPr="00CE5DAD">
          <w:rPr>
            <w:webHidden/>
            <w:color w:val="auto"/>
          </w:rPr>
          <w:fldChar w:fldCharType="end"/>
        </w:r>
      </w:hyperlink>
    </w:p>
    <w:p w:rsidR="00CE5DAD" w:rsidRPr="00CE5DAD" w:rsidRDefault="007F0670">
      <w:pPr>
        <w:pStyle w:val="TOC1"/>
        <w:rPr>
          <w:rFonts w:asciiTheme="minorHAnsi" w:eastAsiaTheme="minorEastAsia" w:hAnsiTheme="minorHAnsi" w:cstheme="minorBidi"/>
          <w:color w:val="auto"/>
          <w:sz w:val="22"/>
          <w:szCs w:val="22"/>
          <w:lang w:eastAsia="en-US"/>
        </w:rPr>
      </w:pPr>
      <w:hyperlink w:anchor="_Toc455138808" w:history="1">
        <w:r w:rsidR="00CE5DAD" w:rsidRPr="00CE5DAD">
          <w:rPr>
            <w:rStyle w:val="Hyperlink"/>
            <w:color w:val="auto"/>
          </w:rPr>
          <w:t>VIII.</w:t>
        </w:r>
        <w:r w:rsidR="00CE5DAD" w:rsidRPr="00CE5DAD">
          <w:rPr>
            <w:rFonts w:asciiTheme="minorHAnsi" w:eastAsiaTheme="minorEastAsia" w:hAnsiTheme="minorHAnsi" w:cstheme="minorBidi"/>
            <w:color w:val="auto"/>
            <w:sz w:val="22"/>
            <w:szCs w:val="22"/>
            <w:lang w:eastAsia="en-US"/>
          </w:rPr>
          <w:tab/>
        </w:r>
        <w:r w:rsidR="00CE5DAD" w:rsidRPr="00CE5DAD">
          <w:rPr>
            <w:rStyle w:val="Hyperlink"/>
            <w:color w:val="auto"/>
          </w:rPr>
          <w:t>CONCLUSION</w:t>
        </w:r>
        <w:r w:rsidR="00CE5DAD" w:rsidRPr="00CE5DAD">
          <w:rPr>
            <w:webHidden/>
            <w:color w:val="auto"/>
          </w:rPr>
          <w:tab/>
        </w:r>
        <w:r w:rsidR="00CE5DAD" w:rsidRPr="00CE5DAD">
          <w:rPr>
            <w:webHidden/>
            <w:color w:val="auto"/>
          </w:rPr>
          <w:fldChar w:fldCharType="begin"/>
        </w:r>
        <w:r w:rsidR="00CE5DAD" w:rsidRPr="00CE5DAD">
          <w:rPr>
            <w:webHidden/>
            <w:color w:val="auto"/>
          </w:rPr>
          <w:instrText xml:space="preserve"> PAGEREF _Toc455138808 \h </w:instrText>
        </w:r>
        <w:r w:rsidR="00CE5DAD" w:rsidRPr="00CE5DAD">
          <w:rPr>
            <w:webHidden/>
            <w:color w:val="auto"/>
          </w:rPr>
        </w:r>
        <w:r w:rsidR="00CE5DAD" w:rsidRPr="00CE5DAD">
          <w:rPr>
            <w:webHidden/>
            <w:color w:val="auto"/>
          </w:rPr>
          <w:fldChar w:fldCharType="separate"/>
        </w:r>
        <w:r w:rsidR="00CE5DAD" w:rsidRPr="00CE5DAD">
          <w:rPr>
            <w:webHidden/>
            <w:color w:val="auto"/>
          </w:rPr>
          <w:t>30</w:t>
        </w:r>
        <w:r w:rsidR="00CE5DAD" w:rsidRPr="00CE5DAD">
          <w:rPr>
            <w:webHidden/>
            <w:color w:val="auto"/>
          </w:rPr>
          <w:fldChar w:fldCharType="end"/>
        </w:r>
      </w:hyperlink>
    </w:p>
    <w:p w:rsidR="00931AC6" w:rsidRPr="00CE5DAD" w:rsidRDefault="00931AC6" w:rsidP="00BC7BF4">
      <w:pPr>
        <w:pStyle w:val="TOC1"/>
        <w:rPr>
          <w:rStyle w:val="Strong"/>
          <w:color w:val="auto"/>
          <w:szCs w:val="24"/>
        </w:rPr>
        <w:sectPr w:rsidR="00931AC6" w:rsidRPr="00CE5DAD" w:rsidSect="007F2521">
          <w:headerReference w:type="default" r:id="rId11"/>
          <w:footerReference w:type="default" r:id="rId12"/>
          <w:pgSz w:w="12240" w:h="15840" w:code="1"/>
          <w:pgMar w:top="1440" w:right="1440" w:bottom="1440" w:left="2160" w:header="720" w:footer="864" w:gutter="0"/>
          <w:pgNumType w:fmt="lowerRoman" w:start="1" w:chapStyle="1"/>
          <w:cols w:space="720"/>
        </w:sectPr>
      </w:pPr>
      <w:r w:rsidRPr="00CE5DAD">
        <w:rPr>
          <w:rStyle w:val="Strong"/>
          <w:color w:val="auto"/>
          <w:szCs w:val="24"/>
        </w:rPr>
        <w:fldChar w:fldCharType="end"/>
      </w:r>
    </w:p>
    <w:p w:rsidR="00931AC6" w:rsidRPr="0096592F" w:rsidRDefault="00931AC6" w:rsidP="00480476">
      <w:pPr>
        <w:keepNext/>
        <w:spacing w:before="240" w:after="240"/>
        <w:ind w:left="720" w:right="720"/>
        <w:jc w:val="center"/>
        <w:rPr>
          <w:rStyle w:val="Strong"/>
          <w:rFonts w:eastAsia="SimSun"/>
        </w:rPr>
      </w:pPr>
      <w:r w:rsidRPr="0096592F">
        <w:rPr>
          <w:rStyle w:val="Strong"/>
          <w:rFonts w:eastAsia="SimSun"/>
        </w:rPr>
        <w:lastRenderedPageBreak/>
        <w:t>PUGET SOUND ENERGY</w:t>
      </w:r>
    </w:p>
    <w:p w:rsidR="00256F4B" w:rsidRDefault="00931AC6" w:rsidP="004F5937">
      <w:pPr>
        <w:keepNext/>
        <w:spacing w:after="360"/>
        <w:jc w:val="center"/>
        <w:rPr>
          <w:rStyle w:val="Strong"/>
          <w:rFonts w:eastAsia="SimSun"/>
          <w:b w:val="0"/>
          <w:noProof/>
          <w:color w:val="0000FF"/>
          <w:lang w:eastAsia="zh-CN"/>
        </w:rPr>
      </w:pPr>
      <w:r w:rsidRPr="0096592F">
        <w:rPr>
          <w:rStyle w:val="Strong"/>
          <w:rFonts w:eastAsia="SimSun"/>
        </w:rPr>
        <w:t xml:space="preserve">PREFILED </w:t>
      </w:r>
      <w:r w:rsidR="00B511E4">
        <w:rPr>
          <w:rStyle w:val="Strong"/>
          <w:rFonts w:eastAsia="SimSun"/>
        </w:rPr>
        <w:t>REBUTTAL</w:t>
      </w:r>
      <w:r w:rsidRPr="0096592F">
        <w:rPr>
          <w:rStyle w:val="Strong"/>
          <w:rFonts w:eastAsia="SimSun"/>
        </w:rPr>
        <w:t xml:space="preserve"> TESTIMONY </w:t>
      </w:r>
      <w:r w:rsidR="005C23B2">
        <w:rPr>
          <w:rStyle w:val="Strong"/>
          <w:rFonts w:eastAsia="SimSun"/>
        </w:rPr>
        <w:t xml:space="preserve">(NONCONFIDENTIAL) </w:t>
      </w:r>
      <w:r w:rsidRPr="0096592F">
        <w:rPr>
          <w:rStyle w:val="Strong"/>
          <w:rFonts w:eastAsia="SimSun"/>
        </w:rPr>
        <w:t>OF</w:t>
      </w:r>
      <w:r w:rsidRPr="0096592F">
        <w:rPr>
          <w:rStyle w:val="Strong"/>
          <w:rFonts w:eastAsia="SimSun"/>
          <w:b w:val="0"/>
        </w:rPr>
        <w:br/>
      </w:r>
      <w:r w:rsidR="00E83CDE">
        <w:rPr>
          <w:rStyle w:val="Strong"/>
        </w:rPr>
        <w:t>ERIC E. ENGLERT</w:t>
      </w:r>
      <w:bookmarkStart w:id="4" w:name="_Toc161487050"/>
      <w:bookmarkStart w:id="5" w:name="_Toc162007393"/>
      <w:bookmarkStart w:id="6" w:name="_Toc181442358"/>
      <w:bookmarkStart w:id="7" w:name="_Toc179284150"/>
      <w:bookmarkStart w:id="8" w:name="_Toc182774604"/>
      <w:bookmarkStart w:id="9" w:name="_Toc184207473"/>
    </w:p>
    <w:p w:rsidR="00931AC6" w:rsidRPr="00E61AB2" w:rsidRDefault="00931AC6" w:rsidP="00256F4B">
      <w:pPr>
        <w:pStyle w:val="PleadingsL1"/>
        <w:rPr>
          <w:rFonts w:eastAsia="SimSun"/>
        </w:rPr>
      </w:pPr>
      <w:bookmarkStart w:id="10" w:name="_Toc455138799"/>
      <w:r w:rsidRPr="00E61AB2">
        <w:rPr>
          <w:rFonts w:eastAsia="SimSun"/>
        </w:rPr>
        <w:t>INTRODUCTION</w:t>
      </w:r>
      <w:bookmarkEnd w:id="1"/>
      <w:bookmarkEnd w:id="2"/>
      <w:bookmarkEnd w:id="3"/>
      <w:bookmarkEnd w:id="4"/>
      <w:bookmarkEnd w:id="5"/>
      <w:bookmarkEnd w:id="6"/>
      <w:bookmarkEnd w:id="7"/>
      <w:bookmarkEnd w:id="8"/>
      <w:bookmarkEnd w:id="9"/>
      <w:bookmarkEnd w:id="10"/>
    </w:p>
    <w:p w:rsidR="00931AC6" w:rsidRPr="0096592F" w:rsidRDefault="00931AC6" w:rsidP="003004FF">
      <w:pPr>
        <w:pStyle w:val="question"/>
        <w:keepNext/>
        <w:keepLines/>
        <w:spacing w:before="0" w:after="0"/>
        <w:rPr>
          <w:szCs w:val="24"/>
        </w:rPr>
      </w:pPr>
      <w:r w:rsidRPr="0096592F">
        <w:rPr>
          <w:szCs w:val="24"/>
        </w:rPr>
        <w:t>Q.</w:t>
      </w:r>
      <w:r w:rsidRPr="0096592F">
        <w:rPr>
          <w:szCs w:val="24"/>
        </w:rPr>
        <w:tab/>
      </w:r>
      <w:r w:rsidR="00E524B1">
        <w:rPr>
          <w:szCs w:val="24"/>
        </w:rPr>
        <w:t xml:space="preserve">Are you the same </w:t>
      </w:r>
      <w:r w:rsidR="00B511E4">
        <w:rPr>
          <w:szCs w:val="24"/>
        </w:rPr>
        <w:t>Eric E. Englert</w:t>
      </w:r>
      <w:r w:rsidR="00E524B1">
        <w:rPr>
          <w:szCs w:val="24"/>
        </w:rPr>
        <w:t xml:space="preserve"> who </w:t>
      </w:r>
      <w:r w:rsidR="00E524B1">
        <w:t>submitted prefiled direct testimony in this proceeding on February 25, 2016, on behalf of Puget Sound Energy (“PSE” or “the Company”)?</w:t>
      </w:r>
    </w:p>
    <w:p w:rsidR="00931AC6" w:rsidRPr="0096592F" w:rsidRDefault="00931AC6" w:rsidP="003004FF">
      <w:pPr>
        <w:pStyle w:val="answer"/>
        <w:spacing w:before="0" w:after="0"/>
        <w:rPr>
          <w:rFonts w:ascii="Times New Roman" w:hAnsi="Times New Roman"/>
          <w:szCs w:val="24"/>
        </w:rPr>
      </w:pPr>
      <w:r w:rsidRPr="0096592F">
        <w:rPr>
          <w:rFonts w:ascii="Times New Roman" w:hAnsi="Times New Roman"/>
          <w:szCs w:val="24"/>
        </w:rPr>
        <w:t>A.</w:t>
      </w:r>
      <w:r w:rsidRPr="0096592F">
        <w:rPr>
          <w:rFonts w:ascii="Times New Roman" w:hAnsi="Times New Roman"/>
          <w:szCs w:val="24"/>
        </w:rPr>
        <w:tab/>
      </w:r>
      <w:r w:rsidR="00E524B1">
        <w:rPr>
          <w:rFonts w:ascii="Times New Roman" w:hAnsi="Times New Roman"/>
          <w:szCs w:val="24"/>
        </w:rPr>
        <w:t>Yes</w:t>
      </w:r>
      <w:r w:rsidR="00B511E4">
        <w:rPr>
          <w:rFonts w:ascii="Times New Roman" w:hAnsi="Times New Roman"/>
          <w:szCs w:val="24"/>
        </w:rPr>
        <w:t>.</w:t>
      </w:r>
    </w:p>
    <w:p w:rsidR="002C23E6" w:rsidRPr="004F5937" w:rsidRDefault="002C23E6" w:rsidP="003004FF">
      <w:pPr>
        <w:pStyle w:val="question"/>
        <w:keepNext/>
        <w:keepLines/>
        <w:spacing w:before="0" w:after="0"/>
        <w:rPr>
          <w:szCs w:val="24"/>
        </w:rPr>
      </w:pPr>
      <w:r w:rsidRPr="004F5937">
        <w:rPr>
          <w:szCs w:val="24"/>
        </w:rPr>
        <w:t>Q.</w:t>
      </w:r>
      <w:r w:rsidRPr="004F5937">
        <w:rPr>
          <w:szCs w:val="24"/>
        </w:rPr>
        <w:tab/>
        <w:t>What is the purpose of your testimony?</w:t>
      </w:r>
    </w:p>
    <w:p w:rsidR="00630DE1" w:rsidRDefault="002C23E6" w:rsidP="004F5937">
      <w:pPr>
        <w:pStyle w:val="answer"/>
      </w:pPr>
      <w:r w:rsidRPr="004F5937">
        <w:t>A.</w:t>
      </w:r>
      <w:r w:rsidRPr="004F5937">
        <w:tab/>
      </w:r>
      <w:r w:rsidR="006558CF">
        <w:t>First, I respond to consumer protection concerns raised by Commission Staff and Public Counsel</w:t>
      </w:r>
      <w:r w:rsidR="00D6267D">
        <w:t>,</w:t>
      </w:r>
      <w:r w:rsidR="006558CF">
        <w:t xml:space="preserve"> and I </w:t>
      </w:r>
      <w:r w:rsidR="00D6267D">
        <w:t>discuss</w:t>
      </w:r>
      <w:r w:rsidR="006558CF">
        <w:t xml:space="preserve"> the extensive protections for customers that PSE has included in the leasing tariff schedules.  Second, I address misapplication </w:t>
      </w:r>
      <w:r w:rsidR="00593133">
        <w:t xml:space="preserve">of certain ratemaking principles by Commission Staff, including the known and measurable standard </w:t>
      </w:r>
      <w:r w:rsidR="00D6267D">
        <w:t xml:space="preserve">that applies to </w:t>
      </w:r>
      <w:r w:rsidR="00593133">
        <w:t xml:space="preserve">pro forma adjustments in general rate cases.  Third, I clarify the Commission’s ruling in the </w:t>
      </w:r>
      <w:r w:rsidR="00593133" w:rsidRPr="004F5937">
        <w:rPr>
          <w:i/>
        </w:rPr>
        <w:t xml:space="preserve">Cole </w:t>
      </w:r>
      <w:r w:rsidR="00593133">
        <w:t>case, discussed in Mr. Cebulko’s testimony</w:t>
      </w:r>
      <w:r w:rsidR="00D6267D">
        <w:t>,</w:t>
      </w:r>
      <w:r w:rsidR="00593133">
        <w:t xml:space="preserve"> and I demonstrate that Staff is relying on the same failed arguments </w:t>
      </w:r>
      <w:r w:rsidR="00D6267D">
        <w:t xml:space="preserve">regarding merchandising </w:t>
      </w:r>
      <w:r w:rsidR="00593133">
        <w:t xml:space="preserve">as it did in </w:t>
      </w:r>
      <w:r w:rsidR="00593133" w:rsidRPr="004F5937">
        <w:rPr>
          <w:i/>
        </w:rPr>
        <w:t>Cole</w:t>
      </w:r>
      <w:r w:rsidR="00593133">
        <w:t xml:space="preserve"> nearly half-a century ago.  Fourth, I refute Commission Staff’s testimony regarding other end use services offered by PSE.  Fifth, I </w:t>
      </w:r>
      <w:r w:rsidR="00D1154D">
        <w:t xml:space="preserve">address </w:t>
      </w:r>
      <w:r w:rsidR="00593133">
        <w:t>parties</w:t>
      </w:r>
      <w:r w:rsidR="00D6267D">
        <w:t>’</w:t>
      </w:r>
      <w:r w:rsidR="00593133">
        <w:t xml:space="preserve"> </w:t>
      </w:r>
      <w:r w:rsidR="00D1154D">
        <w:t xml:space="preserve">inappropriate </w:t>
      </w:r>
      <w:r w:rsidR="00593133">
        <w:t xml:space="preserve">reliance on the Energy Independence Act </w:t>
      </w:r>
      <w:r w:rsidR="00D6267D">
        <w:t xml:space="preserve">to oppose PSE’s lease service. </w:t>
      </w:r>
      <w:r w:rsidR="00C61481">
        <w:t xml:space="preserve"> </w:t>
      </w:r>
      <w:r w:rsidR="00B2772B">
        <w:t xml:space="preserve">Finally, I </w:t>
      </w:r>
      <w:r w:rsidR="00740D36">
        <w:t>respond to issues raised by parties regarding non-standard costs and discuss how these type</w:t>
      </w:r>
      <w:r w:rsidR="00F24551">
        <w:t>s</w:t>
      </w:r>
      <w:r w:rsidR="00740D36">
        <w:t xml:space="preserve"> of costs are addressed in other tariffed services.</w:t>
      </w:r>
    </w:p>
    <w:p w:rsidR="00630DE1" w:rsidRPr="0096592F" w:rsidRDefault="00630DE1" w:rsidP="00630DE1">
      <w:pPr>
        <w:pStyle w:val="Heading1"/>
      </w:pPr>
      <w:bookmarkStart w:id="11" w:name="_Toc455138800"/>
      <w:r>
        <w:lastRenderedPageBreak/>
        <w:t>II.</w:t>
      </w:r>
      <w:r>
        <w:tab/>
        <w:t>T</w:t>
      </w:r>
      <w:r w:rsidRPr="00E61AB2">
        <w:t>HE TARIFF SCHEDULES CONTAIN EXTENSIVE DESCRIPTIONS OF COMPANY AND CUSTOMER OBLIGATIONS THUS PROTECTING BOTH THE PARTICIPATING CUSTOMERS, THE COMPANY</w:t>
      </w:r>
      <w:r w:rsidR="004D2A57">
        <w:t>,</w:t>
      </w:r>
      <w:r w:rsidRPr="00E61AB2">
        <w:t xml:space="preserve"> AND THE NON-PARTICIPATING CUSTOMERS</w:t>
      </w:r>
      <w:bookmarkEnd w:id="11"/>
    </w:p>
    <w:p w:rsidR="00630DE1" w:rsidRDefault="00630DE1" w:rsidP="00630DE1">
      <w:pPr>
        <w:pStyle w:val="question"/>
        <w:keepNext/>
        <w:keepLines/>
        <w:spacing w:before="120"/>
        <w:rPr>
          <w:szCs w:val="24"/>
        </w:rPr>
      </w:pPr>
      <w:r w:rsidRPr="0096592F">
        <w:rPr>
          <w:szCs w:val="24"/>
        </w:rPr>
        <w:t>Q.</w:t>
      </w:r>
      <w:r w:rsidRPr="0096592F">
        <w:rPr>
          <w:szCs w:val="24"/>
        </w:rPr>
        <w:tab/>
      </w:r>
      <w:r>
        <w:rPr>
          <w:szCs w:val="24"/>
        </w:rPr>
        <w:t>Do you have any overall comments regarding the consumer protection testimony by Commission Staff?</w:t>
      </w:r>
    </w:p>
    <w:p w:rsidR="00630DE1" w:rsidRDefault="00630DE1" w:rsidP="00630DE1">
      <w:pPr>
        <w:pStyle w:val="answer"/>
      </w:pPr>
      <w:r>
        <w:t>A.</w:t>
      </w:r>
      <w:r>
        <w:tab/>
        <w:t>Yes.  I am surprised by the issues raised.  As discussed in more detail later in my testimony, many of the issues Commission Staff raises are already addressed in the Commission rules.  Where there are specific rules addressing topics such as late fees, customer complaints, and third-party marketing, PSE did not separately address these issues in its direct testimony, since it is PSE’s practice to follow the Commission rules.</w:t>
      </w:r>
    </w:p>
    <w:p w:rsidR="00630DE1" w:rsidRDefault="00630DE1" w:rsidP="00630DE1">
      <w:pPr>
        <w:pStyle w:val="answer"/>
        <w:rPr>
          <w:rFonts w:ascii="Times New Roman" w:hAnsi="Times New Roman"/>
          <w:szCs w:val="24"/>
        </w:rPr>
      </w:pPr>
      <w:r>
        <w:tab/>
        <w:t>Moreover, the leasing tariff schedules contain extensive descriptions of customer protections.  In the updated tariff filing in February, PSE updated its tariff</w:t>
      </w:r>
      <w:r w:rsidR="00AA69E6">
        <w:t xml:space="preserve"> schedules</w:t>
      </w:r>
      <w:r>
        <w:t xml:space="preserve"> to address several concerns expressed by parties.  For example, PSE clarified </w:t>
      </w:r>
      <w:r w:rsidR="00F24551">
        <w:t>that its</w:t>
      </w:r>
      <w:r>
        <w:t xml:space="preserve"> internal creditworthiness score will be used to qualify customers for the lease service; clarified customer’s responsibility for installation costs related to non-standard conditions; provided more detail regarding maintenance and repair responsibilities; revised default terms to include a 30-day notice before PSE </w:t>
      </w:r>
      <w:r w:rsidR="00AA69E6">
        <w:t xml:space="preserve">may </w:t>
      </w:r>
      <w:r>
        <w:t>terminate the lease, and made several other changes.</w:t>
      </w:r>
      <w:r w:rsidR="004D2A57">
        <w:t xml:space="preserve"> </w:t>
      </w:r>
      <w:r>
        <w:t xml:space="preserve"> T</w:t>
      </w:r>
      <w:r>
        <w:rPr>
          <w:rFonts w:ascii="Times New Roman" w:hAnsi="Times New Roman"/>
          <w:szCs w:val="24"/>
        </w:rPr>
        <w:t xml:space="preserve">he tariff schedules contain over 19 pages of terms and conditions that describe the obligations of the Company and the participating customer. </w:t>
      </w:r>
      <w:r w:rsidR="004D2A57">
        <w:rPr>
          <w:rFonts w:ascii="Times New Roman" w:hAnsi="Times New Roman"/>
          <w:szCs w:val="24"/>
        </w:rPr>
        <w:t xml:space="preserve"> </w:t>
      </w:r>
      <w:r>
        <w:rPr>
          <w:rFonts w:ascii="Times New Roman" w:hAnsi="Times New Roman"/>
          <w:szCs w:val="24"/>
        </w:rPr>
        <w:t xml:space="preserve">This extensive text for the expanded service </w:t>
      </w:r>
      <w:r w:rsidR="00F24551">
        <w:rPr>
          <w:rFonts w:ascii="Times New Roman" w:hAnsi="Times New Roman"/>
          <w:szCs w:val="24"/>
        </w:rPr>
        <w:t xml:space="preserve">comparatively </w:t>
      </w:r>
      <w:r w:rsidR="004D2A57">
        <w:rPr>
          <w:rFonts w:ascii="Times New Roman" w:hAnsi="Times New Roman"/>
          <w:szCs w:val="24"/>
        </w:rPr>
        <w:t>is</w:t>
      </w:r>
      <w:r>
        <w:rPr>
          <w:rFonts w:ascii="Times New Roman" w:hAnsi="Times New Roman"/>
          <w:szCs w:val="24"/>
        </w:rPr>
        <w:t xml:space="preserve"> much more detailed than the existing </w:t>
      </w:r>
      <w:r>
        <w:rPr>
          <w:rFonts w:ascii="Times New Roman" w:hAnsi="Times New Roman"/>
          <w:szCs w:val="24"/>
        </w:rPr>
        <w:lastRenderedPageBreak/>
        <w:t>rental service tariff schedules, which devote less than one page to availability and general rules and regulations, with no terms and conditions section.</w:t>
      </w:r>
    </w:p>
    <w:p w:rsidR="00630DE1" w:rsidRDefault="00630DE1" w:rsidP="00630DE1">
      <w:pPr>
        <w:pStyle w:val="question"/>
        <w:keepNext/>
        <w:keepLines/>
        <w:spacing w:before="120"/>
        <w:rPr>
          <w:szCs w:val="24"/>
        </w:rPr>
      </w:pPr>
      <w:r>
        <w:rPr>
          <w:szCs w:val="24"/>
        </w:rPr>
        <w:t>Q.</w:t>
      </w:r>
      <w:r>
        <w:rPr>
          <w:szCs w:val="24"/>
        </w:rPr>
        <w:tab/>
        <w:t>How do you respond to Staff’s statement that it is not clear if PSE will be engaging with participating customers?</w:t>
      </w:r>
    </w:p>
    <w:p w:rsidR="00630DE1" w:rsidRPr="005D30DC" w:rsidRDefault="00630DE1" w:rsidP="00630DE1">
      <w:pPr>
        <w:pStyle w:val="answer"/>
      </w:pPr>
      <w:r>
        <w:rPr>
          <w:szCs w:val="24"/>
        </w:rPr>
        <w:t>A.</w:t>
      </w:r>
      <w:r>
        <w:rPr>
          <w:szCs w:val="24"/>
        </w:rPr>
        <w:tab/>
      </w:r>
      <w:r w:rsidRPr="005058F7">
        <w:rPr>
          <w:szCs w:val="24"/>
        </w:rPr>
        <w:t xml:space="preserve">Staff should not be confused.  </w:t>
      </w:r>
      <w:r w:rsidR="004D2A57">
        <w:rPr>
          <w:szCs w:val="24"/>
        </w:rPr>
        <w:t xml:space="preserve">Lease Solutions is a service </w:t>
      </w:r>
      <w:r w:rsidR="00AA69E6">
        <w:rPr>
          <w:szCs w:val="24"/>
        </w:rPr>
        <w:t xml:space="preserve">directly </w:t>
      </w:r>
      <w:r w:rsidR="004D2A57">
        <w:rPr>
          <w:szCs w:val="24"/>
        </w:rPr>
        <w:t xml:space="preserve">between PSE and its </w:t>
      </w:r>
      <w:r w:rsidR="00AA69E6">
        <w:rPr>
          <w:szCs w:val="24"/>
        </w:rPr>
        <w:t xml:space="preserve">participating </w:t>
      </w:r>
      <w:r w:rsidR="004D2A57">
        <w:rPr>
          <w:szCs w:val="24"/>
        </w:rPr>
        <w:t>customers</w:t>
      </w:r>
      <w:r w:rsidR="00AA69E6">
        <w:rPr>
          <w:szCs w:val="24"/>
        </w:rPr>
        <w:t>.</w:t>
      </w:r>
      <w:r w:rsidR="004D2A57">
        <w:rPr>
          <w:szCs w:val="24"/>
        </w:rPr>
        <w:t xml:space="preserve">  </w:t>
      </w:r>
      <w:r w:rsidR="00C61481">
        <w:rPr>
          <w:szCs w:val="24"/>
        </w:rPr>
        <w:t>As described above, t</w:t>
      </w:r>
      <w:r w:rsidRPr="005058F7">
        <w:rPr>
          <w:szCs w:val="24"/>
        </w:rPr>
        <w:t>he interactions between PSE and its leasing customers are detailed in the tariff schedule, with over 19 pages of terms and conditions, as well as an Equipment Lease Agreement between the customer and Company.</w:t>
      </w:r>
      <w:r w:rsidR="004D2A57">
        <w:rPr>
          <w:szCs w:val="24"/>
        </w:rPr>
        <w:t xml:space="preserve">  </w:t>
      </w:r>
    </w:p>
    <w:p w:rsidR="00630DE1" w:rsidRPr="0096592F" w:rsidRDefault="00630DE1" w:rsidP="00630DE1">
      <w:pPr>
        <w:pStyle w:val="question"/>
        <w:keepNext/>
        <w:keepLines/>
        <w:spacing w:before="120"/>
        <w:rPr>
          <w:szCs w:val="24"/>
        </w:rPr>
      </w:pPr>
      <w:r w:rsidRPr="0096592F">
        <w:rPr>
          <w:szCs w:val="24"/>
        </w:rPr>
        <w:t>Q.</w:t>
      </w:r>
      <w:r w:rsidRPr="0096592F">
        <w:rPr>
          <w:szCs w:val="24"/>
        </w:rPr>
        <w:tab/>
      </w:r>
      <w:r>
        <w:rPr>
          <w:szCs w:val="24"/>
        </w:rPr>
        <w:t>Do you agree with Staff’s concerns about PSE’s use of service partners to fulfill certain portions of the service to its customers?</w:t>
      </w:r>
    </w:p>
    <w:p w:rsidR="00630DE1" w:rsidRDefault="00630DE1" w:rsidP="00630DE1">
      <w:pPr>
        <w:pStyle w:val="answer"/>
        <w:rPr>
          <w:rFonts w:ascii="Times New Roman" w:hAnsi="Times New Roman"/>
          <w:szCs w:val="24"/>
        </w:rPr>
      </w:pPr>
      <w:r w:rsidRPr="0096592F">
        <w:rPr>
          <w:rFonts w:ascii="Times New Roman" w:hAnsi="Times New Roman"/>
          <w:szCs w:val="24"/>
        </w:rPr>
        <w:t>A.</w:t>
      </w:r>
      <w:r w:rsidRPr="0096592F">
        <w:rPr>
          <w:rFonts w:ascii="Times New Roman" w:hAnsi="Times New Roman"/>
          <w:szCs w:val="24"/>
        </w:rPr>
        <w:tab/>
      </w:r>
      <w:r>
        <w:rPr>
          <w:rFonts w:ascii="Times New Roman" w:hAnsi="Times New Roman"/>
          <w:szCs w:val="24"/>
        </w:rPr>
        <w:t>No</w:t>
      </w:r>
      <w:r w:rsidRPr="0096592F">
        <w:rPr>
          <w:rFonts w:ascii="Times New Roman" w:hAnsi="Times New Roman"/>
          <w:szCs w:val="24"/>
        </w:rPr>
        <w:t>.</w:t>
      </w:r>
      <w:r>
        <w:rPr>
          <w:rFonts w:ascii="Times New Roman" w:hAnsi="Times New Roman"/>
          <w:szCs w:val="24"/>
        </w:rPr>
        <w:t xml:space="preserve"> </w:t>
      </w:r>
      <w:r w:rsidR="004D2A57">
        <w:rPr>
          <w:rFonts w:ascii="Times New Roman" w:hAnsi="Times New Roman"/>
          <w:szCs w:val="24"/>
        </w:rPr>
        <w:t xml:space="preserve"> </w:t>
      </w:r>
      <w:r>
        <w:rPr>
          <w:rFonts w:ascii="Times New Roman" w:hAnsi="Times New Roman"/>
          <w:szCs w:val="24"/>
        </w:rPr>
        <w:t xml:space="preserve">As Staff is aware, PSE routinely works with service providers in various areas of its business, such as, but not limited to: construction services; vegetation management services; outage restoration services; attachment services; conservation program implementation services; and demand response services. All of these service providers are not regulated by the Commission, </w:t>
      </w:r>
      <w:r w:rsidR="00F24551">
        <w:rPr>
          <w:rFonts w:ascii="Times New Roman" w:hAnsi="Times New Roman"/>
          <w:szCs w:val="24"/>
        </w:rPr>
        <w:t xml:space="preserve">yet </w:t>
      </w:r>
      <w:r>
        <w:rPr>
          <w:rFonts w:ascii="Times New Roman" w:hAnsi="Times New Roman"/>
          <w:szCs w:val="24"/>
        </w:rPr>
        <w:t>PSE remains responsible for the service providers’ actions and for the customer-facing transactions.  The Commission has a process in place to handle any complaint resulting from these processes</w:t>
      </w:r>
      <w:r w:rsidR="0097778E">
        <w:rPr>
          <w:rFonts w:ascii="Times New Roman" w:hAnsi="Times New Roman"/>
          <w:szCs w:val="24"/>
        </w:rPr>
        <w:t xml:space="preserve"> ─ </w:t>
      </w:r>
      <w:r>
        <w:rPr>
          <w:rFonts w:ascii="Times New Roman" w:hAnsi="Times New Roman"/>
          <w:szCs w:val="24"/>
        </w:rPr>
        <w:t xml:space="preserve">whether they are services provided directly by PSE or provided by a service provider. </w:t>
      </w:r>
      <w:r w:rsidR="0097778E">
        <w:rPr>
          <w:rFonts w:ascii="Times New Roman" w:hAnsi="Times New Roman"/>
          <w:szCs w:val="24"/>
        </w:rPr>
        <w:t xml:space="preserve"> </w:t>
      </w:r>
      <w:r>
        <w:rPr>
          <w:rFonts w:ascii="Times New Roman" w:hAnsi="Times New Roman"/>
          <w:szCs w:val="24"/>
        </w:rPr>
        <w:t xml:space="preserve">Therefore, it will not be difficult for the </w:t>
      </w:r>
      <w:r>
        <w:rPr>
          <w:rFonts w:ascii="Times New Roman" w:hAnsi="Times New Roman"/>
          <w:szCs w:val="24"/>
        </w:rPr>
        <w:lastRenderedPageBreak/>
        <w:t>Commission’s Consumer Protection Staff to appropriately monitor PSE’s leasing service and respond to consumer complaints, should they arise.</w:t>
      </w:r>
    </w:p>
    <w:p w:rsidR="00630DE1" w:rsidRPr="0096592F" w:rsidRDefault="00630DE1" w:rsidP="00630DE1">
      <w:pPr>
        <w:pStyle w:val="question"/>
        <w:keepNext/>
        <w:keepLines/>
        <w:spacing w:before="120"/>
        <w:rPr>
          <w:szCs w:val="24"/>
        </w:rPr>
      </w:pPr>
      <w:r w:rsidRPr="0096592F">
        <w:rPr>
          <w:szCs w:val="24"/>
        </w:rPr>
        <w:t>Q.</w:t>
      </w:r>
      <w:r w:rsidRPr="0096592F">
        <w:rPr>
          <w:szCs w:val="24"/>
        </w:rPr>
        <w:tab/>
      </w:r>
      <w:r>
        <w:rPr>
          <w:szCs w:val="24"/>
        </w:rPr>
        <w:t>Staff hypothesizes that customers may view PSE’s leasing program as “exploiting its knowledge of utility customers to extract profits for its investors.”  How do you respond to Staff’s testimony purportedly seeking to “protect ratepayers from such exploitation”</w:t>
      </w:r>
      <w:r w:rsidRPr="0096592F">
        <w:rPr>
          <w:szCs w:val="24"/>
        </w:rPr>
        <w:t>?</w:t>
      </w:r>
    </w:p>
    <w:p w:rsidR="00630DE1" w:rsidRDefault="00630DE1" w:rsidP="00630DE1">
      <w:pPr>
        <w:pStyle w:val="answer"/>
        <w:rPr>
          <w:rFonts w:ascii="Times New Roman" w:hAnsi="Times New Roman"/>
          <w:szCs w:val="24"/>
        </w:rPr>
      </w:pPr>
      <w:r w:rsidRPr="0096592F">
        <w:rPr>
          <w:rFonts w:ascii="Times New Roman" w:hAnsi="Times New Roman"/>
          <w:szCs w:val="24"/>
        </w:rPr>
        <w:t>A.</w:t>
      </w:r>
      <w:r w:rsidRPr="0096592F">
        <w:rPr>
          <w:rFonts w:ascii="Times New Roman" w:hAnsi="Times New Roman"/>
          <w:szCs w:val="24"/>
        </w:rPr>
        <w:tab/>
      </w:r>
      <w:r>
        <w:rPr>
          <w:rFonts w:ascii="Times New Roman" w:hAnsi="Times New Roman"/>
          <w:szCs w:val="24"/>
        </w:rPr>
        <w:t xml:space="preserve">I find this hypothetical baseless, and Staff’s language inappropriate.  First, as discussed in the testimony of Mr. McCulloch, customers contact PSE on a regular basis inquiring about leasing water heaters and HVAC equipment.  There is a demand for this service that has been documented through surveys, through the historical and continued interest in the legacy rental program, and through continued customer inquiries.  Every single day over </w:t>
      </w:r>
      <w:r w:rsidR="00F24551">
        <w:rPr>
          <w:rFonts w:ascii="Times New Roman" w:hAnsi="Times New Roman"/>
          <w:szCs w:val="24"/>
        </w:rPr>
        <w:t>33</w:t>
      </w:r>
      <w:r>
        <w:rPr>
          <w:rFonts w:ascii="Times New Roman" w:hAnsi="Times New Roman"/>
          <w:szCs w:val="24"/>
        </w:rPr>
        <w:t xml:space="preserve">,000 </w:t>
      </w:r>
      <w:r w:rsidR="00F24551">
        <w:rPr>
          <w:rFonts w:ascii="Times New Roman" w:hAnsi="Times New Roman"/>
          <w:szCs w:val="24"/>
        </w:rPr>
        <w:t xml:space="preserve">existing rental </w:t>
      </w:r>
      <w:r>
        <w:rPr>
          <w:rFonts w:ascii="Times New Roman" w:hAnsi="Times New Roman"/>
          <w:szCs w:val="24"/>
        </w:rPr>
        <w:t xml:space="preserve">customers make a decision to continue taking this service. PSE is not exploiting customers by trying to be receptive to a need that customers have expressed.  </w:t>
      </w:r>
    </w:p>
    <w:p w:rsidR="00630DE1" w:rsidRDefault="00630DE1" w:rsidP="00630DE1">
      <w:pPr>
        <w:pStyle w:val="answer"/>
        <w:rPr>
          <w:rFonts w:ascii="Times New Roman" w:hAnsi="Times New Roman"/>
          <w:szCs w:val="24"/>
        </w:rPr>
      </w:pPr>
      <w:r>
        <w:rPr>
          <w:rFonts w:ascii="Times New Roman" w:hAnsi="Times New Roman"/>
          <w:szCs w:val="24"/>
        </w:rPr>
        <w:tab/>
        <w:t>Second, Staff seems to imply there is some improper motive if PSE</w:t>
      </w:r>
      <w:r w:rsidR="0097778E">
        <w:rPr>
          <w:rFonts w:ascii="Times New Roman" w:hAnsi="Times New Roman"/>
          <w:szCs w:val="24"/>
        </w:rPr>
        <w:t xml:space="preserve"> ─</w:t>
      </w:r>
      <w:r w:rsidR="00C61481">
        <w:rPr>
          <w:rFonts w:ascii="Times New Roman" w:hAnsi="Times New Roman"/>
          <w:szCs w:val="24"/>
        </w:rPr>
        <w:t xml:space="preserve"> </w:t>
      </w:r>
      <w:r>
        <w:rPr>
          <w:rFonts w:ascii="Times New Roman" w:hAnsi="Times New Roman"/>
          <w:szCs w:val="24"/>
        </w:rPr>
        <w:t>a privately owned business</w:t>
      </w:r>
      <w:r w:rsidR="0097778E">
        <w:rPr>
          <w:rFonts w:ascii="Times New Roman" w:hAnsi="Times New Roman"/>
          <w:szCs w:val="24"/>
        </w:rPr>
        <w:t xml:space="preserve"> ─</w:t>
      </w:r>
      <w:r>
        <w:rPr>
          <w:rFonts w:ascii="Times New Roman" w:hAnsi="Times New Roman"/>
          <w:szCs w:val="24"/>
        </w:rPr>
        <w:t xml:space="preserve"> seeks to achieve profits for its investors.  PSE must be provided a fair opportunity to recover its costs and earn its Commission-approved rate of return on capital investments.  Staff’s reference to “extracting profits” and “exploiting” customers is not only inflammatory but it overlooks the Commission’s dual role of protecting consumers while providing regulated companies a chance to earn a fair profit.    </w:t>
      </w:r>
    </w:p>
    <w:p w:rsidR="00630DE1" w:rsidRPr="0096592F" w:rsidRDefault="00630DE1" w:rsidP="00630DE1">
      <w:pPr>
        <w:pStyle w:val="question"/>
        <w:keepNext/>
        <w:keepLines/>
        <w:spacing w:before="120"/>
        <w:rPr>
          <w:szCs w:val="24"/>
        </w:rPr>
      </w:pPr>
      <w:r w:rsidRPr="0096592F">
        <w:rPr>
          <w:szCs w:val="24"/>
        </w:rPr>
        <w:lastRenderedPageBreak/>
        <w:t>Q.</w:t>
      </w:r>
      <w:r w:rsidRPr="0096592F">
        <w:rPr>
          <w:szCs w:val="24"/>
        </w:rPr>
        <w:tab/>
      </w:r>
      <w:r>
        <w:rPr>
          <w:szCs w:val="24"/>
        </w:rPr>
        <w:t xml:space="preserve">How do you respond to Commission Staff’s concern that PSE has made no “commitment to avoid third-party marketers”? </w:t>
      </w:r>
    </w:p>
    <w:p w:rsidR="00630DE1" w:rsidRDefault="00630DE1" w:rsidP="00630DE1">
      <w:pPr>
        <w:pStyle w:val="answer"/>
        <w:rPr>
          <w:rFonts w:ascii="Times New Roman" w:hAnsi="Times New Roman"/>
          <w:szCs w:val="24"/>
        </w:rPr>
      </w:pPr>
      <w:r w:rsidRPr="0096592F">
        <w:rPr>
          <w:rFonts w:ascii="Times New Roman" w:hAnsi="Times New Roman"/>
          <w:szCs w:val="24"/>
        </w:rPr>
        <w:t>A.</w:t>
      </w:r>
      <w:r w:rsidRPr="0096592F">
        <w:rPr>
          <w:rFonts w:ascii="Times New Roman" w:hAnsi="Times New Roman"/>
          <w:szCs w:val="24"/>
        </w:rPr>
        <w:tab/>
      </w:r>
      <w:r>
        <w:rPr>
          <w:rFonts w:ascii="Times New Roman" w:hAnsi="Times New Roman"/>
          <w:szCs w:val="24"/>
        </w:rPr>
        <w:t xml:space="preserve">There are existing rules on how companies may notify and educate their customers regarding Commission-approved tariffed services.  Those rules are contained in WAC 480-90-153 (natural gas service) and WAC 480-100-153 (electric service), and prohibit a utility from disclosing private consumer information to a third party for marketing purposes unless the customer has consented. </w:t>
      </w:r>
      <w:r w:rsidR="00C61481">
        <w:rPr>
          <w:rFonts w:ascii="Times New Roman" w:hAnsi="Times New Roman"/>
          <w:szCs w:val="24"/>
        </w:rPr>
        <w:t xml:space="preserve"> </w:t>
      </w:r>
      <w:r>
        <w:rPr>
          <w:rFonts w:ascii="Times New Roman" w:hAnsi="Times New Roman"/>
          <w:szCs w:val="24"/>
        </w:rPr>
        <w:t>PSE intends to abide by these, and al</w:t>
      </w:r>
      <w:r w:rsidR="00C61481">
        <w:rPr>
          <w:rFonts w:ascii="Times New Roman" w:hAnsi="Times New Roman"/>
          <w:szCs w:val="24"/>
        </w:rPr>
        <w:t xml:space="preserve">l, existing applicable rules.  </w:t>
      </w:r>
    </w:p>
    <w:p w:rsidR="00630DE1" w:rsidRPr="0096592F" w:rsidRDefault="00630DE1" w:rsidP="00630DE1">
      <w:pPr>
        <w:pStyle w:val="question"/>
        <w:keepNext/>
        <w:keepLines/>
        <w:spacing w:before="120"/>
        <w:rPr>
          <w:szCs w:val="24"/>
        </w:rPr>
      </w:pPr>
      <w:r w:rsidRPr="0096592F">
        <w:rPr>
          <w:szCs w:val="24"/>
        </w:rPr>
        <w:t>Q.</w:t>
      </w:r>
      <w:r w:rsidRPr="0096592F">
        <w:rPr>
          <w:szCs w:val="24"/>
        </w:rPr>
        <w:tab/>
      </w:r>
      <w:r>
        <w:rPr>
          <w:szCs w:val="24"/>
        </w:rPr>
        <w:t>How do you respond to Staff’s statement that PSE’s ratepayers ma</w:t>
      </w:r>
      <w:r w:rsidR="00C61481">
        <w:rPr>
          <w:szCs w:val="24"/>
        </w:rPr>
        <w:t>y be exposed to “pressure sales</w:t>
      </w:r>
      <w:r>
        <w:rPr>
          <w:szCs w:val="24"/>
        </w:rPr>
        <w:t>” and “upselling”?</w:t>
      </w:r>
    </w:p>
    <w:p w:rsidR="00630DE1" w:rsidRPr="00C61481" w:rsidRDefault="00630DE1" w:rsidP="00C61481">
      <w:pPr>
        <w:pStyle w:val="answer"/>
      </w:pPr>
      <w:r w:rsidRPr="0096592F">
        <w:rPr>
          <w:rFonts w:ascii="Times New Roman" w:hAnsi="Times New Roman"/>
          <w:szCs w:val="24"/>
        </w:rPr>
        <w:t>A.</w:t>
      </w:r>
      <w:r w:rsidRPr="0096592F">
        <w:rPr>
          <w:rFonts w:ascii="Times New Roman" w:hAnsi="Times New Roman"/>
          <w:szCs w:val="24"/>
        </w:rPr>
        <w:tab/>
      </w:r>
      <w:r>
        <w:rPr>
          <w:rFonts w:ascii="Times New Roman" w:hAnsi="Times New Roman"/>
          <w:szCs w:val="24"/>
        </w:rPr>
        <w:t xml:space="preserve">Again, Staff engages in unsupported hypothetical allegations.  As previously stated, PSE intends to abide by the Commission rules and will not pressure customers to lease equipment they do not want or they determine that they cannot afford. </w:t>
      </w:r>
      <w:r w:rsidR="0050668A">
        <w:rPr>
          <w:rFonts w:ascii="Times New Roman" w:hAnsi="Times New Roman"/>
          <w:szCs w:val="24"/>
        </w:rPr>
        <w:t xml:space="preserve"> </w:t>
      </w:r>
      <w:r w:rsidR="00CE6E2D">
        <w:rPr>
          <w:rFonts w:ascii="Times New Roman" w:hAnsi="Times New Roman"/>
          <w:szCs w:val="24"/>
        </w:rPr>
        <w:t>PSE will present the options contain</w:t>
      </w:r>
      <w:r w:rsidR="0050668A">
        <w:rPr>
          <w:rFonts w:ascii="Times New Roman" w:hAnsi="Times New Roman"/>
          <w:szCs w:val="24"/>
        </w:rPr>
        <w:t>ed</w:t>
      </w:r>
      <w:r w:rsidR="00CE6E2D">
        <w:rPr>
          <w:rFonts w:ascii="Times New Roman" w:hAnsi="Times New Roman"/>
          <w:szCs w:val="24"/>
        </w:rPr>
        <w:t xml:space="preserve"> in Lease Solutions and will educate customers on the benef</w:t>
      </w:r>
      <w:r w:rsidR="00C61481">
        <w:rPr>
          <w:rFonts w:ascii="Times New Roman" w:hAnsi="Times New Roman"/>
          <w:szCs w:val="24"/>
        </w:rPr>
        <w:t>its of each lease option</w:t>
      </w:r>
      <w:r w:rsidR="00CE6E2D">
        <w:rPr>
          <w:rFonts w:ascii="Times New Roman" w:hAnsi="Times New Roman"/>
          <w:szCs w:val="24"/>
        </w:rPr>
        <w:t xml:space="preserve">. </w:t>
      </w:r>
      <w:r w:rsidR="0050668A" w:rsidRPr="0050668A">
        <w:rPr>
          <w:rFonts w:ascii="Times New Roman" w:hAnsi="Times New Roman"/>
          <w:szCs w:val="24"/>
        </w:rPr>
        <w:t xml:space="preserve"> </w:t>
      </w:r>
      <w:r w:rsidR="00122B24">
        <w:rPr>
          <w:rFonts w:ascii="Times New Roman" w:hAnsi="Times New Roman"/>
          <w:szCs w:val="24"/>
        </w:rPr>
        <w:t xml:space="preserve">Additionally, </w:t>
      </w:r>
      <w:r w:rsidR="00122B24">
        <w:t>when</w:t>
      </w:r>
      <w:r w:rsidR="00122B24" w:rsidRPr="00122B24">
        <w:t xml:space="preserve"> responding to customer queries regarding equipment offered as part of Lease Solutions, PSE will provide information relating to alternatives to leasing.</w:t>
      </w:r>
      <w:r w:rsidR="00C61481">
        <w:t xml:space="preserve">  </w:t>
      </w:r>
      <w:r>
        <w:rPr>
          <w:rFonts w:ascii="Times New Roman" w:hAnsi="Times New Roman"/>
          <w:szCs w:val="24"/>
        </w:rPr>
        <w:t xml:space="preserve">Moreover, the view that PSE would “upsell” is baseless and incorrect because PSE will only be able to provide service for product-types that are contained in the Commission-approved tariff schedules at the prices that have been approved by the Commission. </w:t>
      </w:r>
    </w:p>
    <w:p w:rsidR="00630DE1" w:rsidRPr="0096592F" w:rsidRDefault="00630DE1" w:rsidP="00630DE1">
      <w:pPr>
        <w:pStyle w:val="question"/>
        <w:keepNext/>
        <w:keepLines/>
        <w:spacing w:before="120"/>
        <w:rPr>
          <w:szCs w:val="24"/>
        </w:rPr>
      </w:pPr>
      <w:r w:rsidRPr="0096592F">
        <w:rPr>
          <w:szCs w:val="24"/>
        </w:rPr>
        <w:lastRenderedPageBreak/>
        <w:t>Q.</w:t>
      </w:r>
      <w:r w:rsidRPr="0096592F">
        <w:rPr>
          <w:szCs w:val="24"/>
        </w:rPr>
        <w:tab/>
      </w:r>
      <w:r>
        <w:rPr>
          <w:szCs w:val="24"/>
        </w:rPr>
        <w:t>How do you respond to Staff’s assertions that there are no “plans” in place to handle customer complaints?</w:t>
      </w:r>
    </w:p>
    <w:p w:rsidR="00630DE1" w:rsidRDefault="00630DE1" w:rsidP="00630DE1">
      <w:pPr>
        <w:pStyle w:val="answer"/>
        <w:rPr>
          <w:rFonts w:ascii="Times New Roman" w:hAnsi="Times New Roman"/>
          <w:szCs w:val="24"/>
        </w:rPr>
      </w:pPr>
      <w:r w:rsidRPr="0096592F">
        <w:rPr>
          <w:rFonts w:ascii="Times New Roman" w:hAnsi="Times New Roman"/>
          <w:szCs w:val="24"/>
        </w:rPr>
        <w:t>A.</w:t>
      </w:r>
      <w:r w:rsidRPr="0096592F">
        <w:rPr>
          <w:rFonts w:ascii="Times New Roman" w:hAnsi="Times New Roman"/>
          <w:szCs w:val="24"/>
        </w:rPr>
        <w:tab/>
      </w:r>
      <w:r>
        <w:rPr>
          <w:rFonts w:ascii="Times New Roman" w:hAnsi="Times New Roman"/>
          <w:szCs w:val="24"/>
        </w:rPr>
        <w:t xml:space="preserve">PSE did not file extensive testimony addressing how customer disputes would be handled because there are existing rules that address the customer complaint process.  The same process that the Commission has in place for handling customer complaints for the existing services would apply to </w:t>
      </w:r>
      <w:r w:rsidR="0050668A">
        <w:rPr>
          <w:rFonts w:ascii="Times New Roman" w:hAnsi="Times New Roman"/>
          <w:szCs w:val="24"/>
        </w:rPr>
        <w:t>Lease Solutions</w:t>
      </w:r>
      <w:r>
        <w:rPr>
          <w:rFonts w:ascii="Times New Roman" w:hAnsi="Times New Roman"/>
          <w:szCs w:val="24"/>
        </w:rPr>
        <w:t xml:space="preserve">. </w:t>
      </w:r>
      <w:r w:rsidR="00C61481">
        <w:rPr>
          <w:rFonts w:ascii="Times New Roman" w:hAnsi="Times New Roman"/>
          <w:szCs w:val="24"/>
        </w:rPr>
        <w:t xml:space="preserve"> </w:t>
      </w:r>
      <w:r>
        <w:rPr>
          <w:rFonts w:ascii="Times New Roman" w:hAnsi="Times New Roman"/>
          <w:szCs w:val="24"/>
        </w:rPr>
        <w:t>WAC 480-90-173 and WAC 480-100-173 require companies to investigate complaints and address customer disputes in a timely manner. The Company is not shifting a new responsibility to the Commission’s consumer protection division.  The consumer protection division is already handling complaints from utility customers, when they arise.</w:t>
      </w:r>
    </w:p>
    <w:p w:rsidR="00630DE1" w:rsidRPr="0096592F" w:rsidRDefault="00630DE1" w:rsidP="00630DE1">
      <w:pPr>
        <w:pStyle w:val="question"/>
        <w:keepNext/>
        <w:keepLines/>
        <w:spacing w:before="120"/>
        <w:rPr>
          <w:szCs w:val="24"/>
        </w:rPr>
      </w:pPr>
      <w:r w:rsidRPr="0096592F">
        <w:rPr>
          <w:szCs w:val="24"/>
        </w:rPr>
        <w:t>Q.</w:t>
      </w:r>
      <w:r w:rsidRPr="0096592F">
        <w:rPr>
          <w:szCs w:val="24"/>
        </w:rPr>
        <w:tab/>
      </w:r>
      <w:r>
        <w:rPr>
          <w:szCs w:val="24"/>
        </w:rPr>
        <w:t>Are there really ten different cost components listed in PSE’s tariff schedules?</w:t>
      </w:r>
    </w:p>
    <w:p w:rsidR="00630DE1" w:rsidRDefault="00630DE1" w:rsidP="00630DE1">
      <w:pPr>
        <w:pStyle w:val="answer"/>
        <w:rPr>
          <w:rFonts w:ascii="Times New Roman" w:hAnsi="Times New Roman"/>
          <w:szCs w:val="24"/>
        </w:rPr>
      </w:pPr>
      <w:r w:rsidRPr="0096592F">
        <w:rPr>
          <w:rFonts w:ascii="Times New Roman" w:hAnsi="Times New Roman"/>
          <w:szCs w:val="24"/>
        </w:rPr>
        <w:t>A.</w:t>
      </w:r>
      <w:r w:rsidRPr="0096592F">
        <w:rPr>
          <w:rFonts w:ascii="Times New Roman" w:hAnsi="Times New Roman"/>
          <w:szCs w:val="24"/>
        </w:rPr>
        <w:tab/>
      </w:r>
      <w:r>
        <w:rPr>
          <w:rFonts w:ascii="Times New Roman" w:hAnsi="Times New Roman"/>
          <w:szCs w:val="24"/>
        </w:rPr>
        <w:t xml:space="preserve">Absolutely not. The current tariff schedules on file with the Commission contain only one price for each type of service. Mr. Roberts </w:t>
      </w:r>
      <w:r w:rsidR="00736F40">
        <w:rPr>
          <w:rFonts w:ascii="Times New Roman" w:hAnsi="Times New Roman"/>
          <w:szCs w:val="24"/>
        </w:rPr>
        <w:t>may be</w:t>
      </w:r>
      <w:r>
        <w:rPr>
          <w:rFonts w:ascii="Times New Roman" w:hAnsi="Times New Roman"/>
          <w:szCs w:val="24"/>
        </w:rPr>
        <w:t xml:space="preserve"> confused by the initially filed Attachment B, which was removed with the substitute filing on February 17, 2016</w:t>
      </w:r>
      <w:r w:rsidR="00494FC1">
        <w:rPr>
          <w:rFonts w:ascii="Times New Roman" w:hAnsi="Times New Roman"/>
          <w:szCs w:val="24"/>
        </w:rPr>
        <w:t>.</w:t>
      </w:r>
      <w:r>
        <w:rPr>
          <w:rStyle w:val="FootnoteReference"/>
          <w:rFonts w:ascii="Times New Roman" w:hAnsi="Times New Roman"/>
          <w:szCs w:val="24"/>
        </w:rPr>
        <w:footnoteReference w:id="1"/>
      </w:r>
      <w:r>
        <w:rPr>
          <w:rFonts w:ascii="Times New Roman" w:hAnsi="Times New Roman"/>
          <w:szCs w:val="24"/>
        </w:rPr>
        <w:t xml:space="preserve">  </w:t>
      </w:r>
    </w:p>
    <w:p w:rsidR="00630DE1" w:rsidRPr="0096592F" w:rsidRDefault="00630DE1" w:rsidP="00630DE1">
      <w:pPr>
        <w:pStyle w:val="question"/>
        <w:keepNext/>
        <w:keepLines/>
        <w:spacing w:before="120"/>
        <w:rPr>
          <w:szCs w:val="24"/>
        </w:rPr>
      </w:pPr>
      <w:r w:rsidRPr="0096592F">
        <w:rPr>
          <w:szCs w:val="24"/>
        </w:rPr>
        <w:lastRenderedPageBreak/>
        <w:t>Q.</w:t>
      </w:r>
      <w:r w:rsidRPr="0096592F">
        <w:rPr>
          <w:szCs w:val="24"/>
        </w:rPr>
        <w:tab/>
      </w:r>
      <w:r>
        <w:rPr>
          <w:szCs w:val="24"/>
        </w:rPr>
        <w:t>Please address the concerns raised by Staff witness Roberts regarding how late fees are assessed on current customers bills.</w:t>
      </w:r>
    </w:p>
    <w:p w:rsidR="005F3018" w:rsidRPr="00681EE5" w:rsidRDefault="00630DE1" w:rsidP="005F3018">
      <w:pPr>
        <w:pStyle w:val="answer"/>
        <w:rPr>
          <w:rFonts w:ascii="Times New Roman" w:hAnsi="Times New Roman"/>
        </w:rPr>
      </w:pPr>
      <w:r w:rsidRPr="00681EE5">
        <w:rPr>
          <w:rFonts w:ascii="Times New Roman" w:hAnsi="Times New Roman"/>
        </w:rPr>
        <w:t>A.</w:t>
      </w:r>
      <w:r w:rsidRPr="00681EE5">
        <w:rPr>
          <w:rFonts w:ascii="Times New Roman" w:hAnsi="Times New Roman"/>
        </w:rPr>
        <w:tab/>
        <w:t xml:space="preserve">As noted in the tariff schedules, the late fees would be applied consistent with existing tariff terms.  On Sheet no. 75-G, the tariff schedule states: </w:t>
      </w:r>
      <w:r w:rsidR="00494FC1" w:rsidRPr="00681EE5">
        <w:rPr>
          <w:rFonts w:ascii="Times New Roman" w:hAnsi="Times New Roman"/>
        </w:rPr>
        <w:t xml:space="preserve"> </w:t>
      </w:r>
      <w:r w:rsidRPr="00681EE5">
        <w:rPr>
          <w:rFonts w:ascii="Times New Roman" w:hAnsi="Times New Roman"/>
        </w:rPr>
        <w:t xml:space="preserve">“If the monthly lease payment is not received when due, PSE reserves the right to assess the Customer a late fee as approved by the WUTC.” </w:t>
      </w:r>
      <w:r w:rsidR="00494FC1" w:rsidRPr="00681EE5">
        <w:rPr>
          <w:rFonts w:ascii="Times New Roman" w:hAnsi="Times New Roman"/>
        </w:rPr>
        <w:t xml:space="preserve"> </w:t>
      </w:r>
      <w:r w:rsidRPr="00681EE5">
        <w:rPr>
          <w:rFonts w:ascii="Times New Roman" w:hAnsi="Times New Roman"/>
        </w:rPr>
        <w:t xml:space="preserve">The currently Commission-approved Late Payment Fee is contained </w:t>
      </w:r>
      <w:r w:rsidR="005F3018">
        <w:rPr>
          <w:rFonts w:ascii="Times New Roman" w:hAnsi="Times New Roman"/>
        </w:rPr>
        <w:t xml:space="preserve">in </w:t>
      </w:r>
      <w:r w:rsidRPr="00681EE5">
        <w:rPr>
          <w:rFonts w:ascii="Times New Roman" w:hAnsi="Times New Roman"/>
        </w:rPr>
        <w:t>Schedule 80 of PSE’s Electric Tariff, on Sheet No. 80-Z.1, it states:</w:t>
      </w:r>
      <w:r w:rsidR="00494FC1" w:rsidRPr="00681EE5">
        <w:rPr>
          <w:rFonts w:ascii="Times New Roman" w:hAnsi="Times New Roman"/>
        </w:rPr>
        <w:t xml:space="preserve"> </w:t>
      </w:r>
      <w:r w:rsidRPr="00681EE5">
        <w:rPr>
          <w:rFonts w:ascii="Times New Roman" w:hAnsi="Times New Roman"/>
        </w:rPr>
        <w:t xml:space="preserve"> </w:t>
      </w:r>
    </w:p>
    <w:p w:rsidR="00630DE1" w:rsidRDefault="00630DE1" w:rsidP="00681EE5">
      <w:pPr>
        <w:pStyle w:val="NormalIndent"/>
      </w:pPr>
      <w:r>
        <w:t xml:space="preserve">LATE PAYMENT FEE:  </w:t>
      </w:r>
      <w:r w:rsidRPr="005058F7">
        <w:t xml:space="preserve">A late payment fee of 1% per month will be assessed on all balances which remain unpaid more than 10 business days after the statement due date and will be added to the Customer’s billing statement at the next subsequent billing date, provided that a late payment fee will not be assessed sooner than 30 calendar days after the bill mailing date.  </w:t>
      </w:r>
    </w:p>
    <w:p w:rsidR="007D02CE" w:rsidRPr="007D02CE" w:rsidRDefault="007D02CE" w:rsidP="007D02CE">
      <w:pPr>
        <w:keepNext/>
        <w:keepLines/>
        <w:spacing w:before="120" w:after="120" w:line="480" w:lineRule="auto"/>
        <w:ind w:left="720" w:hanging="720"/>
        <w:rPr>
          <w:rFonts w:eastAsia="SimSun"/>
          <w:b/>
          <w:lang w:eastAsia="zh-CN"/>
        </w:rPr>
      </w:pPr>
      <w:r w:rsidRPr="007D02CE">
        <w:rPr>
          <w:rFonts w:eastAsia="SimSun"/>
          <w:b/>
          <w:lang w:eastAsia="zh-CN"/>
        </w:rPr>
        <w:t>Q.</w:t>
      </w:r>
      <w:r w:rsidRPr="007D02CE">
        <w:rPr>
          <w:rFonts w:eastAsia="SimSun"/>
          <w:b/>
          <w:lang w:eastAsia="zh-CN"/>
        </w:rPr>
        <w:tab/>
        <w:t xml:space="preserve">Do the current Commission rules provide adequate guidance about how to address delinquent </w:t>
      </w:r>
      <w:r>
        <w:rPr>
          <w:rFonts w:eastAsia="SimSun"/>
          <w:b/>
          <w:lang w:eastAsia="zh-CN"/>
        </w:rPr>
        <w:t>or</w:t>
      </w:r>
      <w:r w:rsidRPr="007D02CE">
        <w:rPr>
          <w:rFonts w:eastAsia="SimSun"/>
          <w:b/>
          <w:lang w:eastAsia="zh-CN"/>
        </w:rPr>
        <w:t xml:space="preserve"> partial payments?</w:t>
      </w:r>
    </w:p>
    <w:p w:rsidR="007D02CE" w:rsidRPr="007D02CE" w:rsidRDefault="007D02CE" w:rsidP="007D02CE">
      <w:pPr>
        <w:spacing w:before="120" w:after="120" w:line="480" w:lineRule="auto"/>
        <w:ind w:left="720" w:hanging="720"/>
        <w:rPr>
          <w:rFonts w:eastAsia="SimSun"/>
          <w:lang w:eastAsia="zh-CN"/>
        </w:rPr>
      </w:pPr>
      <w:r w:rsidRPr="007D02CE">
        <w:rPr>
          <w:rFonts w:eastAsia="SimSun"/>
          <w:lang w:eastAsia="zh-CN"/>
        </w:rPr>
        <w:t>A.</w:t>
      </w:r>
      <w:r w:rsidRPr="007D02CE">
        <w:rPr>
          <w:rFonts w:eastAsia="SimSun"/>
          <w:lang w:eastAsia="zh-CN"/>
        </w:rPr>
        <w:tab/>
        <w:t xml:space="preserve">Yes.  Although Mr. Roberts has attempted to create another issue to which he sees no solution, the Commission actually has several existing rules that provide guidance on how to address this hypothetical situation.  </w:t>
      </w:r>
    </w:p>
    <w:p w:rsidR="007D02CE" w:rsidRPr="007D02CE" w:rsidRDefault="007D02CE" w:rsidP="007D02CE">
      <w:pPr>
        <w:spacing w:before="120" w:after="120" w:line="480" w:lineRule="auto"/>
        <w:ind w:left="720"/>
        <w:rPr>
          <w:rFonts w:eastAsia="SimSun"/>
          <w:lang w:eastAsia="zh-CN"/>
        </w:rPr>
      </w:pPr>
      <w:r w:rsidRPr="007D02CE">
        <w:rPr>
          <w:rFonts w:eastAsia="SimSun"/>
          <w:lang w:eastAsia="zh-CN"/>
        </w:rPr>
        <w:t>First, absent an agreed upon payment arrangement or an ongoing dispute regarding a particular charge, the commission’s existing rules allow the utility to disconnect service</w:t>
      </w:r>
      <w:r>
        <w:rPr>
          <w:rFonts w:eastAsia="SimSun"/>
          <w:lang w:eastAsia="zh-CN"/>
        </w:rPr>
        <w:t>,</w:t>
      </w:r>
      <w:r w:rsidRPr="007D02CE">
        <w:rPr>
          <w:rFonts w:eastAsia="SimSun"/>
          <w:lang w:eastAsia="zh-CN"/>
        </w:rPr>
        <w:t xml:space="preserve"> after appropriate notice</w:t>
      </w:r>
      <w:r>
        <w:rPr>
          <w:rFonts w:eastAsia="SimSun"/>
          <w:lang w:eastAsia="zh-CN"/>
        </w:rPr>
        <w:t>,</w:t>
      </w:r>
      <w:r w:rsidRPr="007D02CE">
        <w:rPr>
          <w:rFonts w:eastAsia="SimSun"/>
          <w:lang w:eastAsia="zh-CN"/>
        </w:rPr>
        <w:t xml:space="preserve"> when accounts are not paid in full</w:t>
      </w:r>
      <w:r>
        <w:rPr>
          <w:rFonts w:eastAsia="SimSun"/>
          <w:lang w:eastAsia="zh-CN"/>
        </w:rPr>
        <w:t>.</w:t>
      </w:r>
      <w:r>
        <w:rPr>
          <w:rStyle w:val="FootnoteReference"/>
          <w:rFonts w:eastAsia="SimSun"/>
          <w:lang w:eastAsia="zh-CN"/>
        </w:rPr>
        <w:footnoteReference w:id="2"/>
      </w:r>
      <w:r>
        <w:rPr>
          <w:rFonts w:eastAsia="SimSun"/>
          <w:lang w:eastAsia="zh-CN"/>
        </w:rPr>
        <w:t xml:space="preserve">  </w:t>
      </w:r>
      <w:r w:rsidRPr="007D02CE">
        <w:rPr>
          <w:rFonts w:eastAsia="SimSun"/>
          <w:lang w:eastAsia="zh-CN"/>
        </w:rPr>
        <w:t xml:space="preserve">Although Mr. Roberts states the commission rules do not address partial </w:t>
      </w:r>
      <w:r w:rsidRPr="007D02CE">
        <w:rPr>
          <w:rFonts w:eastAsia="SimSun"/>
          <w:lang w:eastAsia="zh-CN"/>
        </w:rPr>
        <w:lastRenderedPageBreak/>
        <w:t xml:space="preserve">payments, in fact they do—customer’s bills must be paid in full absent a payment arrangement or in the event they are disputing a particular charge.  These rules currently apply to the </w:t>
      </w:r>
      <w:r w:rsidR="00736F40">
        <w:rPr>
          <w:rFonts w:eastAsia="SimSun"/>
          <w:lang w:eastAsia="zh-CN"/>
        </w:rPr>
        <w:t>existing</w:t>
      </w:r>
      <w:r w:rsidRPr="007D02CE">
        <w:rPr>
          <w:rFonts w:eastAsia="SimSun"/>
          <w:lang w:eastAsia="zh-CN"/>
        </w:rPr>
        <w:t xml:space="preserve"> </w:t>
      </w:r>
      <w:r>
        <w:rPr>
          <w:rFonts w:eastAsia="SimSun"/>
          <w:lang w:eastAsia="zh-CN"/>
        </w:rPr>
        <w:t>rental p</w:t>
      </w:r>
      <w:r w:rsidRPr="007D02CE">
        <w:rPr>
          <w:rFonts w:eastAsia="SimSun"/>
          <w:lang w:eastAsia="zh-CN"/>
        </w:rPr>
        <w:t xml:space="preserve">rogram, and they would apply to Lease Solutions.  </w:t>
      </w:r>
    </w:p>
    <w:p w:rsidR="007D02CE" w:rsidRPr="007D02CE" w:rsidRDefault="007D02CE" w:rsidP="007D02CE">
      <w:pPr>
        <w:spacing w:before="120" w:after="120" w:line="480" w:lineRule="auto"/>
        <w:ind w:left="720"/>
        <w:rPr>
          <w:rFonts w:eastAsia="SimSun"/>
          <w:lang w:eastAsia="zh-CN"/>
        </w:rPr>
      </w:pPr>
      <w:r w:rsidRPr="007D02CE">
        <w:rPr>
          <w:rFonts w:eastAsia="SimSun"/>
          <w:lang w:eastAsia="zh-CN"/>
        </w:rPr>
        <w:t>Second, if the partial payment is the result of the customer disputing a particular charge, the customer is protected from disconnection.  Specifically, WAC 480-90-128(9) and WAC 480-100-128(9) state, “Service may not be disconnected while the customer is pursuing any remedy or appeal provided by these [disconnection] rules or while engaged in discussion with the utility’s representatives or with the commission. Any amounts not in dispute must be paid when due”.</w:t>
      </w:r>
    </w:p>
    <w:p w:rsidR="007D02CE" w:rsidRPr="007D02CE" w:rsidRDefault="007D02CE" w:rsidP="007D02CE">
      <w:pPr>
        <w:spacing w:before="120" w:after="120" w:line="480" w:lineRule="auto"/>
        <w:ind w:left="720"/>
        <w:rPr>
          <w:rFonts w:eastAsia="SimSun"/>
          <w:lang w:eastAsia="zh-CN"/>
        </w:rPr>
      </w:pPr>
      <w:r w:rsidRPr="007D02CE">
        <w:rPr>
          <w:rFonts w:eastAsia="SimSun"/>
          <w:lang w:eastAsia="zh-CN"/>
        </w:rPr>
        <w:t>Therefore, it is fair to assume that if customer</w:t>
      </w:r>
      <w:r>
        <w:rPr>
          <w:rFonts w:eastAsia="SimSun"/>
          <w:lang w:eastAsia="zh-CN"/>
        </w:rPr>
        <w:t>s</w:t>
      </w:r>
      <w:r w:rsidRPr="007D02CE">
        <w:rPr>
          <w:rFonts w:eastAsia="SimSun"/>
          <w:lang w:eastAsia="zh-CN"/>
        </w:rPr>
        <w:t xml:space="preserve"> </w:t>
      </w:r>
      <w:r>
        <w:rPr>
          <w:rFonts w:eastAsia="SimSun"/>
          <w:lang w:eastAsia="zh-CN"/>
        </w:rPr>
        <w:t>have a dispute with respect to</w:t>
      </w:r>
      <w:r w:rsidRPr="007D02CE">
        <w:rPr>
          <w:rFonts w:eastAsia="SimSun"/>
          <w:lang w:eastAsia="zh-CN"/>
        </w:rPr>
        <w:t xml:space="preserve"> an amount </w:t>
      </w:r>
      <w:r>
        <w:rPr>
          <w:rFonts w:eastAsia="SimSun"/>
          <w:lang w:eastAsia="zh-CN"/>
        </w:rPr>
        <w:t xml:space="preserve">owed, </w:t>
      </w:r>
      <w:r w:rsidRPr="007D02CE">
        <w:rPr>
          <w:rFonts w:eastAsia="SimSun"/>
          <w:lang w:eastAsia="zh-CN"/>
        </w:rPr>
        <w:t>or if they need to make payment arrangements</w:t>
      </w:r>
      <w:r>
        <w:rPr>
          <w:rFonts w:eastAsia="SimSun"/>
          <w:lang w:eastAsia="zh-CN"/>
        </w:rPr>
        <w:t>,</w:t>
      </w:r>
      <w:r w:rsidRPr="007D02CE">
        <w:rPr>
          <w:rFonts w:eastAsia="SimSun"/>
          <w:lang w:eastAsia="zh-CN"/>
        </w:rPr>
        <w:t xml:space="preserve"> </w:t>
      </w:r>
      <w:r>
        <w:rPr>
          <w:rFonts w:eastAsia="SimSun"/>
          <w:lang w:eastAsia="zh-CN"/>
        </w:rPr>
        <w:t xml:space="preserve">they </w:t>
      </w:r>
      <w:r w:rsidRPr="007D02CE">
        <w:rPr>
          <w:rFonts w:eastAsia="SimSun"/>
          <w:lang w:eastAsia="zh-CN"/>
        </w:rPr>
        <w:t xml:space="preserve">would contact the </w:t>
      </w:r>
      <w:r>
        <w:rPr>
          <w:rFonts w:eastAsia="SimSun"/>
          <w:lang w:eastAsia="zh-CN"/>
        </w:rPr>
        <w:t>C</w:t>
      </w:r>
      <w:r w:rsidRPr="007D02CE">
        <w:rPr>
          <w:rFonts w:eastAsia="SimSun"/>
          <w:lang w:eastAsia="zh-CN"/>
        </w:rPr>
        <w:t>ompany to do so</w:t>
      </w:r>
      <w:r>
        <w:rPr>
          <w:rFonts w:eastAsia="SimSun"/>
          <w:lang w:eastAsia="zh-CN"/>
        </w:rPr>
        <w:t>,</w:t>
      </w:r>
      <w:r w:rsidRPr="007D02CE">
        <w:rPr>
          <w:rFonts w:eastAsia="SimSun"/>
          <w:lang w:eastAsia="zh-CN"/>
        </w:rPr>
        <w:t xml:space="preserve"> and the issue of a partial payment resulting in disconnection of service would be moot.  </w:t>
      </w:r>
    </w:p>
    <w:p w:rsidR="007D02CE" w:rsidRPr="007D02CE" w:rsidRDefault="007D02CE" w:rsidP="007D02CE">
      <w:pPr>
        <w:spacing w:before="120" w:after="120" w:line="480" w:lineRule="auto"/>
        <w:ind w:left="720"/>
        <w:rPr>
          <w:rFonts w:ascii="CG Times (WN)" w:eastAsia="SimSun" w:hAnsi="CG Times (WN)"/>
          <w:szCs w:val="20"/>
          <w:lang w:eastAsia="zh-CN"/>
        </w:rPr>
      </w:pPr>
      <w:r w:rsidRPr="007D02CE">
        <w:rPr>
          <w:rFonts w:eastAsia="SimSun"/>
          <w:lang w:eastAsia="zh-CN"/>
        </w:rPr>
        <w:t xml:space="preserve">Finally, </w:t>
      </w:r>
      <w:r w:rsidRPr="007D02CE">
        <w:rPr>
          <w:rFonts w:ascii="CG Times (WN)" w:eastAsia="SimSun" w:hAnsi="CG Times (WN)"/>
          <w:szCs w:val="20"/>
          <w:lang w:eastAsia="zh-CN"/>
        </w:rPr>
        <w:t xml:space="preserve"> PSE’s proposed Schedule 75 provides flexibility and provides other alternative options to disconnection when the customer is delinquent.  As noted in PSE Response to WUTC Staff Data Request No. 070, PSE has indicated that it is amenable to a separate dunning process for equipment leasing services in a manner consistent with </w:t>
      </w:r>
      <w:r>
        <w:rPr>
          <w:rFonts w:ascii="CG Times (WN)" w:eastAsia="SimSun" w:hAnsi="CG Times (WN)"/>
          <w:szCs w:val="20"/>
          <w:lang w:eastAsia="zh-CN"/>
        </w:rPr>
        <w:t>the Commission rules</w:t>
      </w:r>
      <w:r w:rsidRPr="007D02CE">
        <w:rPr>
          <w:rFonts w:ascii="CG Times (WN)" w:eastAsia="SimSun" w:hAnsi="CG Times (WN)"/>
          <w:szCs w:val="20"/>
          <w:lang w:eastAsia="zh-CN"/>
        </w:rPr>
        <w:t>.  Even though there is no actual problem here, PSE has offered additional “solutions.”</w:t>
      </w:r>
    </w:p>
    <w:p w:rsidR="00630DE1" w:rsidRPr="0096592F" w:rsidRDefault="00630DE1" w:rsidP="00630DE1">
      <w:pPr>
        <w:pStyle w:val="question"/>
        <w:keepNext/>
        <w:keepLines/>
        <w:spacing w:before="120"/>
        <w:rPr>
          <w:szCs w:val="24"/>
        </w:rPr>
      </w:pPr>
      <w:r w:rsidRPr="0096592F">
        <w:rPr>
          <w:szCs w:val="24"/>
        </w:rPr>
        <w:lastRenderedPageBreak/>
        <w:t>Q.</w:t>
      </w:r>
      <w:r w:rsidRPr="0096592F">
        <w:rPr>
          <w:szCs w:val="24"/>
        </w:rPr>
        <w:tab/>
      </w:r>
      <w:r>
        <w:rPr>
          <w:szCs w:val="24"/>
        </w:rPr>
        <w:t>Is the tariff schedule language regarding Default and Remedies on Sheet 75-T consistent with Commission rules?</w:t>
      </w:r>
    </w:p>
    <w:p w:rsidR="00630DE1" w:rsidRDefault="00630DE1" w:rsidP="00630DE1">
      <w:pPr>
        <w:pStyle w:val="answer"/>
        <w:rPr>
          <w:rFonts w:ascii="Times New Roman" w:hAnsi="Times New Roman"/>
          <w:szCs w:val="24"/>
        </w:rPr>
      </w:pPr>
      <w:r w:rsidRPr="0096592F">
        <w:rPr>
          <w:rFonts w:ascii="Times New Roman" w:hAnsi="Times New Roman"/>
          <w:szCs w:val="24"/>
        </w:rPr>
        <w:t>A.</w:t>
      </w:r>
      <w:r w:rsidRPr="0096592F">
        <w:rPr>
          <w:rFonts w:ascii="Times New Roman" w:hAnsi="Times New Roman"/>
          <w:szCs w:val="24"/>
        </w:rPr>
        <w:tab/>
        <w:t>Yes.</w:t>
      </w:r>
      <w:r>
        <w:rPr>
          <w:rFonts w:ascii="Times New Roman" w:hAnsi="Times New Roman"/>
          <w:szCs w:val="24"/>
        </w:rPr>
        <w:t xml:space="preserve"> </w:t>
      </w:r>
      <w:r w:rsidR="00C44025">
        <w:rPr>
          <w:rFonts w:ascii="Times New Roman" w:hAnsi="Times New Roman"/>
          <w:szCs w:val="24"/>
        </w:rPr>
        <w:t xml:space="preserve"> </w:t>
      </w:r>
      <w:r>
        <w:rPr>
          <w:rFonts w:ascii="Times New Roman" w:hAnsi="Times New Roman"/>
          <w:szCs w:val="24"/>
        </w:rPr>
        <w:t>The current language in the tariff schedules meet</w:t>
      </w:r>
      <w:r w:rsidR="00736F40">
        <w:rPr>
          <w:rFonts w:ascii="Times New Roman" w:hAnsi="Times New Roman"/>
          <w:szCs w:val="24"/>
        </w:rPr>
        <w:t>s</w:t>
      </w:r>
      <w:r>
        <w:rPr>
          <w:rFonts w:ascii="Times New Roman" w:hAnsi="Times New Roman"/>
          <w:szCs w:val="24"/>
        </w:rPr>
        <w:t xml:space="preserve"> the requirements of both WAC 480-90-178(2) and WAC 480-100-178(2).  </w:t>
      </w:r>
      <w:r w:rsidR="00C44025">
        <w:rPr>
          <w:rFonts w:ascii="Times New Roman" w:hAnsi="Times New Roman"/>
          <w:szCs w:val="24"/>
        </w:rPr>
        <w:t xml:space="preserve">Under those rules, a customer payment is due fifteen days after mailing if the mailing comes from Washington, Oregon, or Idaho, or eighteen days if the mailing comes from another state.  On Sheet 75-T, PSE is providing customers </w:t>
      </w:r>
      <w:r w:rsidR="00C44025" w:rsidRPr="00DF4138">
        <w:rPr>
          <w:rFonts w:ascii="Times New Roman" w:hAnsi="Times New Roman"/>
          <w:i/>
          <w:szCs w:val="24"/>
        </w:rPr>
        <w:t>thirty</w:t>
      </w:r>
      <w:r w:rsidR="00C44025">
        <w:rPr>
          <w:rFonts w:ascii="Times New Roman" w:hAnsi="Times New Roman"/>
          <w:szCs w:val="24"/>
        </w:rPr>
        <w:t xml:space="preserve"> days to </w:t>
      </w:r>
      <w:r w:rsidR="00DF4138">
        <w:rPr>
          <w:rFonts w:ascii="Times New Roman" w:hAnsi="Times New Roman"/>
          <w:szCs w:val="24"/>
        </w:rPr>
        <w:t>pay.  Thus, Lease Solutions</w:t>
      </w:r>
      <w:r>
        <w:rPr>
          <w:rFonts w:ascii="Times New Roman" w:hAnsi="Times New Roman"/>
          <w:szCs w:val="24"/>
        </w:rPr>
        <w:t xml:space="preserve"> provides even </w:t>
      </w:r>
      <w:r w:rsidRPr="005058F7">
        <w:rPr>
          <w:rFonts w:ascii="Times New Roman" w:hAnsi="Times New Roman"/>
          <w:i/>
          <w:szCs w:val="24"/>
        </w:rPr>
        <w:t>more</w:t>
      </w:r>
      <w:r>
        <w:rPr>
          <w:rFonts w:ascii="Times New Roman" w:hAnsi="Times New Roman"/>
          <w:szCs w:val="24"/>
        </w:rPr>
        <w:t xml:space="preserve"> days </w:t>
      </w:r>
      <w:r w:rsidR="00DF4138">
        <w:rPr>
          <w:rFonts w:ascii="Times New Roman" w:hAnsi="Times New Roman"/>
          <w:szCs w:val="24"/>
        </w:rPr>
        <w:t xml:space="preserve">for payment </w:t>
      </w:r>
      <w:r>
        <w:rPr>
          <w:rFonts w:ascii="Times New Roman" w:hAnsi="Times New Roman"/>
          <w:szCs w:val="24"/>
        </w:rPr>
        <w:t>rather than the fewer number of days that Mr. Roberts seems to be (incorrectly) implying.</w:t>
      </w:r>
    </w:p>
    <w:p w:rsidR="00BE6064" w:rsidRPr="00BE6064" w:rsidRDefault="00BE6064" w:rsidP="00BE6064">
      <w:pPr>
        <w:pStyle w:val="answer"/>
        <w:rPr>
          <w:b/>
          <w:bCs/>
        </w:rPr>
      </w:pPr>
      <w:r>
        <w:rPr>
          <w:rFonts w:hint="eastAsia"/>
          <w:b/>
          <w:bCs/>
        </w:rPr>
        <w:t>Q.</w:t>
      </w:r>
      <w:r>
        <w:rPr>
          <w:b/>
          <w:bCs/>
        </w:rPr>
        <w:tab/>
        <w:t>How do you respond to Ms. Kimball’</w:t>
      </w:r>
      <w:r w:rsidR="009B05F0">
        <w:rPr>
          <w:b/>
          <w:bCs/>
        </w:rPr>
        <w:t>s Consumer P</w:t>
      </w:r>
      <w:r>
        <w:rPr>
          <w:b/>
          <w:bCs/>
        </w:rPr>
        <w:t>rotection concerns</w:t>
      </w:r>
      <w:r w:rsidR="00736F40">
        <w:rPr>
          <w:rStyle w:val="FootnoteReference"/>
          <w:b/>
          <w:bCs/>
        </w:rPr>
        <w:footnoteReference w:id="3"/>
      </w:r>
      <w:r w:rsidR="00736F40">
        <w:rPr>
          <w:b/>
          <w:bCs/>
        </w:rPr>
        <w:t>?</w:t>
      </w:r>
      <w:r w:rsidRPr="00BE6064">
        <w:rPr>
          <w:rFonts w:hint="eastAsia"/>
          <w:b/>
          <w:bCs/>
        </w:rPr>
        <w:t xml:space="preserve">  </w:t>
      </w:r>
    </w:p>
    <w:p w:rsidR="00BE6064" w:rsidRDefault="00BE6064" w:rsidP="00BE6064">
      <w:pPr>
        <w:pStyle w:val="answer"/>
        <w:rPr>
          <w:rFonts w:ascii="Times New Roman" w:hAnsi="Times New Roman"/>
          <w:szCs w:val="24"/>
        </w:rPr>
      </w:pPr>
      <w:r>
        <w:rPr>
          <w:rFonts w:ascii="Times New Roman" w:hAnsi="Times New Roman"/>
          <w:szCs w:val="24"/>
        </w:rPr>
        <w:t>A.</w:t>
      </w:r>
      <w:r>
        <w:rPr>
          <w:rFonts w:ascii="Times New Roman" w:hAnsi="Times New Roman"/>
          <w:szCs w:val="24"/>
        </w:rPr>
        <w:tab/>
        <w:t xml:space="preserve">I have several responses to Ms. Kimball’s concerns.  First, as PSE has stated repeatedly, participating customers will be fully informed of the terms of the lease agreement.  </w:t>
      </w:r>
      <w:r w:rsidR="009B05F0">
        <w:rPr>
          <w:rFonts w:ascii="Times New Roman" w:hAnsi="Times New Roman"/>
          <w:szCs w:val="24"/>
        </w:rPr>
        <w:t xml:space="preserve">Ms. Kimball’s suggestion that PSE has not explained what disclosures it intends to provide customers is simply incorrect.  </w:t>
      </w:r>
      <w:r w:rsidR="009B05F0" w:rsidRPr="00BE6064">
        <w:rPr>
          <w:rFonts w:ascii="Times New Roman" w:hAnsi="Times New Roman"/>
          <w:szCs w:val="24"/>
        </w:rPr>
        <w:t>Several of Ms. Kimball’s issues were addressed in the PSE Response to Public Counsel Data Request No. 20 and PSE Response t</w:t>
      </w:r>
      <w:r w:rsidR="009B05F0">
        <w:rPr>
          <w:rFonts w:ascii="Times New Roman" w:hAnsi="Times New Roman"/>
          <w:szCs w:val="24"/>
        </w:rPr>
        <w:t>o WUTC Staff Data Request No. 21</w:t>
      </w:r>
      <w:r w:rsidR="009B05F0" w:rsidRPr="00BE6064">
        <w:rPr>
          <w:rFonts w:ascii="Times New Roman" w:hAnsi="Times New Roman"/>
          <w:szCs w:val="24"/>
        </w:rPr>
        <w:t>.</w:t>
      </w:r>
      <w:r w:rsidR="009B05F0">
        <w:rPr>
          <w:rFonts w:ascii="Times New Roman" w:hAnsi="Times New Roman"/>
          <w:szCs w:val="24"/>
        </w:rPr>
        <w:t xml:space="preserve">  </w:t>
      </w:r>
      <w:r>
        <w:rPr>
          <w:rFonts w:ascii="Times New Roman" w:hAnsi="Times New Roman"/>
          <w:szCs w:val="24"/>
        </w:rPr>
        <w:t xml:space="preserve">Second, </w:t>
      </w:r>
      <w:r w:rsidR="00882D7B">
        <w:rPr>
          <w:rFonts w:ascii="Times New Roman" w:hAnsi="Times New Roman"/>
          <w:szCs w:val="24"/>
        </w:rPr>
        <w:t xml:space="preserve">as PSE has always done, when customers contact PSE with energy questions, PSE will seek to assist the customer in finding an energy solution that best meets their needs. </w:t>
      </w:r>
      <w:r>
        <w:rPr>
          <w:rFonts w:ascii="Times New Roman" w:hAnsi="Times New Roman"/>
          <w:szCs w:val="24"/>
        </w:rPr>
        <w:t xml:space="preserve"> </w:t>
      </w:r>
      <w:r w:rsidR="00882D7B">
        <w:rPr>
          <w:rFonts w:ascii="Times New Roman" w:hAnsi="Times New Roman"/>
          <w:szCs w:val="24"/>
        </w:rPr>
        <w:t xml:space="preserve">Finally, PSE will comply </w:t>
      </w:r>
      <w:r w:rsidR="00736F40">
        <w:rPr>
          <w:rFonts w:ascii="Times New Roman" w:hAnsi="Times New Roman"/>
          <w:szCs w:val="24"/>
        </w:rPr>
        <w:t xml:space="preserve">with </w:t>
      </w:r>
      <w:r w:rsidR="00882D7B">
        <w:rPr>
          <w:rFonts w:ascii="Times New Roman" w:hAnsi="Times New Roman"/>
          <w:szCs w:val="24"/>
        </w:rPr>
        <w:t xml:space="preserve">the laws and regulations that apply to it.  Ms. Kimball’s reference to various state and federal laws (or proposed laws that </w:t>
      </w:r>
      <w:r w:rsidR="00882D7B">
        <w:rPr>
          <w:rFonts w:ascii="Times New Roman" w:hAnsi="Times New Roman"/>
          <w:szCs w:val="24"/>
        </w:rPr>
        <w:lastRenderedPageBreak/>
        <w:t xml:space="preserve">were not approved by the legislature) that she admits do not govern PSE </w:t>
      </w:r>
      <w:r w:rsidR="009B05F0">
        <w:rPr>
          <w:rFonts w:ascii="Times New Roman" w:hAnsi="Times New Roman"/>
          <w:szCs w:val="24"/>
        </w:rPr>
        <w:t xml:space="preserve">are not appropriate metrics to evaluate Schedule 75.  </w:t>
      </w:r>
    </w:p>
    <w:p w:rsidR="00B2772B" w:rsidRPr="005058F7" w:rsidRDefault="00B2772B" w:rsidP="00B2772B">
      <w:pPr>
        <w:pStyle w:val="Heading1"/>
        <w:rPr>
          <w:szCs w:val="24"/>
        </w:rPr>
      </w:pPr>
      <w:bookmarkStart w:id="12" w:name="_Toc455138801"/>
      <w:r>
        <w:t>III.</w:t>
      </w:r>
      <w:r>
        <w:tab/>
        <w:t xml:space="preserve">THE KNOWN AND MEASURABLE PRO FORMA ADJUSTMENT AND OTHER RATEMAKING </w:t>
      </w:r>
      <w:r w:rsidRPr="005058F7">
        <w:rPr>
          <w:szCs w:val="24"/>
        </w:rPr>
        <w:t>PRINCIPLES</w:t>
      </w:r>
      <w:bookmarkEnd w:id="12"/>
    </w:p>
    <w:p w:rsidR="00B2772B" w:rsidRPr="00C766B2" w:rsidRDefault="00B2772B" w:rsidP="00B2772B">
      <w:pPr>
        <w:pStyle w:val="answer"/>
        <w:rPr>
          <w:b/>
        </w:rPr>
      </w:pPr>
      <w:r w:rsidRPr="005058F7">
        <w:rPr>
          <w:rFonts w:ascii="Times New Roman" w:hAnsi="Times New Roman"/>
          <w:b/>
          <w:szCs w:val="24"/>
        </w:rPr>
        <w:t>Q.</w:t>
      </w:r>
      <w:r>
        <w:rPr>
          <w:rFonts w:ascii="Times New Roman" w:hAnsi="Times New Roman"/>
          <w:b/>
          <w:szCs w:val="24"/>
        </w:rPr>
        <w:tab/>
      </w:r>
      <w:r w:rsidRPr="005058F7">
        <w:rPr>
          <w:rFonts w:ascii="Times New Roman" w:hAnsi="Times New Roman"/>
          <w:b/>
          <w:szCs w:val="24"/>
        </w:rPr>
        <w:t>How do you respond to Ms. O’Connell’s testimony regarding the definition of known and measurable?</w:t>
      </w:r>
      <w:r w:rsidR="005F3018">
        <w:rPr>
          <w:rStyle w:val="FootnoteReference"/>
          <w:rFonts w:ascii="Times New Roman" w:hAnsi="Times New Roman"/>
          <w:b/>
          <w:szCs w:val="24"/>
        </w:rPr>
        <w:footnoteReference w:id="4"/>
      </w:r>
    </w:p>
    <w:p w:rsidR="00B2772B" w:rsidRDefault="00B2772B" w:rsidP="00B2772B">
      <w:pPr>
        <w:pStyle w:val="answer"/>
        <w:rPr>
          <w:rFonts w:ascii="Times New Roman" w:hAnsi="Times New Roman"/>
          <w:szCs w:val="24"/>
        </w:rPr>
      </w:pPr>
      <w:r w:rsidRPr="005058F7">
        <w:rPr>
          <w:rFonts w:ascii="Times New Roman" w:hAnsi="Times New Roman"/>
          <w:szCs w:val="24"/>
        </w:rPr>
        <w:t>A.</w:t>
      </w:r>
      <w:r>
        <w:rPr>
          <w:rFonts w:ascii="Times New Roman" w:hAnsi="Times New Roman"/>
          <w:szCs w:val="24"/>
        </w:rPr>
        <w:tab/>
      </w:r>
      <w:r w:rsidRPr="005058F7">
        <w:rPr>
          <w:rFonts w:ascii="Times New Roman" w:hAnsi="Times New Roman"/>
          <w:szCs w:val="24"/>
        </w:rPr>
        <w:t>Ms. O’Connell</w:t>
      </w:r>
      <w:r>
        <w:rPr>
          <w:rFonts w:ascii="Times New Roman" w:hAnsi="Times New Roman"/>
          <w:szCs w:val="24"/>
        </w:rPr>
        <w:t xml:space="preserve"> broadly</w:t>
      </w:r>
      <w:r w:rsidRPr="005058F7">
        <w:rPr>
          <w:rFonts w:ascii="Times New Roman" w:hAnsi="Times New Roman"/>
          <w:szCs w:val="24"/>
        </w:rPr>
        <w:t xml:space="preserve"> </w:t>
      </w:r>
      <w:r>
        <w:rPr>
          <w:rFonts w:ascii="Times New Roman" w:hAnsi="Times New Roman"/>
          <w:szCs w:val="24"/>
        </w:rPr>
        <w:t>misapplies the known and measurable standard.  This standard is set forth in the Commission rules governing general rate cases; it is the standard to be applied to a specific type of accounting adjustment in a general rate case, specifically, it applies to pro forma adjustments to a historical test year in a general rate case and requires the pro forma adjustments to be known and measurable.</w:t>
      </w:r>
      <w:r w:rsidR="005F3018">
        <w:rPr>
          <w:rStyle w:val="FootnoteReference"/>
          <w:rFonts w:ascii="Times New Roman" w:hAnsi="Times New Roman"/>
          <w:szCs w:val="24"/>
        </w:rPr>
        <w:footnoteReference w:id="5"/>
      </w:r>
      <w:r>
        <w:rPr>
          <w:rFonts w:ascii="Times New Roman" w:hAnsi="Times New Roman"/>
          <w:szCs w:val="24"/>
        </w:rPr>
        <w:t xml:space="preserve"> </w:t>
      </w:r>
      <w:r w:rsidR="00DF4138">
        <w:rPr>
          <w:rFonts w:ascii="Times New Roman" w:hAnsi="Times New Roman"/>
          <w:szCs w:val="24"/>
        </w:rPr>
        <w:t xml:space="preserve"> </w:t>
      </w:r>
      <w:r>
        <w:rPr>
          <w:rFonts w:ascii="Times New Roman" w:hAnsi="Times New Roman"/>
          <w:szCs w:val="24"/>
        </w:rPr>
        <w:t xml:space="preserve">Thus, the Commission’s order in PSE’s 2009 general rate case, cited by Ms. O’Connell,  which discusses pro forma adjustments in rate cases, must be read in that context.  </w:t>
      </w:r>
    </w:p>
    <w:p w:rsidR="00B2772B" w:rsidRDefault="00B2772B" w:rsidP="00B2772B">
      <w:pPr>
        <w:pStyle w:val="answer"/>
        <w:rPr>
          <w:rFonts w:ascii="Times New Roman" w:hAnsi="Times New Roman"/>
          <w:szCs w:val="24"/>
        </w:rPr>
      </w:pPr>
      <w:r>
        <w:rPr>
          <w:rFonts w:ascii="Times New Roman" w:hAnsi="Times New Roman"/>
          <w:szCs w:val="24"/>
        </w:rPr>
        <w:tab/>
        <w:t xml:space="preserve">In contrast, the case currently before the Commission is not a general rate case, nor is there a historical test year </w:t>
      </w:r>
      <w:r w:rsidR="00736F40">
        <w:rPr>
          <w:rFonts w:ascii="Times New Roman" w:hAnsi="Times New Roman"/>
          <w:szCs w:val="24"/>
        </w:rPr>
        <w:t>nor</w:t>
      </w:r>
      <w:r>
        <w:rPr>
          <w:rFonts w:ascii="Times New Roman" w:hAnsi="Times New Roman"/>
          <w:szCs w:val="24"/>
        </w:rPr>
        <w:t xml:space="preserve"> pro forma adjustments to the test year.  </w:t>
      </w:r>
      <w:r w:rsidRPr="005058F7">
        <w:rPr>
          <w:rFonts w:ascii="Times New Roman" w:hAnsi="Times New Roman"/>
          <w:szCs w:val="24"/>
        </w:rPr>
        <w:t xml:space="preserve">Such a standard is not possible, </w:t>
      </w:r>
      <w:r>
        <w:rPr>
          <w:rFonts w:ascii="Times New Roman" w:hAnsi="Times New Roman"/>
          <w:szCs w:val="24"/>
        </w:rPr>
        <w:t>n</w:t>
      </w:r>
      <w:r w:rsidRPr="005058F7">
        <w:rPr>
          <w:rFonts w:ascii="Times New Roman" w:hAnsi="Times New Roman"/>
          <w:szCs w:val="24"/>
        </w:rPr>
        <w:t>or reasonable</w:t>
      </w:r>
      <w:r>
        <w:rPr>
          <w:rFonts w:ascii="Times New Roman" w:hAnsi="Times New Roman"/>
          <w:szCs w:val="24"/>
        </w:rPr>
        <w:t>,</w:t>
      </w:r>
      <w:r w:rsidRPr="005058F7">
        <w:rPr>
          <w:rFonts w:ascii="Times New Roman" w:hAnsi="Times New Roman"/>
          <w:szCs w:val="24"/>
        </w:rPr>
        <w:t xml:space="preserve"> for a </w:t>
      </w:r>
      <w:r w:rsidRPr="00602D77">
        <w:rPr>
          <w:rFonts w:ascii="Times New Roman" w:hAnsi="Times New Roman"/>
          <w:szCs w:val="24"/>
          <w:u w:val="single"/>
        </w:rPr>
        <w:t>new</w:t>
      </w:r>
      <w:r w:rsidRPr="005058F7">
        <w:rPr>
          <w:rFonts w:ascii="Times New Roman" w:hAnsi="Times New Roman"/>
          <w:szCs w:val="24"/>
        </w:rPr>
        <w:t xml:space="preserve"> tariff </w:t>
      </w:r>
      <w:r>
        <w:rPr>
          <w:rFonts w:ascii="Times New Roman" w:hAnsi="Times New Roman"/>
          <w:szCs w:val="24"/>
        </w:rPr>
        <w:t xml:space="preserve">schedule </w:t>
      </w:r>
      <w:r w:rsidRPr="005058F7">
        <w:rPr>
          <w:rFonts w:ascii="Times New Roman" w:hAnsi="Times New Roman"/>
          <w:szCs w:val="24"/>
        </w:rPr>
        <w:t>offering</w:t>
      </w:r>
      <w:r>
        <w:rPr>
          <w:rFonts w:ascii="Times New Roman" w:hAnsi="Times New Roman"/>
          <w:szCs w:val="24"/>
        </w:rPr>
        <w:t>, such as the current case,</w:t>
      </w:r>
      <w:r w:rsidRPr="005058F7">
        <w:rPr>
          <w:rFonts w:ascii="Times New Roman" w:hAnsi="Times New Roman"/>
          <w:szCs w:val="24"/>
        </w:rPr>
        <w:t xml:space="preserve"> where there are no historical costs for </w:t>
      </w:r>
      <w:r>
        <w:rPr>
          <w:rFonts w:ascii="Times New Roman" w:hAnsi="Times New Roman"/>
          <w:szCs w:val="24"/>
        </w:rPr>
        <w:t>the new</w:t>
      </w:r>
      <w:r w:rsidRPr="005058F7">
        <w:rPr>
          <w:rFonts w:ascii="Times New Roman" w:hAnsi="Times New Roman"/>
          <w:szCs w:val="24"/>
        </w:rPr>
        <w:t xml:space="preserve"> service.  </w:t>
      </w:r>
    </w:p>
    <w:p w:rsidR="00B2772B" w:rsidRDefault="00B2772B" w:rsidP="00B2772B">
      <w:pPr>
        <w:pStyle w:val="question"/>
      </w:pPr>
      <w:r>
        <w:lastRenderedPageBreak/>
        <w:t>Q.</w:t>
      </w:r>
      <w:r>
        <w:tab/>
        <w:t>Are you aware of other situations where the Commission has recognized that new services and offerings will not be fully known and measurable when they are first offered?</w:t>
      </w:r>
    </w:p>
    <w:p w:rsidR="00C10C12" w:rsidRDefault="00B2772B" w:rsidP="00B2772B">
      <w:pPr>
        <w:pStyle w:val="answer"/>
        <w:rPr>
          <w:rFonts w:ascii="Times New Roman" w:hAnsi="Times New Roman"/>
          <w:szCs w:val="24"/>
        </w:rPr>
      </w:pPr>
      <w:r>
        <w:rPr>
          <w:rFonts w:ascii="Times New Roman" w:hAnsi="Times New Roman"/>
          <w:szCs w:val="24"/>
        </w:rPr>
        <w:t>A.</w:t>
      </w:r>
      <w:r>
        <w:rPr>
          <w:rFonts w:ascii="Times New Roman" w:hAnsi="Times New Roman"/>
          <w:szCs w:val="24"/>
        </w:rPr>
        <w:tab/>
        <w:t xml:space="preserve">Yes.  One such example can be found in the 1992 WNG case cited in Commission Staff’s testimony.  In that case, the Commission accepted WNG’s </w:t>
      </w:r>
      <w:r w:rsidRPr="005058F7">
        <w:rPr>
          <w:rFonts w:ascii="Times New Roman" w:hAnsi="Times New Roman"/>
          <w:szCs w:val="24"/>
        </w:rPr>
        <w:t xml:space="preserve"> proposal to replace all </w:t>
      </w:r>
      <w:r>
        <w:rPr>
          <w:rFonts w:ascii="Times New Roman" w:hAnsi="Times New Roman"/>
          <w:szCs w:val="24"/>
        </w:rPr>
        <w:t xml:space="preserve">natural </w:t>
      </w:r>
      <w:r w:rsidRPr="005058F7">
        <w:rPr>
          <w:rFonts w:ascii="Times New Roman" w:hAnsi="Times New Roman"/>
          <w:szCs w:val="24"/>
        </w:rPr>
        <w:t xml:space="preserve">gas water heaters with a </w:t>
      </w:r>
      <w:r>
        <w:rPr>
          <w:rFonts w:ascii="Times New Roman" w:hAnsi="Times New Roman"/>
          <w:szCs w:val="24"/>
        </w:rPr>
        <w:t>0</w:t>
      </w:r>
      <w:r w:rsidRPr="005058F7">
        <w:rPr>
          <w:rFonts w:ascii="Times New Roman" w:hAnsi="Times New Roman"/>
          <w:szCs w:val="24"/>
        </w:rPr>
        <w:t xml:space="preserve">.6 heat factor or better, </w:t>
      </w:r>
      <w:r>
        <w:rPr>
          <w:rFonts w:ascii="Times New Roman" w:hAnsi="Times New Roman"/>
          <w:szCs w:val="24"/>
        </w:rPr>
        <w:t xml:space="preserve">and in doing so, </w:t>
      </w:r>
      <w:r w:rsidRPr="005058F7">
        <w:rPr>
          <w:rFonts w:ascii="Times New Roman" w:hAnsi="Times New Roman"/>
          <w:szCs w:val="24"/>
        </w:rPr>
        <w:t xml:space="preserve">directed the company </w:t>
      </w:r>
      <w:r>
        <w:rPr>
          <w:rFonts w:ascii="Times New Roman" w:hAnsi="Times New Roman"/>
          <w:szCs w:val="24"/>
        </w:rPr>
        <w:t>“</w:t>
      </w:r>
      <w:r w:rsidRPr="005058F7">
        <w:rPr>
          <w:rFonts w:ascii="Times New Roman" w:hAnsi="Times New Roman"/>
          <w:szCs w:val="24"/>
        </w:rPr>
        <w:t>to file a revised tariff which contained a cost-recovering rate for the new efficient water heaters it propose</w:t>
      </w:r>
      <w:r>
        <w:rPr>
          <w:rFonts w:ascii="Times New Roman" w:hAnsi="Times New Roman"/>
          <w:szCs w:val="24"/>
        </w:rPr>
        <w:t>s</w:t>
      </w:r>
      <w:r w:rsidRPr="005058F7">
        <w:rPr>
          <w:rFonts w:ascii="Times New Roman" w:hAnsi="Times New Roman"/>
          <w:szCs w:val="24"/>
        </w:rPr>
        <w:t xml:space="preserve"> to lease</w:t>
      </w:r>
      <w:r w:rsidR="00F63EDB">
        <w:rPr>
          <w:rFonts w:ascii="Times New Roman" w:hAnsi="Times New Roman"/>
          <w:szCs w:val="24"/>
        </w:rPr>
        <w:t>.</w:t>
      </w:r>
      <w:r>
        <w:rPr>
          <w:rFonts w:ascii="Times New Roman" w:hAnsi="Times New Roman"/>
          <w:szCs w:val="24"/>
        </w:rPr>
        <w:t>”</w:t>
      </w:r>
      <w:r w:rsidR="0086795F">
        <w:rPr>
          <w:rStyle w:val="FootnoteReference"/>
          <w:rFonts w:ascii="Times New Roman" w:hAnsi="Times New Roman"/>
          <w:szCs w:val="24"/>
        </w:rPr>
        <w:footnoteReference w:id="6"/>
      </w:r>
      <w:r w:rsidRPr="005058F7">
        <w:rPr>
          <w:rFonts w:ascii="Times New Roman" w:hAnsi="Times New Roman"/>
          <w:szCs w:val="24"/>
        </w:rPr>
        <w:t xml:space="preserve"> </w:t>
      </w:r>
      <w:r>
        <w:rPr>
          <w:rFonts w:ascii="Times New Roman" w:hAnsi="Times New Roman"/>
          <w:szCs w:val="24"/>
        </w:rPr>
        <w:t xml:space="preserve">Therefore, in that case, at the Commission’s direction, the </w:t>
      </w:r>
      <w:r w:rsidR="00736F40">
        <w:rPr>
          <w:rFonts w:ascii="Times New Roman" w:hAnsi="Times New Roman"/>
          <w:szCs w:val="24"/>
        </w:rPr>
        <w:t>C</w:t>
      </w:r>
      <w:r>
        <w:rPr>
          <w:rFonts w:ascii="Times New Roman" w:hAnsi="Times New Roman"/>
          <w:szCs w:val="24"/>
        </w:rPr>
        <w:t>ompany was filing a tariff schedule with a “cost-recovering rate” before it actually rented those water heaters, similar to what the Company has proposed in this case.</w:t>
      </w:r>
    </w:p>
    <w:p w:rsidR="00C10C12" w:rsidRDefault="00C10C12" w:rsidP="00C10C12">
      <w:pPr>
        <w:pStyle w:val="question"/>
      </w:pPr>
      <w:r>
        <w:t>Q.</w:t>
      </w:r>
      <w:r>
        <w:tab/>
        <w:t>Are you aware of current Commission-approved rates that utilize estimated costs?</w:t>
      </w:r>
    </w:p>
    <w:p w:rsidR="00B2772B" w:rsidRDefault="00C10C12" w:rsidP="00C10C12">
      <w:pPr>
        <w:pStyle w:val="answer"/>
        <w:rPr>
          <w:rFonts w:ascii="Times New Roman" w:hAnsi="Times New Roman"/>
          <w:szCs w:val="24"/>
        </w:rPr>
      </w:pPr>
      <w:r>
        <w:rPr>
          <w:rFonts w:ascii="Times New Roman" w:hAnsi="Times New Roman"/>
          <w:szCs w:val="24"/>
        </w:rPr>
        <w:t>A.</w:t>
      </w:r>
      <w:r>
        <w:rPr>
          <w:rFonts w:ascii="Times New Roman" w:hAnsi="Times New Roman"/>
          <w:szCs w:val="24"/>
        </w:rPr>
        <w:tab/>
        <w:t xml:space="preserve">Yes.  A cursory review of both the electric and natural gas tariff books reveal some examples. For natural gas services, one such example can be found in Schedule 54 – Optional Gas Compression Services, wherein the charge will be based upon the consideration of the estimated annual CNG Service volume and the estimated Company costs and expenses of the CNG </w:t>
      </w:r>
      <w:r w:rsidR="00CA29C9">
        <w:rPr>
          <w:rFonts w:ascii="Times New Roman" w:hAnsi="Times New Roman"/>
          <w:szCs w:val="24"/>
        </w:rPr>
        <w:t>Service</w:t>
      </w:r>
      <w:r>
        <w:rPr>
          <w:rFonts w:ascii="Times New Roman" w:hAnsi="Times New Roman"/>
          <w:szCs w:val="24"/>
        </w:rPr>
        <w:t xml:space="preserve"> for the Customer. </w:t>
      </w:r>
      <w:r w:rsidR="004A273D">
        <w:rPr>
          <w:rFonts w:ascii="Times New Roman" w:hAnsi="Times New Roman"/>
          <w:i/>
          <w:szCs w:val="24"/>
        </w:rPr>
        <w:t>See</w:t>
      </w:r>
      <w:r w:rsidR="00EB25B1">
        <w:rPr>
          <w:rFonts w:ascii="Times New Roman" w:hAnsi="Times New Roman"/>
          <w:szCs w:val="24"/>
        </w:rPr>
        <w:t xml:space="preserve"> Exhibit No. ___(EEE-</w:t>
      </w:r>
      <w:r w:rsidR="008E570B">
        <w:rPr>
          <w:rFonts w:ascii="Times New Roman" w:hAnsi="Times New Roman"/>
          <w:szCs w:val="24"/>
        </w:rPr>
        <w:t>7</w:t>
      </w:r>
      <w:r w:rsidR="00EB25B1">
        <w:rPr>
          <w:rFonts w:ascii="Times New Roman" w:hAnsi="Times New Roman"/>
          <w:szCs w:val="24"/>
        </w:rPr>
        <w:t>)</w:t>
      </w:r>
      <w:r w:rsidR="004A273D">
        <w:rPr>
          <w:rFonts w:ascii="Times New Roman" w:hAnsi="Times New Roman"/>
          <w:i/>
          <w:szCs w:val="24"/>
        </w:rPr>
        <w:t xml:space="preserve"> </w:t>
      </w:r>
      <w:r>
        <w:rPr>
          <w:rFonts w:ascii="Times New Roman" w:hAnsi="Times New Roman"/>
          <w:szCs w:val="24"/>
        </w:rPr>
        <w:t>. For electric</w:t>
      </w:r>
      <w:r w:rsidR="00B6043C">
        <w:rPr>
          <w:rFonts w:ascii="Times New Roman" w:hAnsi="Times New Roman"/>
          <w:szCs w:val="24"/>
        </w:rPr>
        <w:t xml:space="preserve"> services</w:t>
      </w:r>
      <w:r>
        <w:rPr>
          <w:rFonts w:ascii="Times New Roman" w:hAnsi="Times New Roman"/>
          <w:szCs w:val="24"/>
        </w:rPr>
        <w:t>, one such example can be found in Schedule 5</w:t>
      </w:r>
      <w:r w:rsidR="00B6043C">
        <w:rPr>
          <w:rFonts w:ascii="Times New Roman" w:hAnsi="Times New Roman"/>
          <w:szCs w:val="24"/>
        </w:rPr>
        <w:t>1</w:t>
      </w:r>
      <w:r>
        <w:rPr>
          <w:rFonts w:ascii="Times New Roman" w:hAnsi="Times New Roman"/>
          <w:szCs w:val="24"/>
        </w:rPr>
        <w:t xml:space="preserve"> – </w:t>
      </w:r>
      <w:r w:rsidR="00B6043C">
        <w:rPr>
          <w:rFonts w:ascii="Times New Roman" w:hAnsi="Times New Roman"/>
          <w:szCs w:val="24"/>
        </w:rPr>
        <w:t xml:space="preserve">LED Lighting Service Company </w:t>
      </w:r>
      <w:r>
        <w:rPr>
          <w:rFonts w:ascii="Times New Roman" w:hAnsi="Times New Roman"/>
          <w:szCs w:val="24"/>
        </w:rPr>
        <w:t>O</w:t>
      </w:r>
      <w:r w:rsidR="00B6043C">
        <w:rPr>
          <w:rFonts w:ascii="Times New Roman" w:hAnsi="Times New Roman"/>
          <w:szCs w:val="24"/>
        </w:rPr>
        <w:t xml:space="preserve">wned, wherein the sum </w:t>
      </w:r>
      <w:r w:rsidR="00B6043C">
        <w:rPr>
          <w:rFonts w:ascii="Times New Roman" w:hAnsi="Times New Roman"/>
          <w:szCs w:val="24"/>
        </w:rPr>
        <w:lastRenderedPageBreak/>
        <w:t>of Lamp and Facility charges are composed of an Estimated Installed Cost and an Estimated System Cost.</w:t>
      </w:r>
      <w:r w:rsidR="000F6D15">
        <w:rPr>
          <w:rFonts w:ascii="Times New Roman" w:hAnsi="Times New Roman"/>
          <w:szCs w:val="24"/>
        </w:rPr>
        <w:t xml:space="preserve"> The Facilities Charge</w:t>
      </w:r>
      <w:r w:rsidR="00B2772B" w:rsidRPr="005058F7">
        <w:rPr>
          <w:rFonts w:ascii="Times New Roman" w:hAnsi="Times New Roman"/>
          <w:szCs w:val="24"/>
        </w:rPr>
        <w:t xml:space="preserve"> </w:t>
      </w:r>
      <w:r w:rsidR="000F6D15">
        <w:rPr>
          <w:rFonts w:ascii="Times New Roman" w:hAnsi="Times New Roman"/>
          <w:szCs w:val="24"/>
        </w:rPr>
        <w:t>reflects the cost of future replacement and O&amp;M costs based on industry projections. Therefore using estimated costs and costs of future replacements and O&amp;M costs based on projections for the Equipment Leasing Services is a</w:t>
      </w:r>
      <w:r w:rsidR="00465641">
        <w:rPr>
          <w:rFonts w:ascii="Times New Roman" w:hAnsi="Times New Roman"/>
          <w:szCs w:val="24"/>
        </w:rPr>
        <w:t>n established</w:t>
      </w:r>
      <w:r w:rsidR="000F6D15">
        <w:rPr>
          <w:rFonts w:ascii="Times New Roman" w:hAnsi="Times New Roman"/>
          <w:szCs w:val="24"/>
        </w:rPr>
        <w:t xml:space="preserve"> practice</w:t>
      </w:r>
      <w:r w:rsidR="00465641">
        <w:rPr>
          <w:rFonts w:ascii="Times New Roman" w:hAnsi="Times New Roman"/>
          <w:szCs w:val="24"/>
        </w:rPr>
        <w:t>,</w:t>
      </w:r>
      <w:r w:rsidR="000F6D15">
        <w:rPr>
          <w:rFonts w:ascii="Times New Roman" w:hAnsi="Times New Roman"/>
          <w:szCs w:val="24"/>
        </w:rPr>
        <w:t xml:space="preserve"> and </w:t>
      </w:r>
      <w:r w:rsidR="00465641">
        <w:rPr>
          <w:rFonts w:ascii="Times New Roman" w:hAnsi="Times New Roman"/>
          <w:szCs w:val="24"/>
        </w:rPr>
        <w:t xml:space="preserve">a </w:t>
      </w:r>
      <w:r w:rsidR="000F6D15">
        <w:rPr>
          <w:rFonts w:ascii="Times New Roman" w:hAnsi="Times New Roman"/>
          <w:szCs w:val="24"/>
        </w:rPr>
        <w:t>practical policy</w:t>
      </w:r>
      <w:r w:rsidR="00465641">
        <w:rPr>
          <w:rFonts w:ascii="Times New Roman" w:hAnsi="Times New Roman"/>
          <w:szCs w:val="24"/>
        </w:rPr>
        <w:t>, that is</w:t>
      </w:r>
      <w:r w:rsidR="000F6D15">
        <w:rPr>
          <w:rFonts w:ascii="Times New Roman" w:hAnsi="Times New Roman"/>
          <w:szCs w:val="24"/>
        </w:rPr>
        <w:t xml:space="preserve"> already approved by this Commission and currently contained </w:t>
      </w:r>
      <w:r w:rsidR="00465641">
        <w:rPr>
          <w:rFonts w:ascii="Times New Roman" w:hAnsi="Times New Roman"/>
          <w:szCs w:val="24"/>
        </w:rPr>
        <w:t xml:space="preserve">in </w:t>
      </w:r>
      <w:r w:rsidR="000F6D15">
        <w:rPr>
          <w:rFonts w:ascii="Times New Roman" w:hAnsi="Times New Roman"/>
          <w:szCs w:val="24"/>
        </w:rPr>
        <w:t xml:space="preserve">the tariff books and tariff schedules of Puget Sound Energy. </w:t>
      </w:r>
      <w:r w:rsidR="00B2772B" w:rsidRPr="005058F7">
        <w:rPr>
          <w:rFonts w:ascii="Times New Roman" w:hAnsi="Times New Roman"/>
          <w:szCs w:val="24"/>
        </w:rPr>
        <w:t xml:space="preserve"> </w:t>
      </w:r>
    </w:p>
    <w:p w:rsidR="00B2772B" w:rsidRDefault="00B2772B" w:rsidP="00B2772B">
      <w:pPr>
        <w:pStyle w:val="question"/>
      </w:pPr>
      <w:r>
        <w:t>Q.</w:t>
      </w:r>
      <w:r>
        <w:tab/>
        <w:t>Has the Company put forth any additional proposal to provide additional comfort to the Commission and parties that the leased rates are reasonable and appropriate?</w:t>
      </w:r>
    </w:p>
    <w:p w:rsidR="00B2772B" w:rsidRPr="00925393" w:rsidRDefault="00B2772B" w:rsidP="00B2772B">
      <w:pPr>
        <w:pStyle w:val="answer"/>
      </w:pPr>
      <w:r>
        <w:t>A.</w:t>
      </w:r>
      <w:r>
        <w:tab/>
        <w:t xml:space="preserve">Yes.  </w:t>
      </w:r>
      <w:r w:rsidRPr="005058F7">
        <w:rPr>
          <w:rFonts w:ascii="Times New Roman" w:hAnsi="Times New Roman"/>
          <w:szCs w:val="24"/>
        </w:rPr>
        <w:t xml:space="preserve">As discussed in </w:t>
      </w:r>
      <w:r>
        <w:rPr>
          <w:rFonts w:ascii="Times New Roman" w:hAnsi="Times New Roman"/>
          <w:szCs w:val="24"/>
        </w:rPr>
        <w:t>Mr. McCulloch</w:t>
      </w:r>
      <w:r w:rsidRPr="005058F7">
        <w:rPr>
          <w:rFonts w:ascii="Times New Roman" w:hAnsi="Times New Roman"/>
          <w:szCs w:val="24"/>
        </w:rPr>
        <w:t xml:space="preserve">’s testimony, </w:t>
      </w:r>
      <w:r>
        <w:rPr>
          <w:rFonts w:ascii="Times New Roman" w:hAnsi="Times New Roman"/>
          <w:szCs w:val="24"/>
        </w:rPr>
        <w:t xml:space="preserve">when </w:t>
      </w:r>
      <w:r w:rsidRPr="005058F7">
        <w:rPr>
          <w:rFonts w:ascii="Times New Roman" w:hAnsi="Times New Roman"/>
          <w:szCs w:val="24"/>
        </w:rPr>
        <w:t xml:space="preserve">the </w:t>
      </w:r>
      <w:r>
        <w:rPr>
          <w:rFonts w:ascii="Times New Roman" w:hAnsi="Times New Roman"/>
          <w:szCs w:val="24"/>
        </w:rPr>
        <w:t xml:space="preserve">equipment </w:t>
      </w:r>
      <w:r w:rsidRPr="005058F7">
        <w:rPr>
          <w:rFonts w:ascii="Times New Roman" w:hAnsi="Times New Roman"/>
          <w:szCs w:val="24"/>
        </w:rPr>
        <w:t xml:space="preserve">leasing </w:t>
      </w:r>
      <w:r>
        <w:rPr>
          <w:rFonts w:ascii="Times New Roman" w:hAnsi="Times New Roman"/>
          <w:szCs w:val="24"/>
        </w:rPr>
        <w:t xml:space="preserve">service </w:t>
      </w:r>
      <w:r w:rsidRPr="005058F7">
        <w:rPr>
          <w:rFonts w:ascii="Times New Roman" w:hAnsi="Times New Roman"/>
          <w:szCs w:val="24"/>
        </w:rPr>
        <w:t xml:space="preserve">tariff </w:t>
      </w:r>
      <w:r>
        <w:rPr>
          <w:rFonts w:ascii="Times New Roman" w:hAnsi="Times New Roman"/>
          <w:szCs w:val="24"/>
        </w:rPr>
        <w:t>schedules are</w:t>
      </w:r>
      <w:r w:rsidRPr="005058F7">
        <w:rPr>
          <w:rFonts w:ascii="Times New Roman" w:hAnsi="Times New Roman"/>
          <w:szCs w:val="24"/>
        </w:rPr>
        <w:t xml:space="preserve"> approved</w:t>
      </w:r>
      <w:r>
        <w:rPr>
          <w:rFonts w:ascii="Times New Roman" w:hAnsi="Times New Roman"/>
          <w:szCs w:val="24"/>
        </w:rPr>
        <w:t>,</w:t>
      </w:r>
      <w:r w:rsidRPr="005058F7">
        <w:rPr>
          <w:rFonts w:ascii="Times New Roman" w:hAnsi="Times New Roman"/>
          <w:szCs w:val="24"/>
        </w:rPr>
        <w:t xml:space="preserve"> the </w:t>
      </w:r>
      <w:r>
        <w:rPr>
          <w:rFonts w:ascii="Times New Roman" w:hAnsi="Times New Roman"/>
          <w:szCs w:val="24"/>
        </w:rPr>
        <w:t>C</w:t>
      </w:r>
      <w:r w:rsidRPr="005058F7">
        <w:rPr>
          <w:rFonts w:ascii="Times New Roman" w:hAnsi="Times New Roman"/>
          <w:szCs w:val="24"/>
        </w:rPr>
        <w:t xml:space="preserve">ompany will </w:t>
      </w:r>
      <w:r>
        <w:rPr>
          <w:rFonts w:ascii="Times New Roman" w:hAnsi="Times New Roman"/>
          <w:szCs w:val="24"/>
        </w:rPr>
        <w:t>execute</w:t>
      </w:r>
      <w:r w:rsidRPr="005058F7">
        <w:rPr>
          <w:rFonts w:ascii="Times New Roman" w:hAnsi="Times New Roman"/>
          <w:szCs w:val="24"/>
        </w:rPr>
        <w:t xml:space="preserve"> contracts with its service providers and is willing to file a compliance filing to update the proposed rates based upon the contracted prices.  In fact, this was </w:t>
      </w:r>
      <w:r>
        <w:rPr>
          <w:rFonts w:ascii="Times New Roman" w:hAnsi="Times New Roman"/>
          <w:szCs w:val="24"/>
        </w:rPr>
        <w:t xml:space="preserve">exactly </w:t>
      </w:r>
      <w:r w:rsidRPr="005058F7">
        <w:rPr>
          <w:rFonts w:ascii="Times New Roman" w:hAnsi="Times New Roman"/>
          <w:szCs w:val="24"/>
        </w:rPr>
        <w:t xml:space="preserve">the reason PSE initially proposed a two-step process to the </w:t>
      </w:r>
      <w:r>
        <w:rPr>
          <w:rFonts w:ascii="Times New Roman" w:hAnsi="Times New Roman"/>
          <w:szCs w:val="24"/>
        </w:rPr>
        <w:t xml:space="preserve">equipment </w:t>
      </w:r>
      <w:r w:rsidRPr="005058F7">
        <w:rPr>
          <w:rFonts w:ascii="Times New Roman" w:hAnsi="Times New Roman"/>
          <w:szCs w:val="24"/>
        </w:rPr>
        <w:t xml:space="preserve">leasing </w:t>
      </w:r>
      <w:r>
        <w:rPr>
          <w:rFonts w:ascii="Times New Roman" w:hAnsi="Times New Roman"/>
          <w:szCs w:val="24"/>
        </w:rPr>
        <w:t xml:space="preserve">service when it first filed its leasing tariffs.  </w:t>
      </w:r>
    </w:p>
    <w:p w:rsidR="00B2772B" w:rsidRPr="0096592F" w:rsidRDefault="00B2772B" w:rsidP="00B2772B">
      <w:pPr>
        <w:pStyle w:val="answer"/>
        <w:spacing w:before="0" w:after="0"/>
        <w:rPr>
          <w:rFonts w:ascii="Times New Roman" w:hAnsi="Times New Roman"/>
          <w:b/>
        </w:rPr>
      </w:pPr>
      <w:r w:rsidRPr="0096592F">
        <w:rPr>
          <w:rFonts w:ascii="Times New Roman" w:hAnsi="Times New Roman"/>
          <w:b/>
        </w:rPr>
        <w:t>Q.</w:t>
      </w:r>
      <w:r w:rsidRPr="0096592F">
        <w:rPr>
          <w:rFonts w:ascii="Times New Roman" w:hAnsi="Times New Roman"/>
          <w:b/>
        </w:rPr>
        <w:tab/>
      </w:r>
      <w:r>
        <w:rPr>
          <w:rFonts w:ascii="Times New Roman" w:hAnsi="Times New Roman"/>
          <w:b/>
        </w:rPr>
        <w:t xml:space="preserve">Ms. O’Connell devotes more than five pages of her testimony addressing electric equipment and its relationship to rate base and ratemaking. </w:t>
      </w:r>
      <w:r w:rsidR="00DF4138">
        <w:rPr>
          <w:rFonts w:ascii="Times New Roman" w:hAnsi="Times New Roman"/>
          <w:b/>
        </w:rPr>
        <w:t xml:space="preserve"> </w:t>
      </w:r>
      <w:r>
        <w:rPr>
          <w:rFonts w:ascii="Times New Roman" w:hAnsi="Times New Roman"/>
          <w:b/>
        </w:rPr>
        <w:t>Do you agree with her analysis and conclusions?</w:t>
      </w:r>
    </w:p>
    <w:p w:rsidR="00B2772B" w:rsidRDefault="00B2772B" w:rsidP="00B2772B">
      <w:pPr>
        <w:pStyle w:val="answer"/>
        <w:rPr>
          <w:rFonts w:ascii="Times New Roman" w:hAnsi="Times New Roman"/>
        </w:rPr>
      </w:pPr>
      <w:r>
        <w:rPr>
          <w:rFonts w:ascii="Times New Roman" w:hAnsi="Times New Roman"/>
        </w:rPr>
        <w:t>A.</w:t>
      </w:r>
      <w:r>
        <w:rPr>
          <w:rFonts w:ascii="Times New Roman" w:hAnsi="Times New Roman"/>
        </w:rPr>
        <w:tab/>
        <w:t>No.  One of the key premises on which Ms. O’Connell relies is that the equipment PSE seeks to lease</w:t>
      </w:r>
      <w:r w:rsidR="00465641">
        <w:rPr>
          <w:rFonts w:ascii="Times New Roman" w:hAnsi="Times New Roman"/>
        </w:rPr>
        <w:t xml:space="preserve"> ─ </w:t>
      </w:r>
      <w:r>
        <w:rPr>
          <w:rFonts w:ascii="Times New Roman" w:hAnsi="Times New Roman"/>
        </w:rPr>
        <w:t>water heaters and HVAC equipment</w:t>
      </w:r>
      <w:r w:rsidR="00465641">
        <w:rPr>
          <w:rFonts w:ascii="Times New Roman" w:hAnsi="Times New Roman"/>
        </w:rPr>
        <w:t xml:space="preserve"> ─ </w:t>
      </w:r>
      <w:r>
        <w:rPr>
          <w:rFonts w:ascii="Times New Roman" w:hAnsi="Times New Roman"/>
        </w:rPr>
        <w:t xml:space="preserve">are on the customer’s </w:t>
      </w:r>
      <w:r>
        <w:rPr>
          <w:rFonts w:ascii="Times New Roman" w:hAnsi="Times New Roman"/>
        </w:rPr>
        <w:lastRenderedPageBreak/>
        <w:t xml:space="preserve">side of the meter and thus they cannot be “rate based” or considered as “electric plant” or “natural gas plant.”  </w:t>
      </w:r>
      <w:r w:rsidR="00DF4138">
        <w:rPr>
          <w:rFonts w:ascii="Times New Roman" w:hAnsi="Times New Roman"/>
        </w:rPr>
        <w:t>As explored more fully below, t</w:t>
      </w:r>
      <w:r>
        <w:rPr>
          <w:rFonts w:ascii="Times New Roman" w:hAnsi="Times New Roman"/>
        </w:rPr>
        <w:t>his ignores the past half-century of Commission practice as well as Washington State Supreme Court precedent</w:t>
      </w:r>
      <w:r w:rsidR="00DF4138">
        <w:rPr>
          <w:rFonts w:ascii="Times New Roman" w:hAnsi="Times New Roman"/>
        </w:rPr>
        <w:t>,</w:t>
      </w:r>
      <w:r>
        <w:rPr>
          <w:rStyle w:val="FootnoteReference"/>
          <w:rFonts w:ascii="Times New Roman" w:hAnsi="Times New Roman"/>
        </w:rPr>
        <w:footnoteReference w:id="7"/>
      </w:r>
      <w:r>
        <w:rPr>
          <w:rFonts w:ascii="Times New Roman" w:hAnsi="Times New Roman"/>
        </w:rPr>
        <w:t xml:space="preserve"> the language of Washington statutes</w:t>
      </w:r>
      <w:r w:rsidR="00DF4138">
        <w:rPr>
          <w:rFonts w:ascii="Times New Roman" w:hAnsi="Times New Roman"/>
        </w:rPr>
        <w:t>,</w:t>
      </w:r>
      <w:r>
        <w:rPr>
          <w:rStyle w:val="FootnoteReference"/>
          <w:rFonts w:ascii="Times New Roman" w:hAnsi="Times New Roman"/>
        </w:rPr>
        <w:footnoteReference w:id="8"/>
      </w:r>
      <w:r>
        <w:rPr>
          <w:rFonts w:ascii="Times New Roman" w:hAnsi="Times New Roman"/>
        </w:rPr>
        <w:t xml:space="preserve"> </w:t>
      </w:r>
      <w:r w:rsidR="00DF4138">
        <w:rPr>
          <w:rFonts w:ascii="Times New Roman" w:hAnsi="Times New Roman"/>
        </w:rPr>
        <w:t>and PSE</w:t>
      </w:r>
      <w:r w:rsidR="00465641">
        <w:rPr>
          <w:rFonts w:ascii="Times New Roman" w:hAnsi="Times New Roman"/>
        </w:rPr>
        <w:t>’s</w:t>
      </w:r>
      <w:r w:rsidR="00DF4138">
        <w:rPr>
          <w:rFonts w:ascii="Times New Roman" w:hAnsi="Times New Roman"/>
        </w:rPr>
        <w:t xml:space="preserve"> current Commission-approved tariff, </w:t>
      </w:r>
      <w:r>
        <w:rPr>
          <w:rFonts w:ascii="Times New Roman" w:hAnsi="Times New Roman"/>
        </w:rPr>
        <w:t xml:space="preserve">all of which recognize the opportunity for equipment, behind the meter, to be included in rate base and plant in service.  PSE has offered water heaters as part of a rental program since the 1960s and these water heaters were, and still are, classified as rate base and plant in service.  Ms. O’Connell has chosen to overlook the undisputed fact that the Commission already has determined that company-owned assets that are included in rate base, can be on the “customer side” of the meter. </w:t>
      </w:r>
    </w:p>
    <w:p w:rsidR="00B2772B" w:rsidRDefault="00B2772B" w:rsidP="00B2772B">
      <w:pPr>
        <w:pStyle w:val="question"/>
      </w:pPr>
      <w:r>
        <w:t>Q.</w:t>
      </w:r>
      <w:r>
        <w:tab/>
        <w:t xml:space="preserve">Are you aware of </w:t>
      </w:r>
      <w:r w:rsidR="0078687A">
        <w:t xml:space="preserve">any other </w:t>
      </w:r>
      <w:r>
        <w:t>equipment, other than the currently rented water heaters, that is located behind the meter and treated as electric plant and included in rate base?</w:t>
      </w:r>
    </w:p>
    <w:p w:rsidR="00B2772B" w:rsidRDefault="00B2772B" w:rsidP="00B2772B">
      <w:pPr>
        <w:pStyle w:val="answer"/>
      </w:pPr>
      <w:r>
        <w:rPr>
          <w:rFonts w:ascii="Times New Roman" w:hAnsi="Times New Roman"/>
        </w:rPr>
        <w:t>A.</w:t>
      </w:r>
      <w:r>
        <w:rPr>
          <w:rFonts w:ascii="Times New Roman" w:hAnsi="Times New Roman"/>
        </w:rPr>
        <w:tab/>
        <w:t xml:space="preserve">Yes. </w:t>
      </w:r>
      <w:r w:rsidR="00DF4138">
        <w:rPr>
          <w:rFonts w:ascii="Times New Roman" w:hAnsi="Times New Roman"/>
        </w:rPr>
        <w:t xml:space="preserve"> </w:t>
      </w:r>
      <w:r>
        <w:rPr>
          <w:rFonts w:ascii="Times New Roman" w:hAnsi="Times New Roman"/>
        </w:rPr>
        <w:t xml:space="preserve">Electric vehicle supply equipment is located on the customer side of the meter and </w:t>
      </w:r>
      <w:r w:rsidR="0078687A">
        <w:rPr>
          <w:rFonts w:ascii="Times New Roman" w:hAnsi="Times New Roman"/>
        </w:rPr>
        <w:t xml:space="preserve">can be </w:t>
      </w:r>
      <w:r>
        <w:rPr>
          <w:rFonts w:ascii="Times New Roman" w:hAnsi="Times New Roman"/>
        </w:rPr>
        <w:t>included as electric plant in service and in</w:t>
      </w:r>
      <w:r w:rsidR="0078687A">
        <w:rPr>
          <w:rFonts w:ascii="Times New Roman" w:hAnsi="Times New Roman"/>
        </w:rPr>
        <w:t>cluded in</w:t>
      </w:r>
      <w:r>
        <w:rPr>
          <w:rFonts w:ascii="Times New Roman" w:hAnsi="Times New Roman"/>
        </w:rPr>
        <w:t xml:space="preserve"> rate base.  In fact, in RCW 80.28.360(2), the Legislature has allowed for an incentive rate of </w:t>
      </w:r>
      <w:r>
        <w:rPr>
          <w:rFonts w:ascii="Times New Roman" w:hAnsi="Times New Roman"/>
        </w:rPr>
        <w:lastRenderedPageBreak/>
        <w:t>return for this equipment to encourage regulated electric companies to make capital investments in company-owned equipment behind a customer’s meter.</w:t>
      </w:r>
    </w:p>
    <w:p w:rsidR="00B2772B" w:rsidRDefault="00B2772B" w:rsidP="004F5937">
      <w:pPr>
        <w:pStyle w:val="Heading1"/>
      </w:pPr>
      <w:bookmarkStart w:id="13" w:name="_Toc455138802"/>
      <w:r>
        <w:t>IV.</w:t>
      </w:r>
      <w:r>
        <w:tab/>
        <w:t xml:space="preserve">LESSONS LEARNED FROM </w:t>
      </w:r>
      <w:r w:rsidRPr="003A4BAB">
        <w:rPr>
          <w:i/>
        </w:rPr>
        <w:t>COLE</w:t>
      </w:r>
      <w:bookmarkEnd w:id="13"/>
    </w:p>
    <w:p w:rsidR="00B2772B" w:rsidRPr="00EA7590" w:rsidRDefault="00B2772B" w:rsidP="004F5937">
      <w:pPr>
        <w:pStyle w:val="Heading2"/>
      </w:pPr>
      <w:bookmarkStart w:id="14" w:name="_Toc455138803"/>
      <w:r>
        <w:t>A.</w:t>
      </w:r>
      <w:r>
        <w:tab/>
      </w:r>
      <w:r w:rsidR="000914D1">
        <w:t>Lease</w:t>
      </w:r>
      <w:r w:rsidRPr="00EA7590">
        <w:t xml:space="preserve"> Solutions Is Not Merchandising</w:t>
      </w:r>
      <w:bookmarkEnd w:id="14"/>
    </w:p>
    <w:p w:rsidR="00B2772B" w:rsidRDefault="00B2772B" w:rsidP="00B2772B">
      <w:pPr>
        <w:pStyle w:val="question"/>
        <w:keepNext/>
        <w:keepLines/>
        <w:spacing w:before="120"/>
        <w:rPr>
          <w:szCs w:val="24"/>
        </w:rPr>
      </w:pPr>
      <w:r w:rsidRPr="0096592F">
        <w:rPr>
          <w:szCs w:val="24"/>
        </w:rPr>
        <w:t>Q.</w:t>
      </w:r>
      <w:r w:rsidRPr="0096592F">
        <w:rPr>
          <w:szCs w:val="24"/>
        </w:rPr>
        <w:tab/>
      </w:r>
      <w:r>
        <w:rPr>
          <w:szCs w:val="24"/>
        </w:rPr>
        <w:t>How do you respond to Mr. Cebulko</w:t>
      </w:r>
      <w:r w:rsidRPr="00256F4B">
        <w:rPr>
          <w:szCs w:val="24"/>
        </w:rPr>
        <w:t>’s characterization of the circumstances surr</w:t>
      </w:r>
      <w:r>
        <w:rPr>
          <w:szCs w:val="24"/>
        </w:rPr>
        <w:t>ounding the inception of the Washington Natural Gas (“WNG”)</w:t>
      </w:r>
      <w:r w:rsidRPr="00256F4B">
        <w:rPr>
          <w:szCs w:val="24"/>
        </w:rPr>
        <w:t xml:space="preserve"> leasing program in 1961?</w:t>
      </w:r>
      <w:r>
        <w:rPr>
          <w:rStyle w:val="FootnoteReference"/>
          <w:szCs w:val="24"/>
        </w:rPr>
        <w:footnoteReference w:id="9"/>
      </w:r>
    </w:p>
    <w:p w:rsidR="00B2772B" w:rsidRDefault="00B2772B" w:rsidP="00B2772B">
      <w:pPr>
        <w:pStyle w:val="answer"/>
      </w:pPr>
      <w:r w:rsidRPr="00256F4B">
        <w:t>A.</w:t>
      </w:r>
      <w:r w:rsidRPr="00256F4B">
        <w:tab/>
        <w:t xml:space="preserve">Mr. Cebulko has only shared part of the story.  In the late 1950s, </w:t>
      </w:r>
      <w:r>
        <w:t>WNG experienced a</w:t>
      </w:r>
      <w:r w:rsidRPr="00256F4B">
        <w:t xml:space="preserve"> decline in business because the cost of natural gas was not competitive compared to other fuels and it had many gas distribution lines that were going unused.  The strain on the company was such that it did not have sufficient resources to strengthen and expand the company.  In 1961, WNG began renting </w:t>
      </w:r>
      <w:r>
        <w:t xml:space="preserve">gas </w:t>
      </w:r>
      <w:r w:rsidRPr="00256F4B">
        <w:t>conversion burners to homeowners so customers could convert their oil furnaces to gas use without having to purchase the equipment outright as many customers could not afford the upfront equipment costs.</w:t>
      </w:r>
      <w:r w:rsidRPr="00256F4B">
        <w:rPr>
          <w:vertAlign w:val="superscript"/>
        </w:rPr>
        <w:footnoteReference w:id="10"/>
      </w:r>
      <w:r w:rsidRPr="00256F4B">
        <w:t xml:space="preserve">  To further encourage switching, the equipment was also offered to customers below cost.  Because of </w:t>
      </w:r>
      <w:r w:rsidRPr="00256F4B">
        <w:lastRenderedPageBreak/>
        <w:t>the success of the program, in 1964, WNG also began offering gas circulating heaters, furnaces, and water heaters.</w:t>
      </w:r>
      <w:r w:rsidRPr="00256F4B">
        <w:rPr>
          <w:vertAlign w:val="superscript"/>
        </w:rPr>
        <w:footnoteReference w:id="11"/>
      </w:r>
    </w:p>
    <w:p w:rsidR="00B2772B" w:rsidRPr="001843A6" w:rsidRDefault="00B2772B" w:rsidP="00B2772B">
      <w:pPr>
        <w:pStyle w:val="answer"/>
        <w:rPr>
          <w:b/>
        </w:rPr>
      </w:pPr>
      <w:r w:rsidRPr="001843A6">
        <w:rPr>
          <w:b/>
        </w:rPr>
        <w:t>Q.</w:t>
      </w:r>
      <w:r w:rsidRPr="001843A6">
        <w:rPr>
          <w:b/>
        </w:rPr>
        <w:tab/>
        <w:t xml:space="preserve">What </w:t>
      </w:r>
      <w:r w:rsidR="0012518E">
        <w:rPr>
          <w:b/>
        </w:rPr>
        <w:t xml:space="preserve">was </w:t>
      </w:r>
      <w:r w:rsidRPr="001843A6">
        <w:rPr>
          <w:b/>
        </w:rPr>
        <w:t>the specific purpose of the program?</w:t>
      </w:r>
    </w:p>
    <w:p w:rsidR="00B2772B" w:rsidRPr="001843A6" w:rsidRDefault="00B2772B" w:rsidP="00B2772B">
      <w:pPr>
        <w:pStyle w:val="answer"/>
      </w:pPr>
      <w:r w:rsidRPr="001843A6">
        <w:t>A.</w:t>
      </w:r>
      <w:r w:rsidRPr="001843A6">
        <w:tab/>
      </w:r>
      <w:r w:rsidR="0012518E">
        <w:t xml:space="preserve">As explained by the Commission, “the purpose [was] to build load and gain gas customers and to give prospective gas customers who could </w:t>
      </w:r>
      <w:r w:rsidRPr="001843A6">
        <w:t xml:space="preserve">not afford to purchase the necessary equipment the opportunity to have </w:t>
      </w:r>
      <w:r w:rsidR="0012518E">
        <w:t>gas service within their means without the necessity of purchasing the appliances.”</w:t>
      </w:r>
      <w:r w:rsidRPr="001843A6">
        <w:rPr>
          <w:vertAlign w:val="superscript"/>
        </w:rPr>
        <w:footnoteReference w:id="12"/>
      </w:r>
    </w:p>
    <w:p w:rsidR="00B2772B" w:rsidRPr="001843A6" w:rsidRDefault="00B2772B" w:rsidP="00B2772B">
      <w:pPr>
        <w:pStyle w:val="answer"/>
        <w:rPr>
          <w:b/>
        </w:rPr>
      </w:pPr>
      <w:r w:rsidRPr="001843A6">
        <w:rPr>
          <w:b/>
        </w:rPr>
        <w:t>Q.</w:t>
      </w:r>
      <w:r w:rsidRPr="001843A6">
        <w:rPr>
          <w:b/>
        </w:rPr>
        <w:tab/>
        <w:t>What exactly was WNG offering customers?</w:t>
      </w:r>
    </w:p>
    <w:p w:rsidR="00B2772B" w:rsidRPr="001843A6" w:rsidRDefault="00B2772B" w:rsidP="00B2772B">
      <w:pPr>
        <w:pStyle w:val="answer"/>
      </w:pPr>
      <w:r w:rsidRPr="001843A6">
        <w:t>A.</w:t>
      </w:r>
      <w:r w:rsidRPr="001843A6">
        <w:tab/>
        <w:t>WNG was offering customers the option to rent gas conversion burners, gas circulating heaters, furnaces, and water heaters.  Like PSE’s current proposal, the equipment lease included any “normal” installation costs; maintenance and repair service; and replacement if the equipment failed.  The cost was simply added to the customer’s bill.  A “normal” installation was akin to a “standard” installation as currently proposed by PSE and did not include “any changes, modifications or upgrading of the distribution system.”  The customer was responsible for any “excess cost.”</w:t>
      </w:r>
      <w:r w:rsidRPr="001843A6">
        <w:rPr>
          <w:vertAlign w:val="superscript"/>
        </w:rPr>
        <w:footnoteReference w:id="13"/>
      </w:r>
      <w:r w:rsidRPr="001843A6">
        <w:t xml:space="preserve">  </w:t>
      </w:r>
    </w:p>
    <w:p w:rsidR="00B2772B" w:rsidRPr="001843A6" w:rsidRDefault="00B2772B" w:rsidP="00B2772B">
      <w:pPr>
        <w:pStyle w:val="answer"/>
        <w:rPr>
          <w:b/>
        </w:rPr>
      </w:pPr>
      <w:r w:rsidRPr="001843A6">
        <w:rPr>
          <w:b/>
        </w:rPr>
        <w:t>Q.</w:t>
      </w:r>
      <w:r w:rsidRPr="001843A6">
        <w:rPr>
          <w:b/>
        </w:rPr>
        <w:tab/>
        <w:t>How did the</w:t>
      </w:r>
      <w:r>
        <w:rPr>
          <w:b/>
        </w:rPr>
        <w:t xml:space="preserve"> </w:t>
      </w:r>
      <w:r w:rsidRPr="001843A6">
        <w:rPr>
          <w:b/>
        </w:rPr>
        <w:t>litigation begin?</w:t>
      </w:r>
    </w:p>
    <w:p w:rsidR="00B2772B" w:rsidRPr="001843A6" w:rsidRDefault="00B2772B" w:rsidP="00B2772B">
      <w:pPr>
        <w:pStyle w:val="answer"/>
      </w:pPr>
      <w:r w:rsidRPr="001843A6">
        <w:lastRenderedPageBreak/>
        <w:t>A.</w:t>
      </w:r>
      <w:r w:rsidRPr="001843A6">
        <w:tab/>
        <w:t>In early 1962, the Oil Heat Institute and the Association of</w:t>
      </w:r>
      <w:r w:rsidR="007A6F78">
        <w:t xml:space="preserve"> Gas Utilities petitioned</w:t>
      </w:r>
      <w:r w:rsidRPr="001843A6">
        <w:t xml:space="preserve"> the Commission challenging WNG’s gas conversion rental program.  By letter dated April 10, 1962, the Commission informed the associations that “Gas conversion rental charges appear to be subject to Commission jurisdiction and all utilities will be so advised and where delinquent requested to file necessary tariffs.”</w:t>
      </w:r>
      <w:r w:rsidRPr="001843A6">
        <w:rPr>
          <w:vertAlign w:val="superscript"/>
        </w:rPr>
        <w:footnoteReference w:id="14"/>
      </w:r>
      <w:r w:rsidRPr="001843A6">
        <w:t xml:space="preserve">  Undeterred, in 1965, several custo</w:t>
      </w:r>
      <w:r>
        <w:t>mers and the Oil Heat Institute</w:t>
      </w:r>
      <w:r w:rsidRPr="001843A6">
        <w:t xml:space="preserve"> filed a complaint before the Commission challenging the program.</w:t>
      </w:r>
    </w:p>
    <w:p w:rsidR="00B2772B" w:rsidRPr="001843A6" w:rsidRDefault="00B2772B" w:rsidP="00B2772B">
      <w:pPr>
        <w:pStyle w:val="answer"/>
        <w:rPr>
          <w:b/>
        </w:rPr>
      </w:pPr>
      <w:r w:rsidRPr="001843A6">
        <w:rPr>
          <w:b/>
        </w:rPr>
        <w:t>Q.</w:t>
      </w:r>
      <w:r w:rsidRPr="001843A6">
        <w:rPr>
          <w:b/>
        </w:rPr>
        <w:tab/>
        <w:t>What was Staff’s reaction to WNG’s proposal?</w:t>
      </w:r>
    </w:p>
    <w:p w:rsidR="00B2772B" w:rsidRPr="001843A6" w:rsidRDefault="00B2772B" w:rsidP="00B2772B">
      <w:pPr>
        <w:pStyle w:val="answer"/>
      </w:pPr>
      <w:r w:rsidRPr="001843A6">
        <w:t>A.</w:t>
      </w:r>
      <w:r w:rsidRPr="001843A6">
        <w:tab/>
        <w:t>Staff strenuously opposed WNG’s proposal.  Staff argued that that equipment leases were “non-jurisdictional” because they constituted merchandising under RCW 80.04.270.  Staff asked that the Commission disallow the program and “find leasing to be a non-utility function subject to the law of the marketplace rather than regulatory jurisdiction.”</w:t>
      </w:r>
      <w:r w:rsidRPr="001843A6">
        <w:rPr>
          <w:vertAlign w:val="superscript"/>
        </w:rPr>
        <w:footnoteReference w:id="15"/>
      </w:r>
      <w:r w:rsidRPr="001843A6">
        <w:rPr>
          <w:rFonts w:ascii="Times New Roman" w:eastAsiaTheme="minorHAnsi" w:hAnsi="Times New Roman" w:cstheme="minorBidi"/>
          <w:szCs w:val="24"/>
          <w:lang w:eastAsia="en-US"/>
        </w:rPr>
        <w:t xml:space="preserve"> </w:t>
      </w:r>
      <w:r>
        <w:rPr>
          <w:rFonts w:ascii="Times New Roman" w:eastAsiaTheme="minorHAnsi" w:hAnsi="Times New Roman" w:cstheme="minorBidi"/>
          <w:szCs w:val="24"/>
          <w:lang w:eastAsia="en-US"/>
        </w:rPr>
        <w:t xml:space="preserve"> </w:t>
      </w:r>
      <w:r w:rsidRPr="001843A6">
        <w:t>Staff argued that WNG’s lease program was the functional equivalent of a sale and that under RCW 80.04.270, leases should be treated as sales.</w:t>
      </w:r>
      <w:r w:rsidRPr="001843A6">
        <w:rPr>
          <w:vertAlign w:val="superscript"/>
        </w:rPr>
        <w:footnoteReference w:id="16"/>
      </w:r>
    </w:p>
    <w:p w:rsidR="00B2772B" w:rsidRPr="001843A6" w:rsidRDefault="00B2772B" w:rsidP="00B2772B">
      <w:pPr>
        <w:pStyle w:val="answer"/>
        <w:rPr>
          <w:b/>
        </w:rPr>
      </w:pPr>
      <w:r w:rsidRPr="001843A6">
        <w:rPr>
          <w:b/>
        </w:rPr>
        <w:t>Q.</w:t>
      </w:r>
      <w:r w:rsidRPr="001843A6">
        <w:rPr>
          <w:b/>
        </w:rPr>
        <w:tab/>
        <w:t>How did the Commission react to Staff’s argument that the rental program was merchandising?</w:t>
      </w:r>
    </w:p>
    <w:p w:rsidR="00B2772B" w:rsidRPr="00256F4B" w:rsidRDefault="00B2772B" w:rsidP="00B2772B">
      <w:pPr>
        <w:pStyle w:val="answer"/>
      </w:pPr>
      <w:r w:rsidRPr="001843A6">
        <w:lastRenderedPageBreak/>
        <w:t>A.</w:t>
      </w:r>
      <w:r w:rsidRPr="001843A6">
        <w:tab/>
        <w:t>The Commission rejected it.  In the Commission’s Proposed Order cited by Mr. Cebulko, after reviewing RCW 80.04.270, the Commission confirmed that WNG’s rental program was within the Commission’s jurisdiction because it was not a sale.</w:t>
      </w:r>
      <w:r w:rsidRPr="001843A6">
        <w:rPr>
          <w:vertAlign w:val="superscript"/>
        </w:rPr>
        <w:footnoteReference w:id="17"/>
      </w:r>
      <w:r w:rsidRPr="001843A6">
        <w:t xml:space="preserve">  In reaching this decision, the Commission also reviewed RCW 80.04.130 and 80.04.150 which, according to the Commission, “empower the Commission to determine the reasonableness and justness of any rate schedule,” including expressly “</w:t>
      </w:r>
      <w:r w:rsidRPr="001843A6">
        <w:rPr>
          <w:u w:val="single"/>
        </w:rPr>
        <w:t>rentals</w:t>
      </w:r>
      <w:r w:rsidRPr="001843A6">
        <w:t>.”</w:t>
      </w:r>
      <w:r w:rsidRPr="001843A6">
        <w:rPr>
          <w:vertAlign w:val="superscript"/>
        </w:rPr>
        <w:footnoteReference w:id="18"/>
      </w:r>
    </w:p>
    <w:p w:rsidR="00B2772B" w:rsidRPr="001843A6" w:rsidRDefault="00B2772B" w:rsidP="00B2772B">
      <w:pPr>
        <w:pStyle w:val="answer"/>
        <w:rPr>
          <w:b/>
        </w:rPr>
      </w:pPr>
      <w:r w:rsidRPr="001843A6">
        <w:rPr>
          <w:b/>
        </w:rPr>
        <w:t>Q.</w:t>
      </w:r>
      <w:r w:rsidRPr="001843A6">
        <w:rPr>
          <w:b/>
        </w:rPr>
        <w:tab/>
      </w:r>
      <w:r w:rsidR="004640E9" w:rsidRPr="001843A6">
        <w:rPr>
          <w:b/>
        </w:rPr>
        <w:t>Ha</w:t>
      </w:r>
      <w:r w:rsidR="004640E9">
        <w:rPr>
          <w:b/>
        </w:rPr>
        <w:t>ve</w:t>
      </w:r>
      <w:r w:rsidR="004640E9" w:rsidRPr="001843A6">
        <w:rPr>
          <w:b/>
        </w:rPr>
        <w:t xml:space="preserve"> </w:t>
      </w:r>
      <w:r w:rsidRPr="001843A6">
        <w:rPr>
          <w:b/>
        </w:rPr>
        <w:t>Staff and others also argued that Lease Solutions should be prohibited by RCW 80.04.270?</w:t>
      </w:r>
    </w:p>
    <w:p w:rsidR="00B2772B" w:rsidRPr="001843A6" w:rsidRDefault="00B2772B" w:rsidP="00B2772B">
      <w:pPr>
        <w:pStyle w:val="answer"/>
      </w:pPr>
      <w:r w:rsidRPr="001843A6">
        <w:t>A.</w:t>
      </w:r>
      <w:r w:rsidRPr="001843A6">
        <w:tab/>
        <w:t xml:space="preserve">Yes.  In fact, Staff’s arguments in this case are remarkably similar to its arguments in </w:t>
      </w:r>
      <w:r w:rsidRPr="001843A6">
        <w:rPr>
          <w:i/>
        </w:rPr>
        <w:t>Cole</w:t>
      </w:r>
      <w:r w:rsidRPr="001843A6">
        <w:t xml:space="preserve">.  Like Staff in </w:t>
      </w:r>
      <w:r w:rsidRPr="001843A6">
        <w:rPr>
          <w:i/>
        </w:rPr>
        <w:t>Cole</w:t>
      </w:r>
      <w:r w:rsidRPr="001843A6">
        <w:t>, Ms. O’Connell goes to great lengths to argue that Lease Solutions should be construed as a sale because she believes that Lease Solutions “has the economic effect of a sale.”</w:t>
      </w:r>
      <w:r w:rsidRPr="001843A6">
        <w:rPr>
          <w:vertAlign w:val="superscript"/>
        </w:rPr>
        <w:footnoteReference w:id="19"/>
      </w:r>
      <w:r w:rsidRPr="001843A6">
        <w:t xml:space="preserve">  Her argument, however, suffers from the same flaw as Staff’s argument did in </w:t>
      </w:r>
      <w:r w:rsidRPr="001843A6">
        <w:rPr>
          <w:i/>
        </w:rPr>
        <w:t>Cole</w:t>
      </w:r>
      <w:r w:rsidRPr="001843A6">
        <w:t xml:space="preserve"> expressly rejected by the Commission:  Like the WNG rental program in </w:t>
      </w:r>
      <w:r w:rsidRPr="001843A6">
        <w:rPr>
          <w:i/>
        </w:rPr>
        <w:t>Cole</w:t>
      </w:r>
      <w:r w:rsidRPr="001843A6">
        <w:t xml:space="preserve">, under Lease Solutions when the lease term ends, the property reverts back to </w:t>
      </w:r>
      <w:r w:rsidR="004640E9">
        <w:t xml:space="preserve">PSE, </w:t>
      </w:r>
      <w:r w:rsidRPr="001843A6">
        <w:t xml:space="preserve">the lessor.  This, according to the Commission, constitutes a lease, not a sale.  As explained by the Commission in </w:t>
      </w:r>
      <w:r w:rsidRPr="001843A6">
        <w:rPr>
          <w:i/>
        </w:rPr>
        <w:t>Cole</w:t>
      </w:r>
      <w:r w:rsidRPr="001843A6">
        <w:t xml:space="preserve"> regarding RCW 80.04.270:</w:t>
      </w:r>
    </w:p>
    <w:p w:rsidR="00B2772B" w:rsidRPr="001843A6" w:rsidRDefault="00B2772B" w:rsidP="00B2772B">
      <w:pPr>
        <w:pStyle w:val="answer"/>
        <w:spacing w:after="240" w:line="240" w:lineRule="auto"/>
        <w:ind w:left="1440" w:right="720" w:firstLine="0"/>
      </w:pPr>
      <w:r w:rsidRPr="001843A6">
        <w:lastRenderedPageBreak/>
        <w:t xml:space="preserve">“[RCW 80.02.270] relates to only a ‘sale.’  Staff counsel argues that it should be so interpreted to include the leasing programs of the defendant.  </w:t>
      </w:r>
      <w:r w:rsidRPr="001843A6">
        <w:rPr>
          <w:u w:val="single"/>
        </w:rPr>
        <w:t>We have examined the arguments made by staff counsel in support of his contentions and entirely disagree with his theories</w:t>
      </w:r>
      <w:r w:rsidRPr="001843A6">
        <w:t>.  The distinction between a ‘sale’ and a ‘lease’ is so well known as not to require discussion. . . .  By definition and by differing legal effects, a sale and a lease are not the same thing.”</w:t>
      </w:r>
      <w:r w:rsidRPr="001843A6">
        <w:rPr>
          <w:vertAlign w:val="superscript"/>
        </w:rPr>
        <w:footnoteReference w:id="20"/>
      </w:r>
    </w:p>
    <w:p w:rsidR="00B2772B" w:rsidRPr="001843A6" w:rsidRDefault="00B2772B" w:rsidP="00B2772B">
      <w:pPr>
        <w:pStyle w:val="answer"/>
        <w:spacing w:after="240" w:line="240" w:lineRule="auto"/>
        <w:ind w:left="1440" w:right="720" w:firstLine="0"/>
      </w:pPr>
      <w:r w:rsidRPr="001843A6">
        <w:t>“A rental or lease or a gas appliance is not a ‘sale.’  The statute is not intended to apply to a ‘rental’ or a ‘lease’ of appliances or equipment, and it does not.”</w:t>
      </w:r>
      <w:r w:rsidRPr="001843A6">
        <w:rPr>
          <w:vertAlign w:val="superscript"/>
        </w:rPr>
        <w:footnoteReference w:id="21"/>
      </w:r>
    </w:p>
    <w:p w:rsidR="00B2772B" w:rsidRDefault="00B2772B" w:rsidP="00B2772B">
      <w:pPr>
        <w:pStyle w:val="answer"/>
        <w:ind w:firstLine="0"/>
      </w:pPr>
      <w:r w:rsidRPr="001843A6">
        <w:t xml:space="preserve">Like </w:t>
      </w:r>
      <w:r w:rsidRPr="001843A6">
        <w:rPr>
          <w:i/>
        </w:rPr>
        <w:t>Cole</w:t>
      </w:r>
      <w:r w:rsidRPr="001843A6">
        <w:t>, as much as Staff wants leasing to amount to the function</w:t>
      </w:r>
      <w:r w:rsidR="007A6F78">
        <w:t>al equivalent of a sale, it is no</w:t>
      </w:r>
      <w:r w:rsidRPr="001843A6">
        <w:t>t a sale because it is missing the economic essence of a sale:  the actual transfer of ownership.</w:t>
      </w:r>
    </w:p>
    <w:p w:rsidR="00B2772B" w:rsidRDefault="00B2772B" w:rsidP="00B2772B">
      <w:pPr>
        <w:pStyle w:val="answer"/>
        <w:rPr>
          <w:b/>
        </w:rPr>
      </w:pPr>
      <w:r w:rsidRPr="001843A6">
        <w:rPr>
          <w:b/>
        </w:rPr>
        <w:t>Q.</w:t>
      </w:r>
      <w:r w:rsidRPr="001843A6">
        <w:rPr>
          <w:b/>
        </w:rPr>
        <w:tab/>
      </w:r>
      <w:r w:rsidRPr="003A4BAB">
        <w:rPr>
          <w:b/>
        </w:rPr>
        <w:t>How do you respond to Ms. O’Connell’s suggestion that PSE is just a financier of the program</w:t>
      </w:r>
      <w:r>
        <w:rPr>
          <w:b/>
        </w:rPr>
        <w:t>, which function is not appropriate for a utility</w:t>
      </w:r>
      <w:r w:rsidRPr="003A4BAB">
        <w:rPr>
          <w:b/>
        </w:rPr>
        <w:t>?</w:t>
      </w:r>
      <w:r>
        <w:rPr>
          <w:rStyle w:val="FootnoteReference"/>
          <w:b/>
        </w:rPr>
        <w:footnoteReference w:id="22"/>
      </w:r>
    </w:p>
    <w:p w:rsidR="00B2772B" w:rsidRDefault="00B2772B" w:rsidP="00B2772B">
      <w:pPr>
        <w:pStyle w:val="answer"/>
      </w:pPr>
      <w:r w:rsidRPr="003A4BAB">
        <w:t>A.</w:t>
      </w:r>
      <w:r w:rsidRPr="003A4BAB">
        <w:tab/>
        <w:t xml:space="preserve">Ms. O’Connell’s theory that providing capital in support of a utility enterprise is beyond the jurisdictional authority of a utility is not supported by any </w:t>
      </w:r>
      <w:r w:rsidR="00231B70">
        <w:t xml:space="preserve">legal </w:t>
      </w:r>
      <w:r w:rsidRPr="003A4BAB">
        <w:t xml:space="preserve">authority.  Indeed, as Staff well knows, PSE has </w:t>
      </w:r>
      <w:r w:rsidR="00F63EDB">
        <w:t>provided capital for its existing</w:t>
      </w:r>
      <w:r w:rsidR="00122B24" w:rsidRPr="003A4BAB">
        <w:t xml:space="preserve"> </w:t>
      </w:r>
      <w:r w:rsidRPr="003A4BAB">
        <w:t xml:space="preserve">program for over fifty years, of which the Commission approved of in </w:t>
      </w:r>
      <w:r w:rsidRPr="003A4BAB">
        <w:rPr>
          <w:i/>
        </w:rPr>
        <w:t>Cole</w:t>
      </w:r>
      <w:r>
        <w:t>.  The Commission also</w:t>
      </w:r>
      <w:r w:rsidRPr="003A4BAB">
        <w:t xml:space="preserve"> reaffirmed </w:t>
      </w:r>
      <w:r>
        <w:t xml:space="preserve">the program </w:t>
      </w:r>
      <w:r w:rsidRPr="003A4BAB">
        <w:t>in the WNG 1992 rate case</w:t>
      </w:r>
      <w:r w:rsidR="00231B70">
        <w:t>,</w:t>
      </w:r>
      <w:r w:rsidRPr="003A4BAB">
        <w:t xml:space="preserve"> as discussed by Ms. Norton</w:t>
      </w:r>
      <w:r w:rsidR="00231B70">
        <w:t>,</w:t>
      </w:r>
      <w:r w:rsidRPr="003A4BAB">
        <w:t xml:space="preserve"> and</w:t>
      </w:r>
      <w:r>
        <w:t xml:space="preserve"> </w:t>
      </w:r>
      <w:r w:rsidR="00F63EDB">
        <w:t>the existing service</w:t>
      </w:r>
      <w:r w:rsidR="00231B70" w:rsidRPr="003A4BAB">
        <w:t xml:space="preserve"> </w:t>
      </w:r>
      <w:r w:rsidRPr="003A4BAB">
        <w:t xml:space="preserve">continues to operate today.  Ms. O’Connell cannot provide any authority for her position because one of PSE’s primary functions as a public utility is just that:  a financier of </w:t>
      </w:r>
      <w:r w:rsidR="004F483E">
        <w:t>capital</w:t>
      </w:r>
      <w:r w:rsidR="004F483E" w:rsidRPr="003A4BAB">
        <w:t xml:space="preserve"> </w:t>
      </w:r>
      <w:r w:rsidRPr="003A4BAB">
        <w:t xml:space="preserve">required to </w:t>
      </w:r>
      <w:r w:rsidRPr="003A4BAB">
        <w:lastRenderedPageBreak/>
        <w:t xml:space="preserve">provide utility service </w:t>
      </w:r>
      <w:r w:rsidR="0078687A">
        <w:t xml:space="preserve">and associated services </w:t>
      </w:r>
      <w:r w:rsidRPr="003A4BAB">
        <w:t>to customers.  From the actual power generating facilities, to the transmission lines</w:t>
      </w:r>
      <w:r w:rsidR="004F483E">
        <w:t xml:space="preserve"> and pipelines</w:t>
      </w:r>
      <w:r w:rsidRPr="003A4BAB">
        <w:t xml:space="preserve"> that transport power</w:t>
      </w:r>
      <w:r w:rsidR="004F483E">
        <w:t xml:space="preserve"> and gas</w:t>
      </w:r>
      <w:r w:rsidRPr="003A4BAB">
        <w:t>, to the meters attached to a customer’s home</w:t>
      </w:r>
      <w:r w:rsidR="0078687A">
        <w:t xml:space="preserve"> or business</w:t>
      </w:r>
      <w:r w:rsidR="000914D1">
        <w:t>, to water</w:t>
      </w:r>
      <w:r w:rsidR="004F483E">
        <w:t xml:space="preserve"> heaters as part of the </w:t>
      </w:r>
      <w:r w:rsidR="000914D1">
        <w:t>existing</w:t>
      </w:r>
      <w:r w:rsidR="004F483E">
        <w:t xml:space="preserve"> </w:t>
      </w:r>
      <w:r w:rsidR="00122B24">
        <w:t xml:space="preserve">rental </w:t>
      </w:r>
      <w:r w:rsidR="004F483E">
        <w:t>program</w:t>
      </w:r>
      <w:r w:rsidR="0078687A">
        <w:t xml:space="preserve"> and lightbulbs for lighting services</w:t>
      </w:r>
      <w:r w:rsidRPr="003A4BAB">
        <w:t>, PSE provides capital for all of these.  Thus, Ms. O’Connell’s argument is completely detached from the reality of utility service.  The fact that PSE is providing capital for the leasing program does not make PSE’s leasing program a sale, nor does it indicate that PSE’s proposed program is beyond the jurisdictional authority of a public utility</w:t>
      </w:r>
      <w:r w:rsidR="0078687A">
        <w:t>.</w:t>
      </w:r>
    </w:p>
    <w:p w:rsidR="00B2772B" w:rsidRPr="003A4BAB" w:rsidRDefault="00B2772B" w:rsidP="00B2772B">
      <w:pPr>
        <w:pStyle w:val="answer"/>
        <w:rPr>
          <w:b/>
        </w:rPr>
      </w:pPr>
      <w:r w:rsidRPr="003A4BAB">
        <w:rPr>
          <w:b/>
        </w:rPr>
        <w:t>Q.</w:t>
      </w:r>
      <w:r w:rsidRPr="003A4BAB">
        <w:rPr>
          <w:b/>
        </w:rPr>
        <w:tab/>
        <w:t>Is Lease Solutions an insurance program as Staff suggests?</w:t>
      </w:r>
      <w:r>
        <w:rPr>
          <w:rStyle w:val="FootnoteReference"/>
          <w:b/>
        </w:rPr>
        <w:footnoteReference w:id="23"/>
      </w:r>
    </w:p>
    <w:p w:rsidR="00B2772B" w:rsidRDefault="00B2772B" w:rsidP="00B2772B">
      <w:pPr>
        <w:pStyle w:val="answer"/>
      </w:pPr>
      <w:r>
        <w:t>A.</w:t>
      </w:r>
      <w:r>
        <w:tab/>
        <w:t>No.  Lease Solutions provides customers with extensive protections for the equipment including regularly-scheduled maintenance, repair, and lifetime warranty throughout the lease term.  This protection is similar to the services provided by WNG to equipment rental customers which continue</w:t>
      </w:r>
      <w:r w:rsidR="00F20FDC">
        <w:t>s</w:t>
      </w:r>
      <w:r w:rsidR="00F63EDB">
        <w:t xml:space="preserve"> to PSE’s existing</w:t>
      </w:r>
      <w:r w:rsidR="00122B24">
        <w:t xml:space="preserve"> </w:t>
      </w:r>
      <w:r w:rsidR="00F63EDB">
        <w:t>service</w:t>
      </w:r>
      <w:r>
        <w:t>.  PSE also provides warranty and repair for other leased equipment</w:t>
      </w:r>
      <w:r w:rsidR="00411254">
        <w:t xml:space="preserve"> such as lighting services, compressed natural gas services and substation distribution services</w:t>
      </w:r>
      <w:r>
        <w:t>.  To the extent Staff is suggesting there is something improper about this service, it has provided no authority for such an assertion.</w:t>
      </w:r>
    </w:p>
    <w:p w:rsidR="00B2772B" w:rsidRPr="003A4BAB" w:rsidRDefault="00B2772B" w:rsidP="00B2772B">
      <w:pPr>
        <w:pStyle w:val="answer"/>
        <w:rPr>
          <w:b/>
        </w:rPr>
      </w:pPr>
      <w:r w:rsidRPr="003A4BAB">
        <w:rPr>
          <w:b/>
        </w:rPr>
        <w:lastRenderedPageBreak/>
        <w:t>Q.</w:t>
      </w:r>
      <w:r w:rsidRPr="003A4BAB">
        <w:rPr>
          <w:b/>
        </w:rPr>
        <w:tab/>
        <w:t>If Lease Solutions is a leasing program, why can customers elect to purchase the equipment?</w:t>
      </w:r>
    </w:p>
    <w:p w:rsidR="00B2772B" w:rsidRPr="00F63EDB" w:rsidRDefault="00B2772B" w:rsidP="00F63EDB">
      <w:pPr>
        <w:pStyle w:val="answer"/>
      </w:pPr>
      <w:r w:rsidRPr="00F63EDB">
        <w:rPr>
          <w:rFonts w:ascii="Times New Roman" w:hAnsi="Times New Roman"/>
        </w:rPr>
        <w:t>A.</w:t>
      </w:r>
      <w:r w:rsidRPr="00F63EDB">
        <w:rPr>
          <w:rFonts w:ascii="Times New Roman" w:hAnsi="Times New Roman"/>
        </w:rPr>
        <w:tab/>
      </w:r>
      <w:r w:rsidR="00231B70" w:rsidRPr="00F63EDB">
        <w:rPr>
          <w:rFonts w:ascii="Times New Roman" w:hAnsi="Times New Roman"/>
        </w:rPr>
        <w:t xml:space="preserve">In the Commission Order affirming the continuance of the WNG water heater rental program, WNG offered, and the Commission ordered, WNG to </w:t>
      </w:r>
      <w:r w:rsidR="003108C8" w:rsidRPr="00F63EDB">
        <w:rPr>
          <w:rFonts w:ascii="Times New Roman" w:hAnsi="Times New Roman"/>
        </w:rPr>
        <w:t>allow customers the option to purchase their rented water heaters.</w:t>
      </w:r>
      <w:r w:rsidR="003108C8">
        <w:rPr>
          <w:rStyle w:val="FootnoteReference"/>
          <w:rFonts w:ascii="Times New Roman" w:hAnsi="Times New Roman"/>
        </w:rPr>
        <w:footnoteReference w:id="24"/>
      </w:r>
      <w:r w:rsidR="003108C8" w:rsidRPr="00F63EDB">
        <w:rPr>
          <w:rFonts w:ascii="Times New Roman" w:hAnsi="Times New Roman"/>
        </w:rPr>
        <w:t xml:space="preserve">  </w:t>
      </w:r>
    </w:p>
    <w:p w:rsidR="00B2772B" w:rsidRPr="003A4BAB" w:rsidRDefault="009612F7" w:rsidP="004F5937">
      <w:pPr>
        <w:pStyle w:val="Heading2"/>
      </w:pPr>
      <w:bookmarkStart w:id="15" w:name="_Toc455138804"/>
      <w:r>
        <w:t>B.</w:t>
      </w:r>
      <w:r>
        <w:tab/>
      </w:r>
      <w:r w:rsidR="00B2772B">
        <w:t>The Commission Has Authority Over Leased Equipment</w:t>
      </w:r>
      <w:bookmarkEnd w:id="15"/>
    </w:p>
    <w:p w:rsidR="00B2772B" w:rsidRDefault="00B2772B" w:rsidP="00B2772B">
      <w:pPr>
        <w:pStyle w:val="answer"/>
        <w:rPr>
          <w:b/>
        </w:rPr>
      </w:pPr>
      <w:r w:rsidRPr="003A4BAB">
        <w:rPr>
          <w:b/>
        </w:rPr>
        <w:t>Q.</w:t>
      </w:r>
      <w:r w:rsidRPr="003A4BAB">
        <w:rPr>
          <w:b/>
        </w:rPr>
        <w:tab/>
        <w:t>Staff suggests that customer appliances are located behind the meter and should therefore not be considered electric plant.</w:t>
      </w:r>
      <w:r w:rsidRPr="003A4BAB">
        <w:rPr>
          <w:b/>
          <w:vertAlign w:val="superscript"/>
        </w:rPr>
        <w:footnoteReference w:id="25"/>
      </w:r>
      <w:r w:rsidRPr="003A4BAB">
        <w:rPr>
          <w:b/>
        </w:rPr>
        <w:t xml:space="preserve">  Did the Commission address this issue in </w:t>
      </w:r>
      <w:r w:rsidRPr="003A4BAB">
        <w:rPr>
          <w:b/>
          <w:i/>
        </w:rPr>
        <w:t>Cole</w:t>
      </w:r>
      <w:r w:rsidRPr="003A4BAB">
        <w:rPr>
          <w:b/>
        </w:rPr>
        <w:t>?</w:t>
      </w:r>
    </w:p>
    <w:p w:rsidR="00B2772B" w:rsidRPr="003A4BAB" w:rsidRDefault="00B2772B" w:rsidP="00B2772B">
      <w:pPr>
        <w:pStyle w:val="answer"/>
        <w:rPr>
          <w:b/>
        </w:rPr>
      </w:pPr>
      <w:r w:rsidRPr="003A4BAB">
        <w:t>A.</w:t>
      </w:r>
      <w:r w:rsidRPr="003A4BAB">
        <w:tab/>
        <w:t>Yes.  Ms. O’Connell notes in her testimony that “To Staff’s knowledge, the distribution of everyday appliances behind-the meter has never been considered a utility service in and of itself.”</w:t>
      </w:r>
      <w:r w:rsidRPr="003A4BAB">
        <w:rPr>
          <w:vertAlign w:val="superscript"/>
        </w:rPr>
        <w:footnoteReference w:id="26"/>
      </w:r>
      <w:r w:rsidRPr="003A4BAB">
        <w:t xml:space="preserve">  Ms. O’Connell’s statement is odd, considering in the Commission’s Proposed Order in </w:t>
      </w:r>
      <w:r w:rsidRPr="003A4BAB">
        <w:rPr>
          <w:i/>
        </w:rPr>
        <w:t>Cole</w:t>
      </w:r>
      <w:r w:rsidRPr="003A4BAB">
        <w:t xml:space="preserve"> cited repeatedly by Mr. Cebulko, the Commission appears to address this very issue.</w:t>
      </w:r>
      <w:r>
        <w:t xml:space="preserve">  </w:t>
      </w:r>
      <w:r w:rsidRPr="003A4BAB">
        <w:t>In analyzing the scope of its jurisdictiona</w:t>
      </w:r>
      <w:r>
        <w:t>l authority</w:t>
      </w:r>
      <w:r w:rsidRPr="003A4BAB">
        <w:t xml:space="preserve">, the Commission reviewed RCW 80.28.010, which according to the Commission, provides that the Commission has jurisdiction over “all charges . . . by any gas company . . . for gas, . . . or for any service rendered </w:t>
      </w:r>
      <w:r w:rsidRPr="003A4BAB">
        <w:lastRenderedPageBreak/>
        <w:t>or to be rendered in connection therewith.”</w:t>
      </w:r>
      <w:r w:rsidRPr="003A4BAB">
        <w:rPr>
          <w:vertAlign w:val="superscript"/>
        </w:rPr>
        <w:footnoteReference w:id="27"/>
      </w:r>
      <w:r w:rsidRPr="003A4BAB">
        <w:t xml:space="preserve">  The Commission also reviewed RCW 80.28.020, and 80.28.100 and determined that </w:t>
      </w:r>
      <w:r>
        <w:t>both confirm that it has jurisdictional</w:t>
      </w:r>
      <w:r w:rsidRPr="003A4BAB">
        <w:t xml:space="preserve"> authority over services connected to gas service</w:t>
      </w:r>
      <w:r>
        <w:t>, including behind-the-meter (as termed by Staff) equipment</w:t>
      </w:r>
      <w:r w:rsidRPr="003A4BAB">
        <w:t>:</w:t>
      </w:r>
    </w:p>
    <w:p w:rsidR="00B2772B" w:rsidRPr="003A4BAB" w:rsidRDefault="00B2772B" w:rsidP="00B2772B">
      <w:pPr>
        <w:spacing w:after="240"/>
        <w:ind w:left="1440" w:right="720"/>
      </w:pPr>
      <w:r w:rsidRPr="003A4BAB">
        <w:t xml:space="preserve">“It is clear that the Commission has, by statute, been given jurisdiction and power to regulate rates, charges, </w:t>
      </w:r>
      <w:r w:rsidRPr="003A4BAB">
        <w:rPr>
          <w:u w:val="single"/>
        </w:rPr>
        <w:t>rentals</w:t>
      </w:r>
      <w:r w:rsidRPr="003A4BAB">
        <w:t xml:space="preserve"> for the sale of gas, or any service connected therewith.  Certainly, the furnishing of rented conversion burners or other appliances using gas is a service directly connected with the sale of gas.”</w:t>
      </w:r>
      <w:r w:rsidRPr="003A4BAB">
        <w:rPr>
          <w:vertAlign w:val="superscript"/>
        </w:rPr>
        <w:footnoteReference w:id="28"/>
      </w:r>
    </w:p>
    <w:p w:rsidR="00B2772B" w:rsidRPr="003A4BAB" w:rsidRDefault="00B2772B" w:rsidP="00B2772B">
      <w:pPr>
        <w:spacing w:after="240"/>
        <w:ind w:left="1440" w:right="720"/>
      </w:pPr>
      <w:r w:rsidRPr="003A4BAB">
        <w:t>“The Commission has statutory jurisdiction and general powers and the duty to regulate utility practices including and specifically rental charges and any service rendered in connection with gas sales.”</w:t>
      </w:r>
      <w:r w:rsidRPr="003A4BAB">
        <w:rPr>
          <w:vertAlign w:val="superscript"/>
        </w:rPr>
        <w:footnoteReference w:id="29"/>
      </w:r>
    </w:p>
    <w:p w:rsidR="00B2772B" w:rsidRPr="003A4BAB" w:rsidRDefault="00B2772B" w:rsidP="00B2772B">
      <w:pPr>
        <w:pStyle w:val="answer"/>
        <w:ind w:left="0" w:firstLine="0"/>
        <w:rPr>
          <w:rFonts w:ascii="Times New Roman" w:eastAsiaTheme="minorHAnsi" w:hAnsi="Times New Roman" w:cstheme="minorBidi"/>
          <w:b/>
          <w:szCs w:val="24"/>
          <w:lang w:eastAsia="en-US"/>
        </w:rPr>
      </w:pPr>
      <w:r>
        <w:rPr>
          <w:rFonts w:ascii="Times New Roman" w:eastAsiaTheme="minorHAnsi" w:hAnsi="Times New Roman" w:cstheme="minorBidi"/>
          <w:b/>
          <w:szCs w:val="24"/>
          <w:lang w:eastAsia="en-US"/>
        </w:rPr>
        <w:t>Q.</w:t>
      </w:r>
      <w:r>
        <w:rPr>
          <w:rFonts w:ascii="Times New Roman" w:eastAsiaTheme="minorHAnsi" w:hAnsi="Times New Roman" w:cstheme="minorBidi"/>
          <w:b/>
          <w:szCs w:val="24"/>
          <w:lang w:eastAsia="en-US"/>
        </w:rPr>
        <w:tab/>
      </w:r>
      <w:r w:rsidR="00474CE9">
        <w:rPr>
          <w:rFonts w:ascii="Times New Roman" w:eastAsiaTheme="minorHAnsi" w:hAnsi="Times New Roman" w:cstheme="minorBidi"/>
          <w:b/>
          <w:szCs w:val="24"/>
          <w:lang w:eastAsia="en-US"/>
        </w:rPr>
        <w:t>Has</w:t>
      </w:r>
      <w:r w:rsidR="00474CE9" w:rsidRPr="003A4BAB">
        <w:rPr>
          <w:rFonts w:ascii="Times New Roman" w:eastAsiaTheme="minorHAnsi" w:hAnsi="Times New Roman" w:cstheme="minorBidi"/>
          <w:b/>
          <w:szCs w:val="24"/>
          <w:lang w:eastAsia="en-US"/>
        </w:rPr>
        <w:t xml:space="preserve"> </w:t>
      </w:r>
      <w:r w:rsidRPr="003A4BAB">
        <w:rPr>
          <w:rFonts w:ascii="Times New Roman" w:eastAsiaTheme="minorHAnsi" w:hAnsi="Times New Roman" w:cstheme="minorBidi"/>
          <w:b/>
          <w:szCs w:val="24"/>
          <w:lang w:eastAsia="en-US"/>
        </w:rPr>
        <w:t>PSE</w:t>
      </w:r>
      <w:r>
        <w:rPr>
          <w:rFonts w:ascii="Times New Roman" w:eastAsiaTheme="minorHAnsi" w:hAnsi="Times New Roman" w:cstheme="minorBidi"/>
          <w:b/>
          <w:szCs w:val="24"/>
          <w:lang w:eastAsia="en-US"/>
        </w:rPr>
        <w:t xml:space="preserve"> ever</w:t>
      </w:r>
      <w:r w:rsidRPr="003A4BAB">
        <w:rPr>
          <w:rFonts w:ascii="Times New Roman" w:eastAsiaTheme="minorHAnsi" w:hAnsi="Times New Roman" w:cstheme="minorBidi"/>
          <w:b/>
          <w:szCs w:val="24"/>
          <w:lang w:eastAsia="en-US"/>
        </w:rPr>
        <w:t xml:space="preserve"> offered “behind-the-meter”</w:t>
      </w:r>
      <w:r>
        <w:rPr>
          <w:rFonts w:ascii="Times New Roman" w:eastAsiaTheme="minorHAnsi" w:hAnsi="Times New Roman" w:cstheme="minorBidi"/>
          <w:b/>
          <w:szCs w:val="24"/>
          <w:lang w:eastAsia="en-US"/>
        </w:rPr>
        <w:t xml:space="preserve"> services</w:t>
      </w:r>
      <w:r w:rsidRPr="003A4BAB">
        <w:rPr>
          <w:rFonts w:ascii="Times New Roman" w:eastAsiaTheme="minorHAnsi" w:hAnsi="Times New Roman" w:cstheme="minorBidi"/>
          <w:b/>
          <w:szCs w:val="24"/>
          <w:lang w:eastAsia="en-US"/>
        </w:rPr>
        <w:t>?</w:t>
      </w:r>
    </w:p>
    <w:p w:rsidR="00B2772B" w:rsidRPr="003A4BAB" w:rsidRDefault="00B2772B" w:rsidP="00B2772B">
      <w:pPr>
        <w:pStyle w:val="answer"/>
      </w:pPr>
      <w:r>
        <w:rPr>
          <w:rFonts w:ascii="Times New Roman" w:eastAsiaTheme="minorHAnsi" w:hAnsi="Times New Roman" w:cstheme="minorBidi"/>
          <w:szCs w:val="24"/>
          <w:lang w:eastAsia="en-US"/>
        </w:rPr>
        <w:t>A.</w:t>
      </w:r>
      <w:r>
        <w:rPr>
          <w:rFonts w:ascii="Times New Roman" w:eastAsiaTheme="minorHAnsi" w:hAnsi="Times New Roman" w:cstheme="minorBidi"/>
          <w:szCs w:val="24"/>
          <w:lang w:eastAsia="en-US"/>
        </w:rPr>
        <w:tab/>
        <w:t>Yes.  T</w:t>
      </w:r>
      <w:r w:rsidRPr="003A4BAB">
        <w:rPr>
          <w:rFonts w:ascii="Times New Roman" w:eastAsiaTheme="minorHAnsi" w:hAnsi="Times New Roman" w:cstheme="minorBidi"/>
          <w:szCs w:val="24"/>
          <w:lang w:eastAsia="en-US"/>
        </w:rPr>
        <w:t xml:space="preserve">he Commission confirmed in </w:t>
      </w:r>
      <w:r w:rsidRPr="003A4BAB">
        <w:rPr>
          <w:rFonts w:ascii="Times New Roman" w:eastAsiaTheme="minorHAnsi" w:hAnsi="Times New Roman" w:cstheme="minorBidi"/>
          <w:i/>
          <w:szCs w:val="24"/>
          <w:lang w:eastAsia="en-US"/>
        </w:rPr>
        <w:t>Cole</w:t>
      </w:r>
      <w:r w:rsidRPr="003A4BAB">
        <w:rPr>
          <w:rFonts w:ascii="Times New Roman" w:eastAsiaTheme="minorHAnsi" w:hAnsi="Times New Roman" w:cstheme="minorBidi"/>
          <w:szCs w:val="24"/>
          <w:lang w:eastAsia="en-US"/>
        </w:rPr>
        <w:t xml:space="preserve"> that customer appliances</w:t>
      </w:r>
      <w:r>
        <w:rPr>
          <w:rFonts w:ascii="Times New Roman" w:eastAsiaTheme="minorHAnsi" w:hAnsi="Times New Roman" w:cstheme="minorBidi"/>
          <w:szCs w:val="24"/>
          <w:lang w:eastAsia="en-US"/>
        </w:rPr>
        <w:t xml:space="preserve"> connected to utility service are</w:t>
      </w:r>
      <w:r w:rsidRPr="003A4BAB">
        <w:rPr>
          <w:rFonts w:ascii="Times New Roman" w:eastAsiaTheme="minorHAnsi" w:hAnsi="Times New Roman" w:cstheme="minorBidi"/>
          <w:szCs w:val="24"/>
          <w:lang w:eastAsia="en-US"/>
        </w:rPr>
        <w:t xml:space="preserve"> jurisdictional.  Ms. O’Connell’s statement that PSE is asking the Commission to expand the definition of plant and to look past the meter to make common appliances utility rate base is simply incorrect.</w:t>
      </w:r>
      <w:r w:rsidRPr="003A4BAB">
        <w:rPr>
          <w:rFonts w:ascii="Times New Roman" w:eastAsiaTheme="minorHAnsi" w:hAnsi="Times New Roman" w:cstheme="minorBidi"/>
          <w:szCs w:val="24"/>
          <w:vertAlign w:val="superscript"/>
          <w:lang w:eastAsia="en-US"/>
        </w:rPr>
        <w:footnoteReference w:id="30"/>
      </w:r>
      <w:r w:rsidRPr="003A4BAB">
        <w:rPr>
          <w:rFonts w:ascii="Times New Roman" w:eastAsiaTheme="minorHAnsi" w:hAnsi="Times New Roman" w:cstheme="minorBidi"/>
          <w:szCs w:val="24"/>
          <w:lang w:eastAsia="en-US"/>
        </w:rPr>
        <w:t xml:space="preserve">  Staff’s suggestion that it is not aware of an instance where the Commission has exercised its jurisdiction over “behind-the-meter” appliances is surprising considering that since 1961, as explained in detail by Mr. Cebulko, PSE and its predecessors have operated a </w:t>
      </w:r>
      <w:r w:rsidRPr="003A4BAB">
        <w:rPr>
          <w:rFonts w:ascii="Times New Roman" w:eastAsiaTheme="minorHAnsi" w:hAnsi="Times New Roman" w:cstheme="minorBidi"/>
          <w:szCs w:val="24"/>
          <w:lang w:eastAsia="en-US"/>
        </w:rPr>
        <w:lastRenderedPageBreak/>
        <w:t xml:space="preserve">“behind-the-meter” leasing program that still has approximately </w:t>
      </w:r>
      <w:r w:rsidR="00474CE9" w:rsidRPr="003A4BAB">
        <w:rPr>
          <w:rFonts w:ascii="Times New Roman" w:eastAsiaTheme="minorHAnsi" w:hAnsi="Times New Roman" w:cstheme="minorBidi"/>
          <w:szCs w:val="24"/>
          <w:lang w:eastAsia="en-US"/>
        </w:rPr>
        <w:t>3</w:t>
      </w:r>
      <w:r w:rsidR="00474CE9">
        <w:rPr>
          <w:rFonts w:ascii="Times New Roman" w:eastAsiaTheme="minorHAnsi" w:hAnsi="Times New Roman" w:cstheme="minorBidi"/>
          <w:szCs w:val="24"/>
          <w:lang w:eastAsia="en-US"/>
        </w:rPr>
        <w:t>3</w:t>
      </w:r>
      <w:r w:rsidRPr="003A4BAB">
        <w:rPr>
          <w:rFonts w:ascii="Times New Roman" w:eastAsiaTheme="minorHAnsi" w:hAnsi="Times New Roman" w:cstheme="minorBidi"/>
          <w:szCs w:val="24"/>
          <w:lang w:eastAsia="en-US"/>
        </w:rPr>
        <w:t>,000 participants today.</w:t>
      </w:r>
      <w:r>
        <w:rPr>
          <w:rFonts w:ascii="Times New Roman" w:eastAsiaTheme="minorHAnsi" w:hAnsi="Times New Roman" w:cstheme="minorBidi"/>
          <w:szCs w:val="24"/>
          <w:lang w:eastAsia="en-US"/>
        </w:rPr>
        <w:t xml:space="preserve">  </w:t>
      </w:r>
    </w:p>
    <w:p w:rsidR="00B2772B" w:rsidRPr="003A4BAB" w:rsidRDefault="00B2772B" w:rsidP="00B2772B">
      <w:pPr>
        <w:spacing w:after="240"/>
        <w:rPr>
          <w:b/>
        </w:rPr>
      </w:pPr>
      <w:r w:rsidRPr="003A4BAB">
        <w:rPr>
          <w:b/>
        </w:rPr>
        <w:t>Q.</w:t>
      </w:r>
      <w:r w:rsidRPr="003A4BAB">
        <w:rPr>
          <w:b/>
        </w:rPr>
        <w:tab/>
        <w:t>Did the Commission approve of the program?</w:t>
      </w:r>
    </w:p>
    <w:p w:rsidR="00B2772B" w:rsidRPr="003A4BAB" w:rsidRDefault="00B2772B" w:rsidP="00B2772B">
      <w:pPr>
        <w:pStyle w:val="answer"/>
      </w:pPr>
      <w:r w:rsidRPr="003A4BAB">
        <w:t>A.</w:t>
      </w:r>
      <w:r w:rsidRPr="003A4BAB">
        <w:tab/>
        <w:t>Yes.  As stated first in its “Conclusions of Law” section in the proposed order referenced by Mr. Cebulko, the Commission concludes:</w:t>
      </w:r>
    </w:p>
    <w:p w:rsidR="00B2772B" w:rsidRDefault="00B2772B" w:rsidP="00B2772B">
      <w:pPr>
        <w:pStyle w:val="answer"/>
        <w:spacing w:after="240" w:line="240" w:lineRule="auto"/>
        <w:ind w:left="1440" w:right="720" w:firstLine="0"/>
        <w:rPr>
          <w:rFonts w:ascii="Times New Roman" w:eastAsiaTheme="minorHAnsi" w:hAnsi="Times New Roman" w:cstheme="minorBidi"/>
          <w:szCs w:val="24"/>
          <w:lang w:eastAsia="en-US"/>
        </w:rPr>
      </w:pPr>
      <w:r w:rsidRPr="003A4BAB">
        <w:rPr>
          <w:rFonts w:ascii="Times New Roman" w:eastAsiaTheme="minorHAnsi" w:hAnsi="Times New Roman" w:cstheme="minorBidi"/>
          <w:szCs w:val="24"/>
          <w:lang w:eastAsia="en-US"/>
        </w:rPr>
        <w:t>The Commission is given jurisdiction to regulate rates and charges for supply gas or for any service in connection therewith, including the service of renting gas appliances and rates and charges therefor.  Therefore, the terms of the rental contract would fall within the Commission jurisdiction and responsibilities.</w:t>
      </w:r>
      <w:r w:rsidRPr="003A4BAB">
        <w:rPr>
          <w:rFonts w:ascii="Times New Roman" w:eastAsiaTheme="minorHAnsi" w:hAnsi="Times New Roman" w:cstheme="minorBidi"/>
          <w:szCs w:val="24"/>
          <w:vertAlign w:val="superscript"/>
          <w:lang w:eastAsia="en-US"/>
        </w:rPr>
        <w:footnoteReference w:id="31"/>
      </w:r>
    </w:p>
    <w:p w:rsidR="002E64B1" w:rsidRPr="00F63EDB" w:rsidRDefault="002E64B1" w:rsidP="00F63EDB">
      <w:pPr>
        <w:pStyle w:val="answer"/>
        <w:ind w:firstLine="0"/>
        <w:rPr>
          <w:rFonts w:ascii="Times New Roman" w:hAnsi="Times New Roman"/>
        </w:rPr>
      </w:pPr>
      <w:r w:rsidRPr="00F63EDB">
        <w:rPr>
          <w:rFonts w:ascii="Times New Roman" w:hAnsi="Times New Roman"/>
        </w:rPr>
        <w:t xml:space="preserve">Thus, </w:t>
      </w:r>
      <w:r w:rsidR="003C3A87" w:rsidRPr="00F63EDB">
        <w:rPr>
          <w:rFonts w:ascii="Times New Roman" w:hAnsi="Times New Roman"/>
        </w:rPr>
        <w:t xml:space="preserve">the Commission itself is clear that these services are jurisdictional and that the renting of gas appliances is </w:t>
      </w:r>
      <w:r w:rsidR="005730BF" w:rsidRPr="00F63EDB">
        <w:rPr>
          <w:rFonts w:ascii="Times New Roman" w:hAnsi="Times New Roman"/>
        </w:rPr>
        <w:t xml:space="preserve">precisely </w:t>
      </w:r>
      <w:r w:rsidR="009109FF" w:rsidRPr="00F63EDB">
        <w:rPr>
          <w:rFonts w:ascii="Times New Roman" w:hAnsi="Times New Roman"/>
        </w:rPr>
        <w:t xml:space="preserve">what the Commission should be regulating. </w:t>
      </w:r>
    </w:p>
    <w:p w:rsidR="00B2772B" w:rsidRPr="007827B9" w:rsidRDefault="00B2772B" w:rsidP="00B2772B">
      <w:pPr>
        <w:pStyle w:val="answer"/>
        <w:rPr>
          <w:rFonts w:eastAsiaTheme="minorHAnsi" w:cstheme="minorBidi"/>
          <w:b/>
          <w:lang w:val="en-GB"/>
        </w:rPr>
      </w:pPr>
      <w:r>
        <w:rPr>
          <w:rFonts w:ascii="Times New Roman" w:eastAsiaTheme="minorHAnsi" w:hAnsi="Times New Roman" w:cstheme="minorBidi"/>
          <w:szCs w:val="24"/>
          <w:lang w:eastAsia="en-US"/>
        </w:rPr>
        <w:t>Q.</w:t>
      </w:r>
      <w:r>
        <w:rPr>
          <w:rFonts w:ascii="Times New Roman" w:eastAsiaTheme="minorHAnsi" w:hAnsi="Times New Roman" w:cstheme="minorBidi"/>
          <w:szCs w:val="24"/>
          <w:lang w:eastAsia="en-US"/>
        </w:rPr>
        <w:tab/>
      </w:r>
      <w:r w:rsidRPr="007827B9">
        <w:rPr>
          <w:rFonts w:eastAsiaTheme="minorHAnsi" w:cstheme="minorBidi"/>
          <w:b/>
          <w:lang w:val="en-GB"/>
        </w:rPr>
        <w:t xml:space="preserve">Did the plaintiffs in </w:t>
      </w:r>
      <w:r w:rsidRPr="007827B9">
        <w:rPr>
          <w:rFonts w:eastAsiaTheme="minorHAnsi" w:cstheme="minorBidi"/>
          <w:b/>
          <w:i/>
          <w:lang w:val="en-GB"/>
        </w:rPr>
        <w:t>Cole</w:t>
      </w:r>
      <w:r w:rsidRPr="007827B9">
        <w:rPr>
          <w:rFonts w:eastAsiaTheme="minorHAnsi" w:cstheme="minorBidi"/>
          <w:b/>
          <w:lang w:val="en-GB"/>
        </w:rPr>
        <w:t xml:space="preserve"> appeal the Commission’s decision?</w:t>
      </w:r>
    </w:p>
    <w:p w:rsidR="00B2772B" w:rsidRPr="007827B9" w:rsidRDefault="00B2772B" w:rsidP="00B2772B">
      <w:pPr>
        <w:pStyle w:val="answer"/>
      </w:pPr>
      <w:r w:rsidRPr="007827B9">
        <w:t>A.</w:t>
      </w:r>
      <w:r w:rsidRPr="007827B9">
        <w:tab/>
        <w:t>Yes.  The plaintiffs first appealed the Commission’s decision to the Thurston County Superior Court</w:t>
      </w:r>
      <w:r w:rsidR="00677F86">
        <w:t>, which</w:t>
      </w:r>
      <w:r w:rsidRPr="007827B9">
        <w:t xml:space="preserve"> confirmed that leasing was an appropriate utility function.  The plaintiffs then appealed the decision to the Washington Supreme Court</w:t>
      </w:r>
      <w:r w:rsidR="00677F86">
        <w:t>, which</w:t>
      </w:r>
      <w:r w:rsidRPr="007827B9">
        <w:t xml:space="preserve"> al</w:t>
      </w:r>
      <w:r>
        <w:t>so confirmed that leasing was jurisdictional</w:t>
      </w:r>
      <w:r w:rsidRPr="007827B9">
        <w:t>.</w:t>
      </w:r>
    </w:p>
    <w:p w:rsidR="00B2772B" w:rsidRDefault="00B2772B" w:rsidP="00B2772B">
      <w:pPr>
        <w:pStyle w:val="answer"/>
        <w:rPr>
          <w:b/>
        </w:rPr>
      </w:pPr>
      <w:r w:rsidRPr="00556813">
        <w:rPr>
          <w:b/>
        </w:rPr>
        <w:t>Q.</w:t>
      </w:r>
      <w:r w:rsidRPr="00556813">
        <w:rPr>
          <w:b/>
        </w:rPr>
        <w:tab/>
        <w:t>Did the Commission state that the circumstances surrounding the approval of WNG’s program were the only circumstances by which a utility could offer a leasing program?</w:t>
      </w:r>
    </w:p>
    <w:p w:rsidR="00B2772B" w:rsidRPr="00252280" w:rsidRDefault="00B2772B" w:rsidP="00B2772B">
      <w:pPr>
        <w:pStyle w:val="answer"/>
        <w:rPr>
          <w:b/>
        </w:rPr>
      </w:pPr>
      <w:r w:rsidRPr="00556813">
        <w:lastRenderedPageBreak/>
        <w:t>A.</w:t>
      </w:r>
      <w:r w:rsidRPr="00556813">
        <w:tab/>
        <w:t>No.  Mr. Cebulko’s “lessons”</w:t>
      </w:r>
      <w:r w:rsidRPr="00556813">
        <w:rPr>
          <w:vertAlign w:val="superscript"/>
        </w:rPr>
        <w:footnoteReference w:id="32"/>
      </w:r>
      <w:r w:rsidRPr="00556813">
        <w:t xml:space="preserve"> and “enabling purpose”</w:t>
      </w:r>
      <w:r>
        <w:rPr>
          <w:rStyle w:val="FootnoteReference"/>
        </w:rPr>
        <w:footnoteReference w:id="33"/>
      </w:r>
      <w:r w:rsidRPr="00556813">
        <w:t xml:space="preserve"> are attempts to create law.  Mr. Cebulko appears to be arguing that because the</w:t>
      </w:r>
      <w:r w:rsidR="00F63EDB">
        <w:t xml:space="preserve"> Commission approved the existing service</w:t>
      </w:r>
      <w:r w:rsidRPr="00556813">
        <w:t xml:space="preserve"> which was designed to increase load factor and cust</w:t>
      </w:r>
      <w:r>
        <w:t xml:space="preserve">omer accessibility to equipment, </w:t>
      </w:r>
      <w:r w:rsidRPr="00556813">
        <w:t>and because one of the resulting benefits was annual rate decreases (which benefited all customers), that these are the only legal parameters by which leasing may occur.</w:t>
      </w:r>
      <w:r w:rsidRPr="00556813">
        <w:rPr>
          <w:vertAlign w:val="superscript"/>
        </w:rPr>
        <w:footnoteReference w:id="34"/>
      </w:r>
      <w:r w:rsidRPr="00556813">
        <w:t xml:space="preserve">  Mr. Cebulko states that “In this case, the Company does not purport that its natural gas or electric systems are under-utilized or in need of load factor support.  Therefore, the policy reasons supporting the rental program no longer exists.”</w:t>
      </w:r>
      <w:r w:rsidRPr="00556813">
        <w:rPr>
          <w:vertAlign w:val="superscript"/>
        </w:rPr>
        <w:footnoteReference w:id="35"/>
      </w:r>
      <w:r w:rsidRPr="00556813">
        <w:t xml:space="preserve">  </w:t>
      </w:r>
    </w:p>
    <w:p w:rsidR="00B2772B" w:rsidRPr="003A4BAB" w:rsidRDefault="00B2772B" w:rsidP="00B2772B">
      <w:pPr>
        <w:pStyle w:val="answer"/>
        <w:ind w:firstLine="0"/>
        <w:rPr>
          <w:b/>
        </w:rPr>
      </w:pPr>
      <w:r w:rsidRPr="00556813">
        <w:rPr>
          <w:rFonts w:ascii="Times New Roman" w:eastAsiaTheme="minorHAnsi" w:hAnsi="Times New Roman" w:cstheme="minorBidi"/>
          <w:szCs w:val="24"/>
          <w:lang w:eastAsia="en-US"/>
        </w:rPr>
        <w:t>Neither the State legislature, any court, nor the Commission, has ever placed the constraints and prerequisites on leasing that Mr. Cebulko appears to be advocating for.  Load building is not a statutory prerequisite of leasing as Mr. Cebulko suggests.  Rather, as confirmed by the Commission and the Washington Supreme Court, leasing is a recognized jurisdictional activity by a utility, which could have numerous purposes and justifications.  The circumstances surrounding why WNG chose to utilize leasing in the 1960s do not create law for all future circumstances for when leasing may be appropriate.</w:t>
      </w:r>
    </w:p>
    <w:p w:rsidR="00B336D0" w:rsidRPr="0096592F" w:rsidRDefault="001E7080" w:rsidP="004F5937">
      <w:pPr>
        <w:pStyle w:val="Heading1"/>
        <w:rPr>
          <w:rFonts w:eastAsia="SimSun"/>
        </w:rPr>
      </w:pPr>
      <w:bookmarkStart w:id="16" w:name="_Toc455138805"/>
      <w:r>
        <w:lastRenderedPageBreak/>
        <w:t>V.</w:t>
      </w:r>
      <w:r>
        <w:tab/>
      </w:r>
      <w:r w:rsidR="00B336D0">
        <w:t>EXTENSION OF CURRENT SERVICE</w:t>
      </w:r>
      <w:bookmarkEnd w:id="16"/>
    </w:p>
    <w:p w:rsidR="00C032D3" w:rsidRDefault="00B336D0" w:rsidP="00B336D0">
      <w:pPr>
        <w:pStyle w:val="question"/>
        <w:keepNext/>
        <w:keepLines/>
        <w:spacing w:before="120"/>
        <w:rPr>
          <w:szCs w:val="24"/>
        </w:rPr>
      </w:pPr>
      <w:r w:rsidRPr="0096592F">
        <w:rPr>
          <w:szCs w:val="24"/>
        </w:rPr>
        <w:t>Q.</w:t>
      </w:r>
      <w:r w:rsidRPr="0096592F">
        <w:rPr>
          <w:szCs w:val="24"/>
        </w:rPr>
        <w:tab/>
      </w:r>
      <w:r w:rsidR="00C032D3">
        <w:rPr>
          <w:szCs w:val="24"/>
        </w:rPr>
        <w:t>How do you respond to Mr. Cebulko’s categorization of PSE’s Company-owned equipment services?</w:t>
      </w:r>
    </w:p>
    <w:p w:rsidR="00C032D3" w:rsidRPr="00C032D3" w:rsidRDefault="00C032D3" w:rsidP="00C032D3">
      <w:pPr>
        <w:pStyle w:val="answer"/>
      </w:pPr>
      <w:r>
        <w:t>A.</w:t>
      </w:r>
      <w:r>
        <w:tab/>
      </w:r>
      <w:r w:rsidR="00912076">
        <w:t xml:space="preserve">First, as explained above, Staff’s “behind-the-meter” delineation is not recognized by the Commission or the law.  Second, while PSE does </w:t>
      </w:r>
      <w:r w:rsidR="007422CF">
        <w:t xml:space="preserve">offer, </w:t>
      </w:r>
      <w:r w:rsidR="00912076">
        <w:t>and has offered</w:t>
      </w:r>
      <w:r w:rsidR="007422CF">
        <w:t>,</w:t>
      </w:r>
      <w:r w:rsidR="00912076">
        <w:t xml:space="preserve"> a variety of leasing services, to the extent Mr. Cebulko is attempting to limit PSE to</w:t>
      </w:r>
      <w:r w:rsidR="00F24649">
        <w:t xml:space="preserve"> his categories</w:t>
      </w:r>
      <w:r w:rsidR="00912076">
        <w:t>, or suggest that these are the only circumstances by which leasing may occur, Mr. Cebulko provides no authority for his categories.  Finally, Mr. Cebulko’s statement that PSE is only permitted to lease equipment that it “is uniquely positioned to offer and where a limited market for these services exists,” not only is inconsistent with PSE’s current lease services, but is also unsupported by any law or authority.</w:t>
      </w:r>
      <w:r w:rsidR="00EE53F1">
        <w:t xml:space="preserve">  </w:t>
      </w:r>
      <w:r w:rsidR="005730BF">
        <w:t xml:space="preserve">Mr. Cebulko’s </w:t>
      </w:r>
      <w:r w:rsidR="00763D87">
        <w:t xml:space="preserve">overly-restrictive </w:t>
      </w:r>
      <w:r w:rsidR="005730BF">
        <w:t xml:space="preserve">categories could unwittingly end up </w:t>
      </w:r>
      <w:r w:rsidR="00763D87">
        <w:t xml:space="preserve">promulgating an unsound policy that </w:t>
      </w:r>
      <w:r w:rsidR="005730BF">
        <w:t>exclud</w:t>
      </w:r>
      <w:r w:rsidR="00763D87">
        <w:t>es</w:t>
      </w:r>
      <w:r w:rsidR="005730BF">
        <w:t xml:space="preserve"> all electric companies from leasing solar systems, electric vehicles chargers and battery systems – </w:t>
      </w:r>
      <w:r w:rsidR="00763D87">
        <w:t>which</w:t>
      </w:r>
      <w:r w:rsidR="005730BF">
        <w:t xml:space="preserve"> include equipment that both the legislature and this Commission have requested that regulated utilities provide as </w:t>
      </w:r>
      <w:r w:rsidR="007641E5">
        <w:t xml:space="preserve">leasing </w:t>
      </w:r>
      <w:r w:rsidR="005730BF">
        <w:t>services</w:t>
      </w:r>
      <w:r w:rsidR="00763D87">
        <w:t xml:space="preserve"> utilizing company-owned rate</w:t>
      </w:r>
      <w:r w:rsidR="007641E5">
        <w:t>-</w:t>
      </w:r>
      <w:r w:rsidR="00763D87">
        <w:t xml:space="preserve">based equipment </w:t>
      </w:r>
      <w:r w:rsidR="005730BF">
        <w:t>on the customer side of the meter</w:t>
      </w:r>
      <w:r w:rsidR="00763D87">
        <w:t xml:space="preserve"> and to compete more fully with other market participants</w:t>
      </w:r>
      <w:r w:rsidR="007641E5">
        <w:t xml:space="preserve"> throughout the state</w:t>
      </w:r>
      <w:r w:rsidR="005730BF">
        <w:t>.</w:t>
      </w:r>
      <w:r w:rsidR="007422CF">
        <w:rPr>
          <w:rStyle w:val="FootnoteReference"/>
        </w:rPr>
        <w:footnoteReference w:id="36"/>
      </w:r>
    </w:p>
    <w:p w:rsidR="00B336D0" w:rsidRPr="0096592F" w:rsidRDefault="00C032D3" w:rsidP="00B336D0">
      <w:pPr>
        <w:pStyle w:val="question"/>
        <w:keepNext/>
        <w:keepLines/>
        <w:spacing w:before="120"/>
        <w:rPr>
          <w:szCs w:val="24"/>
        </w:rPr>
      </w:pPr>
      <w:r>
        <w:rPr>
          <w:szCs w:val="24"/>
        </w:rPr>
        <w:lastRenderedPageBreak/>
        <w:t>Q.</w:t>
      </w:r>
      <w:r>
        <w:rPr>
          <w:szCs w:val="24"/>
        </w:rPr>
        <w:tab/>
      </w:r>
      <w:r w:rsidR="00B336D0">
        <w:rPr>
          <w:szCs w:val="24"/>
        </w:rPr>
        <w:t xml:space="preserve">How do you respond to </w:t>
      </w:r>
      <w:r>
        <w:rPr>
          <w:szCs w:val="24"/>
        </w:rPr>
        <w:t>Mr.</w:t>
      </w:r>
      <w:r w:rsidR="00B336D0">
        <w:rPr>
          <w:szCs w:val="24"/>
        </w:rPr>
        <w:t xml:space="preserve"> Cebulko’s attempts to distinguish the other PSE end-use lease services shown in Figure No. 1 of your </w:t>
      </w:r>
      <w:r w:rsidR="008E570B">
        <w:rPr>
          <w:szCs w:val="24"/>
        </w:rPr>
        <w:t>p</w:t>
      </w:r>
      <w:r w:rsidR="00EB25B1">
        <w:rPr>
          <w:szCs w:val="24"/>
        </w:rPr>
        <w:t xml:space="preserve">refiled </w:t>
      </w:r>
      <w:r w:rsidR="008E570B">
        <w:rPr>
          <w:szCs w:val="24"/>
        </w:rPr>
        <w:t>d</w:t>
      </w:r>
      <w:r w:rsidR="00EB25B1">
        <w:rPr>
          <w:szCs w:val="24"/>
        </w:rPr>
        <w:t xml:space="preserve">irect </w:t>
      </w:r>
      <w:r w:rsidR="008E570B">
        <w:rPr>
          <w:szCs w:val="24"/>
        </w:rPr>
        <w:t>t</w:t>
      </w:r>
      <w:r w:rsidR="00B336D0">
        <w:rPr>
          <w:szCs w:val="24"/>
        </w:rPr>
        <w:t xml:space="preserve">estimony?  </w:t>
      </w:r>
    </w:p>
    <w:p w:rsidR="00B336D0" w:rsidRDefault="00B336D0" w:rsidP="00B336D0">
      <w:pPr>
        <w:pStyle w:val="answer"/>
        <w:rPr>
          <w:rFonts w:ascii="Times New Roman" w:hAnsi="Times New Roman"/>
          <w:szCs w:val="24"/>
        </w:rPr>
      </w:pPr>
      <w:r w:rsidRPr="0096592F">
        <w:rPr>
          <w:rFonts w:ascii="Times New Roman" w:hAnsi="Times New Roman"/>
          <w:szCs w:val="24"/>
        </w:rPr>
        <w:t>A.</w:t>
      </w:r>
      <w:r w:rsidRPr="0096592F">
        <w:rPr>
          <w:rFonts w:ascii="Times New Roman" w:hAnsi="Times New Roman"/>
          <w:szCs w:val="24"/>
        </w:rPr>
        <w:tab/>
      </w:r>
      <w:r>
        <w:rPr>
          <w:rFonts w:ascii="Times New Roman" w:hAnsi="Times New Roman"/>
          <w:szCs w:val="24"/>
        </w:rPr>
        <w:t xml:space="preserve">Mr. Cebulko’s testimony generally confirms my point that most of the previously Commission-approved services listed in </w:t>
      </w:r>
      <w:r>
        <w:rPr>
          <w:szCs w:val="24"/>
        </w:rPr>
        <w:t xml:space="preserve">Figure No. 1 </w:t>
      </w:r>
      <w:r w:rsidR="007422CF">
        <w:rPr>
          <w:szCs w:val="24"/>
        </w:rPr>
        <w:t>of my direct testimony</w:t>
      </w:r>
      <w:r>
        <w:rPr>
          <w:szCs w:val="24"/>
        </w:rPr>
        <w:t xml:space="preserve"> are providing services and equipment that are on the end-use side of the meter (or where the meter would be). </w:t>
      </w:r>
      <w:r>
        <w:rPr>
          <w:rFonts w:ascii="Times New Roman" w:hAnsi="Times New Roman"/>
          <w:szCs w:val="24"/>
        </w:rPr>
        <w:t xml:space="preserve"> This confirms that the proposed equipment lease services share strong similarities to the existing lease services that have been approved by the Commission. </w:t>
      </w:r>
    </w:p>
    <w:p w:rsidR="00B336D0" w:rsidRDefault="00B336D0" w:rsidP="00B336D0">
      <w:pPr>
        <w:pStyle w:val="question"/>
        <w:keepNext/>
        <w:keepLines/>
        <w:spacing w:before="120"/>
        <w:rPr>
          <w:szCs w:val="24"/>
        </w:rPr>
      </w:pPr>
      <w:r w:rsidRPr="0096592F">
        <w:rPr>
          <w:szCs w:val="24"/>
        </w:rPr>
        <w:t>Q.</w:t>
      </w:r>
      <w:r w:rsidRPr="0096592F">
        <w:rPr>
          <w:szCs w:val="24"/>
        </w:rPr>
        <w:tab/>
      </w:r>
      <w:r>
        <w:rPr>
          <w:szCs w:val="24"/>
        </w:rPr>
        <w:t xml:space="preserve">How do you respond to Staff’s discussion of the electric lighting schedules?  </w:t>
      </w:r>
    </w:p>
    <w:p w:rsidR="00EE53F1" w:rsidRPr="00F63EDB" w:rsidRDefault="00B336D0" w:rsidP="00F63EDB">
      <w:pPr>
        <w:pStyle w:val="question"/>
        <w:keepNext/>
        <w:keepLines/>
        <w:spacing w:before="120"/>
        <w:rPr>
          <w:b w:val="0"/>
          <w:szCs w:val="24"/>
        </w:rPr>
      </w:pPr>
      <w:r w:rsidRPr="00356CD8">
        <w:rPr>
          <w:b w:val="0"/>
          <w:szCs w:val="24"/>
        </w:rPr>
        <w:t>A.</w:t>
      </w:r>
      <w:r w:rsidRPr="00356CD8">
        <w:rPr>
          <w:b w:val="0"/>
          <w:szCs w:val="24"/>
        </w:rPr>
        <w:tab/>
      </w:r>
      <w:r>
        <w:rPr>
          <w:b w:val="0"/>
          <w:szCs w:val="24"/>
        </w:rPr>
        <w:t xml:space="preserve">It is not really clear what point Mr. Cebulko is trying to make through the use of the electric lighting schedule, or how it differs from the proposed leasing tariffs in any meaningful way.  </w:t>
      </w:r>
      <w:r w:rsidR="005730BF">
        <w:rPr>
          <w:b w:val="0"/>
          <w:szCs w:val="24"/>
        </w:rPr>
        <w:t>H</w:t>
      </w:r>
      <w:r>
        <w:rPr>
          <w:b w:val="0"/>
          <w:szCs w:val="24"/>
        </w:rPr>
        <w:t>e concedes the point that the poles and lighting fixtures are owned by PSE, just as the leased equipment will be owned by PSE</w:t>
      </w:r>
      <w:r w:rsidR="005730BF">
        <w:rPr>
          <w:b w:val="0"/>
          <w:szCs w:val="24"/>
        </w:rPr>
        <w:t xml:space="preserve">. </w:t>
      </w:r>
    </w:p>
    <w:p w:rsidR="00B336D0" w:rsidRDefault="00B336D0" w:rsidP="00B336D0">
      <w:pPr>
        <w:pStyle w:val="question"/>
      </w:pPr>
      <w:r>
        <w:t>Q.</w:t>
      </w:r>
      <w:r>
        <w:tab/>
        <w:t>Are customers able to purchase poles and lights for street lights?</w:t>
      </w:r>
    </w:p>
    <w:p w:rsidR="00B336D0" w:rsidRDefault="00B336D0">
      <w:pPr>
        <w:pStyle w:val="answer"/>
      </w:pPr>
      <w:r>
        <w:t>A.</w:t>
      </w:r>
      <w:r>
        <w:tab/>
        <w:t>Yes,  customers have the ability to either lease electric street lighting from PSE or to buy poles and lights from various vendors.</w:t>
      </w:r>
      <w:r w:rsidR="000F6D15" w:rsidRPr="004F0DAD" w:rsidDel="000F6D15">
        <w:t xml:space="preserve"> </w:t>
      </w:r>
      <w:r w:rsidR="000F6D15">
        <w:t xml:space="preserve"> </w:t>
      </w:r>
      <w:r>
        <w:t xml:space="preserve">The Commission allows and approves tariff-based lighting services where the end-use equipment is on the </w:t>
      </w:r>
      <w:r w:rsidR="007422CF">
        <w:t>“</w:t>
      </w:r>
      <w:r>
        <w:t xml:space="preserve">customer </w:t>
      </w:r>
      <w:r w:rsidR="007422CF">
        <w:t xml:space="preserve">side” </w:t>
      </w:r>
      <w:r>
        <w:t xml:space="preserve">of the meter for products </w:t>
      </w:r>
      <w:r w:rsidR="000F6D15">
        <w:t xml:space="preserve">and services </w:t>
      </w:r>
      <w:r>
        <w:t xml:space="preserve">that are </w:t>
      </w:r>
      <w:r w:rsidR="000F6D15">
        <w:t xml:space="preserve">already and </w:t>
      </w:r>
      <w:r>
        <w:t xml:space="preserve">readily available in the market. The arguments, by all parties, </w:t>
      </w:r>
      <w:r w:rsidR="003A507B">
        <w:t>to the contrary are</w:t>
      </w:r>
      <w:r>
        <w:t xml:space="preserve"> incorrect and inconsistent with current </w:t>
      </w:r>
      <w:r w:rsidR="003A507B">
        <w:t xml:space="preserve">tariffs </w:t>
      </w:r>
      <w:r>
        <w:t>and policy of the Commission.</w:t>
      </w:r>
    </w:p>
    <w:p w:rsidR="00B336D0" w:rsidRDefault="00B336D0" w:rsidP="00B336D0">
      <w:pPr>
        <w:pStyle w:val="question"/>
      </w:pPr>
      <w:r>
        <w:lastRenderedPageBreak/>
        <w:t>Q.</w:t>
      </w:r>
      <w:r>
        <w:tab/>
        <w:t>Do you have any other thoughts on Staff’s use of the electric lighting service in its testimony?</w:t>
      </w:r>
    </w:p>
    <w:p w:rsidR="00630DE1" w:rsidRPr="001E7080" w:rsidRDefault="00B336D0" w:rsidP="001E7080">
      <w:pPr>
        <w:pStyle w:val="answer"/>
      </w:pPr>
      <w:r>
        <w:t>A.</w:t>
      </w:r>
      <w:r>
        <w:tab/>
        <w:t xml:space="preserve">Yes, Staff </w:t>
      </w:r>
      <w:r w:rsidR="003A507B">
        <w:t xml:space="preserve">provides no evidence to support its claim </w:t>
      </w:r>
      <w:r>
        <w:t xml:space="preserve">that the current lighting schedules are not burdening the general ratepayer.  Based on </w:t>
      </w:r>
      <w:r w:rsidR="005730BF">
        <w:t xml:space="preserve">evidence from </w:t>
      </w:r>
      <w:r>
        <w:t xml:space="preserve">the last </w:t>
      </w:r>
      <w:r w:rsidR="001251F9">
        <w:t>general rate case</w:t>
      </w:r>
      <w:r>
        <w:t>, the parity ratio of the electric lighting class is less than 100%</w:t>
      </w:r>
      <w:r w:rsidR="009109FF">
        <w:rPr>
          <w:rStyle w:val="FootnoteReference"/>
        </w:rPr>
        <w:footnoteReference w:id="37"/>
      </w:r>
      <w:r w:rsidR="00FC157B">
        <w:t xml:space="preserve"> </w:t>
      </w:r>
      <w:r w:rsidR="00C42B7E">
        <w:t>which indicates that current lighting customers are not fully paying their share of the cost of service.</w:t>
      </w:r>
      <w:r w:rsidR="007422CF">
        <w:t xml:space="preserve"> </w:t>
      </w:r>
      <w:r>
        <w:t xml:space="preserve"> </w:t>
      </w:r>
      <w:r w:rsidR="001251F9">
        <w:t xml:space="preserve">Thus, </w:t>
      </w:r>
      <w:r>
        <w:t xml:space="preserve">Staff cannot support the assertion that the current lighting schedules are not burdening the general ratepayer, or the implication that the current lighting rates are less likely to be “subsidized” by general ratepayers than the expanded equipment leasing service </w:t>
      </w:r>
      <w:r w:rsidR="00A644DE">
        <w:t>might</w:t>
      </w:r>
      <w:r>
        <w:t xml:space="preserve"> be.</w:t>
      </w:r>
    </w:p>
    <w:p w:rsidR="00F61AED" w:rsidRPr="0096592F" w:rsidRDefault="001E7080" w:rsidP="004F5937">
      <w:pPr>
        <w:pStyle w:val="Heading1"/>
        <w:rPr>
          <w:rFonts w:eastAsia="SimSun"/>
        </w:rPr>
      </w:pPr>
      <w:bookmarkStart w:id="17" w:name="_Toc455138806"/>
      <w:r>
        <w:t>VI.</w:t>
      </w:r>
      <w:r>
        <w:tab/>
      </w:r>
      <w:r w:rsidR="00F61AED">
        <w:t>PARTIES’ REFERENCES AND RELIANCE ON THE EIA REGARDING CONSERVATION IS BOTH INAPPROPRIATE AND INACCURATE</w:t>
      </w:r>
      <w:bookmarkEnd w:id="17"/>
    </w:p>
    <w:p w:rsidR="00F61AED" w:rsidRPr="0096592F" w:rsidRDefault="00F61AED" w:rsidP="00F61AED">
      <w:pPr>
        <w:pStyle w:val="question"/>
        <w:keepNext/>
        <w:keepLines/>
        <w:spacing w:before="120"/>
        <w:rPr>
          <w:szCs w:val="24"/>
        </w:rPr>
      </w:pPr>
      <w:r w:rsidRPr="0096592F">
        <w:rPr>
          <w:szCs w:val="24"/>
        </w:rPr>
        <w:t>Q.</w:t>
      </w:r>
      <w:r w:rsidRPr="0096592F">
        <w:rPr>
          <w:szCs w:val="24"/>
        </w:rPr>
        <w:tab/>
      </w:r>
      <w:r w:rsidR="00614007">
        <w:rPr>
          <w:szCs w:val="24"/>
        </w:rPr>
        <w:t xml:space="preserve">How do you respond to claims by Commission Staff that PSE’s proposed </w:t>
      </w:r>
      <w:r w:rsidR="004346C8">
        <w:rPr>
          <w:szCs w:val="24"/>
        </w:rPr>
        <w:t>leasing</w:t>
      </w:r>
      <w:r w:rsidR="006F3FD8">
        <w:rPr>
          <w:szCs w:val="24"/>
        </w:rPr>
        <w:t xml:space="preserve"> service </w:t>
      </w:r>
      <w:r w:rsidR="00614007">
        <w:rPr>
          <w:szCs w:val="24"/>
        </w:rPr>
        <w:t>violates</w:t>
      </w:r>
      <w:r w:rsidR="006F3FD8">
        <w:rPr>
          <w:szCs w:val="24"/>
        </w:rPr>
        <w:t xml:space="preserve"> RCW 19.285.040</w:t>
      </w:r>
      <w:r w:rsidRPr="0096592F">
        <w:rPr>
          <w:szCs w:val="24"/>
        </w:rPr>
        <w:t>?</w:t>
      </w:r>
    </w:p>
    <w:p w:rsidR="00453B67" w:rsidRDefault="00F61AED" w:rsidP="00F61AED">
      <w:pPr>
        <w:pStyle w:val="answer"/>
        <w:rPr>
          <w:rFonts w:ascii="Times New Roman" w:hAnsi="Times New Roman"/>
          <w:szCs w:val="24"/>
        </w:rPr>
      </w:pPr>
      <w:r w:rsidRPr="0096592F">
        <w:rPr>
          <w:rFonts w:ascii="Times New Roman" w:hAnsi="Times New Roman"/>
          <w:szCs w:val="24"/>
        </w:rPr>
        <w:t>A.</w:t>
      </w:r>
      <w:r w:rsidRPr="0096592F">
        <w:rPr>
          <w:rFonts w:ascii="Times New Roman" w:hAnsi="Times New Roman"/>
          <w:szCs w:val="24"/>
        </w:rPr>
        <w:tab/>
      </w:r>
      <w:r w:rsidR="00614007">
        <w:rPr>
          <w:rFonts w:ascii="Times New Roman" w:hAnsi="Times New Roman"/>
          <w:szCs w:val="24"/>
        </w:rPr>
        <w:t>I disagree</w:t>
      </w:r>
      <w:r w:rsidR="006348EA">
        <w:rPr>
          <w:rFonts w:ascii="Times New Roman" w:hAnsi="Times New Roman"/>
          <w:szCs w:val="24"/>
        </w:rPr>
        <w:t xml:space="preserve"> with this assertion</w:t>
      </w:r>
      <w:r w:rsidR="00614007">
        <w:rPr>
          <w:rFonts w:ascii="Times New Roman" w:hAnsi="Times New Roman"/>
          <w:szCs w:val="24"/>
        </w:rPr>
        <w:t xml:space="preserve">, and I am surprised that Commission Staff would take such a view.  PSE’s leasing service is </w:t>
      </w:r>
      <w:r w:rsidR="0038120F">
        <w:rPr>
          <w:rFonts w:ascii="Times New Roman" w:hAnsi="Times New Roman"/>
          <w:szCs w:val="24"/>
        </w:rPr>
        <w:t>intended</w:t>
      </w:r>
      <w:r w:rsidR="00614007">
        <w:rPr>
          <w:rFonts w:ascii="Times New Roman" w:hAnsi="Times New Roman"/>
          <w:szCs w:val="24"/>
        </w:rPr>
        <w:t xml:space="preserve"> to facilitate the replacement of older, inefficient </w:t>
      </w:r>
      <w:r w:rsidR="0038120F">
        <w:rPr>
          <w:rFonts w:ascii="Times New Roman" w:hAnsi="Times New Roman"/>
          <w:szCs w:val="24"/>
        </w:rPr>
        <w:t>equipment, which is consistent with the spirit of the Energy Independence Act (“EIA”)</w:t>
      </w:r>
      <w:r w:rsidR="0014588E">
        <w:rPr>
          <w:rFonts w:ascii="Times New Roman" w:hAnsi="Times New Roman"/>
          <w:szCs w:val="24"/>
        </w:rPr>
        <w:t xml:space="preserve">.  </w:t>
      </w:r>
      <w:r w:rsidR="0040135D">
        <w:rPr>
          <w:rFonts w:ascii="Times New Roman" w:hAnsi="Times New Roman"/>
          <w:szCs w:val="24"/>
        </w:rPr>
        <w:t xml:space="preserve">Moreover, the law does not </w:t>
      </w:r>
      <w:r w:rsidR="0038120F">
        <w:rPr>
          <w:rFonts w:ascii="Times New Roman" w:hAnsi="Times New Roman"/>
          <w:szCs w:val="24"/>
        </w:rPr>
        <w:t>preclude PSE from o</w:t>
      </w:r>
      <w:r w:rsidR="00A755C9">
        <w:rPr>
          <w:rFonts w:ascii="Times New Roman" w:hAnsi="Times New Roman"/>
          <w:szCs w:val="24"/>
        </w:rPr>
        <w:t>ffering standard</w:t>
      </w:r>
      <w:r w:rsidR="00C262F7">
        <w:rPr>
          <w:rFonts w:ascii="Times New Roman" w:hAnsi="Times New Roman"/>
          <w:szCs w:val="24"/>
        </w:rPr>
        <w:t xml:space="preserve"> </w:t>
      </w:r>
      <w:r w:rsidR="00A755C9">
        <w:rPr>
          <w:rFonts w:ascii="Times New Roman" w:hAnsi="Times New Roman"/>
          <w:szCs w:val="24"/>
        </w:rPr>
        <w:t xml:space="preserve">efficiency </w:t>
      </w:r>
      <w:r w:rsidR="00C262F7">
        <w:rPr>
          <w:rFonts w:ascii="Times New Roman" w:hAnsi="Times New Roman"/>
          <w:szCs w:val="24"/>
        </w:rPr>
        <w:t xml:space="preserve">electric </w:t>
      </w:r>
      <w:r w:rsidR="00A755C9">
        <w:rPr>
          <w:rFonts w:ascii="Times New Roman" w:hAnsi="Times New Roman"/>
          <w:szCs w:val="24"/>
        </w:rPr>
        <w:t>equipment</w:t>
      </w:r>
      <w:r w:rsidR="0040135D">
        <w:rPr>
          <w:rFonts w:ascii="Times New Roman" w:hAnsi="Times New Roman"/>
          <w:szCs w:val="24"/>
        </w:rPr>
        <w:t xml:space="preserve"> as an option in its equipment </w:t>
      </w:r>
      <w:r w:rsidR="0040135D">
        <w:rPr>
          <w:rFonts w:ascii="Times New Roman" w:hAnsi="Times New Roman"/>
          <w:szCs w:val="24"/>
        </w:rPr>
        <w:lastRenderedPageBreak/>
        <w:t xml:space="preserve">leasing service, nor does the law </w:t>
      </w:r>
      <w:r w:rsidR="00A755C9">
        <w:rPr>
          <w:rFonts w:ascii="Times New Roman" w:hAnsi="Times New Roman"/>
          <w:szCs w:val="24"/>
        </w:rPr>
        <w:t xml:space="preserve">obligate </w:t>
      </w:r>
      <w:r w:rsidR="0014588E">
        <w:rPr>
          <w:rFonts w:ascii="Times New Roman" w:hAnsi="Times New Roman"/>
          <w:szCs w:val="24"/>
        </w:rPr>
        <w:t xml:space="preserve">PSE or </w:t>
      </w:r>
      <w:r w:rsidR="00A755C9">
        <w:rPr>
          <w:rFonts w:ascii="Times New Roman" w:hAnsi="Times New Roman"/>
          <w:szCs w:val="24"/>
        </w:rPr>
        <w:t xml:space="preserve">any </w:t>
      </w:r>
      <w:r w:rsidR="0014588E">
        <w:rPr>
          <w:rFonts w:ascii="Times New Roman" w:hAnsi="Times New Roman"/>
          <w:szCs w:val="24"/>
        </w:rPr>
        <w:t>c</w:t>
      </w:r>
      <w:r w:rsidR="00A755C9">
        <w:rPr>
          <w:rFonts w:ascii="Times New Roman" w:hAnsi="Times New Roman"/>
          <w:szCs w:val="24"/>
        </w:rPr>
        <w:t xml:space="preserve">ompany to provide only </w:t>
      </w:r>
      <w:r w:rsidR="00C262F7">
        <w:rPr>
          <w:rFonts w:ascii="Times New Roman" w:hAnsi="Times New Roman"/>
          <w:szCs w:val="24"/>
        </w:rPr>
        <w:t xml:space="preserve">electric </w:t>
      </w:r>
      <w:r w:rsidR="00A755C9">
        <w:rPr>
          <w:rFonts w:ascii="Times New Roman" w:hAnsi="Times New Roman"/>
          <w:szCs w:val="24"/>
        </w:rPr>
        <w:t>equipment that produces conservat</w:t>
      </w:r>
      <w:r w:rsidR="006E1327">
        <w:rPr>
          <w:rFonts w:ascii="Times New Roman" w:hAnsi="Times New Roman"/>
          <w:szCs w:val="24"/>
        </w:rPr>
        <w:t>i</w:t>
      </w:r>
      <w:r w:rsidR="00A755C9">
        <w:rPr>
          <w:rFonts w:ascii="Times New Roman" w:hAnsi="Times New Roman"/>
          <w:szCs w:val="24"/>
        </w:rPr>
        <w:t>on benefits.</w:t>
      </w:r>
      <w:r w:rsidR="00C262F7">
        <w:rPr>
          <w:rFonts w:ascii="Times New Roman" w:hAnsi="Times New Roman"/>
          <w:szCs w:val="24"/>
        </w:rPr>
        <w:t xml:space="preserve"> </w:t>
      </w:r>
      <w:r w:rsidR="00DF4BBE">
        <w:rPr>
          <w:rFonts w:ascii="Times New Roman" w:hAnsi="Times New Roman"/>
          <w:szCs w:val="24"/>
        </w:rPr>
        <w:t xml:space="preserve"> </w:t>
      </w:r>
    </w:p>
    <w:p w:rsidR="0040135D" w:rsidRDefault="00453B67" w:rsidP="00F61AED">
      <w:pPr>
        <w:pStyle w:val="answer"/>
        <w:rPr>
          <w:rFonts w:ascii="Times New Roman" w:hAnsi="Times New Roman"/>
          <w:szCs w:val="24"/>
        </w:rPr>
      </w:pPr>
      <w:r>
        <w:rPr>
          <w:rFonts w:ascii="Times New Roman" w:hAnsi="Times New Roman"/>
          <w:szCs w:val="24"/>
        </w:rPr>
        <w:tab/>
      </w:r>
      <w:r w:rsidR="0014588E">
        <w:rPr>
          <w:rFonts w:ascii="Times New Roman" w:hAnsi="Times New Roman"/>
          <w:szCs w:val="24"/>
        </w:rPr>
        <w:t xml:space="preserve">PSE’s proposed </w:t>
      </w:r>
      <w:r w:rsidR="00050ADF">
        <w:rPr>
          <w:rFonts w:ascii="Times New Roman" w:hAnsi="Times New Roman"/>
          <w:szCs w:val="24"/>
        </w:rPr>
        <w:t xml:space="preserve">equipment </w:t>
      </w:r>
      <w:r w:rsidR="0014588E">
        <w:rPr>
          <w:rFonts w:ascii="Times New Roman" w:hAnsi="Times New Roman"/>
          <w:szCs w:val="24"/>
        </w:rPr>
        <w:t>leasing service is not a conservation program</w:t>
      </w:r>
      <w:r>
        <w:rPr>
          <w:rFonts w:ascii="Times New Roman" w:hAnsi="Times New Roman"/>
          <w:szCs w:val="24"/>
        </w:rPr>
        <w:t xml:space="preserve"> and therefore is not governed by the EIA</w:t>
      </w:r>
      <w:r w:rsidR="0040135D">
        <w:rPr>
          <w:rFonts w:ascii="Times New Roman" w:hAnsi="Times New Roman"/>
          <w:szCs w:val="24"/>
        </w:rPr>
        <w:t xml:space="preserve">.  </w:t>
      </w:r>
      <w:r w:rsidR="00146C9F">
        <w:rPr>
          <w:rFonts w:ascii="Times New Roman" w:hAnsi="Times New Roman"/>
          <w:szCs w:val="24"/>
        </w:rPr>
        <w:t xml:space="preserve">However, </w:t>
      </w:r>
      <w:r w:rsidR="004346C8">
        <w:rPr>
          <w:rFonts w:ascii="Times New Roman" w:hAnsi="Times New Roman"/>
          <w:szCs w:val="24"/>
        </w:rPr>
        <w:t xml:space="preserve">lease customers may take advantage of </w:t>
      </w:r>
      <w:r w:rsidR="00146C9F">
        <w:rPr>
          <w:rFonts w:ascii="Times New Roman" w:hAnsi="Times New Roman"/>
          <w:szCs w:val="24"/>
        </w:rPr>
        <w:t xml:space="preserve">rebates and incentives </w:t>
      </w:r>
      <w:r w:rsidR="004346C8">
        <w:rPr>
          <w:rFonts w:ascii="Times New Roman" w:hAnsi="Times New Roman"/>
          <w:szCs w:val="24"/>
        </w:rPr>
        <w:t xml:space="preserve">offered through PSE conservation program if they </w:t>
      </w:r>
      <w:r w:rsidR="00DF4BBE">
        <w:rPr>
          <w:rFonts w:ascii="Times New Roman" w:hAnsi="Times New Roman"/>
          <w:szCs w:val="24"/>
        </w:rPr>
        <w:t xml:space="preserve">choose </w:t>
      </w:r>
      <w:r w:rsidR="004346C8">
        <w:rPr>
          <w:rFonts w:ascii="Times New Roman" w:hAnsi="Times New Roman"/>
          <w:szCs w:val="24"/>
        </w:rPr>
        <w:t>to lease certain</w:t>
      </w:r>
      <w:r w:rsidR="00146C9F">
        <w:rPr>
          <w:rFonts w:ascii="Times New Roman" w:hAnsi="Times New Roman"/>
          <w:szCs w:val="24"/>
        </w:rPr>
        <w:t xml:space="preserve"> energy efficient equipment.  </w:t>
      </w:r>
      <w:r w:rsidR="004346C8">
        <w:rPr>
          <w:rFonts w:ascii="Times New Roman" w:hAnsi="Times New Roman"/>
          <w:szCs w:val="24"/>
        </w:rPr>
        <w:t>T</w:t>
      </w:r>
      <w:r w:rsidR="00146C9F">
        <w:rPr>
          <w:rFonts w:ascii="Times New Roman" w:hAnsi="Times New Roman"/>
          <w:szCs w:val="24"/>
        </w:rPr>
        <w:t>he bottom line is that PSE’s lease service will provide customers who would not otherwise replace their older, inefficient equipment with a mechanism by which to do so</w:t>
      </w:r>
      <w:r w:rsidR="00B11F76">
        <w:rPr>
          <w:rFonts w:ascii="Times New Roman" w:hAnsi="Times New Roman"/>
          <w:szCs w:val="24"/>
        </w:rPr>
        <w:t>, and this will further the goals underlying the EIA</w:t>
      </w:r>
      <w:r w:rsidR="004346C8">
        <w:rPr>
          <w:rFonts w:ascii="Times New Roman" w:hAnsi="Times New Roman"/>
          <w:szCs w:val="24"/>
        </w:rPr>
        <w:t>, even though PSE’s lease service is not a “conservation” program</w:t>
      </w:r>
      <w:r w:rsidR="00146C9F">
        <w:rPr>
          <w:rFonts w:ascii="Times New Roman" w:hAnsi="Times New Roman"/>
          <w:szCs w:val="24"/>
        </w:rPr>
        <w:t xml:space="preserve">.  </w:t>
      </w:r>
      <w:r w:rsidR="0040135D">
        <w:rPr>
          <w:rFonts w:ascii="Times New Roman" w:hAnsi="Times New Roman"/>
          <w:szCs w:val="24"/>
        </w:rPr>
        <w:t xml:space="preserve">  </w:t>
      </w:r>
    </w:p>
    <w:p w:rsidR="00F61AED" w:rsidRDefault="0040135D" w:rsidP="00F61AED">
      <w:pPr>
        <w:pStyle w:val="answer"/>
        <w:rPr>
          <w:rFonts w:ascii="Times New Roman" w:hAnsi="Times New Roman"/>
          <w:szCs w:val="24"/>
        </w:rPr>
      </w:pPr>
      <w:r>
        <w:rPr>
          <w:rFonts w:ascii="Times New Roman" w:hAnsi="Times New Roman"/>
          <w:szCs w:val="24"/>
        </w:rPr>
        <w:tab/>
      </w:r>
      <w:r w:rsidR="00DF4BBE">
        <w:rPr>
          <w:rFonts w:ascii="Times New Roman" w:hAnsi="Times New Roman"/>
          <w:szCs w:val="24"/>
        </w:rPr>
        <w:t xml:space="preserve">It is also important to note that the EIA </w:t>
      </w:r>
      <w:r w:rsidR="00050ADF">
        <w:rPr>
          <w:rFonts w:ascii="Times New Roman" w:hAnsi="Times New Roman"/>
          <w:szCs w:val="24"/>
        </w:rPr>
        <w:t xml:space="preserve">only </w:t>
      </w:r>
      <w:r w:rsidR="00DF4BBE">
        <w:rPr>
          <w:rFonts w:ascii="Times New Roman" w:hAnsi="Times New Roman"/>
          <w:szCs w:val="24"/>
        </w:rPr>
        <w:t xml:space="preserve">addresses electric energy conservation.  </w:t>
      </w:r>
      <w:r w:rsidR="0014588E">
        <w:rPr>
          <w:rFonts w:ascii="Times New Roman" w:hAnsi="Times New Roman"/>
          <w:szCs w:val="24"/>
        </w:rPr>
        <w:t>Notably</w:t>
      </w:r>
      <w:r w:rsidR="00C262F7">
        <w:rPr>
          <w:rFonts w:ascii="Times New Roman" w:hAnsi="Times New Roman"/>
          <w:szCs w:val="24"/>
        </w:rPr>
        <w:t xml:space="preserve">, it does not </w:t>
      </w:r>
      <w:r w:rsidR="00DF4BBE">
        <w:rPr>
          <w:rFonts w:ascii="Times New Roman" w:hAnsi="Times New Roman"/>
          <w:szCs w:val="24"/>
        </w:rPr>
        <w:t xml:space="preserve">address </w:t>
      </w:r>
      <w:r w:rsidR="00C262F7">
        <w:rPr>
          <w:rFonts w:ascii="Times New Roman" w:hAnsi="Times New Roman"/>
          <w:szCs w:val="24"/>
        </w:rPr>
        <w:t>natural gas conservation</w:t>
      </w:r>
      <w:r w:rsidR="00DF4BBE">
        <w:rPr>
          <w:rFonts w:ascii="Times New Roman" w:hAnsi="Times New Roman"/>
          <w:szCs w:val="24"/>
        </w:rPr>
        <w:t>, and there is no plausible ar</w:t>
      </w:r>
      <w:r w:rsidR="00F0502A">
        <w:rPr>
          <w:rFonts w:ascii="Times New Roman" w:hAnsi="Times New Roman"/>
          <w:szCs w:val="24"/>
        </w:rPr>
        <w:t xml:space="preserve">gument that PSE’s lease of </w:t>
      </w:r>
      <w:r w:rsidR="00B336D0">
        <w:rPr>
          <w:rFonts w:ascii="Times New Roman" w:hAnsi="Times New Roman"/>
          <w:szCs w:val="24"/>
        </w:rPr>
        <w:t xml:space="preserve">any </w:t>
      </w:r>
      <w:r w:rsidR="00F0502A">
        <w:rPr>
          <w:rFonts w:ascii="Times New Roman" w:hAnsi="Times New Roman"/>
          <w:szCs w:val="24"/>
        </w:rPr>
        <w:t xml:space="preserve">gas </w:t>
      </w:r>
      <w:r w:rsidR="00B336D0">
        <w:rPr>
          <w:rFonts w:ascii="Times New Roman" w:hAnsi="Times New Roman"/>
          <w:szCs w:val="24"/>
        </w:rPr>
        <w:t>equipment</w:t>
      </w:r>
      <w:r w:rsidR="00F0502A">
        <w:rPr>
          <w:rFonts w:ascii="Times New Roman" w:hAnsi="Times New Roman"/>
          <w:szCs w:val="24"/>
        </w:rPr>
        <w:t xml:space="preserve"> violates the EIA</w:t>
      </w:r>
      <w:r w:rsidR="00C262F7">
        <w:rPr>
          <w:rFonts w:ascii="Times New Roman" w:hAnsi="Times New Roman"/>
          <w:szCs w:val="24"/>
        </w:rPr>
        <w:t>.</w:t>
      </w:r>
    </w:p>
    <w:p w:rsidR="00F61AED" w:rsidRPr="0096592F" w:rsidRDefault="00F61AED" w:rsidP="00F61AED">
      <w:pPr>
        <w:pStyle w:val="question"/>
        <w:keepNext/>
        <w:keepLines/>
        <w:spacing w:before="120"/>
        <w:rPr>
          <w:szCs w:val="24"/>
        </w:rPr>
      </w:pPr>
      <w:r w:rsidRPr="0096592F">
        <w:rPr>
          <w:szCs w:val="24"/>
        </w:rPr>
        <w:t>Q.</w:t>
      </w:r>
      <w:r w:rsidRPr="0096592F">
        <w:rPr>
          <w:szCs w:val="24"/>
        </w:rPr>
        <w:tab/>
      </w:r>
      <w:r w:rsidR="00B11F76">
        <w:rPr>
          <w:szCs w:val="24"/>
        </w:rPr>
        <w:t>How do you respond to Staff’s interpretation of the first sentence of RCW 19.285.040 to prohibit PSE from leasing any equipment but the most energy efficient model</w:t>
      </w:r>
      <w:r w:rsidR="0047468C">
        <w:rPr>
          <w:szCs w:val="24"/>
        </w:rPr>
        <w:t>s</w:t>
      </w:r>
      <w:r w:rsidRPr="0096592F">
        <w:rPr>
          <w:szCs w:val="24"/>
        </w:rPr>
        <w:t>?</w:t>
      </w:r>
    </w:p>
    <w:p w:rsidR="00F61AED" w:rsidRDefault="00F61AED" w:rsidP="00F61AED">
      <w:pPr>
        <w:pStyle w:val="answer"/>
        <w:rPr>
          <w:rFonts w:ascii="Times New Roman" w:hAnsi="Times New Roman"/>
          <w:szCs w:val="24"/>
        </w:rPr>
      </w:pPr>
      <w:r w:rsidRPr="0096592F">
        <w:rPr>
          <w:rFonts w:ascii="Times New Roman" w:hAnsi="Times New Roman"/>
          <w:szCs w:val="24"/>
        </w:rPr>
        <w:t>A.</w:t>
      </w:r>
      <w:r w:rsidRPr="0096592F">
        <w:rPr>
          <w:rFonts w:ascii="Times New Roman" w:hAnsi="Times New Roman"/>
          <w:szCs w:val="24"/>
        </w:rPr>
        <w:tab/>
      </w:r>
      <w:r w:rsidR="00BC1DF9">
        <w:rPr>
          <w:rFonts w:ascii="Times New Roman" w:hAnsi="Times New Roman"/>
          <w:szCs w:val="24"/>
        </w:rPr>
        <w:t>RCW 19.285.</w:t>
      </w:r>
      <w:r w:rsidR="005C1571">
        <w:rPr>
          <w:rFonts w:ascii="Times New Roman" w:hAnsi="Times New Roman"/>
          <w:szCs w:val="24"/>
        </w:rPr>
        <w:t>040</w:t>
      </w:r>
      <w:r w:rsidR="000B4295">
        <w:rPr>
          <w:rFonts w:ascii="Times New Roman" w:hAnsi="Times New Roman"/>
          <w:szCs w:val="24"/>
        </w:rPr>
        <w:t>(1)</w:t>
      </w:r>
      <w:r w:rsidR="005C1571">
        <w:rPr>
          <w:rFonts w:ascii="Times New Roman" w:hAnsi="Times New Roman"/>
          <w:szCs w:val="24"/>
        </w:rPr>
        <w:t xml:space="preserve"> </w:t>
      </w:r>
      <w:r w:rsidR="0047468C">
        <w:rPr>
          <w:rFonts w:ascii="Times New Roman" w:hAnsi="Times New Roman"/>
          <w:szCs w:val="24"/>
        </w:rPr>
        <w:t xml:space="preserve">sets forth a process by which a utility must </w:t>
      </w:r>
      <w:r w:rsidR="00C87F15">
        <w:rPr>
          <w:rFonts w:ascii="Times New Roman" w:hAnsi="Times New Roman"/>
          <w:szCs w:val="24"/>
        </w:rPr>
        <w:t xml:space="preserve">establish </w:t>
      </w:r>
      <w:r w:rsidR="000B4295">
        <w:rPr>
          <w:rFonts w:ascii="Times New Roman" w:hAnsi="Times New Roman"/>
          <w:szCs w:val="24"/>
        </w:rPr>
        <w:t xml:space="preserve">its ten-year conservation potential and </w:t>
      </w:r>
      <w:r w:rsidR="00C87F15">
        <w:rPr>
          <w:rFonts w:ascii="Times New Roman" w:hAnsi="Times New Roman"/>
          <w:szCs w:val="24"/>
        </w:rPr>
        <w:t>a</w:t>
      </w:r>
      <w:r w:rsidR="00C262F7">
        <w:rPr>
          <w:rFonts w:ascii="Times New Roman" w:hAnsi="Times New Roman"/>
          <w:szCs w:val="24"/>
        </w:rPr>
        <w:t>n electric</w:t>
      </w:r>
      <w:r w:rsidR="00C87F15">
        <w:rPr>
          <w:rFonts w:ascii="Times New Roman" w:hAnsi="Times New Roman"/>
          <w:szCs w:val="24"/>
        </w:rPr>
        <w:t xml:space="preserve"> biennial </w:t>
      </w:r>
      <w:r w:rsidR="0047468C">
        <w:rPr>
          <w:rFonts w:ascii="Times New Roman" w:hAnsi="Times New Roman"/>
          <w:szCs w:val="24"/>
        </w:rPr>
        <w:t xml:space="preserve">conservation </w:t>
      </w:r>
      <w:r w:rsidR="00C87F15">
        <w:rPr>
          <w:rFonts w:ascii="Times New Roman" w:hAnsi="Times New Roman"/>
          <w:szCs w:val="24"/>
        </w:rPr>
        <w:t xml:space="preserve">target </w:t>
      </w:r>
      <w:r w:rsidR="000B4295">
        <w:rPr>
          <w:rFonts w:ascii="Times New Roman" w:hAnsi="Times New Roman"/>
          <w:szCs w:val="24"/>
        </w:rPr>
        <w:t>that will be reviewed and approved by the Commission</w:t>
      </w:r>
      <w:r w:rsidR="00C87F15">
        <w:rPr>
          <w:rFonts w:ascii="Times New Roman" w:hAnsi="Times New Roman"/>
          <w:szCs w:val="24"/>
        </w:rPr>
        <w:t xml:space="preserve">. </w:t>
      </w:r>
      <w:r w:rsidR="000908D9">
        <w:rPr>
          <w:rFonts w:ascii="Times New Roman" w:hAnsi="Times New Roman"/>
          <w:szCs w:val="24"/>
        </w:rPr>
        <w:t xml:space="preserve"> </w:t>
      </w:r>
      <w:r w:rsidR="0047468C">
        <w:rPr>
          <w:rFonts w:ascii="Times New Roman" w:hAnsi="Times New Roman"/>
          <w:szCs w:val="24"/>
        </w:rPr>
        <w:t xml:space="preserve">The sentence </w:t>
      </w:r>
      <w:r w:rsidR="00B336D0">
        <w:rPr>
          <w:rFonts w:ascii="Times New Roman" w:hAnsi="Times New Roman"/>
          <w:szCs w:val="24"/>
        </w:rPr>
        <w:t xml:space="preserve">of the law that </w:t>
      </w:r>
      <w:r w:rsidR="0047468C">
        <w:rPr>
          <w:rFonts w:ascii="Times New Roman" w:hAnsi="Times New Roman"/>
          <w:szCs w:val="24"/>
        </w:rPr>
        <w:t>Staff cites, which requires a qualifying utility to “pursue all available conservation that is cost-effective, reliable, and feasible</w:t>
      </w:r>
      <w:r w:rsidR="000908D9">
        <w:rPr>
          <w:rFonts w:ascii="Times New Roman" w:hAnsi="Times New Roman"/>
          <w:szCs w:val="24"/>
        </w:rPr>
        <w:t>,</w:t>
      </w:r>
      <w:r w:rsidR="001A6257">
        <w:rPr>
          <w:rFonts w:ascii="Times New Roman" w:hAnsi="Times New Roman"/>
          <w:szCs w:val="24"/>
        </w:rPr>
        <w:t>”</w:t>
      </w:r>
      <w:r w:rsidR="0047468C">
        <w:rPr>
          <w:rFonts w:ascii="Times New Roman" w:hAnsi="Times New Roman"/>
          <w:szCs w:val="24"/>
        </w:rPr>
        <w:t xml:space="preserve"> </w:t>
      </w:r>
      <w:r w:rsidR="00C87F15">
        <w:rPr>
          <w:rFonts w:ascii="Times New Roman" w:hAnsi="Times New Roman"/>
          <w:szCs w:val="24"/>
        </w:rPr>
        <w:t xml:space="preserve">is merely a preface to </w:t>
      </w:r>
      <w:r w:rsidR="000B4295">
        <w:rPr>
          <w:rFonts w:ascii="Times New Roman" w:hAnsi="Times New Roman"/>
          <w:szCs w:val="24"/>
        </w:rPr>
        <w:t xml:space="preserve">the </w:t>
      </w:r>
      <w:r w:rsidR="00C87F15">
        <w:rPr>
          <w:rFonts w:ascii="Times New Roman" w:hAnsi="Times New Roman"/>
          <w:szCs w:val="24"/>
        </w:rPr>
        <w:t>entire process</w:t>
      </w:r>
      <w:r w:rsidR="000B4295">
        <w:rPr>
          <w:rFonts w:ascii="Times New Roman" w:hAnsi="Times New Roman"/>
          <w:szCs w:val="24"/>
        </w:rPr>
        <w:t xml:space="preserve"> </w:t>
      </w:r>
      <w:r w:rsidR="000B4295">
        <w:rPr>
          <w:rFonts w:ascii="Times New Roman" w:hAnsi="Times New Roman"/>
          <w:szCs w:val="24"/>
        </w:rPr>
        <w:lastRenderedPageBreak/>
        <w:t>set forth in the subsequent subsections</w:t>
      </w:r>
      <w:r w:rsidR="00B336D0">
        <w:rPr>
          <w:rFonts w:ascii="Times New Roman" w:hAnsi="Times New Roman"/>
          <w:szCs w:val="24"/>
        </w:rPr>
        <w:t xml:space="preserve"> of this law</w:t>
      </w:r>
      <w:r w:rsidR="0047468C">
        <w:rPr>
          <w:rFonts w:ascii="Times New Roman" w:hAnsi="Times New Roman"/>
          <w:szCs w:val="24"/>
        </w:rPr>
        <w:t>;</w:t>
      </w:r>
      <w:r w:rsidR="00C87F15">
        <w:rPr>
          <w:rFonts w:ascii="Times New Roman" w:hAnsi="Times New Roman"/>
          <w:szCs w:val="24"/>
        </w:rPr>
        <w:t xml:space="preserve"> it </w:t>
      </w:r>
      <w:r w:rsidR="000B4295">
        <w:rPr>
          <w:rFonts w:ascii="Times New Roman" w:hAnsi="Times New Roman"/>
          <w:szCs w:val="24"/>
        </w:rPr>
        <w:t xml:space="preserve">does </w:t>
      </w:r>
      <w:r w:rsidR="00C87F15">
        <w:rPr>
          <w:rFonts w:ascii="Times New Roman" w:hAnsi="Times New Roman"/>
          <w:szCs w:val="24"/>
        </w:rPr>
        <w:t xml:space="preserve">not </w:t>
      </w:r>
      <w:r w:rsidR="000B4295">
        <w:rPr>
          <w:rFonts w:ascii="Times New Roman" w:hAnsi="Times New Roman"/>
          <w:szCs w:val="24"/>
        </w:rPr>
        <w:t xml:space="preserve">create </w:t>
      </w:r>
      <w:r w:rsidR="00C87F15">
        <w:rPr>
          <w:rFonts w:ascii="Times New Roman" w:hAnsi="Times New Roman"/>
          <w:szCs w:val="24"/>
        </w:rPr>
        <w:t xml:space="preserve">a </w:t>
      </w:r>
      <w:r w:rsidR="000B4295">
        <w:rPr>
          <w:rFonts w:ascii="Times New Roman" w:hAnsi="Times New Roman"/>
          <w:szCs w:val="24"/>
        </w:rPr>
        <w:t>requirement</w:t>
      </w:r>
      <w:r w:rsidR="00B336D0">
        <w:rPr>
          <w:rFonts w:ascii="Times New Roman" w:hAnsi="Times New Roman"/>
          <w:szCs w:val="24"/>
        </w:rPr>
        <w:t xml:space="preserve"> in the law</w:t>
      </w:r>
      <w:r w:rsidR="0013559B">
        <w:rPr>
          <w:rFonts w:ascii="Times New Roman" w:hAnsi="Times New Roman"/>
          <w:szCs w:val="24"/>
        </w:rPr>
        <w:t>,</w:t>
      </w:r>
      <w:r w:rsidR="000B4295">
        <w:rPr>
          <w:rFonts w:ascii="Times New Roman" w:hAnsi="Times New Roman"/>
          <w:szCs w:val="24"/>
        </w:rPr>
        <w:t xml:space="preserve"> separate from the </w:t>
      </w:r>
      <w:r w:rsidR="00C87F15">
        <w:rPr>
          <w:rFonts w:ascii="Times New Roman" w:hAnsi="Times New Roman"/>
          <w:szCs w:val="24"/>
        </w:rPr>
        <w:t xml:space="preserve">process </w:t>
      </w:r>
      <w:r w:rsidR="0013559B">
        <w:rPr>
          <w:rFonts w:ascii="Times New Roman" w:hAnsi="Times New Roman"/>
          <w:szCs w:val="24"/>
        </w:rPr>
        <w:t xml:space="preserve">for </w:t>
      </w:r>
      <w:r w:rsidR="00C87F15">
        <w:rPr>
          <w:rFonts w:ascii="Times New Roman" w:hAnsi="Times New Roman"/>
          <w:szCs w:val="24"/>
        </w:rPr>
        <w:t>setting and approving a</w:t>
      </w:r>
      <w:r w:rsidR="00C262F7">
        <w:rPr>
          <w:rFonts w:ascii="Times New Roman" w:hAnsi="Times New Roman"/>
          <w:szCs w:val="24"/>
        </w:rPr>
        <w:t>n electric conservation</w:t>
      </w:r>
      <w:r w:rsidR="00C87F15">
        <w:rPr>
          <w:rFonts w:ascii="Times New Roman" w:hAnsi="Times New Roman"/>
          <w:szCs w:val="24"/>
        </w:rPr>
        <w:t xml:space="preserve"> target</w:t>
      </w:r>
      <w:r w:rsidR="000B4295">
        <w:rPr>
          <w:rFonts w:ascii="Times New Roman" w:hAnsi="Times New Roman"/>
          <w:szCs w:val="24"/>
        </w:rPr>
        <w:t xml:space="preserve"> identified in the statute</w:t>
      </w:r>
      <w:r w:rsidR="00C87F15">
        <w:rPr>
          <w:rFonts w:ascii="Times New Roman" w:hAnsi="Times New Roman"/>
          <w:szCs w:val="24"/>
        </w:rPr>
        <w:t xml:space="preserve">. </w:t>
      </w:r>
      <w:r w:rsidR="000908D9">
        <w:rPr>
          <w:rFonts w:ascii="Times New Roman" w:hAnsi="Times New Roman"/>
          <w:szCs w:val="24"/>
        </w:rPr>
        <w:t xml:space="preserve"> </w:t>
      </w:r>
      <w:r w:rsidR="000B4295">
        <w:rPr>
          <w:rFonts w:ascii="Times New Roman" w:hAnsi="Times New Roman"/>
          <w:szCs w:val="24"/>
        </w:rPr>
        <w:t>Certainly, it does not preclude a utility from leasing gas and electric equipment</w:t>
      </w:r>
      <w:r w:rsidR="001A6257">
        <w:rPr>
          <w:rFonts w:ascii="Times New Roman" w:hAnsi="Times New Roman"/>
          <w:szCs w:val="24"/>
        </w:rPr>
        <w:t>,</w:t>
      </w:r>
      <w:r w:rsidR="000B4295">
        <w:rPr>
          <w:rFonts w:ascii="Times New Roman" w:hAnsi="Times New Roman"/>
          <w:szCs w:val="24"/>
        </w:rPr>
        <w:t xml:space="preserve"> </w:t>
      </w:r>
      <w:r w:rsidR="001A6257">
        <w:rPr>
          <w:rFonts w:ascii="Times New Roman" w:hAnsi="Times New Roman"/>
          <w:szCs w:val="24"/>
        </w:rPr>
        <w:t>separate and apart from</w:t>
      </w:r>
      <w:r w:rsidR="000B4295">
        <w:rPr>
          <w:rFonts w:ascii="Times New Roman" w:hAnsi="Times New Roman"/>
          <w:szCs w:val="24"/>
        </w:rPr>
        <w:t xml:space="preserve"> its conservation program.  </w:t>
      </w:r>
      <w:r w:rsidR="000908D9">
        <w:rPr>
          <w:rFonts w:ascii="Times New Roman" w:hAnsi="Times New Roman"/>
          <w:szCs w:val="24"/>
        </w:rPr>
        <w:t xml:space="preserve">Moreover, as previously discussed, through its conservation program PSE intends to pursue all available conservation that is cost-effective, reliable, and feasible by encouraging leasing customers to lease the most energy efficient equipment through the use of rebates and incentives that will make this equipment more affordable for customers.  </w:t>
      </w:r>
    </w:p>
    <w:p w:rsidR="00F20283" w:rsidRDefault="005F7987" w:rsidP="005058F7">
      <w:pPr>
        <w:pStyle w:val="Heading1"/>
      </w:pPr>
      <w:bookmarkStart w:id="18" w:name="_Toc455138807"/>
      <w:r>
        <w:t>V</w:t>
      </w:r>
      <w:r w:rsidR="001E7080">
        <w:t>II</w:t>
      </w:r>
      <w:r w:rsidR="00E36247" w:rsidRPr="00E36247">
        <w:t>.</w:t>
      </w:r>
      <w:r w:rsidR="00E36247" w:rsidRPr="00E36247">
        <w:tab/>
        <w:t xml:space="preserve">RECOVERING NON-STANDARD COSTS ARE COMMON </w:t>
      </w:r>
      <w:r w:rsidR="0067058E">
        <w:t>PRACTICE</w:t>
      </w:r>
      <w:r w:rsidR="00E36247" w:rsidRPr="00E36247">
        <w:t xml:space="preserve"> AND </w:t>
      </w:r>
      <w:r w:rsidR="00E36247">
        <w:t xml:space="preserve">ARE </w:t>
      </w:r>
      <w:r w:rsidR="000F1AAC">
        <w:t xml:space="preserve">CURRENTLY </w:t>
      </w:r>
      <w:r w:rsidR="00E36247">
        <w:t xml:space="preserve">FOUND IN BOTH OF </w:t>
      </w:r>
      <w:r w:rsidR="00E36247" w:rsidRPr="00E36247">
        <w:t>PSE’S TARIFF BOOKS</w:t>
      </w:r>
      <w:bookmarkEnd w:id="18"/>
    </w:p>
    <w:p w:rsidR="00E36247" w:rsidRPr="0096592F" w:rsidRDefault="00E36247" w:rsidP="00E36247">
      <w:pPr>
        <w:pStyle w:val="question"/>
        <w:keepNext/>
        <w:keepLines/>
        <w:spacing w:before="120"/>
        <w:rPr>
          <w:szCs w:val="24"/>
        </w:rPr>
      </w:pPr>
      <w:r w:rsidRPr="0096592F">
        <w:rPr>
          <w:szCs w:val="24"/>
        </w:rPr>
        <w:t>Q.</w:t>
      </w:r>
      <w:r w:rsidRPr="0096592F">
        <w:rPr>
          <w:szCs w:val="24"/>
        </w:rPr>
        <w:tab/>
      </w:r>
      <w:r w:rsidR="000F1AAC">
        <w:rPr>
          <w:szCs w:val="24"/>
        </w:rPr>
        <w:t>Do you agree with</w:t>
      </w:r>
      <w:r>
        <w:rPr>
          <w:szCs w:val="24"/>
        </w:rPr>
        <w:t xml:space="preserve"> Mr. Cebulko’s assertion that </w:t>
      </w:r>
      <w:r w:rsidR="00203816">
        <w:rPr>
          <w:szCs w:val="24"/>
        </w:rPr>
        <w:t>“</w:t>
      </w:r>
      <w:r w:rsidR="000F1AAC">
        <w:rPr>
          <w:szCs w:val="24"/>
        </w:rPr>
        <w:t xml:space="preserve">[w]hile </w:t>
      </w:r>
      <w:r w:rsidR="00203816">
        <w:rPr>
          <w:szCs w:val="24"/>
        </w:rPr>
        <w:t>non-</w:t>
      </w:r>
      <w:r w:rsidR="005058F7">
        <w:rPr>
          <w:szCs w:val="24"/>
        </w:rPr>
        <w:t xml:space="preserve">standard </w:t>
      </w:r>
      <w:r w:rsidR="00203816">
        <w:rPr>
          <w:szCs w:val="24"/>
        </w:rPr>
        <w:t>installa</w:t>
      </w:r>
      <w:r w:rsidR="005058F7">
        <w:rPr>
          <w:szCs w:val="24"/>
        </w:rPr>
        <w:t>t</w:t>
      </w:r>
      <w:r w:rsidR="00203816">
        <w:rPr>
          <w:szCs w:val="24"/>
        </w:rPr>
        <w:t>ion costs m</w:t>
      </w:r>
      <w:r w:rsidR="005058F7">
        <w:rPr>
          <w:szCs w:val="24"/>
        </w:rPr>
        <w:t>a</w:t>
      </w:r>
      <w:r w:rsidR="00203816">
        <w:rPr>
          <w:szCs w:val="24"/>
        </w:rPr>
        <w:t xml:space="preserve">y be </w:t>
      </w:r>
      <w:r w:rsidR="000F1AAC">
        <w:rPr>
          <w:szCs w:val="24"/>
        </w:rPr>
        <w:t xml:space="preserve">a </w:t>
      </w:r>
      <w:r w:rsidR="00203816">
        <w:rPr>
          <w:szCs w:val="24"/>
        </w:rPr>
        <w:t xml:space="preserve">practical reality of installing space </w:t>
      </w:r>
      <w:r w:rsidR="001E7CA0">
        <w:rPr>
          <w:szCs w:val="24"/>
        </w:rPr>
        <w:t>and water heat appliances, it also provides a loop-hole around charging a tarif</w:t>
      </w:r>
      <w:r w:rsidR="005058F7">
        <w:rPr>
          <w:szCs w:val="24"/>
        </w:rPr>
        <w:t>f</w:t>
      </w:r>
      <w:r w:rsidR="001E7CA0">
        <w:rPr>
          <w:szCs w:val="24"/>
        </w:rPr>
        <w:t>ed rates.”</w:t>
      </w:r>
      <w:r w:rsidR="001E7CA0">
        <w:rPr>
          <w:rStyle w:val="FootnoteReference"/>
          <w:szCs w:val="24"/>
        </w:rPr>
        <w:footnoteReference w:id="38"/>
      </w:r>
      <w:r>
        <w:rPr>
          <w:szCs w:val="24"/>
        </w:rPr>
        <w:t xml:space="preserve">? </w:t>
      </w:r>
    </w:p>
    <w:p w:rsidR="00E36247" w:rsidRDefault="00E36247" w:rsidP="00E36247">
      <w:pPr>
        <w:pStyle w:val="answer"/>
        <w:rPr>
          <w:rFonts w:ascii="Times New Roman" w:hAnsi="Times New Roman"/>
          <w:szCs w:val="24"/>
        </w:rPr>
      </w:pPr>
      <w:r w:rsidRPr="0096592F">
        <w:rPr>
          <w:rFonts w:ascii="Times New Roman" w:hAnsi="Times New Roman"/>
          <w:szCs w:val="24"/>
        </w:rPr>
        <w:t>A.</w:t>
      </w:r>
      <w:r w:rsidRPr="0096592F">
        <w:rPr>
          <w:rFonts w:ascii="Times New Roman" w:hAnsi="Times New Roman"/>
          <w:szCs w:val="24"/>
        </w:rPr>
        <w:tab/>
      </w:r>
      <w:r w:rsidR="000F1AAC">
        <w:rPr>
          <w:rFonts w:ascii="Times New Roman" w:hAnsi="Times New Roman"/>
          <w:szCs w:val="24"/>
        </w:rPr>
        <w:t xml:space="preserve">I </w:t>
      </w:r>
      <w:r w:rsidR="00543578">
        <w:rPr>
          <w:rFonts w:ascii="Times New Roman" w:hAnsi="Times New Roman"/>
          <w:szCs w:val="24"/>
        </w:rPr>
        <w:t xml:space="preserve">agree with Mr. Cebulko that non-installation costs are a </w:t>
      </w:r>
      <w:r w:rsidR="00FD7438">
        <w:rPr>
          <w:rFonts w:ascii="Times New Roman" w:hAnsi="Times New Roman"/>
          <w:szCs w:val="24"/>
        </w:rPr>
        <w:t xml:space="preserve">practical reality of installing space and water heat equipment, but </w:t>
      </w:r>
      <w:r w:rsidR="000F1AAC">
        <w:rPr>
          <w:rFonts w:ascii="Times New Roman" w:hAnsi="Times New Roman"/>
          <w:szCs w:val="24"/>
        </w:rPr>
        <w:t xml:space="preserve">I </w:t>
      </w:r>
      <w:r w:rsidR="00FD7438">
        <w:rPr>
          <w:rFonts w:ascii="Times New Roman" w:hAnsi="Times New Roman"/>
          <w:szCs w:val="24"/>
        </w:rPr>
        <w:t xml:space="preserve">do not agree with his conclusion that </w:t>
      </w:r>
      <w:r w:rsidR="00FD4059">
        <w:rPr>
          <w:rFonts w:ascii="Times New Roman" w:hAnsi="Times New Roman"/>
          <w:szCs w:val="24"/>
        </w:rPr>
        <w:t xml:space="preserve">it provides a loop-hole around charging tariffed rates. </w:t>
      </w:r>
      <w:r w:rsidR="00E61AB2">
        <w:rPr>
          <w:rFonts w:ascii="Times New Roman" w:hAnsi="Times New Roman"/>
          <w:szCs w:val="24"/>
        </w:rPr>
        <w:t xml:space="preserve"> </w:t>
      </w:r>
      <w:r w:rsidR="00FD4059">
        <w:rPr>
          <w:rFonts w:ascii="Times New Roman" w:hAnsi="Times New Roman"/>
          <w:szCs w:val="24"/>
        </w:rPr>
        <w:t xml:space="preserve">Mr. Cebulko </w:t>
      </w:r>
      <w:r w:rsidR="00C51948">
        <w:rPr>
          <w:rFonts w:ascii="Times New Roman" w:hAnsi="Times New Roman"/>
          <w:szCs w:val="24"/>
        </w:rPr>
        <w:t>overlooks</w:t>
      </w:r>
      <w:r w:rsidR="00FD4059">
        <w:rPr>
          <w:rFonts w:ascii="Times New Roman" w:hAnsi="Times New Roman"/>
          <w:szCs w:val="24"/>
        </w:rPr>
        <w:t xml:space="preserve"> two facts: </w:t>
      </w:r>
      <w:r w:rsidR="00FC157B">
        <w:rPr>
          <w:rFonts w:ascii="Times New Roman" w:hAnsi="Times New Roman"/>
          <w:szCs w:val="24"/>
        </w:rPr>
        <w:t xml:space="preserve"> </w:t>
      </w:r>
      <w:r w:rsidR="00FD4059">
        <w:rPr>
          <w:rFonts w:ascii="Times New Roman" w:hAnsi="Times New Roman"/>
          <w:szCs w:val="24"/>
        </w:rPr>
        <w:t>1) charging for non-standard costs is something that occurs throughout PSE’s two tariff books</w:t>
      </w:r>
      <w:r w:rsidR="00F515CB">
        <w:rPr>
          <w:rFonts w:ascii="Times New Roman" w:hAnsi="Times New Roman"/>
          <w:szCs w:val="24"/>
        </w:rPr>
        <w:t>;</w:t>
      </w:r>
      <w:r w:rsidR="00FD4059">
        <w:rPr>
          <w:rFonts w:ascii="Times New Roman" w:hAnsi="Times New Roman"/>
          <w:szCs w:val="24"/>
        </w:rPr>
        <w:t xml:space="preserve"> and 2) the fact that there are several examples of charging for non-standard costs in PSE’s tariff schedules, by definition, means it is not “a </w:t>
      </w:r>
      <w:r w:rsidR="00FD4059">
        <w:rPr>
          <w:rFonts w:ascii="Times New Roman" w:hAnsi="Times New Roman"/>
          <w:szCs w:val="24"/>
        </w:rPr>
        <w:lastRenderedPageBreak/>
        <w:t xml:space="preserve">loop-hole </w:t>
      </w:r>
      <w:r w:rsidR="00FD4059" w:rsidRPr="005058F7">
        <w:rPr>
          <w:rFonts w:ascii="Times New Roman" w:hAnsi="Times New Roman"/>
          <w:i/>
          <w:szCs w:val="24"/>
        </w:rPr>
        <w:t>around</w:t>
      </w:r>
      <w:r w:rsidR="00FD4059">
        <w:rPr>
          <w:rFonts w:ascii="Times New Roman" w:hAnsi="Times New Roman"/>
          <w:szCs w:val="24"/>
        </w:rPr>
        <w:t xml:space="preserve">” tariffed rates since they are, in fact, tariffed rates. </w:t>
      </w:r>
      <w:r w:rsidR="000F1AAC">
        <w:rPr>
          <w:rFonts w:ascii="Times New Roman" w:hAnsi="Times New Roman"/>
          <w:szCs w:val="24"/>
        </w:rPr>
        <w:t xml:space="preserve"> </w:t>
      </w:r>
      <w:r w:rsidR="00FD4059">
        <w:rPr>
          <w:rFonts w:ascii="Times New Roman" w:hAnsi="Times New Roman"/>
          <w:szCs w:val="24"/>
        </w:rPr>
        <w:t>A cursory review of PSE’s tariff books reveals several examples of charging for non-standard costs</w:t>
      </w:r>
      <w:r w:rsidR="000F1AAC">
        <w:rPr>
          <w:rFonts w:ascii="Times New Roman" w:hAnsi="Times New Roman"/>
          <w:szCs w:val="24"/>
        </w:rPr>
        <w:t xml:space="preserve">.  </w:t>
      </w:r>
      <w:r w:rsidR="00FC157B">
        <w:rPr>
          <w:rFonts w:ascii="Times New Roman" w:hAnsi="Times New Roman"/>
          <w:szCs w:val="24"/>
        </w:rPr>
        <w:t>Exhibit No.___ (EEE-7),</w:t>
      </w:r>
      <w:r w:rsidR="00FD4059">
        <w:rPr>
          <w:rFonts w:ascii="Times New Roman" w:hAnsi="Times New Roman"/>
          <w:szCs w:val="24"/>
        </w:rPr>
        <w:t xml:space="preserve"> </w:t>
      </w:r>
      <w:r w:rsidR="00977D1D">
        <w:rPr>
          <w:rFonts w:ascii="Times New Roman" w:hAnsi="Times New Roman"/>
          <w:szCs w:val="24"/>
        </w:rPr>
        <w:t>provide</w:t>
      </w:r>
      <w:r w:rsidR="00BC1DF9">
        <w:rPr>
          <w:rFonts w:ascii="Times New Roman" w:hAnsi="Times New Roman"/>
          <w:szCs w:val="24"/>
        </w:rPr>
        <w:t>s</w:t>
      </w:r>
      <w:r w:rsidR="00977D1D">
        <w:rPr>
          <w:rFonts w:ascii="Times New Roman" w:hAnsi="Times New Roman"/>
          <w:szCs w:val="24"/>
        </w:rPr>
        <w:t xml:space="preserve"> several examples.</w:t>
      </w:r>
    </w:p>
    <w:p w:rsidR="00977D1D" w:rsidRDefault="00977D1D" w:rsidP="005058F7">
      <w:pPr>
        <w:pStyle w:val="answer"/>
        <w:ind w:firstLine="0"/>
        <w:rPr>
          <w:rFonts w:ascii="Times New Roman" w:hAnsi="Times New Roman"/>
          <w:szCs w:val="24"/>
        </w:rPr>
      </w:pPr>
      <w:r>
        <w:rPr>
          <w:rFonts w:ascii="Times New Roman" w:hAnsi="Times New Roman"/>
          <w:szCs w:val="24"/>
        </w:rPr>
        <w:t xml:space="preserve">Non-installation costs are not only a practical reality of installing space and water heat equipment, they are a practical reality of several types of </w:t>
      </w:r>
      <w:r w:rsidR="001B13AE">
        <w:rPr>
          <w:rFonts w:ascii="Times New Roman" w:hAnsi="Times New Roman"/>
          <w:szCs w:val="24"/>
        </w:rPr>
        <w:t xml:space="preserve">existing tariffed </w:t>
      </w:r>
      <w:r>
        <w:rPr>
          <w:rFonts w:ascii="Times New Roman" w:hAnsi="Times New Roman"/>
          <w:szCs w:val="24"/>
        </w:rPr>
        <w:t xml:space="preserve">services PSE provides to its customers, </w:t>
      </w:r>
      <w:r w:rsidR="001B13AE">
        <w:rPr>
          <w:rFonts w:ascii="Times New Roman" w:hAnsi="Times New Roman"/>
          <w:szCs w:val="24"/>
        </w:rPr>
        <w:t>including</w:t>
      </w:r>
      <w:r>
        <w:rPr>
          <w:rFonts w:ascii="Times New Roman" w:hAnsi="Times New Roman"/>
          <w:szCs w:val="24"/>
        </w:rPr>
        <w:t xml:space="preserve"> line extensions for electric service and facilities extensions for natural gas service</w:t>
      </w:r>
      <w:r w:rsidR="0038117D">
        <w:rPr>
          <w:rFonts w:ascii="Times New Roman" w:hAnsi="Times New Roman"/>
          <w:szCs w:val="24"/>
        </w:rPr>
        <w:t xml:space="preserve">, which </w:t>
      </w:r>
      <w:r>
        <w:rPr>
          <w:rFonts w:ascii="Times New Roman" w:hAnsi="Times New Roman"/>
          <w:szCs w:val="24"/>
        </w:rPr>
        <w:t xml:space="preserve">are </w:t>
      </w:r>
      <w:r w:rsidR="0038117D">
        <w:rPr>
          <w:rFonts w:ascii="Times New Roman" w:hAnsi="Times New Roman"/>
          <w:szCs w:val="24"/>
        </w:rPr>
        <w:t xml:space="preserve">a </w:t>
      </w:r>
      <w:r>
        <w:rPr>
          <w:rFonts w:ascii="Times New Roman" w:hAnsi="Times New Roman"/>
          <w:szCs w:val="24"/>
        </w:rPr>
        <w:t xml:space="preserve">practical reality of serving </w:t>
      </w:r>
      <w:r w:rsidRPr="005058F7">
        <w:rPr>
          <w:rFonts w:ascii="Times New Roman" w:hAnsi="Times New Roman"/>
          <w:i/>
          <w:szCs w:val="24"/>
        </w:rPr>
        <w:t>every</w:t>
      </w:r>
      <w:r>
        <w:rPr>
          <w:rFonts w:ascii="Times New Roman" w:hAnsi="Times New Roman"/>
          <w:szCs w:val="24"/>
        </w:rPr>
        <w:t xml:space="preserve"> PSE customer.</w:t>
      </w:r>
    </w:p>
    <w:p w:rsidR="001436C4" w:rsidRDefault="001436C4" w:rsidP="00C9018F">
      <w:pPr>
        <w:jc w:val="center"/>
        <w:rPr>
          <w:b/>
        </w:rPr>
      </w:pPr>
      <w:r w:rsidRPr="00C9018F">
        <w:rPr>
          <w:b/>
        </w:rPr>
        <w:t>VIII.</w:t>
      </w:r>
      <w:r w:rsidRPr="00C9018F">
        <w:rPr>
          <w:b/>
        </w:rPr>
        <w:tab/>
        <w:t>STAFF IMPOSES VALUE SYSTEM RATHER THAN ANALYSIS IN CONCLUDING THAT RATES ARE TOO EXPENSIVE</w:t>
      </w:r>
    </w:p>
    <w:p w:rsidR="00FC43DA" w:rsidRPr="00C9018F" w:rsidRDefault="00FC43DA" w:rsidP="00C9018F">
      <w:pPr>
        <w:jc w:val="center"/>
        <w:rPr>
          <w:b/>
          <w:color w:val="1F497D"/>
        </w:rPr>
      </w:pPr>
    </w:p>
    <w:p w:rsidR="001436C4" w:rsidRDefault="001436C4" w:rsidP="001436C4">
      <w:pPr>
        <w:pStyle w:val="Default"/>
        <w:spacing w:line="480" w:lineRule="auto"/>
        <w:ind w:left="720" w:hanging="720"/>
        <w:rPr>
          <w:rFonts w:ascii="Times New Roman" w:hAnsi="Times New Roman"/>
          <w:b/>
          <w:bCs/>
        </w:rPr>
      </w:pPr>
      <w:r>
        <w:rPr>
          <w:rFonts w:ascii="Times New Roman" w:hAnsi="Times New Roman"/>
          <w:b/>
          <w:bCs/>
        </w:rPr>
        <w:t>Q.</w:t>
      </w:r>
      <w:r>
        <w:t xml:space="preserve">        </w:t>
      </w:r>
      <w:r>
        <w:rPr>
          <w:rFonts w:ascii="Times New Roman" w:hAnsi="Times New Roman"/>
          <w:b/>
          <w:bCs/>
        </w:rPr>
        <w:t>Do any of the WUTC Staff Witnesses provide any testimony supporting that the rates in Schedules 75 do not meet the Commission requirement of just, fair, reasonable and sufficient?</w:t>
      </w:r>
    </w:p>
    <w:p w:rsidR="001436C4" w:rsidRDefault="001436C4" w:rsidP="00C9018F">
      <w:pPr>
        <w:pStyle w:val="Default"/>
        <w:spacing w:line="480" w:lineRule="auto"/>
        <w:ind w:left="720" w:hanging="720"/>
        <w:rPr>
          <w:rFonts w:ascii="Times New Roman" w:hAnsi="Times New Roman"/>
        </w:rPr>
      </w:pPr>
      <w:r>
        <w:rPr>
          <w:rFonts w:ascii="Times New Roman" w:hAnsi="Times New Roman"/>
        </w:rPr>
        <w:t xml:space="preserve">A.        </w:t>
      </w:r>
      <w:r w:rsidR="006A567A">
        <w:rPr>
          <w:rFonts w:ascii="Times New Roman" w:hAnsi="Times New Roman"/>
        </w:rPr>
        <w:t xml:space="preserve">No.  </w:t>
      </w:r>
      <w:r>
        <w:rPr>
          <w:rFonts w:ascii="Times New Roman" w:hAnsi="Times New Roman"/>
        </w:rPr>
        <w:t>There is a noticeable absence of evidence from the WUTC Staff disagreeing that PSE’s Schedule 75 rates meet the Commission requirement of being just, fair, reasonable and sufficient.</w:t>
      </w:r>
      <w:r w:rsidR="006A567A">
        <w:rPr>
          <w:rFonts w:ascii="Times New Roman" w:hAnsi="Times New Roman"/>
        </w:rPr>
        <w:t xml:space="preserve">  </w:t>
      </w:r>
    </w:p>
    <w:p w:rsidR="00BC1DF9" w:rsidRDefault="001436C4" w:rsidP="001436C4">
      <w:pPr>
        <w:pStyle w:val="Default"/>
        <w:spacing w:line="480" w:lineRule="auto"/>
        <w:ind w:left="720" w:hanging="720"/>
        <w:rPr>
          <w:rFonts w:ascii="Times New Roman" w:hAnsi="Times New Roman"/>
          <w:b/>
          <w:bCs/>
        </w:rPr>
      </w:pPr>
      <w:r>
        <w:rPr>
          <w:rFonts w:ascii="Times New Roman" w:hAnsi="Times New Roman"/>
          <w:b/>
          <w:bCs/>
        </w:rPr>
        <w:t>Q.</w:t>
      </w:r>
      <w:r>
        <w:t xml:space="preserve">        </w:t>
      </w:r>
      <w:r w:rsidR="00B637CD">
        <w:rPr>
          <w:rFonts w:ascii="Times New Roman" w:hAnsi="Times New Roman"/>
          <w:b/>
          <w:bCs/>
        </w:rPr>
        <w:t>Do you have any further comments about Mr. Cebulko’s testimony?</w:t>
      </w:r>
    </w:p>
    <w:p w:rsidR="00BC1DF9" w:rsidRPr="00487573" w:rsidRDefault="00BC1DF9" w:rsidP="00BC1DF9">
      <w:pPr>
        <w:pStyle w:val="question"/>
        <w:keepNext/>
        <w:keepLines/>
        <w:spacing w:before="120"/>
        <w:rPr>
          <w:b w:val="0"/>
          <w:szCs w:val="24"/>
        </w:rPr>
      </w:pPr>
      <w:r>
        <w:lastRenderedPageBreak/>
        <w:t xml:space="preserve">A.        </w:t>
      </w:r>
      <w:r w:rsidRPr="00C9018F">
        <w:rPr>
          <w:b w:val="0"/>
        </w:rPr>
        <w:t xml:space="preserve">Yes. </w:t>
      </w:r>
      <w:r>
        <w:rPr>
          <w:b w:val="0"/>
        </w:rPr>
        <w:t xml:space="preserve"> Mr. Cebulko’s testimony is infused with value judgments that are not criteria set forth in the law.  For example, he</w:t>
      </w:r>
      <w:r w:rsidRPr="00C9018F">
        <w:rPr>
          <w:b w:val="0"/>
        </w:rPr>
        <w:t xml:space="preserve"> states “the proposed optional leasing service is ‘bad” for PSE customers</w:t>
      </w:r>
      <w:r>
        <w:rPr>
          <w:b w:val="0"/>
        </w:rPr>
        <w:t xml:space="preserve">, and that it </w:t>
      </w:r>
      <w:r w:rsidRPr="00C9018F">
        <w:rPr>
          <w:b w:val="0"/>
        </w:rPr>
        <w:t xml:space="preserve">is an “expensive” service. </w:t>
      </w:r>
      <w:r>
        <w:rPr>
          <w:b w:val="0"/>
        </w:rPr>
        <w:t xml:space="preserve"> </w:t>
      </w:r>
      <w:r w:rsidRPr="00C9018F">
        <w:rPr>
          <w:b w:val="0"/>
        </w:rPr>
        <w:t>The terms “bad” and “expensive” are not criteria that are contained in the current laws and rules</w:t>
      </w:r>
      <w:r>
        <w:rPr>
          <w:b w:val="0"/>
        </w:rPr>
        <w:t xml:space="preserve">, and these </w:t>
      </w:r>
      <w:r w:rsidRPr="00C9018F">
        <w:rPr>
          <w:b w:val="0"/>
        </w:rPr>
        <w:t xml:space="preserve">subjective terms </w:t>
      </w:r>
      <w:r>
        <w:rPr>
          <w:b w:val="0"/>
        </w:rPr>
        <w:t>do nothing to further the analysis of whether the leasing program is in the public interest</w:t>
      </w:r>
      <w:r w:rsidRPr="00C9018F">
        <w:rPr>
          <w:b w:val="0"/>
        </w:rPr>
        <w:t xml:space="preserve">. </w:t>
      </w:r>
      <w:r>
        <w:rPr>
          <w:b w:val="0"/>
        </w:rPr>
        <w:t xml:space="preserve"> Mr. Cebulko </w:t>
      </w:r>
      <w:r w:rsidRPr="00C9018F">
        <w:rPr>
          <w:b w:val="0"/>
        </w:rPr>
        <w:t>impos</w:t>
      </w:r>
      <w:r>
        <w:rPr>
          <w:b w:val="0"/>
        </w:rPr>
        <w:t>es</w:t>
      </w:r>
      <w:r w:rsidRPr="00C9018F">
        <w:rPr>
          <w:b w:val="0"/>
        </w:rPr>
        <w:t xml:space="preserve"> his own personal value judgments rather than </w:t>
      </w:r>
      <w:r>
        <w:rPr>
          <w:b w:val="0"/>
        </w:rPr>
        <w:t xml:space="preserve">undertaking an appropriate </w:t>
      </w:r>
      <w:r w:rsidRPr="00C9018F">
        <w:rPr>
          <w:b w:val="0"/>
        </w:rPr>
        <w:t xml:space="preserve">analysis of whether </w:t>
      </w:r>
      <w:r>
        <w:rPr>
          <w:b w:val="0"/>
        </w:rPr>
        <w:t xml:space="preserve">Lease Solutions is in the public interest and </w:t>
      </w:r>
      <w:r w:rsidRPr="00487573">
        <w:rPr>
          <w:b w:val="0"/>
        </w:rPr>
        <w:t>meet</w:t>
      </w:r>
      <w:r>
        <w:rPr>
          <w:b w:val="0"/>
        </w:rPr>
        <w:t>s</w:t>
      </w:r>
      <w:r w:rsidRPr="00487573">
        <w:rPr>
          <w:b w:val="0"/>
        </w:rPr>
        <w:t xml:space="preserve"> the Commission requirement of  “</w:t>
      </w:r>
      <w:r>
        <w:rPr>
          <w:b w:val="0"/>
        </w:rPr>
        <w:t xml:space="preserve">just, </w:t>
      </w:r>
      <w:r w:rsidRPr="00487573">
        <w:rPr>
          <w:b w:val="0"/>
        </w:rPr>
        <w:t>fair, reasonable and sufficient</w:t>
      </w:r>
      <w:r>
        <w:rPr>
          <w:b w:val="0"/>
        </w:rPr>
        <w:t>.</w:t>
      </w:r>
      <w:r w:rsidRPr="00487573">
        <w:rPr>
          <w:b w:val="0"/>
        </w:rPr>
        <w:t xml:space="preserve">” </w:t>
      </w:r>
      <w:r>
        <w:rPr>
          <w:b w:val="0"/>
        </w:rPr>
        <w:t xml:space="preserve"> </w:t>
      </w:r>
      <w:r w:rsidRPr="00487573">
        <w:rPr>
          <w:b w:val="0"/>
        </w:rPr>
        <w:t xml:space="preserve">In the absence of such testimony from the </w:t>
      </w:r>
      <w:r>
        <w:rPr>
          <w:b w:val="0"/>
        </w:rPr>
        <w:t xml:space="preserve">Mr. Cebulko, </w:t>
      </w:r>
      <w:r w:rsidRPr="00487573">
        <w:rPr>
          <w:b w:val="0"/>
        </w:rPr>
        <w:t>we can conclude that these proposed rates meet the requirement of “</w:t>
      </w:r>
      <w:r>
        <w:rPr>
          <w:b w:val="0"/>
        </w:rPr>
        <w:t xml:space="preserve">just, </w:t>
      </w:r>
      <w:r w:rsidRPr="00487573">
        <w:rPr>
          <w:b w:val="0"/>
        </w:rPr>
        <w:t>f</w:t>
      </w:r>
      <w:r>
        <w:rPr>
          <w:b w:val="0"/>
        </w:rPr>
        <w:t>air, reasonable and sufficient.”</w:t>
      </w:r>
    </w:p>
    <w:p w:rsidR="001436C4" w:rsidRDefault="001436C4" w:rsidP="001436C4">
      <w:pPr>
        <w:pStyle w:val="Default"/>
        <w:spacing w:line="480" w:lineRule="auto"/>
        <w:ind w:left="720" w:hanging="720"/>
        <w:rPr>
          <w:rFonts w:ascii="Times New Roman" w:hAnsi="Times New Roman"/>
          <w:b/>
          <w:bCs/>
        </w:rPr>
      </w:pPr>
      <w:r>
        <w:rPr>
          <w:rFonts w:ascii="Times New Roman" w:hAnsi="Times New Roman"/>
          <w:b/>
          <w:bCs/>
        </w:rPr>
        <w:t xml:space="preserve"> </w:t>
      </w:r>
    </w:p>
    <w:p w:rsidR="001269CA" w:rsidRPr="0096592F" w:rsidRDefault="00CA29C9" w:rsidP="004F5937">
      <w:pPr>
        <w:pStyle w:val="Heading1"/>
        <w:rPr>
          <w:rFonts w:eastAsia="SimSun"/>
        </w:rPr>
      </w:pPr>
      <w:bookmarkStart w:id="19" w:name="_Toc455138808"/>
      <w:r>
        <w:t>VIII</w:t>
      </w:r>
      <w:r w:rsidR="005F7987">
        <w:t>.</w:t>
      </w:r>
      <w:r w:rsidR="005F7987">
        <w:tab/>
      </w:r>
      <w:r w:rsidR="001269CA" w:rsidRPr="0096592F">
        <w:t>CONCLUSION</w:t>
      </w:r>
      <w:bookmarkEnd w:id="19"/>
    </w:p>
    <w:p w:rsidR="001269CA" w:rsidRPr="0096592F" w:rsidRDefault="001269CA" w:rsidP="001269CA">
      <w:pPr>
        <w:pStyle w:val="question"/>
        <w:keepNext/>
        <w:keepLines/>
        <w:spacing w:before="120"/>
        <w:rPr>
          <w:szCs w:val="24"/>
        </w:rPr>
      </w:pPr>
      <w:r w:rsidRPr="0096592F">
        <w:rPr>
          <w:szCs w:val="24"/>
        </w:rPr>
        <w:t>Q.</w:t>
      </w:r>
      <w:r w:rsidRPr="0096592F">
        <w:rPr>
          <w:szCs w:val="24"/>
        </w:rPr>
        <w:tab/>
        <w:t xml:space="preserve">Does this conclude your </w:t>
      </w:r>
      <w:r>
        <w:rPr>
          <w:szCs w:val="24"/>
        </w:rPr>
        <w:t>rebuttal</w:t>
      </w:r>
      <w:r w:rsidRPr="0096592F">
        <w:rPr>
          <w:szCs w:val="24"/>
        </w:rPr>
        <w:t xml:space="preserve"> testimony?</w:t>
      </w:r>
    </w:p>
    <w:p w:rsidR="001269CA" w:rsidRDefault="001269CA" w:rsidP="001269CA">
      <w:pPr>
        <w:pStyle w:val="answer"/>
        <w:rPr>
          <w:rFonts w:ascii="Times New Roman" w:hAnsi="Times New Roman"/>
          <w:szCs w:val="24"/>
        </w:rPr>
      </w:pPr>
      <w:r w:rsidRPr="0096592F">
        <w:rPr>
          <w:rFonts w:ascii="Times New Roman" w:hAnsi="Times New Roman"/>
          <w:szCs w:val="24"/>
        </w:rPr>
        <w:t>A.</w:t>
      </w:r>
      <w:r w:rsidRPr="0096592F">
        <w:rPr>
          <w:rFonts w:ascii="Times New Roman" w:hAnsi="Times New Roman"/>
          <w:szCs w:val="24"/>
        </w:rPr>
        <w:tab/>
        <w:t>Yes.</w:t>
      </w:r>
    </w:p>
    <w:p w:rsidR="00F61AED" w:rsidRPr="0096592F" w:rsidRDefault="00F61AED" w:rsidP="002B656E">
      <w:pPr>
        <w:pStyle w:val="answer"/>
        <w:rPr>
          <w:rFonts w:ascii="Times New Roman" w:hAnsi="Times New Roman"/>
          <w:szCs w:val="24"/>
        </w:rPr>
      </w:pPr>
    </w:p>
    <w:sectPr w:rsidR="00F61AED" w:rsidRPr="0096592F" w:rsidSect="008E7864">
      <w:footerReference w:type="default" r:id="rId13"/>
      <w:pgSz w:w="12240" w:h="15840" w:code="1"/>
      <w:pgMar w:top="1440" w:right="1440" w:bottom="1440" w:left="2160" w:header="720" w:footer="864"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481" w:rsidRDefault="00C61481">
      <w:r>
        <w:separator/>
      </w:r>
    </w:p>
  </w:endnote>
  <w:endnote w:type="continuationSeparator" w:id="0">
    <w:p w:rsidR="00C61481" w:rsidRDefault="00C6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 w:name="Arial (W1)">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481" w:rsidRDefault="00C61481" w:rsidP="001F47E2">
    <w:pPr>
      <w:pStyle w:val="Foote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481" w:rsidRDefault="00C61481"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C61481" w:rsidRDefault="00C61481" w:rsidP="00480476">
    <w:pPr>
      <w:pStyle w:val="Footer"/>
      <w:tabs>
        <w:tab w:val="clear" w:pos="4507"/>
        <w:tab w:val="clear" w:pos="9000"/>
        <w:tab w:val="right" w:pos="8640"/>
      </w:tabs>
    </w:pPr>
    <w:r>
      <w:t>Prefiled Rebuttal Testimony</w:t>
    </w:r>
    <w:r w:rsidR="00CE5DAD">
      <w:t xml:space="preserve"> (Nonconfidential)</w:t>
    </w:r>
    <w:r>
      <w:tab/>
      <w:t>Exhibit No. ___(EEE-3T)</w:t>
    </w:r>
  </w:p>
  <w:p w:rsidR="00C61481" w:rsidRDefault="00C61481" w:rsidP="00480476">
    <w:pPr>
      <w:pStyle w:val="Footer"/>
      <w:tabs>
        <w:tab w:val="clear" w:pos="4507"/>
        <w:tab w:val="clear" w:pos="9000"/>
        <w:tab w:val="right" w:pos="8640"/>
      </w:tabs>
      <w:rPr>
        <w:rStyle w:val="PageNumber"/>
      </w:rPr>
    </w:pPr>
    <w:r>
      <w:t>of Eric E. Englert</w:t>
    </w:r>
    <w:r>
      <w:tab/>
      <w:t>Page </w:t>
    </w:r>
    <w:r>
      <w:rPr>
        <w:rStyle w:val="PageNumber"/>
      </w:rPr>
      <w:fldChar w:fldCharType="begin"/>
    </w:r>
    <w:r>
      <w:rPr>
        <w:rStyle w:val="PageNumber"/>
      </w:rPr>
      <w:instrText xml:space="preserve"> PAGE </w:instrText>
    </w:r>
    <w:r>
      <w:rPr>
        <w:rStyle w:val="PageNumber"/>
      </w:rPr>
      <w:fldChar w:fldCharType="separate"/>
    </w:r>
    <w:r w:rsidR="007F0670">
      <w:rPr>
        <w:rStyle w:val="PageNumber"/>
        <w:noProof/>
      </w:rPr>
      <w:t>i</w:t>
    </w:r>
    <w:r>
      <w:rPr>
        <w:rStyle w:val="PageNumber"/>
      </w:rPr>
      <w:fldChar w:fldCharType="end"/>
    </w:r>
    <w:r>
      <w:rPr>
        <w:rStyle w:val="PageNumber"/>
      </w:rPr>
      <w:t xml:space="preserve"> of i</w:t>
    </w:r>
  </w:p>
  <w:p w:rsidR="00C61481" w:rsidRDefault="00C61481" w:rsidP="001F47E2">
    <w:pPr>
      <w:pStyle w:val="Footer"/>
      <w:tabs>
        <w:tab w:val="clear" w:pos="4507"/>
        <w:tab w:val="clear" w:pos="9000"/>
        <w:tab w:val="right" w:pos="8640"/>
      </w:tabs>
      <w:spacing w:line="200" w:lineRule="exact"/>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481" w:rsidRDefault="00C61481"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C61481" w:rsidRDefault="00C61481" w:rsidP="00480476">
    <w:pPr>
      <w:pStyle w:val="Footer"/>
      <w:tabs>
        <w:tab w:val="clear" w:pos="4507"/>
        <w:tab w:val="clear" w:pos="9000"/>
        <w:tab w:val="right" w:pos="8640"/>
      </w:tabs>
    </w:pPr>
    <w:r>
      <w:t>Prefiled Rebuttal Testimony</w:t>
    </w:r>
    <w:r w:rsidR="00CE5DAD">
      <w:t xml:space="preserve"> (Nonconfidential)</w:t>
    </w:r>
    <w:r>
      <w:tab/>
      <w:t>Exhibit No. ___(EEE-3T)</w:t>
    </w:r>
  </w:p>
  <w:p w:rsidR="00C61481" w:rsidRDefault="00C61481" w:rsidP="00767BA1">
    <w:pPr>
      <w:pStyle w:val="Footer"/>
      <w:tabs>
        <w:tab w:val="clear" w:pos="4507"/>
        <w:tab w:val="clear" w:pos="9000"/>
        <w:tab w:val="right" w:pos="8640"/>
      </w:tabs>
      <w:rPr>
        <w:rStyle w:val="PageNumber"/>
      </w:rPr>
    </w:pPr>
    <w:r>
      <w:t>of Eric E. Englert</w:t>
    </w:r>
    <w:r>
      <w:tab/>
      <w:t>Page </w:t>
    </w:r>
    <w:r>
      <w:rPr>
        <w:rStyle w:val="PageNumber"/>
      </w:rPr>
      <w:fldChar w:fldCharType="begin"/>
    </w:r>
    <w:r>
      <w:rPr>
        <w:rStyle w:val="PageNumber"/>
      </w:rPr>
      <w:instrText xml:space="preserve"> PAGE </w:instrText>
    </w:r>
    <w:r>
      <w:rPr>
        <w:rStyle w:val="PageNumber"/>
      </w:rPr>
      <w:fldChar w:fldCharType="separate"/>
    </w:r>
    <w:r w:rsidR="007F0670">
      <w:rPr>
        <w:rStyle w:val="PageNumber"/>
        <w:noProof/>
      </w:rPr>
      <w:t>30</w:t>
    </w:r>
    <w:r>
      <w:rPr>
        <w:rStyle w:val="PageNumber"/>
      </w:rPr>
      <w:fldChar w:fldCharType="end"/>
    </w:r>
    <w:r>
      <w:rPr>
        <w:rStyle w:val="PageNumber"/>
      </w:rPr>
      <w:t xml:space="preserve"> of </w:t>
    </w:r>
    <w:r w:rsidR="00C017C9">
      <w:rPr>
        <w:rStyle w:val="PageNumber"/>
      </w:rPr>
      <w:t>30</w:t>
    </w:r>
  </w:p>
  <w:p w:rsidR="00C61481" w:rsidRDefault="00C61481" w:rsidP="001F47E2">
    <w:pPr>
      <w:pStyle w:val="Footer"/>
      <w:tabs>
        <w:tab w:val="clear" w:pos="4507"/>
        <w:tab w:val="clear" w:pos="9000"/>
        <w:tab w:val="right" w:pos="8640"/>
      </w:tabs>
      <w:spacing w:line="200" w:lineRule="exact"/>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481" w:rsidRDefault="00C61481">
      <w:r>
        <w:separator/>
      </w:r>
    </w:p>
  </w:footnote>
  <w:footnote w:type="continuationSeparator" w:id="0">
    <w:p w:rsidR="00C61481" w:rsidRDefault="00C61481">
      <w:r>
        <w:continuationSeparator/>
      </w:r>
    </w:p>
  </w:footnote>
  <w:footnote w:id="1">
    <w:p w:rsidR="00C61481" w:rsidRDefault="00C61481" w:rsidP="00630DE1">
      <w:pPr>
        <w:pStyle w:val="FootnoteText"/>
      </w:pPr>
      <w:r>
        <w:rPr>
          <w:rStyle w:val="FootnoteReference"/>
        </w:rPr>
        <w:footnoteRef/>
      </w:r>
      <w:r>
        <w:t xml:space="preserve"> The advice/cover letter clearly indicated: “… now that PSE has added the monthly rates to the tariff schedules, the attachment and the references to it are no longer needed – they were only needed due to the “2-Phase” structure of PSE’s original filing”</w:t>
      </w:r>
    </w:p>
  </w:footnote>
  <w:footnote w:id="2">
    <w:p w:rsidR="007D02CE" w:rsidRDefault="007D02CE">
      <w:pPr>
        <w:pStyle w:val="FootnoteText"/>
      </w:pPr>
      <w:r>
        <w:rPr>
          <w:rStyle w:val="FootnoteReference"/>
        </w:rPr>
        <w:footnoteRef/>
      </w:r>
      <w:r>
        <w:t xml:space="preserve"> S</w:t>
      </w:r>
      <w:r w:rsidRPr="007D02CE">
        <w:rPr>
          <w:i/>
        </w:rPr>
        <w:t xml:space="preserve">ee </w:t>
      </w:r>
      <w:r w:rsidRPr="007D02CE">
        <w:t>WAC 480-90-128(3) and WAC 480-100-128(3).</w:t>
      </w:r>
    </w:p>
  </w:footnote>
  <w:footnote w:id="3">
    <w:p w:rsidR="00736F40" w:rsidRDefault="00736F40">
      <w:pPr>
        <w:pStyle w:val="FootnoteText"/>
      </w:pPr>
      <w:r>
        <w:rPr>
          <w:rStyle w:val="FootnoteReference"/>
        </w:rPr>
        <w:footnoteRef/>
      </w:r>
      <w:r>
        <w:t xml:space="preserve"> </w:t>
      </w:r>
      <w:r w:rsidRPr="00736F40">
        <w:rPr>
          <w:rFonts w:hint="eastAsia"/>
          <w:bCs/>
        </w:rPr>
        <w:t>Kimball, Exh.</w:t>
      </w:r>
      <w:r w:rsidRPr="00736F40">
        <w:rPr>
          <w:bCs/>
        </w:rPr>
        <w:t xml:space="preserve"> </w:t>
      </w:r>
      <w:r w:rsidRPr="00736F40">
        <w:rPr>
          <w:rFonts w:hint="eastAsia"/>
          <w:bCs/>
        </w:rPr>
        <w:t>No. ___ (MKK-1HCT) 38:15-39:1-7</w:t>
      </w:r>
      <w:r>
        <w:rPr>
          <w:bCs/>
        </w:rPr>
        <w:t>.</w:t>
      </w:r>
    </w:p>
  </w:footnote>
  <w:footnote w:id="4">
    <w:p w:rsidR="00C61481" w:rsidRDefault="00C61481">
      <w:pPr>
        <w:pStyle w:val="FootnoteText"/>
      </w:pPr>
      <w:r>
        <w:rPr>
          <w:rStyle w:val="FootnoteReference"/>
        </w:rPr>
        <w:footnoteRef/>
      </w:r>
      <w:r>
        <w:t xml:space="preserve"> O’Connell, Exh. No. ___(ECO-1THC) 15:17-29.</w:t>
      </w:r>
    </w:p>
  </w:footnote>
  <w:footnote w:id="5">
    <w:p w:rsidR="00C61481" w:rsidRDefault="00C61481">
      <w:pPr>
        <w:pStyle w:val="FootnoteText"/>
      </w:pPr>
      <w:r>
        <w:rPr>
          <w:rStyle w:val="FootnoteReference"/>
        </w:rPr>
        <w:footnoteRef/>
      </w:r>
      <w:r>
        <w:t xml:space="preserve"> WAC 480-07-510(3)(e)(iii) states that “‘Pro forma adjustments’” give effect for the test period to all known and measurable changes that are not offset by other factors.  </w:t>
      </w:r>
    </w:p>
  </w:footnote>
  <w:footnote w:id="6">
    <w:p w:rsidR="00C61481" w:rsidRPr="0086795F" w:rsidRDefault="00C61481">
      <w:pPr>
        <w:pStyle w:val="FootnoteText"/>
      </w:pPr>
      <w:r>
        <w:rPr>
          <w:rStyle w:val="FootnoteReference"/>
        </w:rPr>
        <w:footnoteRef/>
      </w:r>
      <w:r>
        <w:t xml:space="preserve"> </w:t>
      </w:r>
      <w:r>
        <w:rPr>
          <w:i/>
        </w:rPr>
        <w:t xml:space="preserve">WUTC v. WNG, </w:t>
      </w:r>
      <w:r>
        <w:t>Docket UG-920840, Fourth Supp. Order at 17 (June 15, 1993).</w:t>
      </w:r>
    </w:p>
  </w:footnote>
  <w:footnote w:id="7">
    <w:p w:rsidR="00C61481" w:rsidRDefault="00C61481" w:rsidP="00465641">
      <w:pPr>
        <w:pStyle w:val="FootnoteText"/>
      </w:pPr>
      <w:r>
        <w:rPr>
          <w:rStyle w:val="FootnoteReference"/>
        </w:rPr>
        <w:footnoteRef/>
      </w:r>
      <w:r>
        <w:t xml:space="preserve"> </w:t>
      </w:r>
      <w:r w:rsidRPr="008A09C8">
        <w:rPr>
          <w:i/>
        </w:rPr>
        <w:t>Cole v. Wash. Utilities &amp; Transp. Commission</w:t>
      </w:r>
      <w:r>
        <w:t>, 79 Wn.2d 302, 485 P.2d 71 (1971) (en banc).</w:t>
      </w:r>
    </w:p>
  </w:footnote>
  <w:footnote w:id="8">
    <w:p w:rsidR="00C61481" w:rsidRDefault="00C61481" w:rsidP="00B2772B">
      <w:pPr>
        <w:pStyle w:val="FootnoteText"/>
      </w:pPr>
      <w:r>
        <w:rPr>
          <w:rStyle w:val="FootnoteReference"/>
        </w:rPr>
        <w:footnoteRef/>
      </w:r>
      <w:r>
        <w:t xml:space="preserve"> For example, </w:t>
      </w:r>
      <w:r w:rsidRPr="00456CD3">
        <w:rPr>
          <w:szCs w:val="24"/>
          <w:lang w:eastAsia="en-US"/>
        </w:rPr>
        <w:t xml:space="preserve">RCW 80.04.010(11) </w:t>
      </w:r>
      <w:r>
        <w:rPr>
          <w:szCs w:val="24"/>
          <w:lang w:eastAsia="en-US"/>
        </w:rPr>
        <w:t>broadly includes as electric plant all real estate, fixtures and personal property “</w:t>
      </w:r>
      <w:r w:rsidRPr="00456CD3">
        <w:rPr>
          <w:szCs w:val="24"/>
        </w:rPr>
        <w:t>operated, owned, used or to be used for or in connection with</w:t>
      </w:r>
      <w:r>
        <w:rPr>
          <w:szCs w:val="24"/>
        </w:rPr>
        <w:t xml:space="preserve"> . . . </w:t>
      </w:r>
      <w:r w:rsidRPr="00456CD3">
        <w:rPr>
          <w:szCs w:val="24"/>
        </w:rPr>
        <w:t>furnishing of electricity for light, heat, or power for hire</w:t>
      </w:r>
      <w:r>
        <w:rPr>
          <w:szCs w:val="24"/>
        </w:rPr>
        <w:t xml:space="preserve">.” </w:t>
      </w:r>
    </w:p>
  </w:footnote>
  <w:footnote w:id="9">
    <w:p w:rsidR="00C61481" w:rsidRDefault="00C61481" w:rsidP="00B2772B">
      <w:pPr>
        <w:pStyle w:val="FootnoteText"/>
      </w:pPr>
      <w:r>
        <w:rPr>
          <w:rStyle w:val="FootnoteReference"/>
        </w:rPr>
        <w:footnoteRef/>
      </w:r>
      <w:r>
        <w:t xml:space="preserve"> Cebulko, Exh. No. ___(BTC-1THC) 10-18.</w:t>
      </w:r>
    </w:p>
  </w:footnote>
  <w:footnote w:id="10">
    <w:p w:rsidR="00C61481" w:rsidRDefault="00C61481" w:rsidP="00B2772B">
      <w:pPr>
        <w:pStyle w:val="FootnoteText"/>
      </w:pPr>
      <w:r>
        <w:rPr>
          <w:rStyle w:val="FootnoteReference"/>
        </w:rPr>
        <w:footnoteRef/>
      </w:r>
      <w:r>
        <w:t xml:space="preserve"> </w:t>
      </w:r>
      <w:r w:rsidRPr="008A09C8">
        <w:rPr>
          <w:i/>
        </w:rPr>
        <w:t>Cole v. Wash. Utilities &amp; Transp. Commission</w:t>
      </w:r>
      <w:r>
        <w:t>, 79 Wn.2d 302, 304, 485 P.2d 71 (1971) (en banc).</w:t>
      </w:r>
    </w:p>
  </w:footnote>
  <w:footnote w:id="11">
    <w:p w:rsidR="00C61481" w:rsidRDefault="00C61481" w:rsidP="00B2772B">
      <w:pPr>
        <w:pStyle w:val="FootnoteText"/>
      </w:pPr>
      <w:r>
        <w:rPr>
          <w:rStyle w:val="FootnoteReference"/>
        </w:rPr>
        <w:footnoteRef/>
      </w:r>
      <w:r>
        <w:t xml:space="preserve"> </w:t>
      </w:r>
      <w:r w:rsidRPr="008A09C8">
        <w:rPr>
          <w:i/>
        </w:rPr>
        <w:t>Id.</w:t>
      </w:r>
    </w:p>
  </w:footnote>
  <w:footnote w:id="12">
    <w:p w:rsidR="00C61481" w:rsidRDefault="00C61481" w:rsidP="00B2772B">
      <w:pPr>
        <w:pStyle w:val="FootnoteText"/>
      </w:pPr>
      <w:r>
        <w:rPr>
          <w:rStyle w:val="FootnoteReference"/>
        </w:rPr>
        <w:footnoteRef/>
      </w:r>
      <w:r w:rsidR="0012518E">
        <w:t xml:space="preserve"> </w:t>
      </w:r>
      <w:r w:rsidR="0012518E" w:rsidRPr="0012518E">
        <w:rPr>
          <w:i/>
        </w:rPr>
        <w:t xml:space="preserve">Cole v. Wash. </w:t>
      </w:r>
      <w:r w:rsidR="007A6F78">
        <w:rPr>
          <w:i/>
        </w:rPr>
        <w:t>Natural Gas Co.</w:t>
      </w:r>
      <w:r w:rsidR="0012518E">
        <w:t>, No. U-9621, at 17 (1968) (“Commission Proposed Order”).</w:t>
      </w:r>
    </w:p>
  </w:footnote>
  <w:footnote w:id="13">
    <w:p w:rsidR="00C61481" w:rsidRDefault="00C61481" w:rsidP="00B2772B">
      <w:pPr>
        <w:pStyle w:val="FootnoteText"/>
      </w:pPr>
      <w:r>
        <w:rPr>
          <w:rStyle w:val="FootnoteReference"/>
        </w:rPr>
        <w:footnoteRef/>
      </w:r>
      <w:r>
        <w:t xml:space="preserve"> Exhibit N</w:t>
      </w:r>
      <w:r w:rsidR="007A6F78">
        <w:t xml:space="preserve">o. </w:t>
      </w:r>
      <w:r w:rsidR="00FC157B">
        <w:t>___(EEE-4</w:t>
      </w:r>
      <w:r w:rsidR="007A6F78">
        <w:t>) (</w:t>
      </w:r>
      <w:r w:rsidR="007A6F78" w:rsidRPr="007A6F78">
        <w:rPr>
          <w:i/>
        </w:rPr>
        <w:t>Cole v. Wash. Natural Gas Co.</w:t>
      </w:r>
      <w:r w:rsidR="007A6F78" w:rsidRPr="007A6F78">
        <w:t>, No. U-9621 (1968)</w:t>
      </w:r>
      <w:r w:rsidR="007A6F78">
        <w:t xml:space="preserve"> (Opening Brief of W.W. Cole, et al, Plaintiffs, In Support of Plaintiffs’ Position Herein, Exhibits</w:t>
      </w:r>
      <w:r>
        <w:t>).</w:t>
      </w:r>
    </w:p>
  </w:footnote>
  <w:footnote w:id="14">
    <w:p w:rsidR="00C61481" w:rsidRDefault="00C61481" w:rsidP="00B2772B">
      <w:pPr>
        <w:pStyle w:val="FootnoteText"/>
      </w:pPr>
      <w:r>
        <w:rPr>
          <w:rStyle w:val="FootnoteReference"/>
        </w:rPr>
        <w:footnoteRef/>
      </w:r>
      <w:r w:rsidR="00FC157B">
        <w:t xml:space="preserve"> Exhibit No. ___(EEE-5</w:t>
      </w:r>
      <w:r>
        <w:t xml:space="preserve">) (Letter from Jack Taylor, Commission </w:t>
      </w:r>
      <w:r w:rsidR="00487573">
        <w:t>Secretary,</w:t>
      </w:r>
      <w:r>
        <w:t xml:space="preserve"> to Karr, Tuttle, Campbell, Koch and Granberg (Apr. 10, 1962).</w:t>
      </w:r>
    </w:p>
  </w:footnote>
  <w:footnote w:id="15">
    <w:p w:rsidR="00C61481" w:rsidRDefault="00C61481" w:rsidP="00B2772B">
      <w:pPr>
        <w:pStyle w:val="FootnoteText"/>
      </w:pPr>
      <w:r>
        <w:rPr>
          <w:rStyle w:val="FootnoteReference"/>
        </w:rPr>
        <w:footnoteRef/>
      </w:r>
      <w:r w:rsidR="00FC157B">
        <w:t xml:space="preserve"> Exhibit No. ___(EEE-6</w:t>
      </w:r>
      <w:r>
        <w:t>) (</w:t>
      </w:r>
      <w:r w:rsidR="007A6F78" w:rsidRPr="007A6F78">
        <w:rPr>
          <w:i/>
        </w:rPr>
        <w:t>Cole v. Wash. Natural Gas Co.</w:t>
      </w:r>
      <w:r w:rsidR="007A6F78" w:rsidRPr="007A6F78">
        <w:t>, No. U-9621</w:t>
      </w:r>
      <w:r w:rsidR="007A6F78">
        <w:t>, at 21</w:t>
      </w:r>
      <w:r w:rsidR="007A6F78" w:rsidRPr="007A6F78">
        <w:t xml:space="preserve"> (1968) (Commission Staff Brief)</w:t>
      </w:r>
      <w:r>
        <w:t>).</w:t>
      </w:r>
    </w:p>
  </w:footnote>
  <w:footnote w:id="16">
    <w:p w:rsidR="00C61481" w:rsidRDefault="00C61481" w:rsidP="00B2772B">
      <w:pPr>
        <w:pStyle w:val="FootnoteText"/>
      </w:pPr>
      <w:r>
        <w:rPr>
          <w:rStyle w:val="FootnoteReference"/>
        </w:rPr>
        <w:footnoteRef/>
      </w:r>
      <w:r>
        <w:t xml:space="preserve"> </w:t>
      </w:r>
      <w:r>
        <w:rPr>
          <w:i/>
        </w:rPr>
        <w:t>Id.</w:t>
      </w:r>
      <w:r w:rsidR="007A6F78">
        <w:t xml:space="preserve"> at 3-4</w:t>
      </w:r>
      <w:r>
        <w:t>.</w:t>
      </w:r>
    </w:p>
  </w:footnote>
  <w:footnote w:id="17">
    <w:p w:rsidR="00C61481" w:rsidRDefault="00C61481" w:rsidP="00B2772B">
      <w:pPr>
        <w:pStyle w:val="FootnoteText"/>
      </w:pPr>
      <w:r>
        <w:rPr>
          <w:rStyle w:val="FootnoteReference"/>
        </w:rPr>
        <w:footnoteRef/>
      </w:r>
      <w:r>
        <w:t xml:space="preserve"> </w:t>
      </w:r>
      <w:r w:rsidR="008E570B">
        <w:rPr>
          <w:i/>
        </w:rPr>
        <w:t>Cole,</w:t>
      </w:r>
      <w:r w:rsidR="008E570B">
        <w:t xml:space="preserve"> </w:t>
      </w:r>
      <w:r>
        <w:t xml:space="preserve">Commission Proposed Order at 14.  </w:t>
      </w:r>
    </w:p>
  </w:footnote>
  <w:footnote w:id="18">
    <w:p w:rsidR="00C61481" w:rsidRDefault="00C61481" w:rsidP="00B2772B">
      <w:pPr>
        <w:pStyle w:val="FootnoteText"/>
      </w:pPr>
      <w:r>
        <w:rPr>
          <w:rStyle w:val="FootnoteReference"/>
        </w:rPr>
        <w:footnoteRef/>
      </w:r>
      <w:r>
        <w:t xml:space="preserve"> </w:t>
      </w:r>
      <w:r w:rsidRPr="00487573">
        <w:rPr>
          <w:i/>
        </w:rPr>
        <w:t>Id.</w:t>
      </w:r>
      <w:r>
        <w:t xml:space="preserve"> at 15 (emphasis in original).</w:t>
      </w:r>
    </w:p>
  </w:footnote>
  <w:footnote w:id="19">
    <w:p w:rsidR="00C61481" w:rsidRDefault="00C61481" w:rsidP="00B2772B">
      <w:pPr>
        <w:pStyle w:val="FootnoteText"/>
      </w:pPr>
      <w:r>
        <w:rPr>
          <w:rStyle w:val="FootnoteReference"/>
        </w:rPr>
        <w:footnoteRef/>
      </w:r>
      <w:r>
        <w:t xml:space="preserve"> O’Connell, Exh. No. ___(ECO-1THC) at 11.</w:t>
      </w:r>
    </w:p>
  </w:footnote>
  <w:footnote w:id="20">
    <w:p w:rsidR="00C61481" w:rsidRDefault="00C61481" w:rsidP="00B2772B">
      <w:pPr>
        <w:pStyle w:val="FootnoteText"/>
      </w:pPr>
      <w:r>
        <w:rPr>
          <w:rStyle w:val="FootnoteReference"/>
        </w:rPr>
        <w:footnoteRef/>
      </w:r>
      <w:r>
        <w:t xml:space="preserve"> </w:t>
      </w:r>
      <w:r w:rsidR="007A6F78">
        <w:t xml:space="preserve">Commission Proposed Order </w:t>
      </w:r>
      <w:r>
        <w:t>at 15, 20 (emphasis in original).</w:t>
      </w:r>
    </w:p>
  </w:footnote>
  <w:footnote w:id="21">
    <w:p w:rsidR="00C61481" w:rsidRDefault="00C61481" w:rsidP="00B2772B">
      <w:pPr>
        <w:pStyle w:val="FootnoteText"/>
      </w:pPr>
      <w:r>
        <w:rPr>
          <w:rStyle w:val="FootnoteReference"/>
        </w:rPr>
        <w:footnoteRef/>
      </w:r>
      <w:r>
        <w:t xml:space="preserve"> </w:t>
      </w:r>
      <w:r w:rsidR="007A6F78" w:rsidRPr="007A6F78">
        <w:rPr>
          <w:i/>
        </w:rPr>
        <w:t>Id.</w:t>
      </w:r>
      <w:r>
        <w:t xml:space="preserve"> at 45.</w:t>
      </w:r>
    </w:p>
  </w:footnote>
  <w:footnote w:id="22">
    <w:p w:rsidR="00C61481" w:rsidRDefault="00C61481" w:rsidP="00B2772B">
      <w:pPr>
        <w:pStyle w:val="FootnoteText"/>
      </w:pPr>
      <w:r>
        <w:rPr>
          <w:rStyle w:val="FootnoteReference"/>
        </w:rPr>
        <w:footnoteRef/>
      </w:r>
      <w:r>
        <w:t xml:space="preserve"> O’Connell, Exh. No. ___(ECO-1THC) at 10-11.</w:t>
      </w:r>
    </w:p>
  </w:footnote>
  <w:footnote w:id="23">
    <w:p w:rsidR="00C61481" w:rsidRDefault="00C61481" w:rsidP="00B2772B">
      <w:pPr>
        <w:pStyle w:val="FootnoteText"/>
      </w:pPr>
      <w:r>
        <w:rPr>
          <w:rStyle w:val="FootnoteReference"/>
        </w:rPr>
        <w:footnoteRef/>
      </w:r>
      <w:r>
        <w:t xml:space="preserve"> Cebulko, Exh. No. ___(BTC-1THC) at 23-24.</w:t>
      </w:r>
    </w:p>
  </w:footnote>
  <w:footnote w:id="24">
    <w:p w:rsidR="00C61481" w:rsidRPr="003108C8" w:rsidRDefault="00C61481">
      <w:pPr>
        <w:pStyle w:val="FootnoteText"/>
      </w:pPr>
      <w:r>
        <w:rPr>
          <w:rStyle w:val="FootnoteReference"/>
        </w:rPr>
        <w:footnoteRef/>
      </w:r>
      <w:r>
        <w:t xml:space="preserve"> </w:t>
      </w:r>
      <w:r>
        <w:rPr>
          <w:i/>
        </w:rPr>
        <w:t>WUTC v. WNG</w:t>
      </w:r>
      <w:r>
        <w:t>, Docket UG-920840, Fourth Supp. Order at 17 (June 15, 1993)</w:t>
      </w:r>
    </w:p>
  </w:footnote>
  <w:footnote w:id="25">
    <w:p w:rsidR="00C61481" w:rsidRDefault="00C61481" w:rsidP="00B2772B">
      <w:pPr>
        <w:pStyle w:val="FootnoteText"/>
      </w:pPr>
      <w:r>
        <w:rPr>
          <w:rStyle w:val="FootnoteReference"/>
        </w:rPr>
        <w:footnoteRef/>
      </w:r>
      <w:r>
        <w:t xml:space="preserve"> </w:t>
      </w:r>
      <w:r w:rsidRPr="00487573">
        <w:rPr>
          <w:i/>
        </w:rPr>
        <w:t>See</w:t>
      </w:r>
      <w:r>
        <w:t xml:space="preserve"> O’Connell, Exh. No. ___(ECO-1THC) at 11-12, 18.</w:t>
      </w:r>
    </w:p>
  </w:footnote>
  <w:footnote w:id="26">
    <w:p w:rsidR="00C61481" w:rsidRDefault="00C61481" w:rsidP="00B2772B">
      <w:pPr>
        <w:pStyle w:val="FootnoteText"/>
      </w:pPr>
      <w:r>
        <w:rPr>
          <w:rStyle w:val="FootnoteReference"/>
        </w:rPr>
        <w:footnoteRef/>
      </w:r>
      <w:r>
        <w:t xml:space="preserve"> </w:t>
      </w:r>
      <w:r>
        <w:rPr>
          <w:i/>
        </w:rPr>
        <w:t>Id.</w:t>
      </w:r>
      <w:r>
        <w:t xml:space="preserve"> at 12.</w:t>
      </w:r>
    </w:p>
  </w:footnote>
  <w:footnote w:id="27">
    <w:p w:rsidR="00C61481" w:rsidRDefault="00C61481" w:rsidP="00B2772B">
      <w:pPr>
        <w:pStyle w:val="FootnoteText"/>
      </w:pPr>
      <w:r>
        <w:rPr>
          <w:rStyle w:val="FootnoteReference"/>
        </w:rPr>
        <w:footnoteRef/>
      </w:r>
      <w:r>
        <w:t xml:space="preserve"> </w:t>
      </w:r>
      <w:r w:rsidRPr="00487573">
        <w:rPr>
          <w:i/>
        </w:rPr>
        <w:t>Id.</w:t>
      </w:r>
      <w:r>
        <w:t xml:space="preserve"> at 15; RCW 80.04.130.</w:t>
      </w:r>
    </w:p>
  </w:footnote>
  <w:footnote w:id="28">
    <w:p w:rsidR="00C61481" w:rsidRDefault="00C61481" w:rsidP="00B2772B">
      <w:pPr>
        <w:pStyle w:val="FootnoteText"/>
      </w:pPr>
      <w:r>
        <w:rPr>
          <w:rStyle w:val="FootnoteReference"/>
        </w:rPr>
        <w:footnoteRef/>
      </w:r>
      <w:r>
        <w:t xml:space="preserve"> O’Connell, Exh. No. ___(ECO-1THC) at 15 (emphasis in original).</w:t>
      </w:r>
    </w:p>
  </w:footnote>
  <w:footnote w:id="29">
    <w:p w:rsidR="00C61481" w:rsidRDefault="00C61481" w:rsidP="00B2772B">
      <w:pPr>
        <w:pStyle w:val="FootnoteText"/>
      </w:pPr>
      <w:r>
        <w:rPr>
          <w:rStyle w:val="FootnoteReference"/>
        </w:rPr>
        <w:footnoteRef/>
      </w:r>
      <w:r>
        <w:t xml:space="preserve"> </w:t>
      </w:r>
      <w:r w:rsidRPr="00487573">
        <w:rPr>
          <w:i/>
        </w:rPr>
        <w:t>Id</w:t>
      </w:r>
      <w:r>
        <w:t>. at 20.</w:t>
      </w:r>
    </w:p>
  </w:footnote>
  <w:footnote w:id="30">
    <w:p w:rsidR="00C61481" w:rsidRDefault="00C61481" w:rsidP="00B2772B">
      <w:pPr>
        <w:pStyle w:val="FootnoteText"/>
      </w:pPr>
      <w:r>
        <w:rPr>
          <w:rStyle w:val="FootnoteReference"/>
        </w:rPr>
        <w:footnoteRef/>
      </w:r>
      <w:r>
        <w:t xml:space="preserve"> </w:t>
      </w:r>
      <w:r>
        <w:rPr>
          <w:i/>
        </w:rPr>
        <w:t>Id.</w:t>
      </w:r>
      <w:r>
        <w:t xml:space="preserve"> at 14.</w:t>
      </w:r>
    </w:p>
  </w:footnote>
  <w:footnote w:id="31">
    <w:p w:rsidR="00C61481" w:rsidRDefault="00C61481" w:rsidP="00B2772B">
      <w:pPr>
        <w:pStyle w:val="FootnoteText"/>
      </w:pPr>
      <w:r>
        <w:rPr>
          <w:rStyle w:val="FootnoteReference"/>
        </w:rPr>
        <w:footnoteRef/>
      </w:r>
      <w:r>
        <w:t xml:space="preserve"> </w:t>
      </w:r>
      <w:r w:rsidR="008E570B">
        <w:rPr>
          <w:i/>
        </w:rPr>
        <w:t xml:space="preserve">Cole, </w:t>
      </w:r>
      <w:r>
        <w:t>Commission Proposed Order at 45.</w:t>
      </w:r>
    </w:p>
  </w:footnote>
  <w:footnote w:id="32">
    <w:p w:rsidR="00C61481" w:rsidRDefault="00C61481" w:rsidP="00B2772B">
      <w:pPr>
        <w:pStyle w:val="FootnoteText"/>
      </w:pPr>
      <w:r>
        <w:rPr>
          <w:rStyle w:val="FootnoteReference"/>
        </w:rPr>
        <w:footnoteRef/>
      </w:r>
      <w:r>
        <w:t xml:space="preserve"> Cebulko, Exh. No. ___(BTC-1THC) at 11.</w:t>
      </w:r>
    </w:p>
  </w:footnote>
  <w:footnote w:id="33">
    <w:p w:rsidR="00C61481" w:rsidRDefault="00C61481" w:rsidP="00B2772B">
      <w:pPr>
        <w:pStyle w:val="FootnoteText"/>
      </w:pPr>
      <w:r>
        <w:rPr>
          <w:rStyle w:val="FootnoteReference"/>
        </w:rPr>
        <w:footnoteRef/>
      </w:r>
      <w:r>
        <w:t xml:space="preserve"> </w:t>
      </w:r>
      <w:r w:rsidRPr="00487573">
        <w:rPr>
          <w:i/>
        </w:rPr>
        <w:t>Id</w:t>
      </w:r>
      <w:r>
        <w:t>.</w:t>
      </w:r>
    </w:p>
  </w:footnote>
  <w:footnote w:id="34">
    <w:p w:rsidR="00C61481" w:rsidRDefault="00C61481" w:rsidP="00B2772B">
      <w:pPr>
        <w:pStyle w:val="FootnoteText"/>
      </w:pPr>
      <w:r>
        <w:rPr>
          <w:rStyle w:val="FootnoteReference"/>
        </w:rPr>
        <w:footnoteRef/>
      </w:r>
      <w:r>
        <w:t xml:space="preserve"> </w:t>
      </w:r>
      <w:r>
        <w:rPr>
          <w:i/>
        </w:rPr>
        <w:t>Id.</w:t>
      </w:r>
      <w:r>
        <w:t xml:space="preserve"> at 17.</w:t>
      </w:r>
    </w:p>
  </w:footnote>
  <w:footnote w:id="35">
    <w:p w:rsidR="00C61481" w:rsidRDefault="00C61481" w:rsidP="00B2772B">
      <w:pPr>
        <w:pStyle w:val="FootnoteText"/>
      </w:pPr>
      <w:r>
        <w:rPr>
          <w:rStyle w:val="FootnoteReference"/>
        </w:rPr>
        <w:footnoteRef/>
      </w:r>
      <w:r>
        <w:t xml:space="preserve"> </w:t>
      </w:r>
      <w:r>
        <w:rPr>
          <w:i/>
        </w:rPr>
        <w:t>Id.</w:t>
      </w:r>
    </w:p>
  </w:footnote>
  <w:footnote w:id="36">
    <w:p w:rsidR="00C61481" w:rsidRDefault="00C61481">
      <w:pPr>
        <w:pStyle w:val="FootnoteText"/>
      </w:pPr>
      <w:r>
        <w:rPr>
          <w:rStyle w:val="FootnoteReference"/>
        </w:rPr>
        <w:footnoteRef/>
      </w:r>
      <w:r w:rsidR="00F76345">
        <w:rPr>
          <w:i/>
        </w:rPr>
        <w:t xml:space="preserve">See, e.g., </w:t>
      </w:r>
      <w:r w:rsidR="00C017C9">
        <w:t xml:space="preserve">RCW 80.28.360 (allowing incentive rate of return for electrical companies on capital expenditures for electric vehicle equipment deployed for ratepayers); </w:t>
      </w:r>
      <w:r w:rsidR="00F76345">
        <w:rPr>
          <w:i/>
        </w:rPr>
        <w:t xml:space="preserve">In re </w:t>
      </w:r>
      <w:r w:rsidR="00F76345" w:rsidRPr="006F7451">
        <w:rPr>
          <w:i/>
        </w:rPr>
        <w:t>Amending and Repealing Rules in</w:t>
      </w:r>
      <w:r w:rsidR="00F76345">
        <w:rPr>
          <w:i/>
        </w:rPr>
        <w:t xml:space="preserve"> </w:t>
      </w:r>
      <w:r w:rsidR="00F76345" w:rsidRPr="006F7451">
        <w:rPr>
          <w:i/>
        </w:rPr>
        <w:t>WAC 480-108</w:t>
      </w:r>
      <w:r w:rsidR="00F76345">
        <w:rPr>
          <w:i/>
        </w:rPr>
        <w:t xml:space="preserve"> </w:t>
      </w:r>
      <w:r w:rsidR="00F76345" w:rsidRPr="006F7451">
        <w:rPr>
          <w:i/>
        </w:rPr>
        <w:t>Relating to Electric Companies-Interconnection With Electric Generators</w:t>
      </w:r>
      <w:r w:rsidR="00F76345">
        <w:t xml:space="preserve">, Docket UE-112133, </w:t>
      </w:r>
      <w:r w:rsidR="00F76345" w:rsidRPr="006F7451">
        <w:t>I</w:t>
      </w:r>
      <w:r w:rsidR="00F76345">
        <w:t>nterpretive Statement Concerning Commission Jurisdiction and Regulation of Third-Party Owners of Net Metering Facilities, p. 33-34 n. 100 (July 30, 2014).</w:t>
      </w:r>
      <w:r>
        <w:t xml:space="preserve"> </w:t>
      </w:r>
    </w:p>
  </w:footnote>
  <w:footnote w:id="37">
    <w:p w:rsidR="00C61481" w:rsidRDefault="00C61481">
      <w:pPr>
        <w:pStyle w:val="FootnoteText"/>
      </w:pPr>
      <w:r>
        <w:rPr>
          <w:rStyle w:val="FootnoteReference"/>
        </w:rPr>
        <w:footnoteRef/>
      </w:r>
      <w:r>
        <w:t xml:space="preserve"> </w:t>
      </w:r>
      <w:r>
        <w:rPr>
          <w:i/>
        </w:rPr>
        <w:t xml:space="preserve">WUTC v. </w:t>
      </w:r>
      <w:r w:rsidRPr="000C77B3">
        <w:rPr>
          <w:i/>
        </w:rPr>
        <w:t>PSE</w:t>
      </w:r>
      <w:r>
        <w:rPr>
          <w:i/>
        </w:rPr>
        <w:t xml:space="preserve">, </w:t>
      </w:r>
      <w:r>
        <w:t xml:space="preserve">Docket </w:t>
      </w:r>
      <w:r w:rsidRPr="000C77B3">
        <w:t>UE</w:t>
      </w:r>
      <w:r>
        <w:t>-111048, Exhibit JAP-04, page 1, column (n), row 49).</w:t>
      </w:r>
    </w:p>
  </w:footnote>
  <w:footnote w:id="38">
    <w:p w:rsidR="00C61481" w:rsidRDefault="00C61481">
      <w:pPr>
        <w:pStyle w:val="FootnoteText"/>
      </w:pPr>
      <w:r>
        <w:rPr>
          <w:rStyle w:val="FootnoteReference"/>
        </w:rPr>
        <w:footnoteRef/>
      </w:r>
      <w:r>
        <w:t xml:space="preserve"> Cebulko, Exh. No.___ (BTC-1THC) at 23:7-9.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481" w:rsidRPr="00087CDF" w:rsidRDefault="00C61481">
    <w:pPr>
      <w:pStyle w:val="Header"/>
      <w:rPr>
        <w:sz w:val="36"/>
        <w:szCs w:val="36"/>
        <w:u w:val="single"/>
      </w:rPr>
    </w:pPr>
    <w:r>
      <w:rPr>
        <w:noProof/>
        <w:lang w:eastAsia="en-US"/>
      </w:rPr>
      <mc:AlternateContent>
        <mc:Choice Requires="wps">
          <w:drawing>
            <wp:anchor distT="0" distB="0" distL="114299" distR="114299" simplePos="0" relativeHeight="251657216" behindDoc="0" locked="0" layoutInCell="0" allowOverlap="1" wp14:anchorId="7320CD68" wp14:editId="4C750C96">
              <wp:simplePos x="0" y="0"/>
              <wp:positionH relativeFrom="column">
                <wp:posOffset>-177166</wp:posOffset>
              </wp:positionH>
              <wp:positionV relativeFrom="paragraph">
                <wp:posOffset>-88900</wp:posOffset>
              </wp:positionV>
              <wp:extent cx="0" cy="9258300"/>
              <wp:effectExtent l="19050" t="0" r="1905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ME3d5BoCAAA0BAAADgAAAAAAAAAAAAAAAAAuAgAAZHJzL2Uyb0RvYy54bWxQSwECLQAU&#10;AAYACAAAACEAQ6KDOt4AAAAMAQAADwAAAAAAAAAAAAAAAAB0BAAAZHJzL2Rvd25yZXYueG1sUEsF&#10;BgAAAAAEAAQA8wAAAH8FAAAAAA==&#10;" o:allowincell="f"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481" w:rsidRDefault="00C61481">
    <w:pPr>
      <w:pStyle w:val="Header"/>
    </w:pPr>
    <w:r>
      <w:rPr>
        <w:noProof/>
        <w:lang w:eastAsia="en-US"/>
      </w:rPr>
      <mc:AlternateContent>
        <mc:Choice Requires="wps">
          <w:drawing>
            <wp:anchor distT="0" distB="0" distL="114299" distR="114299" simplePos="0" relativeHeight="251658240" behindDoc="0" locked="0" layoutInCell="0" allowOverlap="1" wp14:anchorId="6F0811A7" wp14:editId="239A378B">
              <wp:simplePos x="0" y="0"/>
              <wp:positionH relativeFrom="column">
                <wp:posOffset>-177166</wp:posOffset>
              </wp:positionH>
              <wp:positionV relativeFrom="paragraph">
                <wp:posOffset>-88900</wp:posOffset>
              </wp:positionV>
              <wp:extent cx="0" cy="9258300"/>
              <wp:effectExtent l="19050" t="0" r="1905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B53"/>
    <w:multiLevelType w:val="hybridMultilevel"/>
    <w:tmpl w:val="CD5845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F3229"/>
    <w:multiLevelType w:val="hybridMultilevel"/>
    <w:tmpl w:val="F416B6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2B0A99"/>
    <w:multiLevelType w:val="hybridMultilevel"/>
    <w:tmpl w:val="5EBEFD0E"/>
    <w:lvl w:ilvl="0" w:tplc="8B360AB6">
      <w:start w:val="1"/>
      <w:numFmt w:val="bullet"/>
      <w:lvlText w:val="•"/>
      <w:lvlJc w:val="left"/>
      <w:pPr>
        <w:tabs>
          <w:tab w:val="num" w:pos="720"/>
        </w:tabs>
        <w:ind w:left="720" w:hanging="360"/>
      </w:pPr>
      <w:rPr>
        <w:rFonts w:ascii="Arial" w:hAnsi="Arial" w:hint="default"/>
      </w:rPr>
    </w:lvl>
    <w:lvl w:ilvl="1" w:tplc="5CD834D4" w:tentative="1">
      <w:start w:val="1"/>
      <w:numFmt w:val="bullet"/>
      <w:lvlText w:val="•"/>
      <w:lvlJc w:val="left"/>
      <w:pPr>
        <w:tabs>
          <w:tab w:val="num" w:pos="1440"/>
        </w:tabs>
        <w:ind w:left="1440" w:hanging="360"/>
      </w:pPr>
      <w:rPr>
        <w:rFonts w:ascii="Arial" w:hAnsi="Arial" w:hint="default"/>
      </w:rPr>
    </w:lvl>
    <w:lvl w:ilvl="2" w:tplc="176A802A" w:tentative="1">
      <w:start w:val="1"/>
      <w:numFmt w:val="bullet"/>
      <w:lvlText w:val="•"/>
      <w:lvlJc w:val="left"/>
      <w:pPr>
        <w:tabs>
          <w:tab w:val="num" w:pos="2160"/>
        </w:tabs>
        <w:ind w:left="2160" w:hanging="360"/>
      </w:pPr>
      <w:rPr>
        <w:rFonts w:ascii="Arial" w:hAnsi="Arial" w:hint="default"/>
      </w:rPr>
    </w:lvl>
    <w:lvl w:ilvl="3" w:tplc="6F4C49F0" w:tentative="1">
      <w:start w:val="1"/>
      <w:numFmt w:val="bullet"/>
      <w:lvlText w:val="•"/>
      <w:lvlJc w:val="left"/>
      <w:pPr>
        <w:tabs>
          <w:tab w:val="num" w:pos="2880"/>
        </w:tabs>
        <w:ind w:left="2880" w:hanging="360"/>
      </w:pPr>
      <w:rPr>
        <w:rFonts w:ascii="Arial" w:hAnsi="Arial" w:hint="default"/>
      </w:rPr>
    </w:lvl>
    <w:lvl w:ilvl="4" w:tplc="E6CCD336" w:tentative="1">
      <w:start w:val="1"/>
      <w:numFmt w:val="bullet"/>
      <w:lvlText w:val="•"/>
      <w:lvlJc w:val="left"/>
      <w:pPr>
        <w:tabs>
          <w:tab w:val="num" w:pos="3600"/>
        </w:tabs>
        <w:ind w:left="3600" w:hanging="360"/>
      </w:pPr>
      <w:rPr>
        <w:rFonts w:ascii="Arial" w:hAnsi="Arial" w:hint="default"/>
      </w:rPr>
    </w:lvl>
    <w:lvl w:ilvl="5" w:tplc="68A89128" w:tentative="1">
      <w:start w:val="1"/>
      <w:numFmt w:val="bullet"/>
      <w:lvlText w:val="•"/>
      <w:lvlJc w:val="left"/>
      <w:pPr>
        <w:tabs>
          <w:tab w:val="num" w:pos="4320"/>
        </w:tabs>
        <w:ind w:left="4320" w:hanging="360"/>
      </w:pPr>
      <w:rPr>
        <w:rFonts w:ascii="Arial" w:hAnsi="Arial" w:hint="default"/>
      </w:rPr>
    </w:lvl>
    <w:lvl w:ilvl="6" w:tplc="452643CE" w:tentative="1">
      <w:start w:val="1"/>
      <w:numFmt w:val="bullet"/>
      <w:lvlText w:val="•"/>
      <w:lvlJc w:val="left"/>
      <w:pPr>
        <w:tabs>
          <w:tab w:val="num" w:pos="5040"/>
        </w:tabs>
        <w:ind w:left="5040" w:hanging="360"/>
      </w:pPr>
      <w:rPr>
        <w:rFonts w:ascii="Arial" w:hAnsi="Arial" w:hint="default"/>
      </w:rPr>
    </w:lvl>
    <w:lvl w:ilvl="7" w:tplc="A19A337C" w:tentative="1">
      <w:start w:val="1"/>
      <w:numFmt w:val="bullet"/>
      <w:lvlText w:val="•"/>
      <w:lvlJc w:val="left"/>
      <w:pPr>
        <w:tabs>
          <w:tab w:val="num" w:pos="5760"/>
        </w:tabs>
        <w:ind w:left="5760" w:hanging="360"/>
      </w:pPr>
      <w:rPr>
        <w:rFonts w:ascii="Arial" w:hAnsi="Arial" w:hint="default"/>
      </w:rPr>
    </w:lvl>
    <w:lvl w:ilvl="8" w:tplc="7D3CD2DE" w:tentative="1">
      <w:start w:val="1"/>
      <w:numFmt w:val="bullet"/>
      <w:lvlText w:val="•"/>
      <w:lvlJc w:val="left"/>
      <w:pPr>
        <w:tabs>
          <w:tab w:val="num" w:pos="6480"/>
        </w:tabs>
        <w:ind w:left="6480" w:hanging="360"/>
      </w:pPr>
      <w:rPr>
        <w:rFonts w:ascii="Arial" w:hAnsi="Arial" w:hint="default"/>
      </w:rPr>
    </w:lvl>
  </w:abstractNum>
  <w:abstractNum w:abstractNumId="3">
    <w:nsid w:val="04CF1CF0"/>
    <w:multiLevelType w:val="hybridMultilevel"/>
    <w:tmpl w:val="96FA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0876D1"/>
    <w:multiLevelType w:val="hybridMultilevel"/>
    <w:tmpl w:val="1BE469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E4503D"/>
    <w:multiLevelType w:val="hybridMultilevel"/>
    <w:tmpl w:val="45F06F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C9E38A0"/>
    <w:multiLevelType w:val="hybridMultilevel"/>
    <w:tmpl w:val="FDC641F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2491F34"/>
    <w:multiLevelType w:val="hybridMultilevel"/>
    <w:tmpl w:val="9E6AF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470389E"/>
    <w:multiLevelType w:val="hybridMultilevel"/>
    <w:tmpl w:val="B3CE6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155104"/>
    <w:multiLevelType w:val="hybridMultilevel"/>
    <w:tmpl w:val="E4F8B1E0"/>
    <w:lvl w:ilvl="0" w:tplc="04090001">
      <w:start w:val="1"/>
      <w:numFmt w:val="bullet"/>
      <w:lvlText w:val=""/>
      <w:lvlJc w:val="left"/>
      <w:pPr>
        <w:ind w:left="1080" w:hanging="360"/>
      </w:pPr>
      <w:rPr>
        <w:rFonts w:ascii="Symbol" w:hAnsi="Symbol" w:hint="default"/>
      </w:rPr>
    </w:lvl>
    <w:lvl w:ilvl="1" w:tplc="8C30704C">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0108CE"/>
    <w:multiLevelType w:val="hybridMultilevel"/>
    <w:tmpl w:val="088C4F9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18A53793"/>
    <w:multiLevelType w:val="hybridMultilevel"/>
    <w:tmpl w:val="4E5EF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A7D55EF"/>
    <w:multiLevelType w:val="hybridMultilevel"/>
    <w:tmpl w:val="148490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C94143C"/>
    <w:multiLevelType w:val="hybridMultilevel"/>
    <w:tmpl w:val="EF5077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8504107"/>
    <w:multiLevelType w:val="hybridMultilevel"/>
    <w:tmpl w:val="EF5AD5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9445D9C"/>
    <w:multiLevelType w:val="hybridMultilevel"/>
    <w:tmpl w:val="46B26B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E052431"/>
    <w:multiLevelType w:val="hybridMultilevel"/>
    <w:tmpl w:val="50C030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0D229EE"/>
    <w:multiLevelType w:val="hybridMultilevel"/>
    <w:tmpl w:val="F4B66A0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3B974814"/>
    <w:multiLevelType w:val="hybridMultilevel"/>
    <w:tmpl w:val="89C2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1F3C25"/>
    <w:multiLevelType w:val="multilevel"/>
    <w:tmpl w:val="E18A2B7A"/>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21">
    <w:nsid w:val="3CCB79DB"/>
    <w:multiLevelType w:val="hybridMultilevel"/>
    <w:tmpl w:val="42F29B52"/>
    <w:lvl w:ilvl="0" w:tplc="1FF6945A">
      <w:start w:val="1"/>
      <w:numFmt w:val="bullet"/>
      <w:lvlText w:val="•"/>
      <w:lvlJc w:val="left"/>
      <w:pPr>
        <w:tabs>
          <w:tab w:val="num" w:pos="720"/>
        </w:tabs>
        <w:ind w:left="720" w:hanging="360"/>
      </w:pPr>
      <w:rPr>
        <w:rFonts w:ascii="Arial" w:hAnsi="Arial" w:hint="default"/>
      </w:rPr>
    </w:lvl>
    <w:lvl w:ilvl="1" w:tplc="ABE86AA2" w:tentative="1">
      <w:start w:val="1"/>
      <w:numFmt w:val="bullet"/>
      <w:lvlText w:val="•"/>
      <w:lvlJc w:val="left"/>
      <w:pPr>
        <w:tabs>
          <w:tab w:val="num" w:pos="1440"/>
        </w:tabs>
        <w:ind w:left="1440" w:hanging="360"/>
      </w:pPr>
      <w:rPr>
        <w:rFonts w:ascii="Arial" w:hAnsi="Arial" w:hint="default"/>
      </w:rPr>
    </w:lvl>
    <w:lvl w:ilvl="2" w:tplc="660C58C2" w:tentative="1">
      <w:start w:val="1"/>
      <w:numFmt w:val="bullet"/>
      <w:lvlText w:val="•"/>
      <w:lvlJc w:val="left"/>
      <w:pPr>
        <w:tabs>
          <w:tab w:val="num" w:pos="2160"/>
        </w:tabs>
        <w:ind w:left="2160" w:hanging="360"/>
      </w:pPr>
      <w:rPr>
        <w:rFonts w:ascii="Arial" w:hAnsi="Arial" w:hint="default"/>
      </w:rPr>
    </w:lvl>
    <w:lvl w:ilvl="3" w:tplc="5D842EB6" w:tentative="1">
      <w:start w:val="1"/>
      <w:numFmt w:val="bullet"/>
      <w:lvlText w:val="•"/>
      <w:lvlJc w:val="left"/>
      <w:pPr>
        <w:tabs>
          <w:tab w:val="num" w:pos="2880"/>
        </w:tabs>
        <w:ind w:left="2880" w:hanging="360"/>
      </w:pPr>
      <w:rPr>
        <w:rFonts w:ascii="Arial" w:hAnsi="Arial" w:hint="default"/>
      </w:rPr>
    </w:lvl>
    <w:lvl w:ilvl="4" w:tplc="5DE6A68C" w:tentative="1">
      <w:start w:val="1"/>
      <w:numFmt w:val="bullet"/>
      <w:lvlText w:val="•"/>
      <w:lvlJc w:val="left"/>
      <w:pPr>
        <w:tabs>
          <w:tab w:val="num" w:pos="3600"/>
        </w:tabs>
        <w:ind w:left="3600" w:hanging="360"/>
      </w:pPr>
      <w:rPr>
        <w:rFonts w:ascii="Arial" w:hAnsi="Arial" w:hint="default"/>
      </w:rPr>
    </w:lvl>
    <w:lvl w:ilvl="5" w:tplc="FB48B2D0" w:tentative="1">
      <w:start w:val="1"/>
      <w:numFmt w:val="bullet"/>
      <w:lvlText w:val="•"/>
      <w:lvlJc w:val="left"/>
      <w:pPr>
        <w:tabs>
          <w:tab w:val="num" w:pos="4320"/>
        </w:tabs>
        <w:ind w:left="4320" w:hanging="360"/>
      </w:pPr>
      <w:rPr>
        <w:rFonts w:ascii="Arial" w:hAnsi="Arial" w:hint="default"/>
      </w:rPr>
    </w:lvl>
    <w:lvl w:ilvl="6" w:tplc="46583492" w:tentative="1">
      <w:start w:val="1"/>
      <w:numFmt w:val="bullet"/>
      <w:lvlText w:val="•"/>
      <w:lvlJc w:val="left"/>
      <w:pPr>
        <w:tabs>
          <w:tab w:val="num" w:pos="5040"/>
        </w:tabs>
        <w:ind w:left="5040" w:hanging="360"/>
      </w:pPr>
      <w:rPr>
        <w:rFonts w:ascii="Arial" w:hAnsi="Arial" w:hint="default"/>
      </w:rPr>
    </w:lvl>
    <w:lvl w:ilvl="7" w:tplc="472E0EB6" w:tentative="1">
      <w:start w:val="1"/>
      <w:numFmt w:val="bullet"/>
      <w:lvlText w:val="•"/>
      <w:lvlJc w:val="left"/>
      <w:pPr>
        <w:tabs>
          <w:tab w:val="num" w:pos="5760"/>
        </w:tabs>
        <w:ind w:left="5760" w:hanging="360"/>
      </w:pPr>
      <w:rPr>
        <w:rFonts w:ascii="Arial" w:hAnsi="Arial" w:hint="default"/>
      </w:rPr>
    </w:lvl>
    <w:lvl w:ilvl="8" w:tplc="D1EAA4D6" w:tentative="1">
      <w:start w:val="1"/>
      <w:numFmt w:val="bullet"/>
      <w:lvlText w:val="•"/>
      <w:lvlJc w:val="left"/>
      <w:pPr>
        <w:tabs>
          <w:tab w:val="num" w:pos="6480"/>
        </w:tabs>
        <w:ind w:left="6480" w:hanging="360"/>
      </w:pPr>
      <w:rPr>
        <w:rFonts w:ascii="Arial" w:hAnsi="Arial" w:hint="default"/>
      </w:rPr>
    </w:lvl>
  </w:abstractNum>
  <w:abstractNum w:abstractNumId="22">
    <w:nsid w:val="3E5760BE"/>
    <w:multiLevelType w:val="hybridMultilevel"/>
    <w:tmpl w:val="46B26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F92C4D"/>
    <w:multiLevelType w:val="hybridMultilevel"/>
    <w:tmpl w:val="9E907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0D25864"/>
    <w:multiLevelType w:val="hybridMultilevel"/>
    <w:tmpl w:val="8B74417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538A18AE"/>
    <w:multiLevelType w:val="hybridMultilevel"/>
    <w:tmpl w:val="24B81F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AD59C9"/>
    <w:multiLevelType w:val="hybridMultilevel"/>
    <w:tmpl w:val="6D6A1C34"/>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A9E035A"/>
    <w:multiLevelType w:val="hybridMultilevel"/>
    <w:tmpl w:val="75469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CA07BC9"/>
    <w:multiLevelType w:val="hybridMultilevel"/>
    <w:tmpl w:val="49A6FC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F69605C"/>
    <w:multiLevelType w:val="hybridMultilevel"/>
    <w:tmpl w:val="C5386D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1F80151"/>
    <w:multiLevelType w:val="hybridMultilevel"/>
    <w:tmpl w:val="45CAB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E67863"/>
    <w:multiLevelType w:val="hybridMultilevel"/>
    <w:tmpl w:val="8AA433D0"/>
    <w:lvl w:ilvl="0" w:tplc="0C3A525E">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6A237F"/>
    <w:multiLevelType w:val="hybridMultilevel"/>
    <w:tmpl w:val="921CDED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8297D88"/>
    <w:multiLevelType w:val="hybridMultilevel"/>
    <w:tmpl w:val="32D8E4CA"/>
    <w:lvl w:ilvl="0" w:tplc="D8F6E5C8">
      <w:start w:val="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447E0D"/>
    <w:multiLevelType w:val="hybridMultilevel"/>
    <w:tmpl w:val="8B9458A4"/>
    <w:lvl w:ilvl="0" w:tplc="DD1AB09C">
      <w:start w:val="1"/>
      <w:numFmt w:val="bullet"/>
      <w:lvlText w:val="•"/>
      <w:lvlJc w:val="left"/>
      <w:pPr>
        <w:tabs>
          <w:tab w:val="num" w:pos="360"/>
        </w:tabs>
        <w:ind w:left="360" w:hanging="360"/>
      </w:pPr>
      <w:rPr>
        <w:rFonts w:ascii="Arial" w:hAnsi="Arial" w:hint="default"/>
        <w:color w:val="auto"/>
      </w:rPr>
    </w:lvl>
    <w:lvl w:ilvl="1" w:tplc="67803A4A">
      <w:start w:val="1"/>
      <w:numFmt w:val="bullet"/>
      <w:lvlText w:val="•"/>
      <w:lvlJc w:val="left"/>
      <w:pPr>
        <w:tabs>
          <w:tab w:val="num" w:pos="1080"/>
        </w:tabs>
        <w:ind w:left="1080" w:hanging="360"/>
      </w:pPr>
      <w:rPr>
        <w:rFonts w:ascii="Arial" w:hAnsi="Arial" w:hint="default"/>
      </w:rPr>
    </w:lvl>
    <w:lvl w:ilvl="2" w:tplc="A7A84A6E">
      <w:start w:val="1"/>
      <w:numFmt w:val="bullet"/>
      <w:lvlText w:val="•"/>
      <w:lvlJc w:val="left"/>
      <w:pPr>
        <w:tabs>
          <w:tab w:val="num" w:pos="1800"/>
        </w:tabs>
        <w:ind w:left="1800" w:hanging="360"/>
      </w:pPr>
      <w:rPr>
        <w:rFonts w:ascii="Arial" w:hAnsi="Arial" w:hint="default"/>
      </w:rPr>
    </w:lvl>
    <w:lvl w:ilvl="3" w:tplc="C7B02B6C" w:tentative="1">
      <w:start w:val="1"/>
      <w:numFmt w:val="bullet"/>
      <w:lvlText w:val="•"/>
      <w:lvlJc w:val="left"/>
      <w:pPr>
        <w:tabs>
          <w:tab w:val="num" w:pos="2520"/>
        </w:tabs>
        <w:ind w:left="2520" w:hanging="360"/>
      </w:pPr>
      <w:rPr>
        <w:rFonts w:ascii="Arial" w:hAnsi="Arial" w:hint="default"/>
      </w:rPr>
    </w:lvl>
    <w:lvl w:ilvl="4" w:tplc="4C40CC96" w:tentative="1">
      <w:start w:val="1"/>
      <w:numFmt w:val="bullet"/>
      <w:lvlText w:val="•"/>
      <w:lvlJc w:val="left"/>
      <w:pPr>
        <w:tabs>
          <w:tab w:val="num" w:pos="3240"/>
        </w:tabs>
        <w:ind w:left="3240" w:hanging="360"/>
      </w:pPr>
      <w:rPr>
        <w:rFonts w:ascii="Arial" w:hAnsi="Arial" w:hint="default"/>
      </w:rPr>
    </w:lvl>
    <w:lvl w:ilvl="5" w:tplc="506E2624" w:tentative="1">
      <w:start w:val="1"/>
      <w:numFmt w:val="bullet"/>
      <w:lvlText w:val="•"/>
      <w:lvlJc w:val="left"/>
      <w:pPr>
        <w:tabs>
          <w:tab w:val="num" w:pos="3960"/>
        </w:tabs>
        <w:ind w:left="3960" w:hanging="360"/>
      </w:pPr>
      <w:rPr>
        <w:rFonts w:ascii="Arial" w:hAnsi="Arial" w:hint="default"/>
      </w:rPr>
    </w:lvl>
    <w:lvl w:ilvl="6" w:tplc="BAEC6136" w:tentative="1">
      <w:start w:val="1"/>
      <w:numFmt w:val="bullet"/>
      <w:lvlText w:val="•"/>
      <w:lvlJc w:val="left"/>
      <w:pPr>
        <w:tabs>
          <w:tab w:val="num" w:pos="4680"/>
        </w:tabs>
        <w:ind w:left="4680" w:hanging="360"/>
      </w:pPr>
      <w:rPr>
        <w:rFonts w:ascii="Arial" w:hAnsi="Arial" w:hint="default"/>
      </w:rPr>
    </w:lvl>
    <w:lvl w:ilvl="7" w:tplc="C9183EDA" w:tentative="1">
      <w:start w:val="1"/>
      <w:numFmt w:val="bullet"/>
      <w:lvlText w:val="•"/>
      <w:lvlJc w:val="left"/>
      <w:pPr>
        <w:tabs>
          <w:tab w:val="num" w:pos="5400"/>
        </w:tabs>
        <w:ind w:left="5400" w:hanging="360"/>
      </w:pPr>
      <w:rPr>
        <w:rFonts w:ascii="Arial" w:hAnsi="Arial" w:hint="default"/>
      </w:rPr>
    </w:lvl>
    <w:lvl w:ilvl="8" w:tplc="C5EC65EA" w:tentative="1">
      <w:start w:val="1"/>
      <w:numFmt w:val="bullet"/>
      <w:lvlText w:val="•"/>
      <w:lvlJc w:val="left"/>
      <w:pPr>
        <w:tabs>
          <w:tab w:val="num" w:pos="6120"/>
        </w:tabs>
        <w:ind w:left="6120" w:hanging="360"/>
      </w:pPr>
      <w:rPr>
        <w:rFonts w:ascii="Arial" w:hAnsi="Arial" w:hint="default"/>
      </w:rPr>
    </w:lvl>
  </w:abstractNum>
  <w:abstractNum w:abstractNumId="35">
    <w:nsid w:val="7AFB4123"/>
    <w:multiLevelType w:val="hybridMultilevel"/>
    <w:tmpl w:val="780AB898"/>
    <w:lvl w:ilvl="0" w:tplc="521C76AE">
      <w:start w:val="1"/>
      <w:numFmt w:val="decimal"/>
      <w:pStyle w:val="Q"/>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BDB42AF"/>
    <w:multiLevelType w:val="hybridMultilevel"/>
    <w:tmpl w:val="CE6EE7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EA67E27"/>
    <w:multiLevelType w:val="hybridMultilevel"/>
    <w:tmpl w:val="46B26B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32"/>
  </w:num>
  <w:num w:numId="3">
    <w:abstractNumId w:val="33"/>
  </w:num>
  <w:num w:numId="4">
    <w:abstractNumId w:val="17"/>
  </w:num>
  <w:num w:numId="5">
    <w:abstractNumId w:val="20"/>
  </w:num>
  <w:num w:numId="6">
    <w:abstractNumId w:val="30"/>
  </w:num>
  <w:num w:numId="7">
    <w:abstractNumId w:val="19"/>
  </w:num>
  <w:num w:numId="8">
    <w:abstractNumId w:val="27"/>
  </w:num>
  <w:num w:numId="9">
    <w:abstractNumId w:val="31"/>
  </w:num>
  <w:num w:numId="10">
    <w:abstractNumId w:val="5"/>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num>
  <w:num w:numId="13">
    <w:abstractNumId w:val="35"/>
    <w:lvlOverride w:ilvl="0">
      <w:startOverride w:val="1"/>
    </w:lvlOverride>
  </w:num>
  <w:num w:numId="14">
    <w:abstractNumId w:val="35"/>
    <w:lvlOverride w:ilvl="0">
      <w:startOverride w:val="1"/>
    </w:lvlOverride>
  </w:num>
  <w:num w:numId="15">
    <w:abstractNumId w:val="0"/>
  </w:num>
  <w:num w:numId="16">
    <w:abstractNumId w:val="28"/>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3"/>
  </w:num>
  <w:num w:numId="21">
    <w:abstractNumId w:val="14"/>
  </w:num>
  <w:num w:numId="22">
    <w:abstractNumId w:val="11"/>
  </w:num>
  <w:num w:numId="23">
    <w:abstractNumId w:val="22"/>
  </w:num>
  <w:num w:numId="24">
    <w:abstractNumId w:val="37"/>
  </w:num>
  <w:num w:numId="25">
    <w:abstractNumId w:val="15"/>
  </w:num>
  <w:num w:numId="26">
    <w:abstractNumId w:val="23"/>
  </w:num>
  <w:num w:numId="27">
    <w:abstractNumId w:val="2"/>
  </w:num>
  <w:num w:numId="28">
    <w:abstractNumId w:val="21"/>
  </w:num>
  <w:num w:numId="29">
    <w:abstractNumId w:val="4"/>
  </w:num>
  <w:num w:numId="30">
    <w:abstractNumId w:val="29"/>
  </w:num>
  <w:num w:numId="31">
    <w:abstractNumId w:val="12"/>
  </w:num>
  <w:num w:numId="32">
    <w:abstractNumId w:val="10"/>
  </w:num>
  <w:num w:numId="33">
    <w:abstractNumId w:val="7"/>
  </w:num>
  <w:num w:numId="34">
    <w:abstractNumId w:val="6"/>
  </w:num>
  <w:num w:numId="35">
    <w:abstractNumId w:val="1"/>
  </w:num>
  <w:num w:numId="36">
    <w:abstractNumId w:val="24"/>
  </w:num>
  <w:num w:numId="37">
    <w:abstractNumId w:val="34"/>
  </w:num>
  <w:num w:numId="38">
    <w:abstractNumId w:val="9"/>
  </w:num>
  <w:num w:numId="39">
    <w:abstractNumId w:val="36"/>
  </w:num>
  <w:num w:numId="40">
    <w:abstractNumId w:val="26"/>
  </w:num>
  <w:num w:numId="41">
    <w:abstractNumId w:val="25"/>
  </w:num>
  <w:num w:numId="42">
    <w:abstractNumId w:val="16"/>
  </w:num>
  <w:num w:numId="4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MPDocID" w:val="07771-0056/131732516.1"/>
    <w:docVar w:name="MPDocIDTemplate" w:val="%c-|%m/|%n|.%v"/>
    <w:docVar w:name="MPDocIDTemplateDefault" w:val="%c-|%m/|%n|.%v"/>
    <w:docVar w:name="NewDocStampType" w:val="1"/>
  </w:docVars>
  <w:rsids>
    <w:rsidRoot w:val="0078036F"/>
    <w:rsid w:val="00000251"/>
    <w:rsid w:val="00000F27"/>
    <w:rsid w:val="00001458"/>
    <w:rsid w:val="000018C9"/>
    <w:rsid w:val="00001A4E"/>
    <w:rsid w:val="0000267D"/>
    <w:rsid w:val="000038D1"/>
    <w:rsid w:val="00003993"/>
    <w:rsid w:val="00003FC5"/>
    <w:rsid w:val="00004E7F"/>
    <w:rsid w:val="0000502A"/>
    <w:rsid w:val="000057A7"/>
    <w:rsid w:val="00005AD7"/>
    <w:rsid w:val="0000623B"/>
    <w:rsid w:val="000105BC"/>
    <w:rsid w:val="000115FA"/>
    <w:rsid w:val="00011A48"/>
    <w:rsid w:val="00011A54"/>
    <w:rsid w:val="00012276"/>
    <w:rsid w:val="000126F8"/>
    <w:rsid w:val="00014348"/>
    <w:rsid w:val="000166F9"/>
    <w:rsid w:val="000168EC"/>
    <w:rsid w:val="00016DD6"/>
    <w:rsid w:val="0002006D"/>
    <w:rsid w:val="0002022A"/>
    <w:rsid w:val="00020560"/>
    <w:rsid w:val="000207D4"/>
    <w:rsid w:val="0002090C"/>
    <w:rsid w:val="000213EE"/>
    <w:rsid w:val="00021598"/>
    <w:rsid w:val="000218F6"/>
    <w:rsid w:val="00021CAC"/>
    <w:rsid w:val="000233B3"/>
    <w:rsid w:val="00023B25"/>
    <w:rsid w:val="00024B82"/>
    <w:rsid w:val="000266AC"/>
    <w:rsid w:val="00026A20"/>
    <w:rsid w:val="000274CF"/>
    <w:rsid w:val="00027551"/>
    <w:rsid w:val="0003065A"/>
    <w:rsid w:val="000310FF"/>
    <w:rsid w:val="00031862"/>
    <w:rsid w:val="00031A10"/>
    <w:rsid w:val="00032CCC"/>
    <w:rsid w:val="00033037"/>
    <w:rsid w:val="000337FC"/>
    <w:rsid w:val="00034181"/>
    <w:rsid w:val="00034263"/>
    <w:rsid w:val="0003518E"/>
    <w:rsid w:val="00035B43"/>
    <w:rsid w:val="00036164"/>
    <w:rsid w:val="0003772D"/>
    <w:rsid w:val="00037A19"/>
    <w:rsid w:val="0004049B"/>
    <w:rsid w:val="00040A77"/>
    <w:rsid w:val="00040C10"/>
    <w:rsid w:val="00041E64"/>
    <w:rsid w:val="00042142"/>
    <w:rsid w:val="00042759"/>
    <w:rsid w:val="00042B41"/>
    <w:rsid w:val="00042C95"/>
    <w:rsid w:val="00042EA0"/>
    <w:rsid w:val="0004395D"/>
    <w:rsid w:val="00044685"/>
    <w:rsid w:val="000447CA"/>
    <w:rsid w:val="000450DA"/>
    <w:rsid w:val="000457F3"/>
    <w:rsid w:val="00045DCD"/>
    <w:rsid w:val="000467F5"/>
    <w:rsid w:val="00046EA7"/>
    <w:rsid w:val="000478A1"/>
    <w:rsid w:val="0005039D"/>
    <w:rsid w:val="00050ADF"/>
    <w:rsid w:val="00050DE4"/>
    <w:rsid w:val="000515DB"/>
    <w:rsid w:val="00051ECD"/>
    <w:rsid w:val="000531FF"/>
    <w:rsid w:val="00055585"/>
    <w:rsid w:val="000561B0"/>
    <w:rsid w:val="00056800"/>
    <w:rsid w:val="0005731E"/>
    <w:rsid w:val="000573B4"/>
    <w:rsid w:val="0006005F"/>
    <w:rsid w:val="00060DE1"/>
    <w:rsid w:val="00061223"/>
    <w:rsid w:val="00061923"/>
    <w:rsid w:val="000626A8"/>
    <w:rsid w:val="000626F6"/>
    <w:rsid w:val="00062A35"/>
    <w:rsid w:val="000630DF"/>
    <w:rsid w:val="00063762"/>
    <w:rsid w:val="00063B51"/>
    <w:rsid w:val="00064D13"/>
    <w:rsid w:val="000665CF"/>
    <w:rsid w:val="0006678F"/>
    <w:rsid w:val="0006775A"/>
    <w:rsid w:val="00067AC2"/>
    <w:rsid w:val="00071233"/>
    <w:rsid w:val="00072A17"/>
    <w:rsid w:val="00073004"/>
    <w:rsid w:val="0007333C"/>
    <w:rsid w:val="00073522"/>
    <w:rsid w:val="00073DDA"/>
    <w:rsid w:val="00074504"/>
    <w:rsid w:val="000748F1"/>
    <w:rsid w:val="00074EF8"/>
    <w:rsid w:val="00074F3A"/>
    <w:rsid w:val="00075409"/>
    <w:rsid w:val="000762DF"/>
    <w:rsid w:val="0007701B"/>
    <w:rsid w:val="00080B87"/>
    <w:rsid w:val="00080ECE"/>
    <w:rsid w:val="000810A0"/>
    <w:rsid w:val="000813A0"/>
    <w:rsid w:val="00081400"/>
    <w:rsid w:val="00081C91"/>
    <w:rsid w:val="00081EB3"/>
    <w:rsid w:val="00081FE4"/>
    <w:rsid w:val="00082817"/>
    <w:rsid w:val="00082A97"/>
    <w:rsid w:val="00082DF4"/>
    <w:rsid w:val="0008472E"/>
    <w:rsid w:val="00084777"/>
    <w:rsid w:val="000855D6"/>
    <w:rsid w:val="00085785"/>
    <w:rsid w:val="00085FC5"/>
    <w:rsid w:val="0008729E"/>
    <w:rsid w:val="000879F2"/>
    <w:rsid w:val="00087A30"/>
    <w:rsid w:val="00087CDF"/>
    <w:rsid w:val="0009011C"/>
    <w:rsid w:val="000906AB"/>
    <w:rsid w:val="000908D9"/>
    <w:rsid w:val="000914D1"/>
    <w:rsid w:val="000921C9"/>
    <w:rsid w:val="00092314"/>
    <w:rsid w:val="00092433"/>
    <w:rsid w:val="00094B82"/>
    <w:rsid w:val="00094F9D"/>
    <w:rsid w:val="000953B2"/>
    <w:rsid w:val="00096042"/>
    <w:rsid w:val="000968DC"/>
    <w:rsid w:val="000968F9"/>
    <w:rsid w:val="00096964"/>
    <w:rsid w:val="00096C9F"/>
    <w:rsid w:val="000A01AD"/>
    <w:rsid w:val="000A0295"/>
    <w:rsid w:val="000A236A"/>
    <w:rsid w:val="000A41EF"/>
    <w:rsid w:val="000A449F"/>
    <w:rsid w:val="000A638A"/>
    <w:rsid w:val="000A6B38"/>
    <w:rsid w:val="000A7765"/>
    <w:rsid w:val="000A7CA8"/>
    <w:rsid w:val="000A7CAA"/>
    <w:rsid w:val="000B0A45"/>
    <w:rsid w:val="000B0E7D"/>
    <w:rsid w:val="000B10F1"/>
    <w:rsid w:val="000B10F3"/>
    <w:rsid w:val="000B213E"/>
    <w:rsid w:val="000B2697"/>
    <w:rsid w:val="000B2706"/>
    <w:rsid w:val="000B3F68"/>
    <w:rsid w:val="000B4295"/>
    <w:rsid w:val="000B458E"/>
    <w:rsid w:val="000B4CBA"/>
    <w:rsid w:val="000B4D8C"/>
    <w:rsid w:val="000B4F0E"/>
    <w:rsid w:val="000B4F31"/>
    <w:rsid w:val="000B50C6"/>
    <w:rsid w:val="000B6540"/>
    <w:rsid w:val="000B6DF0"/>
    <w:rsid w:val="000B7CA0"/>
    <w:rsid w:val="000B7E28"/>
    <w:rsid w:val="000C0E43"/>
    <w:rsid w:val="000C106D"/>
    <w:rsid w:val="000C11B0"/>
    <w:rsid w:val="000C1EDC"/>
    <w:rsid w:val="000C2F40"/>
    <w:rsid w:val="000C3A74"/>
    <w:rsid w:val="000C55CF"/>
    <w:rsid w:val="000C62FB"/>
    <w:rsid w:val="000C6365"/>
    <w:rsid w:val="000C71E4"/>
    <w:rsid w:val="000C77B3"/>
    <w:rsid w:val="000D1737"/>
    <w:rsid w:val="000D27F1"/>
    <w:rsid w:val="000D2AB3"/>
    <w:rsid w:val="000D3B78"/>
    <w:rsid w:val="000D3FD5"/>
    <w:rsid w:val="000D40B0"/>
    <w:rsid w:val="000D4239"/>
    <w:rsid w:val="000D437C"/>
    <w:rsid w:val="000D70A6"/>
    <w:rsid w:val="000D79AE"/>
    <w:rsid w:val="000E0276"/>
    <w:rsid w:val="000E101B"/>
    <w:rsid w:val="000E1079"/>
    <w:rsid w:val="000E17C5"/>
    <w:rsid w:val="000E1F19"/>
    <w:rsid w:val="000E2C75"/>
    <w:rsid w:val="000E39D3"/>
    <w:rsid w:val="000E51C3"/>
    <w:rsid w:val="000E5795"/>
    <w:rsid w:val="000E58B7"/>
    <w:rsid w:val="000E5FE8"/>
    <w:rsid w:val="000E6441"/>
    <w:rsid w:val="000E68D4"/>
    <w:rsid w:val="000F0F85"/>
    <w:rsid w:val="000F19BC"/>
    <w:rsid w:val="000F1AAC"/>
    <w:rsid w:val="000F1D16"/>
    <w:rsid w:val="000F1F31"/>
    <w:rsid w:val="000F206E"/>
    <w:rsid w:val="000F21D6"/>
    <w:rsid w:val="000F47DA"/>
    <w:rsid w:val="000F4B60"/>
    <w:rsid w:val="000F61F8"/>
    <w:rsid w:val="000F633F"/>
    <w:rsid w:val="000F69C1"/>
    <w:rsid w:val="000F6D15"/>
    <w:rsid w:val="000F75A6"/>
    <w:rsid w:val="00101233"/>
    <w:rsid w:val="001015AD"/>
    <w:rsid w:val="00101646"/>
    <w:rsid w:val="001019FC"/>
    <w:rsid w:val="00102133"/>
    <w:rsid w:val="00103510"/>
    <w:rsid w:val="00103C3D"/>
    <w:rsid w:val="001040EE"/>
    <w:rsid w:val="0010496F"/>
    <w:rsid w:val="00105654"/>
    <w:rsid w:val="00105946"/>
    <w:rsid w:val="00106771"/>
    <w:rsid w:val="00107E88"/>
    <w:rsid w:val="00107FDE"/>
    <w:rsid w:val="00110B23"/>
    <w:rsid w:val="00110CB0"/>
    <w:rsid w:val="00110F1D"/>
    <w:rsid w:val="00111758"/>
    <w:rsid w:val="00111CF2"/>
    <w:rsid w:val="001121AE"/>
    <w:rsid w:val="00113575"/>
    <w:rsid w:val="00116301"/>
    <w:rsid w:val="00116C39"/>
    <w:rsid w:val="00120998"/>
    <w:rsid w:val="001213F2"/>
    <w:rsid w:val="00121D41"/>
    <w:rsid w:val="00122B24"/>
    <w:rsid w:val="00123215"/>
    <w:rsid w:val="0012518E"/>
    <w:rsid w:val="001251F9"/>
    <w:rsid w:val="0012536F"/>
    <w:rsid w:val="00125514"/>
    <w:rsid w:val="0012613C"/>
    <w:rsid w:val="001269CA"/>
    <w:rsid w:val="00126C10"/>
    <w:rsid w:val="00126F73"/>
    <w:rsid w:val="0012738A"/>
    <w:rsid w:val="001301D2"/>
    <w:rsid w:val="00130643"/>
    <w:rsid w:val="00131BB6"/>
    <w:rsid w:val="00132080"/>
    <w:rsid w:val="0013222D"/>
    <w:rsid w:val="001334C6"/>
    <w:rsid w:val="001340EB"/>
    <w:rsid w:val="00134A5D"/>
    <w:rsid w:val="0013559B"/>
    <w:rsid w:val="0013799B"/>
    <w:rsid w:val="00137C4D"/>
    <w:rsid w:val="00137DED"/>
    <w:rsid w:val="001402CC"/>
    <w:rsid w:val="00140FA8"/>
    <w:rsid w:val="001419A2"/>
    <w:rsid w:val="00141AE0"/>
    <w:rsid w:val="00143177"/>
    <w:rsid w:val="001436C4"/>
    <w:rsid w:val="001442A0"/>
    <w:rsid w:val="0014432A"/>
    <w:rsid w:val="00144AFC"/>
    <w:rsid w:val="00145325"/>
    <w:rsid w:val="0014588E"/>
    <w:rsid w:val="00145AA3"/>
    <w:rsid w:val="0014678E"/>
    <w:rsid w:val="00146839"/>
    <w:rsid w:val="00146C9F"/>
    <w:rsid w:val="00147354"/>
    <w:rsid w:val="001476C6"/>
    <w:rsid w:val="00147FFB"/>
    <w:rsid w:val="00150D5C"/>
    <w:rsid w:val="00151D6B"/>
    <w:rsid w:val="0015254A"/>
    <w:rsid w:val="00155AC8"/>
    <w:rsid w:val="0015721C"/>
    <w:rsid w:val="0016073F"/>
    <w:rsid w:val="001621D2"/>
    <w:rsid w:val="00162641"/>
    <w:rsid w:val="001639D5"/>
    <w:rsid w:val="001649EC"/>
    <w:rsid w:val="00166358"/>
    <w:rsid w:val="001665DC"/>
    <w:rsid w:val="0016730A"/>
    <w:rsid w:val="00167586"/>
    <w:rsid w:val="0017017D"/>
    <w:rsid w:val="00170348"/>
    <w:rsid w:val="00170495"/>
    <w:rsid w:val="00171EB2"/>
    <w:rsid w:val="00172946"/>
    <w:rsid w:val="00172EF7"/>
    <w:rsid w:val="00175034"/>
    <w:rsid w:val="00176AFD"/>
    <w:rsid w:val="001772B0"/>
    <w:rsid w:val="001777D9"/>
    <w:rsid w:val="00177F2E"/>
    <w:rsid w:val="0018002E"/>
    <w:rsid w:val="001801D7"/>
    <w:rsid w:val="001805B5"/>
    <w:rsid w:val="0018128F"/>
    <w:rsid w:val="00182146"/>
    <w:rsid w:val="00182816"/>
    <w:rsid w:val="00182AF5"/>
    <w:rsid w:val="00182B04"/>
    <w:rsid w:val="001834DD"/>
    <w:rsid w:val="00183670"/>
    <w:rsid w:val="00184331"/>
    <w:rsid w:val="001843A6"/>
    <w:rsid w:val="00184FDC"/>
    <w:rsid w:val="001851DC"/>
    <w:rsid w:val="00186746"/>
    <w:rsid w:val="00186965"/>
    <w:rsid w:val="0018750B"/>
    <w:rsid w:val="001901CB"/>
    <w:rsid w:val="00190A9B"/>
    <w:rsid w:val="00190BD8"/>
    <w:rsid w:val="00190BDC"/>
    <w:rsid w:val="00191531"/>
    <w:rsid w:val="00191EDB"/>
    <w:rsid w:val="00192F6C"/>
    <w:rsid w:val="00192FB7"/>
    <w:rsid w:val="00193A40"/>
    <w:rsid w:val="00194441"/>
    <w:rsid w:val="00195350"/>
    <w:rsid w:val="001966C2"/>
    <w:rsid w:val="00196C67"/>
    <w:rsid w:val="001A09F5"/>
    <w:rsid w:val="001A0ACB"/>
    <w:rsid w:val="001A0B89"/>
    <w:rsid w:val="001A0D96"/>
    <w:rsid w:val="001A119F"/>
    <w:rsid w:val="001A14E8"/>
    <w:rsid w:val="001A16C8"/>
    <w:rsid w:val="001A30FA"/>
    <w:rsid w:val="001A3678"/>
    <w:rsid w:val="001A393E"/>
    <w:rsid w:val="001A41F9"/>
    <w:rsid w:val="001A49E2"/>
    <w:rsid w:val="001A4BF0"/>
    <w:rsid w:val="001A5A38"/>
    <w:rsid w:val="001A5A89"/>
    <w:rsid w:val="001A5E53"/>
    <w:rsid w:val="001A6044"/>
    <w:rsid w:val="001A6257"/>
    <w:rsid w:val="001A6D21"/>
    <w:rsid w:val="001B0FCD"/>
    <w:rsid w:val="001B13AE"/>
    <w:rsid w:val="001B1548"/>
    <w:rsid w:val="001B26D6"/>
    <w:rsid w:val="001B2FC7"/>
    <w:rsid w:val="001B3D71"/>
    <w:rsid w:val="001B4260"/>
    <w:rsid w:val="001B4D74"/>
    <w:rsid w:val="001B54A2"/>
    <w:rsid w:val="001B5AE3"/>
    <w:rsid w:val="001B64FB"/>
    <w:rsid w:val="001B682D"/>
    <w:rsid w:val="001C1116"/>
    <w:rsid w:val="001C13E3"/>
    <w:rsid w:val="001C21C1"/>
    <w:rsid w:val="001C37F0"/>
    <w:rsid w:val="001C417F"/>
    <w:rsid w:val="001C45CE"/>
    <w:rsid w:val="001C4874"/>
    <w:rsid w:val="001C4DDB"/>
    <w:rsid w:val="001C5BD4"/>
    <w:rsid w:val="001C63B7"/>
    <w:rsid w:val="001C6DAE"/>
    <w:rsid w:val="001D03F2"/>
    <w:rsid w:val="001D0A27"/>
    <w:rsid w:val="001D1E62"/>
    <w:rsid w:val="001D24FC"/>
    <w:rsid w:val="001D31EC"/>
    <w:rsid w:val="001D34A5"/>
    <w:rsid w:val="001D36D6"/>
    <w:rsid w:val="001D3AC7"/>
    <w:rsid w:val="001D3E01"/>
    <w:rsid w:val="001D52B3"/>
    <w:rsid w:val="001D53C8"/>
    <w:rsid w:val="001D5D57"/>
    <w:rsid w:val="001D60BB"/>
    <w:rsid w:val="001D6D5E"/>
    <w:rsid w:val="001D74FB"/>
    <w:rsid w:val="001D7DB8"/>
    <w:rsid w:val="001E080D"/>
    <w:rsid w:val="001E0D14"/>
    <w:rsid w:val="001E14AE"/>
    <w:rsid w:val="001E186D"/>
    <w:rsid w:val="001E1F56"/>
    <w:rsid w:val="001E1FFF"/>
    <w:rsid w:val="001E249A"/>
    <w:rsid w:val="001E3824"/>
    <w:rsid w:val="001E5173"/>
    <w:rsid w:val="001E55AD"/>
    <w:rsid w:val="001E6331"/>
    <w:rsid w:val="001E6D9B"/>
    <w:rsid w:val="001E7080"/>
    <w:rsid w:val="001E774A"/>
    <w:rsid w:val="001E7CA0"/>
    <w:rsid w:val="001F0130"/>
    <w:rsid w:val="001F0BAF"/>
    <w:rsid w:val="001F128A"/>
    <w:rsid w:val="001F13B3"/>
    <w:rsid w:val="001F15B2"/>
    <w:rsid w:val="001F2242"/>
    <w:rsid w:val="001F3055"/>
    <w:rsid w:val="001F3EC7"/>
    <w:rsid w:val="001F47E2"/>
    <w:rsid w:val="001F4EF7"/>
    <w:rsid w:val="001F7186"/>
    <w:rsid w:val="001F7391"/>
    <w:rsid w:val="001F7854"/>
    <w:rsid w:val="002017B6"/>
    <w:rsid w:val="002018F6"/>
    <w:rsid w:val="00203816"/>
    <w:rsid w:val="00203ECF"/>
    <w:rsid w:val="00204528"/>
    <w:rsid w:val="002047AA"/>
    <w:rsid w:val="0020527F"/>
    <w:rsid w:val="00205492"/>
    <w:rsid w:val="00205848"/>
    <w:rsid w:val="00205DE3"/>
    <w:rsid w:val="0020686F"/>
    <w:rsid w:val="00206D43"/>
    <w:rsid w:val="00207E4D"/>
    <w:rsid w:val="002110A4"/>
    <w:rsid w:val="00211721"/>
    <w:rsid w:val="00211B4C"/>
    <w:rsid w:val="00211C60"/>
    <w:rsid w:val="00211F43"/>
    <w:rsid w:val="00212C52"/>
    <w:rsid w:val="0021483F"/>
    <w:rsid w:val="00214CAA"/>
    <w:rsid w:val="00216D12"/>
    <w:rsid w:val="00216D9D"/>
    <w:rsid w:val="00216FB8"/>
    <w:rsid w:val="00217121"/>
    <w:rsid w:val="00217312"/>
    <w:rsid w:val="002174DC"/>
    <w:rsid w:val="0021764F"/>
    <w:rsid w:val="00217741"/>
    <w:rsid w:val="002205A0"/>
    <w:rsid w:val="0022090B"/>
    <w:rsid w:val="00220964"/>
    <w:rsid w:val="00221F3A"/>
    <w:rsid w:val="00222277"/>
    <w:rsid w:val="00222674"/>
    <w:rsid w:val="00222A07"/>
    <w:rsid w:val="002231F5"/>
    <w:rsid w:val="002237B1"/>
    <w:rsid w:val="00223B62"/>
    <w:rsid w:val="00223F84"/>
    <w:rsid w:val="00224A9B"/>
    <w:rsid w:val="00225347"/>
    <w:rsid w:val="002261CE"/>
    <w:rsid w:val="00226820"/>
    <w:rsid w:val="0022698C"/>
    <w:rsid w:val="00226C19"/>
    <w:rsid w:val="00227E09"/>
    <w:rsid w:val="00227FBB"/>
    <w:rsid w:val="00230097"/>
    <w:rsid w:val="00230F54"/>
    <w:rsid w:val="00231A09"/>
    <w:rsid w:val="00231B70"/>
    <w:rsid w:val="002329AD"/>
    <w:rsid w:val="002335CC"/>
    <w:rsid w:val="0023420D"/>
    <w:rsid w:val="002344B9"/>
    <w:rsid w:val="00235A63"/>
    <w:rsid w:val="00236022"/>
    <w:rsid w:val="00236D6F"/>
    <w:rsid w:val="0023759A"/>
    <w:rsid w:val="0024093B"/>
    <w:rsid w:val="00240A80"/>
    <w:rsid w:val="002413C1"/>
    <w:rsid w:val="00241AC8"/>
    <w:rsid w:val="00241B0F"/>
    <w:rsid w:val="00242141"/>
    <w:rsid w:val="002422E4"/>
    <w:rsid w:val="002431F5"/>
    <w:rsid w:val="00243CF9"/>
    <w:rsid w:val="00245019"/>
    <w:rsid w:val="002463F4"/>
    <w:rsid w:val="00247D31"/>
    <w:rsid w:val="00252280"/>
    <w:rsid w:val="00253225"/>
    <w:rsid w:val="002533EE"/>
    <w:rsid w:val="0025364E"/>
    <w:rsid w:val="0025445A"/>
    <w:rsid w:val="00255921"/>
    <w:rsid w:val="00256F4B"/>
    <w:rsid w:val="002575E9"/>
    <w:rsid w:val="00257EAD"/>
    <w:rsid w:val="0026052D"/>
    <w:rsid w:val="00261459"/>
    <w:rsid w:val="00261E0E"/>
    <w:rsid w:val="002624B9"/>
    <w:rsid w:val="002633A0"/>
    <w:rsid w:val="00263BEA"/>
    <w:rsid w:val="00264219"/>
    <w:rsid w:val="0026464D"/>
    <w:rsid w:val="00264D4D"/>
    <w:rsid w:val="00265232"/>
    <w:rsid w:val="0026606F"/>
    <w:rsid w:val="00270675"/>
    <w:rsid w:val="002711C7"/>
    <w:rsid w:val="00272A46"/>
    <w:rsid w:val="00273345"/>
    <w:rsid w:val="002737FA"/>
    <w:rsid w:val="00273D05"/>
    <w:rsid w:val="00273F6C"/>
    <w:rsid w:val="0027553A"/>
    <w:rsid w:val="00275B9E"/>
    <w:rsid w:val="00276129"/>
    <w:rsid w:val="00277DA9"/>
    <w:rsid w:val="00277F59"/>
    <w:rsid w:val="002802F0"/>
    <w:rsid w:val="00280750"/>
    <w:rsid w:val="002813F1"/>
    <w:rsid w:val="0028218B"/>
    <w:rsid w:val="0028232E"/>
    <w:rsid w:val="00284220"/>
    <w:rsid w:val="002843C0"/>
    <w:rsid w:val="00286143"/>
    <w:rsid w:val="00286B60"/>
    <w:rsid w:val="00287C42"/>
    <w:rsid w:val="00291429"/>
    <w:rsid w:val="00291C8F"/>
    <w:rsid w:val="00292057"/>
    <w:rsid w:val="00293674"/>
    <w:rsid w:val="00293934"/>
    <w:rsid w:val="00293A68"/>
    <w:rsid w:val="00293BA8"/>
    <w:rsid w:val="00293C18"/>
    <w:rsid w:val="0029484B"/>
    <w:rsid w:val="002949DE"/>
    <w:rsid w:val="00294F5A"/>
    <w:rsid w:val="00295DBA"/>
    <w:rsid w:val="002968C2"/>
    <w:rsid w:val="00296BDF"/>
    <w:rsid w:val="00297202"/>
    <w:rsid w:val="00297E88"/>
    <w:rsid w:val="002A09C6"/>
    <w:rsid w:val="002A0E40"/>
    <w:rsid w:val="002A15C3"/>
    <w:rsid w:val="002A1E91"/>
    <w:rsid w:val="002A2BAC"/>
    <w:rsid w:val="002A4485"/>
    <w:rsid w:val="002A4786"/>
    <w:rsid w:val="002A5398"/>
    <w:rsid w:val="002A62A2"/>
    <w:rsid w:val="002A6E1C"/>
    <w:rsid w:val="002A72A1"/>
    <w:rsid w:val="002B040E"/>
    <w:rsid w:val="002B054F"/>
    <w:rsid w:val="002B0BF9"/>
    <w:rsid w:val="002B0CEB"/>
    <w:rsid w:val="002B103B"/>
    <w:rsid w:val="002B17C0"/>
    <w:rsid w:val="002B1928"/>
    <w:rsid w:val="002B296E"/>
    <w:rsid w:val="002B2BEC"/>
    <w:rsid w:val="002B450F"/>
    <w:rsid w:val="002B4D27"/>
    <w:rsid w:val="002B5686"/>
    <w:rsid w:val="002B656E"/>
    <w:rsid w:val="002B791B"/>
    <w:rsid w:val="002C01D3"/>
    <w:rsid w:val="002C037F"/>
    <w:rsid w:val="002C0490"/>
    <w:rsid w:val="002C04E4"/>
    <w:rsid w:val="002C05F5"/>
    <w:rsid w:val="002C07C5"/>
    <w:rsid w:val="002C1051"/>
    <w:rsid w:val="002C1932"/>
    <w:rsid w:val="002C1A0F"/>
    <w:rsid w:val="002C23E6"/>
    <w:rsid w:val="002C295F"/>
    <w:rsid w:val="002C4A5A"/>
    <w:rsid w:val="002C4AF6"/>
    <w:rsid w:val="002C53AB"/>
    <w:rsid w:val="002C578A"/>
    <w:rsid w:val="002C6AA5"/>
    <w:rsid w:val="002D036E"/>
    <w:rsid w:val="002D044F"/>
    <w:rsid w:val="002D104D"/>
    <w:rsid w:val="002D3053"/>
    <w:rsid w:val="002D4BC7"/>
    <w:rsid w:val="002D4EE0"/>
    <w:rsid w:val="002D519A"/>
    <w:rsid w:val="002D549A"/>
    <w:rsid w:val="002D6CCD"/>
    <w:rsid w:val="002D6F91"/>
    <w:rsid w:val="002E05BD"/>
    <w:rsid w:val="002E14D9"/>
    <w:rsid w:val="002E170B"/>
    <w:rsid w:val="002E365A"/>
    <w:rsid w:val="002E3CCE"/>
    <w:rsid w:val="002E4864"/>
    <w:rsid w:val="002E4ABB"/>
    <w:rsid w:val="002E55EB"/>
    <w:rsid w:val="002E5751"/>
    <w:rsid w:val="002E5E34"/>
    <w:rsid w:val="002E622D"/>
    <w:rsid w:val="002E64B1"/>
    <w:rsid w:val="002E7AB9"/>
    <w:rsid w:val="002E7B8F"/>
    <w:rsid w:val="002F0DCB"/>
    <w:rsid w:val="002F0F54"/>
    <w:rsid w:val="002F1B87"/>
    <w:rsid w:val="002F1D57"/>
    <w:rsid w:val="002F2794"/>
    <w:rsid w:val="002F2D5C"/>
    <w:rsid w:val="002F3912"/>
    <w:rsid w:val="002F4022"/>
    <w:rsid w:val="002F44D8"/>
    <w:rsid w:val="002F4E1A"/>
    <w:rsid w:val="002F5D43"/>
    <w:rsid w:val="002F6401"/>
    <w:rsid w:val="002F648D"/>
    <w:rsid w:val="002F69A9"/>
    <w:rsid w:val="002F72F4"/>
    <w:rsid w:val="002F7D3E"/>
    <w:rsid w:val="002F7F48"/>
    <w:rsid w:val="002F7F99"/>
    <w:rsid w:val="003004FF"/>
    <w:rsid w:val="003006DF"/>
    <w:rsid w:val="003008BC"/>
    <w:rsid w:val="003008E1"/>
    <w:rsid w:val="00300B64"/>
    <w:rsid w:val="0030108A"/>
    <w:rsid w:val="00301A58"/>
    <w:rsid w:val="00301A75"/>
    <w:rsid w:val="00303A00"/>
    <w:rsid w:val="0030402A"/>
    <w:rsid w:val="00304AD1"/>
    <w:rsid w:val="0030599D"/>
    <w:rsid w:val="00305B0F"/>
    <w:rsid w:val="00305F27"/>
    <w:rsid w:val="00306E12"/>
    <w:rsid w:val="003108C8"/>
    <w:rsid w:val="003113F7"/>
    <w:rsid w:val="0031226B"/>
    <w:rsid w:val="0031315B"/>
    <w:rsid w:val="0031370D"/>
    <w:rsid w:val="0031385F"/>
    <w:rsid w:val="003160AD"/>
    <w:rsid w:val="003165EA"/>
    <w:rsid w:val="003173F8"/>
    <w:rsid w:val="003205E9"/>
    <w:rsid w:val="00320E1C"/>
    <w:rsid w:val="003234E9"/>
    <w:rsid w:val="003236DA"/>
    <w:rsid w:val="003241C9"/>
    <w:rsid w:val="003253CA"/>
    <w:rsid w:val="00326117"/>
    <w:rsid w:val="00326C76"/>
    <w:rsid w:val="00326D49"/>
    <w:rsid w:val="00326D84"/>
    <w:rsid w:val="003272C7"/>
    <w:rsid w:val="00327E0B"/>
    <w:rsid w:val="00330241"/>
    <w:rsid w:val="00330B4F"/>
    <w:rsid w:val="003314CE"/>
    <w:rsid w:val="00331AC7"/>
    <w:rsid w:val="00331BBD"/>
    <w:rsid w:val="00331FB7"/>
    <w:rsid w:val="00332781"/>
    <w:rsid w:val="00332A96"/>
    <w:rsid w:val="00332BB2"/>
    <w:rsid w:val="00333039"/>
    <w:rsid w:val="003330A4"/>
    <w:rsid w:val="003348B8"/>
    <w:rsid w:val="0033531F"/>
    <w:rsid w:val="00335E31"/>
    <w:rsid w:val="00335E4D"/>
    <w:rsid w:val="003362AF"/>
    <w:rsid w:val="003378C4"/>
    <w:rsid w:val="00340065"/>
    <w:rsid w:val="00340995"/>
    <w:rsid w:val="00340E14"/>
    <w:rsid w:val="003420DA"/>
    <w:rsid w:val="003421C2"/>
    <w:rsid w:val="0034224C"/>
    <w:rsid w:val="00342CB1"/>
    <w:rsid w:val="00342D67"/>
    <w:rsid w:val="00343981"/>
    <w:rsid w:val="00346179"/>
    <w:rsid w:val="00350C50"/>
    <w:rsid w:val="00350CB5"/>
    <w:rsid w:val="00351317"/>
    <w:rsid w:val="00351918"/>
    <w:rsid w:val="00351D81"/>
    <w:rsid w:val="00352255"/>
    <w:rsid w:val="003522B5"/>
    <w:rsid w:val="00352389"/>
    <w:rsid w:val="00352AA1"/>
    <w:rsid w:val="003536F7"/>
    <w:rsid w:val="00353913"/>
    <w:rsid w:val="003564F6"/>
    <w:rsid w:val="0035658E"/>
    <w:rsid w:val="00356746"/>
    <w:rsid w:val="00356F1C"/>
    <w:rsid w:val="00360559"/>
    <w:rsid w:val="00360F19"/>
    <w:rsid w:val="0036147C"/>
    <w:rsid w:val="003615C3"/>
    <w:rsid w:val="00361918"/>
    <w:rsid w:val="00361AA7"/>
    <w:rsid w:val="003626B1"/>
    <w:rsid w:val="003632C0"/>
    <w:rsid w:val="00363AD7"/>
    <w:rsid w:val="00363CD6"/>
    <w:rsid w:val="00364628"/>
    <w:rsid w:val="00364E2A"/>
    <w:rsid w:val="00365DAC"/>
    <w:rsid w:val="00366E20"/>
    <w:rsid w:val="00367830"/>
    <w:rsid w:val="00367AAD"/>
    <w:rsid w:val="00371907"/>
    <w:rsid w:val="00371F03"/>
    <w:rsid w:val="00373D8A"/>
    <w:rsid w:val="00374D76"/>
    <w:rsid w:val="003753B7"/>
    <w:rsid w:val="00375D71"/>
    <w:rsid w:val="0037609D"/>
    <w:rsid w:val="0037668D"/>
    <w:rsid w:val="00376A53"/>
    <w:rsid w:val="00377351"/>
    <w:rsid w:val="00377D08"/>
    <w:rsid w:val="00380483"/>
    <w:rsid w:val="00380E16"/>
    <w:rsid w:val="0038117D"/>
    <w:rsid w:val="0038120F"/>
    <w:rsid w:val="00382E96"/>
    <w:rsid w:val="003830F2"/>
    <w:rsid w:val="00385723"/>
    <w:rsid w:val="0038586F"/>
    <w:rsid w:val="003861D3"/>
    <w:rsid w:val="00386AAB"/>
    <w:rsid w:val="00387949"/>
    <w:rsid w:val="00387AC6"/>
    <w:rsid w:val="0039172A"/>
    <w:rsid w:val="0039225E"/>
    <w:rsid w:val="00392830"/>
    <w:rsid w:val="003932BB"/>
    <w:rsid w:val="00393318"/>
    <w:rsid w:val="00393A0D"/>
    <w:rsid w:val="00394429"/>
    <w:rsid w:val="003945E2"/>
    <w:rsid w:val="00394826"/>
    <w:rsid w:val="00394CDA"/>
    <w:rsid w:val="00394F53"/>
    <w:rsid w:val="0039576C"/>
    <w:rsid w:val="00395F72"/>
    <w:rsid w:val="00397A82"/>
    <w:rsid w:val="00397EA2"/>
    <w:rsid w:val="003A0A75"/>
    <w:rsid w:val="003A15CA"/>
    <w:rsid w:val="003A215A"/>
    <w:rsid w:val="003A31FD"/>
    <w:rsid w:val="003A3406"/>
    <w:rsid w:val="003A4381"/>
    <w:rsid w:val="003A4BAB"/>
    <w:rsid w:val="003A4EA7"/>
    <w:rsid w:val="003A507B"/>
    <w:rsid w:val="003A5149"/>
    <w:rsid w:val="003A5D17"/>
    <w:rsid w:val="003A6D5A"/>
    <w:rsid w:val="003A74CD"/>
    <w:rsid w:val="003A765B"/>
    <w:rsid w:val="003A7F17"/>
    <w:rsid w:val="003B00EE"/>
    <w:rsid w:val="003B038C"/>
    <w:rsid w:val="003B1157"/>
    <w:rsid w:val="003B159E"/>
    <w:rsid w:val="003B1D72"/>
    <w:rsid w:val="003B2827"/>
    <w:rsid w:val="003B2BDB"/>
    <w:rsid w:val="003B2C52"/>
    <w:rsid w:val="003B5653"/>
    <w:rsid w:val="003B5CF7"/>
    <w:rsid w:val="003B748B"/>
    <w:rsid w:val="003B783F"/>
    <w:rsid w:val="003C1871"/>
    <w:rsid w:val="003C2226"/>
    <w:rsid w:val="003C2CF0"/>
    <w:rsid w:val="003C2D21"/>
    <w:rsid w:val="003C3A87"/>
    <w:rsid w:val="003C433F"/>
    <w:rsid w:val="003C5755"/>
    <w:rsid w:val="003C64C6"/>
    <w:rsid w:val="003C64CD"/>
    <w:rsid w:val="003C7040"/>
    <w:rsid w:val="003C79A5"/>
    <w:rsid w:val="003D0EA0"/>
    <w:rsid w:val="003D198C"/>
    <w:rsid w:val="003D2EB0"/>
    <w:rsid w:val="003D34AD"/>
    <w:rsid w:val="003D3FCF"/>
    <w:rsid w:val="003D4280"/>
    <w:rsid w:val="003D456D"/>
    <w:rsid w:val="003D4AE5"/>
    <w:rsid w:val="003D4BB8"/>
    <w:rsid w:val="003D5063"/>
    <w:rsid w:val="003D6AC9"/>
    <w:rsid w:val="003D77EB"/>
    <w:rsid w:val="003E0BC0"/>
    <w:rsid w:val="003E0F92"/>
    <w:rsid w:val="003E12CD"/>
    <w:rsid w:val="003E15A5"/>
    <w:rsid w:val="003E1FFA"/>
    <w:rsid w:val="003E2A26"/>
    <w:rsid w:val="003E31A3"/>
    <w:rsid w:val="003E367A"/>
    <w:rsid w:val="003E3995"/>
    <w:rsid w:val="003E4FC4"/>
    <w:rsid w:val="003E63C4"/>
    <w:rsid w:val="003E690E"/>
    <w:rsid w:val="003E6ADD"/>
    <w:rsid w:val="003E6C70"/>
    <w:rsid w:val="003E6DCA"/>
    <w:rsid w:val="003E706C"/>
    <w:rsid w:val="003E7E21"/>
    <w:rsid w:val="003F0B20"/>
    <w:rsid w:val="003F0D52"/>
    <w:rsid w:val="003F1467"/>
    <w:rsid w:val="003F18A4"/>
    <w:rsid w:val="003F1CF4"/>
    <w:rsid w:val="003F1D31"/>
    <w:rsid w:val="003F24BA"/>
    <w:rsid w:val="003F2638"/>
    <w:rsid w:val="003F3075"/>
    <w:rsid w:val="003F3E13"/>
    <w:rsid w:val="003F4573"/>
    <w:rsid w:val="003F4B39"/>
    <w:rsid w:val="003F5F2A"/>
    <w:rsid w:val="003F60CE"/>
    <w:rsid w:val="003F6487"/>
    <w:rsid w:val="003F6C06"/>
    <w:rsid w:val="003F7016"/>
    <w:rsid w:val="003F7A47"/>
    <w:rsid w:val="004002BC"/>
    <w:rsid w:val="004011A8"/>
    <w:rsid w:val="0040135D"/>
    <w:rsid w:val="00401ACB"/>
    <w:rsid w:val="00402AC6"/>
    <w:rsid w:val="00402C4A"/>
    <w:rsid w:val="00403288"/>
    <w:rsid w:val="0040369B"/>
    <w:rsid w:val="004047EF"/>
    <w:rsid w:val="00404FDA"/>
    <w:rsid w:val="004064C2"/>
    <w:rsid w:val="00407298"/>
    <w:rsid w:val="00407D13"/>
    <w:rsid w:val="00410109"/>
    <w:rsid w:val="00410132"/>
    <w:rsid w:val="00411254"/>
    <w:rsid w:val="0041193A"/>
    <w:rsid w:val="004122E8"/>
    <w:rsid w:val="0041378F"/>
    <w:rsid w:val="00413A94"/>
    <w:rsid w:val="00414C2C"/>
    <w:rsid w:val="0041561A"/>
    <w:rsid w:val="004157EA"/>
    <w:rsid w:val="00416D32"/>
    <w:rsid w:val="0041721A"/>
    <w:rsid w:val="00417C81"/>
    <w:rsid w:val="004203AC"/>
    <w:rsid w:val="004207CE"/>
    <w:rsid w:val="004210FB"/>
    <w:rsid w:val="004213C2"/>
    <w:rsid w:val="004217B7"/>
    <w:rsid w:val="00422B46"/>
    <w:rsid w:val="00422E3F"/>
    <w:rsid w:val="00423A60"/>
    <w:rsid w:val="00423AFD"/>
    <w:rsid w:val="00424D67"/>
    <w:rsid w:val="004251A1"/>
    <w:rsid w:val="00427665"/>
    <w:rsid w:val="00427CE2"/>
    <w:rsid w:val="00430261"/>
    <w:rsid w:val="00430352"/>
    <w:rsid w:val="0043085A"/>
    <w:rsid w:val="00430991"/>
    <w:rsid w:val="00430B8E"/>
    <w:rsid w:val="00431663"/>
    <w:rsid w:val="004322C5"/>
    <w:rsid w:val="0043323B"/>
    <w:rsid w:val="004333FA"/>
    <w:rsid w:val="0043443F"/>
    <w:rsid w:val="00434484"/>
    <w:rsid w:val="004346C8"/>
    <w:rsid w:val="00435715"/>
    <w:rsid w:val="00435896"/>
    <w:rsid w:val="00436A82"/>
    <w:rsid w:val="0043715C"/>
    <w:rsid w:val="0043724F"/>
    <w:rsid w:val="00437C04"/>
    <w:rsid w:val="00437C59"/>
    <w:rsid w:val="00437E04"/>
    <w:rsid w:val="0044020B"/>
    <w:rsid w:val="0044027D"/>
    <w:rsid w:val="004403F1"/>
    <w:rsid w:val="00441A6F"/>
    <w:rsid w:val="00441C83"/>
    <w:rsid w:val="00442CDC"/>
    <w:rsid w:val="00443B6A"/>
    <w:rsid w:val="00443E2D"/>
    <w:rsid w:val="00444224"/>
    <w:rsid w:val="0044448D"/>
    <w:rsid w:val="0044478C"/>
    <w:rsid w:val="0044519B"/>
    <w:rsid w:val="004455C0"/>
    <w:rsid w:val="00446B81"/>
    <w:rsid w:val="00446C00"/>
    <w:rsid w:val="00446ED3"/>
    <w:rsid w:val="00447225"/>
    <w:rsid w:val="0045014F"/>
    <w:rsid w:val="00451133"/>
    <w:rsid w:val="0045216D"/>
    <w:rsid w:val="004530FC"/>
    <w:rsid w:val="004535C5"/>
    <w:rsid w:val="00453B67"/>
    <w:rsid w:val="0045517B"/>
    <w:rsid w:val="004552BF"/>
    <w:rsid w:val="004554B6"/>
    <w:rsid w:val="0045721C"/>
    <w:rsid w:val="00457E87"/>
    <w:rsid w:val="00461220"/>
    <w:rsid w:val="0046179E"/>
    <w:rsid w:val="00462584"/>
    <w:rsid w:val="00462A39"/>
    <w:rsid w:val="00462A99"/>
    <w:rsid w:val="00462B53"/>
    <w:rsid w:val="00463B14"/>
    <w:rsid w:val="004640E9"/>
    <w:rsid w:val="0046421C"/>
    <w:rsid w:val="004643C3"/>
    <w:rsid w:val="00464996"/>
    <w:rsid w:val="00465641"/>
    <w:rsid w:val="00465D09"/>
    <w:rsid w:val="004660CF"/>
    <w:rsid w:val="004673DD"/>
    <w:rsid w:val="00467759"/>
    <w:rsid w:val="0047040F"/>
    <w:rsid w:val="004709CB"/>
    <w:rsid w:val="00470F96"/>
    <w:rsid w:val="00471CE1"/>
    <w:rsid w:val="00471F54"/>
    <w:rsid w:val="0047201F"/>
    <w:rsid w:val="00472C8F"/>
    <w:rsid w:val="00473182"/>
    <w:rsid w:val="0047381F"/>
    <w:rsid w:val="0047468C"/>
    <w:rsid w:val="00474CE9"/>
    <w:rsid w:val="00477585"/>
    <w:rsid w:val="00480476"/>
    <w:rsid w:val="00481211"/>
    <w:rsid w:val="0048197D"/>
    <w:rsid w:val="004823C5"/>
    <w:rsid w:val="0048244B"/>
    <w:rsid w:val="0048272F"/>
    <w:rsid w:val="004843EB"/>
    <w:rsid w:val="0048477F"/>
    <w:rsid w:val="00484CFB"/>
    <w:rsid w:val="0048529D"/>
    <w:rsid w:val="00487573"/>
    <w:rsid w:val="00493DB1"/>
    <w:rsid w:val="00493F2E"/>
    <w:rsid w:val="00494FC1"/>
    <w:rsid w:val="00495135"/>
    <w:rsid w:val="00495A75"/>
    <w:rsid w:val="00495ED7"/>
    <w:rsid w:val="004965A4"/>
    <w:rsid w:val="0049721B"/>
    <w:rsid w:val="00497341"/>
    <w:rsid w:val="004A05AF"/>
    <w:rsid w:val="004A0820"/>
    <w:rsid w:val="004A0A4A"/>
    <w:rsid w:val="004A14EE"/>
    <w:rsid w:val="004A273D"/>
    <w:rsid w:val="004A323F"/>
    <w:rsid w:val="004A36EF"/>
    <w:rsid w:val="004A36FA"/>
    <w:rsid w:val="004A381A"/>
    <w:rsid w:val="004A3B2A"/>
    <w:rsid w:val="004A4552"/>
    <w:rsid w:val="004A4D03"/>
    <w:rsid w:val="004A52AC"/>
    <w:rsid w:val="004A5302"/>
    <w:rsid w:val="004B0EBF"/>
    <w:rsid w:val="004B4FA9"/>
    <w:rsid w:val="004B52C3"/>
    <w:rsid w:val="004B5A44"/>
    <w:rsid w:val="004B633D"/>
    <w:rsid w:val="004B6B8B"/>
    <w:rsid w:val="004B6C41"/>
    <w:rsid w:val="004B7188"/>
    <w:rsid w:val="004B736B"/>
    <w:rsid w:val="004B77E0"/>
    <w:rsid w:val="004C0174"/>
    <w:rsid w:val="004C133C"/>
    <w:rsid w:val="004C1679"/>
    <w:rsid w:val="004C2AB7"/>
    <w:rsid w:val="004C2BB3"/>
    <w:rsid w:val="004C2FB3"/>
    <w:rsid w:val="004C3277"/>
    <w:rsid w:val="004C43EE"/>
    <w:rsid w:val="004C5248"/>
    <w:rsid w:val="004C54FE"/>
    <w:rsid w:val="004C5985"/>
    <w:rsid w:val="004C6971"/>
    <w:rsid w:val="004C7CCD"/>
    <w:rsid w:val="004C7D91"/>
    <w:rsid w:val="004D0543"/>
    <w:rsid w:val="004D0C75"/>
    <w:rsid w:val="004D27A7"/>
    <w:rsid w:val="004D2A57"/>
    <w:rsid w:val="004D2AFB"/>
    <w:rsid w:val="004D2CB5"/>
    <w:rsid w:val="004D3483"/>
    <w:rsid w:val="004D4BB3"/>
    <w:rsid w:val="004D52E4"/>
    <w:rsid w:val="004D5B3A"/>
    <w:rsid w:val="004D76F3"/>
    <w:rsid w:val="004D7940"/>
    <w:rsid w:val="004E011F"/>
    <w:rsid w:val="004E0511"/>
    <w:rsid w:val="004E0E6E"/>
    <w:rsid w:val="004E1A0E"/>
    <w:rsid w:val="004E1FBC"/>
    <w:rsid w:val="004E2295"/>
    <w:rsid w:val="004E244B"/>
    <w:rsid w:val="004E296C"/>
    <w:rsid w:val="004E2FFF"/>
    <w:rsid w:val="004E39B3"/>
    <w:rsid w:val="004E40B6"/>
    <w:rsid w:val="004E4787"/>
    <w:rsid w:val="004E5708"/>
    <w:rsid w:val="004E590F"/>
    <w:rsid w:val="004E60D2"/>
    <w:rsid w:val="004E6197"/>
    <w:rsid w:val="004E61F6"/>
    <w:rsid w:val="004E666D"/>
    <w:rsid w:val="004E69EB"/>
    <w:rsid w:val="004E7F91"/>
    <w:rsid w:val="004F00AD"/>
    <w:rsid w:val="004F0894"/>
    <w:rsid w:val="004F107C"/>
    <w:rsid w:val="004F159E"/>
    <w:rsid w:val="004F23F1"/>
    <w:rsid w:val="004F2BEE"/>
    <w:rsid w:val="004F2D31"/>
    <w:rsid w:val="004F3C6A"/>
    <w:rsid w:val="004F483E"/>
    <w:rsid w:val="004F4D77"/>
    <w:rsid w:val="004F4F7B"/>
    <w:rsid w:val="004F4FCD"/>
    <w:rsid w:val="004F5937"/>
    <w:rsid w:val="004F6011"/>
    <w:rsid w:val="004F6FDB"/>
    <w:rsid w:val="004F79C8"/>
    <w:rsid w:val="00503313"/>
    <w:rsid w:val="00503E11"/>
    <w:rsid w:val="005049AD"/>
    <w:rsid w:val="005058F7"/>
    <w:rsid w:val="005059CC"/>
    <w:rsid w:val="00505BBB"/>
    <w:rsid w:val="0050668A"/>
    <w:rsid w:val="00506BC4"/>
    <w:rsid w:val="00506EA0"/>
    <w:rsid w:val="00506FE6"/>
    <w:rsid w:val="00506FF9"/>
    <w:rsid w:val="00507616"/>
    <w:rsid w:val="0050783F"/>
    <w:rsid w:val="00507C27"/>
    <w:rsid w:val="005105B4"/>
    <w:rsid w:val="00511424"/>
    <w:rsid w:val="0051240C"/>
    <w:rsid w:val="00512503"/>
    <w:rsid w:val="00512C65"/>
    <w:rsid w:val="00512CF1"/>
    <w:rsid w:val="0051325F"/>
    <w:rsid w:val="005134F8"/>
    <w:rsid w:val="00513BDC"/>
    <w:rsid w:val="00515389"/>
    <w:rsid w:val="00515416"/>
    <w:rsid w:val="00515B5F"/>
    <w:rsid w:val="0051628F"/>
    <w:rsid w:val="005167CD"/>
    <w:rsid w:val="00516C35"/>
    <w:rsid w:val="00517897"/>
    <w:rsid w:val="00520483"/>
    <w:rsid w:val="00520988"/>
    <w:rsid w:val="00520A5F"/>
    <w:rsid w:val="00520B84"/>
    <w:rsid w:val="00521C4B"/>
    <w:rsid w:val="005231EB"/>
    <w:rsid w:val="0052358C"/>
    <w:rsid w:val="00523641"/>
    <w:rsid w:val="00525197"/>
    <w:rsid w:val="00525708"/>
    <w:rsid w:val="00525985"/>
    <w:rsid w:val="005262FD"/>
    <w:rsid w:val="00526651"/>
    <w:rsid w:val="00526808"/>
    <w:rsid w:val="00526A48"/>
    <w:rsid w:val="0052730A"/>
    <w:rsid w:val="00527430"/>
    <w:rsid w:val="005275EE"/>
    <w:rsid w:val="005310A1"/>
    <w:rsid w:val="00531584"/>
    <w:rsid w:val="00531CB4"/>
    <w:rsid w:val="0053211D"/>
    <w:rsid w:val="005321C2"/>
    <w:rsid w:val="005328BE"/>
    <w:rsid w:val="00533963"/>
    <w:rsid w:val="00535E90"/>
    <w:rsid w:val="00536414"/>
    <w:rsid w:val="0053694B"/>
    <w:rsid w:val="00536E0D"/>
    <w:rsid w:val="00537741"/>
    <w:rsid w:val="005377A3"/>
    <w:rsid w:val="005378CA"/>
    <w:rsid w:val="00537952"/>
    <w:rsid w:val="005405A7"/>
    <w:rsid w:val="005409CF"/>
    <w:rsid w:val="00541686"/>
    <w:rsid w:val="00541CE7"/>
    <w:rsid w:val="005426D6"/>
    <w:rsid w:val="00542AB9"/>
    <w:rsid w:val="00542DD3"/>
    <w:rsid w:val="0054330A"/>
    <w:rsid w:val="00543578"/>
    <w:rsid w:val="0054541B"/>
    <w:rsid w:val="005457D1"/>
    <w:rsid w:val="005460F2"/>
    <w:rsid w:val="005466E6"/>
    <w:rsid w:val="00547765"/>
    <w:rsid w:val="005504CD"/>
    <w:rsid w:val="00550D9F"/>
    <w:rsid w:val="0055158E"/>
    <w:rsid w:val="00552C0A"/>
    <w:rsid w:val="005538DF"/>
    <w:rsid w:val="00555784"/>
    <w:rsid w:val="00556813"/>
    <w:rsid w:val="005569F0"/>
    <w:rsid w:val="005612E2"/>
    <w:rsid w:val="0056268F"/>
    <w:rsid w:val="00562C0C"/>
    <w:rsid w:val="0056310E"/>
    <w:rsid w:val="005632C9"/>
    <w:rsid w:val="00565713"/>
    <w:rsid w:val="005658FB"/>
    <w:rsid w:val="005660E7"/>
    <w:rsid w:val="00566A33"/>
    <w:rsid w:val="00566D46"/>
    <w:rsid w:val="00566DC2"/>
    <w:rsid w:val="00570062"/>
    <w:rsid w:val="0057035E"/>
    <w:rsid w:val="00570DF4"/>
    <w:rsid w:val="00570FBA"/>
    <w:rsid w:val="0057267A"/>
    <w:rsid w:val="00572683"/>
    <w:rsid w:val="005730BF"/>
    <w:rsid w:val="00573155"/>
    <w:rsid w:val="00574472"/>
    <w:rsid w:val="00574ED0"/>
    <w:rsid w:val="00581405"/>
    <w:rsid w:val="005819D4"/>
    <w:rsid w:val="00581AEF"/>
    <w:rsid w:val="00581CB4"/>
    <w:rsid w:val="00582496"/>
    <w:rsid w:val="005831F2"/>
    <w:rsid w:val="005833D6"/>
    <w:rsid w:val="005836E5"/>
    <w:rsid w:val="00584757"/>
    <w:rsid w:val="00584A5A"/>
    <w:rsid w:val="00584B5A"/>
    <w:rsid w:val="00585346"/>
    <w:rsid w:val="00585A28"/>
    <w:rsid w:val="00585D52"/>
    <w:rsid w:val="005862EE"/>
    <w:rsid w:val="00586765"/>
    <w:rsid w:val="00586DEE"/>
    <w:rsid w:val="00586EE1"/>
    <w:rsid w:val="00587034"/>
    <w:rsid w:val="00587EAC"/>
    <w:rsid w:val="00590110"/>
    <w:rsid w:val="00590850"/>
    <w:rsid w:val="00590950"/>
    <w:rsid w:val="00591080"/>
    <w:rsid w:val="00593133"/>
    <w:rsid w:val="00593430"/>
    <w:rsid w:val="00596115"/>
    <w:rsid w:val="00596A00"/>
    <w:rsid w:val="00596A3E"/>
    <w:rsid w:val="00596A99"/>
    <w:rsid w:val="00596C28"/>
    <w:rsid w:val="005A029D"/>
    <w:rsid w:val="005A118A"/>
    <w:rsid w:val="005A1205"/>
    <w:rsid w:val="005A180D"/>
    <w:rsid w:val="005A20E2"/>
    <w:rsid w:val="005A31F8"/>
    <w:rsid w:val="005A39C3"/>
    <w:rsid w:val="005A3F5C"/>
    <w:rsid w:val="005A4F3F"/>
    <w:rsid w:val="005A5A09"/>
    <w:rsid w:val="005A5C8C"/>
    <w:rsid w:val="005A618A"/>
    <w:rsid w:val="005A6669"/>
    <w:rsid w:val="005A6957"/>
    <w:rsid w:val="005A704F"/>
    <w:rsid w:val="005A7ABE"/>
    <w:rsid w:val="005B0CCB"/>
    <w:rsid w:val="005B0F2F"/>
    <w:rsid w:val="005B161E"/>
    <w:rsid w:val="005B1D85"/>
    <w:rsid w:val="005B1DB7"/>
    <w:rsid w:val="005B20C8"/>
    <w:rsid w:val="005B21C9"/>
    <w:rsid w:val="005B24DE"/>
    <w:rsid w:val="005B33B0"/>
    <w:rsid w:val="005B5060"/>
    <w:rsid w:val="005B6D30"/>
    <w:rsid w:val="005B7B02"/>
    <w:rsid w:val="005C009D"/>
    <w:rsid w:val="005C1571"/>
    <w:rsid w:val="005C23B2"/>
    <w:rsid w:val="005C354E"/>
    <w:rsid w:val="005C3827"/>
    <w:rsid w:val="005C3FB5"/>
    <w:rsid w:val="005C4415"/>
    <w:rsid w:val="005C5025"/>
    <w:rsid w:val="005C703E"/>
    <w:rsid w:val="005D0B05"/>
    <w:rsid w:val="005D0C5F"/>
    <w:rsid w:val="005D0FAF"/>
    <w:rsid w:val="005D14A3"/>
    <w:rsid w:val="005D30DC"/>
    <w:rsid w:val="005D332E"/>
    <w:rsid w:val="005D387F"/>
    <w:rsid w:val="005D3D47"/>
    <w:rsid w:val="005D4C26"/>
    <w:rsid w:val="005D51F2"/>
    <w:rsid w:val="005D5252"/>
    <w:rsid w:val="005D5503"/>
    <w:rsid w:val="005D5BDF"/>
    <w:rsid w:val="005D723C"/>
    <w:rsid w:val="005E0771"/>
    <w:rsid w:val="005E10D9"/>
    <w:rsid w:val="005E11C3"/>
    <w:rsid w:val="005E1D99"/>
    <w:rsid w:val="005E485D"/>
    <w:rsid w:val="005E4F1A"/>
    <w:rsid w:val="005E57CE"/>
    <w:rsid w:val="005E6D08"/>
    <w:rsid w:val="005E6DF3"/>
    <w:rsid w:val="005F014F"/>
    <w:rsid w:val="005F0E06"/>
    <w:rsid w:val="005F1D2B"/>
    <w:rsid w:val="005F2723"/>
    <w:rsid w:val="005F3018"/>
    <w:rsid w:val="005F33D5"/>
    <w:rsid w:val="005F3CCB"/>
    <w:rsid w:val="005F3D4F"/>
    <w:rsid w:val="005F4382"/>
    <w:rsid w:val="005F523B"/>
    <w:rsid w:val="005F5ACD"/>
    <w:rsid w:val="005F6AE9"/>
    <w:rsid w:val="005F7616"/>
    <w:rsid w:val="005F7987"/>
    <w:rsid w:val="005F7BA7"/>
    <w:rsid w:val="006015F4"/>
    <w:rsid w:val="00601BA9"/>
    <w:rsid w:val="006027A7"/>
    <w:rsid w:val="0060346C"/>
    <w:rsid w:val="00603D56"/>
    <w:rsid w:val="00604EB8"/>
    <w:rsid w:val="00604F4E"/>
    <w:rsid w:val="0060688A"/>
    <w:rsid w:val="00607B93"/>
    <w:rsid w:val="00610606"/>
    <w:rsid w:val="00611238"/>
    <w:rsid w:val="00611718"/>
    <w:rsid w:val="00611A2F"/>
    <w:rsid w:val="00611E66"/>
    <w:rsid w:val="00612285"/>
    <w:rsid w:val="00612D99"/>
    <w:rsid w:val="0061361E"/>
    <w:rsid w:val="00613A54"/>
    <w:rsid w:val="00614007"/>
    <w:rsid w:val="0061448F"/>
    <w:rsid w:val="00614579"/>
    <w:rsid w:val="00614A1D"/>
    <w:rsid w:val="006163F6"/>
    <w:rsid w:val="00616B03"/>
    <w:rsid w:val="00617361"/>
    <w:rsid w:val="00617F2F"/>
    <w:rsid w:val="006213D9"/>
    <w:rsid w:val="006214E3"/>
    <w:rsid w:val="00621BB6"/>
    <w:rsid w:val="00621D28"/>
    <w:rsid w:val="00622761"/>
    <w:rsid w:val="006236FF"/>
    <w:rsid w:val="00623B81"/>
    <w:rsid w:val="00623BED"/>
    <w:rsid w:val="006242BA"/>
    <w:rsid w:val="006242D0"/>
    <w:rsid w:val="0062574F"/>
    <w:rsid w:val="00626014"/>
    <w:rsid w:val="00627014"/>
    <w:rsid w:val="006276D8"/>
    <w:rsid w:val="00627755"/>
    <w:rsid w:val="00627B1A"/>
    <w:rsid w:val="0063073B"/>
    <w:rsid w:val="00630DE1"/>
    <w:rsid w:val="00631586"/>
    <w:rsid w:val="00631656"/>
    <w:rsid w:val="00631A23"/>
    <w:rsid w:val="00631CF2"/>
    <w:rsid w:val="00632F7E"/>
    <w:rsid w:val="00634634"/>
    <w:rsid w:val="006348EA"/>
    <w:rsid w:val="00635256"/>
    <w:rsid w:val="0063567D"/>
    <w:rsid w:val="00635D2A"/>
    <w:rsid w:val="006365CA"/>
    <w:rsid w:val="006369AF"/>
    <w:rsid w:val="0063795E"/>
    <w:rsid w:val="006403C0"/>
    <w:rsid w:val="0064110E"/>
    <w:rsid w:val="0064112E"/>
    <w:rsid w:val="0064156C"/>
    <w:rsid w:val="00641F5B"/>
    <w:rsid w:val="00642363"/>
    <w:rsid w:val="00643260"/>
    <w:rsid w:val="006444E9"/>
    <w:rsid w:val="00644E91"/>
    <w:rsid w:val="00645166"/>
    <w:rsid w:val="00645340"/>
    <w:rsid w:val="0064579E"/>
    <w:rsid w:val="00645C48"/>
    <w:rsid w:val="00650912"/>
    <w:rsid w:val="00650C4F"/>
    <w:rsid w:val="0065118C"/>
    <w:rsid w:val="006513A1"/>
    <w:rsid w:val="006519F4"/>
    <w:rsid w:val="00653108"/>
    <w:rsid w:val="0065333A"/>
    <w:rsid w:val="0065376C"/>
    <w:rsid w:val="00653FFB"/>
    <w:rsid w:val="00654FCA"/>
    <w:rsid w:val="00654FD3"/>
    <w:rsid w:val="006553F8"/>
    <w:rsid w:val="006558CF"/>
    <w:rsid w:val="0065594B"/>
    <w:rsid w:val="00657FCA"/>
    <w:rsid w:val="00660643"/>
    <w:rsid w:val="00660791"/>
    <w:rsid w:val="00660C53"/>
    <w:rsid w:val="00660CFF"/>
    <w:rsid w:val="00661660"/>
    <w:rsid w:val="006617D6"/>
    <w:rsid w:val="0066207F"/>
    <w:rsid w:val="00662E62"/>
    <w:rsid w:val="006638B4"/>
    <w:rsid w:val="00663AE6"/>
    <w:rsid w:val="006654BC"/>
    <w:rsid w:val="006655A6"/>
    <w:rsid w:val="0066565D"/>
    <w:rsid w:val="00665CE8"/>
    <w:rsid w:val="00665F52"/>
    <w:rsid w:val="00667822"/>
    <w:rsid w:val="00667A8E"/>
    <w:rsid w:val="00667C8A"/>
    <w:rsid w:val="0067058E"/>
    <w:rsid w:val="00670C17"/>
    <w:rsid w:val="00670C3C"/>
    <w:rsid w:val="00670EE1"/>
    <w:rsid w:val="00671913"/>
    <w:rsid w:val="006719BE"/>
    <w:rsid w:val="006737B3"/>
    <w:rsid w:val="00674187"/>
    <w:rsid w:val="00675A62"/>
    <w:rsid w:val="00675C9C"/>
    <w:rsid w:val="00676ED7"/>
    <w:rsid w:val="006772B3"/>
    <w:rsid w:val="006774FD"/>
    <w:rsid w:val="00677F86"/>
    <w:rsid w:val="00677FD1"/>
    <w:rsid w:val="00680C8B"/>
    <w:rsid w:val="00680D60"/>
    <w:rsid w:val="00681324"/>
    <w:rsid w:val="006816BD"/>
    <w:rsid w:val="00681EE5"/>
    <w:rsid w:val="00682107"/>
    <w:rsid w:val="00682ABA"/>
    <w:rsid w:val="0068303E"/>
    <w:rsid w:val="006844D2"/>
    <w:rsid w:val="00684BDD"/>
    <w:rsid w:val="006854DE"/>
    <w:rsid w:val="00687114"/>
    <w:rsid w:val="0069039B"/>
    <w:rsid w:val="00690510"/>
    <w:rsid w:val="00691189"/>
    <w:rsid w:val="00691742"/>
    <w:rsid w:val="00691767"/>
    <w:rsid w:val="0069216B"/>
    <w:rsid w:val="006922B1"/>
    <w:rsid w:val="00692569"/>
    <w:rsid w:val="006926B8"/>
    <w:rsid w:val="00692BCE"/>
    <w:rsid w:val="00692D67"/>
    <w:rsid w:val="006935EA"/>
    <w:rsid w:val="00694710"/>
    <w:rsid w:val="00694931"/>
    <w:rsid w:val="00694FE8"/>
    <w:rsid w:val="00695C44"/>
    <w:rsid w:val="00695F24"/>
    <w:rsid w:val="00696F85"/>
    <w:rsid w:val="006A1109"/>
    <w:rsid w:val="006A1B13"/>
    <w:rsid w:val="006A2687"/>
    <w:rsid w:val="006A271D"/>
    <w:rsid w:val="006A4980"/>
    <w:rsid w:val="006A4EC4"/>
    <w:rsid w:val="006A4EC9"/>
    <w:rsid w:val="006A50D1"/>
    <w:rsid w:val="006A54DB"/>
    <w:rsid w:val="006A55E9"/>
    <w:rsid w:val="006A567A"/>
    <w:rsid w:val="006A56F7"/>
    <w:rsid w:val="006A5BE3"/>
    <w:rsid w:val="006A5FBE"/>
    <w:rsid w:val="006A6037"/>
    <w:rsid w:val="006A615F"/>
    <w:rsid w:val="006A64A4"/>
    <w:rsid w:val="006B0D37"/>
    <w:rsid w:val="006B0E49"/>
    <w:rsid w:val="006B1055"/>
    <w:rsid w:val="006B1D56"/>
    <w:rsid w:val="006B3804"/>
    <w:rsid w:val="006B3AEA"/>
    <w:rsid w:val="006B4A32"/>
    <w:rsid w:val="006B5B4D"/>
    <w:rsid w:val="006B6541"/>
    <w:rsid w:val="006B6DE8"/>
    <w:rsid w:val="006B7F8C"/>
    <w:rsid w:val="006C08D4"/>
    <w:rsid w:val="006C18F4"/>
    <w:rsid w:val="006C274D"/>
    <w:rsid w:val="006C309A"/>
    <w:rsid w:val="006C328A"/>
    <w:rsid w:val="006C40EE"/>
    <w:rsid w:val="006C4D56"/>
    <w:rsid w:val="006C56EC"/>
    <w:rsid w:val="006C591D"/>
    <w:rsid w:val="006C6A7F"/>
    <w:rsid w:val="006D079F"/>
    <w:rsid w:val="006D0C67"/>
    <w:rsid w:val="006D0D7E"/>
    <w:rsid w:val="006D1365"/>
    <w:rsid w:val="006D16EC"/>
    <w:rsid w:val="006D1FDD"/>
    <w:rsid w:val="006D24BB"/>
    <w:rsid w:val="006D2D70"/>
    <w:rsid w:val="006D365B"/>
    <w:rsid w:val="006D4897"/>
    <w:rsid w:val="006D4ED7"/>
    <w:rsid w:val="006D6427"/>
    <w:rsid w:val="006D6B2C"/>
    <w:rsid w:val="006D6C7F"/>
    <w:rsid w:val="006D6C8A"/>
    <w:rsid w:val="006D738B"/>
    <w:rsid w:val="006D7C71"/>
    <w:rsid w:val="006E0720"/>
    <w:rsid w:val="006E07F0"/>
    <w:rsid w:val="006E1327"/>
    <w:rsid w:val="006E1405"/>
    <w:rsid w:val="006E15AC"/>
    <w:rsid w:val="006E1B6E"/>
    <w:rsid w:val="006E31A7"/>
    <w:rsid w:val="006E54A6"/>
    <w:rsid w:val="006E59AB"/>
    <w:rsid w:val="006E5EF2"/>
    <w:rsid w:val="006E625F"/>
    <w:rsid w:val="006E6FB9"/>
    <w:rsid w:val="006E7898"/>
    <w:rsid w:val="006F06A5"/>
    <w:rsid w:val="006F076F"/>
    <w:rsid w:val="006F1079"/>
    <w:rsid w:val="006F19D9"/>
    <w:rsid w:val="006F1FF0"/>
    <w:rsid w:val="006F3AD8"/>
    <w:rsid w:val="006F3FD8"/>
    <w:rsid w:val="006F427E"/>
    <w:rsid w:val="006F516D"/>
    <w:rsid w:val="0070012D"/>
    <w:rsid w:val="00700987"/>
    <w:rsid w:val="00700AA1"/>
    <w:rsid w:val="00701BD5"/>
    <w:rsid w:val="00701E2A"/>
    <w:rsid w:val="00701F3C"/>
    <w:rsid w:val="0070302D"/>
    <w:rsid w:val="0070305B"/>
    <w:rsid w:val="00704283"/>
    <w:rsid w:val="00704372"/>
    <w:rsid w:val="007046BE"/>
    <w:rsid w:val="007056DC"/>
    <w:rsid w:val="007056E1"/>
    <w:rsid w:val="00706C80"/>
    <w:rsid w:val="007079FC"/>
    <w:rsid w:val="00707CAA"/>
    <w:rsid w:val="00710217"/>
    <w:rsid w:val="00710B88"/>
    <w:rsid w:val="00710D07"/>
    <w:rsid w:val="0071117F"/>
    <w:rsid w:val="007111B3"/>
    <w:rsid w:val="007129BE"/>
    <w:rsid w:val="00713062"/>
    <w:rsid w:val="00713772"/>
    <w:rsid w:val="00713CD0"/>
    <w:rsid w:val="00713E4D"/>
    <w:rsid w:val="00714320"/>
    <w:rsid w:val="00714405"/>
    <w:rsid w:val="007148BD"/>
    <w:rsid w:val="00715A46"/>
    <w:rsid w:val="007174CE"/>
    <w:rsid w:val="00717D23"/>
    <w:rsid w:val="00717DD2"/>
    <w:rsid w:val="007214CA"/>
    <w:rsid w:val="00721C95"/>
    <w:rsid w:val="007222F6"/>
    <w:rsid w:val="0072237A"/>
    <w:rsid w:val="0072276A"/>
    <w:rsid w:val="0072299C"/>
    <w:rsid w:val="00722C4D"/>
    <w:rsid w:val="00722D06"/>
    <w:rsid w:val="0072363B"/>
    <w:rsid w:val="00723B1F"/>
    <w:rsid w:val="00723FD7"/>
    <w:rsid w:val="007261ED"/>
    <w:rsid w:val="007263D1"/>
    <w:rsid w:val="00726AC7"/>
    <w:rsid w:val="00730092"/>
    <w:rsid w:val="00732F6C"/>
    <w:rsid w:val="00733AA8"/>
    <w:rsid w:val="00734969"/>
    <w:rsid w:val="0073627E"/>
    <w:rsid w:val="00736F40"/>
    <w:rsid w:val="00740063"/>
    <w:rsid w:val="007409F1"/>
    <w:rsid w:val="00740D36"/>
    <w:rsid w:val="00740D42"/>
    <w:rsid w:val="007419D3"/>
    <w:rsid w:val="00741D01"/>
    <w:rsid w:val="007422CF"/>
    <w:rsid w:val="007449DD"/>
    <w:rsid w:val="00744A26"/>
    <w:rsid w:val="00744A32"/>
    <w:rsid w:val="00744E4E"/>
    <w:rsid w:val="007452C5"/>
    <w:rsid w:val="007452C8"/>
    <w:rsid w:val="007466C5"/>
    <w:rsid w:val="00746D95"/>
    <w:rsid w:val="007502BD"/>
    <w:rsid w:val="007514C6"/>
    <w:rsid w:val="007515D2"/>
    <w:rsid w:val="00751D53"/>
    <w:rsid w:val="0075249A"/>
    <w:rsid w:val="00752F21"/>
    <w:rsid w:val="007552D1"/>
    <w:rsid w:val="00756A00"/>
    <w:rsid w:val="007575A3"/>
    <w:rsid w:val="00757719"/>
    <w:rsid w:val="00757F22"/>
    <w:rsid w:val="00763158"/>
    <w:rsid w:val="00763D87"/>
    <w:rsid w:val="00763F8B"/>
    <w:rsid w:val="007641E5"/>
    <w:rsid w:val="0076529C"/>
    <w:rsid w:val="00765CC5"/>
    <w:rsid w:val="0076609C"/>
    <w:rsid w:val="00766922"/>
    <w:rsid w:val="00767BA1"/>
    <w:rsid w:val="00771162"/>
    <w:rsid w:val="0077151F"/>
    <w:rsid w:val="00771592"/>
    <w:rsid w:val="00771A30"/>
    <w:rsid w:val="00771CA5"/>
    <w:rsid w:val="007720E8"/>
    <w:rsid w:val="0077244D"/>
    <w:rsid w:val="00772FB3"/>
    <w:rsid w:val="00774016"/>
    <w:rsid w:val="0077419F"/>
    <w:rsid w:val="00774A7C"/>
    <w:rsid w:val="00775196"/>
    <w:rsid w:val="00775327"/>
    <w:rsid w:val="007764B7"/>
    <w:rsid w:val="0077672D"/>
    <w:rsid w:val="00776E66"/>
    <w:rsid w:val="0077715A"/>
    <w:rsid w:val="00777B5F"/>
    <w:rsid w:val="0078036F"/>
    <w:rsid w:val="00781037"/>
    <w:rsid w:val="0078120E"/>
    <w:rsid w:val="0078214D"/>
    <w:rsid w:val="007822EB"/>
    <w:rsid w:val="007827B9"/>
    <w:rsid w:val="00784104"/>
    <w:rsid w:val="00784407"/>
    <w:rsid w:val="0078449E"/>
    <w:rsid w:val="00785380"/>
    <w:rsid w:val="00786068"/>
    <w:rsid w:val="0078607B"/>
    <w:rsid w:val="0078664D"/>
    <w:rsid w:val="0078687A"/>
    <w:rsid w:val="00786A94"/>
    <w:rsid w:val="007870D4"/>
    <w:rsid w:val="007875DB"/>
    <w:rsid w:val="00787D45"/>
    <w:rsid w:val="00791D12"/>
    <w:rsid w:val="00794662"/>
    <w:rsid w:val="00795074"/>
    <w:rsid w:val="007957E4"/>
    <w:rsid w:val="00796519"/>
    <w:rsid w:val="00796EB5"/>
    <w:rsid w:val="007A0B38"/>
    <w:rsid w:val="007A19E6"/>
    <w:rsid w:val="007A3276"/>
    <w:rsid w:val="007A3E2A"/>
    <w:rsid w:val="007A4EC9"/>
    <w:rsid w:val="007A5100"/>
    <w:rsid w:val="007A5177"/>
    <w:rsid w:val="007A60AB"/>
    <w:rsid w:val="007A64D0"/>
    <w:rsid w:val="007A6862"/>
    <w:rsid w:val="007A6F78"/>
    <w:rsid w:val="007A7045"/>
    <w:rsid w:val="007B2543"/>
    <w:rsid w:val="007B28A2"/>
    <w:rsid w:val="007B41CC"/>
    <w:rsid w:val="007B4542"/>
    <w:rsid w:val="007B468F"/>
    <w:rsid w:val="007B6288"/>
    <w:rsid w:val="007B64E7"/>
    <w:rsid w:val="007B656A"/>
    <w:rsid w:val="007B7A80"/>
    <w:rsid w:val="007C075B"/>
    <w:rsid w:val="007C07C5"/>
    <w:rsid w:val="007C0998"/>
    <w:rsid w:val="007C154C"/>
    <w:rsid w:val="007C16A0"/>
    <w:rsid w:val="007C26C3"/>
    <w:rsid w:val="007C2D87"/>
    <w:rsid w:val="007C3392"/>
    <w:rsid w:val="007C3B19"/>
    <w:rsid w:val="007C6B7C"/>
    <w:rsid w:val="007D02CE"/>
    <w:rsid w:val="007D03FA"/>
    <w:rsid w:val="007D0EA3"/>
    <w:rsid w:val="007D2050"/>
    <w:rsid w:val="007D254F"/>
    <w:rsid w:val="007D27AF"/>
    <w:rsid w:val="007D328A"/>
    <w:rsid w:val="007D3379"/>
    <w:rsid w:val="007D33E7"/>
    <w:rsid w:val="007D3E65"/>
    <w:rsid w:val="007D5C62"/>
    <w:rsid w:val="007D5F31"/>
    <w:rsid w:val="007D729F"/>
    <w:rsid w:val="007D7AFC"/>
    <w:rsid w:val="007E0263"/>
    <w:rsid w:val="007E072D"/>
    <w:rsid w:val="007E0C2A"/>
    <w:rsid w:val="007E0D4C"/>
    <w:rsid w:val="007E22C8"/>
    <w:rsid w:val="007E32F2"/>
    <w:rsid w:val="007E4086"/>
    <w:rsid w:val="007E5EC6"/>
    <w:rsid w:val="007E63F7"/>
    <w:rsid w:val="007E7A2D"/>
    <w:rsid w:val="007F0670"/>
    <w:rsid w:val="007F2521"/>
    <w:rsid w:val="007F2615"/>
    <w:rsid w:val="007F2DC5"/>
    <w:rsid w:val="007F2F93"/>
    <w:rsid w:val="007F35DA"/>
    <w:rsid w:val="007F46E9"/>
    <w:rsid w:val="007F4B5E"/>
    <w:rsid w:val="007F55AA"/>
    <w:rsid w:val="007F6534"/>
    <w:rsid w:val="007F6927"/>
    <w:rsid w:val="00801AC3"/>
    <w:rsid w:val="00801CEE"/>
    <w:rsid w:val="00802D16"/>
    <w:rsid w:val="00805BF2"/>
    <w:rsid w:val="0080615C"/>
    <w:rsid w:val="008076A1"/>
    <w:rsid w:val="00807733"/>
    <w:rsid w:val="00810E09"/>
    <w:rsid w:val="00812036"/>
    <w:rsid w:val="008124A8"/>
    <w:rsid w:val="00812EE5"/>
    <w:rsid w:val="008133E2"/>
    <w:rsid w:val="00814302"/>
    <w:rsid w:val="008148C9"/>
    <w:rsid w:val="00815421"/>
    <w:rsid w:val="00822483"/>
    <w:rsid w:val="008224E3"/>
    <w:rsid w:val="00822887"/>
    <w:rsid w:val="00822BE8"/>
    <w:rsid w:val="00822E40"/>
    <w:rsid w:val="00822F88"/>
    <w:rsid w:val="00822F90"/>
    <w:rsid w:val="0082327E"/>
    <w:rsid w:val="0082532D"/>
    <w:rsid w:val="0082650F"/>
    <w:rsid w:val="00827074"/>
    <w:rsid w:val="00827FB3"/>
    <w:rsid w:val="0083008F"/>
    <w:rsid w:val="00830E49"/>
    <w:rsid w:val="008326D5"/>
    <w:rsid w:val="008329C8"/>
    <w:rsid w:val="00834380"/>
    <w:rsid w:val="0083443D"/>
    <w:rsid w:val="00835E40"/>
    <w:rsid w:val="00835EC9"/>
    <w:rsid w:val="00836249"/>
    <w:rsid w:val="008373E4"/>
    <w:rsid w:val="00837C0D"/>
    <w:rsid w:val="00837D26"/>
    <w:rsid w:val="00840E72"/>
    <w:rsid w:val="00840F9D"/>
    <w:rsid w:val="00841D37"/>
    <w:rsid w:val="00841DA4"/>
    <w:rsid w:val="0084228C"/>
    <w:rsid w:val="00843925"/>
    <w:rsid w:val="00843DFC"/>
    <w:rsid w:val="00844B84"/>
    <w:rsid w:val="0084503C"/>
    <w:rsid w:val="00845925"/>
    <w:rsid w:val="00845F3D"/>
    <w:rsid w:val="008469D5"/>
    <w:rsid w:val="00846D4E"/>
    <w:rsid w:val="00846FAC"/>
    <w:rsid w:val="00847461"/>
    <w:rsid w:val="00851608"/>
    <w:rsid w:val="00851C20"/>
    <w:rsid w:val="00852AAA"/>
    <w:rsid w:val="00852DA8"/>
    <w:rsid w:val="00853342"/>
    <w:rsid w:val="00854481"/>
    <w:rsid w:val="008544DA"/>
    <w:rsid w:val="0085503B"/>
    <w:rsid w:val="00855E7B"/>
    <w:rsid w:val="00855EF0"/>
    <w:rsid w:val="00856AD9"/>
    <w:rsid w:val="00857F17"/>
    <w:rsid w:val="0086076E"/>
    <w:rsid w:val="00862AA6"/>
    <w:rsid w:val="00863241"/>
    <w:rsid w:val="00863BAA"/>
    <w:rsid w:val="0086482D"/>
    <w:rsid w:val="00865F60"/>
    <w:rsid w:val="0086714B"/>
    <w:rsid w:val="00867170"/>
    <w:rsid w:val="0086795F"/>
    <w:rsid w:val="00867CE6"/>
    <w:rsid w:val="00867E79"/>
    <w:rsid w:val="00870B20"/>
    <w:rsid w:val="00871A5D"/>
    <w:rsid w:val="00871CE6"/>
    <w:rsid w:val="008727EC"/>
    <w:rsid w:val="00872890"/>
    <w:rsid w:val="0087293F"/>
    <w:rsid w:val="008730AD"/>
    <w:rsid w:val="008734E4"/>
    <w:rsid w:val="0087436C"/>
    <w:rsid w:val="0087573D"/>
    <w:rsid w:val="00876B9D"/>
    <w:rsid w:val="00877945"/>
    <w:rsid w:val="008805AD"/>
    <w:rsid w:val="008805B1"/>
    <w:rsid w:val="00880CC1"/>
    <w:rsid w:val="008815C6"/>
    <w:rsid w:val="008823B3"/>
    <w:rsid w:val="00882D7B"/>
    <w:rsid w:val="00883413"/>
    <w:rsid w:val="008858C6"/>
    <w:rsid w:val="008861AC"/>
    <w:rsid w:val="00886B25"/>
    <w:rsid w:val="00887F89"/>
    <w:rsid w:val="008919EC"/>
    <w:rsid w:val="00894AF3"/>
    <w:rsid w:val="00894CFB"/>
    <w:rsid w:val="0089533B"/>
    <w:rsid w:val="00896D34"/>
    <w:rsid w:val="0089721C"/>
    <w:rsid w:val="00897625"/>
    <w:rsid w:val="008978DA"/>
    <w:rsid w:val="00897E39"/>
    <w:rsid w:val="008A13C7"/>
    <w:rsid w:val="008A1C8D"/>
    <w:rsid w:val="008A2656"/>
    <w:rsid w:val="008A361E"/>
    <w:rsid w:val="008A4102"/>
    <w:rsid w:val="008A423D"/>
    <w:rsid w:val="008A60B8"/>
    <w:rsid w:val="008A64B2"/>
    <w:rsid w:val="008A7177"/>
    <w:rsid w:val="008A75E9"/>
    <w:rsid w:val="008B0FAE"/>
    <w:rsid w:val="008B27F8"/>
    <w:rsid w:val="008B3926"/>
    <w:rsid w:val="008B3D97"/>
    <w:rsid w:val="008B46E5"/>
    <w:rsid w:val="008B5C56"/>
    <w:rsid w:val="008C0095"/>
    <w:rsid w:val="008C0D2C"/>
    <w:rsid w:val="008C2D68"/>
    <w:rsid w:val="008C2D9E"/>
    <w:rsid w:val="008C3899"/>
    <w:rsid w:val="008C47EE"/>
    <w:rsid w:val="008C4A78"/>
    <w:rsid w:val="008C5021"/>
    <w:rsid w:val="008C5722"/>
    <w:rsid w:val="008C5896"/>
    <w:rsid w:val="008C614F"/>
    <w:rsid w:val="008C749E"/>
    <w:rsid w:val="008C76C9"/>
    <w:rsid w:val="008D3325"/>
    <w:rsid w:val="008D3A31"/>
    <w:rsid w:val="008D3E6B"/>
    <w:rsid w:val="008D4172"/>
    <w:rsid w:val="008D4239"/>
    <w:rsid w:val="008D4618"/>
    <w:rsid w:val="008D467C"/>
    <w:rsid w:val="008D4911"/>
    <w:rsid w:val="008D5812"/>
    <w:rsid w:val="008D64AA"/>
    <w:rsid w:val="008D6A58"/>
    <w:rsid w:val="008D73D0"/>
    <w:rsid w:val="008E1804"/>
    <w:rsid w:val="008E191A"/>
    <w:rsid w:val="008E2470"/>
    <w:rsid w:val="008E2ACE"/>
    <w:rsid w:val="008E3521"/>
    <w:rsid w:val="008E45EE"/>
    <w:rsid w:val="008E46F1"/>
    <w:rsid w:val="008E4BF3"/>
    <w:rsid w:val="008E570B"/>
    <w:rsid w:val="008E5842"/>
    <w:rsid w:val="008E5FC6"/>
    <w:rsid w:val="008E641B"/>
    <w:rsid w:val="008E7864"/>
    <w:rsid w:val="008E7A67"/>
    <w:rsid w:val="008E7C50"/>
    <w:rsid w:val="008F0833"/>
    <w:rsid w:val="008F125E"/>
    <w:rsid w:val="008F1E7C"/>
    <w:rsid w:val="008F1F7C"/>
    <w:rsid w:val="008F2705"/>
    <w:rsid w:val="008F43AC"/>
    <w:rsid w:val="008F4EB2"/>
    <w:rsid w:val="008F4FD6"/>
    <w:rsid w:val="008F5422"/>
    <w:rsid w:val="008F5C63"/>
    <w:rsid w:val="008F5C77"/>
    <w:rsid w:val="008F620F"/>
    <w:rsid w:val="008F64B6"/>
    <w:rsid w:val="008F6511"/>
    <w:rsid w:val="008F66A2"/>
    <w:rsid w:val="008F67F5"/>
    <w:rsid w:val="008F713C"/>
    <w:rsid w:val="008F7866"/>
    <w:rsid w:val="0090011F"/>
    <w:rsid w:val="009016C3"/>
    <w:rsid w:val="00901BFA"/>
    <w:rsid w:val="00902935"/>
    <w:rsid w:val="00902D7C"/>
    <w:rsid w:val="00902E4A"/>
    <w:rsid w:val="00902E94"/>
    <w:rsid w:val="00903CFC"/>
    <w:rsid w:val="0090433E"/>
    <w:rsid w:val="00904A0F"/>
    <w:rsid w:val="00905D1C"/>
    <w:rsid w:val="009066BF"/>
    <w:rsid w:val="0090704C"/>
    <w:rsid w:val="00907F9E"/>
    <w:rsid w:val="009105F9"/>
    <w:rsid w:val="009109FF"/>
    <w:rsid w:val="00910E78"/>
    <w:rsid w:val="00911569"/>
    <w:rsid w:val="00911897"/>
    <w:rsid w:val="00912076"/>
    <w:rsid w:val="009131CD"/>
    <w:rsid w:val="0091329F"/>
    <w:rsid w:val="00913A87"/>
    <w:rsid w:val="009146A9"/>
    <w:rsid w:val="00915A29"/>
    <w:rsid w:val="00915F37"/>
    <w:rsid w:val="009165D6"/>
    <w:rsid w:val="00916A92"/>
    <w:rsid w:val="00916C8A"/>
    <w:rsid w:val="00917B05"/>
    <w:rsid w:val="00917D0B"/>
    <w:rsid w:val="00920C8E"/>
    <w:rsid w:val="009210F5"/>
    <w:rsid w:val="0092176F"/>
    <w:rsid w:val="00922C60"/>
    <w:rsid w:val="00923703"/>
    <w:rsid w:val="00923841"/>
    <w:rsid w:val="00923D6E"/>
    <w:rsid w:val="00924802"/>
    <w:rsid w:val="009249B7"/>
    <w:rsid w:val="00924A4E"/>
    <w:rsid w:val="00925393"/>
    <w:rsid w:val="00926D65"/>
    <w:rsid w:val="009274DA"/>
    <w:rsid w:val="00930521"/>
    <w:rsid w:val="00930648"/>
    <w:rsid w:val="00930D20"/>
    <w:rsid w:val="00930E1F"/>
    <w:rsid w:val="00931AC6"/>
    <w:rsid w:val="00933B2C"/>
    <w:rsid w:val="00933BFD"/>
    <w:rsid w:val="00934883"/>
    <w:rsid w:val="00935118"/>
    <w:rsid w:val="009351C3"/>
    <w:rsid w:val="0093561A"/>
    <w:rsid w:val="00936036"/>
    <w:rsid w:val="00936076"/>
    <w:rsid w:val="009362AE"/>
    <w:rsid w:val="00936635"/>
    <w:rsid w:val="00936BE7"/>
    <w:rsid w:val="00936EE9"/>
    <w:rsid w:val="00937A03"/>
    <w:rsid w:val="00937B6E"/>
    <w:rsid w:val="00937C36"/>
    <w:rsid w:val="0094065F"/>
    <w:rsid w:val="00941BCB"/>
    <w:rsid w:val="0094366E"/>
    <w:rsid w:val="00944B82"/>
    <w:rsid w:val="00945635"/>
    <w:rsid w:val="00947F11"/>
    <w:rsid w:val="00950038"/>
    <w:rsid w:val="0095077D"/>
    <w:rsid w:val="00950A3D"/>
    <w:rsid w:val="0095127C"/>
    <w:rsid w:val="00951C88"/>
    <w:rsid w:val="00953914"/>
    <w:rsid w:val="00953B2D"/>
    <w:rsid w:val="00953BB4"/>
    <w:rsid w:val="00953F94"/>
    <w:rsid w:val="009540BA"/>
    <w:rsid w:val="00954155"/>
    <w:rsid w:val="00954E25"/>
    <w:rsid w:val="009555E1"/>
    <w:rsid w:val="009559F1"/>
    <w:rsid w:val="009567E6"/>
    <w:rsid w:val="00956A04"/>
    <w:rsid w:val="009612F7"/>
    <w:rsid w:val="00961674"/>
    <w:rsid w:val="00961CEA"/>
    <w:rsid w:val="00962538"/>
    <w:rsid w:val="00962541"/>
    <w:rsid w:val="0096285A"/>
    <w:rsid w:val="00964021"/>
    <w:rsid w:val="009640C0"/>
    <w:rsid w:val="00964EFA"/>
    <w:rsid w:val="009655A8"/>
    <w:rsid w:val="00965756"/>
    <w:rsid w:val="0096592F"/>
    <w:rsid w:val="00965BCA"/>
    <w:rsid w:val="00965D70"/>
    <w:rsid w:val="00966877"/>
    <w:rsid w:val="009670DE"/>
    <w:rsid w:val="009674AD"/>
    <w:rsid w:val="00967861"/>
    <w:rsid w:val="00970350"/>
    <w:rsid w:val="009715A7"/>
    <w:rsid w:val="0097164D"/>
    <w:rsid w:val="00971BE5"/>
    <w:rsid w:val="00972EAE"/>
    <w:rsid w:val="00974343"/>
    <w:rsid w:val="00974E08"/>
    <w:rsid w:val="00975825"/>
    <w:rsid w:val="009758A3"/>
    <w:rsid w:val="00975E89"/>
    <w:rsid w:val="00976251"/>
    <w:rsid w:val="0097778E"/>
    <w:rsid w:val="00977D1D"/>
    <w:rsid w:val="009814C2"/>
    <w:rsid w:val="009815AF"/>
    <w:rsid w:val="009819BB"/>
    <w:rsid w:val="0098222D"/>
    <w:rsid w:val="00982D37"/>
    <w:rsid w:val="00983428"/>
    <w:rsid w:val="00983536"/>
    <w:rsid w:val="009842E4"/>
    <w:rsid w:val="009843C7"/>
    <w:rsid w:val="00984AE2"/>
    <w:rsid w:val="00986E0D"/>
    <w:rsid w:val="00986F87"/>
    <w:rsid w:val="009904EC"/>
    <w:rsid w:val="00990F00"/>
    <w:rsid w:val="00991594"/>
    <w:rsid w:val="00991CCA"/>
    <w:rsid w:val="009921BA"/>
    <w:rsid w:val="00993077"/>
    <w:rsid w:val="009932FC"/>
    <w:rsid w:val="0099432E"/>
    <w:rsid w:val="00994367"/>
    <w:rsid w:val="00994767"/>
    <w:rsid w:val="0099490A"/>
    <w:rsid w:val="00995C1F"/>
    <w:rsid w:val="009A107F"/>
    <w:rsid w:val="009A1CB1"/>
    <w:rsid w:val="009A1CD6"/>
    <w:rsid w:val="009A31B0"/>
    <w:rsid w:val="009A3B4E"/>
    <w:rsid w:val="009A3C0B"/>
    <w:rsid w:val="009A3F4F"/>
    <w:rsid w:val="009A4DFE"/>
    <w:rsid w:val="009A4FCB"/>
    <w:rsid w:val="009A596B"/>
    <w:rsid w:val="009A5E93"/>
    <w:rsid w:val="009A6A6C"/>
    <w:rsid w:val="009A7826"/>
    <w:rsid w:val="009A7EDE"/>
    <w:rsid w:val="009B0467"/>
    <w:rsid w:val="009B05F0"/>
    <w:rsid w:val="009B0663"/>
    <w:rsid w:val="009B1227"/>
    <w:rsid w:val="009B1E12"/>
    <w:rsid w:val="009B25E6"/>
    <w:rsid w:val="009B33EE"/>
    <w:rsid w:val="009B359B"/>
    <w:rsid w:val="009B4A0F"/>
    <w:rsid w:val="009B4CE8"/>
    <w:rsid w:val="009B524F"/>
    <w:rsid w:val="009B6B51"/>
    <w:rsid w:val="009B717B"/>
    <w:rsid w:val="009B7823"/>
    <w:rsid w:val="009B79EB"/>
    <w:rsid w:val="009B7D00"/>
    <w:rsid w:val="009B7D72"/>
    <w:rsid w:val="009C0488"/>
    <w:rsid w:val="009C0AA7"/>
    <w:rsid w:val="009C13A2"/>
    <w:rsid w:val="009C1572"/>
    <w:rsid w:val="009C20BE"/>
    <w:rsid w:val="009C221A"/>
    <w:rsid w:val="009C2504"/>
    <w:rsid w:val="009C253C"/>
    <w:rsid w:val="009C4064"/>
    <w:rsid w:val="009C44CF"/>
    <w:rsid w:val="009C44F8"/>
    <w:rsid w:val="009C4BF4"/>
    <w:rsid w:val="009C5903"/>
    <w:rsid w:val="009C5BB3"/>
    <w:rsid w:val="009C5C69"/>
    <w:rsid w:val="009D02A4"/>
    <w:rsid w:val="009D032D"/>
    <w:rsid w:val="009D03C6"/>
    <w:rsid w:val="009D0459"/>
    <w:rsid w:val="009D0AE9"/>
    <w:rsid w:val="009D0BD6"/>
    <w:rsid w:val="009D0C18"/>
    <w:rsid w:val="009D0DE0"/>
    <w:rsid w:val="009D17E8"/>
    <w:rsid w:val="009D22A5"/>
    <w:rsid w:val="009D343B"/>
    <w:rsid w:val="009D3BDA"/>
    <w:rsid w:val="009D461A"/>
    <w:rsid w:val="009D4CC4"/>
    <w:rsid w:val="009D5067"/>
    <w:rsid w:val="009D5299"/>
    <w:rsid w:val="009D52DE"/>
    <w:rsid w:val="009D536D"/>
    <w:rsid w:val="009D6714"/>
    <w:rsid w:val="009D6C45"/>
    <w:rsid w:val="009D7975"/>
    <w:rsid w:val="009E1787"/>
    <w:rsid w:val="009E1994"/>
    <w:rsid w:val="009E19D8"/>
    <w:rsid w:val="009E2545"/>
    <w:rsid w:val="009E348B"/>
    <w:rsid w:val="009E4D26"/>
    <w:rsid w:val="009E6071"/>
    <w:rsid w:val="009E70FD"/>
    <w:rsid w:val="009E768C"/>
    <w:rsid w:val="009E7690"/>
    <w:rsid w:val="009F006C"/>
    <w:rsid w:val="009F078C"/>
    <w:rsid w:val="009F1347"/>
    <w:rsid w:val="009F140D"/>
    <w:rsid w:val="009F33AD"/>
    <w:rsid w:val="009F3553"/>
    <w:rsid w:val="009F4044"/>
    <w:rsid w:val="009F451F"/>
    <w:rsid w:val="009F47BF"/>
    <w:rsid w:val="009F4929"/>
    <w:rsid w:val="009F5054"/>
    <w:rsid w:val="009F59A8"/>
    <w:rsid w:val="009F5AC5"/>
    <w:rsid w:val="009F5B49"/>
    <w:rsid w:val="009F60D9"/>
    <w:rsid w:val="009F6F75"/>
    <w:rsid w:val="009F7397"/>
    <w:rsid w:val="00A00C33"/>
    <w:rsid w:val="00A011D6"/>
    <w:rsid w:val="00A01872"/>
    <w:rsid w:val="00A02E5F"/>
    <w:rsid w:val="00A02EFA"/>
    <w:rsid w:val="00A03038"/>
    <w:rsid w:val="00A03305"/>
    <w:rsid w:val="00A03350"/>
    <w:rsid w:val="00A03FE3"/>
    <w:rsid w:val="00A043C2"/>
    <w:rsid w:val="00A0462D"/>
    <w:rsid w:val="00A04D0A"/>
    <w:rsid w:val="00A04FAA"/>
    <w:rsid w:val="00A0550B"/>
    <w:rsid w:val="00A05B96"/>
    <w:rsid w:val="00A05BC0"/>
    <w:rsid w:val="00A05DD1"/>
    <w:rsid w:val="00A05FFC"/>
    <w:rsid w:val="00A06EE8"/>
    <w:rsid w:val="00A07CF0"/>
    <w:rsid w:val="00A10E21"/>
    <w:rsid w:val="00A1107D"/>
    <w:rsid w:val="00A11238"/>
    <w:rsid w:val="00A11A21"/>
    <w:rsid w:val="00A1265C"/>
    <w:rsid w:val="00A132E3"/>
    <w:rsid w:val="00A13DFE"/>
    <w:rsid w:val="00A142A0"/>
    <w:rsid w:val="00A14C93"/>
    <w:rsid w:val="00A15474"/>
    <w:rsid w:val="00A15FD1"/>
    <w:rsid w:val="00A16668"/>
    <w:rsid w:val="00A179B1"/>
    <w:rsid w:val="00A17AF9"/>
    <w:rsid w:val="00A17E82"/>
    <w:rsid w:val="00A20242"/>
    <w:rsid w:val="00A204DD"/>
    <w:rsid w:val="00A21D12"/>
    <w:rsid w:val="00A23356"/>
    <w:rsid w:val="00A24EB4"/>
    <w:rsid w:val="00A25037"/>
    <w:rsid w:val="00A25889"/>
    <w:rsid w:val="00A26B09"/>
    <w:rsid w:val="00A2763F"/>
    <w:rsid w:val="00A27EFE"/>
    <w:rsid w:val="00A3083B"/>
    <w:rsid w:val="00A311B2"/>
    <w:rsid w:val="00A3130F"/>
    <w:rsid w:val="00A316C0"/>
    <w:rsid w:val="00A32D04"/>
    <w:rsid w:val="00A3416C"/>
    <w:rsid w:val="00A342E7"/>
    <w:rsid w:val="00A35AAC"/>
    <w:rsid w:val="00A36FD5"/>
    <w:rsid w:val="00A37735"/>
    <w:rsid w:val="00A37BBA"/>
    <w:rsid w:val="00A42030"/>
    <w:rsid w:val="00A425D6"/>
    <w:rsid w:val="00A43013"/>
    <w:rsid w:val="00A439CB"/>
    <w:rsid w:val="00A439EF"/>
    <w:rsid w:val="00A4486F"/>
    <w:rsid w:val="00A451A9"/>
    <w:rsid w:val="00A45CA8"/>
    <w:rsid w:val="00A4656D"/>
    <w:rsid w:val="00A468B0"/>
    <w:rsid w:val="00A468C3"/>
    <w:rsid w:val="00A47A17"/>
    <w:rsid w:val="00A5127D"/>
    <w:rsid w:val="00A51564"/>
    <w:rsid w:val="00A52499"/>
    <w:rsid w:val="00A53247"/>
    <w:rsid w:val="00A53268"/>
    <w:rsid w:val="00A5326A"/>
    <w:rsid w:val="00A54487"/>
    <w:rsid w:val="00A54933"/>
    <w:rsid w:val="00A54F07"/>
    <w:rsid w:val="00A551B7"/>
    <w:rsid w:val="00A558CE"/>
    <w:rsid w:val="00A5606D"/>
    <w:rsid w:val="00A56703"/>
    <w:rsid w:val="00A56CCE"/>
    <w:rsid w:val="00A56F7E"/>
    <w:rsid w:val="00A57D2B"/>
    <w:rsid w:val="00A60074"/>
    <w:rsid w:val="00A60202"/>
    <w:rsid w:val="00A602CC"/>
    <w:rsid w:val="00A613BE"/>
    <w:rsid w:val="00A619CF"/>
    <w:rsid w:val="00A61A25"/>
    <w:rsid w:val="00A61A6C"/>
    <w:rsid w:val="00A61ACE"/>
    <w:rsid w:val="00A61C43"/>
    <w:rsid w:val="00A6221F"/>
    <w:rsid w:val="00A63B07"/>
    <w:rsid w:val="00A63BBB"/>
    <w:rsid w:val="00A63DA2"/>
    <w:rsid w:val="00A644DE"/>
    <w:rsid w:val="00A647B6"/>
    <w:rsid w:val="00A64AEC"/>
    <w:rsid w:val="00A65356"/>
    <w:rsid w:val="00A65C02"/>
    <w:rsid w:val="00A65D7D"/>
    <w:rsid w:val="00A662C3"/>
    <w:rsid w:val="00A6698E"/>
    <w:rsid w:val="00A67F14"/>
    <w:rsid w:val="00A70F9A"/>
    <w:rsid w:val="00A713B4"/>
    <w:rsid w:val="00A7221E"/>
    <w:rsid w:val="00A73231"/>
    <w:rsid w:val="00A73792"/>
    <w:rsid w:val="00A7382B"/>
    <w:rsid w:val="00A7430E"/>
    <w:rsid w:val="00A7489B"/>
    <w:rsid w:val="00A74DC0"/>
    <w:rsid w:val="00A74E2A"/>
    <w:rsid w:val="00A755C9"/>
    <w:rsid w:val="00A756A9"/>
    <w:rsid w:val="00A756B3"/>
    <w:rsid w:val="00A7593A"/>
    <w:rsid w:val="00A76147"/>
    <w:rsid w:val="00A767F3"/>
    <w:rsid w:val="00A76B90"/>
    <w:rsid w:val="00A76F62"/>
    <w:rsid w:val="00A77A1C"/>
    <w:rsid w:val="00A800CF"/>
    <w:rsid w:val="00A807F8"/>
    <w:rsid w:val="00A80D66"/>
    <w:rsid w:val="00A817E6"/>
    <w:rsid w:val="00A830D0"/>
    <w:rsid w:val="00A84031"/>
    <w:rsid w:val="00A844E1"/>
    <w:rsid w:val="00A84768"/>
    <w:rsid w:val="00A84F2D"/>
    <w:rsid w:val="00A8519E"/>
    <w:rsid w:val="00A865A1"/>
    <w:rsid w:val="00A86C54"/>
    <w:rsid w:val="00A91BE0"/>
    <w:rsid w:val="00A92C87"/>
    <w:rsid w:val="00A93F7E"/>
    <w:rsid w:val="00A93FCF"/>
    <w:rsid w:val="00A94001"/>
    <w:rsid w:val="00A94D5E"/>
    <w:rsid w:val="00A9533A"/>
    <w:rsid w:val="00A9549D"/>
    <w:rsid w:val="00A962AF"/>
    <w:rsid w:val="00A963B5"/>
    <w:rsid w:val="00A9657D"/>
    <w:rsid w:val="00A96722"/>
    <w:rsid w:val="00A96BCA"/>
    <w:rsid w:val="00A97C9B"/>
    <w:rsid w:val="00AA0075"/>
    <w:rsid w:val="00AA0EA7"/>
    <w:rsid w:val="00AA18B3"/>
    <w:rsid w:val="00AA2459"/>
    <w:rsid w:val="00AA3389"/>
    <w:rsid w:val="00AA35E6"/>
    <w:rsid w:val="00AA52D6"/>
    <w:rsid w:val="00AA5CAF"/>
    <w:rsid w:val="00AA600A"/>
    <w:rsid w:val="00AA6265"/>
    <w:rsid w:val="00AA69E6"/>
    <w:rsid w:val="00AA6B90"/>
    <w:rsid w:val="00AB02BD"/>
    <w:rsid w:val="00AB102B"/>
    <w:rsid w:val="00AB18A3"/>
    <w:rsid w:val="00AB1AA5"/>
    <w:rsid w:val="00AB1C39"/>
    <w:rsid w:val="00AB2143"/>
    <w:rsid w:val="00AB5715"/>
    <w:rsid w:val="00AB5AAB"/>
    <w:rsid w:val="00AB7694"/>
    <w:rsid w:val="00AB7AA5"/>
    <w:rsid w:val="00AB7DA2"/>
    <w:rsid w:val="00AC08A7"/>
    <w:rsid w:val="00AC0F31"/>
    <w:rsid w:val="00AC1EAD"/>
    <w:rsid w:val="00AC37B9"/>
    <w:rsid w:val="00AC44B8"/>
    <w:rsid w:val="00AC4C30"/>
    <w:rsid w:val="00AC6857"/>
    <w:rsid w:val="00AC6F9F"/>
    <w:rsid w:val="00AC70B9"/>
    <w:rsid w:val="00AD0188"/>
    <w:rsid w:val="00AD0288"/>
    <w:rsid w:val="00AD07D5"/>
    <w:rsid w:val="00AD0B9A"/>
    <w:rsid w:val="00AD1372"/>
    <w:rsid w:val="00AD138C"/>
    <w:rsid w:val="00AD14C8"/>
    <w:rsid w:val="00AD1E26"/>
    <w:rsid w:val="00AD248C"/>
    <w:rsid w:val="00AD2E8D"/>
    <w:rsid w:val="00AD36E2"/>
    <w:rsid w:val="00AD38F4"/>
    <w:rsid w:val="00AD3CBE"/>
    <w:rsid w:val="00AD3DBA"/>
    <w:rsid w:val="00AD3EDD"/>
    <w:rsid w:val="00AD3F7C"/>
    <w:rsid w:val="00AD3FB0"/>
    <w:rsid w:val="00AD4143"/>
    <w:rsid w:val="00AD5B01"/>
    <w:rsid w:val="00AD66EC"/>
    <w:rsid w:val="00AD6EFF"/>
    <w:rsid w:val="00AE0A7B"/>
    <w:rsid w:val="00AE4C13"/>
    <w:rsid w:val="00AE5CFE"/>
    <w:rsid w:val="00AE5EBD"/>
    <w:rsid w:val="00AE6CD8"/>
    <w:rsid w:val="00AE7890"/>
    <w:rsid w:val="00AF075B"/>
    <w:rsid w:val="00AF095C"/>
    <w:rsid w:val="00AF0A6E"/>
    <w:rsid w:val="00AF0B75"/>
    <w:rsid w:val="00AF120B"/>
    <w:rsid w:val="00AF15F2"/>
    <w:rsid w:val="00AF2E72"/>
    <w:rsid w:val="00AF32A8"/>
    <w:rsid w:val="00AF3A6F"/>
    <w:rsid w:val="00AF3E16"/>
    <w:rsid w:val="00AF4160"/>
    <w:rsid w:val="00AF4982"/>
    <w:rsid w:val="00AF4E5D"/>
    <w:rsid w:val="00AF5FB8"/>
    <w:rsid w:val="00AF62A2"/>
    <w:rsid w:val="00AF65AA"/>
    <w:rsid w:val="00AF6BB4"/>
    <w:rsid w:val="00AF794A"/>
    <w:rsid w:val="00AF7DC1"/>
    <w:rsid w:val="00B00709"/>
    <w:rsid w:val="00B0159B"/>
    <w:rsid w:val="00B01D7E"/>
    <w:rsid w:val="00B020EA"/>
    <w:rsid w:val="00B03F64"/>
    <w:rsid w:val="00B04CA2"/>
    <w:rsid w:val="00B04E0D"/>
    <w:rsid w:val="00B05753"/>
    <w:rsid w:val="00B06389"/>
    <w:rsid w:val="00B064E9"/>
    <w:rsid w:val="00B066CC"/>
    <w:rsid w:val="00B06D40"/>
    <w:rsid w:val="00B0713A"/>
    <w:rsid w:val="00B077D0"/>
    <w:rsid w:val="00B07B99"/>
    <w:rsid w:val="00B10200"/>
    <w:rsid w:val="00B10690"/>
    <w:rsid w:val="00B111B0"/>
    <w:rsid w:val="00B11780"/>
    <w:rsid w:val="00B117F3"/>
    <w:rsid w:val="00B11F76"/>
    <w:rsid w:val="00B128A7"/>
    <w:rsid w:val="00B1354B"/>
    <w:rsid w:val="00B13AA0"/>
    <w:rsid w:val="00B153A7"/>
    <w:rsid w:val="00B158ED"/>
    <w:rsid w:val="00B17802"/>
    <w:rsid w:val="00B17B7D"/>
    <w:rsid w:val="00B17BDA"/>
    <w:rsid w:val="00B21FF2"/>
    <w:rsid w:val="00B22AE0"/>
    <w:rsid w:val="00B22C68"/>
    <w:rsid w:val="00B22D19"/>
    <w:rsid w:val="00B22FDD"/>
    <w:rsid w:val="00B2455B"/>
    <w:rsid w:val="00B25A3B"/>
    <w:rsid w:val="00B26174"/>
    <w:rsid w:val="00B26E94"/>
    <w:rsid w:val="00B2726C"/>
    <w:rsid w:val="00B27459"/>
    <w:rsid w:val="00B2772B"/>
    <w:rsid w:val="00B30356"/>
    <w:rsid w:val="00B309D0"/>
    <w:rsid w:val="00B30DE1"/>
    <w:rsid w:val="00B3170E"/>
    <w:rsid w:val="00B330A4"/>
    <w:rsid w:val="00B3317D"/>
    <w:rsid w:val="00B335FC"/>
    <w:rsid w:val="00B336D0"/>
    <w:rsid w:val="00B33FAE"/>
    <w:rsid w:val="00B33FCF"/>
    <w:rsid w:val="00B36BAF"/>
    <w:rsid w:val="00B373D0"/>
    <w:rsid w:val="00B37873"/>
    <w:rsid w:val="00B37ED8"/>
    <w:rsid w:val="00B40486"/>
    <w:rsid w:val="00B40976"/>
    <w:rsid w:val="00B40C94"/>
    <w:rsid w:val="00B41C03"/>
    <w:rsid w:val="00B42B05"/>
    <w:rsid w:val="00B4357B"/>
    <w:rsid w:val="00B43E38"/>
    <w:rsid w:val="00B43EE6"/>
    <w:rsid w:val="00B44F5C"/>
    <w:rsid w:val="00B46673"/>
    <w:rsid w:val="00B4782C"/>
    <w:rsid w:val="00B5071E"/>
    <w:rsid w:val="00B511E4"/>
    <w:rsid w:val="00B5128D"/>
    <w:rsid w:val="00B52082"/>
    <w:rsid w:val="00B52201"/>
    <w:rsid w:val="00B52482"/>
    <w:rsid w:val="00B53022"/>
    <w:rsid w:val="00B54294"/>
    <w:rsid w:val="00B5447E"/>
    <w:rsid w:val="00B56108"/>
    <w:rsid w:val="00B567F6"/>
    <w:rsid w:val="00B56BBE"/>
    <w:rsid w:val="00B57AAC"/>
    <w:rsid w:val="00B600DE"/>
    <w:rsid w:val="00B6043C"/>
    <w:rsid w:val="00B624A4"/>
    <w:rsid w:val="00B6341A"/>
    <w:rsid w:val="00B637CD"/>
    <w:rsid w:val="00B64E62"/>
    <w:rsid w:val="00B655D3"/>
    <w:rsid w:val="00B65699"/>
    <w:rsid w:val="00B66656"/>
    <w:rsid w:val="00B67825"/>
    <w:rsid w:val="00B6797D"/>
    <w:rsid w:val="00B67C12"/>
    <w:rsid w:val="00B711E8"/>
    <w:rsid w:val="00B72CA2"/>
    <w:rsid w:val="00B72F20"/>
    <w:rsid w:val="00B731B0"/>
    <w:rsid w:val="00B731B3"/>
    <w:rsid w:val="00B73630"/>
    <w:rsid w:val="00B73764"/>
    <w:rsid w:val="00B743A7"/>
    <w:rsid w:val="00B745E1"/>
    <w:rsid w:val="00B74CF8"/>
    <w:rsid w:val="00B769D2"/>
    <w:rsid w:val="00B76F67"/>
    <w:rsid w:val="00B76FC2"/>
    <w:rsid w:val="00B773AF"/>
    <w:rsid w:val="00B77E20"/>
    <w:rsid w:val="00B77F44"/>
    <w:rsid w:val="00B800A4"/>
    <w:rsid w:val="00B80896"/>
    <w:rsid w:val="00B82953"/>
    <w:rsid w:val="00B83129"/>
    <w:rsid w:val="00B8411C"/>
    <w:rsid w:val="00B84CC8"/>
    <w:rsid w:val="00B852B6"/>
    <w:rsid w:val="00B85FF6"/>
    <w:rsid w:val="00B86E38"/>
    <w:rsid w:val="00B86F59"/>
    <w:rsid w:val="00B87199"/>
    <w:rsid w:val="00B87863"/>
    <w:rsid w:val="00B907AB"/>
    <w:rsid w:val="00B927F7"/>
    <w:rsid w:val="00B93480"/>
    <w:rsid w:val="00B94618"/>
    <w:rsid w:val="00B9470D"/>
    <w:rsid w:val="00B94A1F"/>
    <w:rsid w:val="00B94CE9"/>
    <w:rsid w:val="00B9537D"/>
    <w:rsid w:val="00BA08ED"/>
    <w:rsid w:val="00BA1752"/>
    <w:rsid w:val="00BA24E5"/>
    <w:rsid w:val="00BA2FDD"/>
    <w:rsid w:val="00BA386F"/>
    <w:rsid w:val="00BA4131"/>
    <w:rsid w:val="00BA4C06"/>
    <w:rsid w:val="00BA5DDA"/>
    <w:rsid w:val="00BA7A55"/>
    <w:rsid w:val="00BB0E1D"/>
    <w:rsid w:val="00BB277B"/>
    <w:rsid w:val="00BB2A96"/>
    <w:rsid w:val="00BB2CA4"/>
    <w:rsid w:val="00BB2DC9"/>
    <w:rsid w:val="00BB2F6D"/>
    <w:rsid w:val="00BB3485"/>
    <w:rsid w:val="00BB3674"/>
    <w:rsid w:val="00BB5370"/>
    <w:rsid w:val="00BB5AF2"/>
    <w:rsid w:val="00BB5DDE"/>
    <w:rsid w:val="00BB7700"/>
    <w:rsid w:val="00BB7D6D"/>
    <w:rsid w:val="00BC1B08"/>
    <w:rsid w:val="00BC1B13"/>
    <w:rsid w:val="00BC1CF0"/>
    <w:rsid w:val="00BC1DF9"/>
    <w:rsid w:val="00BC1E56"/>
    <w:rsid w:val="00BC360C"/>
    <w:rsid w:val="00BC40B2"/>
    <w:rsid w:val="00BC44F5"/>
    <w:rsid w:val="00BC48F0"/>
    <w:rsid w:val="00BC6039"/>
    <w:rsid w:val="00BC6D16"/>
    <w:rsid w:val="00BC75BC"/>
    <w:rsid w:val="00BC7A09"/>
    <w:rsid w:val="00BC7BF4"/>
    <w:rsid w:val="00BD00FC"/>
    <w:rsid w:val="00BD0950"/>
    <w:rsid w:val="00BD0DC1"/>
    <w:rsid w:val="00BD4791"/>
    <w:rsid w:val="00BD4DDB"/>
    <w:rsid w:val="00BD518E"/>
    <w:rsid w:val="00BD5272"/>
    <w:rsid w:val="00BD5629"/>
    <w:rsid w:val="00BD650C"/>
    <w:rsid w:val="00BD6952"/>
    <w:rsid w:val="00BD6B27"/>
    <w:rsid w:val="00BD7382"/>
    <w:rsid w:val="00BD7C8B"/>
    <w:rsid w:val="00BD7D6E"/>
    <w:rsid w:val="00BE05D8"/>
    <w:rsid w:val="00BE0BA5"/>
    <w:rsid w:val="00BE12E1"/>
    <w:rsid w:val="00BE167F"/>
    <w:rsid w:val="00BE1713"/>
    <w:rsid w:val="00BE1B43"/>
    <w:rsid w:val="00BE231F"/>
    <w:rsid w:val="00BE2907"/>
    <w:rsid w:val="00BE29E8"/>
    <w:rsid w:val="00BE3338"/>
    <w:rsid w:val="00BE3D41"/>
    <w:rsid w:val="00BE40FB"/>
    <w:rsid w:val="00BE44F0"/>
    <w:rsid w:val="00BE47FF"/>
    <w:rsid w:val="00BE4C99"/>
    <w:rsid w:val="00BE4E1F"/>
    <w:rsid w:val="00BE5D9C"/>
    <w:rsid w:val="00BE6064"/>
    <w:rsid w:val="00BE60D6"/>
    <w:rsid w:val="00BF0233"/>
    <w:rsid w:val="00BF09DE"/>
    <w:rsid w:val="00BF1F96"/>
    <w:rsid w:val="00BF1F9A"/>
    <w:rsid w:val="00BF2731"/>
    <w:rsid w:val="00BF3392"/>
    <w:rsid w:val="00BF3EC4"/>
    <w:rsid w:val="00BF50EF"/>
    <w:rsid w:val="00BF5FC0"/>
    <w:rsid w:val="00BF7106"/>
    <w:rsid w:val="00C0082E"/>
    <w:rsid w:val="00C00867"/>
    <w:rsid w:val="00C00D05"/>
    <w:rsid w:val="00C017C9"/>
    <w:rsid w:val="00C02BE4"/>
    <w:rsid w:val="00C02E45"/>
    <w:rsid w:val="00C02E65"/>
    <w:rsid w:val="00C03275"/>
    <w:rsid w:val="00C032D3"/>
    <w:rsid w:val="00C036E1"/>
    <w:rsid w:val="00C039EF"/>
    <w:rsid w:val="00C03C38"/>
    <w:rsid w:val="00C05348"/>
    <w:rsid w:val="00C07917"/>
    <w:rsid w:val="00C07B03"/>
    <w:rsid w:val="00C102F3"/>
    <w:rsid w:val="00C10C12"/>
    <w:rsid w:val="00C11532"/>
    <w:rsid w:val="00C119B5"/>
    <w:rsid w:val="00C11CBF"/>
    <w:rsid w:val="00C13759"/>
    <w:rsid w:val="00C13808"/>
    <w:rsid w:val="00C138CC"/>
    <w:rsid w:val="00C142EE"/>
    <w:rsid w:val="00C14597"/>
    <w:rsid w:val="00C14B56"/>
    <w:rsid w:val="00C15170"/>
    <w:rsid w:val="00C15AFA"/>
    <w:rsid w:val="00C15FDA"/>
    <w:rsid w:val="00C16650"/>
    <w:rsid w:val="00C16708"/>
    <w:rsid w:val="00C169ED"/>
    <w:rsid w:val="00C16C06"/>
    <w:rsid w:val="00C16D69"/>
    <w:rsid w:val="00C176F7"/>
    <w:rsid w:val="00C2040E"/>
    <w:rsid w:val="00C20F04"/>
    <w:rsid w:val="00C21C1F"/>
    <w:rsid w:val="00C24157"/>
    <w:rsid w:val="00C24970"/>
    <w:rsid w:val="00C24B2A"/>
    <w:rsid w:val="00C24E47"/>
    <w:rsid w:val="00C262F7"/>
    <w:rsid w:val="00C26417"/>
    <w:rsid w:val="00C274AD"/>
    <w:rsid w:val="00C275C2"/>
    <w:rsid w:val="00C27DD0"/>
    <w:rsid w:val="00C3035F"/>
    <w:rsid w:val="00C30FC3"/>
    <w:rsid w:val="00C3104E"/>
    <w:rsid w:val="00C321DA"/>
    <w:rsid w:val="00C33377"/>
    <w:rsid w:val="00C341D8"/>
    <w:rsid w:val="00C35BFF"/>
    <w:rsid w:val="00C35CA1"/>
    <w:rsid w:val="00C36A7A"/>
    <w:rsid w:val="00C37337"/>
    <w:rsid w:val="00C374C5"/>
    <w:rsid w:val="00C37E01"/>
    <w:rsid w:val="00C40078"/>
    <w:rsid w:val="00C400F2"/>
    <w:rsid w:val="00C409B4"/>
    <w:rsid w:val="00C4187C"/>
    <w:rsid w:val="00C42387"/>
    <w:rsid w:val="00C42A41"/>
    <w:rsid w:val="00C42B7E"/>
    <w:rsid w:val="00C42E00"/>
    <w:rsid w:val="00C43C4D"/>
    <w:rsid w:val="00C44025"/>
    <w:rsid w:val="00C447C7"/>
    <w:rsid w:val="00C45E37"/>
    <w:rsid w:val="00C472FB"/>
    <w:rsid w:val="00C4777B"/>
    <w:rsid w:val="00C502AB"/>
    <w:rsid w:val="00C511CA"/>
    <w:rsid w:val="00C516BC"/>
    <w:rsid w:val="00C51948"/>
    <w:rsid w:val="00C51A7C"/>
    <w:rsid w:val="00C5277A"/>
    <w:rsid w:val="00C53476"/>
    <w:rsid w:val="00C53B3C"/>
    <w:rsid w:val="00C5511C"/>
    <w:rsid w:val="00C558AA"/>
    <w:rsid w:val="00C55C9B"/>
    <w:rsid w:val="00C55CAE"/>
    <w:rsid w:val="00C5635A"/>
    <w:rsid w:val="00C563FA"/>
    <w:rsid w:val="00C56C78"/>
    <w:rsid w:val="00C575F1"/>
    <w:rsid w:val="00C578D7"/>
    <w:rsid w:val="00C57D74"/>
    <w:rsid w:val="00C60355"/>
    <w:rsid w:val="00C61481"/>
    <w:rsid w:val="00C620A0"/>
    <w:rsid w:val="00C63197"/>
    <w:rsid w:val="00C63330"/>
    <w:rsid w:val="00C645F0"/>
    <w:rsid w:val="00C6508F"/>
    <w:rsid w:val="00C66677"/>
    <w:rsid w:val="00C67450"/>
    <w:rsid w:val="00C67666"/>
    <w:rsid w:val="00C67D46"/>
    <w:rsid w:val="00C67D6B"/>
    <w:rsid w:val="00C71457"/>
    <w:rsid w:val="00C71DE5"/>
    <w:rsid w:val="00C72608"/>
    <w:rsid w:val="00C73136"/>
    <w:rsid w:val="00C7420E"/>
    <w:rsid w:val="00C744F5"/>
    <w:rsid w:val="00C7464B"/>
    <w:rsid w:val="00C74732"/>
    <w:rsid w:val="00C753AC"/>
    <w:rsid w:val="00C75532"/>
    <w:rsid w:val="00C75AF5"/>
    <w:rsid w:val="00C7601F"/>
    <w:rsid w:val="00C764A9"/>
    <w:rsid w:val="00C7665D"/>
    <w:rsid w:val="00C766B2"/>
    <w:rsid w:val="00C76854"/>
    <w:rsid w:val="00C804B4"/>
    <w:rsid w:val="00C806BF"/>
    <w:rsid w:val="00C80E3D"/>
    <w:rsid w:val="00C83CE2"/>
    <w:rsid w:val="00C84BE1"/>
    <w:rsid w:val="00C85063"/>
    <w:rsid w:val="00C851AC"/>
    <w:rsid w:val="00C8573C"/>
    <w:rsid w:val="00C858F2"/>
    <w:rsid w:val="00C85D59"/>
    <w:rsid w:val="00C85E5A"/>
    <w:rsid w:val="00C85EB8"/>
    <w:rsid w:val="00C85FBD"/>
    <w:rsid w:val="00C874DE"/>
    <w:rsid w:val="00C87F15"/>
    <w:rsid w:val="00C87F9F"/>
    <w:rsid w:val="00C9018F"/>
    <w:rsid w:val="00C922B5"/>
    <w:rsid w:val="00C92A77"/>
    <w:rsid w:val="00C933E2"/>
    <w:rsid w:val="00C93734"/>
    <w:rsid w:val="00C93DE1"/>
    <w:rsid w:val="00C940BD"/>
    <w:rsid w:val="00C94F33"/>
    <w:rsid w:val="00C95C9D"/>
    <w:rsid w:val="00C960DB"/>
    <w:rsid w:val="00C967BA"/>
    <w:rsid w:val="00C97CF8"/>
    <w:rsid w:val="00CA030A"/>
    <w:rsid w:val="00CA03BD"/>
    <w:rsid w:val="00CA0FF6"/>
    <w:rsid w:val="00CA1D98"/>
    <w:rsid w:val="00CA1FCB"/>
    <w:rsid w:val="00CA29C9"/>
    <w:rsid w:val="00CA3046"/>
    <w:rsid w:val="00CA3CE7"/>
    <w:rsid w:val="00CA46CE"/>
    <w:rsid w:val="00CA531B"/>
    <w:rsid w:val="00CA5532"/>
    <w:rsid w:val="00CA5566"/>
    <w:rsid w:val="00CA5ED2"/>
    <w:rsid w:val="00CA6878"/>
    <w:rsid w:val="00CA701A"/>
    <w:rsid w:val="00CA797D"/>
    <w:rsid w:val="00CA7E81"/>
    <w:rsid w:val="00CB040C"/>
    <w:rsid w:val="00CB1960"/>
    <w:rsid w:val="00CB199C"/>
    <w:rsid w:val="00CB1C8D"/>
    <w:rsid w:val="00CB1C95"/>
    <w:rsid w:val="00CB216E"/>
    <w:rsid w:val="00CB2C56"/>
    <w:rsid w:val="00CB2EF3"/>
    <w:rsid w:val="00CB4928"/>
    <w:rsid w:val="00CB65B0"/>
    <w:rsid w:val="00CB65B3"/>
    <w:rsid w:val="00CB6864"/>
    <w:rsid w:val="00CB7DB9"/>
    <w:rsid w:val="00CC0DFF"/>
    <w:rsid w:val="00CC153E"/>
    <w:rsid w:val="00CC212E"/>
    <w:rsid w:val="00CC5122"/>
    <w:rsid w:val="00CC5EDF"/>
    <w:rsid w:val="00CC6F71"/>
    <w:rsid w:val="00CD0AB6"/>
    <w:rsid w:val="00CD1E1A"/>
    <w:rsid w:val="00CD1EC2"/>
    <w:rsid w:val="00CD2346"/>
    <w:rsid w:val="00CD292F"/>
    <w:rsid w:val="00CD3446"/>
    <w:rsid w:val="00CD5353"/>
    <w:rsid w:val="00CD78F4"/>
    <w:rsid w:val="00CD79A1"/>
    <w:rsid w:val="00CE07DD"/>
    <w:rsid w:val="00CE0BA0"/>
    <w:rsid w:val="00CE1014"/>
    <w:rsid w:val="00CE1945"/>
    <w:rsid w:val="00CE281A"/>
    <w:rsid w:val="00CE294D"/>
    <w:rsid w:val="00CE2C86"/>
    <w:rsid w:val="00CE3E96"/>
    <w:rsid w:val="00CE536E"/>
    <w:rsid w:val="00CE5D62"/>
    <w:rsid w:val="00CE5DAD"/>
    <w:rsid w:val="00CE6E2D"/>
    <w:rsid w:val="00CE6F2A"/>
    <w:rsid w:val="00CE7E18"/>
    <w:rsid w:val="00CF0DF2"/>
    <w:rsid w:val="00CF2028"/>
    <w:rsid w:val="00CF229D"/>
    <w:rsid w:val="00CF3F7A"/>
    <w:rsid w:val="00CF4BFE"/>
    <w:rsid w:val="00CF4EC3"/>
    <w:rsid w:val="00CF53F6"/>
    <w:rsid w:val="00CF5985"/>
    <w:rsid w:val="00CF6CA4"/>
    <w:rsid w:val="00CF70E1"/>
    <w:rsid w:val="00CF712F"/>
    <w:rsid w:val="00CF7990"/>
    <w:rsid w:val="00CF7ECC"/>
    <w:rsid w:val="00D00C0E"/>
    <w:rsid w:val="00D01504"/>
    <w:rsid w:val="00D0155A"/>
    <w:rsid w:val="00D01BB0"/>
    <w:rsid w:val="00D0233D"/>
    <w:rsid w:val="00D02ACA"/>
    <w:rsid w:val="00D02CF3"/>
    <w:rsid w:val="00D02D65"/>
    <w:rsid w:val="00D048E0"/>
    <w:rsid w:val="00D0496E"/>
    <w:rsid w:val="00D04C52"/>
    <w:rsid w:val="00D05972"/>
    <w:rsid w:val="00D05AB4"/>
    <w:rsid w:val="00D05C9A"/>
    <w:rsid w:val="00D05F20"/>
    <w:rsid w:val="00D065D5"/>
    <w:rsid w:val="00D07C49"/>
    <w:rsid w:val="00D07D37"/>
    <w:rsid w:val="00D10143"/>
    <w:rsid w:val="00D10470"/>
    <w:rsid w:val="00D1154D"/>
    <w:rsid w:val="00D119B6"/>
    <w:rsid w:val="00D12785"/>
    <w:rsid w:val="00D13353"/>
    <w:rsid w:val="00D13A95"/>
    <w:rsid w:val="00D13BFF"/>
    <w:rsid w:val="00D14045"/>
    <w:rsid w:val="00D14470"/>
    <w:rsid w:val="00D14736"/>
    <w:rsid w:val="00D1543B"/>
    <w:rsid w:val="00D1588C"/>
    <w:rsid w:val="00D15B5D"/>
    <w:rsid w:val="00D16668"/>
    <w:rsid w:val="00D176BC"/>
    <w:rsid w:val="00D179DD"/>
    <w:rsid w:val="00D200B3"/>
    <w:rsid w:val="00D20109"/>
    <w:rsid w:val="00D20245"/>
    <w:rsid w:val="00D20CBC"/>
    <w:rsid w:val="00D20DFB"/>
    <w:rsid w:val="00D215E6"/>
    <w:rsid w:val="00D2358A"/>
    <w:rsid w:val="00D236ED"/>
    <w:rsid w:val="00D24CF6"/>
    <w:rsid w:val="00D24E0A"/>
    <w:rsid w:val="00D24E13"/>
    <w:rsid w:val="00D25260"/>
    <w:rsid w:val="00D262C8"/>
    <w:rsid w:val="00D26307"/>
    <w:rsid w:val="00D26852"/>
    <w:rsid w:val="00D26C5B"/>
    <w:rsid w:val="00D272BE"/>
    <w:rsid w:val="00D30207"/>
    <w:rsid w:val="00D305BF"/>
    <w:rsid w:val="00D3112A"/>
    <w:rsid w:val="00D323B6"/>
    <w:rsid w:val="00D33333"/>
    <w:rsid w:val="00D33B21"/>
    <w:rsid w:val="00D33C63"/>
    <w:rsid w:val="00D34865"/>
    <w:rsid w:val="00D351B3"/>
    <w:rsid w:val="00D36103"/>
    <w:rsid w:val="00D3651F"/>
    <w:rsid w:val="00D37533"/>
    <w:rsid w:val="00D37A55"/>
    <w:rsid w:val="00D40088"/>
    <w:rsid w:val="00D4117D"/>
    <w:rsid w:val="00D41400"/>
    <w:rsid w:val="00D42123"/>
    <w:rsid w:val="00D44E3F"/>
    <w:rsid w:val="00D45685"/>
    <w:rsid w:val="00D457F6"/>
    <w:rsid w:val="00D465A1"/>
    <w:rsid w:val="00D467E8"/>
    <w:rsid w:val="00D47336"/>
    <w:rsid w:val="00D47A09"/>
    <w:rsid w:val="00D50194"/>
    <w:rsid w:val="00D50719"/>
    <w:rsid w:val="00D50A9D"/>
    <w:rsid w:val="00D50FF5"/>
    <w:rsid w:val="00D518A2"/>
    <w:rsid w:val="00D51CF8"/>
    <w:rsid w:val="00D51F17"/>
    <w:rsid w:val="00D52DDF"/>
    <w:rsid w:val="00D532F8"/>
    <w:rsid w:val="00D53D7C"/>
    <w:rsid w:val="00D57402"/>
    <w:rsid w:val="00D57CED"/>
    <w:rsid w:val="00D61996"/>
    <w:rsid w:val="00D6267D"/>
    <w:rsid w:val="00D63629"/>
    <w:rsid w:val="00D6453A"/>
    <w:rsid w:val="00D66910"/>
    <w:rsid w:val="00D66974"/>
    <w:rsid w:val="00D66C14"/>
    <w:rsid w:val="00D66D38"/>
    <w:rsid w:val="00D67241"/>
    <w:rsid w:val="00D708F3"/>
    <w:rsid w:val="00D70933"/>
    <w:rsid w:val="00D7098B"/>
    <w:rsid w:val="00D71387"/>
    <w:rsid w:val="00D72EFC"/>
    <w:rsid w:val="00D755BF"/>
    <w:rsid w:val="00D75F04"/>
    <w:rsid w:val="00D76105"/>
    <w:rsid w:val="00D761FA"/>
    <w:rsid w:val="00D76F13"/>
    <w:rsid w:val="00D80CBB"/>
    <w:rsid w:val="00D81ADC"/>
    <w:rsid w:val="00D81ADE"/>
    <w:rsid w:val="00D81F6B"/>
    <w:rsid w:val="00D82D26"/>
    <w:rsid w:val="00D83771"/>
    <w:rsid w:val="00D85D4F"/>
    <w:rsid w:val="00D8710B"/>
    <w:rsid w:val="00D90331"/>
    <w:rsid w:val="00D91596"/>
    <w:rsid w:val="00D9193B"/>
    <w:rsid w:val="00D91A89"/>
    <w:rsid w:val="00D91CD4"/>
    <w:rsid w:val="00D91DF4"/>
    <w:rsid w:val="00D928E0"/>
    <w:rsid w:val="00D92A8A"/>
    <w:rsid w:val="00D92ED7"/>
    <w:rsid w:val="00D94100"/>
    <w:rsid w:val="00D95D67"/>
    <w:rsid w:val="00D96B9F"/>
    <w:rsid w:val="00D96F01"/>
    <w:rsid w:val="00D97546"/>
    <w:rsid w:val="00DA0054"/>
    <w:rsid w:val="00DA0876"/>
    <w:rsid w:val="00DA0AFE"/>
    <w:rsid w:val="00DA1EAB"/>
    <w:rsid w:val="00DA23F7"/>
    <w:rsid w:val="00DA2AC1"/>
    <w:rsid w:val="00DA2F85"/>
    <w:rsid w:val="00DA3459"/>
    <w:rsid w:val="00DA4A5D"/>
    <w:rsid w:val="00DA4DA6"/>
    <w:rsid w:val="00DA641B"/>
    <w:rsid w:val="00DB101A"/>
    <w:rsid w:val="00DB31C9"/>
    <w:rsid w:val="00DB378A"/>
    <w:rsid w:val="00DB37FD"/>
    <w:rsid w:val="00DB3AFE"/>
    <w:rsid w:val="00DB425A"/>
    <w:rsid w:val="00DB4845"/>
    <w:rsid w:val="00DB4CE1"/>
    <w:rsid w:val="00DB5005"/>
    <w:rsid w:val="00DB6234"/>
    <w:rsid w:val="00DB62B7"/>
    <w:rsid w:val="00DB6372"/>
    <w:rsid w:val="00DB6373"/>
    <w:rsid w:val="00DB6BD1"/>
    <w:rsid w:val="00DC119D"/>
    <w:rsid w:val="00DC26AC"/>
    <w:rsid w:val="00DC2BCB"/>
    <w:rsid w:val="00DC32CA"/>
    <w:rsid w:val="00DC4521"/>
    <w:rsid w:val="00DC5268"/>
    <w:rsid w:val="00DC5F10"/>
    <w:rsid w:val="00DC7068"/>
    <w:rsid w:val="00DC724A"/>
    <w:rsid w:val="00DC7812"/>
    <w:rsid w:val="00DD043D"/>
    <w:rsid w:val="00DD07DD"/>
    <w:rsid w:val="00DD170F"/>
    <w:rsid w:val="00DD27EA"/>
    <w:rsid w:val="00DD2D8E"/>
    <w:rsid w:val="00DD2DBB"/>
    <w:rsid w:val="00DD3602"/>
    <w:rsid w:val="00DD3F6C"/>
    <w:rsid w:val="00DD4ACE"/>
    <w:rsid w:val="00DD5353"/>
    <w:rsid w:val="00DD543E"/>
    <w:rsid w:val="00DD632E"/>
    <w:rsid w:val="00DD650C"/>
    <w:rsid w:val="00DD7653"/>
    <w:rsid w:val="00DD7D0C"/>
    <w:rsid w:val="00DE1FC2"/>
    <w:rsid w:val="00DE2E92"/>
    <w:rsid w:val="00DE31A4"/>
    <w:rsid w:val="00DE3522"/>
    <w:rsid w:val="00DE3673"/>
    <w:rsid w:val="00DE4553"/>
    <w:rsid w:val="00DE5EFC"/>
    <w:rsid w:val="00DE5EFD"/>
    <w:rsid w:val="00DE67AE"/>
    <w:rsid w:val="00DE6806"/>
    <w:rsid w:val="00DE737F"/>
    <w:rsid w:val="00DE7943"/>
    <w:rsid w:val="00DE7A56"/>
    <w:rsid w:val="00DE7C25"/>
    <w:rsid w:val="00DE7CE0"/>
    <w:rsid w:val="00DF0683"/>
    <w:rsid w:val="00DF084E"/>
    <w:rsid w:val="00DF116E"/>
    <w:rsid w:val="00DF128A"/>
    <w:rsid w:val="00DF1696"/>
    <w:rsid w:val="00DF1CD7"/>
    <w:rsid w:val="00DF2B6E"/>
    <w:rsid w:val="00DF341B"/>
    <w:rsid w:val="00DF401B"/>
    <w:rsid w:val="00DF4138"/>
    <w:rsid w:val="00DF4BBE"/>
    <w:rsid w:val="00DF7987"/>
    <w:rsid w:val="00E004D9"/>
    <w:rsid w:val="00E00D7C"/>
    <w:rsid w:val="00E01672"/>
    <w:rsid w:val="00E0225A"/>
    <w:rsid w:val="00E025F7"/>
    <w:rsid w:val="00E032ED"/>
    <w:rsid w:val="00E03397"/>
    <w:rsid w:val="00E036A6"/>
    <w:rsid w:val="00E0374D"/>
    <w:rsid w:val="00E03A8A"/>
    <w:rsid w:val="00E04BA1"/>
    <w:rsid w:val="00E05434"/>
    <w:rsid w:val="00E05C6E"/>
    <w:rsid w:val="00E06513"/>
    <w:rsid w:val="00E07937"/>
    <w:rsid w:val="00E0799A"/>
    <w:rsid w:val="00E07D21"/>
    <w:rsid w:val="00E102EC"/>
    <w:rsid w:val="00E117E4"/>
    <w:rsid w:val="00E11F6B"/>
    <w:rsid w:val="00E14400"/>
    <w:rsid w:val="00E14F0C"/>
    <w:rsid w:val="00E15644"/>
    <w:rsid w:val="00E169C4"/>
    <w:rsid w:val="00E16FF3"/>
    <w:rsid w:val="00E178D4"/>
    <w:rsid w:val="00E2191A"/>
    <w:rsid w:val="00E219F6"/>
    <w:rsid w:val="00E222E7"/>
    <w:rsid w:val="00E22678"/>
    <w:rsid w:val="00E22898"/>
    <w:rsid w:val="00E23A09"/>
    <w:rsid w:val="00E24EF9"/>
    <w:rsid w:val="00E2620C"/>
    <w:rsid w:val="00E26C04"/>
    <w:rsid w:val="00E2755F"/>
    <w:rsid w:val="00E342F5"/>
    <w:rsid w:val="00E3454F"/>
    <w:rsid w:val="00E34B78"/>
    <w:rsid w:val="00E34DD0"/>
    <w:rsid w:val="00E34EA7"/>
    <w:rsid w:val="00E34EFF"/>
    <w:rsid w:val="00E355F7"/>
    <w:rsid w:val="00E36247"/>
    <w:rsid w:val="00E364AF"/>
    <w:rsid w:val="00E367FD"/>
    <w:rsid w:val="00E36FD4"/>
    <w:rsid w:val="00E40858"/>
    <w:rsid w:val="00E40DC9"/>
    <w:rsid w:val="00E413F0"/>
    <w:rsid w:val="00E41828"/>
    <w:rsid w:val="00E428B4"/>
    <w:rsid w:val="00E43727"/>
    <w:rsid w:val="00E43BB1"/>
    <w:rsid w:val="00E43BEF"/>
    <w:rsid w:val="00E43C5F"/>
    <w:rsid w:val="00E45150"/>
    <w:rsid w:val="00E45575"/>
    <w:rsid w:val="00E50D49"/>
    <w:rsid w:val="00E50F76"/>
    <w:rsid w:val="00E51A1F"/>
    <w:rsid w:val="00E5214D"/>
    <w:rsid w:val="00E524B1"/>
    <w:rsid w:val="00E52627"/>
    <w:rsid w:val="00E52868"/>
    <w:rsid w:val="00E532B5"/>
    <w:rsid w:val="00E5341A"/>
    <w:rsid w:val="00E53906"/>
    <w:rsid w:val="00E53B26"/>
    <w:rsid w:val="00E53EF0"/>
    <w:rsid w:val="00E540CD"/>
    <w:rsid w:val="00E54931"/>
    <w:rsid w:val="00E55011"/>
    <w:rsid w:val="00E550BB"/>
    <w:rsid w:val="00E55559"/>
    <w:rsid w:val="00E557C9"/>
    <w:rsid w:val="00E55DB7"/>
    <w:rsid w:val="00E56623"/>
    <w:rsid w:val="00E5673A"/>
    <w:rsid w:val="00E5711C"/>
    <w:rsid w:val="00E57937"/>
    <w:rsid w:val="00E613B7"/>
    <w:rsid w:val="00E61AB2"/>
    <w:rsid w:val="00E61CB1"/>
    <w:rsid w:val="00E623EE"/>
    <w:rsid w:val="00E62ECF"/>
    <w:rsid w:val="00E6361C"/>
    <w:rsid w:val="00E65BF7"/>
    <w:rsid w:val="00E70D89"/>
    <w:rsid w:val="00E70EE3"/>
    <w:rsid w:val="00E718B1"/>
    <w:rsid w:val="00E71BCD"/>
    <w:rsid w:val="00E72BA0"/>
    <w:rsid w:val="00E736CD"/>
    <w:rsid w:val="00E73F87"/>
    <w:rsid w:val="00E74C18"/>
    <w:rsid w:val="00E750D9"/>
    <w:rsid w:val="00E759C0"/>
    <w:rsid w:val="00E75C7B"/>
    <w:rsid w:val="00E765F8"/>
    <w:rsid w:val="00E76A0B"/>
    <w:rsid w:val="00E777CA"/>
    <w:rsid w:val="00E779EF"/>
    <w:rsid w:val="00E77FD5"/>
    <w:rsid w:val="00E805D0"/>
    <w:rsid w:val="00E8174F"/>
    <w:rsid w:val="00E81E18"/>
    <w:rsid w:val="00E833E9"/>
    <w:rsid w:val="00E83969"/>
    <w:rsid w:val="00E83A37"/>
    <w:rsid w:val="00E83CDE"/>
    <w:rsid w:val="00E85033"/>
    <w:rsid w:val="00E85369"/>
    <w:rsid w:val="00E857C5"/>
    <w:rsid w:val="00E85DCC"/>
    <w:rsid w:val="00E8635E"/>
    <w:rsid w:val="00E874D5"/>
    <w:rsid w:val="00E902C9"/>
    <w:rsid w:val="00E90621"/>
    <w:rsid w:val="00E90969"/>
    <w:rsid w:val="00E90DB4"/>
    <w:rsid w:val="00E917BB"/>
    <w:rsid w:val="00E924AD"/>
    <w:rsid w:val="00E93024"/>
    <w:rsid w:val="00E93B8E"/>
    <w:rsid w:val="00E9445B"/>
    <w:rsid w:val="00E945AF"/>
    <w:rsid w:val="00E95100"/>
    <w:rsid w:val="00E95737"/>
    <w:rsid w:val="00E96040"/>
    <w:rsid w:val="00E96E73"/>
    <w:rsid w:val="00E974BA"/>
    <w:rsid w:val="00EA02BF"/>
    <w:rsid w:val="00EA0340"/>
    <w:rsid w:val="00EA1447"/>
    <w:rsid w:val="00EA14C8"/>
    <w:rsid w:val="00EA1543"/>
    <w:rsid w:val="00EA173A"/>
    <w:rsid w:val="00EA32AB"/>
    <w:rsid w:val="00EA4403"/>
    <w:rsid w:val="00EA4C3B"/>
    <w:rsid w:val="00EA4D75"/>
    <w:rsid w:val="00EA6D0E"/>
    <w:rsid w:val="00EA7590"/>
    <w:rsid w:val="00EB0520"/>
    <w:rsid w:val="00EB2406"/>
    <w:rsid w:val="00EB25B1"/>
    <w:rsid w:val="00EB2619"/>
    <w:rsid w:val="00EB2D96"/>
    <w:rsid w:val="00EB3B70"/>
    <w:rsid w:val="00EB4F02"/>
    <w:rsid w:val="00EB4FE2"/>
    <w:rsid w:val="00EB5144"/>
    <w:rsid w:val="00EB5D26"/>
    <w:rsid w:val="00EB69F2"/>
    <w:rsid w:val="00EC1198"/>
    <w:rsid w:val="00EC1B45"/>
    <w:rsid w:val="00EC1CC5"/>
    <w:rsid w:val="00EC23FD"/>
    <w:rsid w:val="00EC27D7"/>
    <w:rsid w:val="00EC333A"/>
    <w:rsid w:val="00EC3CDD"/>
    <w:rsid w:val="00EC4920"/>
    <w:rsid w:val="00EC68DD"/>
    <w:rsid w:val="00ED050A"/>
    <w:rsid w:val="00ED09D3"/>
    <w:rsid w:val="00ED0E73"/>
    <w:rsid w:val="00ED1123"/>
    <w:rsid w:val="00ED19EE"/>
    <w:rsid w:val="00ED2855"/>
    <w:rsid w:val="00ED3014"/>
    <w:rsid w:val="00ED33A0"/>
    <w:rsid w:val="00ED3AB6"/>
    <w:rsid w:val="00ED431F"/>
    <w:rsid w:val="00ED49C8"/>
    <w:rsid w:val="00ED7A93"/>
    <w:rsid w:val="00ED7F57"/>
    <w:rsid w:val="00EE0722"/>
    <w:rsid w:val="00EE1AAE"/>
    <w:rsid w:val="00EE26C4"/>
    <w:rsid w:val="00EE30D3"/>
    <w:rsid w:val="00EE34A0"/>
    <w:rsid w:val="00EE3854"/>
    <w:rsid w:val="00EE39CE"/>
    <w:rsid w:val="00EE3BA8"/>
    <w:rsid w:val="00EE3DD6"/>
    <w:rsid w:val="00EE4761"/>
    <w:rsid w:val="00EE49C9"/>
    <w:rsid w:val="00EE53F1"/>
    <w:rsid w:val="00EE5A04"/>
    <w:rsid w:val="00EE5A92"/>
    <w:rsid w:val="00EE6223"/>
    <w:rsid w:val="00EE6A20"/>
    <w:rsid w:val="00EE7A11"/>
    <w:rsid w:val="00EF075B"/>
    <w:rsid w:val="00EF134B"/>
    <w:rsid w:val="00EF13B1"/>
    <w:rsid w:val="00EF1AB3"/>
    <w:rsid w:val="00EF2F16"/>
    <w:rsid w:val="00EF3362"/>
    <w:rsid w:val="00EF456C"/>
    <w:rsid w:val="00EF4AB6"/>
    <w:rsid w:val="00EF4CD7"/>
    <w:rsid w:val="00EF521A"/>
    <w:rsid w:val="00EF56DF"/>
    <w:rsid w:val="00EF653A"/>
    <w:rsid w:val="00EF65D8"/>
    <w:rsid w:val="00EF6666"/>
    <w:rsid w:val="00EF6AC5"/>
    <w:rsid w:val="00EF7831"/>
    <w:rsid w:val="00F00292"/>
    <w:rsid w:val="00F004F1"/>
    <w:rsid w:val="00F005B4"/>
    <w:rsid w:val="00F01550"/>
    <w:rsid w:val="00F0175A"/>
    <w:rsid w:val="00F017F1"/>
    <w:rsid w:val="00F01912"/>
    <w:rsid w:val="00F030EA"/>
    <w:rsid w:val="00F04EF4"/>
    <w:rsid w:val="00F0502A"/>
    <w:rsid w:val="00F0544F"/>
    <w:rsid w:val="00F054A7"/>
    <w:rsid w:val="00F05528"/>
    <w:rsid w:val="00F068E2"/>
    <w:rsid w:val="00F06A09"/>
    <w:rsid w:val="00F06CCB"/>
    <w:rsid w:val="00F07446"/>
    <w:rsid w:val="00F07711"/>
    <w:rsid w:val="00F07B5D"/>
    <w:rsid w:val="00F105EF"/>
    <w:rsid w:val="00F119A4"/>
    <w:rsid w:val="00F12B1E"/>
    <w:rsid w:val="00F12DC2"/>
    <w:rsid w:val="00F137B5"/>
    <w:rsid w:val="00F13B22"/>
    <w:rsid w:val="00F14128"/>
    <w:rsid w:val="00F14E3F"/>
    <w:rsid w:val="00F1503A"/>
    <w:rsid w:val="00F15498"/>
    <w:rsid w:val="00F16469"/>
    <w:rsid w:val="00F16FF7"/>
    <w:rsid w:val="00F17BD1"/>
    <w:rsid w:val="00F20283"/>
    <w:rsid w:val="00F2057A"/>
    <w:rsid w:val="00F20FDC"/>
    <w:rsid w:val="00F21246"/>
    <w:rsid w:val="00F21397"/>
    <w:rsid w:val="00F21687"/>
    <w:rsid w:val="00F24551"/>
    <w:rsid w:val="00F24649"/>
    <w:rsid w:val="00F24767"/>
    <w:rsid w:val="00F2498E"/>
    <w:rsid w:val="00F24A1A"/>
    <w:rsid w:val="00F24D0F"/>
    <w:rsid w:val="00F25EE5"/>
    <w:rsid w:val="00F26A0D"/>
    <w:rsid w:val="00F271E2"/>
    <w:rsid w:val="00F27CF6"/>
    <w:rsid w:val="00F30787"/>
    <w:rsid w:val="00F31859"/>
    <w:rsid w:val="00F319C7"/>
    <w:rsid w:val="00F31B35"/>
    <w:rsid w:val="00F33A56"/>
    <w:rsid w:val="00F33A7D"/>
    <w:rsid w:val="00F34F7C"/>
    <w:rsid w:val="00F35418"/>
    <w:rsid w:val="00F35B0D"/>
    <w:rsid w:val="00F35E85"/>
    <w:rsid w:val="00F36829"/>
    <w:rsid w:val="00F3776C"/>
    <w:rsid w:val="00F402FF"/>
    <w:rsid w:val="00F415AC"/>
    <w:rsid w:val="00F419E3"/>
    <w:rsid w:val="00F41B2C"/>
    <w:rsid w:val="00F43449"/>
    <w:rsid w:val="00F43DC9"/>
    <w:rsid w:val="00F441C9"/>
    <w:rsid w:val="00F45370"/>
    <w:rsid w:val="00F455CF"/>
    <w:rsid w:val="00F45A89"/>
    <w:rsid w:val="00F462FD"/>
    <w:rsid w:val="00F47FB5"/>
    <w:rsid w:val="00F515CB"/>
    <w:rsid w:val="00F521E0"/>
    <w:rsid w:val="00F54173"/>
    <w:rsid w:val="00F54227"/>
    <w:rsid w:val="00F5460C"/>
    <w:rsid w:val="00F566E1"/>
    <w:rsid w:val="00F606E5"/>
    <w:rsid w:val="00F6162F"/>
    <w:rsid w:val="00F61AED"/>
    <w:rsid w:val="00F63E20"/>
    <w:rsid w:val="00F63EDB"/>
    <w:rsid w:val="00F63EF7"/>
    <w:rsid w:val="00F640E8"/>
    <w:rsid w:val="00F65587"/>
    <w:rsid w:val="00F6598C"/>
    <w:rsid w:val="00F65B8A"/>
    <w:rsid w:val="00F65C1D"/>
    <w:rsid w:val="00F6603A"/>
    <w:rsid w:val="00F6644E"/>
    <w:rsid w:val="00F66EF4"/>
    <w:rsid w:val="00F7042D"/>
    <w:rsid w:val="00F70C61"/>
    <w:rsid w:val="00F71D7D"/>
    <w:rsid w:val="00F71EC4"/>
    <w:rsid w:val="00F7251E"/>
    <w:rsid w:val="00F72CA7"/>
    <w:rsid w:val="00F73342"/>
    <w:rsid w:val="00F73379"/>
    <w:rsid w:val="00F73A98"/>
    <w:rsid w:val="00F73E3E"/>
    <w:rsid w:val="00F74663"/>
    <w:rsid w:val="00F746A0"/>
    <w:rsid w:val="00F754BA"/>
    <w:rsid w:val="00F75787"/>
    <w:rsid w:val="00F76345"/>
    <w:rsid w:val="00F80246"/>
    <w:rsid w:val="00F812B0"/>
    <w:rsid w:val="00F81936"/>
    <w:rsid w:val="00F8268F"/>
    <w:rsid w:val="00F83473"/>
    <w:rsid w:val="00F839DF"/>
    <w:rsid w:val="00F83F73"/>
    <w:rsid w:val="00F842F5"/>
    <w:rsid w:val="00F8440A"/>
    <w:rsid w:val="00F84E71"/>
    <w:rsid w:val="00F86F04"/>
    <w:rsid w:val="00F92553"/>
    <w:rsid w:val="00F933BB"/>
    <w:rsid w:val="00F93438"/>
    <w:rsid w:val="00F941BC"/>
    <w:rsid w:val="00F94459"/>
    <w:rsid w:val="00F944C0"/>
    <w:rsid w:val="00F95E55"/>
    <w:rsid w:val="00F9670B"/>
    <w:rsid w:val="00F96C4D"/>
    <w:rsid w:val="00F973B5"/>
    <w:rsid w:val="00F976A9"/>
    <w:rsid w:val="00F978BD"/>
    <w:rsid w:val="00FA0187"/>
    <w:rsid w:val="00FA1E54"/>
    <w:rsid w:val="00FA29A9"/>
    <w:rsid w:val="00FA32F4"/>
    <w:rsid w:val="00FA4330"/>
    <w:rsid w:val="00FA49A9"/>
    <w:rsid w:val="00FA49C8"/>
    <w:rsid w:val="00FA4AC7"/>
    <w:rsid w:val="00FA51A7"/>
    <w:rsid w:val="00FA6A0A"/>
    <w:rsid w:val="00FA6AC8"/>
    <w:rsid w:val="00FA706E"/>
    <w:rsid w:val="00FB0274"/>
    <w:rsid w:val="00FB0C14"/>
    <w:rsid w:val="00FB1168"/>
    <w:rsid w:val="00FB1C38"/>
    <w:rsid w:val="00FB2174"/>
    <w:rsid w:val="00FB3090"/>
    <w:rsid w:val="00FB68D0"/>
    <w:rsid w:val="00FB75F0"/>
    <w:rsid w:val="00FB7A5F"/>
    <w:rsid w:val="00FC04CC"/>
    <w:rsid w:val="00FC0E62"/>
    <w:rsid w:val="00FC157B"/>
    <w:rsid w:val="00FC18FE"/>
    <w:rsid w:val="00FC256A"/>
    <w:rsid w:val="00FC26CA"/>
    <w:rsid w:val="00FC3B0E"/>
    <w:rsid w:val="00FC43DA"/>
    <w:rsid w:val="00FC46C5"/>
    <w:rsid w:val="00FC4927"/>
    <w:rsid w:val="00FC50A5"/>
    <w:rsid w:val="00FC7218"/>
    <w:rsid w:val="00FC7234"/>
    <w:rsid w:val="00FC7599"/>
    <w:rsid w:val="00FC7A2F"/>
    <w:rsid w:val="00FC7F62"/>
    <w:rsid w:val="00FC7FB4"/>
    <w:rsid w:val="00FD012D"/>
    <w:rsid w:val="00FD018A"/>
    <w:rsid w:val="00FD096C"/>
    <w:rsid w:val="00FD0D65"/>
    <w:rsid w:val="00FD1417"/>
    <w:rsid w:val="00FD211D"/>
    <w:rsid w:val="00FD3666"/>
    <w:rsid w:val="00FD4008"/>
    <w:rsid w:val="00FD4059"/>
    <w:rsid w:val="00FD4DA7"/>
    <w:rsid w:val="00FD5A00"/>
    <w:rsid w:val="00FD60CC"/>
    <w:rsid w:val="00FD6826"/>
    <w:rsid w:val="00FD6A98"/>
    <w:rsid w:val="00FD6D24"/>
    <w:rsid w:val="00FD71CD"/>
    <w:rsid w:val="00FD7438"/>
    <w:rsid w:val="00FD762F"/>
    <w:rsid w:val="00FD79B9"/>
    <w:rsid w:val="00FE0269"/>
    <w:rsid w:val="00FE0DF6"/>
    <w:rsid w:val="00FE1914"/>
    <w:rsid w:val="00FE296F"/>
    <w:rsid w:val="00FE35E1"/>
    <w:rsid w:val="00FE6160"/>
    <w:rsid w:val="00FE6B3D"/>
    <w:rsid w:val="00FE70A4"/>
    <w:rsid w:val="00FF021B"/>
    <w:rsid w:val="00FF09B7"/>
    <w:rsid w:val="00FF0D72"/>
    <w:rsid w:val="00FF0F3E"/>
    <w:rsid w:val="00FF175B"/>
    <w:rsid w:val="00FF2E31"/>
    <w:rsid w:val="00FF333B"/>
    <w:rsid w:val="00FF37E0"/>
    <w:rsid w:val="00FF5E76"/>
    <w:rsid w:val="00FF67E6"/>
    <w:rsid w:val="00FF6CE1"/>
    <w:rsid w:val="00FF6CEA"/>
    <w:rsid w:val="00FF6EAE"/>
    <w:rsid w:val="00FF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105EF"/>
    <w:pPr>
      <w:spacing w:before="120"/>
      <w:ind w:left="1440"/>
      <w:outlineLvl w:val="2"/>
    </w:pPr>
  </w:style>
  <w:style w:type="paragraph" w:styleId="Heading4">
    <w:name w:val="heading 4"/>
    <w:aliases w:val="h4"/>
    <w:basedOn w:val="Heading3"/>
    <w:next w:val="Normal"/>
    <w:link w:val="Heading4Char"/>
    <w:uiPriority w:val="99"/>
    <w:qFormat/>
    <w:rsid w:val="00F105EF"/>
    <w:pPr>
      <w:ind w:left="2160"/>
      <w:outlineLvl w:val="3"/>
    </w:pPr>
  </w:style>
  <w:style w:type="paragraph" w:styleId="Heading5">
    <w:name w:val="heading 5"/>
    <w:aliases w:val="h5"/>
    <w:basedOn w:val="Heading4"/>
    <w:next w:val="Normal"/>
    <w:link w:val="Heading5Char"/>
    <w:uiPriority w:val="99"/>
    <w:qFormat/>
    <w:rsid w:val="00F105EF"/>
    <w:pPr>
      <w:ind w:left="2880"/>
      <w:outlineLvl w:val="4"/>
    </w:pPr>
  </w:style>
  <w:style w:type="paragraph" w:styleId="Heading6">
    <w:name w:val="heading 6"/>
    <w:aliases w:val="h6"/>
    <w:basedOn w:val="Heading5"/>
    <w:next w:val="Normal"/>
    <w:link w:val="Heading6Char"/>
    <w:uiPriority w:val="99"/>
    <w:qFormat/>
    <w:rsid w:val="00F105EF"/>
    <w:pPr>
      <w:ind w:left="3600"/>
      <w:outlineLvl w:val="5"/>
    </w:pPr>
  </w:style>
  <w:style w:type="paragraph" w:styleId="Heading7">
    <w:name w:val="heading 7"/>
    <w:aliases w:val="h7"/>
    <w:basedOn w:val="Heading6"/>
    <w:next w:val="Normal"/>
    <w:link w:val="Heading7Char"/>
    <w:uiPriority w:val="99"/>
    <w:qFormat/>
    <w:rsid w:val="00F105EF"/>
    <w:pPr>
      <w:ind w:left="4320"/>
      <w:outlineLvl w:val="6"/>
    </w:pPr>
  </w:style>
  <w:style w:type="paragraph" w:styleId="Heading8">
    <w:name w:val="heading 8"/>
    <w:aliases w:val="h8"/>
    <w:basedOn w:val="Heading6"/>
    <w:next w:val="Normal"/>
    <w:link w:val="Heading8Char"/>
    <w:uiPriority w:val="99"/>
    <w:qFormat/>
    <w:rsid w:val="00F105EF"/>
    <w:pPr>
      <w:ind w:left="5040"/>
      <w:outlineLvl w:val="7"/>
    </w:pPr>
  </w:style>
  <w:style w:type="paragraph" w:styleId="Heading9">
    <w:name w:val="heading 9"/>
    <w:aliases w:val="h9"/>
    <w:basedOn w:val="Heading6"/>
    <w:next w:val="Normal"/>
    <w:link w:val="Heading9Char"/>
    <w:uiPriority w:val="99"/>
    <w:qFormat/>
    <w:rsid w:val="00F105E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b/>
      <w:sz w:val="24"/>
      <w:lang w:val="en-US" w:eastAsia="zh-CN"/>
    </w:rPr>
  </w:style>
  <w:style w:type="character" w:customStyle="1" w:styleId="Heading2Char">
    <w:name w:val="Heading 2 Char"/>
    <w:aliases w:val="h2 Char"/>
    <w:link w:val="Heading2"/>
    <w:uiPriority w:val="99"/>
    <w:locked/>
    <w:rsid w:val="00E05C6E"/>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sid w:val="000531FF"/>
    <w:rPr>
      <w:rFonts w:ascii="Cambria" w:hAnsi="Cambria"/>
      <w:b/>
      <w:sz w:val="26"/>
    </w:rPr>
  </w:style>
  <w:style w:type="character" w:customStyle="1" w:styleId="Heading4Char">
    <w:name w:val="Heading 4 Char"/>
    <w:aliases w:val="h4 Char"/>
    <w:link w:val="Heading4"/>
    <w:uiPriority w:val="99"/>
    <w:semiHidden/>
    <w:locked/>
    <w:rsid w:val="000531FF"/>
    <w:rPr>
      <w:rFonts w:ascii="Calibri" w:hAnsi="Calibri"/>
      <w:b/>
      <w:sz w:val="28"/>
    </w:rPr>
  </w:style>
  <w:style w:type="character" w:customStyle="1" w:styleId="Heading5Char">
    <w:name w:val="Heading 5 Char"/>
    <w:aliases w:val="h5 Char"/>
    <w:link w:val="Heading5"/>
    <w:uiPriority w:val="99"/>
    <w:semiHidden/>
    <w:locked/>
    <w:rsid w:val="000531FF"/>
    <w:rPr>
      <w:rFonts w:ascii="Calibri" w:hAnsi="Calibri"/>
      <w:b/>
      <w:i/>
      <w:sz w:val="26"/>
    </w:rPr>
  </w:style>
  <w:style w:type="character" w:customStyle="1" w:styleId="Heading6Char">
    <w:name w:val="Heading 6 Char"/>
    <w:aliases w:val="h6 Char"/>
    <w:link w:val="Heading6"/>
    <w:uiPriority w:val="99"/>
    <w:semiHidden/>
    <w:locked/>
    <w:rsid w:val="000531FF"/>
    <w:rPr>
      <w:rFonts w:ascii="Calibri" w:hAnsi="Calibri"/>
      <w:b/>
    </w:rPr>
  </w:style>
  <w:style w:type="character" w:customStyle="1" w:styleId="Heading7Char">
    <w:name w:val="Heading 7 Char"/>
    <w:aliases w:val="h7 Char"/>
    <w:link w:val="Heading7"/>
    <w:uiPriority w:val="99"/>
    <w:semiHidden/>
    <w:locked/>
    <w:rsid w:val="000531FF"/>
    <w:rPr>
      <w:rFonts w:ascii="Calibri" w:hAnsi="Calibri"/>
      <w:sz w:val="24"/>
    </w:rPr>
  </w:style>
  <w:style w:type="character" w:customStyle="1" w:styleId="Heading8Char">
    <w:name w:val="Heading 8 Char"/>
    <w:aliases w:val="h8 Char"/>
    <w:link w:val="Heading8"/>
    <w:uiPriority w:val="99"/>
    <w:semiHidden/>
    <w:locked/>
    <w:rsid w:val="000531FF"/>
    <w:rPr>
      <w:rFonts w:ascii="Calibri" w:hAnsi="Calibri"/>
      <w:i/>
      <w:sz w:val="24"/>
    </w:rPr>
  </w:style>
  <w:style w:type="character" w:customStyle="1" w:styleId="Heading9Char">
    <w:name w:val="Heading 9 Char"/>
    <w:aliases w:val="h9 Char"/>
    <w:link w:val="Heading9"/>
    <w:uiPriority w:val="99"/>
    <w:semiHidden/>
    <w:locked/>
    <w:rsid w:val="000531FF"/>
    <w:rPr>
      <w:rFonts w:ascii="Cambria" w:hAnsi="Cambria"/>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uiPriority w:val="99"/>
    <w:semiHidden/>
    <w:rsid w:val="00F105EF"/>
    <w:rPr>
      <w:rFonts w:ascii="Univers (WN)" w:hAnsi="Univers (W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link w:val="CommentText"/>
    <w:uiPriority w:val="99"/>
    <w:semiHidden/>
    <w:locked/>
    <w:rsid w:val="000531FF"/>
    <w:rPr>
      <w:rFonts w:ascii="Times New Roman" w:hAnsi="Times New Roman"/>
      <w:sz w:val="20"/>
    </w:rPr>
  </w:style>
  <w:style w:type="paragraph" w:styleId="FootnoteText">
    <w:name w:val="footnote text"/>
    <w:aliases w:val="Footnote Text1 Char,Footnote Text Char Ch,Footnote Text Char1,Footnote Text Char Char,Footnote Text Char1 Char,Footnote Text Char Char Char,Footnote Text Char1 Char Char Char,Footnote Text Char Char1 Char Char Char,TBG Style,fn,ft,FOOTNOTE"/>
    <w:basedOn w:val="single"/>
    <w:link w:val="FootnoteTextChar"/>
    <w:rsid w:val="00F105EF"/>
    <w:rPr>
      <w:sz w:val="22"/>
    </w:rPr>
  </w:style>
  <w:style w:type="character" w:customStyle="1" w:styleId="FootnoteTextChar">
    <w:name w:val="Footnote Text Char"/>
    <w:aliases w:val="Footnote Text1 Char Char,Footnote Text Char Ch Char,Footnote Text Char1 Char1,Footnote Text Char Char Char1,Footnote Text Char1 Char Char,Footnote Text Char Char Char Char,Footnote Text Char1 Char Char Char Char,TBG Style Char,fn Char"/>
    <w:link w:val="FootnoteText"/>
    <w:locked/>
    <w:rsid w:val="000531FF"/>
    <w:rPr>
      <w:rFonts w:ascii="Times New Roman" w:hAnsi="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39"/>
    <w:rsid w:val="00F105EF"/>
    <w:pPr>
      <w:ind w:left="2160"/>
    </w:pPr>
  </w:style>
  <w:style w:type="paragraph" w:styleId="TOC2">
    <w:name w:val="toc 2"/>
    <w:basedOn w:val="TOC1"/>
    <w:uiPriority w:val="39"/>
    <w:rsid w:val="00F105EF"/>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semiHidden/>
    <w:locked/>
    <w:rsid w:val="000531FF"/>
    <w:rPr>
      <w:rFonts w:ascii="Times New Roman" w:hAnsi="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semiHidden/>
    <w:locked/>
    <w:rsid w:val="000531FF"/>
    <w:rPr>
      <w:rFonts w:ascii="Times New Roman" w:hAnsi="Times New Roman"/>
      <w:sz w:val="24"/>
    </w:rPr>
  </w:style>
  <w:style w:type="character" w:styleId="FootnoteReference">
    <w:name w:val="footnote reference"/>
    <w:aliases w:val="o,fr,Style 3,o1,o2,o3,o4,o5,o6,o11,o21,o7"/>
    <w:uiPriority w:val="99"/>
    <w:rsid w:val="00F105EF"/>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rFonts w:ascii="Arial" w:hAnsi="Arial"/>
      <w:sz w:val="22"/>
    </w:rPr>
  </w:style>
  <w:style w:type="character" w:customStyle="1" w:styleId="BodyTextIndentChar">
    <w:name w:val="Body Text Indent Char"/>
    <w:link w:val="BodyTextIndent"/>
    <w:uiPriority w:val="99"/>
    <w:semiHidden/>
    <w:locked/>
    <w:rsid w:val="000531FF"/>
    <w:rPr>
      <w:rFonts w:ascii="Times New Roman" w:hAnsi="Times New Roman"/>
      <w:sz w:val="24"/>
    </w:rPr>
  </w:style>
  <w:style w:type="paragraph" w:styleId="BodyText">
    <w:name w:val="Body Text"/>
    <w:aliases w:val="bt"/>
    <w:basedOn w:val="Normal"/>
    <w:link w:val="BodyTextChar"/>
    <w:uiPriority w:val="99"/>
    <w:rsid w:val="00F105EF"/>
    <w:pPr>
      <w:jc w:val="both"/>
    </w:pPr>
    <w:rPr>
      <w:lang w:val="en-GB"/>
    </w:rPr>
  </w:style>
  <w:style w:type="character" w:customStyle="1" w:styleId="BodyTextChar">
    <w:name w:val="Body Text Char"/>
    <w:aliases w:val="bt Char"/>
    <w:link w:val="BodyText"/>
    <w:uiPriority w:val="99"/>
    <w:locked/>
    <w:rsid w:val="003A215A"/>
    <w:rPr>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paragraph" w:customStyle="1" w:styleId="q0">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sid w:val="000531FF"/>
    <w:rPr>
      <w:rFonts w:ascii="Times New Roman" w:hAnsi="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rFonts w:ascii="Times" w:hAnsi="Times"/>
    </w:rPr>
  </w:style>
  <w:style w:type="character" w:customStyle="1" w:styleId="BodyTextIndent3Char">
    <w:name w:val="Body Text Indent 3 Char"/>
    <w:link w:val="BodyTextIndent3"/>
    <w:uiPriority w:val="99"/>
    <w:semiHidden/>
    <w:locked/>
    <w:rsid w:val="000531FF"/>
    <w:rPr>
      <w:rFonts w:ascii="Times New Roman" w:hAnsi="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style>
  <w:style w:type="character" w:customStyle="1" w:styleId="BodyText2Char">
    <w:name w:val="Body Text 2 Char"/>
    <w:link w:val="BodyText2"/>
    <w:uiPriority w:val="99"/>
    <w:semiHidden/>
    <w:locked/>
    <w:rsid w:val="000531FF"/>
    <w:rPr>
      <w:rFonts w:ascii="Times New Roman" w:hAnsi="Times New Roman"/>
      <w:sz w:val="24"/>
    </w:rPr>
  </w:style>
  <w:style w:type="paragraph" w:styleId="BodyText3">
    <w:name w:val="Body Text 3"/>
    <w:basedOn w:val="Normal"/>
    <w:link w:val="BodyText3Char"/>
    <w:uiPriority w:val="99"/>
    <w:rsid w:val="00F105EF"/>
    <w:pPr>
      <w:spacing w:line="360" w:lineRule="auto"/>
      <w:ind w:right="-720"/>
    </w:pPr>
  </w:style>
  <w:style w:type="character" w:customStyle="1" w:styleId="BodyText3Char">
    <w:name w:val="Body Text 3 Char"/>
    <w:link w:val="BodyText3"/>
    <w:uiPriority w:val="99"/>
    <w:semiHidden/>
    <w:locked/>
    <w:rsid w:val="000531FF"/>
    <w:rPr>
      <w:rFonts w:ascii="Times New Roman" w:hAnsi="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uiPriority w:val="99"/>
    <w:rsid w:val="00F105EF"/>
    <w:rPr>
      <w:color w:val="0000FF"/>
      <w:u w:val="single"/>
    </w:rPr>
  </w:style>
  <w:style w:type="paragraph" w:customStyle="1" w:styleId="Default">
    <w:name w:val="Default"/>
    <w:rsid w:val="00F105EF"/>
    <w:rPr>
      <w:rFonts w:ascii="Garamond" w:hAnsi="Garamond" w:cs="Times New Roman"/>
      <w:color w:val="000000"/>
      <w:sz w:val="24"/>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rFonts w:ascii="Tahoma" w:hAnsi="Tahoma" w:cs="TheSerif 3-Light"/>
      <w:sz w:val="16"/>
      <w:szCs w:val="16"/>
    </w:rPr>
  </w:style>
  <w:style w:type="character" w:customStyle="1" w:styleId="BalloonTextChar">
    <w:name w:val="Balloon Text Char"/>
    <w:link w:val="BalloonText"/>
    <w:uiPriority w:val="99"/>
    <w:semiHidden/>
    <w:locked/>
    <w:rsid w:val="000531FF"/>
    <w:rPr>
      <w:rFonts w:ascii="Times New Roman" w:hAnsi="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1"/>
      </w:numPr>
      <w:spacing w:after="120"/>
      <w:ind w:right="1440"/>
    </w:pPr>
  </w:style>
  <w:style w:type="character" w:styleId="Strong">
    <w:name w:val="Strong"/>
    <w:uiPriority w:val="99"/>
    <w:qFormat/>
    <w:rsid w:val="00F105EF"/>
    <w:rPr>
      <w:b/>
    </w:rPr>
  </w:style>
  <w:style w:type="paragraph" w:styleId="Title">
    <w:name w:val="Title"/>
    <w:basedOn w:val="Normal"/>
    <w:link w:val="TitleChar"/>
    <w:uiPriority w:val="99"/>
    <w:qFormat/>
    <w:rsid w:val="00F105E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0531FF"/>
    <w:rPr>
      <w:rFonts w:ascii="Cambria" w:hAnsi="Cambria"/>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uiPriority w:val="99"/>
    <w:rsid w:val="00F105EF"/>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sid w:val="000531FF"/>
    <w:rPr>
      <w:rFonts w:ascii="Times New Roman" w:hAnsi="Times New Roman"/>
      <w:sz w:val="24"/>
      <w:lang w:val="en-GB"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sid w:val="000531FF"/>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0531FF"/>
    <w:rPr>
      <w:rFonts w:ascii="Times New Roman" w:hAnsi="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link w:val="CommentSubject"/>
    <w:uiPriority w:val="99"/>
    <w:semiHidden/>
    <w:locked/>
    <w:rsid w:val="000531FF"/>
    <w:rPr>
      <w:rFonts w:ascii="Times New Roman" w:hAnsi="Times New Roman"/>
      <w:b/>
      <w:sz w:val="20"/>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0531FF"/>
    <w:rPr>
      <w:rFonts w:ascii="Times New Roman" w:hAnsi="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sid w:val="000531FF"/>
    <w:rPr>
      <w:rFonts w:ascii="Times New Roman" w:hAnsi="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0531FF"/>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sid w:val="000531FF"/>
    <w:rPr>
      <w:rFonts w:ascii="Times New Roman" w:hAnsi="Times New Roman"/>
      <w:sz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0531FF"/>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sid w:val="000531FF"/>
    <w:rPr>
      <w:rFonts w:ascii="Courier New" w:hAnsi="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sid w:val="000531FF"/>
    <w:rPr>
      <w:rFonts w:ascii="Courier New" w:hAnsi="Courier New"/>
      <w:lang w:val="en-US"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0531FF"/>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0531FF"/>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semiHidden/>
    <w:locked/>
    <w:rsid w:val="000531FF"/>
    <w:rPr>
      <w:rFonts w:ascii="Courier New" w:hAnsi="Courier New"/>
      <w:sz w:val="20"/>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0531FF"/>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0531FF"/>
    <w:rPr>
      <w:rFonts w:ascii="Times New Roman" w:hAnsi="Times New Roman"/>
      <w:sz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link w:val="Subtitle"/>
    <w:uiPriority w:val="99"/>
    <w:locked/>
    <w:rsid w:val="000531FF"/>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59"/>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uiPriority w:val="99"/>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AB2143"/>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val="x-none" w:eastAsia="zh-CN"/>
    </w:rPr>
  </w:style>
  <w:style w:type="character" w:customStyle="1" w:styleId="singleblockChar">
    <w:name w:val="single block Char"/>
    <w:link w:val="singleblock"/>
    <w:uiPriority w:val="99"/>
    <w:locked/>
    <w:rsid w:val="007148BD"/>
    <w:rPr>
      <w:rFonts w:ascii="Times New Roman" w:eastAsia="SimSun" w:hAnsi="Times New Roman"/>
      <w:sz w:val="24"/>
      <w:lang w:val="x-none"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locked/>
    <w:rsid w:val="007148BD"/>
    <w:rPr>
      <w:rFonts w:ascii="Times New Roman" w:eastAsia="SimSun" w:hAnsi="Times New Roman"/>
      <w:b/>
      <w:sz w:val="24"/>
      <w:lang w:val="x-none"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uiPriority w:val="99"/>
    <w:qFormat/>
    <w:rsid w:val="00635256"/>
    <w:rPr>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uiPriority w:val="99"/>
    <w:semiHidden/>
    <w:rsid w:val="001772B0"/>
    <w:rPr>
      <w:vertAlign w:val="superscript"/>
    </w:rPr>
  </w:style>
  <w:style w:type="paragraph" w:styleId="ListParagraph">
    <w:name w:val="List Paragraph"/>
    <w:basedOn w:val="Normal"/>
    <w:uiPriority w:val="34"/>
    <w:qFormat/>
    <w:rsid w:val="00A13DFE"/>
    <w:pPr>
      <w:spacing w:line="480" w:lineRule="atLeast"/>
      <w:ind w:left="720" w:firstLine="720"/>
      <w:contextualSpacing/>
    </w:pPr>
    <w:rPr>
      <w:sz w:val="26"/>
      <w:szCs w:val="20"/>
      <w:lang w:eastAsia="zh-CN"/>
    </w:rPr>
  </w:style>
  <w:style w:type="character" w:customStyle="1" w:styleId="answerChar1">
    <w:name w:val="answer Char1"/>
    <w:rsid w:val="00A602CC"/>
    <w:rPr>
      <w:rFonts w:eastAsia="SimSun"/>
      <w:sz w:val="24"/>
      <w:szCs w:val="24"/>
      <w:lang w:val="en-US" w:eastAsia="zh-CN" w:bidi="ar-SA"/>
    </w:rPr>
  </w:style>
  <w:style w:type="paragraph" w:customStyle="1" w:styleId="PleadingsCont1">
    <w:name w:val="Pleadings Cont 1"/>
    <w:basedOn w:val="Normal"/>
    <w:link w:val="PleadingsCont1Char"/>
    <w:rsid w:val="00422E3F"/>
    <w:pPr>
      <w:widowControl w:val="0"/>
      <w:spacing w:after="240"/>
    </w:pPr>
    <w:rPr>
      <w:szCs w:val="20"/>
    </w:rPr>
  </w:style>
  <w:style w:type="character" w:customStyle="1" w:styleId="PleadingsCont1Char">
    <w:name w:val="Pleadings Cont 1 Char"/>
    <w:basedOn w:val="Heading1Char"/>
    <w:link w:val="PleadingsCont1"/>
    <w:rsid w:val="00422E3F"/>
    <w:rPr>
      <w:rFonts w:ascii="Times New Roman" w:hAnsi="Times New Roman" w:cs="Times New Roman"/>
      <w:b w:val="0"/>
      <w:sz w:val="24"/>
      <w:lang w:val="en-US" w:eastAsia="zh-CN"/>
    </w:rPr>
  </w:style>
  <w:style w:type="paragraph" w:customStyle="1" w:styleId="PleadingsCont2">
    <w:name w:val="Pleadings Cont 2"/>
    <w:basedOn w:val="PleadingsCont1"/>
    <w:link w:val="PleadingsCont2Char"/>
    <w:rsid w:val="00422E3F"/>
    <w:pPr>
      <w:widowControl/>
      <w:ind w:left="720"/>
    </w:pPr>
  </w:style>
  <w:style w:type="character" w:customStyle="1" w:styleId="PleadingsCont2Char">
    <w:name w:val="Pleadings Cont 2 Char"/>
    <w:basedOn w:val="Heading1Char"/>
    <w:link w:val="PleadingsCont2"/>
    <w:rsid w:val="00422E3F"/>
    <w:rPr>
      <w:rFonts w:ascii="Times New Roman" w:hAnsi="Times New Roman" w:cs="Times New Roman"/>
      <w:b w:val="0"/>
      <w:sz w:val="24"/>
      <w:lang w:val="en-US" w:eastAsia="zh-CN"/>
    </w:rPr>
  </w:style>
  <w:style w:type="paragraph" w:customStyle="1" w:styleId="PleadingsCont3">
    <w:name w:val="Pleadings Cont 3"/>
    <w:basedOn w:val="PleadingsCont2"/>
    <w:link w:val="PleadingsCont3Char"/>
    <w:rsid w:val="00422E3F"/>
    <w:pPr>
      <w:ind w:left="1440"/>
    </w:pPr>
  </w:style>
  <w:style w:type="character" w:customStyle="1" w:styleId="PleadingsCont3Char">
    <w:name w:val="Pleadings Cont 3 Char"/>
    <w:basedOn w:val="Heading1Char"/>
    <w:link w:val="PleadingsCont3"/>
    <w:rsid w:val="00422E3F"/>
    <w:rPr>
      <w:rFonts w:ascii="Times New Roman" w:hAnsi="Times New Roman" w:cs="Times New Roman"/>
      <w:b w:val="0"/>
      <w:sz w:val="24"/>
      <w:lang w:val="en-US" w:eastAsia="zh-CN"/>
    </w:rPr>
  </w:style>
  <w:style w:type="paragraph" w:customStyle="1" w:styleId="PleadingsCont4">
    <w:name w:val="Pleadings Cont 4"/>
    <w:basedOn w:val="PleadingsCont3"/>
    <w:link w:val="PleadingsCont4Char"/>
    <w:rsid w:val="00422E3F"/>
    <w:pPr>
      <w:ind w:left="2160"/>
    </w:pPr>
  </w:style>
  <w:style w:type="character" w:customStyle="1" w:styleId="PleadingsCont4Char">
    <w:name w:val="Pleadings Cont 4 Char"/>
    <w:basedOn w:val="Heading1Char"/>
    <w:link w:val="PleadingsCont4"/>
    <w:rsid w:val="00422E3F"/>
    <w:rPr>
      <w:rFonts w:ascii="Times New Roman" w:hAnsi="Times New Roman" w:cs="Times New Roman"/>
      <w:b w:val="0"/>
      <w:sz w:val="24"/>
      <w:lang w:val="en-US" w:eastAsia="zh-CN"/>
    </w:rPr>
  </w:style>
  <w:style w:type="paragraph" w:customStyle="1" w:styleId="PleadingsCont5">
    <w:name w:val="Pleadings Cont 5"/>
    <w:basedOn w:val="PleadingsCont4"/>
    <w:link w:val="PleadingsCont5Char"/>
    <w:rsid w:val="00422E3F"/>
    <w:pPr>
      <w:ind w:left="2880"/>
    </w:pPr>
  </w:style>
  <w:style w:type="character" w:customStyle="1" w:styleId="PleadingsCont5Char">
    <w:name w:val="Pleadings Cont 5 Char"/>
    <w:basedOn w:val="Heading1Char"/>
    <w:link w:val="PleadingsCont5"/>
    <w:rsid w:val="00422E3F"/>
    <w:rPr>
      <w:rFonts w:ascii="Times New Roman" w:hAnsi="Times New Roman" w:cs="Times New Roman"/>
      <w:b w:val="0"/>
      <w:sz w:val="24"/>
      <w:lang w:val="en-US" w:eastAsia="zh-CN"/>
    </w:rPr>
  </w:style>
  <w:style w:type="paragraph" w:customStyle="1" w:styleId="PleadingsCont6">
    <w:name w:val="Pleadings Cont 6"/>
    <w:basedOn w:val="PleadingsCont5"/>
    <w:link w:val="PleadingsCont6Char"/>
    <w:rsid w:val="00422E3F"/>
    <w:pPr>
      <w:ind w:left="3600"/>
    </w:pPr>
  </w:style>
  <w:style w:type="character" w:customStyle="1" w:styleId="PleadingsCont6Char">
    <w:name w:val="Pleadings Cont 6 Char"/>
    <w:basedOn w:val="Heading1Char"/>
    <w:link w:val="PleadingsCont6"/>
    <w:rsid w:val="00422E3F"/>
    <w:rPr>
      <w:rFonts w:ascii="Times New Roman" w:hAnsi="Times New Roman" w:cs="Times New Roman"/>
      <w:b w:val="0"/>
      <w:sz w:val="24"/>
      <w:lang w:val="en-US" w:eastAsia="zh-CN"/>
    </w:rPr>
  </w:style>
  <w:style w:type="paragraph" w:customStyle="1" w:styleId="PleadingsCont7">
    <w:name w:val="Pleadings Cont 7"/>
    <w:basedOn w:val="PleadingsCont6"/>
    <w:link w:val="PleadingsCont7Char"/>
    <w:rsid w:val="00422E3F"/>
    <w:pPr>
      <w:ind w:left="4320"/>
    </w:pPr>
  </w:style>
  <w:style w:type="character" w:customStyle="1" w:styleId="PleadingsCont7Char">
    <w:name w:val="Pleadings Cont 7 Char"/>
    <w:basedOn w:val="Heading1Char"/>
    <w:link w:val="PleadingsCont7"/>
    <w:rsid w:val="00422E3F"/>
    <w:rPr>
      <w:rFonts w:ascii="Times New Roman" w:hAnsi="Times New Roman" w:cs="Times New Roman"/>
      <w:b w:val="0"/>
      <w:sz w:val="24"/>
      <w:lang w:val="en-US" w:eastAsia="zh-CN"/>
    </w:rPr>
  </w:style>
  <w:style w:type="paragraph" w:customStyle="1" w:styleId="PleadingsCont8">
    <w:name w:val="Pleadings Cont 8"/>
    <w:basedOn w:val="PleadingsCont7"/>
    <w:link w:val="PleadingsCont8Char"/>
    <w:rsid w:val="00422E3F"/>
    <w:pPr>
      <w:ind w:left="5040"/>
    </w:pPr>
  </w:style>
  <w:style w:type="character" w:customStyle="1" w:styleId="PleadingsCont8Char">
    <w:name w:val="Pleadings Cont 8 Char"/>
    <w:basedOn w:val="Heading1Char"/>
    <w:link w:val="PleadingsCont8"/>
    <w:rsid w:val="00422E3F"/>
    <w:rPr>
      <w:rFonts w:ascii="Times New Roman" w:hAnsi="Times New Roman" w:cs="Times New Roman"/>
      <w:b w:val="0"/>
      <w:sz w:val="24"/>
      <w:lang w:val="en-US" w:eastAsia="zh-CN"/>
    </w:rPr>
  </w:style>
  <w:style w:type="paragraph" w:customStyle="1" w:styleId="PleadingsCont9">
    <w:name w:val="Pleadings Cont 9"/>
    <w:basedOn w:val="PleadingsCont8"/>
    <w:link w:val="PleadingsCont9Char"/>
    <w:rsid w:val="00422E3F"/>
    <w:pPr>
      <w:ind w:left="5760"/>
    </w:pPr>
  </w:style>
  <w:style w:type="character" w:customStyle="1" w:styleId="PleadingsCont9Char">
    <w:name w:val="Pleadings Cont 9 Char"/>
    <w:basedOn w:val="Heading1Char"/>
    <w:link w:val="PleadingsCont9"/>
    <w:rsid w:val="00422E3F"/>
    <w:rPr>
      <w:rFonts w:ascii="Times New Roman" w:hAnsi="Times New Roman" w:cs="Times New Roman"/>
      <w:b w:val="0"/>
      <w:sz w:val="24"/>
      <w:lang w:val="en-US" w:eastAsia="zh-CN"/>
    </w:rPr>
  </w:style>
  <w:style w:type="paragraph" w:customStyle="1" w:styleId="PleadingsL1">
    <w:name w:val="Pleadings_L1"/>
    <w:basedOn w:val="Normal"/>
    <w:next w:val="BodyText"/>
    <w:link w:val="PleadingsL1Char"/>
    <w:rsid w:val="00422E3F"/>
    <w:pPr>
      <w:keepNext/>
      <w:keepLines/>
      <w:numPr>
        <w:numId w:val="5"/>
      </w:numPr>
      <w:spacing w:after="240"/>
      <w:jc w:val="center"/>
      <w:outlineLvl w:val="0"/>
    </w:pPr>
    <w:rPr>
      <w:b/>
      <w:szCs w:val="20"/>
    </w:rPr>
  </w:style>
  <w:style w:type="character" w:customStyle="1" w:styleId="PleadingsL1Char">
    <w:name w:val="Pleadings_L1 Char"/>
    <w:basedOn w:val="Heading1Char"/>
    <w:link w:val="PleadingsL1"/>
    <w:rsid w:val="00422E3F"/>
    <w:rPr>
      <w:rFonts w:ascii="Times New Roman" w:hAnsi="Times New Roman" w:cs="Times New Roman"/>
      <w:b/>
      <w:sz w:val="24"/>
      <w:lang w:val="en-US" w:eastAsia="zh-CN"/>
    </w:rPr>
  </w:style>
  <w:style w:type="paragraph" w:customStyle="1" w:styleId="PleadingsL2">
    <w:name w:val="Pleadings_L2"/>
    <w:basedOn w:val="PleadingsL1"/>
    <w:next w:val="BodyText"/>
    <w:link w:val="PleadingsL2Char"/>
    <w:rsid w:val="00422E3F"/>
    <w:pPr>
      <w:numPr>
        <w:ilvl w:val="1"/>
      </w:numPr>
      <w:jc w:val="left"/>
      <w:outlineLvl w:val="1"/>
    </w:pPr>
  </w:style>
  <w:style w:type="character" w:customStyle="1" w:styleId="PleadingsL2Char">
    <w:name w:val="Pleadings_L2 Char"/>
    <w:basedOn w:val="Heading1Char"/>
    <w:link w:val="PleadingsL2"/>
    <w:rsid w:val="00422E3F"/>
    <w:rPr>
      <w:rFonts w:ascii="Times New Roman" w:hAnsi="Times New Roman" w:cs="Times New Roman"/>
      <w:b/>
      <w:sz w:val="24"/>
      <w:lang w:val="en-US" w:eastAsia="zh-CN"/>
    </w:rPr>
  </w:style>
  <w:style w:type="paragraph" w:customStyle="1" w:styleId="PleadingsL3">
    <w:name w:val="Pleadings_L3"/>
    <w:basedOn w:val="PleadingsL2"/>
    <w:next w:val="BodyText"/>
    <w:link w:val="PleadingsL3Char"/>
    <w:rsid w:val="00422E3F"/>
    <w:pPr>
      <w:numPr>
        <w:ilvl w:val="2"/>
      </w:numPr>
      <w:outlineLvl w:val="2"/>
    </w:pPr>
  </w:style>
  <w:style w:type="character" w:customStyle="1" w:styleId="PleadingsL3Char">
    <w:name w:val="Pleadings_L3 Char"/>
    <w:basedOn w:val="Heading1Char"/>
    <w:link w:val="PleadingsL3"/>
    <w:rsid w:val="00422E3F"/>
    <w:rPr>
      <w:rFonts w:ascii="Times New Roman" w:hAnsi="Times New Roman" w:cs="Times New Roman"/>
      <w:b/>
      <w:sz w:val="24"/>
      <w:lang w:val="en-US" w:eastAsia="zh-CN"/>
    </w:rPr>
  </w:style>
  <w:style w:type="paragraph" w:customStyle="1" w:styleId="PleadingsL4">
    <w:name w:val="Pleadings_L4"/>
    <w:basedOn w:val="PleadingsL3"/>
    <w:next w:val="BodyText"/>
    <w:link w:val="PleadingsL4Char"/>
    <w:rsid w:val="00422E3F"/>
    <w:pPr>
      <w:numPr>
        <w:ilvl w:val="3"/>
      </w:numPr>
      <w:outlineLvl w:val="3"/>
    </w:pPr>
  </w:style>
  <w:style w:type="character" w:customStyle="1" w:styleId="PleadingsL4Char">
    <w:name w:val="Pleadings_L4 Char"/>
    <w:basedOn w:val="Heading1Char"/>
    <w:link w:val="PleadingsL4"/>
    <w:rsid w:val="00422E3F"/>
    <w:rPr>
      <w:rFonts w:ascii="Times New Roman" w:hAnsi="Times New Roman" w:cs="Times New Roman"/>
      <w:b/>
      <w:sz w:val="24"/>
      <w:lang w:val="en-US" w:eastAsia="zh-CN"/>
    </w:rPr>
  </w:style>
  <w:style w:type="paragraph" w:customStyle="1" w:styleId="PleadingsL5">
    <w:name w:val="Pleadings_L5"/>
    <w:basedOn w:val="PleadingsL4"/>
    <w:next w:val="BodyText"/>
    <w:link w:val="PleadingsL5Char"/>
    <w:rsid w:val="00422E3F"/>
    <w:pPr>
      <w:numPr>
        <w:ilvl w:val="4"/>
      </w:numPr>
      <w:outlineLvl w:val="4"/>
    </w:pPr>
  </w:style>
  <w:style w:type="character" w:customStyle="1" w:styleId="PleadingsL5Char">
    <w:name w:val="Pleadings_L5 Char"/>
    <w:basedOn w:val="Heading1Char"/>
    <w:link w:val="PleadingsL5"/>
    <w:rsid w:val="00422E3F"/>
    <w:rPr>
      <w:rFonts w:ascii="Times New Roman" w:hAnsi="Times New Roman" w:cs="Times New Roman"/>
      <w:b/>
      <w:sz w:val="24"/>
      <w:lang w:val="en-US" w:eastAsia="zh-CN"/>
    </w:rPr>
  </w:style>
  <w:style w:type="paragraph" w:customStyle="1" w:styleId="PleadingsL6">
    <w:name w:val="Pleadings_L6"/>
    <w:basedOn w:val="PleadingsL5"/>
    <w:next w:val="BodyText"/>
    <w:link w:val="PleadingsL6Char"/>
    <w:rsid w:val="00422E3F"/>
    <w:pPr>
      <w:numPr>
        <w:ilvl w:val="5"/>
      </w:numPr>
      <w:outlineLvl w:val="5"/>
    </w:pPr>
  </w:style>
  <w:style w:type="character" w:customStyle="1" w:styleId="PleadingsL6Char">
    <w:name w:val="Pleadings_L6 Char"/>
    <w:basedOn w:val="Heading1Char"/>
    <w:link w:val="PleadingsL6"/>
    <w:rsid w:val="00422E3F"/>
    <w:rPr>
      <w:rFonts w:ascii="Times New Roman" w:hAnsi="Times New Roman" w:cs="Times New Roman"/>
      <w:b/>
      <w:sz w:val="24"/>
      <w:lang w:val="en-US" w:eastAsia="zh-CN"/>
    </w:rPr>
  </w:style>
  <w:style w:type="paragraph" w:customStyle="1" w:styleId="PleadingsL7">
    <w:name w:val="Pleadings_L7"/>
    <w:basedOn w:val="PleadingsL6"/>
    <w:next w:val="BodyText"/>
    <w:link w:val="PleadingsL7Char"/>
    <w:rsid w:val="00422E3F"/>
    <w:pPr>
      <w:numPr>
        <w:ilvl w:val="6"/>
      </w:numPr>
      <w:outlineLvl w:val="6"/>
    </w:pPr>
  </w:style>
  <w:style w:type="character" w:customStyle="1" w:styleId="PleadingsL7Char">
    <w:name w:val="Pleadings_L7 Char"/>
    <w:basedOn w:val="Heading1Char"/>
    <w:link w:val="PleadingsL7"/>
    <w:rsid w:val="00422E3F"/>
    <w:rPr>
      <w:rFonts w:ascii="Times New Roman" w:hAnsi="Times New Roman" w:cs="Times New Roman"/>
      <w:b/>
      <w:sz w:val="24"/>
      <w:lang w:val="en-US" w:eastAsia="zh-CN"/>
    </w:rPr>
  </w:style>
  <w:style w:type="paragraph" w:customStyle="1" w:styleId="PleadingsL8">
    <w:name w:val="Pleadings_L8"/>
    <w:basedOn w:val="PleadingsL7"/>
    <w:next w:val="BodyText"/>
    <w:link w:val="PleadingsL8Char"/>
    <w:rsid w:val="00422E3F"/>
    <w:pPr>
      <w:numPr>
        <w:ilvl w:val="7"/>
      </w:numPr>
      <w:outlineLvl w:val="7"/>
    </w:pPr>
  </w:style>
  <w:style w:type="character" w:customStyle="1" w:styleId="PleadingsL8Char">
    <w:name w:val="Pleadings_L8 Char"/>
    <w:basedOn w:val="Heading1Char"/>
    <w:link w:val="PleadingsL8"/>
    <w:rsid w:val="00422E3F"/>
    <w:rPr>
      <w:rFonts w:ascii="Times New Roman" w:hAnsi="Times New Roman" w:cs="Times New Roman"/>
      <w:b/>
      <w:sz w:val="24"/>
      <w:lang w:val="en-US" w:eastAsia="zh-CN"/>
    </w:rPr>
  </w:style>
  <w:style w:type="paragraph" w:customStyle="1" w:styleId="PleadingsL9">
    <w:name w:val="Pleadings_L9"/>
    <w:basedOn w:val="PleadingsL8"/>
    <w:next w:val="BodyText"/>
    <w:link w:val="PleadingsL9Char"/>
    <w:rsid w:val="00422E3F"/>
    <w:pPr>
      <w:numPr>
        <w:ilvl w:val="8"/>
      </w:numPr>
      <w:outlineLvl w:val="8"/>
    </w:pPr>
  </w:style>
  <w:style w:type="character" w:customStyle="1" w:styleId="PleadingsL9Char">
    <w:name w:val="Pleadings_L9 Char"/>
    <w:basedOn w:val="Heading1Char"/>
    <w:link w:val="PleadingsL9"/>
    <w:rsid w:val="00422E3F"/>
    <w:rPr>
      <w:rFonts w:ascii="Times New Roman" w:hAnsi="Times New Roman" w:cs="Times New Roman"/>
      <w:b/>
      <w:sz w:val="24"/>
      <w:lang w:val="en-US" w:eastAsia="zh-CN"/>
    </w:rPr>
  </w:style>
  <w:style w:type="paragraph" w:customStyle="1" w:styleId="Bullet1">
    <w:name w:val="Bullet 1"/>
    <w:basedOn w:val="ListParagraph"/>
    <w:link w:val="Bullet1Char1"/>
    <w:qFormat/>
    <w:rsid w:val="00D518A2"/>
    <w:pPr>
      <w:numPr>
        <w:numId w:val="9"/>
      </w:numPr>
      <w:spacing w:before="60" w:line="240" w:lineRule="auto"/>
      <w:contextualSpacing w:val="0"/>
    </w:pPr>
    <w:rPr>
      <w:rFonts w:asciiTheme="minorHAnsi" w:eastAsiaTheme="minorEastAsia" w:hAnsiTheme="minorHAnsi" w:cstheme="minorBidi"/>
      <w:sz w:val="24"/>
      <w:szCs w:val="22"/>
      <w:lang w:eastAsia="en-US" w:bidi="en-US"/>
    </w:rPr>
  </w:style>
  <w:style w:type="paragraph" w:customStyle="1" w:styleId="Exhibit">
    <w:name w:val="Exhibit"/>
    <w:basedOn w:val="Normal"/>
    <w:link w:val="ExhibitChar"/>
    <w:qFormat/>
    <w:rsid w:val="00D518A2"/>
    <w:pPr>
      <w:spacing w:before="60"/>
      <w:jc w:val="center"/>
    </w:pPr>
    <w:rPr>
      <w:rFonts w:asciiTheme="minorHAnsi" w:eastAsiaTheme="minorEastAsia" w:hAnsiTheme="minorHAnsi" w:cstheme="minorBidi"/>
      <w:noProof/>
      <w:szCs w:val="22"/>
      <w:lang w:bidi="en-US"/>
    </w:rPr>
  </w:style>
  <w:style w:type="character" w:customStyle="1" w:styleId="ExhibitChar">
    <w:name w:val="Exhibit Char"/>
    <w:basedOn w:val="DefaultParagraphFont"/>
    <w:link w:val="Exhibit"/>
    <w:rsid w:val="00D518A2"/>
    <w:rPr>
      <w:rFonts w:asciiTheme="minorHAnsi" w:eastAsiaTheme="minorEastAsia" w:hAnsiTheme="minorHAnsi" w:cstheme="minorBidi"/>
      <w:noProof/>
      <w:sz w:val="24"/>
      <w:szCs w:val="22"/>
      <w:lang w:bidi="en-US"/>
    </w:rPr>
  </w:style>
  <w:style w:type="character" w:customStyle="1" w:styleId="Bullet1Char1">
    <w:name w:val="Bullet 1 Char1"/>
    <w:basedOn w:val="DefaultParagraphFont"/>
    <w:link w:val="Bullet1"/>
    <w:rsid w:val="00D518A2"/>
    <w:rPr>
      <w:rFonts w:asciiTheme="minorHAnsi" w:eastAsiaTheme="minorEastAsia" w:hAnsiTheme="minorHAnsi" w:cstheme="minorBidi"/>
      <w:sz w:val="24"/>
      <w:szCs w:val="22"/>
      <w:lang w:bidi="en-US"/>
    </w:rPr>
  </w:style>
  <w:style w:type="paragraph" w:customStyle="1" w:styleId="Q">
    <w:name w:val="Q"/>
    <w:basedOn w:val="Normal"/>
    <w:link w:val="QChar"/>
    <w:qFormat/>
    <w:rsid w:val="00D518A2"/>
    <w:pPr>
      <w:numPr>
        <w:numId w:val="11"/>
      </w:numPr>
    </w:pPr>
    <w:rPr>
      <w:rFonts w:ascii="Calibri" w:hAnsi="Calibri"/>
      <w:b/>
      <w:lang w:bidi="en-US"/>
    </w:rPr>
  </w:style>
  <w:style w:type="character" w:customStyle="1" w:styleId="QChar">
    <w:name w:val="Q Char"/>
    <w:link w:val="Q"/>
    <w:locked/>
    <w:rsid w:val="00D518A2"/>
    <w:rPr>
      <w:rFonts w:ascii="Calibri" w:hAnsi="Calibri" w:cs="Times New Roman"/>
      <w:b/>
      <w:sz w:val="24"/>
      <w:szCs w:val="24"/>
      <w:lang w:bidi="en-US"/>
    </w:rPr>
  </w:style>
  <w:style w:type="character" w:styleId="PlaceholderText">
    <w:name w:val="Placeholder Text"/>
    <w:basedOn w:val="DefaultParagraphFont"/>
    <w:uiPriority w:val="99"/>
    <w:semiHidden/>
    <w:rsid w:val="00726AC7"/>
    <w:rPr>
      <w:vanish w:val="0"/>
      <w:color w:val="808080"/>
    </w:rPr>
  </w:style>
  <w:style w:type="table" w:customStyle="1" w:styleId="TableGrid2">
    <w:name w:val="Table Grid2"/>
    <w:basedOn w:val="TableNormal"/>
    <w:next w:val="TableGrid"/>
    <w:uiPriority w:val="99"/>
    <w:rsid w:val="009D0BD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9D0BD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lipsChar">
    <w:name w:val="Newsclips Char"/>
    <w:basedOn w:val="DefaultParagraphFont"/>
    <w:link w:val="Newsclips"/>
    <w:locked/>
    <w:rsid w:val="00F6598C"/>
    <w:rPr>
      <w:rFonts w:ascii="Arial" w:hAnsi="Arial" w:cs="Arial"/>
    </w:rPr>
  </w:style>
  <w:style w:type="paragraph" w:customStyle="1" w:styleId="Newsclips">
    <w:name w:val="Newsclips"/>
    <w:basedOn w:val="Normal"/>
    <w:link w:val="NewsclipsChar"/>
    <w:rsid w:val="00F6598C"/>
    <w:rPr>
      <w:rFonts w:ascii="Arial" w:hAnsi="Arial" w:cs="Arial"/>
      <w:sz w:val="20"/>
      <w:szCs w:val="20"/>
    </w:rPr>
  </w:style>
  <w:style w:type="paragraph" w:customStyle="1" w:styleId="Bullet-Short">
    <w:name w:val="Bullet - Short"/>
    <w:basedOn w:val="Normal"/>
    <w:autoRedefine/>
    <w:rsid w:val="00936BE7"/>
    <w:pPr>
      <w:spacing w:before="120" w:line="480" w:lineRule="auto"/>
    </w:pPr>
    <w:rPr>
      <w:rFonts w:eastAsia="SimSun"/>
      <w:lang w:eastAsia="zh-CN"/>
    </w:rPr>
  </w:style>
  <w:style w:type="paragraph" w:customStyle="1" w:styleId="ReportSubtitle">
    <w:name w:val="Report Subtitle"/>
    <w:basedOn w:val="Normal"/>
    <w:rsid w:val="002B450F"/>
    <w:pPr>
      <w:spacing w:before="240"/>
      <w:jc w:val="right"/>
    </w:pPr>
    <w:rPr>
      <w:rFonts w:ascii="Tahoma" w:hAnsi="Tahoma" w:cs="Tahoma"/>
      <w:b/>
      <w:sz w:val="40"/>
      <w:szCs w:val="40"/>
    </w:rPr>
  </w:style>
  <w:style w:type="paragraph" w:styleId="NoSpacing">
    <w:name w:val="No Spacing"/>
    <w:uiPriority w:val="1"/>
    <w:qFormat/>
    <w:rsid w:val="003B748B"/>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9109F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105EF"/>
    <w:pPr>
      <w:spacing w:before="120"/>
      <w:ind w:left="1440"/>
      <w:outlineLvl w:val="2"/>
    </w:pPr>
  </w:style>
  <w:style w:type="paragraph" w:styleId="Heading4">
    <w:name w:val="heading 4"/>
    <w:aliases w:val="h4"/>
    <w:basedOn w:val="Heading3"/>
    <w:next w:val="Normal"/>
    <w:link w:val="Heading4Char"/>
    <w:uiPriority w:val="99"/>
    <w:qFormat/>
    <w:rsid w:val="00F105EF"/>
    <w:pPr>
      <w:ind w:left="2160"/>
      <w:outlineLvl w:val="3"/>
    </w:pPr>
  </w:style>
  <w:style w:type="paragraph" w:styleId="Heading5">
    <w:name w:val="heading 5"/>
    <w:aliases w:val="h5"/>
    <w:basedOn w:val="Heading4"/>
    <w:next w:val="Normal"/>
    <w:link w:val="Heading5Char"/>
    <w:uiPriority w:val="99"/>
    <w:qFormat/>
    <w:rsid w:val="00F105EF"/>
    <w:pPr>
      <w:ind w:left="2880"/>
      <w:outlineLvl w:val="4"/>
    </w:pPr>
  </w:style>
  <w:style w:type="paragraph" w:styleId="Heading6">
    <w:name w:val="heading 6"/>
    <w:aliases w:val="h6"/>
    <w:basedOn w:val="Heading5"/>
    <w:next w:val="Normal"/>
    <w:link w:val="Heading6Char"/>
    <w:uiPriority w:val="99"/>
    <w:qFormat/>
    <w:rsid w:val="00F105EF"/>
    <w:pPr>
      <w:ind w:left="3600"/>
      <w:outlineLvl w:val="5"/>
    </w:pPr>
  </w:style>
  <w:style w:type="paragraph" w:styleId="Heading7">
    <w:name w:val="heading 7"/>
    <w:aliases w:val="h7"/>
    <w:basedOn w:val="Heading6"/>
    <w:next w:val="Normal"/>
    <w:link w:val="Heading7Char"/>
    <w:uiPriority w:val="99"/>
    <w:qFormat/>
    <w:rsid w:val="00F105EF"/>
    <w:pPr>
      <w:ind w:left="4320"/>
      <w:outlineLvl w:val="6"/>
    </w:pPr>
  </w:style>
  <w:style w:type="paragraph" w:styleId="Heading8">
    <w:name w:val="heading 8"/>
    <w:aliases w:val="h8"/>
    <w:basedOn w:val="Heading6"/>
    <w:next w:val="Normal"/>
    <w:link w:val="Heading8Char"/>
    <w:uiPriority w:val="99"/>
    <w:qFormat/>
    <w:rsid w:val="00F105EF"/>
    <w:pPr>
      <w:ind w:left="5040"/>
      <w:outlineLvl w:val="7"/>
    </w:pPr>
  </w:style>
  <w:style w:type="paragraph" w:styleId="Heading9">
    <w:name w:val="heading 9"/>
    <w:aliases w:val="h9"/>
    <w:basedOn w:val="Heading6"/>
    <w:next w:val="Normal"/>
    <w:link w:val="Heading9Char"/>
    <w:uiPriority w:val="99"/>
    <w:qFormat/>
    <w:rsid w:val="00F105E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b/>
      <w:sz w:val="24"/>
      <w:lang w:val="en-US" w:eastAsia="zh-CN"/>
    </w:rPr>
  </w:style>
  <w:style w:type="character" w:customStyle="1" w:styleId="Heading2Char">
    <w:name w:val="Heading 2 Char"/>
    <w:aliases w:val="h2 Char"/>
    <w:link w:val="Heading2"/>
    <w:uiPriority w:val="99"/>
    <w:locked/>
    <w:rsid w:val="00E05C6E"/>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sid w:val="000531FF"/>
    <w:rPr>
      <w:rFonts w:ascii="Cambria" w:hAnsi="Cambria"/>
      <w:b/>
      <w:sz w:val="26"/>
    </w:rPr>
  </w:style>
  <w:style w:type="character" w:customStyle="1" w:styleId="Heading4Char">
    <w:name w:val="Heading 4 Char"/>
    <w:aliases w:val="h4 Char"/>
    <w:link w:val="Heading4"/>
    <w:uiPriority w:val="99"/>
    <w:semiHidden/>
    <w:locked/>
    <w:rsid w:val="000531FF"/>
    <w:rPr>
      <w:rFonts w:ascii="Calibri" w:hAnsi="Calibri"/>
      <w:b/>
      <w:sz w:val="28"/>
    </w:rPr>
  </w:style>
  <w:style w:type="character" w:customStyle="1" w:styleId="Heading5Char">
    <w:name w:val="Heading 5 Char"/>
    <w:aliases w:val="h5 Char"/>
    <w:link w:val="Heading5"/>
    <w:uiPriority w:val="99"/>
    <w:semiHidden/>
    <w:locked/>
    <w:rsid w:val="000531FF"/>
    <w:rPr>
      <w:rFonts w:ascii="Calibri" w:hAnsi="Calibri"/>
      <w:b/>
      <w:i/>
      <w:sz w:val="26"/>
    </w:rPr>
  </w:style>
  <w:style w:type="character" w:customStyle="1" w:styleId="Heading6Char">
    <w:name w:val="Heading 6 Char"/>
    <w:aliases w:val="h6 Char"/>
    <w:link w:val="Heading6"/>
    <w:uiPriority w:val="99"/>
    <w:semiHidden/>
    <w:locked/>
    <w:rsid w:val="000531FF"/>
    <w:rPr>
      <w:rFonts w:ascii="Calibri" w:hAnsi="Calibri"/>
      <w:b/>
    </w:rPr>
  </w:style>
  <w:style w:type="character" w:customStyle="1" w:styleId="Heading7Char">
    <w:name w:val="Heading 7 Char"/>
    <w:aliases w:val="h7 Char"/>
    <w:link w:val="Heading7"/>
    <w:uiPriority w:val="99"/>
    <w:semiHidden/>
    <w:locked/>
    <w:rsid w:val="000531FF"/>
    <w:rPr>
      <w:rFonts w:ascii="Calibri" w:hAnsi="Calibri"/>
      <w:sz w:val="24"/>
    </w:rPr>
  </w:style>
  <w:style w:type="character" w:customStyle="1" w:styleId="Heading8Char">
    <w:name w:val="Heading 8 Char"/>
    <w:aliases w:val="h8 Char"/>
    <w:link w:val="Heading8"/>
    <w:uiPriority w:val="99"/>
    <w:semiHidden/>
    <w:locked/>
    <w:rsid w:val="000531FF"/>
    <w:rPr>
      <w:rFonts w:ascii="Calibri" w:hAnsi="Calibri"/>
      <w:i/>
      <w:sz w:val="24"/>
    </w:rPr>
  </w:style>
  <w:style w:type="character" w:customStyle="1" w:styleId="Heading9Char">
    <w:name w:val="Heading 9 Char"/>
    <w:aliases w:val="h9 Char"/>
    <w:link w:val="Heading9"/>
    <w:uiPriority w:val="99"/>
    <w:semiHidden/>
    <w:locked/>
    <w:rsid w:val="000531FF"/>
    <w:rPr>
      <w:rFonts w:ascii="Cambria" w:hAnsi="Cambria"/>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uiPriority w:val="99"/>
    <w:semiHidden/>
    <w:rsid w:val="00F105EF"/>
    <w:rPr>
      <w:rFonts w:ascii="Univers (WN)" w:hAnsi="Univers (W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link w:val="CommentText"/>
    <w:uiPriority w:val="99"/>
    <w:semiHidden/>
    <w:locked/>
    <w:rsid w:val="000531FF"/>
    <w:rPr>
      <w:rFonts w:ascii="Times New Roman" w:hAnsi="Times New Roman"/>
      <w:sz w:val="20"/>
    </w:rPr>
  </w:style>
  <w:style w:type="paragraph" w:styleId="FootnoteText">
    <w:name w:val="footnote text"/>
    <w:aliases w:val="Footnote Text1 Char,Footnote Text Char Ch,Footnote Text Char1,Footnote Text Char Char,Footnote Text Char1 Char,Footnote Text Char Char Char,Footnote Text Char1 Char Char Char,Footnote Text Char Char1 Char Char Char,TBG Style,fn,ft,FOOTNOTE"/>
    <w:basedOn w:val="single"/>
    <w:link w:val="FootnoteTextChar"/>
    <w:rsid w:val="00F105EF"/>
    <w:rPr>
      <w:sz w:val="22"/>
    </w:rPr>
  </w:style>
  <w:style w:type="character" w:customStyle="1" w:styleId="FootnoteTextChar">
    <w:name w:val="Footnote Text Char"/>
    <w:aliases w:val="Footnote Text1 Char Char,Footnote Text Char Ch Char,Footnote Text Char1 Char1,Footnote Text Char Char Char1,Footnote Text Char1 Char Char,Footnote Text Char Char Char Char,Footnote Text Char1 Char Char Char Char,TBG Style Char,fn Char"/>
    <w:link w:val="FootnoteText"/>
    <w:locked/>
    <w:rsid w:val="000531FF"/>
    <w:rPr>
      <w:rFonts w:ascii="Times New Roman" w:hAnsi="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39"/>
    <w:rsid w:val="00F105EF"/>
    <w:pPr>
      <w:ind w:left="2160"/>
    </w:pPr>
  </w:style>
  <w:style w:type="paragraph" w:styleId="TOC2">
    <w:name w:val="toc 2"/>
    <w:basedOn w:val="TOC1"/>
    <w:uiPriority w:val="39"/>
    <w:rsid w:val="00F105EF"/>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semiHidden/>
    <w:locked/>
    <w:rsid w:val="000531FF"/>
    <w:rPr>
      <w:rFonts w:ascii="Times New Roman" w:hAnsi="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semiHidden/>
    <w:locked/>
    <w:rsid w:val="000531FF"/>
    <w:rPr>
      <w:rFonts w:ascii="Times New Roman" w:hAnsi="Times New Roman"/>
      <w:sz w:val="24"/>
    </w:rPr>
  </w:style>
  <w:style w:type="character" w:styleId="FootnoteReference">
    <w:name w:val="footnote reference"/>
    <w:aliases w:val="o,fr,Style 3,o1,o2,o3,o4,o5,o6,o11,o21,o7"/>
    <w:uiPriority w:val="99"/>
    <w:rsid w:val="00F105EF"/>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rFonts w:ascii="Arial" w:hAnsi="Arial"/>
      <w:sz w:val="22"/>
    </w:rPr>
  </w:style>
  <w:style w:type="character" w:customStyle="1" w:styleId="BodyTextIndentChar">
    <w:name w:val="Body Text Indent Char"/>
    <w:link w:val="BodyTextIndent"/>
    <w:uiPriority w:val="99"/>
    <w:semiHidden/>
    <w:locked/>
    <w:rsid w:val="000531FF"/>
    <w:rPr>
      <w:rFonts w:ascii="Times New Roman" w:hAnsi="Times New Roman"/>
      <w:sz w:val="24"/>
    </w:rPr>
  </w:style>
  <w:style w:type="paragraph" w:styleId="BodyText">
    <w:name w:val="Body Text"/>
    <w:aliases w:val="bt"/>
    <w:basedOn w:val="Normal"/>
    <w:link w:val="BodyTextChar"/>
    <w:uiPriority w:val="99"/>
    <w:rsid w:val="00F105EF"/>
    <w:pPr>
      <w:jc w:val="both"/>
    </w:pPr>
    <w:rPr>
      <w:lang w:val="en-GB"/>
    </w:rPr>
  </w:style>
  <w:style w:type="character" w:customStyle="1" w:styleId="BodyTextChar">
    <w:name w:val="Body Text Char"/>
    <w:aliases w:val="bt Char"/>
    <w:link w:val="BodyText"/>
    <w:uiPriority w:val="99"/>
    <w:locked/>
    <w:rsid w:val="003A215A"/>
    <w:rPr>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paragraph" w:customStyle="1" w:styleId="q0">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sid w:val="000531FF"/>
    <w:rPr>
      <w:rFonts w:ascii="Times New Roman" w:hAnsi="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rFonts w:ascii="Times" w:hAnsi="Times"/>
    </w:rPr>
  </w:style>
  <w:style w:type="character" w:customStyle="1" w:styleId="BodyTextIndent3Char">
    <w:name w:val="Body Text Indent 3 Char"/>
    <w:link w:val="BodyTextIndent3"/>
    <w:uiPriority w:val="99"/>
    <w:semiHidden/>
    <w:locked/>
    <w:rsid w:val="000531FF"/>
    <w:rPr>
      <w:rFonts w:ascii="Times New Roman" w:hAnsi="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style>
  <w:style w:type="character" w:customStyle="1" w:styleId="BodyText2Char">
    <w:name w:val="Body Text 2 Char"/>
    <w:link w:val="BodyText2"/>
    <w:uiPriority w:val="99"/>
    <w:semiHidden/>
    <w:locked/>
    <w:rsid w:val="000531FF"/>
    <w:rPr>
      <w:rFonts w:ascii="Times New Roman" w:hAnsi="Times New Roman"/>
      <w:sz w:val="24"/>
    </w:rPr>
  </w:style>
  <w:style w:type="paragraph" w:styleId="BodyText3">
    <w:name w:val="Body Text 3"/>
    <w:basedOn w:val="Normal"/>
    <w:link w:val="BodyText3Char"/>
    <w:uiPriority w:val="99"/>
    <w:rsid w:val="00F105EF"/>
    <w:pPr>
      <w:spacing w:line="360" w:lineRule="auto"/>
      <w:ind w:right="-720"/>
    </w:pPr>
  </w:style>
  <w:style w:type="character" w:customStyle="1" w:styleId="BodyText3Char">
    <w:name w:val="Body Text 3 Char"/>
    <w:link w:val="BodyText3"/>
    <w:uiPriority w:val="99"/>
    <w:semiHidden/>
    <w:locked/>
    <w:rsid w:val="000531FF"/>
    <w:rPr>
      <w:rFonts w:ascii="Times New Roman" w:hAnsi="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uiPriority w:val="99"/>
    <w:rsid w:val="00F105EF"/>
    <w:rPr>
      <w:color w:val="0000FF"/>
      <w:u w:val="single"/>
    </w:rPr>
  </w:style>
  <w:style w:type="paragraph" w:customStyle="1" w:styleId="Default">
    <w:name w:val="Default"/>
    <w:rsid w:val="00F105EF"/>
    <w:rPr>
      <w:rFonts w:ascii="Garamond" w:hAnsi="Garamond" w:cs="Times New Roman"/>
      <w:color w:val="000000"/>
      <w:sz w:val="24"/>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rFonts w:ascii="Tahoma" w:hAnsi="Tahoma" w:cs="TheSerif 3-Light"/>
      <w:sz w:val="16"/>
      <w:szCs w:val="16"/>
    </w:rPr>
  </w:style>
  <w:style w:type="character" w:customStyle="1" w:styleId="BalloonTextChar">
    <w:name w:val="Balloon Text Char"/>
    <w:link w:val="BalloonText"/>
    <w:uiPriority w:val="99"/>
    <w:semiHidden/>
    <w:locked/>
    <w:rsid w:val="000531FF"/>
    <w:rPr>
      <w:rFonts w:ascii="Times New Roman" w:hAnsi="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1"/>
      </w:numPr>
      <w:spacing w:after="120"/>
      <w:ind w:right="1440"/>
    </w:pPr>
  </w:style>
  <w:style w:type="character" w:styleId="Strong">
    <w:name w:val="Strong"/>
    <w:uiPriority w:val="99"/>
    <w:qFormat/>
    <w:rsid w:val="00F105EF"/>
    <w:rPr>
      <w:b/>
    </w:rPr>
  </w:style>
  <w:style w:type="paragraph" w:styleId="Title">
    <w:name w:val="Title"/>
    <w:basedOn w:val="Normal"/>
    <w:link w:val="TitleChar"/>
    <w:uiPriority w:val="99"/>
    <w:qFormat/>
    <w:rsid w:val="00F105E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0531FF"/>
    <w:rPr>
      <w:rFonts w:ascii="Cambria" w:hAnsi="Cambria"/>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uiPriority w:val="99"/>
    <w:rsid w:val="00F105EF"/>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sid w:val="000531FF"/>
    <w:rPr>
      <w:rFonts w:ascii="Times New Roman" w:hAnsi="Times New Roman"/>
      <w:sz w:val="24"/>
      <w:lang w:val="en-GB"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sid w:val="000531FF"/>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0531FF"/>
    <w:rPr>
      <w:rFonts w:ascii="Times New Roman" w:hAnsi="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link w:val="CommentSubject"/>
    <w:uiPriority w:val="99"/>
    <w:semiHidden/>
    <w:locked/>
    <w:rsid w:val="000531FF"/>
    <w:rPr>
      <w:rFonts w:ascii="Times New Roman" w:hAnsi="Times New Roman"/>
      <w:b/>
      <w:sz w:val="20"/>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0531FF"/>
    <w:rPr>
      <w:rFonts w:ascii="Times New Roman" w:hAnsi="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sid w:val="000531FF"/>
    <w:rPr>
      <w:rFonts w:ascii="Times New Roman" w:hAnsi="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0531FF"/>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sid w:val="000531FF"/>
    <w:rPr>
      <w:rFonts w:ascii="Times New Roman" w:hAnsi="Times New Roman"/>
      <w:sz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0531FF"/>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sid w:val="000531FF"/>
    <w:rPr>
      <w:rFonts w:ascii="Courier New" w:hAnsi="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sid w:val="000531FF"/>
    <w:rPr>
      <w:rFonts w:ascii="Courier New" w:hAnsi="Courier New"/>
      <w:lang w:val="en-US"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0531FF"/>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0531FF"/>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semiHidden/>
    <w:locked/>
    <w:rsid w:val="000531FF"/>
    <w:rPr>
      <w:rFonts w:ascii="Courier New" w:hAnsi="Courier New"/>
      <w:sz w:val="20"/>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0531FF"/>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0531FF"/>
    <w:rPr>
      <w:rFonts w:ascii="Times New Roman" w:hAnsi="Times New Roman"/>
      <w:sz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link w:val="Subtitle"/>
    <w:uiPriority w:val="99"/>
    <w:locked/>
    <w:rsid w:val="000531FF"/>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59"/>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uiPriority w:val="99"/>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AB2143"/>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val="x-none" w:eastAsia="zh-CN"/>
    </w:rPr>
  </w:style>
  <w:style w:type="character" w:customStyle="1" w:styleId="singleblockChar">
    <w:name w:val="single block Char"/>
    <w:link w:val="singleblock"/>
    <w:uiPriority w:val="99"/>
    <w:locked/>
    <w:rsid w:val="007148BD"/>
    <w:rPr>
      <w:rFonts w:ascii="Times New Roman" w:eastAsia="SimSun" w:hAnsi="Times New Roman"/>
      <w:sz w:val="24"/>
      <w:lang w:val="x-none"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locked/>
    <w:rsid w:val="007148BD"/>
    <w:rPr>
      <w:rFonts w:ascii="Times New Roman" w:eastAsia="SimSun" w:hAnsi="Times New Roman"/>
      <w:b/>
      <w:sz w:val="24"/>
      <w:lang w:val="x-none"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uiPriority w:val="99"/>
    <w:qFormat/>
    <w:rsid w:val="00635256"/>
    <w:rPr>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uiPriority w:val="99"/>
    <w:semiHidden/>
    <w:rsid w:val="001772B0"/>
    <w:rPr>
      <w:vertAlign w:val="superscript"/>
    </w:rPr>
  </w:style>
  <w:style w:type="paragraph" w:styleId="ListParagraph">
    <w:name w:val="List Paragraph"/>
    <w:basedOn w:val="Normal"/>
    <w:uiPriority w:val="34"/>
    <w:qFormat/>
    <w:rsid w:val="00A13DFE"/>
    <w:pPr>
      <w:spacing w:line="480" w:lineRule="atLeast"/>
      <w:ind w:left="720" w:firstLine="720"/>
      <w:contextualSpacing/>
    </w:pPr>
    <w:rPr>
      <w:sz w:val="26"/>
      <w:szCs w:val="20"/>
      <w:lang w:eastAsia="zh-CN"/>
    </w:rPr>
  </w:style>
  <w:style w:type="character" w:customStyle="1" w:styleId="answerChar1">
    <w:name w:val="answer Char1"/>
    <w:rsid w:val="00A602CC"/>
    <w:rPr>
      <w:rFonts w:eastAsia="SimSun"/>
      <w:sz w:val="24"/>
      <w:szCs w:val="24"/>
      <w:lang w:val="en-US" w:eastAsia="zh-CN" w:bidi="ar-SA"/>
    </w:rPr>
  </w:style>
  <w:style w:type="paragraph" w:customStyle="1" w:styleId="PleadingsCont1">
    <w:name w:val="Pleadings Cont 1"/>
    <w:basedOn w:val="Normal"/>
    <w:link w:val="PleadingsCont1Char"/>
    <w:rsid w:val="00422E3F"/>
    <w:pPr>
      <w:widowControl w:val="0"/>
      <w:spacing w:after="240"/>
    </w:pPr>
    <w:rPr>
      <w:szCs w:val="20"/>
    </w:rPr>
  </w:style>
  <w:style w:type="character" w:customStyle="1" w:styleId="PleadingsCont1Char">
    <w:name w:val="Pleadings Cont 1 Char"/>
    <w:basedOn w:val="Heading1Char"/>
    <w:link w:val="PleadingsCont1"/>
    <w:rsid w:val="00422E3F"/>
    <w:rPr>
      <w:rFonts w:ascii="Times New Roman" w:hAnsi="Times New Roman" w:cs="Times New Roman"/>
      <w:b w:val="0"/>
      <w:sz w:val="24"/>
      <w:lang w:val="en-US" w:eastAsia="zh-CN"/>
    </w:rPr>
  </w:style>
  <w:style w:type="paragraph" w:customStyle="1" w:styleId="PleadingsCont2">
    <w:name w:val="Pleadings Cont 2"/>
    <w:basedOn w:val="PleadingsCont1"/>
    <w:link w:val="PleadingsCont2Char"/>
    <w:rsid w:val="00422E3F"/>
    <w:pPr>
      <w:widowControl/>
      <w:ind w:left="720"/>
    </w:pPr>
  </w:style>
  <w:style w:type="character" w:customStyle="1" w:styleId="PleadingsCont2Char">
    <w:name w:val="Pleadings Cont 2 Char"/>
    <w:basedOn w:val="Heading1Char"/>
    <w:link w:val="PleadingsCont2"/>
    <w:rsid w:val="00422E3F"/>
    <w:rPr>
      <w:rFonts w:ascii="Times New Roman" w:hAnsi="Times New Roman" w:cs="Times New Roman"/>
      <w:b w:val="0"/>
      <w:sz w:val="24"/>
      <w:lang w:val="en-US" w:eastAsia="zh-CN"/>
    </w:rPr>
  </w:style>
  <w:style w:type="paragraph" w:customStyle="1" w:styleId="PleadingsCont3">
    <w:name w:val="Pleadings Cont 3"/>
    <w:basedOn w:val="PleadingsCont2"/>
    <w:link w:val="PleadingsCont3Char"/>
    <w:rsid w:val="00422E3F"/>
    <w:pPr>
      <w:ind w:left="1440"/>
    </w:pPr>
  </w:style>
  <w:style w:type="character" w:customStyle="1" w:styleId="PleadingsCont3Char">
    <w:name w:val="Pleadings Cont 3 Char"/>
    <w:basedOn w:val="Heading1Char"/>
    <w:link w:val="PleadingsCont3"/>
    <w:rsid w:val="00422E3F"/>
    <w:rPr>
      <w:rFonts w:ascii="Times New Roman" w:hAnsi="Times New Roman" w:cs="Times New Roman"/>
      <w:b w:val="0"/>
      <w:sz w:val="24"/>
      <w:lang w:val="en-US" w:eastAsia="zh-CN"/>
    </w:rPr>
  </w:style>
  <w:style w:type="paragraph" w:customStyle="1" w:styleId="PleadingsCont4">
    <w:name w:val="Pleadings Cont 4"/>
    <w:basedOn w:val="PleadingsCont3"/>
    <w:link w:val="PleadingsCont4Char"/>
    <w:rsid w:val="00422E3F"/>
    <w:pPr>
      <w:ind w:left="2160"/>
    </w:pPr>
  </w:style>
  <w:style w:type="character" w:customStyle="1" w:styleId="PleadingsCont4Char">
    <w:name w:val="Pleadings Cont 4 Char"/>
    <w:basedOn w:val="Heading1Char"/>
    <w:link w:val="PleadingsCont4"/>
    <w:rsid w:val="00422E3F"/>
    <w:rPr>
      <w:rFonts w:ascii="Times New Roman" w:hAnsi="Times New Roman" w:cs="Times New Roman"/>
      <w:b w:val="0"/>
      <w:sz w:val="24"/>
      <w:lang w:val="en-US" w:eastAsia="zh-CN"/>
    </w:rPr>
  </w:style>
  <w:style w:type="paragraph" w:customStyle="1" w:styleId="PleadingsCont5">
    <w:name w:val="Pleadings Cont 5"/>
    <w:basedOn w:val="PleadingsCont4"/>
    <w:link w:val="PleadingsCont5Char"/>
    <w:rsid w:val="00422E3F"/>
    <w:pPr>
      <w:ind w:left="2880"/>
    </w:pPr>
  </w:style>
  <w:style w:type="character" w:customStyle="1" w:styleId="PleadingsCont5Char">
    <w:name w:val="Pleadings Cont 5 Char"/>
    <w:basedOn w:val="Heading1Char"/>
    <w:link w:val="PleadingsCont5"/>
    <w:rsid w:val="00422E3F"/>
    <w:rPr>
      <w:rFonts w:ascii="Times New Roman" w:hAnsi="Times New Roman" w:cs="Times New Roman"/>
      <w:b w:val="0"/>
      <w:sz w:val="24"/>
      <w:lang w:val="en-US" w:eastAsia="zh-CN"/>
    </w:rPr>
  </w:style>
  <w:style w:type="paragraph" w:customStyle="1" w:styleId="PleadingsCont6">
    <w:name w:val="Pleadings Cont 6"/>
    <w:basedOn w:val="PleadingsCont5"/>
    <w:link w:val="PleadingsCont6Char"/>
    <w:rsid w:val="00422E3F"/>
    <w:pPr>
      <w:ind w:left="3600"/>
    </w:pPr>
  </w:style>
  <w:style w:type="character" w:customStyle="1" w:styleId="PleadingsCont6Char">
    <w:name w:val="Pleadings Cont 6 Char"/>
    <w:basedOn w:val="Heading1Char"/>
    <w:link w:val="PleadingsCont6"/>
    <w:rsid w:val="00422E3F"/>
    <w:rPr>
      <w:rFonts w:ascii="Times New Roman" w:hAnsi="Times New Roman" w:cs="Times New Roman"/>
      <w:b w:val="0"/>
      <w:sz w:val="24"/>
      <w:lang w:val="en-US" w:eastAsia="zh-CN"/>
    </w:rPr>
  </w:style>
  <w:style w:type="paragraph" w:customStyle="1" w:styleId="PleadingsCont7">
    <w:name w:val="Pleadings Cont 7"/>
    <w:basedOn w:val="PleadingsCont6"/>
    <w:link w:val="PleadingsCont7Char"/>
    <w:rsid w:val="00422E3F"/>
    <w:pPr>
      <w:ind w:left="4320"/>
    </w:pPr>
  </w:style>
  <w:style w:type="character" w:customStyle="1" w:styleId="PleadingsCont7Char">
    <w:name w:val="Pleadings Cont 7 Char"/>
    <w:basedOn w:val="Heading1Char"/>
    <w:link w:val="PleadingsCont7"/>
    <w:rsid w:val="00422E3F"/>
    <w:rPr>
      <w:rFonts w:ascii="Times New Roman" w:hAnsi="Times New Roman" w:cs="Times New Roman"/>
      <w:b w:val="0"/>
      <w:sz w:val="24"/>
      <w:lang w:val="en-US" w:eastAsia="zh-CN"/>
    </w:rPr>
  </w:style>
  <w:style w:type="paragraph" w:customStyle="1" w:styleId="PleadingsCont8">
    <w:name w:val="Pleadings Cont 8"/>
    <w:basedOn w:val="PleadingsCont7"/>
    <w:link w:val="PleadingsCont8Char"/>
    <w:rsid w:val="00422E3F"/>
    <w:pPr>
      <w:ind w:left="5040"/>
    </w:pPr>
  </w:style>
  <w:style w:type="character" w:customStyle="1" w:styleId="PleadingsCont8Char">
    <w:name w:val="Pleadings Cont 8 Char"/>
    <w:basedOn w:val="Heading1Char"/>
    <w:link w:val="PleadingsCont8"/>
    <w:rsid w:val="00422E3F"/>
    <w:rPr>
      <w:rFonts w:ascii="Times New Roman" w:hAnsi="Times New Roman" w:cs="Times New Roman"/>
      <w:b w:val="0"/>
      <w:sz w:val="24"/>
      <w:lang w:val="en-US" w:eastAsia="zh-CN"/>
    </w:rPr>
  </w:style>
  <w:style w:type="paragraph" w:customStyle="1" w:styleId="PleadingsCont9">
    <w:name w:val="Pleadings Cont 9"/>
    <w:basedOn w:val="PleadingsCont8"/>
    <w:link w:val="PleadingsCont9Char"/>
    <w:rsid w:val="00422E3F"/>
    <w:pPr>
      <w:ind w:left="5760"/>
    </w:pPr>
  </w:style>
  <w:style w:type="character" w:customStyle="1" w:styleId="PleadingsCont9Char">
    <w:name w:val="Pleadings Cont 9 Char"/>
    <w:basedOn w:val="Heading1Char"/>
    <w:link w:val="PleadingsCont9"/>
    <w:rsid w:val="00422E3F"/>
    <w:rPr>
      <w:rFonts w:ascii="Times New Roman" w:hAnsi="Times New Roman" w:cs="Times New Roman"/>
      <w:b w:val="0"/>
      <w:sz w:val="24"/>
      <w:lang w:val="en-US" w:eastAsia="zh-CN"/>
    </w:rPr>
  </w:style>
  <w:style w:type="paragraph" w:customStyle="1" w:styleId="PleadingsL1">
    <w:name w:val="Pleadings_L1"/>
    <w:basedOn w:val="Normal"/>
    <w:next w:val="BodyText"/>
    <w:link w:val="PleadingsL1Char"/>
    <w:rsid w:val="00422E3F"/>
    <w:pPr>
      <w:keepNext/>
      <w:keepLines/>
      <w:numPr>
        <w:numId w:val="5"/>
      </w:numPr>
      <w:spacing w:after="240"/>
      <w:jc w:val="center"/>
      <w:outlineLvl w:val="0"/>
    </w:pPr>
    <w:rPr>
      <w:b/>
      <w:szCs w:val="20"/>
    </w:rPr>
  </w:style>
  <w:style w:type="character" w:customStyle="1" w:styleId="PleadingsL1Char">
    <w:name w:val="Pleadings_L1 Char"/>
    <w:basedOn w:val="Heading1Char"/>
    <w:link w:val="PleadingsL1"/>
    <w:rsid w:val="00422E3F"/>
    <w:rPr>
      <w:rFonts w:ascii="Times New Roman" w:hAnsi="Times New Roman" w:cs="Times New Roman"/>
      <w:b/>
      <w:sz w:val="24"/>
      <w:lang w:val="en-US" w:eastAsia="zh-CN"/>
    </w:rPr>
  </w:style>
  <w:style w:type="paragraph" w:customStyle="1" w:styleId="PleadingsL2">
    <w:name w:val="Pleadings_L2"/>
    <w:basedOn w:val="PleadingsL1"/>
    <w:next w:val="BodyText"/>
    <w:link w:val="PleadingsL2Char"/>
    <w:rsid w:val="00422E3F"/>
    <w:pPr>
      <w:numPr>
        <w:ilvl w:val="1"/>
      </w:numPr>
      <w:jc w:val="left"/>
      <w:outlineLvl w:val="1"/>
    </w:pPr>
  </w:style>
  <w:style w:type="character" w:customStyle="1" w:styleId="PleadingsL2Char">
    <w:name w:val="Pleadings_L2 Char"/>
    <w:basedOn w:val="Heading1Char"/>
    <w:link w:val="PleadingsL2"/>
    <w:rsid w:val="00422E3F"/>
    <w:rPr>
      <w:rFonts w:ascii="Times New Roman" w:hAnsi="Times New Roman" w:cs="Times New Roman"/>
      <w:b/>
      <w:sz w:val="24"/>
      <w:lang w:val="en-US" w:eastAsia="zh-CN"/>
    </w:rPr>
  </w:style>
  <w:style w:type="paragraph" w:customStyle="1" w:styleId="PleadingsL3">
    <w:name w:val="Pleadings_L3"/>
    <w:basedOn w:val="PleadingsL2"/>
    <w:next w:val="BodyText"/>
    <w:link w:val="PleadingsL3Char"/>
    <w:rsid w:val="00422E3F"/>
    <w:pPr>
      <w:numPr>
        <w:ilvl w:val="2"/>
      </w:numPr>
      <w:outlineLvl w:val="2"/>
    </w:pPr>
  </w:style>
  <w:style w:type="character" w:customStyle="1" w:styleId="PleadingsL3Char">
    <w:name w:val="Pleadings_L3 Char"/>
    <w:basedOn w:val="Heading1Char"/>
    <w:link w:val="PleadingsL3"/>
    <w:rsid w:val="00422E3F"/>
    <w:rPr>
      <w:rFonts w:ascii="Times New Roman" w:hAnsi="Times New Roman" w:cs="Times New Roman"/>
      <w:b/>
      <w:sz w:val="24"/>
      <w:lang w:val="en-US" w:eastAsia="zh-CN"/>
    </w:rPr>
  </w:style>
  <w:style w:type="paragraph" w:customStyle="1" w:styleId="PleadingsL4">
    <w:name w:val="Pleadings_L4"/>
    <w:basedOn w:val="PleadingsL3"/>
    <w:next w:val="BodyText"/>
    <w:link w:val="PleadingsL4Char"/>
    <w:rsid w:val="00422E3F"/>
    <w:pPr>
      <w:numPr>
        <w:ilvl w:val="3"/>
      </w:numPr>
      <w:outlineLvl w:val="3"/>
    </w:pPr>
  </w:style>
  <w:style w:type="character" w:customStyle="1" w:styleId="PleadingsL4Char">
    <w:name w:val="Pleadings_L4 Char"/>
    <w:basedOn w:val="Heading1Char"/>
    <w:link w:val="PleadingsL4"/>
    <w:rsid w:val="00422E3F"/>
    <w:rPr>
      <w:rFonts w:ascii="Times New Roman" w:hAnsi="Times New Roman" w:cs="Times New Roman"/>
      <w:b/>
      <w:sz w:val="24"/>
      <w:lang w:val="en-US" w:eastAsia="zh-CN"/>
    </w:rPr>
  </w:style>
  <w:style w:type="paragraph" w:customStyle="1" w:styleId="PleadingsL5">
    <w:name w:val="Pleadings_L5"/>
    <w:basedOn w:val="PleadingsL4"/>
    <w:next w:val="BodyText"/>
    <w:link w:val="PleadingsL5Char"/>
    <w:rsid w:val="00422E3F"/>
    <w:pPr>
      <w:numPr>
        <w:ilvl w:val="4"/>
      </w:numPr>
      <w:outlineLvl w:val="4"/>
    </w:pPr>
  </w:style>
  <w:style w:type="character" w:customStyle="1" w:styleId="PleadingsL5Char">
    <w:name w:val="Pleadings_L5 Char"/>
    <w:basedOn w:val="Heading1Char"/>
    <w:link w:val="PleadingsL5"/>
    <w:rsid w:val="00422E3F"/>
    <w:rPr>
      <w:rFonts w:ascii="Times New Roman" w:hAnsi="Times New Roman" w:cs="Times New Roman"/>
      <w:b/>
      <w:sz w:val="24"/>
      <w:lang w:val="en-US" w:eastAsia="zh-CN"/>
    </w:rPr>
  </w:style>
  <w:style w:type="paragraph" w:customStyle="1" w:styleId="PleadingsL6">
    <w:name w:val="Pleadings_L6"/>
    <w:basedOn w:val="PleadingsL5"/>
    <w:next w:val="BodyText"/>
    <w:link w:val="PleadingsL6Char"/>
    <w:rsid w:val="00422E3F"/>
    <w:pPr>
      <w:numPr>
        <w:ilvl w:val="5"/>
      </w:numPr>
      <w:outlineLvl w:val="5"/>
    </w:pPr>
  </w:style>
  <w:style w:type="character" w:customStyle="1" w:styleId="PleadingsL6Char">
    <w:name w:val="Pleadings_L6 Char"/>
    <w:basedOn w:val="Heading1Char"/>
    <w:link w:val="PleadingsL6"/>
    <w:rsid w:val="00422E3F"/>
    <w:rPr>
      <w:rFonts w:ascii="Times New Roman" w:hAnsi="Times New Roman" w:cs="Times New Roman"/>
      <w:b/>
      <w:sz w:val="24"/>
      <w:lang w:val="en-US" w:eastAsia="zh-CN"/>
    </w:rPr>
  </w:style>
  <w:style w:type="paragraph" w:customStyle="1" w:styleId="PleadingsL7">
    <w:name w:val="Pleadings_L7"/>
    <w:basedOn w:val="PleadingsL6"/>
    <w:next w:val="BodyText"/>
    <w:link w:val="PleadingsL7Char"/>
    <w:rsid w:val="00422E3F"/>
    <w:pPr>
      <w:numPr>
        <w:ilvl w:val="6"/>
      </w:numPr>
      <w:outlineLvl w:val="6"/>
    </w:pPr>
  </w:style>
  <w:style w:type="character" w:customStyle="1" w:styleId="PleadingsL7Char">
    <w:name w:val="Pleadings_L7 Char"/>
    <w:basedOn w:val="Heading1Char"/>
    <w:link w:val="PleadingsL7"/>
    <w:rsid w:val="00422E3F"/>
    <w:rPr>
      <w:rFonts w:ascii="Times New Roman" w:hAnsi="Times New Roman" w:cs="Times New Roman"/>
      <w:b/>
      <w:sz w:val="24"/>
      <w:lang w:val="en-US" w:eastAsia="zh-CN"/>
    </w:rPr>
  </w:style>
  <w:style w:type="paragraph" w:customStyle="1" w:styleId="PleadingsL8">
    <w:name w:val="Pleadings_L8"/>
    <w:basedOn w:val="PleadingsL7"/>
    <w:next w:val="BodyText"/>
    <w:link w:val="PleadingsL8Char"/>
    <w:rsid w:val="00422E3F"/>
    <w:pPr>
      <w:numPr>
        <w:ilvl w:val="7"/>
      </w:numPr>
      <w:outlineLvl w:val="7"/>
    </w:pPr>
  </w:style>
  <w:style w:type="character" w:customStyle="1" w:styleId="PleadingsL8Char">
    <w:name w:val="Pleadings_L8 Char"/>
    <w:basedOn w:val="Heading1Char"/>
    <w:link w:val="PleadingsL8"/>
    <w:rsid w:val="00422E3F"/>
    <w:rPr>
      <w:rFonts w:ascii="Times New Roman" w:hAnsi="Times New Roman" w:cs="Times New Roman"/>
      <w:b/>
      <w:sz w:val="24"/>
      <w:lang w:val="en-US" w:eastAsia="zh-CN"/>
    </w:rPr>
  </w:style>
  <w:style w:type="paragraph" w:customStyle="1" w:styleId="PleadingsL9">
    <w:name w:val="Pleadings_L9"/>
    <w:basedOn w:val="PleadingsL8"/>
    <w:next w:val="BodyText"/>
    <w:link w:val="PleadingsL9Char"/>
    <w:rsid w:val="00422E3F"/>
    <w:pPr>
      <w:numPr>
        <w:ilvl w:val="8"/>
      </w:numPr>
      <w:outlineLvl w:val="8"/>
    </w:pPr>
  </w:style>
  <w:style w:type="character" w:customStyle="1" w:styleId="PleadingsL9Char">
    <w:name w:val="Pleadings_L9 Char"/>
    <w:basedOn w:val="Heading1Char"/>
    <w:link w:val="PleadingsL9"/>
    <w:rsid w:val="00422E3F"/>
    <w:rPr>
      <w:rFonts w:ascii="Times New Roman" w:hAnsi="Times New Roman" w:cs="Times New Roman"/>
      <w:b/>
      <w:sz w:val="24"/>
      <w:lang w:val="en-US" w:eastAsia="zh-CN"/>
    </w:rPr>
  </w:style>
  <w:style w:type="paragraph" w:customStyle="1" w:styleId="Bullet1">
    <w:name w:val="Bullet 1"/>
    <w:basedOn w:val="ListParagraph"/>
    <w:link w:val="Bullet1Char1"/>
    <w:qFormat/>
    <w:rsid w:val="00D518A2"/>
    <w:pPr>
      <w:numPr>
        <w:numId w:val="9"/>
      </w:numPr>
      <w:spacing w:before="60" w:line="240" w:lineRule="auto"/>
      <w:contextualSpacing w:val="0"/>
    </w:pPr>
    <w:rPr>
      <w:rFonts w:asciiTheme="minorHAnsi" w:eastAsiaTheme="minorEastAsia" w:hAnsiTheme="minorHAnsi" w:cstheme="minorBidi"/>
      <w:sz w:val="24"/>
      <w:szCs w:val="22"/>
      <w:lang w:eastAsia="en-US" w:bidi="en-US"/>
    </w:rPr>
  </w:style>
  <w:style w:type="paragraph" w:customStyle="1" w:styleId="Exhibit">
    <w:name w:val="Exhibit"/>
    <w:basedOn w:val="Normal"/>
    <w:link w:val="ExhibitChar"/>
    <w:qFormat/>
    <w:rsid w:val="00D518A2"/>
    <w:pPr>
      <w:spacing w:before="60"/>
      <w:jc w:val="center"/>
    </w:pPr>
    <w:rPr>
      <w:rFonts w:asciiTheme="minorHAnsi" w:eastAsiaTheme="minorEastAsia" w:hAnsiTheme="minorHAnsi" w:cstheme="minorBidi"/>
      <w:noProof/>
      <w:szCs w:val="22"/>
      <w:lang w:bidi="en-US"/>
    </w:rPr>
  </w:style>
  <w:style w:type="character" w:customStyle="1" w:styleId="ExhibitChar">
    <w:name w:val="Exhibit Char"/>
    <w:basedOn w:val="DefaultParagraphFont"/>
    <w:link w:val="Exhibit"/>
    <w:rsid w:val="00D518A2"/>
    <w:rPr>
      <w:rFonts w:asciiTheme="minorHAnsi" w:eastAsiaTheme="minorEastAsia" w:hAnsiTheme="minorHAnsi" w:cstheme="minorBidi"/>
      <w:noProof/>
      <w:sz w:val="24"/>
      <w:szCs w:val="22"/>
      <w:lang w:bidi="en-US"/>
    </w:rPr>
  </w:style>
  <w:style w:type="character" w:customStyle="1" w:styleId="Bullet1Char1">
    <w:name w:val="Bullet 1 Char1"/>
    <w:basedOn w:val="DefaultParagraphFont"/>
    <w:link w:val="Bullet1"/>
    <w:rsid w:val="00D518A2"/>
    <w:rPr>
      <w:rFonts w:asciiTheme="minorHAnsi" w:eastAsiaTheme="minorEastAsia" w:hAnsiTheme="minorHAnsi" w:cstheme="minorBidi"/>
      <w:sz w:val="24"/>
      <w:szCs w:val="22"/>
      <w:lang w:bidi="en-US"/>
    </w:rPr>
  </w:style>
  <w:style w:type="paragraph" w:customStyle="1" w:styleId="Q">
    <w:name w:val="Q"/>
    <w:basedOn w:val="Normal"/>
    <w:link w:val="QChar"/>
    <w:qFormat/>
    <w:rsid w:val="00D518A2"/>
    <w:pPr>
      <w:numPr>
        <w:numId w:val="11"/>
      </w:numPr>
    </w:pPr>
    <w:rPr>
      <w:rFonts w:ascii="Calibri" w:hAnsi="Calibri"/>
      <w:b/>
      <w:lang w:bidi="en-US"/>
    </w:rPr>
  </w:style>
  <w:style w:type="character" w:customStyle="1" w:styleId="QChar">
    <w:name w:val="Q Char"/>
    <w:link w:val="Q"/>
    <w:locked/>
    <w:rsid w:val="00D518A2"/>
    <w:rPr>
      <w:rFonts w:ascii="Calibri" w:hAnsi="Calibri" w:cs="Times New Roman"/>
      <w:b/>
      <w:sz w:val="24"/>
      <w:szCs w:val="24"/>
      <w:lang w:bidi="en-US"/>
    </w:rPr>
  </w:style>
  <w:style w:type="character" w:styleId="PlaceholderText">
    <w:name w:val="Placeholder Text"/>
    <w:basedOn w:val="DefaultParagraphFont"/>
    <w:uiPriority w:val="99"/>
    <w:semiHidden/>
    <w:rsid w:val="00726AC7"/>
    <w:rPr>
      <w:vanish w:val="0"/>
      <w:color w:val="808080"/>
    </w:rPr>
  </w:style>
  <w:style w:type="table" w:customStyle="1" w:styleId="TableGrid2">
    <w:name w:val="Table Grid2"/>
    <w:basedOn w:val="TableNormal"/>
    <w:next w:val="TableGrid"/>
    <w:uiPriority w:val="99"/>
    <w:rsid w:val="009D0BD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9D0BD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lipsChar">
    <w:name w:val="Newsclips Char"/>
    <w:basedOn w:val="DefaultParagraphFont"/>
    <w:link w:val="Newsclips"/>
    <w:locked/>
    <w:rsid w:val="00F6598C"/>
    <w:rPr>
      <w:rFonts w:ascii="Arial" w:hAnsi="Arial" w:cs="Arial"/>
    </w:rPr>
  </w:style>
  <w:style w:type="paragraph" w:customStyle="1" w:styleId="Newsclips">
    <w:name w:val="Newsclips"/>
    <w:basedOn w:val="Normal"/>
    <w:link w:val="NewsclipsChar"/>
    <w:rsid w:val="00F6598C"/>
    <w:rPr>
      <w:rFonts w:ascii="Arial" w:hAnsi="Arial" w:cs="Arial"/>
      <w:sz w:val="20"/>
      <w:szCs w:val="20"/>
    </w:rPr>
  </w:style>
  <w:style w:type="paragraph" w:customStyle="1" w:styleId="Bullet-Short">
    <w:name w:val="Bullet - Short"/>
    <w:basedOn w:val="Normal"/>
    <w:autoRedefine/>
    <w:rsid w:val="00936BE7"/>
    <w:pPr>
      <w:spacing w:before="120" w:line="480" w:lineRule="auto"/>
    </w:pPr>
    <w:rPr>
      <w:rFonts w:eastAsia="SimSun"/>
      <w:lang w:eastAsia="zh-CN"/>
    </w:rPr>
  </w:style>
  <w:style w:type="paragraph" w:customStyle="1" w:styleId="ReportSubtitle">
    <w:name w:val="Report Subtitle"/>
    <w:basedOn w:val="Normal"/>
    <w:rsid w:val="002B450F"/>
    <w:pPr>
      <w:spacing w:before="240"/>
      <w:jc w:val="right"/>
    </w:pPr>
    <w:rPr>
      <w:rFonts w:ascii="Tahoma" w:hAnsi="Tahoma" w:cs="Tahoma"/>
      <w:b/>
      <w:sz w:val="40"/>
      <w:szCs w:val="40"/>
    </w:rPr>
  </w:style>
  <w:style w:type="paragraph" w:styleId="NoSpacing">
    <w:name w:val="No Spacing"/>
    <w:uiPriority w:val="1"/>
    <w:qFormat/>
    <w:rsid w:val="003B748B"/>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9109F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2667">
      <w:bodyDiv w:val="1"/>
      <w:marLeft w:val="0"/>
      <w:marRight w:val="0"/>
      <w:marTop w:val="0"/>
      <w:marBottom w:val="0"/>
      <w:divBdr>
        <w:top w:val="none" w:sz="0" w:space="0" w:color="auto"/>
        <w:left w:val="none" w:sz="0" w:space="0" w:color="auto"/>
        <w:bottom w:val="none" w:sz="0" w:space="0" w:color="auto"/>
        <w:right w:val="none" w:sz="0" w:space="0" w:color="auto"/>
      </w:divBdr>
    </w:div>
    <w:div w:id="205068556">
      <w:bodyDiv w:val="1"/>
      <w:marLeft w:val="0"/>
      <w:marRight w:val="0"/>
      <w:marTop w:val="0"/>
      <w:marBottom w:val="0"/>
      <w:divBdr>
        <w:top w:val="none" w:sz="0" w:space="0" w:color="auto"/>
        <w:left w:val="none" w:sz="0" w:space="0" w:color="auto"/>
        <w:bottom w:val="none" w:sz="0" w:space="0" w:color="auto"/>
        <w:right w:val="none" w:sz="0" w:space="0" w:color="auto"/>
      </w:divBdr>
      <w:divsChild>
        <w:div w:id="1309019641">
          <w:marLeft w:val="547"/>
          <w:marRight w:val="0"/>
          <w:marTop w:val="91"/>
          <w:marBottom w:val="0"/>
          <w:divBdr>
            <w:top w:val="none" w:sz="0" w:space="0" w:color="auto"/>
            <w:left w:val="none" w:sz="0" w:space="0" w:color="auto"/>
            <w:bottom w:val="none" w:sz="0" w:space="0" w:color="auto"/>
            <w:right w:val="none" w:sz="0" w:space="0" w:color="auto"/>
          </w:divBdr>
        </w:div>
      </w:divsChild>
    </w:div>
    <w:div w:id="262150829">
      <w:bodyDiv w:val="1"/>
      <w:marLeft w:val="0"/>
      <w:marRight w:val="0"/>
      <w:marTop w:val="0"/>
      <w:marBottom w:val="0"/>
      <w:divBdr>
        <w:top w:val="none" w:sz="0" w:space="0" w:color="auto"/>
        <w:left w:val="none" w:sz="0" w:space="0" w:color="auto"/>
        <w:bottom w:val="none" w:sz="0" w:space="0" w:color="auto"/>
        <w:right w:val="none" w:sz="0" w:space="0" w:color="auto"/>
      </w:divBdr>
    </w:div>
    <w:div w:id="273178254">
      <w:bodyDiv w:val="1"/>
      <w:marLeft w:val="0"/>
      <w:marRight w:val="0"/>
      <w:marTop w:val="0"/>
      <w:marBottom w:val="0"/>
      <w:divBdr>
        <w:top w:val="none" w:sz="0" w:space="0" w:color="auto"/>
        <w:left w:val="none" w:sz="0" w:space="0" w:color="auto"/>
        <w:bottom w:val="none" w:sz="0" w:space="0" w:color="auto"/>
        <w:right w:val="none" w:sz="0" w:space="0" w:color="auto"/>
      </w:divBdr>
      <w:divsChild>
        <w:div w:id="675310653">
          <w:marLeft w:val="1166"/>
          <w:marRight w:val="0"/>
          <w:marTop w:val="96"/>
          <w:marBottom w:val="0"/>
          <w:divBdr>
            <w:top w:val="none" w:sz="0" w:space="0" w:color="auto"/>
            <w:left w:val="none" w:sz="0" w:space="0" w:color="auto"/>
            <w:bottom w:val="none" w:sz="0" w:space="0" w:color="auto"/>
            <w:right w:val="none" w:sz="0" w:space="0" w:color="auto"/>
          </w:divBdr>
        </w:div>
        <w:div w:id="1451899018">
          <w:marLeft w:val="1166"/>
          <w:marRight w:val="0"/>
          <w:marTop w:val="96"/>
          <w:marBottom w:val="0"/>
          <w:divBdr>
            <w:top w:val="none" w:sz="0" w:space="0" w:color="auto"/>
            <w:left w:val="none" w:sz="0" w:space="0" w:color="auto"/>
            <w:bottom w:val="none" w:sz="0" w:space="0" w:color="auto"/>
            <w:right w:val="none" w:sz="0" w:space="0" w:color="auto"/>
          </w:divBdr>
        </w:div>
        <w:div w:id="1145468943">
          <w:marLeft w:val="1166"/>
          <w:marRight w:val="0"/>
          <w:marTop w:val="96"/>
          <w:marBottom w:val="0"/>
          <w:divBdr>
            <w:top w:val="none" w:sz="0" w:space="0" w:color="auto"/>
            <w:left w:val="none" w:sz="0" w:space="0" w:color="auto"/>
            <w:bottom w:val="none" w:sz="0" w:space="0" w:color="auto"/>
            <w:right w:val="none" w:sz="0" w:space="0" w:color="auto"/>
          </w:divBdr>
        </w:div>
        <w:div w:id="2111310492">
          <w:marLeft w:val="1166"/>
          <w:marRight w:val="0"/>
          <w:marTop w:val="96"/>
          <w:marBottom w:val="0"/>
          <w:divBdr>
            <w:top w:val="none" w:sz="0" w:space="0" w:color="auto"/>
            <w:left w:val="none" w:sz="0" w:space="0" w:color="auto"/>
            <w:bottom w:val="none" w:sz="0" w:space="0" w:color="auto"/>
            <w:right w:val="none" w:sz="0" w:space="0" w:color="auto"/>
          </w:divBdr>
        </w:div>
      </w:divsChild>
    </w:div>
    <w:div w:id="310719097">
      <w:bodyDiv w:val="1"/>
      <w:marLeft w:val="0"/>
      <w:marRight w:val="0"/>
      <w:marTop w:val="0"/>
      <w:marBottom w:val="0"/>
      <w:divBdr>
        <w:top w:val="none" w:sz="0" w:space="0" w:color="auto"/>
        <w:left w:val="none" w:sz="0" w:space="0" w:color="auto"/>
        <w:bottom w:val="none" w:sz="0" w:space="0" w:color="auto"/>
        <w:right w:val="none" w:sz="0" w:space="0" w:color="auto"/>
      </w:divBdr>
    </w:div>
    <w:div w:id="388849790">
      <w:bodyDiv w:val="1"/>
      <w:marLeft w:val="0"/>
      <w:marRight w:val="0"/>
      <w:marTop w:val="0"/>
      <w:marBottom w:val="0"/>
      <w:divBdr>
        <w:top w:val="none" w:sz="0" w:space="0" w:color="auto"/>
        <w:left w:val="none" w:sz="0" w:space="0" w:color="auto"/>
        <w:bottom w:val="none" w:sz="0" w:space="0" w:color="auto"/>
        <w:right w:val="none" w:sz="0" w:space="0" w:color="auto"/>
      </w:divBdr>
    </w:div>
    <w:div w:id="393545134">
      <w:bodyDiv w:val="1"/>
      <w:marLeft w:val="0"/>
      <w:marRight w:val="0"/>
      <w:marTop w:val="0"/>
      <w:marBottom w:val="0"/>
      <w:divBdr>
        <w:top w:val="none" w:sz="0" w:space="0" w:color="auto"/>
        <w:left w:val="none" w:sz="0" w:space="0" w:color="auto"/>
        <w:bottom w:val="none" w:sz="0" w:space="0" w:color="auto"/>
        <w:right w:val="none" w:sz="0" w:space="0" w:color="auto"/>
      </w:divBdr>
    </w:div>
    <w:div w:id="540289286">
      <w:bodyDiv w:val="1"/>
      <w:marLeft w:val="0"/>
      <w:marRight w:val="0"/>
      <w:marTop w:val="0"/>
      <w:marBottom w:val="0"/>
      <w:divBdr>
        <w:top w:val="none" w:sz="0" w:space="0" w:color="auto"/>
        <w:left w:val="none" w:sz="0" w:space="0" w:color="auto"/>
        <w:bottom w:val="none" w:sz="0" w:space="0" w:color="auto"/>
        <w:right w:val="none" w:sz="0" w:space="0" w:color="auto"/>
      </w:divBdr>
    </w:div>
    <w:div w:id="600454695">
      <w:bodyDiv w:val="1"/>
      <w:marLeft w:val="0"/>
      <w:marRight w:val="0"/>
      <w:marTop w:val="0"/>
      <w:marBottom w:val="0"/>
      <w:divBdr>
        <w:top w:val="none" w:sz="0" w:space="0" w:color="auto"/>
        <w:left w:val="none" w:sz="0" w:space="0" w:color="auto"/>
        <w:bottom w:val="none" w:sz="0" w:space="0" w:color="auto"/>
        <w:right w:val="none" w:sz="0" w:space="0" w:color="auto"/>
      </w:divBdr>
    </w:div>
    <w:div w:id="648248146">
      <w:bodyDiv w:val="1"/>
      <w:marLeft w:val="0"/>
      <w:marRight w:val="0"/>
      <w:marTop w:val="0"/>
      <w:marBottom w:val="0"/>
      <w:divBdr>
        <w:top w:val="none" w:sz="0" w:space="0" w:color="auto"/>
        <w:left w:val="none" w:sz="0" w:space="0" w:color="auto"/>
        <w:bottom w:val="none" w:sz="0" w:space="0" w:color="auto"/>
        <w:right w:val="none" w:sz="0" w:space="0" w:color="auto"/>
      </w:divBdr>
    </w:div>
    <w:div w:id="656501241">
      <w:bodyDiv w:val="1"/>
      <w:marLeft w:val="0"/>
      <w:marRight w:val="0"/>
      <w:marTop w:val="0"/>
      <w:marBottom w:val="0"/>
      <w:divBdr>
        <w:top w:val="none" w:sz="0" w:space="0" w:color="auto"/>
        <w:left w:val="none" w:sz="0" w:space="0" w:color="auto"/>
        <w:bottom w:val="none" w:sz="0" w:space="0" w:color="auto"/>
        <w:right w:val="none" w:sz="0" w:space="0" w:color="auto"/>
      </w:divBdr>
    </w:div>
    <w:div w:id="670910986">
      <w:bodyDiv w:val="1"/>
      <w:marLeft w:val="0"/>
      <w:marRight w:val="0"/>
      <w:marTop w:val="0"/>
      <w:marBottom w:val="0"/>
      <w:divBdr>
        <w:top w:val="none" w:sz="0" w:space="0" w:color="auto"/>
        <w:left w:val="none" w:sz="0" w:space="0" w:color="auto"/>
        <w:bottom w:val="none" w:sz="0" w:space="0" w:color="auto"/>
        <w:right w:val="none" w:sz="0" w:space="0" w:color="auto"/>
      </w:divBdr>
    </w:div>
    <w:div w:id="681665209">
      <w:marLeft w:val="0"/>
      <w:marRight w:val="0"/>
      <w:marTop w:val="0"/>
      <w:marBottom w:val="0"/>
      <w:divBdr>
        <w:top w:val="none" w:sz="0" w:space="0" w:color="auto"/>
        <w:left w:val="none" w:sz="0" w:space="0" w:color="auto"/>
        <w:bottom w:val="none" w:sz="0" w:space="0" w:color="auto"/>
        <w:right w:val="none" w:sz="0" w:space="0" w:color="auto"/>
      </w:divBdr>
    </w:div>
    <w:div w:id="681665210">
      <w:marLeft w:val="0"/>
      <w:marRight w:val="0"/>
      <w:marTop w:val="0"/>
      <w:marBottom w:val="0"/>
      <w:divBdr>
        <w:top w:val="none" w:sz="0" w:space="0" w:color="auto"/>
        <w:left w:val="none" w:sz="0" w:space="0" w:color="auto"/>
        <w:bottom w:val="none" w:sz="0" w:space="0" w:color="auto"/>
        <w:right w:val="none" w:sz="0" w:space="0" w:color="auto"/>
      </w:divBdr>
    </w:div>
    <w:div w:id="681665211">
      <w:marLeft w:val="0"/>
      <w:marRight w:val="0"/>
      <w:marTop w:val="0"/>
      <w:marBottom w:val="0"/>
      <w:divBdr>
        <w:top w:val="none" w:sz="0" w:space="0" w:color="auto"/>
        <w:left w:val="none" w:sz="0" w:space="0" w:color="auto"/>
        <w:bottom w:val="none" w:sz="0" w:space="0" w:color="auto"/>
        <w:right w:val="none" w:sz="0" w:space="0" w:color="auto"/>
      </w:divBdr>
      <w:divsChild>
        <w:div w:id="681665233">
          <w:marLeft w:val="0"/>
          <w:marRight w:val="0"/>
          <w:marTop w:val="0"/>
          <w:marBottom w:val="0"/>
          <w:divBdr>
            <w:top w:val="none" w:sz="0" w:space="0" w:color="auto"/>
            <w:left w:val="none" w:sz="0" w:space="0" w:color="auto"/>
            <w:bottom w:val="none" w:sz="0" w:space="0" w:color="auto"/>
            <w:right w:val="none" w:sz="0" w:space="0" w:color="auto"/>
          </w:divBdr>
          <w:divsChild>
            <w:div w:id="681665212">
              <w:marLeft w:val="0"/>
              <w:marRight w:val="0"/>
              <w:marTop w:val="0"/>
              <w:marBottom w:val="0"/>
              <w:divBdr>
                <w:top w:val="none" w:sz="0" w:space="0" w:color="auto"/>
                <w:left w:val="none" w:sz="0" w:space="0" w:color="auto"/>
                <w:bottom w:val="none" w:sz="0" w:space="0" w:color="auto"/>
                <w:right w:val="none" w:sz="0" w:space="0" w:color="auto"/>
              </w:divBdr>
            </w:div>
            <w:div w:id="681665214">
              <w:marLeft w:val="0"/>
              <w:marRight w:val="0"/>
              <w:marTop w:val="0"/>
              <w:marBottom w:val="0"/>
              <w:divBdr>
                <w:top w:val="none" w:sz="0" w:space="0" w:color="auto"/>
                <w:left w:val="none" w:sz="0" w:space="0" w:color="auto"/>
                <w:bottom w:val="none" w:sz="0" w:space="0" w:color="auto"/>
                <w:right w:val="none" w:sz="0" w:space="0" w:color="auto"/>
              </w:divBdr>
            </w:div>
            <w:div w:id="681665215">
              <w:marLeft w:val="0"/>
              <w:marRight w:val="0"/>
              <w:marTop w:val="0"/>
              <w:marBottom w:val="0"/>
              <w:divBdr>
                <w:top w:val="none" w:sz="0" w:space="0" w:color="auto"/>
                <w:left w:val="none" w:sz="0" w:space="0" w:color="auto"/>
                <w:bottom w:val="none" w:sz="0" w:space="0" w:color="auto"/>
                <w:right w:val="none" w:sz="0" w:space="0" w:color="auto"/>
              </w:divBdr>
            </w:div>
            <w:div w:id="681665217">
              <w:marLeft w:val="0"/>
              <w:marRight w:val="0"/>
              <w:marTop w:val="0"/>
              <w:marBottom w:val="0"/>
              <w:divBdr>
                <w:top w:val="none" w:sz="0" w:space="0" w:color="auto"/>
                <w:left w:val="none" w:sz="0" w:space="0" w:color="auto"/>
                <w:bottom w:val="none" w:sz="0" w:space="0" w:color="auto"/>
                <w:right w:val="none" w:sz="0" w:space="0" w:color="auto"/>
              </w:divBdr>
            </w:div>
            <w:div w:id="681665218">
              <w:marLeft w:val="0"/>
              <w:marRight w:val="0"/>
              <w:marTop w:val="0"/>
              <w:marBottom w:val="0"/>
              <w:divBdr>
                <w:top w:val="none" w:sz="0" w:space="0" w:color="auto"/>
                <w:left w:val="none" w:sz="0" w:space="0" w:color="auto"/>
                <w:bottom w:val="none" w:sz="0" w:space="0" w:color="auto"/>
                <w:right w:val="none" w:sz="0" w:space="0" w:color="auto"/>
              </w:divBdr>
            </w:div>
            <w:div w:id="681665219">
              <w:marLeft w:val="0"/>
              <w:marRight w:val="0"/>
              <w:marTop w:val="0"/>
              <w:marBottom w:val="0"/>
              <w:divBdr>
                <w:top w:val="none" w:sz="0" w:space="0" w:color="auto"/>
                <w:left w:val="none" w:sz="0" w:space="0" w:color="auto"/>
                <w:bottom w:val="none" w:sz="0" w:space="0" w:color="auto"/>
                <w:right w:val="none" w:sz="0" w:space="0" w:color="auto"/>
              </w:divBdr>
            </w:div>
            <w:div w:id="681665220">
              <w:marLeft w:val="0"/>
              <w:marRight w:val="0"/>
              <w:marTop w:val="0"/>
              <w:marBottom w:val="0"/>
              <w:divBdr>
                <w:top w:val="none" w:sz="0" w:space="0" w:color="auto"/>
                <w:left w:val="none" w:sz="0" w:space="0" w:color="auto"/>
                <w:bottom w:val="none" w:sz="0" w:space="0" w:color="auto"/>
                <w:right w:val="none" w:sz="0" w:space="0" w:color="auto"/>
              </w:divBdr>
            </w:div>
            <w:div w:id="681665224">
              <w:marLeft w:val="0"/>
              <w:marRight w:val="0"/>
              <w:marTop w:val="0"/>
              <w:marBottom w:val="0"/>
              <w:divBdr>
                <w:top w:val="none" w:sz="0" w:space="0" w:color="auto"/>
                <w:left w:val="none" w:sz="0" w:space="0" w:color="auto"/>
                <w:bottom w:val="none" w:sz="0" w:space="0" w:color="auto"/>
                <w:right w:val="none" w:sz="0" w:space="0" w:color="auto"/>
              </w:divBdr>
            </w:div>
            <w:div w:id="681665225">
              <w:marLeft w:val="0"/>
              <w:marRight w:val="0"/>
              <w:marTop w:val="0"/>
              <w:marBottom w:val="0"/>
              <w:divBdr>
                <w:top w:val="none" w:sz="0" w:space="0" w:color="auto"/>
                <w:left w:val="none" w:sz="0" w:space="0" w:color="auto"/>
                <w:bottom w:val="none" w:sz="0" w:space="0" w:color="auto"/>
                <w:right w:val="none" w:sz="0" w:space="0" w:color="auto"/>
              </w:divBdr>
            </w:div>
            <w:div w:id="681665226">
              <w:marLeft w:val="0"/>
              <w:marRight w:val="0"/>
              <w:marTop w:val="0"/>
              <w:marBottom w:val="0"/>
              <w:divBdr>
                <w:top w:val="none" w:sz="0" w:space="0" w:color="auto"/>
                <w:left w:val="none" w:sz="0" w:space="0" w:color="auto"/>
                <w:bottom w:val="none" w:sz="0" w:space="0" w:color="auto"/>
                <w:right w:val="none" w:sz="0" w:space="0" w:color="auto"/>
              </w:divBdr>
            </w:div>
            <w:div w:id="681665227">
              <w:marLeft w:val="0"/>
              <w:marRight w:val="0"/>
              <w:marTop w:val="0"/>
              <w:marBottom w:val="0"/>
              <w:divBdr>
                <w:top w:val="none" w:sz="0" w:space="0" w:color="auto"/>
                <w:left w:val="none" w:sz="0" w:space="0" w:color="auto"/>
                <w:bottom w:val="none" w:sz="0" w:space="0" w:color="auto"/>
                <w:right w:val="none" w:sz="0" w:space="0" w:color="auto"/>
              </w:divBdr>
            </w:div>
            <w:div w:id="681665228">
              <w:marLeft w:val="0"/>
              <w:marRight w:val="0"/>
              <w:marTop w:val="0"/>
              <w:marBottom w:val="0"/>
              <w:divBdr>
                <w:top w:val="none" w:sz="0" w:space="0" w:color="auto"/>
                <w:left w:val="none" w:sz="0" w:space="0" w:color="auto"/>
                <w:bottom w:val="none" w:sz="0" w:space="0" w:color="auto"/>
                <w:right w:val="none" w:sz="0" w:space="0" w:color="auto"/>
              </w:divBdr>
            </w:div>
            <w:div w:id="681665229">
              <w:marLeft w:val="0"/>
              <w:marRight w:val="0"/>
              <w:marTop w:val="0"/>
              <w:marBottom w:val="0"/>
              <w:divBdr>
                <w:top w:val="none" w:sz="0" w:space="0" w:color="auto"/>
                <w:left w:val="none" w:sz="0" w:space="0" w:color="auto"/>
                <w:bottom w:val="none" w:sz="0" w:space="0" w:color="auto"/>
                <w:right w:val="none" w:sz="0" w:space="0" w:color="auto"/>
              </w:divBdr>
            </w:div>
            <w:div w:id="681665230">
              <w:marLeft w:val="0"/>
              <w:marRight w:val="0"/>
              <w:marTop w:val="0"/>
              <w:marBottom w:val="0"/>
              <w:divBdr>
                <w:top w:val="none" w:sz="0" w:space="0" w:color="auto"/>
                <w:left w:val="none" w:sz="0" w:space="0" w:color="auto"/>
                <w:bottom w:val="none" w:sz="0" w:space="0" w:color="auto"/>
                <w:right w:val="none" w:sz="0" w:space="0" w:color="auto"/>
              </w:divBdr>
            </w:div>
            <w:div w:id="681665231">
              <w:marLeft w:val="0"/>
              <w:marRight w:val="0"/>
              <w:marTop w:val="0"/>
              <w:marBottom w:val="0"/>
              <w:divBdr>
                <w:top w:val="none" w:sz="0" w:space="0" w:color="auto"/>
                <w:left w:val="none" w:sz="0" w:space="0" w:color="auto"/>
                <w:bottom w:val="none" w:sz="0" w:space="0" w:color="auto"/>
                <w:right w:val="none" w:sz="0" w:space="0" w:color="auto"/>
              </w:divBdr>
            </w:div>
            <w:div w:id="681665234">
              <w:marLeft w:val="0"/>
              <w:marRight w:val="0"/>
              <w:marTop w:val="0"/>
              <w:marBottom w:val="0"/>
              <w:divBdr>
                <w:top w:val="none" w:sz="0" w:space="0" w:color="auto"/>
                <w:left w:val="none" w:sz="0" w:space="0" w:color="auto"/>
                <w:bottom w:val="none" w:sz="0" w:space="0" w:color="auto"/>
                <w:right w:val="none" w:sz="0" w:space="0" w:color="auto"/>
              </w:divBdr>
            </w:div>
            <w:div w:id="681665236">
              <w:marLeft w:val="0"/>
              <w:marRight w:val="0"/>
              <w:marTop w:val="0"/>
              <w:marBottom w:val="0"/>
              <w:divBdr>
                <w:top w:val="none" w:sz="0" w:space="0" w:color="auto"/>
                <w:left w:val="none" w:sz="0" w:space="0" w:color="auto"/>
                <w:bottom w:val="none" w:sz="0" w:space="0" w:color="auto"/>
                <w:right w:val="none" w:sz="0" w:space="0" w:color="auto"/>
              </w:divBdr>
            </w:div>
            <w:div w:id="681665237">
              <w:marLeft w:val="0"/>
              <w:marRight w:val="0"/>
              <w:marTop w:val="0"/>
              <w:marBottom w:val="0"/>
              <w:divBdr>
                <w:top w:val="none" w:sz="0" w:space="0" w:color="auto"/>
                <w:left w:val="none" w:sz="0" w:space="0" w:color="auto"/>
                <w:bottom w:val="none" w:sz="0" w:space="0" w:color="auto"/>
                <w:right w:val="none" w:sz="0" w:space="0" w:color="auto"/>
              </w:divBdr>
            </w:div>
            <w:div w:id="6816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5213">
      <w:marLeft w:val="0"/>
      <w:marRight w:val="0"/>
      <w:marTop w:val="0"/>
      <w:marBottom w:val="0"/>
      <w:divBdr>
        <w:top w:val="none" w:sz="0" w:space="0" w:color="auto"/>
        <w:left w:val="none" w:sz="0" w:space="0" w:color="auto"/>
        <w:bottom w:val="none" w:sz="0" w:space="0" w:color="auto"/>
        <w:right w:val="none" w:sz="0" w:space="0" w:color="auto"/>
      </w:divBdr>
    </w:div>
    <w:div w:id="681665216">
      <w:marLeft w:val="0"/>
      <w:marRight w:val="0"/>
      <w:marTop w:val="0"/>
      <w:marBottom w:val="0"/>
      <w:divBdr>
        <w:top w:val="none" w:sz="0" w:space="0" w:color="auto"/>
        <w:left w:val="none" w:sz="0" w:space="0" w:color="auto"/>
        <w:bottom w:val="none" w:sz="0" w:space="0" w:color="auto"/>
        <w:right w:val="none" w:sz="0" w:space="0" w:color="auto"/>
      </w:divBdr>
      <w:divsChild>
        <w:div w:id="681665235">
          <w:marLeft w:val="0"/>
          <w:marRight w:val="0"/>
          <w:marTop w:val="0"/>
          <w:marBottom w:val="0"/>
          <w:divBdr>
            <w:top w:val="none" w:sz="0" w:space="0" w:color="auto"/>
            <w:left w:val="none" w:sz="0" w:space="0" w:color="auto"/>
            <w:bottom w:val="none" w:sz="0" w:space="0" w:color="auto"/>
            <w:right w:val="none" w:sz="0" w:space="0" w:color="auto"/>
          </w:divBdr>
        </w:div>
      </w:divsChild>
    </w:div>
    <w:div w:id="681665221">
      <w:marLeft w:val="0"/>
      <w:marRight w:val="0"/>
      <w:marTop w:val="0"/>
      <w:marBottom w:val="0"/>
      <w:divBdr>
        <w:top w:val="none" w:sz="0" w:space="0" w:color="auto"/>
        <w:left w:val="none" w:sz="0" w:space="0" w:color="auto"/>
        <w:bottom w:val="none" w:sz="0" w:space="0" w:color="auto"/>
        <w:right w:val="none" w:sz="0" w:space="0" w:color="auto"/>
      </w:divBdr>
    </w:div>
    <w:div w:id="681665222">
      <w:marLeft w:val="0"/>
      <w:marRight w:val="0"/>
      <w:marTop w:val="0"/>
      <w:marBottom w:val="0"/>
      <w:divBdr>
        <w:top w:val="none" w:sz="0" w:space="0" w:color="auto"/>
        <w:left w:val="none" w:sz="0" w:space="0" w:color="auto"/>
        <w:bottom w:val="none" w:sz="0" w:space="0" w:color="auto"/>
        <w:right w:val="none" w:sz="0" w:space="0" w:color="auto"/>
      </w:divBdr>
      <w:divsChild>
        <w:div w:id="681665239">
          <w:marLeft w:val="0"/>
          <w:marRight w:val="0"/>
          <w:marTop w:val="0"/>
          <w:marBottom w:val="0"/>
          <w:divBdr>
            <w:top w:val="none" w:sz="0" w:space="0" w:color="auto"/>
            <w:left w:val="none" w:sz="0" w:space="0" w:color="auto"/>
            <w:bottom w:val="none" w:sz="0" w:space="0" w:color="auto"/>
            <w:right w:val="none" w:sz="0" w:space="0" w:color="auto"/>
          </w:divBdr>
        </w:div>
      </w:divsChild>
    </w:div>
    <w:div w:id="681665232">
      <w:marLeft w:val="0"/>
      <w:marRight w:val="0"/>
      <w:marTop w:val="0"/>
      <w:marBottom w:val="0"/>
      <w:divBdr>
        <w:top w:val="none" w:sz="0" w:space="0" w:color="auto"/>
        <w:left w:val="none" w:sz="0" w:space="0" w:color="auto"/>
        <w:bottom w:val="none" w:sz="0" w:space="0" w:color="auto"/>
        <w:right w:val="none" w:sz="0" w:space="0" w:color="auto"/>
      </w:divBdr>
      <w:divsChild>
        <w:div w:id="681665223">
          <w:marLeft w:val="0"/>
          <w:marRight w:val="0"/>
          <w:marTop w:val="0"/>
          <w:marBottom w:val="0"/>
          <w:divBdr>
            <w:top w:val="none" w:sz="0" w:space="0" w:color="auto"/>
            <w:left w:val="none" w:sz="0" w:space="0" w:color="auto"/>
            <w:bottom w:val="none" w:sz="0" w:space="0" w:color="auto"/>
            <w:right w:val="none" w:sz="0" w:space="0" w:color="auto"/>
          </w:divBdr>
        </w:div>
      </w:divsChild>
    </w:div>
    <w:div w:id="933711287">
      <w:bodyDiv w:val="1"/>
      <w:marLeft w:val="0"/>
      <w:marRight w:val="0"/>
      <w:marTop w:val="0"/>
      <w:marBottom w:val="0"/>
      <w:divBdr>
        <w:top w:val="none" w:sz="0" w:space="0" w:color="auto"/>
        <w:left w:val="none" w:sz="0" w:space="0" w:color="auto"/>
        <w:bottom w:val="none" w:sz="0" w:space="0" w:color="auto"/>
        <w:right w:val="none" w:sz="0" w:space="0" w:color="auto"/>
      </w:divBdr>
    </w:div>
    <w:div w:id="941647568">
      <w:bodyDiv w:val="1"/>
      <w:marLeft w:val="0"/>
      <w:marRight w:val="0"/>
      <w:marTop w:val="0"/>
      <w:marBottom w:val="0"/>
      <w:divBdr>
        <w:top w:val="none" w:sz="0" w:space="0" w:color="auto"/>
        <w:left w:val="none" w:sz="0" w:space="0" w:color="auto"/>
        <w:bottom w:val="none" w:sz="0" w:space="0" w:color="auto"/>
        <w:right w:val="none" w:sz="0" w:space="0" w:color="auto"/>
      </w:divBdr>
    </w:div>
    <w:div w:id="942762510">
      <w:bodyDiv w:val="1"/>
      <w:marLeft w:val="0"/>
      <w:marRight w:val="0"/>
      <w:marTop w:val="0"/>
      <w:marBottom w:val="0"/>
      <w:divBdr>
        <w:top w:val="none" w:sz="0" w:space="0" w:color="auto"/>
        <w:left w:val="none" w:sz="0" w:space="0" w:color="auto"/>
        <w:bottom w:val="none" w:sz="0" w:space="0" w:color="auto"/>
        <w:right w:val="none" w:sz="0" w:space="0" w:color="auto"/>
      </w:divBdr>
    </w:div>
    <w:div w:id="1020593019">
      <w:bodyDiv w:val="1"/>
      <w:marLeft w:val="0"/>
      <w:marRight w:val="0"/>
      <w:marTop w:val="0"/>
      <w:marBottom w:val="0"/>
      <w:divBdr>
        <w:top w:val="none" w:sz="0" w:space="0" w:color="auto"/>
        <w:left w:val="none" w:sz="0" w:space="0" w:color="auto"/>
        <w:bottom w:val="none" w:sz="0" w:space="0" w:color="auto"/>
        <w:right w:val="none" w:sz="0" w:space="0" w:color="auto"/>
      </w:divBdr>
    </w:div>
    <w:div w:id="1047338350">
      <w:bodyDiv w:val="1"/>
      <w:marLeft w:val="0"/>
      <w:marRight w:val="0"/>
      <w:marTop w:val="0"/>
      <w:marBottom w:val="0"/>
      <w:divBdr>
        <w:top w:val="none" w:sz="0" w:space="0" w:color="auto"/>
        <w:left w:val="none" w:sz="0" w:space="0" w:color="auto"/>
        <w:bottom w:val="none" w:sz="0" w:space="0" w:color="auto"/>
        <w:right w:val="none" w:sz="0" w:space="0" w:color="auto"/>
      </w:divBdr>
    </w:div>
    <w:div w:id="1062756918">
      <w:bodyDiv w:val="1"/>
      <w:marLeft w:val="0"/>
      <w:marRight w:val="0"/>
      <w:marTop w:val="0"/>
      <w:marBottom w:val="0"/>
      <w:divBdr>
        <w:top w:val="none" w:sz="0" w:space="0" w:color="auto"/>
        <w:left w:val="none" w:sz="0" w:space="0" w:color="auto"/>
        <w:bottom w:val="none" w:sz="0" w:space="0" w:color="auto"/>
        <w:right w:val="none" w:sz="0" w:space="0" w:color="auto"/>
      </w:divBdr>
    </w:div>
    <w:div w:id="1130322340">
      <w:bodyDiv w:val="1"/>
      <w:marLeft w:val="0"/>
      <w:marRight w:val="0"/>
      <w:marTop w:val="0"/>
      <w:marBottom w:val="0"/>
      <w:divBdr>
        <w:top w:val="none" w:sz="0" w:space="0" w:color="auto"/>
        <w:left w:val="none" w:sz="0" w:space="0" w:color="auto"/>
        <w:bottom w:val="none" w:sz="0" w:space="0" w:color="auto"/>
        <w:right w:val="none" w:sz="0" w:space="0" w:color="auto"/>
      </w:divBdr>
      <w:divsChild>
        <w:div w:id="1712532141">
          <w:marLeft w:val="547"/>
          <w:marRight w:val="0"/>
          <w:marTop w:val="96"/>
          <w:marBottom w:val="0"/>
          <w:divBdr>
            <w:top w:val="none" w:sz="0" w:space="0" w:color="auto"/>
            <w:left w:val="none" w:sz="0" w:space="0" w:color="auto"/>
            <w:bottom w:val="none" w:sz="0" w:space="0" w:color="auto"/>
            <w:right w:val="none" w:sz="0" w:space="0" w:color="auto"/>
          </w:divBdr>
        </w:div>
        <w:div w:id="2103407996">
          <w:marLeft w:val="547"/>
          <w:marRight w:val="0"/>
          <w:marTop w:val="96"/>
          <w:marBottom w:val="0"/>
          <w:divBdr>
            <w:top w:val="none" w:sz="0" w:space="0" w:color="auto"/>
            <w:left w:val="none" w:sz="0" w:space="0" w:color="auto"/>
            <w:bottom w:val="none" w:sz="0" w:space="0" w:color="auto"/>
            <w:right w:val="none" w:sz="0" w:space="0" w:color="auto"/>
          </w:divBdr>
        </w:div>
        <w:div w:id="444227123">
          <w:marLeft w:val="547"/>
          <w:marRight w:val="0"/>
          <w:marTop w:val="96"/>
          <w:marBottom w:val="0"/>
          <w:divBdr>
            <w:top w:val="none" w:sz="0" w:space="0" w:color="auto"/>
            <w:left w:val="none" w:sz="0" w:space="0" w:color="auto"/>
            <w:bottom w:val="none" w:sz="0" w:space="0" w:color="auto"/>
            <w:right w:val="none" w:sz="0" w:space="0" w:color="auto"/>
          </w:divBdr>
        </w:div>
        <w:div w:id="676230838">
          <w:marLeft w:val="547"/>
          <w:marRight w:val="0"/>
          <w:marTop w:val="96"/>
          <w:marBottom w:val="0"/>
          <w:divBdr>
            <w:top w:val="none" w:sz="0" w:space="0" w:color="auto"/>
            <w:left w:val="none" w:sz="0" w:space="0" w:color="auto"/>
            <w:bottom w:val="none" w:sz="0" w:space="0" w:color="auto"/>
            <w:right w:val="none" w:sz="0" w:space="0" w:color="auto"/>
          </w:divBdr>
        </w:div>
      </w:divsChild>
    </w:div>
    <w:div w:id="1141849480">
      <w:bodyDiv w:val="1"/>
      <w:marLeft w:val="0"/>
      <w:marRight w:val="0"/>
      <w:marTop w:val="0"/>
      <w:marBottom w:val="0"/>
      <w:divBdr>
        <w:top w:val="none" w:sz="0" w:space="0" w:color="auto"/>
        <w:left w:val="none" w:sz="0" w:space="0" w:color="auto"/>
        <w:bottom w:val="none" w:sz="0" w:space="0" w:color="auto"/>
        <w:right w:val="none" w:sz="0" w:space="0" w:color="auto"/>
      </w:divBdr>
    </w:div>
    <w:div w:id="1238324613">
      <w:bodyDiv w:val="1"/>
      <w:marLeft w:val="0"/>
      <w:marRight w:val="0"/>
      <w:marTop w:val="0"/>
      <w:marBottom w:val="0"/>
      <w:divBdr>
        <w:top w:val="none" w:sz="0" w:space="0" w:color="auto"/>
        <w:left w:val="none" w:sz="0" w:space="0" w:color="auto"/>
        <w:bottom w:val="none" w:sz="0" w:space="0" w:color="auto"/>
        <w:right w:val="none" w:sz="0" w:space="0" w:color="auto"/>
      </w:divBdr>
    </w:div>
    <w:div w:id="1254582000">
      <w:bodyDiv w:val="1"/>
      <w:marLeft w:val="0"/>
      <w:marRight w:val="0"/>
      <w:marTop w:val="0"/>
      <w:marBottom w:val="0"/>
      <w:divBdr>
        <w:top w:val="none" w:sz="0" w:space="0" w:color="auto"/>
        <w:left w:val="none" w:sz="0" w:space="0" w:color="auto"/>
        <w:bottom w:val="none" w:sz="0" w:space="0" w:color="auto"/>
        <w:right w:val="none" w:sz="0" w:space="0" w:color="auto"/>
      </w:divBdr>
      <w:divsChild>
        <w:div w:id="583926115">
          <w:marLeft w:val="446"/>
          <w:marRight w:val="0"/>
          <w:marTop w:val="0"/>
          <w:marBottom w:val="0"/>
          <w:divBdr>
            <w:top w:val="none" w:sz="0" w:space="0" w:color="auto"/>
            <w:left w:val="none" w:sz="0" w:space="0" w:color="auto"/>
            <w:bottom w:val="none" w:sz="0" w:space="0" w:color="auto"/>
            <w:right w:val="none" w:sz="0" w:space="0" w:color="auto"/>
          </w:divBdr>
        </w:div>
      </w:divsChild>
    </w:div>
    <w:div w:id="1503857529">
      <w:bodyDiv w:val="1"/>
      <w:marLeft w:val="0"/>
      <w:marRight w:val="0"/>
      <w:marTop w:val="0"/>
      <w:marBottom w:val="0"/>
      <w:divBdr>
        <w:top w:val="none" w:sz="0" w:space="0" w:color="auto"/>
        <w:left w:val="none" w:sz="0" w:space="0" w:color="auto"/>
        <w:bottom w:val="none" w:sz="0" w:space="0" w:color="auto"/>
        <w:right w:val="none" w:sz="0" w:space="0" w:color="auto"/>
      </w:divBdr>
    </w:div>
    <w:div w:id="1533611115">
      <w:bodyDiv w:val="1"/>
      <w:marLeft w:val="0"/>
      <w:marRight w:val="0"/>
      <w:marTop w:val="0"/>
      <w:marBottom w:val="0"/>
      <w:divBdr>
        <w:top w:val="none" w:sz="0" w:space="0" w:color="auto"/>
        <w:left w:val="none" w:sz="0" w:space="0" w:color="auto"/>
        <w:bottom w:val="none" w:sz="0" w:space="0" w:color="auto"/>
        <w:right w:val="none" w:sz="0" w:space="0" w:color="auto"/>
      </w:divBdr>
      <w:divsChild>
        <w:div w:id="1159928887">
          <w:marLeft w:val="547"/>
          <w:marRight w:val="0"/>
          <w:marTop w:val="96"/>
          <w:marBottom w:val="0"/>
          <w:divBdr>
            <w:top w:val="none" w:sz="0" w:space="0" w:color="auto"/>
            <w:left w:val="none" w:sz="0" w:space="0" w:color="auto"/>
            <w:bottom w:val="none" w:sz="0" w:space="0" w:color="auto"/>
            <w:right w:val="none" w:sz="0" w:space="0" w:color="auto"/>
          </w:divBdr>
        </w:div>
        <w:div w:id="1304702015">
          <w:marLeft w:val="547"/>
          <w:marRight w:val="0"/>
          <w:marTop w:val="96"/>
          <w:marBottom w:val="0"/>
          <w:divBdr>
            <w:top w:val="none" w:sz="0" w:space="0" w:color="auto"/>
            <w:left w:val="none" w:sz="0" w:space="0" w:color="auto"/>
            <w:bottom w:val="none" w:sz="0" w:space="0" w:color="auto"/>
            <w:right w:val="none" w:sz="0" w:space="0" w:color="auto"/>
          </w:divBdr>
        </w:div>
        <w:div w:id="1532767778">
          <w:marLeft w:val="547"/>
          <w:marRight w:val="0"/>
          <w:marTop w:val="96"/>
          <w:marBottom w:val="0"/>
          <w:divBdr>
            <w:top w:val="none" w:sz="0" w:space="0" w:color="auto"/>
            <w:left w:val="none" w:sz="0" w:space="0" w:color="auto"/>
            <w:bottom w:val="none" w:sz="0" w:space="0" w:color="auto"/>
            <w:right w:val="none" w:sz="0" w:space="0" w:color="auto"/>
          </w:divBdr>
        </w:div>
        <w:div w:id="1380321833">
          <w:marLeft w:val="547"/>
          <w:marRight w:val="0"/>
          <w:marTop w:val="96"/>
          <w:marBottom w:val="0"/>
          <w:divBdr>
            <w:top w:val="none" w:sz="0" w:space="0" w:color="auto"/>
            <w:left w:val="none" w:sz="0" w:space="0" w:color="auto"/>
            <w:bottom w:val="none" w:sz="0" w:space="0" w:color="auto"/>
            <w:right w:val="none" w:sz="0" w:space="0" w:color="auto"/>
          </w:divBdr>
        </w:div>
      </w:divsChild>
    </w:div>
    <w:div w:id="1663703899">
      <w:bodyDiv w:val="1"/>
      <w:marLeft w:val="0"/>
      <w:marRight w:val="0"/>
      <w:marTop w:val="0"/>
      <w:marBottom w:val="0"/>
      <w:divBdr>
        <w:top w:val="none" w:sz="0" w:space="0" w:color="auto"/>
        <w:left w:val="none" w:sz="0" w:space="0" w:color="auto"/>
        <w:bottom w:val="none" w:sz="0" w:space="0" w:color="auto"/>
        <w:right w:val="none" w:sz="0" w:space="0" w:color="auto"/>
      </w:divBdr>
    </w:div>
    <w:div w:id="1777023382">
      <w:bodyDiv w:val="1"/>
      <w:marLeft w:val="0"/>
      <w:marRight w:val="0"/>
      <w:marTop w:val="0"/>
      <w:marBottom w:val="0"/>
      <w:divBdr>
        <w:top w:val="none" w:sz="0" w:space="0" w:color="auto"/>
        <w:left w:val="none" w:sz="0" w:space="0" w:color="auto"/>
        <w:bottom w:val="none" w:sz="0" w:space="0" w:color="auto"/>
        <w:right w:val="none" w:sz="0" w:space="0" w:color="auto"/>
      </w:divBdr>
      <w:divsChild>
        <w:div w:id="806823368">
          <w:marLeft w:val="547"/>
          <w:marRight w:val="0"/>
          <w:marTop w:val="96"/>
          <w:marBottom w:val="0"/>
          <w:divBdr>
            <w:top w:val="none" w:sz="0" w:space="0" w:color="auto"/>
            <w:left w:val="none" w:sz="0" w:space="0" w:color="auto"/>
            <w:bottom w:val="none" w:sz="0" w:space="0" w:color="auto"/>
            <w:right w:val="none" w:sz="0" w:space="0" w:color="auto"/>
          </w:divBdr>
        </w:div>
        <w:div w:id="840512400">
          <w:marLeft w:val="1800"/>
          <w:marRight w:val="0"/>
          <w:marTop w:val="96"/>
          <w:marBottom w:val="0"/>
          <w:divBdr>
            <w:top w:val="none" w:sz="0" w:space="0" w:color="auto"/>
            <w:left w:val="none" w:sz="0" w:space="0" w:color="auto"/>
            <w:bottom w:val="none" w:sz="0" w:space="0" w:color="auto"/>
            <w:right w:val="none" w:sz="0" w:space="0" w:color="auto"/>
          </w:divBdr>
        </w:div>
        <w:div w:id="1114252192">
          <w:marLeft w:val="1800"/>
          <w:marRight w:val="0"/>
          <w:marTop w:val="96"/>
          <w:marBottom w:val="0"/>
          <w:divBdr>
            <w:top w:val="none" w:sz="0" w:space="0" w:color="auto"/>
            <w:left w:val="none" w:sz="0" w:space="0" w:color="auto"/>
            <w:bottom w:val="none" w:sz="0" w:space="0" w:color="auto"/>
            <w:right w:val="none" w:sz="0" w:space="0" w:color="auto"/>
          </w:divBdr>
        </w:div>
        <w:div w:id="1663466765">
          <w:marLeft w:val="1800"/>
          <w:marRight w:val="0"/>
          <w:marTop w:val="96"/>
          <w:marBottom w:val="0"/>
          <w:divBdr>
            <w:top w:val="none" w:sz="0" w:space="0" w:color="auto"/>
            <w:left w:val="none" w:sz="0" w:space="0" w:color="auto"/>
            <w:bottom w:val="none" w:sz="0" w:space="0" w:color="auto"/>
            <w:right w:val="none" w:sz="0" w:space="0" w:color="auto"/>
          </w:divBdr>
        </w:div>
        <w:div w:id="106431179">
          <w:marLeft w:val="1800"/>
          <w:marRight w:val="0"/>
          <w:marTop w:val="96"/>
          <w:marBottom w:val="0"/>
          <w:divBdr>
            <w:top w:val="none" w:sz="0" w:space="0" w:color="auto"/>
            <w:left w:val="none" w:sz="0" w:space="0" w:color="auto"/>
            <w:bottom w:val="none" w:sz="0" w:space="0" w:color="auto"/>
            <w:right w:val="none" w:sz="0" w:space="0" w:color="auto"/>
          </w:divBdr>
        </w:div>
        <w:div w:id="1469282996">
          <w:marLeft w:val="547"/>
          <w:marRight w:val="0"/>
          <w:marTop w:val="96"/>
          <w:marBottom w:val="0"/>
          <w:divBdr>
            <w:top w:val="none" w:sz="0" w:space="0" w:color="auto"/>
            <w:left w:val="none" w:sz="0" w:space="0" w:color="auto"/>
            <w:bottom w:val="none" w:sz="0" w:space="0" w:color="auto"/>
            <w:right w:val="none" w:sz="0" w:space="0" w:color="auto"/>
          </w:divBdr>
        </w:div>
      </w:divsChild>
    </w:div>
    <w:div w:id="1798186168">
      <w:bodyDiv w:val="1"/>
      <w:marLeft w:val="0"/>
      <w:marRight w:val="0"/>
      <w:marTop w:val="0"/>
      <w:marBottom w:val="0"/>
      <w:divBdr>
        <w:top w:val="none" w:sz="0" w:space="0" w:color="auto"/>
        <w:left w:val="none" w:sz="0" w:space="0" w:color="auto"/>
        <w:bottom w:val="none" w:sz="0" w:space="0" w:color="auto"/>
        <w:right w:val="none" w:sz="0" w:space="0" w:color="auto"/>
      </w:divBdr>
    </w:div>
    <w:div w:id="1821115971">
      <w:bodyDiv w:val="1"/>
      <w:marLeft w:val="0"/>
      <w:marRight w:val="0"/>
      <w:marTop w:val="0"/>
      <w:marBottom w:val="0"/>
      <w:divBdr>
        <w:top w:val="none" w:sz="0" w:space="0" w:color="auto"/>
        <w:left w:val="none" w:sz="0" w:space="0" w:color="auto"/>
        <w:bottom w:val="none" w:sz="0" w:space="0" w:color="auto"/>
        <w:right w:val="none" w:sz="0" w:space="0" w:color="auto"/>
      </w:divBdr>
      <w:divsChild>
        <w:div w:id="2011712020">
          <w:marLeft w:val="446"/>
          <w:marRight w:val="0"/>
          <w:marTop w:val="0"/>
          <w:marBottom w:val="0"/>
          <w:divBdr>
            <w:top w:val="none" w:sz="0" w:space="0" w:color="auto"/>
            <w:left w:val="none" w:sz="0" w:space="0" w:color="auto"/>
            <w:bottom w:val="none" w:sz="0" w:space="0" w:color="auto"/>
            <w:right w:val="none" w:sz="0" w:space="0" w:color="auto"/>
          </w:divBdr>
        </w:div>
      </w:divsChild>
    </w:div>
    <w:div w:id="2020964226">
      <w:bodyDiv w:val="1"/>
      <w:marLeft w:val="0"/>
      <w:marRight w:val="0"/>
      <w:marTop w:val="0"/>
      <w:marBottom w:val="0"/>
      <w:divBdr>
        <w:top w:val="none" w:sz="0" w:space="0" w:color="auto"/>
        <w:left w:val="none" w:sz="0" w:space="0" w:color="auto"/>
        <w:bottom w:val="none" w:sz="0" w:space="0" w:color="auto"/>
        <w:right w:val="none" w:sz="0" w:space="0" w:color="auto"/>
      </w:divBdr>
    </w:div>
    <w:div w:id="206576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2016-07-01T07:00:00+00:00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33BCC44-8EDE-4E60-9F0F-A58376DD5AAB}"/>
</file>

<file path=customXml/itemProps2.xml><?xml version="1.0" encoding="utf-8"?>
<ds:datastoreItem xmlns:ds="http://schemas.openxmlformats.org/officeDocument/2006/customXml" ds:itemID="{AFB75F34-DAEB-43FC-9846-EAA06DB7995C}"/>
</file>

<file path=customXml/itemProps3.xml><?xml version="1.0" encoding="utf-8"?>
<ds:datastoreItem xmlns:ds="http://schemas.openxmlformats.org/officeDocument/2006/customXml" ds:itemID="{FD968096-1E00-4535-8502-7363253DC63A}"/>
</file>

<file path=customXml/itemProps4.xml><?xml version="1.0" encoding="utf-8"?>
<ds:datastoreItem xmlns:ds="http://schemas.openxmlformats.org/officeDocument/2006/customXml" ds:itemID="{2DD7512A-5707-47A5-B72F-1B1A4DA6A930}"/>
</file>

<file path=customXml/itemProps5.xml><?xml version="1.0" encoding="utf-8"?>
<ds:datastoreItem xmlns:ds="http://schemas.openxmlformats.org/officeDocument/2006/customXml" ds:itemID="{2A62D88E-F244-4E28-ABF4-BDE1786CA7EF}"/>
</file>

<file path=docProps/app.xml><?xml version="1.0" encoding="utf-8"?>
<Properties xmlns="http://schemas.openxmlformats.org/officeDocument/2006/extended-properties" xmlns:vt="http://schemas.openxmlformats.org/officeDocument/2006/docPropsVTypes">
  <Template>Normal.dotm</Template>
  <TotalTime>0</TotalTime>
  <Pages>32</Pages>
  <Words>6351</Words>
  <Characters>36207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42474</CharactersWithSpaces>
  <SharedDoc>false</SharedDoc>
  <HyperlinkBase/>
  <HLinks>
    <vt:vector size="60" baseType="variant">
      <vt:variant>
        <vt:i4>2031668</vt:i4>
      </vt:variant>
      <vt:variant>
        <vt:i4>56</vt:i4>
      </vt:variant>
      <vt:variant>
        <vt:i4>0</vt:i4>
      </vt:variant>
      <vt:variant>
        <vt:i4>5</vt:i4>
      </vt:variant>
      <vt:variant>
        <vt:lpwstr/>
      </vt:variant>
      <vt:variant>
        <vt:lpwstr>_Toc388462969</vt:lpwstr>
      </vt:variant>
      <vt:variant>
        <vt:i4>2031668</vt:i4>
      </vt:variant>
      <vt:variant>
        <vt:i4>50</vt:i4>
      </vt:variant>
      <vt:variant>
        <vt:i4>0</vt:i4>
      </vt:variant>
      <vt:variant>
        <vt:i4>5</vt:i4>
      </vt:variant>
      <vt:variant>
        <vt:lpwstr/>
      </vt:variant>
      <vt:variant>
        <vt:lpwstr>_Toc388462968</vt:lpwstr>
      </vt:variant>
      <vt:variant>
        <vt:i4>2031668</vt:i4>
      </vt:variant>
      <vt:variant>
        <vt:i4>44</vt:i4>
      </vt:variant>
      <vt:variant>
        <vt:i4>0</vt:i4>
      </vt:variant>
      <vt:variant>
        <vt:i4>5</vt:i4>
      </vt:variant>
      <vt:variant>
        <vt:lpwstr/>
      </vt:variant>
      <vt:variant>
        <vt:lpwstr>_Toc388462967</vt:lpwstr>
      </vt:variant>
      <vt:variant>
        <vt:i4>2031668</vt:i4>
      </vt:variant>
      <vt:variant>
        <vt:i4>38</vt:i4>
      </vt:variant>
      <vt:variant>
        <vt:i4>0</vt:i4>
      </vt:variant>
      <vt:variant>
        <vt:i4>5</vt:i4>
      </vt:variant>
      <vt:variant>
        <vt:lpwstr/>
      </vt:variant>
      <vt:variant>
        <vt:lpwstr>_Toc388462966</vt:lpwstr>
      </vt:variant>
      <vt:variant>
        <vt:i4>2031668</vt:i4>
      </vt:variant>
      <vt:variant>
        <vt:i4>32</vt:i4>
      </vt:variant>
      <vt:variant>
        <vt:i4>0</vt:i4>
      </vt:variant>
      <vt:variant>
        <vt:i4>5</vt:i4>
      </vt:variant>
      <vt:variant>
        <vt:lpwstr/>
      </vt:variant>
      <vt:variant>
        <vt:lpwstr>_Toc388462965</vt:lpwstr>
      </vt:variant>
      <vt:variant>
        <vt:i4>2031668</vt:i4>
      </vt:variant>
      <vt:variant>
        <vt:i4>26</vt:i4>
      </vt:variant>
      <vt:variant>
        <vt:i4>0</vt:i4>
      </vt:variant>
      <vt:variant>
        <vt:i4>5</vt:i4>
      </vt:variant>
      <vt:variant>
        <vt:lpwstr/>
      </vt:variant>
      <vt:variant>
        <vt:lpwstr>_Toc388462964</vt:lpwstr>
      </vt:variant>
      <vt:variant>
        <vt:i4>2031668</vt:i4>
      </vt:variant>
      <vt:variant>
        <vt:i4>20</vt:i4>
      </vt:variant>
      <vt:variant>
        <vt:i4>0</vt:i4>
      </vt:variant>
      <vt:variant>
        <vt:i4>5</vt:i4>
      </vt:variant>
      <vt:variant>
        <vt:lpwstr/>
      </vt:variant>
      <vt:variant>
        <vt:lpwstr>_Toc388462963</vt:lpwstr>
      </vt:variant>
      <vt:variant>
        <vt:i4>2031668</vt:i4>
      </vt:variant>
      <vt:variant>
        <vt:i4>14</vt:i4>
      </vt:variant>
      <vt:variant>
        <vt:i4>0</vt:i4>
      </vt:variant>
      <vt:variant>
        <vt:i4>5</vt:i4>
      </vt:variant>
      <vt:variant>
        <vt:lpwstr/>
      </vt:variant>
      <vt:variant>
        <vt:lpwstr>_Toc388462962</vt:lpwstr>
      </vt:variant>
      <vt:variant>
        <vt:i4>2031668</vt:i4>
      </vt:variant>
      <vt:variant>
        <vt:i4>8</vt:i4>
      </vt:variant>
      <vt:variant>
        <vt:i4>0</vt:i4>
      </vt:variant>
      <vt:variant>
        <vt:i4>5</vt:i4>
      </vt:variant>
      <vt:variant>
        <vt:lpwstr/>
      </vt:variant>
      <vt:variant>
        <vt:lpwstr>_Toc388462961</vt:lpwstr>
      </vt:variant>
      <vt:variant>
        <vt:i4>2031668</vt:i4>
      </vt:variant>
      <vt:variant>
        <vt:i4>2</vt:i4>
      </vt:variant>
      <vt:variant>
        <vt:i4>0</vt:i4>
      </vt:variant>
      <vt:variant>
        <vt:i4>5</vt:i4>
      </vt:variant>
      <vt:variant>
        <vt:lpwstr/>
      </vt:variant>
      <vt:variant>
        <vt:lpwstr>_Toc388462960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2016-07-01T20:46:00Z</dcterms:created>
  <dcterms:modified xsi:type="dcterms:W3CDTF">2016-07-01T20:46:00Z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ABAAVOAfoSrQoyyY/MsWzuOXDMyKaxbbjMeCZBbK7b0YYNgCyijYM5Cwz0VxkL6ZKp3R</vt:lpwstr>
  </property>
  <property fmtid="{D5CDD505-2E9C-101B-9397-08002B2CF9AE}" pid="3" name="MAIL_MSG_ID2">
    <vt:lpwstr>WKafi2HE/EH+ao1YGuSHEKvMx1Wq0Jz+DTwhm/Ml8xZ3i/z+2HzRvrKfZVY
xRsU4m5+RnZpyAa3cL93VlfTAMo=</vt:lpwstr>
  </property>
  <property fmtid="{D5CDD505-2E9C-101B-9397-08002B2CF9AE}" pid="4" name="RESPONSE_SENDER_NAME">
    <vt:lpwstr>gAAAdya76B99d4hLGUR1rQ+8TxTv0GGEPdix</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